
<file path=[Content_Types].xml><?xml version="1.0" encoding="utf-8"?>
<Types xmlns="http://schemas.openxmlformats.org/package/2006/content-types">
  <Default Extension="xml" ContentType="application/xml"/>
  <Default Extension="xlsx" ContentType="application/vnd.openxmlformats-officedocument.spreadsheetml.sheet"/>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EC6339">
      <w:pPr>
        <w:spacing w:line="600" w:lineRule="exact"/>
        <w:jc w:val="left"/>
        <w:outlineLvl w:val="0"/>
        <w:rPr>
          <w:rFonts w:ascii="方正小标宋简体" w:hAnsi="宋体" w:eastAsia="方正小标宋简体"/>
          <w:szCs w:val="21"/>
        </w:rPr>
      </w:pPr>
      <w:bookmarkStart w:id="0" w:name="_Toc15306267"/>
    </w:p>
    <w:p w14:paraId="3EEFFC51">
      <w:pPr>
        <w:pStyle w:val="5"/>
        <w:spacing w:before="93"/>
      </w:pPr>
    </w:p>
    <w:p w14:paraId="5CD5B787">
      <w:pPr>
        <w:spacing w:line="600" w:lineRule="exact"/>
        <w:jc w:val="center"/>
        <w:outlineLvl w:val="0"/>
        <w:rPr>
          <w:rFonts w:ascii="方正小标宋简体" w:hAnsi="宋体" w:eastAsia="方正小标宋简体"/>
          <w:sz w:val="72"/>
          <w:szCs w:val="72"/>
        </w:rPr>
      </w:pPr>
    </w:p>
    <w:p w14:paraId="3C4BD544">
      <w:pPr>
        <w:spacing w:line="600" w:lineRule="exact"/>
        <w:jc w:val="center"/>
        <w:outlineLvl w:val="0"/>
        <w:rPr>
          <w:rFonts w:ascii="方正小标宋简体" w:hAnsi="宋体" w:eastAsia="方正小标宋简体"/>
          <w:sz w:val="72"/>
          <w:szCs w:val="72"/>
        </w:rPr>
      </w:pPr>
    </w:p>
    <w:p w14:paraId="4B2DB0A9">
      <w:pPr>
        <w:adjustRightInd w:val="0"/>
        <w:snapToGrid w:val="0"/>
        <w:spacing w:line="360" w:lineRule="auto"/>
        <w:jc w:val="center"/>
        <w:outlineLvl w:val="0"/>
        <w:rPr>
          <w:rFonts w:ascii="方正小标宋简体" w:hAnsi="方正小标宋简体" w:eastAsia="方正小标宋简体" w:cs="方正小标宋简体"/>
          <w:sz w:val="72"/>
          <w:szCs w:val="72"/>
        </w:rPr>
      </w:pPr>
      <w:bookmarkStart w:id="1" w:name="_Toc15378441"/>
      <w:bookmarkStart w:id="2" w:name="_Toc15377193"/>
      <w:bookmarkStart w:id="3" w:name="_Toc15377425"/>
      <w:bookmarkStart w:id="4" w:name="_Toc15396597"/>
      <w:bookmarkStart w:id="5" w:name="_Toc15396475"/>
      <w:r>
        <w:rPr>
          <w:rFonts w:hint="eastAsia" w:ascii="方正小标宋简体" w:hAnsi="方正小标宋简体" w:eastAsia="方正小标宋简体" w:cs="方正小标宋简体"/>
          <w:sz w:val="72"/>
          <w:szCs w:val="72"/>
        </w:rPr>
        <w:t>2023年度</w:t>
      </w:r>
      <w:bookmarkEnd w:id="1"/>
      <w:bookmarkEnd w:id="2"/>
      <w:bookmarkEnd w:id="3"/>
      <w:bookmarkEnd w:id="4"/>
      <w:bookmarkEnd w:id="5"/>
    </w:p>
    <w:p w14:paraId="12DEA00B">
      <w:pPr>
        <w:adjustRightInd w:val="0"/>
        <w:snapToGrid w:val="0"/>
        <w:spacing w:line="360" w:lineRule="auto"/>
        <w:jc w:val="center"/>
        <w:outlineLvl w:val="0"/>
        <w:rPr>
          <w:rFonts w:hint="eastAsia" w:ascii="方正小标宋简体" w:hAnsi="方正小标宋简体" w:eastAsia="方正小标宋简体" w:cs="方正小标宋简体"/>
          <w:sz w:val="72"/>
          <w:szCs w:val="72"/>
          <w:lang w:eastAsia="zh-CN"/>
        </w:rPr>
      </w:pPr>
      <w:bookmarkStart w:id="6" w:name="_Toc15396598"/>
      <w:bookmarkStart w:id="7" w:name="_Toc15377194"/>
      <w:bookmarkStart w:id="8" w:name="_Toc15377426"/>
      <w:bookmarkStart w:id="9" w:name="_Toc15396476"/>
      <w:bookmarkStart w:id="10" w:name="_Toc15378442"/>
      <w:r>
        <w:rPr>
          <w:rFonts w:hint="eastAsia" w:ascii="方正小标宋简体" w:hAnsi="方正小标宋简体" w:eastAsia="方正小标宋简体" w:cs="方正小标宋简体"/>
          <w:sz w:val="72"/>
          <w:szCs w:val="72"/>
        </w:rPr>
        <w:t>四川省</w:t>
      </w:r>
      <w:bookmarkEnd w:id="0"/>
      <w:bookmarkStart w:id="11" w:name="_Toc15306268"/>
      <w:r>
        <w:rPr>
          <w:rFonts w:hint="eastAsia" w:ascii="方正小标宋简体" w:hAnsi="方正小标宋简体" w:eastAsia="方正小标宋简体" w:cs="方正小标宋简体"/>
          <w:sz w:val="72"/>
          <w:szCs w:val="72"/>
          <w:lang w:eastAsia="zh-CN"/>
        </w:rPr>
        <w:t>阿坝州财政局</w:t>
      </w:r>
    </w:p>
    <w:p w14:paraId="0E0CD4C8">
      <w:pPr>
        <w:adjustRightInd w:val="0"/>
        <w:snapToGrid w:val="0"/>
        <w:spacing w:line="360" w:lineRule="auto"/>
        <w:jc w:val="center"/>
        <w:outlineLvl w:val="0"/>
        <w:rPr>
          <w:rFonts w:hint="eastAsia" w:ascii="方正小标宋简体" w:hAnsi="方正小标宋简体" w:eastAsia="方正小标宋简体" w:cs="方正小标宋简体"/>
          <w:sz w:val="72"/>
          <w:szCs w:val="72"/>
          <w:lang w:eastAsia="zh-CN"/>
        </w:rPr>
      </w:pPr>
      <w:r>
        <w:rPr>
          <w:rFonts w:hint="eastAsia" w:ascii="方正小标宋简体" w:hAnsi="方正小标宋简体" w:eastAsia="方正小标宋简体" w:cs="方正小标宋简体"/>
          <w:sz w:val="72"/>
          <w:szCs w:val="72"/>
        </w:rPr>
        <w:t>单位决算</w:t>
      </w:r>
      <w:bookmarkEnd w:id="6"/>
      <w:bookmarkEnd w:id="7"/>
      <w:bookmarkEnd w:id="8"/>
      <w:bookmarkEnd w:id="9"/>
      <w:bookmarkEnd w:id="10"/>
      <w:bookmarkEnd w:id="11"/>
      <w:r>
        <w:rPr>
          <w:rFonts w:hint="eastAsia" w:ascii="方正小标宋简体" w:hAnsi="方正小标宋简体" w:eastAsia="方正小标宋简体" w:cs="方正小标宋简体"/>
          <w:sz w:val="72"/>
          <w:szCs w:val="72"/>
          <w:lang w:eastAsia="zh-CN"/>
        </w:rPr>
        <w:t>公开</w:t>
      </w:r>
    </w:p>
    <w:p w14:paraId="3B4DCF7F">
      <w:pPr>
        <w:adjustRightInd w:val="0"/>
        <w:snapToGrid w:val="0"/>
        <w:spacing w:line="360" w:lineRule="auto"/>
        <w:jc w:val="center"/>
        <w:outlineLvl w:val="0"/>
        <w:rPr>
          <w:rFonts w:ascii="方正小标宋简体" w:hAnsi="宋体" w:eastAsia="方正小标宋简体"/>
          <w:sz w:val="52"/>
          <w:szCs w:val="52"/>
        </w:rPr>
      </w:pPr>
      <w:r>
        <w:rPr>
          <w:rFonts w:hint="eastAsia" w:ascii="方正小标宋简体" w:hAnsi="宋体" w:eastAsia="方正小标宋简体"/>
          <w:sz w:val="52"/>
          <w:szCs w:val="52"/>
        </w:rPr>
        <w:t>(单位公开范本)</w:t>
      </w:r>
    </w:p>
    <w:p w14:paraId="521676CE">
      <w:pPr>
        <w:widowControl/>
        <w:jc w:val="center"/>
        <w:rPr>
          <w:rFonts w:ascii="黑体" w:hAnsi="黑体" w:eastAsia="黑体"/>
          <w:sz w:val="48"/>
          <w:szCs w:val="48"/>
        </w:rPr>
      </w:pPr>
      <w:r>
        <w:rPr>
          <w:rFonts w:ascii="方正小标宋简体" w:hAnsi="宋体" w:eastAsia="方正小标宋简体"/>
          <w:sz w:val="36"/>
          <w:szCs w:val="36"/>
        </w:rPr>
        <w:br w:type="page"/>
      </w:r>
      <w:r>
        <w:rPr>
          <w:rFonts w:hint="eastAsia" w:ascii="黑体" w:hAnsi="黑体" w:eastAsia="黑体"/>
          <w:sz w:val="48"/>
          <w:szCs w:val="48"/>
        </w:rPr>
        <w:t>目录</w:t>
      </w:r>
    </w:p>
    <w:p w14:paraId="1C057D77">
      <w:pPr>
        <w:widowControl/>
        <w:jc w:val="center"/>
        <w:rPr>
          <w:rFonts w:ascii="黑体" w:hAnsi="黑体" w:eastAsia="黑体" w:cstheme="minorBidi"/>
          <w:sz w:val="28"/>
          <w:szCs w:val="28"/>
        </w:rPr>
      </w:pPr>
    </w:p>
    <w:p w14:paraId="0D2E9AE0">
      <w:pPr>
        <w:pStyle w:val="11"/>
      </w:pPr>
      <w:r>
        <w:rPr>
          <w:rFonts w:hint="eastAsia"/>
        </w:rPr>
        <w:t>公开时间：2023年9月6日</w:t>
      </w:r>
    </w:p>
    <w:p w14:paraId="25930687"/>
    <w:p w14:paraId="4DBEDDC9">
      <w:pPr>
        <w:pStyle w:val="11"/>
        <w:adjustRightInd w:val="0"/>
        <w:snapToGrid w:val="0"/>
        <w:spacing w:before="0" w:line="440" w:lineRule="exact"/>
        <w:jc w:val="left"/>
        <w:rPr>
          <w:rFonts w:cstheme="minorBidi"/>
          <w:sz w:val="24"/>
          <w:szCs w:val="24"/>
        </w:rPr>
      </w:pPr>
      <w:r>
        <w:rPr>
          <w:rFonts w:hint="eastAsia"/>
          <w:sz w:val="24"/>
        </w:rPr>
        <w:t>第一部分</w:t>
      </w:r>
      <w:r>
        <w:rPr>
          <w:sz w:val="24"/>
        </w:rPr>
        <w:t xml:space="preserve"> </w:t>
      </w:r>
      <w:r>
        <w:rPr>
          <w:rFonts w:hint="eastAsia"/>
          <w:sz w:val="24"/>
        </w:rPr>
        <w:t>单位概况</w:t>
      </w:r>
    </w:p>
    <w:p w14:paraId="16072458">
      <w:pPr>
        <w:pStyle w:val="12"/>
        <w:adjustRightInd w:val="0"/>
        <w:snapToGrid w:val="0"/>
        <w:spacing w:line="440" w:lineRule="exact"/>
        <w:jc w:val="left"/>
        <w:rPr>
          <w:sz w:val="24"/>
        </w:rPr>
      </w:pPr>
      <w:r>
        <w:rPr>
          <w:rFonts w:hint="eastAsia"/>
          <w:sz w:val="24"/>
        </w:rPr>
        <w:t>一、主要职责</w:t>
      </w:r>
    </w:p>
    <w:p w14:paraId="25AE3EE8">
      <w:pPr>
        <w:pStyle w:val="12"/>
        <w:adjustRightInd w:val="0"/>
        <w:snapToGrid w:val="0"/>
        <w:spacing w:line="440" w:lineRule="exact"/>
        <w:jc w:val="left"/>
      </w:pPr>
      <w:r>
        <w:rPr>
          <w:rFonts w:hint="eastAsia"/>
          <w:sz w:val="24"/>
        </w:rPr>
        <w:t>二、机构设置</w:t>
      </w:r>
    </w:p>
    <w:p w14:paraId="27FB1BE0">
      <w:pPr>
        <w:pStyle w:val="11"/>
        <w:adjustRightInd w:val="0"/>
        <w:snapToGrid w:val="0"/>
        <w:spacing w:before="0" w:line="440" w:lineRule="exact"/>
        <w:jc w:val="left"/>
        <w:rPr>
          <w:sz w:val="24"/>
          <w:szCs w:val="24"/>
        </w:rPr>
      </w:pPr>
      <w:r>
        <w:rPr>
          <w:rFonts w:hint="eastAsia"/>
          <w:sz w:val="24"/>
        </w:rPr>
        <w:t>第二部分 2023年度单位决算情况说明</w:t>
      </w:r>
    </w:p>
    <w:p w14:paraId="5C795FAB">
      <w:pPr>
        <w:pStyle w:val="12"/>
        <w:adjustRightInd w:val="0"/>
        <w:snapToGrid w:val="0"/>
        <w:spacing w:line="440" w:lineRule="exact"/>
        <w:jc w:val="left"/>
        <w:rPr>
          <w:rFonts w:ascii="仿宋" w:hAnsi="仿宋" w:eastAsia="仿宋" w:cstheme="minorBidi"/>
          <w:sz w:val="24"/>
        </w:rPr>
      </w:pPr>
      <w:r>
        <w:rPr>
          <w:rFonts w:hint="eastAsia"/>
          <w:sz w:val="24"/>
        </w:rPr>
        <w:t>一、收入支出决算总体情况说明</w:t>
      </w:r>
    </w:p>
    <w:p w14:paraId="7B778270">
      <w:pPr>
        <w:pStyle w:val="12"/>
        <w:adjustRightInd w:val="0"/>
        <w:snapToGrid w:val="0"/>
        <w:spacing w:line="440" w:lineRule="exact"/>
        <w:jc w:val="left"/>
        <w:rPr>
          <w:rFonts w:ascii="仿宋" w:hAnsi="仿宋" w:eastAsia="仿宋" w:cstheme="minorBidi"/>
          <w:sz w:val="24"/>
        </w:rPr>
      </w:pPr>
      <w:r>
        <w:rPr>
          <w:rFonts w:hint="eastAsia"/>
          <w:sz w:val="24"/>
        </w:rPr>
        <w:t>二、收入决算情况说明</w:t>
      </w:r>
    </w:p>
    <w:p w14:paraId="0CD94D4E">
      <w:pPr>
        <w:pStyle w:val="12"/>
        <w:adjustRightInd w:val="0"/>
        <w:snapToGrid w:val="0"/>
        <w:spacing w:line="440" w:lineRule="exact"/>
        <w:jc w:val="left"/>
        <w:rPr>
          <w:rFonts w:ascii="仿宋" w:hAnsi="仿宋" w:eastAsia="仿宋" w:cstheme="minorBidi"/>
          <w:sz w:val="24"/>
        </w:rPr>
      </w:pPr>
      <w:r>
        <w:rPr>
          <w:rFonts w:hint="eastAsia"/>
          <w:sz w:val="24"/>
        </w:rPr>
        <w:t>三、支出决算情况说明</w:t>
      </w:r>
    </w:p>
    <w:p w14:paraId="69BCBF6E">
      <w:pPr>
        <w:pStyle w:val="12"/>
        <w:adjustRightInd w:val="0"/>
        <w:snapToGrid w:val="0"/>
        <w:spacing w:line="440" w:lineRule="exact"/>
        <w:jc w:val="left"/>
        <w:rPr>
          <w:rFonts w:ascii="仿宋" w:hAnsi="仿宋" w:eastAsia="仿宋" w:cstheme="minorBidi"/>
          <w:sz w:val="24"/>
        </w:rPr>
      </w:pPr>
      <w:r>
        <w:rPr>
          <w:rFonts w:hint="eastAsia"/>
          <w:sz w:val="24"/>
        </w:rPr>
        <w:t>四、财政拨款收入支出决算总体情况说明</w:t>
      </w:r>
    </w:p>
    <w:p w14:paraId="10E7AE10">
      <w:pPr>
        <w:pStyle w:val="12"/>
        <w:adjustRightInd w:val="0"/>
        <w:snapToGrid w:val="0"/>
        <w:spacing w:line="440" w:lineRule="exact"/>
        <w:jc w:val="left"/>
        <w:rPr>
          <w:rFonts w:ascii="仿宋" w:hAnsi="仿宋" w:eastAsia="仿宋" w:cstheme="minorBidi"/>
          <w:sz w:val="24"/>
        </w:rPr>
      </w:pPr>
      <w:r>
        <w:rPr>
          <w:rFonts w:hint="eastAsia"/>
          <w:sz w:val="24"/>
        </w:rPr>
        <w:t>五、一般公共预算财政拨款支出决算情况说明</w:t>
      </w:r>
    </w:p>
    <w:p w14:paraId="5F2F9F49">
      <w:pPr>
        <w:pStyle w:val="12"/>
        <w:adjustRightInd w:val="0"/>
        <w:snapToGrid w:val="0"/>
        <w:spacing w:line="440" w:lineRule="exact"/>
        <w:jc w:val="left"/>
        <w:rPr>
          <w:rFonts w:ascii="仿宋" w:hAnsi="仿宋" w:eastAsia="仿宋" w:cstheme="minorBidi"/>
          <w:sz w:val="24"/>
        </w:rPr>
      </w:pPr>
      <w:r>
        <w:rPr>
          <w:rFonts w:hint="eastAsia"/>
          <w:sz w:val="24"/>
        </w:rPr>
        <w:t>六、一般公共预算财政拨款基本支出决算情况说明</w:t>
      </w:r>
    </w:p>
    <w:p w14:paraId="1D7A782E">
      <w:pPr>
        <w:pStyle w:val="12"/>
        <w:adjustRightInd w:val="0"/>
        <w:snapToGrid w:val="0"/>
        <w:spacing w:line="440" w:lineRule="exact"/>
        <w:jc w:val="left"/>
        <w:rPr>
          <w:rFonts w:ascii="仿宋" w:hAnsi="仿宋" w:eastAsia="仿宋" w:cstheme="minorBidi"/>
          <w:sz w:val="24"/>
        </w:rPr>
      </w:pPr>
      <w:r>
        <w:rPr>
          <w:rFonts w:hint="eastAsia"/>
          <w:sz w:val="24"/>
        </w:rPr>
        <w:t>七、财政拨款“三公”经费支出决算情况说明</w:t>
      </w:r>
    </w:p>
    <w:p w14:paraId="46B2993C">
      <w:pPr>
        <w:pStyle w:val="12"/>
        <w:adjustRightInd w:val="0"/>
        <w:snapToGrid w:val="0"/>
        <w:spacing w:line="440" w:lineRule="exact"/>
        <w:jc w:val="left"/>
        <w:rPr>
          <w:rFonts w:ascii="仿宋" w:hAnsi="仿宋" w:eastAsia="仿宋" w:cstheme="minorBidi"/>
          <w:sz w:val="24"/>
        </w:rPr>
      </w:pPr>
      <w:r>
        <w:rPr>
          <w:rFonts w:hint="eastAsia"/>
          <w:sz w:val="24"/>
        </w:rPr>
        <w:t>八、政府性基金预算支出决算情况说明</w:t>
      </w:r>
    </w:p>
    <w:p w14:paraId="70DA6D1C">
      <w:pPr>
        <w:pStyle w:val="12"/>
        <w:adjustRightInd w:val="0"/>
        <w:snapToGrid w:val="0"/>
        <w:spacing w:line="440" w:lineRule="exact"/>
        <w:jc w:val="left"/>
        <w:rPr>
          <w:sz w:val="24"/>
        </w:rPr>
      </w:pPr>
      <w:r>
        <w:rPr>
          <w:rFonts w:hint="eastAsia"/>
          <w:sz w:val="24"/>
        </w:rPr>
        <w:t>九、国有资本经营预算支出决算情况说明</w:t>
      </w:r>
    </w:p>
    <w:p w14:paraId="6DDF9D05">
      <w:pPr>
        <w:pStyle w:val="12"/>
        <w:adjustRightInd w:val="0"/>
        <w:snapToGrid w:val="0"/>
        <w:spacing w:line="440" w:lineRule="exact"/>
        <w:jc w:val="left"/>
        <w:rPr>
          <w:sz w:val="24"/>
        </w:rPr>
      </w:pPr>
      <w:r>
        <w:rPr>
          <w:rFonts w:hint="eastAsia"/>
          <w:sz w:val="24"/>
        </w:rPr>
        <w:t>十、其他重要事项的情况说明</w:t>
      </w:r>
    </w:p>
    <w:p w14:paraId="633695F7">
      <w:pPr>
        <w:pStyle w:val="11"/>
        <w:adjustRightInd w:val="0"/>
        <w:snapToGrid w:val="0"/>
        <w:spacing w:before="0" w:line="440" w:lineRule="exact"/>
        <w:jc w:val="left"/>
        <w:rPr>
          <w:rFonts w:cstheme="minorBidi"/>
          <w:sz w:val="24"/>
          <w:szCs w:val="24"/>
        </w:rPr>
      </w:pPr>
      <w:r>
        <w:rPr>
          <w:rFonts w:hint="eastAsia"/>
          <w:sz w:val="24"/>
        </w:rPr>
        <w:t>第三部分</w:t>
      </w:r>
      <w:r>
        <w:rPr>
          <w:sz w:val="24"/>
        </w:rPr>
        <w:t xml:space="preserve"> </w:t>
      </w:r>
      <w:r>
        <w:rPr>
          <w:rFonts w:hint="eastAsia"/>
          <w:sz w:val="24"/>
        </w:rPr>
        <w:t>名词解释</w:t>
      </w:r>
    </w:p>
    <w:p w14:paraId="6A23345B">
      <w:pPr>
        <w:pStyle w:val="11"/>
        <w:adjustRightInd w:val="0"/>
        <w:snapToGrid w:val="0"/>
        <w:spacing w:before="0" w:line="440" w:lineRule="exact"/>
        <w:jc w:val="left"/>
        <w:rPr>
          <w:rFonts w:cstheme="minorBidi"/>
          <w:sz w:val="24"/>
          <w:szCs w:val="24"/>
        </w:rPr>
      </w:pPr>
      <w:r>
        <w:rPr>
          <w:rFonts w:hint="eastAsia"/>
          <w:sz w:val="24"/>
        </w:rPr>
        <w:t>第四部分</w:t>
      </w:r>
      <w:r>
        <w:rPr>
          <w:sz w:val="24"/>
        </w:rPr>
        <w:t xml:space="preserve"> </w:t>
      </w:r>
      <w:r>
        <w:rPr>
          <w:rFonts w:hint="eastAsia"/>
          <w:sz w:val="24"/>
        </w:rPr>
        <w:t>附件</w:t>
      </w:r>
    </w:p>
    <w:p w14:paraId="14D0F925">
      <w:pPr>
        <w:pStyle w:val="11"/>
        <w:adjustRightInd w:val="0"/>
        <w:snapToGrid w:val="0"/>
        <w:spacing w:before="0" w:line="440" w:lineRule="exact"/>
        <w:jc w:val="left"/>
        <w:rPr>
          <w:rFonts w:cstheme="minorBidi"/>
          <w:sz w:val="24"/>
          <w:szCs w:val="24"/>
        </w:rPr>
      </w:pPr>
      <w:r>
        <w:rPr>
          <w:rFonts w:hint="eastAsia"/>
          <w:sz w:val="24"/>
        </w:rPr>
        <w:t>第五部分</w:t>
      </w:r>
      <w:r>
        <w:rPr>
          <w:sz w:val="24"/>
        </w:rPr>
        <w:t xml:space="preserve"> </w:t>
      </w:r>
      <w:r>
        <w:rPr>
          <w:rFonts w:hint="eastAsia"/>
          <w:sz w:val="24"/>
        </w:rPr>
        <w:t>附表</w:t>
      </w:r>
    </w:p>
    <w:p w14:paraId="636D63AA">
      <w:pPr>
        <w:pStyle w:val="12"/>
        <w:adjustRightInd w:val="0"/>
        <w:snapToGrid w:val="0"/>
        <w:spacing w:line="440" w:lineRule="exact"/>
        <w:jc w:val="left"/>
        <w:rPr>
          <w:sz w:val="24"/>
        </w:rPr>
      </w:pPr>
      <w:r>
        <w:rPr>
          <w:rFonts w:hint="eastAsia"/>
          <w:sz w:val="24"/>
        </w:rPr>
        <w:t>一、收入支出决算总表</w:t>
      </w:r>
    </w:p>
    <w:p w14:paraId="7FA8812E">
      <w:pPr>
        <w:pStyle w:val="12"/>
        <w:adjustRightInd w:val="0"/>
        <w:snapToGrid w:val="0"/>
        <w:spacing w:line="440" w:lineRule="exact"/>
        <w:jc w:val="left"/>
        <w:rPr>
          <w:sz w:val="24"/>
        </w:rPr>
      </w:pPr>
      <w:r>
        <w:rPr>
          <w:rFonts w:hint="eastAsia"/>
          <w:sz w:val="24"/>
        </w:rPr>
        <w:t>二、收入决算表</w:t>
      </w:r>
    </w:p>
    <w:p w14:paraId="7C21206A">
      <w:pPr>
        <w:pStyle w:val="12"/>
        <w:adjustRightInd w:val="0"/>
        <w:snapToGrid w:val="0"/>
        <w:spacing w:line="440" w:lineRule="exact"/>
        <w:jc w:val="left"/>
        <w:rPr>
          <w:sz w:val="24"/>
        </w:rPr>
      </w:pPr>
      <w:r>
        <w:rPr>
          <w:rFonts w:hint="eastAsia"/>
          <w:sz w:val="24"/>
        </w:rPr>
        <w:t>三、支出决算表</w:t>
      </w:r>
    </w:p>
    <w:p w14:paraId="5126B368">
      <w:pPr>
        <w:pStyle w:val="12"/>
        <w:adjustRightInd w:val="0"/>
        <w:snapToGrid w:val="0"/>
        <w:spacing w:line="440" w:lineRule="exact"/>
        <w:jc w:val="left"/>
        <w:rPr>
          <w:sz w:val="24"/>
        </w:rPr>
      </w:pPr>
      <w:r>
        <w:rPr>
          <w:rFonts w:hint="eastAsia"/>
          <w:sz w:val="24"/>
        </w:rPr>
        <w:t>四、财政拨款收入支出决算总表</w:t>
      </w:r>
    </w:p>
    <w:p w14:paraId="7792B469">
      <w:pPr>
        <w:pStyle w:val="12"/>
        <w:adjustRightInd w:val="0"/>
        <w:snapToGrid w:val="0"/>
        <w:spacing w:line="440" w:lineRule="exact"/>
        <w:jc w:val="left"/>
        <w:rPr>
          <w:sz w:val="24"/>
        </w:rPr>
      </w:pPr>
      <w:r>
        <w:rPr>
          <w:rFonts w:hint="eastAsia"/>
          <w:sz w:val="24"/>
        </w:rPr>
        <w:t>五、财政拨款支出决算明细表</w:t>
      </w:r>
    </w:p>
    <w:p w14:paraId="17289133">
      <w:pPr>
        <w:pStyle w:val="12"/>
        <w:adjustRightInd w:val="0"/>
        <w:snapToGrid w:val="0"/>
        <w:spacing w:line="440" w:lineRule="exact"/>
        <w:jc w:val="left"/>
        <w:rPr>
          <w:sz w:val="24"/>
        </w:rPr>
      </w:pPr>
      <w:r>
        <w:rPr>
          <w:rFonts w:hint="eastAsia"/>
          <w:sz w:val="24"/>
        </w:rPr>
        <w:t>六、一般公共预算财政拨款支出决算表</w:t>
      </w:r>
    </w:p>
    <w:p w14:paraId="79452281">
      <w:pPr>
        <w:pStyle w:val="12"/>
        <w:adjustRightInd w:val="0"/>
        <w:snapToGrid w:val="0"/>
        <w:spacing w:line="440" w:lineRule="exact"/>
        <w:jc w:val="left"/>
        <w:rPr>
          <w:sz w:val="24"/>
        </w:rPr>
      </w:pPr>
      <w:r>
        <w:rPr>
          <w:rFonts w:hint="eastAsia"/>
          <w:sz w:val="24"/>
        </w:rPr>
        <w:t>七、一般公共预算财政拨款支出决算明细表</w:t>
      </w:r>
    </w:p>
    <w:p w14:paraId="576B63D9">
      <w:pPr>
        <w:pStyle w:val="12"/>
        <w:adjustRightInd w:val="0"/>
        <w:snapToGrid w:val="0"/>
        <w:spacing w:line="440" w:lineRule="exact"/>
        <w:jc w:val="left"/>
        <w:rPr>
          <w:sz w:val="24"/>
        </w:rPr>
      </w:pPr>
      <w:r>
        <w:rPr>
          <w:rFonts w:hint="eastAsia"/>
          <w:sz w:val="24"/>
        </w:rPr>
        <w:t>八、一般公共预算财政拨款基本支出决算明细表</w:t>
      </w:r>
    </w:p>
    <w:p w14:paraId="7795834C">
      <w:pPr>
        <w:pStyle w:val="12"/>
        <w:adjustRightInd w:val="0"/>
        <w:snapToGrid w:val="0"/>
        <w:spacing w:line="440" w:lineRule="exact"/>
        <w:jc w:val="left"/>
        <w:rPr>
          <w:sz w:val="24"/>
        </w:rPr>
      </w:pPr>
      <w:r>
        <w:rPr>
          <w:rFonts w:hint="eastAsia"/>
          <w:sz w:val="24"/>
        </w:rPr>
        <w:t>九、一般公共预算财政拨款项目支出决算表</w:t>
      </w:r>
    </w:p>
    <w:p w14:paraId="45F225C6">
      <w:pPr>
        <w:pStyle w:val="12"/>
        <w:adjustRightInd w:val="0"/>
        <w:snapToGrid w:val="0"/>
        <w:spacing w:line="440" w:lineRule="exact"/>
        <w:jc w:val="left"/>
        <w:rPr>
          <w:sz w:val="24"/>
        </w:rPr>
      </w:pPr>
      <w:r>
        <w:rPr>
          <w:rFonts w:hint="eastAsia"/>
          <w:sz w:val="24"/>
        </w:rPr>
        <w:t>十、政府性基金预算财政拨款收入支出决算表</w:t>
      </w:r>
    </w:p>
    <w:p w14:paraId="6386C589">
      <w:pPr>
        <w:pStyle w:val="12"/>
        <w:adjustRightInd w:val="0"/>
        <w:snapToGrid w:val="0"/>
        <w:spacing w:line="440" w:lineRule="exact"/>
        <w:jc w:val="left"/>
        <w:rPr>
          <w:sz w:val="24"/>
        </w:rPr>
      </w:pPr>
      <w:r>
        <w:rPr>
          <w:rFonts w:hint="eastAsia"/>
          <w:sz w:val="24"/>
        </w:rPr>
        <w:t>十一、国有资本经营预算财政拨款收入支出决算表</w:t>
      </w:r>
    </w:p>
    <w:p w14:paraId="6DE861E8">
      <w:pPr>
        <w:pStyle w:val="12"/>
        <w:adjustRightInd w:val="0"/>
        <w:snapToGrid w:val="0"/>
        <w:spacing w:line="440" w:lineRule="exact"/>
        <w:jc w:val="left"/>
        <w:rPr>
          <w:sz w:val="24"/>
        </w:rPr>
      </w:pPr>
      <w:r>
        <w:rPr>
          <w:rFonts w:hint="eastAsia"/>
          <w:sz w:val="24"/>
        </w:rPr>
        <w:t>十二、国有资本经营预算财政拨款支出决算表</w:t>
      </w:r>
    </w:p>
    <w:p w14:paraId="013E99D0">
      <w:pPr>
        <w:pStyle w:val="12"/>
        <w:adjustRightInd w:val="0"/>
        <w:snapToGrid w:val="0"/>
        <w:spacing w:line="440" w:lineRule="exact"/>
        <w:jc w:val="left"/>
        <w:rPr>
          <w:sz w:val="24"/>
        </w:rPr>
      </w:pPr>
      <w:r>
        <w:rPr>
          <w:rFonts w:hint="eastAsia"/>
          <w:sz w:val="24"/>
        </w:rPr>
        <w:t>十三、财政拨款“三公”经费支出决算表</w:t>
      </w:r>
    </w:p>
    <w:p w14:paraId="3B476C8A">
      <w:pPr>
        <w:widowControl/>
        <w:adjustRightInd w:val="0"/>
        <w:snapToGrid w:val="0"/>
        <w:spacing w:line="440" w:lineRule="exact"/>
        <w:ind w:firstLine="1320" w:firstLineChars="550"/>
        <w:jc w:val="left"/>
        <w:rPr>
          <w:rFonts w:ascii="仿宋" w:hAnsi="仿宋" w:eastAsia="仿宋"/>
          <w:sz w:val="24"/>
        </w:rPr>
      </w:pPr>
      <w:r>
        <w:rPr>
          <w:rFonts w:ascii="仿宋" w:hAnsi="仿宋" w:eastAsia="仿宋"/>
          <w:sz w:val="24"/>
        </w:rPr>
        <w:t>(注：</w:t>
      </w:r>
      <w:r>
        <w:rPr>
          <w:rFonts w:hint="eastAsia" w:ascii="仿宋" w:hAnsi="仿宋" w:eastAsia="仿宋"/>
          <w:sz w:val="24"/>
        </w:rPr>
        <w:t>请单位根据实际注明页码</w:t>
      </w:r>
      <w:r>
        <w:rPr>
          <w:rFonts w:ascii="仿宋" w:hAnsi="仿宋" w:eastAsia="仿宋"/>
          <w:sz w:val="24"/>
        </w:rPr>
        <w:t>)</w:t>
      </w:r>
    </w:p>
    <w:p w14:paraId="091C8048">
      <w:pPr>
        <w:widowControl/>
        <w:spacing w:line="440" w:lineRule="exact"/>
        <w:jc w:val="left"/>
        <w:rPr>
          <w:rFonts w:ascii="仿宋" w:hAnsi="仿宋" w:eastAsia="仿宋"/>
          <w:bCs/>
          <w:kern w:val="44"/>
          <w:sz w:val="24"/>
        </w:rPr>
      </w:pPr>
      <w:bookmarkStart w:id="12" w:name="_Toc15377196"/>
      <w:bookmarkStart w:id="13" w:name="_Toc15396599"/>
      <w:r>
        <w:rPr>
          <w:rFonts w:ascii="仿宋" w:hAnsi="仿宋" w:eastAsia="仿宋"/>
          <w:b/>
          <w:sz w:val="24"/>
        </w:rPr>
        <w:br w:type="page"/>
      </w:r>
    </w:p>
    <w:p w14:paraId="115445C3">
      <w:pPr>
        <w:pStyle w:val="2"/>
        <w:jc w:val="center"/>
        <w:rPr>
          <w:rStyle w:val="28"/>
          <w:rFonts w:ascii="黑体" w:hAnsi="黑体" w:eastAsia="黑体"/>
          <w:b/>
          <w:bCs w:val="0"/>
        </w:rPr>
      </w:pPr>
      <w:r>
        <w:rPr>
          <w:rFonts w:hint="eastAsia" w:ascii="黑体" w:hAnsi="黑体" w:eastAsia="黑体"/>
          <w:b w:val="0"/>
        </w:rPr>
        <w:t>第一部分 单位</w:t>
      </w:r>
      <w:r>
        <w:rPr>
          <w:rStyle w:val="28"/>
          <w:rFonts w:hint="eastAsia" w:ascii="黑体" w:hAnsi="黑体" w:eastAsia="黑体"/>
          <w:b w:val="0"/>
          <w:bCs w:val="0"/>
        </w:rPr>
        <w:t>概况</w:t>
      </w:r>
      <w:bookmarkEnd w:id="12"/>
      <w:bookmarkEnd w:id="13"/>
    </w:p>
    <w:p w14:paraId="3E0C3172">
      <w:pPr>
        <w:widowControl/>
        <w:jc w:val="left"/>
        <w:rPr>
          <w:rFonts w:ascii="黑体" w:eastAsia="黑体"/>
          <w:sz w:val="32"/>
          <w:szCs w:val="32"/>
        </w:rPr>
      </w:pPr>
    </w:p>
    <w:p w14:paraId="1F54C63E">
      <w:pPr>
        <w:pStyle w:val="3"/>
        <w:numPr>
          <w:ilvl w:val="0"/>
          <w:numId w:val="1"/>
        </w:numPr>
        <w:rPr>
          <w:rStyle w:val="29"/>
          <w:rFonts w:ascii="黑体" w:hAnsi="黑体" w:eastAsia="黑体"/>
          <w:b w:val="0"/>
          <w:bCs w:val="0"/>
        </w:rPr>
      </w:pPr>
      <w:bookmarkStart w:id="14" w:name="_Toc15377197"/>
      <w:bookmarkStart w:id="15" w:name="_Toc15396600"/>
      <w:r>
        <w:rPr>
          <w:rStyle w:val="29"/>
          <w:rFonts w:hint="eastAsia" w:ascii="黑体" w:hAnsi="黑体" w:eastAsia="黑体"/>
          <w:b w:val="0"/>
          <w:bCs w:val="0"/>
        </w:rPr>
        <w:t>主要职责</w:t>
      </w:r>
    </w:p>
    <w:p w14:paraId="5FAA409C">
      <w:pPr>
        <w:pStyle w:val="34"/>
        <w:keepNext w:val="0"/>
        <w:keepLines w:val="0"/>
        <w:widowControl/>
        <w:suppressLineNumbers w:val="0"/>
        <w:shd w:val="clear" w:fill="FFFFFF"/>
        <w:autoSpaceDE w:val="0"/>
        <w:autoSpaceDN/>
        <w:spacing w:line="560" w:lineRule="exact"/>
        <w:rPr>
          <w:rFonts w:hint="eastAsia" w:ascii="仿宋_GB2312" w:eastAsia="仿宋_GB2312" w:cs="仿宋_GB2312"/>
          <w:kern w:val="0"/>
          <w:sz w:val="32"/>
          <w:szCs w:val="32"/>
          <w:shd w:val="clear" w:fill="FFFFFF"/>
        </w:rPr>
      </w:pPr>
      <w:r>
        <w:rPr>
          <w:rFonts w:hint="eastAsia" w:ascii="仿宋_GB2312" w:eastAsia="仿宋_GB2312" w:cs="仿宋_GB2312"/>
          <w:kern w:val="0"/>
          <w:sz w:val="32"/>
          <w:szCs w:val="32"/>
          <w:shd w:val="clear" w:fill="FFFFFF"/>
        </w:rPr>
        <w:t xml:space="preserve"> </w:t>
      </w:r>
      <w:r>
        <w:rPr>
          <w:rFonts w:hint="eastAsia" w:ascii="仿宋_GB2312" w:eastAsia="仿宋_GB2312" w:cs="仿宋_GB2312"/>
          <w:kern w:val="0"/>
          <w:sz w:val="32"/>
          <w:szCs w:val="32"/>
          <w:shd w:val="clear" w:fill="FFFFFF"/>
          <w:lang w:val="en-US" w:eastAsia="zh-CN"/>
        </w:rPr>
        <w:t xml:space="preserve">  </w:t>
      </w:r>
      <w:r>
        <w:rPr>
          <w:rFonts w:hint="eastAsia" w:ascii="仿宋_GB2312" w:eastAsia="仿宋_GB2312" w:cs="仿宋_GB2312"/>
          <w:kern w:val="0"/>
          <w:sz w:val="32"/>
          <w:szCs w:val="32"/>
          <w:shd w:val="clear" w:fill="FFFFFF"/>
        </w:rPr>
        <w:t xml:space="preserve">州财政局贯彻落实党中央关于财经工作的方针政策和省委、州委的决策部署,在履行职责过程中坚持和加强党对财政工作的集中统一领导。主要职责是: </w:t>
      </w:r>
    </w:p>
    <w:p w14:paraId="602A782D">
      <w:pPr>
        <w:pStyle w:val="34"/>
        <w:keepNext w:val="0"/>
        <w:keepLines w:val="0"/>
        <w:widowControl/>
        <w:suppressLineNumbers w:val="0"/>
        <w:shd w:val="clear" w:fill="FFFFFF"/>
        <w:autoSpaceDE w:val="0"/>
        <w:autoSpaceDN/>
        <w:spacing w:line="560" w:lineRule="exact"/>
        <w:rPr>
          <w:rFonts w:hint="eastAsia" w:ascii="仿宋_GB2312" w:eastAsia="仿宋_GB2312" w:cs="仿宋_GB2312"/>
          <w:kern w:val="0"/>
          <w:sz w:val="32"/>
          <w:szCs w:val="32"/>
          <w:shd w:val="clear" w:fill="FFFFFF"/>
        </w:rPr>
      </w:pPr>
      <w:r>
        <w:rPr>
          <w:rFonts w:hint="eastAsia" w:ascii="仿宋_GB2312" w:eastAsia="仿宋_GB2312" w:cs="仿宋_GB2312"/>
          <w:kern w:val="0"/>
          <w:sz w:val="32"/>
          <w:szCs w:val="32"/>
          <w:shd w:val="clear" w:fill="FFFFFF"/>
        </w:rPr>
        <w:t>1、拟订全州财税发展战略、规划、政策和改革方案并组织实施。分析预测宏观经济形势,参与制定宏观经济政策,提出运用财税政策实施宏观调控和综合平衡社会财力的建议。拟订州与县(市、区)、国家与企业的分配政策,完善鼓励公益事业发展的财税政策。</w:t>
      </w:r>
    </w:p>
    <w:p w14:paraId="7FE536D4">
      <w:pPr>
        <w:pStyle w:val="34"/>
        <w:keepNext w:val="0"/>
        <w:keepLines w:val="0"/>
        <w:widowControl/>
        <w:suppressLineNumbers w:val="0"/>
        <w:shd w:val="clear" w:fill="FFFFFF"/>
        <w:autoSpaceDE w:val="0"/>
        <w:autoSpaceDN/>
        <w:spacing w:line="560" w:lineRule="exact"/>
        <w:rPr>
          <w:rFonts w:hint="eastAsia" w:ascii="仿宋_GB2312" w:eastAsia="仿宋_GB2312" w:cs="仿宋_GB2312"/>
          <w:kern w:val="0"/>
          <w:sz w:val="32"/>
          <w:szCs w:val="32"/>
          <w:shd w:val="clear" w:fill="FFFFFF"/>
        </w:rPr>
      </w:pPr>
      <w:r>
        <w:rPr>
          <w:rFonts w:hint="eastAsia" w:ascii="仿宋_GB2312" w:eastAsia="仿宋_GB2312" w:cs="仿宋_GB2312"/>
          <w:kern w:val="0"/>
          <w:sz w:val="32"/>
          <w:szCs w:val="32"/>
          <w:shd w:val="clear" w:fill="FFFFFF"/>
        </w:rPr>
        <w:t>2、贯彻执行财政、税收、财务、会计管理的法律法规和规章。提出全州性财税立法规划建议,负责组织起草财税地方性法规、规章草案并组织实施。按照管理权限管理全州税政事项。</w:t>
      </w:r>
    </w:p>
    <w:p w14:paraId="34BD2055">
      <w:pPr>
        <w:pStyle w:val="34"/>
        <w:keepNext w:val="0"/>
        <w:keepLines w:val="0"/>
        <w:widowControl/>
        <w:suppressLineNumbers w:val="0"/>
        <w:shd w:val="clear" w:fill="FFFFFF"/>
        <w:autoSpaceDE w:val="0"/>
        <w:autoSpaceDN/>
        <w:spacing w:line="560" w:lineRule="exact"/>
        <w:rPr>
          <w:rFonts w:hint="eastAsia" w:ascii="仿宋_GB2312" w:eastAsia="仿宋_GB2312" w:cs="仿宋_GB2312"/>
          <w:kern w:val="0"/>
          <w:sz w:val="32"/>
          <w:szCs w:val="32"/>
          <w:shd w:val="clear" w:fill="FFFFFF"/>
        </w:rPr>
      </w:pPr>
      <w:r>
        <w:rPr>
          <w:rFonts w:hint="eastAsia" w:ascii="仿宋_GB2312" w:eastAsia="仿宋_GB2312" w:cs="仿宋_GB2312"/>
          <w:kern w:val="0"/>
          <w:sz w:val="32"/>
          <w:szCs w:val="32"/>
          <w:shd w:val="clear" w:fill="FFFFFF"/>
        </w:rPr>
        <w:t>3、负责管理各项财政收支。编制年度州级预决算草案并组织执行。组织制定经费开支标准、定额,审核批复部门(单位)年度预决算。受州政府委托,向州人大</w:t>
      </w:r>
      <w:r>
        <w:rPr>
          <w:rFonts w:hint="eastAsia" w:ascii="宋体" w:hAnsi="宋体" w:eastAsia="宋体" w:cs="宋体"/>
          <w:kern w:val="0"/>
          <w:sz w:val="24"/>
          <w:szCs w:val="24"/>
          <w:shd w:val="clear" w:fill="FFFFFF"/>
        </w:rPr>
        <w:t>及其常委会报告财政预</w:t>
      </w:r>
      <w:r>
        <w:rPr>
          <w:rFonts w:hint="eastAsia" w:ascii="仿宋_GB2312" w:eastAsia="仿宋_GB2312" w:cs="仿宋_GB2312"/>
          <w:kern w:val="0"/>
          <w:sz w:val="32"/>
          <w:szCs w:val="32"/>
          <w:shd w:val="clear" w:fill="FFFFFF"/>
        </w:rPr>
        <w:t>算、执行和决算等情况。负责政府投资基金州级财政出资的资产管理。负责州级预决算公开。负责全面实施预算绩效管理。</w:t>
      </w:r>
    </w:p>
    <w:p w14:paraId="15450383">
      <w:pPr>
        <w:pStyle w:val="34"/>
        <w:keepNext w:val="0"/>
        <w:keepLines w:val="0"/>
        <w:widowControl/>
        <w:suppressLineNumbers w:val="0"/>
        <w:shd w:val="clear" w:fill="FFFFFF"/>
        <w:autoSpaceDE w:val="0"/>
        <w:autoSpaceDN/>
        <w:spacing w:line="560" w:lineRule="exact"/>
        <w:rPr>
          <w:rFonts w:hint="eastAsia" w:ascii="仿宋_GB2312" w:eastAsia="仿宋_GB2312" w:cs="仿宋_GB2312"/>
          <w:kern w:val="0"/>
          <w:sz w:val="32"/>
          <w:szCs w:val="32"/>
          <w:shd w:val="clear" w:fill="FFFFFF"/>
        </w:rPr>
      </w:pPr>
      <w:r>
        <w:rPr>
          <w:rFonts w:hint="eastAsia" w:ascii="仿宋_GB2312" w:eastAsia="仿宋_GB2312" w:cs="仿宋_GB2312"/>
          <w:kern w:val="0"/>
          <w:sz w:val="32"/>
          <w:szCs w:val="32"/>
          <w:shd w:val="clear" w:fill="FFFFFF"/>
        </w:rPr>
        <w:t>4、按分工负责政府非税收入管理。负责政府性基金管理,按规定管理行政事业性收费等其他非税收入。管理财政票据。制定彩票管理政策和有关办法,监管彩票市场,按规定管理彩票资金。</w:t>
      </w:r>
    </w:p>
    <w:p w14:paraId="0F3EC597">
      <w:pPr>
        <w:pStyle w:val="34"/>
        <w:keepNext w:val="0"/>
        <w:keepLines w:val="0"/>
        <w:widowControl/>
        <w:suppressLineNumbers w:val="0"/>
        <w:shd w:val="clear" w:fill="FFFFFF"/>
        <w:autoSpaceDE w:val="0"/>
        <w:autoSpaceDN/>
        <w:spacing w:line="560" w:lineRule="exact"/>
        <w:rPr>
          <w:rFonts w:hint="eastAsia" w:ascii="仿宋_GB2312" w:eastAsia="仿宋_GB2312" w:cs="仿宋_GB2312"/>
          <w:kern w:val="0"/>
          <w:sz w:val="32"/>
          <w:szCs w:val="32"/>
          <w:shd w:val="clear" w:fill="FFFFFF"/>
        </w:rPr>
      </w:pPr>
      <w:r>
        <w:rPr>
          <w:rFonts w:hint="eastAsia" w:ascii="仿宋_GB2312" w:eastAsia="仿宋_GB2312" w:cs="仿宋_GB2312"/>
          <w:kern w:val="0"/>
          <w:sz w:val="32"/>
          <w:szCs w:val="32"/>
          <w:shd w:val="clear" w:fill="FFFFFF"/>
        </w:rPr>
        <w:t>5、组织制定全州国库管理制度、国库集中收付制度,指导和监督国库业务,开展国库现金管理工作。贯彻执行政府财务报告编制办法并组织实施。负责制定政府采购制度并监督管理。</w:t>
      </w:r>
    </w:p>
    <w:p w14:paraId="6D48977E">
      <w:pPr>
        <w:pStyle w:val="34"/>
        <w:keepNext w:val="0"/>
        <w:keepLines w:val="0"/>
        <w:widowControl/>
        <w:suppressLineNumbers w:val="0"/>
        <w:shd w:val="clear" w:fill="FFFFFF"/>
        <w:autoSpaceDE w:val="0"/>
        <w:autoSpaceDN/>
        <w:spacing w:line="560" w:lineRule="exact"/>
        <w:rPr>
          <w:rFonts w:hint="eastAsia" w:ascii="仿宋_GB2312" w:eastAsia="仿宋_GB2312" w:cs="仿宋_GB2312"/>
          <w:kern w:val="0"/>
          <w:sz w:val="32"/>
          <w:szCs w:val="32"/>
          <w:shd w:val="clear" w:fill="FFFFFF"/>
        </w:rPr>
      </w:pPr>
      <w:r>
        <w:rPr>
          <w:rFonts w:hint="eastAsia" w:ascii="仿宋_GB2312" w:eastAsia="仿宋_GB2312" w:cs="仿宋_GB2312"/>
          <w:kern w:val="0"/>
          <w:sz w:val="32"/>
          <w:szCs w:val="32"/>
          <w:shd w:val="clear" w:fill="FFFFFF"/>
        </w:rPr>
        <w:t>6、贯彻执行地方政府债务管理制度和政策,制定具体管理办法,编制地方政府债余额限额计划,统一管理政府外债,防范财政风险。</w:t>
      </w:r>
    </w:p>
    <w:p w14:paraId="6087626B">
      <w:pPr>
        <w:pStyle w:val="34"/>
        <w:keepNext w:val="0"/>
        <w:keepLines w:val="0"/>
        <w:widowControl/>
        <w:suppressLineNumbers w:val="0"/>
        <w:shd w:val="clear" w:fill="FFFFFF"/>
        <w:autoSpaceDE w:val="0"/>
        <w:autoSpaceDN/>
        <w:spacing w:line="560" w:lineRule="exact"/>
        <w:rPr>
          <w:rFonts w:hint="eastAsia" w:ascii="仿宋_GB2312" w:eastAsia="仿宋_GB2312" w:cs="仿宋_GB2312"/>
          <w:kern w:val="0"/>
          <w:sz w:val="32"/>
          <w:szCs w:val="32"/>
          <w:shd w:val="clear" w:fill="FFFFFF"/>
        </w:rPr>
      </w:pPr>
      <w:r>
        <w:rPr>
          <w:rFonts w:hint="eastAsia" w:ascii="仿宋_GB2312" w:eastAsia="仿宋_GB2312" w:cs="仿宋_GB2312"/>
          <w:kern w:val="0"/>
          <w:sz w:val="32"/>
          <w:szCs w:val="32"/>
          <w:shd w:val="clear" w:fill="FFFFFF"/>
        </w:rPr>
        <w:t>7、牵头编制全州国有资产管理情况报告。根据州政府授权,集中统一履行州级国有金融资本出资人职责。制定州级国有金融资本管理制度。拟订全州行政事业单位国有资产管理制度并组织实施。制定需要全州统一规定的开支标准和支出政策。</w:t>
      </w:r>
    </w:p>
    <w:p w14:paraId="64585680">
      <w:pPr>
        <w:pStyle w:val="34"/>
        <w:keepNext w:val="0"/>
        <w:keepLines w:val="0"/>
        <w:widowControl/>
        <w:suppressLineNumbers w:val="0"/>
        <w:shd w:val="clear" w:fill="FFFFFF"/>
        <w:autoSpaceDE w:val="0"/>
        <w:autoSpaceDN/>
        <w:spacing w:line="560" w:lineRule="exact"/>
        <w:rPr>
          <w:rFonts w:hint="eastAsia" w:ascii="仿宋_GB2312" w:eastAsia="仿宋_GB2312" w:cs="仿宋_GB2312"/>
          <w:kern w:val="0"/>
          <w:sz w:val="32"/>
          <w:szCs w:val="32"/>
          <w:shd w:val="clear" w:fill="FFFFFF"/>
        </w:rPr>
      </w:pPr>
      <w:r>
        <w:rPr>
          <w:rFonts w:hint="eastAsia" w:ascii="仿宋_GB2312" w:eastAsia="仿宋_GB2312" w:cs="仿宋_GB2312"/>
          <w:kern w:val="0"/>
          <w:sz w:val="32"/>
          <w:szCs w:val="32"/>
          <w:shd w:val="clear" w:fill="FFFFFF"/>
        </w:rPr>
        <w:t>8、负责审核并汇总编制全州国有资本经营预决算草案。制定国有资本经营预算制度和办法,收取州本级企业国有资本收益。组织实施企业财务制度,负责财政预算内行政事业单位和社会团体的非贸易外汇和财政预算内的国际收支管理。</w:t>
      </w:r>
    </w:p>
    <w:p w14:paraId="10992681">
      <w:pPr>
        <w:pStyle w:val="34"/>
        <w:keepNext w:val="0"/>
        <w:keepLines w:val="0"/>
        <w:widowControl/>
        <w:suppressLineNumbers w:val="0"/>
        <w:shd w:val="clear" w:fill="FFFFFF"/>
        <w:autoSpaceDE w:val="0"/>
        <w:autoSpaceDN/>
        <w:spacing w:line="560" w:lineRule="exact"/>
        <w:rPr>
          <w:rFonts w:hint="eastAsia" w:ascii="仿宋_GB2312" w:eastAsia="仿宋_GB2312" w:cs="仿宋_GB2312"/>
          <w:kern w:val="0"/>
          <w:sz w:val="32"/>
          <w:szCs w:val="32"/>
          <w:shd w:val="clear" w:fill="FFFFFF"/>
        </w:rPr>
      </w:pPr>
      <w:r>
        <w:rPr>
          <w:rFonts w:hint="eastAsia" w:ascii="仿宋_GB2312" w:eastAsia="仿宋_GB2312" w:cs="仿宋_GB2312"/>
          <w:kern w:val="0"/>
          <w:sz w:val="32"/>
          <w:szCs w:val="32"/>
          <w:shd w:val="clear" w:fill="FFFFFF"/>
        </w:rPr>
        <w:t>9、负责审核并汇总编制全州社会保险基金预决算草案,会同有关部门拟订有关资金(基金)财务管理制度,承担社会保险基金财政监管工作。</w:t>
      </w:r>
    </w:p>
    <w:p w14:paraId="41E51E82">
      <w:pPr>
        <w:pStyle w:val="34"/>
        <w:keepNext w:val="0"/>
        <w:keepLines w:val="0"/>
        <w:widowControl/>
        <w:suppressLineNumbers w:val="0"/>
        <w:shd w:val="clear" w:fill="FFFFFF"/>
        <w:autoSpaceDE w:val="0"/>
        <w:autoSpaceDN/>
        <w:spacing w:line="560" w:lineRule="exact"/>
        <w:rPr>
          <w:rFonts w:hint="eastAsia" w:ascii="仿宋_GB2312" w:eastAsia="仿宋_GB2312" w:cs="仿宋_GB2312"/>
          <w:kern w:val="0"/>
          <w:sz w:val="32"/>
          <w:szCs w:val="32"/>
          <w:shd w:val="clear" w:fill="FFFFFF"/>
        </w:rPr>
      </w:pPr>
      <w:r>
        <w:rPr>
          <w:rFonts w:hint="eastAsia" w:ascii="仿宋_GB2312" w:eastAsia="仿宋_GB2312" w:cs="仿宋_GB2312"/>
          <w:kern w:val="0"/>
          <w:sz w:val="32"/>
          <w:szCs w:val="32"/>
          <w:shd w:val="clear" w:fill="FFFFFF"/>
        </w:rPr>
        <w:t>10、负责办理和监督州级财政的经济发展支出、州级政府性投资项目的财政拨款,负责投资评审管理工作,参与拟订州级基建投资有关政策,制定基建财务管理制度。</w:t>
      </w:r>
    </w:p>
    <w:p w14:paraId="405F3B4B">
      <w:pPr>
        <w:pStyle w:val="34"/>
        <w:keepNext w:val="0"/>
        <w:keepLines w:val="0"/>
        <w:widowControl/>
        <w:suppressLineNumbers w:val="0"/>
        <w:shd w:val="clear" w:fill="FFFFFF"/>
        <w:autoSpaceDE w:val="0"/>
        <w:autoSpaceDN/>
        <w:spacing w:line="560" w:lineRule="exact"/>
        <w:rPr>
          <w:rFonts w:hint="eastAsia" w:ascii="仿宋_GB2312" w:eastAsia="仿宋_GB2312" w:cs="仿宋_GB2312"/>
          <w:kern w:val="0"/>
          <w:sz w:val="32"/>
          <w:szCs w:val="32"/>
          <w:shd w:val="clear" w:fill="FFFFFF"/>
        </w:rPr>
      </w:pPr>
      <w:r>
        <w:rPr>
          <w:rFonts w:hint="eastAsia" w:ascii="仿宋_GB2312" w:eastAsia="仿宋_GB2312" w:cs="仿宋_GB2312"/>
          <w:kern w:val="0"/>
          <w:sz w:val="32"/>
          <w:szCs w:val="32"/>
          <w:shd w:val="clear" w:fill="FFFFFF"/>
        </w:rPr>
        <w:t>11、管理外国政府和国际金融机构贷(赠)款项目的有关业务,参与财经领域的国际交流与合作。</w:t>
      </w:r>
    </w:p>
    <w:p w14:paraId="2E8AA7AE">
      <w:pPr>
        <w:pStyle w:val="34"/>
        <w:keepNext w:val="0"/>
        <w:keepLines w:val="0"/>
        <w:widowControl/>
        <w:suppressLineNumbers w:val="0"/>
        <w:shd w:val="clear" w:fill="FFFFFF"/>
        <w:autoSpaceDE w:val="0"/>
        <w:autoSpaceDN/>
        <w:spacing w:line="560" w:lineRule="exact"/>
        <w:rPr>
          <w:rFonts w:hint="eastAsia" w:ascii="仿宋_GB2312" w:eastAsia="仿宋_GB2312" w:cs="仿宋_GB2312"/>
          <w:kern w:val="0"/>
          <w:sz w:val="32"/>
          <w:szCs w:val="32"/>
          <w:shd w:val="clear" w:fill="FFFFFF"/>
        </w:rPr>
      </w:pPr>
      <w:r>
        <w:rPr>
          <w:rFonts w:hint="eastAsia" w:ascii="仿宋_GB2312" w:eastAsia="仿宋_GB2312" w:cs="仿宋_GB2312"/>
          <w:kern w:val="0"/>
          <w:sz w:val="32"/>
          <w:szCs w:val="32"/>
          <w:shd w:val="clear" w:fill="FFFFFF"/>
        </w:rPr>
        <w:t>12、负责管理全州会计工作,监督和规范会计行为,组织实施国家统一的会计制度,指导和监督注册会计师和会计师事务所的业务,指导和管理社会审计。依法管理资产评估有关工作。</w:t>
      </w:r>
    </w:p>
    <w:p w14:paraId="02B73C6E">
      <w:pPr>
        <w:pStyle w:val="34"/>
        <w:keepNext w:val="0"/>
        <w:keepLines w:val="0"/>
        <w:widowControl/>
        <w:suppressLineNumbers w:val="0"/>
        <w:shd w:val="clear" w:fill="FFFFFF"/>
        <w:autoSpaceDE w:val="0"/>
        <w:autoSpaceDN/>
        <w:spacing w:line="560" w:lineRule="exact"/>
        <w:rPr>
          <w:rFonts w:hint="eastAsia" w:ascii="仿宋_GB2312" w:eastAsia="仿宋_GB2312" w:cs="仿宋_GB2312"/>
          <w:kern w:val="0"/>
          <w:sz w:val="32"/>
          <w:szCs w:val="32"/>
          <w:shd w:val="clear" w:fill="FFFFFF"/>
        </w:rPr>
      </w:pPr>
      <w:r>
        <w:rPr>
          <w:rFonts w:hint="eastAsia" w:ascii="仿宋_GB2312" w:eastAsia="仿宋_GB2312" w:cs="仿宋_GB2312"/>
          <w:kern w:val="0"/>
          <w:sz w:val="32"/>
          <w:szCs w:val="32"/>
          <w:shd w:val="clear" w:fill="FFFFFF"/>
        </w:rPr>
        <w:t>13、负责职责范围内的安全生产和职业健康、生态环境保护、审批服务便民化等工作。</w:t>
      </w:r>
    </w:p>
    <w:p w14:paraId="5AFDD7F3">
      <w:pPr>
        <w:pStyle w:val="34"/>
        <w:keepNext w:val="0"/>
        <w:keepLines w:val="0"/>
        <w:widowControl/>
        <w:suppressLineNumbers w:val="0"/>
        <w:shd w:val="clear" w:fill="FFFFFF"/>
        <w:autoSpaceDE w:val="0"/>
        <w:autoSpaceDN/>
        <w:spacing w:line="560" w:lineRule="exact"/>
        <w:rPr>
          <w:rFonts w:hint="eastAsia" w:ascii="仿宋_GB2312" w:eastAsia="仿宋_GB2312" w:cs="仿宋_GB2312"/>
          <w:kern w:val="0"/>
          <w:sz w:val="32"/>
          <w:szCs w:val="32"/>
          <w:shd w:val="clear" w:fill="FFFFFF"/>
        </w:rPr>
      </w:pPr>
      <w:r>
        <w:rPr>
          <w:rFonts w:hint="eastAsia" w:ascii="仿宋_GB2312" w:eastAsia="仿宋_GB2312" w:cs="仿宋_GB2312"/>
          <w:kern w:val="0"/>
          <w:sz w:val="32"/>
          <w:szCs w:val="32"/>
          <w:shd w:val="clear" w:fill="FFFFFF"/>
        </w:rPr>
        <w:t>14、完成州委、州政府交办的其他任务。</w:t>
      </w:r>
    </w:p>
    <w:p w14:paraId="44AA46DF">
      <w:pPr>
        <w:pStyle w:val="3"/>
        <w:rPr>
          <w:rFonts w:hint="eastAsia" w:ascii="黑体" w:hAnsi="黑体" w:eastAsia="黑体"/>
          <w:b w:val="0"/>
        </w:rPr>
      </w:pPr>
      <w:r>
        <w:rPr>
          <w:rFonts w:hint="eastAsia" w:ascii="黑体" w:hAnsi="黑体" w:eastAsia="黑体"/>
          <w:b w:val="0"/>
        </w:rPr>
        <w:t>二、机构设置</w:t>
      </w:r>
    </w:p>
    <w:p w14:paraId="109FA013">
      <w:pPr>
        <w:pStyle w:val="34"/>
        <w:keepNext w:val="0"/>
        <w:keepLines w:val="0"/>
        <w:widowControl/>
        <w:suppressLineNumbers w:val="0"/>
        <w:shd w:val="clear" w:fill="FFFFFF"/>
        <w:autoSpaceDE w:val="0"/>
        <w:autoSpaceDN/>
        <w:spacing w:line="560" w:lineRule="exact"/>
        <w:ind w:left="0" w:firstLine="470"/>
        <w:rPr>
          <w:rFonts w:hint="eastAsia" w:ascii="仿宋_GB2312" w:eastAsia="仿宋_GB2312" w:cs="仿宋_GB2312"/>
          <w:kern w:val="0"/>
          <w:sz w:val="32"/>
          <w:szCs w:val="32"/>
          <w:shd w:val="clear" w:fill="FFFFFF"/>
        </w:rPr>
      </w:pPr>
      <w:r>
        <w:rPr>
          <w:rFonts w:hint="eastAsia" w:ascii="仿宋_GB2312" w:eastAsia="仿宋_GB2312" w:cs="仿宋_GB2312"/>
          <w:kern w:val="0"/>
          <w:sz w:val="32"/>
          <w:szCs w:val="32"/>
          <w:shd w:val="clear" w:fill="FFFFFF"/>
        </w:rPr>
        <w:t>四川省阿坝州财政局（州本级）无下属单位</w:t>
      </w:r>
    </w:p>
    <w:p w14:paraId="270FE310"/>
    <w:bookmarkEnd w:id="14"/>
    <w:bookmarkEnd w:id="15"/>
    <w:p w14:paraId="5A9B78A1">
      <w:pPr>
        <w:widowControl/>
        <w:jc w:val="left"/>
        <w:rPr>
          <w:rFonts w:ascii="仿宋" w:hAnsi="仿宋" w:eastAsia="仿宋"/>
          <w:kern w:val="0"/>
          <w:sz w:val="32"/>
          <w:szCs w:val="32"/>
        </w:rPr>
      </w:pPr>
      <w:r>
        <w:rPr>
          <w:rFonts w:ascii="仿宋" w:hAnsi="仿宋" w:eastAsia="仿宋"/>
          <w:sz w:val="32"/>
          <w:szCs w:val="32"/>
        </w:rPr>
        <w:br w:type="page"/>
      </w:r>
    </w:p>
    <w:p w14:paraId="0A18C26F">
      <w:pPr>
        <w:pStyle w:val="2"/>
        <w:ind w:right="440"/>
        <w:jc w:val="center"/>
        <w:rPr>
          <w:rStyle w:val="28"/>
          <w:rFonts w:ascii="黑体" w:hAnsi="黑体" w:eastAsia="黑体"/>
          <w:b w:val="0"/>
          <w:bCs/>
        </w:rPr>
      </w:pPr>
      <w:bookmarkStart w:id="16" w:name="_Toc15377204"/>
      <w:bookmarkStart w:id="17" w:name="_Toc15396602"/>
      <w:r>
        <w:rPr>
          <w:rFonts w:hint="eastAsia" w:ascii="黑体" w:hAnsi="黑体" w:eastAsia="黑体"/>
          <w:b w:val="0"/>
        </w:rPr>
        <w:t>第二部分 2023年度</w:t>
      </w:r>
      <w:r>
        <w:rPr>
          <w:rStyle w:val="28"/>
          <w:rFonts w:hint="eastAsia" w:ascii="黑体" w:hAnsi="黑体" w:eastAsia="黑体"/>
          <w:b w:val="0"/>
          <w:bCs/>
        </w:rPr>
        <w:t>单位决算情况说明</w:t>
      </w:r>
      <w:bookmarkEnd w:id="16"/>
      <w:bookmarkEnd w:id="17"/>
    </w:p>
    <w:p w14:paraId="63F13817"/>
    <w:p w14:paraId="027662B3">
      <w:pPr>
        <w:pStyle w:val="27"/>
        <w:numPr>
          <w:ilvl w:val="0"/>
          <w:numId w:val="2"/>
        </w:numPr>
        <w:spacing w:line="600" w:lineRule="exact"/>
        <w:ind w:firstLineChars="0"/>
        <w:outlineLvl w:val="1"/>
        <w:rPr>
          <w:rStyle w:val="29"/>
          <w:rFonts w:ascii="黑体" w:hAnsi="黑体" w:eastAsia="黑体"/>
          <w:b w:val="0"/>
        </w:rPr>
      </w:pPr>
      <w:bookmarkStart w:id="18" w:name="_Toc15377205"/>
      <w:bookmarkStart w:id="19" w:name="_Toc15396603"/>
      <w:r>
        <w:rPr>
          <w:rFonts w:hint="eastAsia" w:ascii="黑体" w:hAnsi="黑体" w:eastAsia="黑体"/>
          <w:sz w:val="32"/>
          <w:szCs w:val="32"/>
        </w:rPr>
        <w:t>收</w:t>
      </w:r>
      <w:r>
        <w:rPr>
          <w:rStyle w:val="29"/>
          <w:rFonts w:hint="eastAsia" w:ascii="黑体" w:hAnsi="黑体" w:eastAsia="黑体"/>
          <w:b w:val="0"/>
        </w:rPr>
        <w:t>入支出决算总体情况说明</w:t>
      </w:r>
      <w:bookmarkEnd w:id="18"/>
      <w:bookmarkEnd w:id="19"/>
    </w:p>
    <w:p w14:paraId="1BB0390A">
      <w:pPr>
        <w:spacing w:line="600" w:lineRule="exact"/>
        <w:ind w:firstLine="640" w:firstLineChars="200"/>
        <w:rPr>
          <w:rFonts w:ascii="仿宋" w:hAnsi="仿宋" w:eastAsia="仿宋"/>
          <w:sz w:val="32"/>
          <w:szCs w:val="32"/>
        </w:rPr>
      </w:pPr>
      <w:r>
        <w:rPr>
          <w:rFonts w:hint="eastAsia" w:ascii="仿宋" w:hAnsi="仿宋" w:eastAsia="仿宋"/>
          <w:sz w:val="32"/>
          <w:szCs w:val="32"/>
        </w:rPr>
        <w:t>2023年度收、支总计均为</w:t>
      </w:r>
      <w:r>
        <w:rPr>
          <w:rFonts w:hint="eastAsia" w:ascii="仿宋" w:hAnsi="仿宋" w:eastAsia="仿宋"/>
          <w:b/>
          <w:sz w:val="32"/>
          <w:szCs w:val="32"/>
        </w:rPr>
        <w:t>2753.85</w:t>
      </w:r>
      <w:r>
        <w:rPr>
          <w:rFonts w:hint="eastAsia" w:ascii="仿宋" w:hAnsi="仿宋" w:eastAsia="仿宋"/>
          <w:sz w:val="32"/>
          <w:szCs w:val="32"/>
        </w:rPr>
        <w:t>万元。与2022年度相比，收、支总计各增加</w:t>
      </w:r>
      <w:r>
        <w:rPr>
          <w:rFonts w:hint="eastAsia" w:ascii="仿宋" w:hAnsi="仿宋" w:eastAsia="仿宋"/>
          <w:sz w:val="32"/>
          <w:szCs w:val="32"/>
          <w:lang w:val="en-US" w:eastAsia="zh-CN"/>
        </w:rPr>
        <w:t>262.54</w:t>
      </w:r>
      <w:r>
        <w:rPr>
          <w:rFonts w:hint="eastAsia" w:ascii="仿宋" w:hAnsi="仿宋" w:eastAsia="仿宋"/>
          <w:sz w:val="32"/>
          <w:szCs w:val="32"/>
        </w:rPr>
        <w:t>万元，增长</w:t>
      </w:r>
      <w:r>
        <w:rPr>
          <w:rFonts w:hint="eastAsia" w:ascii="仿宋" w:hAnsi="仿宋" w:eastAsia="仿宋"/>
          <w:sz w:val="32"/>
          <w:szCs w:val="32"/>
          <w:lang w:val="en-US" w:eastAsia="zh-CN"/>
        </w:rPr>
        <w:t>10.54</w:t>
      </w:r>
      <w:r>
        <w:rPr>
          <w:rFonts w:ascii="仿宋" w:hAnsi="仿宋" w:eastAsia="仿宋"/>
          <w:sz w:val="32"/>
          <w:szCs w:val="32"/>
        </w:rPr>
        <w:t>%</w:t>
      </w:r>
      <w:r>
        <w:rPr>
          <w:rFonts w:hint="eastAsia" w:ascii="仿宋" w:hAnsi="仿宋" w:eastAsia="仿宋"/>
          <w:sz w:val="32"/>
          <w:szCs w:val="32"/>
        </w:rPr>
        <w:t>。主要变动原因是202</w:t>
      </w:r>
      <w:r>
        <w:rPr>
          <w:rFonts w:hint="eastAsia" w:ascii="仿宋" w:hAnsi="仿宋" w:eastAsia="仿宋"/>
          <w:sz w:val="32"/>
          <w:szCs w:val="32"/>
          <w:lang w:val="en-US" w:eastAsia="zh-CN"/>
        </w:rPr>
        <w:t>3年相比2022年新招录了5名行政人员，人员经费增加，全州财政事务项目较上年度有所增加</w:t>
      </w:r>
      <w:r>
        <w:rPr>
          <w:rFonts w:hint="eastAsia" w:ascii="仿宋" w:hAnsi="仿宋" w:eastAsia="仿宋"/>
          <w:sz w:val="32"/>
          <w:szCs w:val="32"/>
        </w:rPr>
        <w:t>。</w:t>
      </w:r>
    </w:p>
    <w:p w14:paraId="072C608C">
      <w:pPr>
        <w:spacing w:line="600" w:lineRule="exact"/>
        <w:ind w:firstLine="640" w:firstLineChars="200"/>
        <w:rPr>
          <w:rFonts w:ascii="仿宋" w:hAnsi="仿宋" w:eastAsia="仿宋"/>
          <w:sz w:val="32"/>
          <w:szCs w:val="32"/>
        </w:rPr>
      </w:pPr>
      <w:r>
        <w:rPr>
          <w:rFonts w:hint="eastAsia" w:ascii="仿宋" w:hAnsi="仿宋" w:eastAsia="仿宋"/>
          <w:sz w:val="32"/>
          <w:szCs w:val="32"/>
        </w:rPr>
        <w:t>（图</w:t>
      </w:r>
      <w:r>
        <w:rPr>
          <w:rFonts w:ascii="仿宋" w:hAnsi="仿宋" w:eastAsia="仿宋"/>
          <w:sz w:val="32"/>
          <w:szCs w:val="32"/>
        </w:rPr>
        <w:t>1</w:t>
      </w:r>
      <w:r>
        <w:rPr>
          <w:rFonts w:hint="eastAsia" w:ascii="仿宋" w:hAnsi="仿宋" w:eastAsia="仿宋"/>
          <w:sz w:val="32"/>
          <w:szCs w:val="32"/>
        </w:rPr>
        <w:t>：收、支决算总计变动情况图）（柱状图）</w:t>
      </w:r>
    </w:p>
    <w:p w14:paraId="08FC7484">
      <w:pPr>
        <w:spacing w:line="240" w:lineRule="auto"/>
        <w:jc w:val="left"/>
        <w:rPr>
          <w:rFonts w:hint="eastAsia" w:ascii="仿宋_GB2312" w:eastAsia="仿宋_GB2312"/>
          <w:sz w:val="32"/>
          <w:szCs w:val="32"/>
          <w:lang w:eastAsia="zh-CN"/>
        </w:rPr>
      </w:pPr>
      <w:r>
        <w:rPr>
          <w:rFonts w:hint="eastAsia" w:ascii="仿宋_GB2312" w:eastAsia="仿宋_GB2312"/>
          <w:sz w:val="32"/>
          <w:szCs w:val="32"/>
          <w:lang w:eastAsia="zh-CN"/>
        </w:rPr>
        <w:object>
          <v:shape id="_x0000_i1029" o:spt="75" type="#_x0000_t75" style="height:226.2pt;width:409.95pt;" o:ole="t" filled="f" o:preferrelative="t" stroked="f" coordsize="21600,21600">
            <v:path/>
            <v:fill on="f" focussize="0,0"/>
            <v:stroke on="f"/>
            <v:imagedata r:id="rId7" o:title=""/>
            <o:lock v:ext="edit" aspectratio="t"/>
            <w10:wrap type="none"/>
            <w10:anchorlock/>
          </v:shape>
          <o:OLEObject Type="Embed" ProgID="Excel.Chart.8" ShapeID="_x0000_i1029" DrawAspect="Content" ObjectID="_1468075725" r:id="rId6">
            <o:LockedField>false</o:LockedField>
          </o:OLEObject>
        </w:object>
      </w:r>
    </w:p>
    <w:p w14:paraId="35504D5E">
      <w:pPr>
        <w:pStyle w:val="27"/>
        <w:numPr>
          <w:ilvl w:val="0"/>
          <w:numId w:val="2"/>
        </w:numPr>
        <w:spacing w:line="600" w:lineRule="exact"/>
        <w:ind w:firstLineChars="0"/>
        <w:outlineLvl w:val="1"/>
        <w:rPr>
          <w:rStyle w:val="29"/>
          <w:rFonts w:ascii="黑体" w:hAnsi="黑体" w:eastAsia="黑体"/>
          <w:b w:val="0"/>
        </w:rPr>
      </w:pPr>
      <w:bookmarkStart w:id="20" w:name="_Toc15377206"/>
      <w:bookmarkStart w:id="21" w:name="_Toc15396604"/>
      <w:r>
        <w:rPr>
          <w:rFonts w:hint="eastAsia" w:ascii="黑体" w:hAnsi="黑体" w:eastAsia="黑体"/>
          <w:sz w:val="32"/>
          <w:szCs w:val="32"/>
        </w:rPr>
        <w:t>收</w:t>
      </w:r>
      <w:r>
        <w:rPr>
          <w:rStyle w:val="29"/>
          <w:rFonts w:hint="eastAsia" w:ascii="黑体" w:hAnsi="黑体" w:eastAsia="黑体"/>
          <w:b w:val="0"/>
        </w:rPr>
        <w:t>入决算情况说明</w:t>
      </w:r>
      <w:bookmarkEnd w:id="20"/>
      <w:bookmarkEnd w:id="21"/>
    </w:p>
    <w:p w14:paraId="2614981E">
      <w:pPr>
        <w:spacing w:line="600" w:lineRule="exact"/>
        <w:ind w:firstLine="640" w:firstLineChars="200"/>
        <w:outlineLvl w:val="1"/>
        <w:rPr>
          <w:rFonts w:ascii="仿宋" w:hAnsi="仿宋" w:eastAsia="仿宋"/>
          <w:sz w:val="32"/>
          <w:szCs w:val="32"/>
        </w:rPr>
      </w:pPr>
      <w:r>
        <w:rPr>
          <w:rFonts w:hint="eastAsia" w:ascii="仿宋" w:hAnsi="仿宋" w:eastAsia="仿宋"/>
          <w:sz w:val="32"/>
          <w:szCs w:val="32"/>
        </w:rPr>
        <w:t>2023年度本年收入合计</w:t>
      </w:r>
      <w:r>
        <w:rPr>
          <w:rFonts w:ascii="仿宋" w:hAnsi="仿宋" w:eastAsia="仿宋"/>
          <w:b/>
          <w:sz w:val="32"/>
          <w:szCs w:val="32"/>
        </w:rPr>
        <w:t>2753.85</w:t>
      </w:r>
      <w:r>
        <w:rPr>
          <w:rFonts w:hint="eastAsia" w:ascii="仿宋" w:hAnsi="仿宋" w:eastAsia="仿宋"/>
          <w:sz w:val="32"/>
          <w:szCs w:val="32"/>
        </w:rPr>
        <w:t>万元，其中：一般公共预算财政拨款收入</w:t>
      </w:r>
      <w:r>
        <w:rPr>
          <w:rFonts w:ascii="仿宋" w:hAnsi="仿宋" w:eastAsia="仿宋"/>
          <w:b/>
          <w:sz w:val="32"/>
          <w:szCs w:val="32"/>
        </w:rPr>
        <w:t>2753.85</w:t>
      </w:r>
      <w:r>
        <w:rPr>
          <w:rFonts w:hint="eastAsia" w:ascii="仿宋" w:hAnsi="仿宋" w:eastAsia="仿宋"/>
          <w:sz w:val="32"/>
          <w:szCs w:val="32"/>
        </w:rPr>
        <w:t>万元，占</w:t>
      </w:r>
      <w:r>
        <w:rPr>
          <w:rFonts w:ascii="仿宋" w:hAnsi="仿宋" w:eastAsia="仿宋"/>
          <w:b/>
          <w:sz w:val="32"/>
          <w:szCs w:val="32"/>
        </w:rPr>
        <w:t>100%</w:t>
      </w:r>
      <w:r>
        <w:rPr>
          <w:rFonts w:hint="eastAsia" w:ascii="仿宋" w:hAnsi="仿宋" w:eastAsia="仿宋"/>
          <w:sz w:val="32"/>
          <w:szCs w:val="32"/>
        </w:rPr>
        <w:t>；政府性基金预算财政拨款收入</w:t>
      </w:r>
      <w:r>
        <w:rPr>
          <w:rFonts w:ascii="仿宋" w:hAnsi="仿宋" w:eastAsia="仿宋"/>
          <w:b/>
          <w:sz w:val="32"/>
          <w:szCs w:val="32"/>
        </w:rPr>
        <w:t>0</w:t>
      </w:r>
      <w:r>
        <w:rPr>
          <w:rFonts w:hint="eastAsia" w:ascii="仿宋" w:hAnsi="仿宋" w:eastAsia="仿宋"/>
          <w:sz w:val="32"/>
          <w:szCs w:val="32"/>
        </w:rPr>
        <w:t>万元，占</w:t>
      </w:r>
      <w:r>
        <w:rPr>
          <w:rFonts w:ascii="仿宋" w:hAnsi="仿宋" w:eastAsia="仿宋"/>
          <w:b/>
          <w:sz w:val="32"/>
          <w:szCs w:val="32"/>
        </w:rPr>
        <w:t>0</w:t>
      </w:r>
      <w:r>
        <w:rPr>
          <w:rFonts w:ascii="仿宋" w:hAnsi="仿宋" w:eastAsia="仿宋"/>
          <w:sz w:val="32"/>
          <w:szCs w:val="32"/>
        </w:rPr>
        <w:t>%</w:t>
      </w:r>
      <w:r>
        <w:rPr>
          <w:rFonts w:hint="eastAsia" w:ascii="仿宋" w:hAnsi="仿宋" w:eastAsia="仿宋"/>
          <w:sz w:val="32"/>
          <w:szCs w:val="32"/>
        </w:rPr>
        <w:t>；国有资本经营预算财政拨款收入</w:t>
      </w:r>
      <w:r>
        <w:rPr>
          <w:rFonts w:ascii="仿宋" w:hAnsi="仿宋" w:eastAsia="仿宋"/>
          <w:b/>
          <w:sz w:val="32"/>
          <w:szCs w:val="32"/>
        </w:rPr>
        <w:t>0</w:t>
      </w:r>
      <w:r>
        <w:rPr>
          <w:rFonts w:hint="eastAsia" w:ascii="仿宋" w:hAnsi="仿宋" w:eastAsia="仿宋"/>
          <w:sz w:val="32"/>
          <w:szCs w:val="32"/>
        </w:rPr>
        <w:t>万元，占</w:t>
      </w:r>
      <w:r>
        <w:rPr>
          <w:rFonts w:ascii="仿宋" w:hAnsi="仿宋" w:eastAsia="仿宋"/>
          <w:b/>
          <w:sz w:val="32"/>
          <w:szCs w:val="32"/>
        </w:rPr>
        <w:t>0</w:t>
      </w:r>
      <w:r>
        <w:rPr>
          <w:rFonts w:ascii="仿宋" w:hAnsi="仿宋" w:eastAsia="仿宋"/>
          <w:sz w:val="32"/>
          <w:szCs w:val="32"/>
        </w:rPr>
        <w:t>%</w:t>
      </w:r>
      <w:r>
        <w:rPr>
          <w:rFonts w:hint="eastAsia" w:ascii="仿宋" w:hAnsi="仿宋" w:eastAsia="仿宋"/>
          <w:sz w:val="32"/>
          <w:szCs w:val="32"/>
        </w:rPr>
        <w:t>；上级补助收入</w:t>
      </w:r>
      <w:r>
        <w:rPr>
          <w:rFonts w:ascii="仿宋" w:hAnsi="仿宋" w:eastAsia="仿宋"/>
          <w:b/>
          <w:sz w:val="32"/>
          <w:szCs w:val="32"/>
        </w:rPr>
        <w:t>0</w:t>
      </w:r>
      <w:r>
        <w:rPr>
          <w:rFonts w:hint="eastAsia" w:ascii="仿宋" w:hAnsi="仿宋" w:eastAsia="仿宋"/>
          <w:sz w:val="32"/>
          <w:szCs w:val="32"/>
        </w:rPr>
        <w:t>万元，占</w:t>
      </w:r>
      <w:r>
        <w:rPr>
          <w:rFonts w:ascii="仿宋" w:hAnsi="仿宋" w:eastAsia="仿宋"/>
          <w:sz w:val="32"/>
          <w:szCs w:val="32"/>
        </w:rPr>
        <w:t>0%</w:t>
      </w:r>
      <w:r>
        <w:rPr>
          <w:rFonts w:hint="eastAsia" w:ascii="仿宋" w:hAnsi="仿宋" w:eastAsia="仿宋"/>
          <w:sz w:val="32"/>
          <w:szCs w:val="32"/>
        </w:rPr>
        <w:t>；事业收入</w:t>
      </w:r>
      <w:r>
        <w:rPr>
          <w:rFonts w:ascii="仿宋" w:hAnsi="仿宋" w:eastAsia="仿宋"/>
          <w:b/>
          <w:sz w:val="32"/>
          <w:szCs w:val="32"/>
        </w:rPr>
        <w:t>0</w:t>
      </w:r>
      <w:r>
        <w:rPr>
          <w:rFonts w:hint="eastAsia" w:ascii="仿宋" w:hAnsi="仿宋" w:eastAsia="仿宋"/>
          <w:sz w:val="32"/>
          <w:szCs w:val="32"/>
        </w:rPr>
        <w:t>万元，占</w:t>
      </w:r>
      <w:r>
        <w:rPr>
          <w:rFonts w:ascii="仿宋" w:hAnsi="仿宋" w:eastAsia="仿宋"/>
          <w:b/>
          <w:sz w:val="32"/>
          <w:szCs w:val="32"/>
        </w:rPr>
        <w:t>0</w:t>
      </w:r>
      <w:r>
        <w:rPr>
          <w:rFonts w:ascii="仿宋" w:hAnsi="仿宋" w:eastAsia="仿宋"/>
          <w:sz w:val="32"/>
          <w:szCs w:val="32"/>
        </w:rPr>
        <w:t>%</w:t>
      </w:r>
      <w:r>
        <w:rPr>
          <w:rFonts w:hint="eastAsia" w:ascii="仿宋" w:hAnsi="仿宋" w:eastAsia="仿宋"/>
          <w:sz w:val="32"/>
          <w:szCs w:val="32"/>
        </w:rPr>
        <w:t>；经营收入</w:t>
      </w:r>
      <w:r>
        <w:rPr>
          <w:rFonts w:ascii="仿宋" w:hAnsi="仿宋" w:eastAsia="仿宋"/>
          <w:b/>
          <w:sz w:val="32"/>
          <w:szCs w:val="32"/>
        </w:rPr>
        <w:t>0</w:t>
      </w:r>
      <w:r>
        <w:rPr>
          <w:rFonts w:hint="eastAsia" w:ascii="仿宋" w:hAnsi="仿宋" w:eastAsia="仿宋"/>
          <w:sz w:val="32"/>
          <w:szCs w:val="32"/>
        </w:rPr>
        <w:t>万元，占</w:t>
      </w:r>
      <w:r>
        <w:rPr>
          <w:rFonts w:ascii="仿宋" w:hAnsi="仿宋" w:eastAsia="仿宋"/>
          <w:b/>
          <w:sz w:val="32"/>
          <w:szCs w:val="32"/>
        </w:rPr>
        <w:t>0</w:t>
      </w:r>
      <w:r>
        <w:rPr>
          <w:rFonts w:ascii="仿宋" w:hAnsi="仿宋" w:eastAsia="仿宋"/>
          <w:sz w:val="32"/>
          <w:szCs w:val="32"/>
        </w:rPr>
        <w:t>%</w:t>
      </w:r>
      <w:r>
        <w:rPr>
          <w:rFonts w:hint="eastAsia" w:ascii="仿宋" w:hAnsi="仿宋" w:eastAsia="仿宋"/>
          <w:sz w:val="32"/>
          <w:szCs w:val="32"/>
        </w:rPr>
        <w:t>；附属单位上缴收入</w:t>
      </w:r>
      <w:r>
        <w:rPr>
          <w:rFonts w:ascii="仿宋" w:hAnsi="仿宋" w:eastAsia="仿宋"/>
          <w:b/>
          <w:sz w:val="32"/>
          <w:szCs w:val="32"/>
        </w:rPr>
        <w:t>0</w:t>
      </w:r>
      <w:r>
        <w:rPr>
          <w:rFonts w:hint="eastAsia" w:ascii="仿宋" w:hAnsi="仿宋" w:eastAsia="仿宋"/>
          <w:sz w:val="32"/>
          <w:szCs w:val="32"/>
        </w:rPr>
        <w:t>万元，占</w:t>
      </w:r>
      <w:r>
        <w:rPr>
          <w:rFonts w:ascii="仿宋" w:hAnsi="仿宋" w:eastAsia="仿宋"/>
          <w:b/>
          <w:sz w:val="32"/>
          <w:szCs w:val="32"/>
        </w:rPr>
        <w:t>0</w:t>
      </w:r>
      <w:r>
        <w:rPr>
          <w:rFonts w:ascii="仿宋" w:hAnsi="仿宋" w:eastAsia="仿宋"/>
          <w:sz w:val="32"/>
          <w:szCs w:val="32"/>
        </w:rPr>
        <w:t>%</w:t>
      </w:r>
      <w:r>
        <w:rPr>
          <w:rFonts w:hint="eastAsia" w:ascii="仿宋" w:hAnsi="仿宋" w:eastAsia="仿宋"/>
          <w:sz w:val="32"/>
          <w:szCs w:val="32"/>
        </w:rPr>
        <w:t>；其他收入</w:t>
      </w:r>
      <w:r>
        <w:rPr>
          <w:rFonts w:ascii="仿宋" w:hAnsi="仿宋" w:eastAsia="仿宋"/>
          <w:b/>
          <w:sz w:val="32"/>
          <w:szCs w:val="32"/>
        </w:rPr>
        <w:t>0</w:t>
      </w:r>
      <w:r>
        <w:rPr>
          <w:rFonts w:hint="eastAsia" w:ascii="仿宋" w:hAnsi="仿宋" w:eastAsia="仿宋"/>
          <w:sz w:val="32"/>
          <w:szCs w:val="32"/>
        </w:rPr>
        <w:t>万元，占</w:t>
      </w:r>
      <w:r>
        <w:rPr>
          <w:rFonts w:ascii="仿宋" w:hAnsi="仿宋" w:eastAsia="仿宋"/>
          <w:b/>
          <w:sz w:val="32"/>
          <w:szCs w:val="32"/>
        </w:rPr>
        <w:t>0</w:t>
      </w:r>
      <w:r>
        <w:rPr>
          <w:rFonts w:ascii="仿宋" w:hAnsi="仿宋" w:eastAsia="仿宋"/>
          <w:sz w:val="32"/>
          <w:szCs w:val="32"/>
        </w:rPr>
        <w:t>%</w:t>
      </w:r>
    </w:p>
    <w:p w14:paraId="37020606">
      <w:pPr>
        <w:spacing w:line="600" w:lineRule="exact"/>
        <w:ind w:firstLine="643" w:firstLineChars="200"/>
        <w:outlineLvl w:val="1"/>
        <w:rPr>
          <w:rFonts w:ascii="仿宋" w:hAnsi="仿宋" w:eastAsia="仿宋"/>
          <w:b/>
          <w:sz w:val="32"/>
          <w:szCs w:val="32"/>
        </w:rPr>
      </w:pPr>
      <w:r>
        <w:rPr>
          <w:rFonts w:hint="eastAsia" w:ascii="仿宋" w:hAnsi="仿宋" w:eastAsia="仿宋"/>
          <w:b/>
          <w:sz w:val="32"/>
          <w:szCs w:val="32"/>
        </w:rPr>
        <w:t>（注：数据来源于财决</w:t>
      </w:r>
      <w:r>
        <w:rPr>
          <w:rFonts w:ascii="仿宋" w:hAnsi="仿宋" w:eastAsia="仿宋"/>
          <w:b/>
          <w:sz w:val="32"/>
          <w:szCs w:val="32"/>
        </w:rPr>
        <w:t>01表</w:t>
      </w:r>
      <w:r>
        <w:rPr>
          <w:rFonts w:hint="eastAsia" w:ascii="仿宋" w:hAnsi="仿宋" w:eastAsia="仿宋"/>
          <w:b/>
          <w:sz w:val="32"/>
          <w:szCs w:val="32"/>
        </w:rPr>
        <w:t>，仅罗列本单位涉及的收入。</w:t>
      </w:r>
      <w:r>
        <w:rPr>
          <w:rFonts w:ascii="仿宋" w:hAnsi="仿宋" w:eastAsia="仿宋"/>
          <w:b/>
          <w:sz w:val="32"/>
          <w:szCs w:val="32"/>
        </w:rPr>
        <w:t>）</w:t>
      </w:r>
    </w:p>
    <w:p w14:paraId="7E372B2F">
      <w:pPr>
        <w:spacing w:line="600" w:lineRule="exact"/>
        <w:ind w:firstLine="640" w:firstLineChars="200"/>
        <w:rPr>
          <w:rFonts w:ascii="仿宋" w:hAnsi="仿宋" w:eastAsia="仿宋"/>
          <w:sz w:val="32"/>
          <w:szCs w:val="32"/>
        </w:rPr>
      </w:pPr>
      <w:r>
        <w:rPr>
          <w:rFonts w:hint="eastAsia" w:ascii="仿宋" w:hAnsi="仿宋" w:eastAsia="仿宋"/>
          <w:sz w:val="32"/>
          <w:szCs w:val="32"/>
        </w:rPr>
        <w:t>（图2：收入决算结构图）（饼状图）</w:t>
      </w:r>
    </w:p>
    <w:p w14:paraId="5566EEAA">
      <w:pPr>
        <w:spacing w:line="240" w:lineRule="auto"/>
        <w:rPr>
          <w:rFonts w:hint="eastAsia" w:ascii="仿宋_GB2312" w:eastAsia="仿宋_GB2312"/>
          <w:sz w:val="32"/>
          <w:szCs w:val="32"/>
          <w:lang w:eastAsia="zh-CN"/>
        </w:rPr>
      </w:pPr>
      <w:r>
        <w:rPr>
          <w:rFonts w:hint="eastAsia" w:ascii="仿宋_GB2312" w:eastAsia="仿宋_GB2312"/>
          <w:sz w:val="32"/>
          <w:szCs w:val="32"/>
          <w:lang w:eastAsia="zh-CN"/>
        </w:rPr>
        <w:drawing>
          <wp:inline distT="0" distB="0" distL="114300" distR="114300">
            <wp:extent cx="5256530" cy="2988310"/>
            <wp:effectExtent l="5080" t="4445" r="11430" b="9525"/>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1DE4BB28">
      <w:pPr>
        <w:pStyle w:val="27"/>
        <w:numPr>
          <w:ilvl w:val="0"/>
          <w:numId w:val="2"/>
        </w:numPr>
        <w:spacing w:line="600" w:lineRule="exact"/>
        <w:ind w:firstLineChars="0"/>
        <w:outlineLvl w:val="1"/>
        <w:rPr>
          <w:rStyle w:val="29"/>
          <w:rFonts w:ascii="黑体" w:hAnsi="黑体" w:eastAsia="黑体"/>
          <w:b w:val="0"/>
        </w:rPr>
      </w:pPr>
      <w:bookmarkStart w:id="22" w:name="_Toc15396605"/>
      <w:bookmarkStart w:id="23" w:name="_Toc15377207"/>
      <w:r>
        <w:rPr>
          <w:rFonts w:hint="eastAsia" w:ascii="黑体" w:hAnsi="黑体" w:eastAsia="黑体"/>
          <w:sz w:val="32"/>
          <w:szCs w:val="32"/>
        </w:rPr>
        <w:t>支</w:t>
      </w:r>
      <w:r>
        <w:rPr>
          <w:rStyle w:val="29"/>
          <w:rFonts w:hint="eastAsia" w:ascii="黑体" w:hAnsi="黑体" w:eastAsia="黑体"/>
          <w:b w:val="0"/>
        </w:rPr>
        <w:t>出决算情况说明</w:t>
      </w:r>
      <w:bookmarkEnd w:id="22"/>
      <w:bookmarkEnd w:id="23"/>
    </w:p>
    <w:p w14:paraId="06DB0901">
      <w:pPr>
        <w:spacing w:line="600" w:lineRule="exact"/>
        <w:ind w:firstLine="640" w:firstLineChars="200"/>
        <w:outlineLvl w:val="1"/>
        <w:rPr>
          <w:rFonts w:ascii="仿宋" w:hAnsi="仿宋" w:eastAsia="仿宋"/>
          <w:sz w:val="32"/>
          <w:szCs w:val="32"/>
        </w:rPr>
      </w:pPr>
      <w:r>
        <w:rPr>
          <w:rFonts w:hint="eastAsia" w:ascii="仿宋" w:hAnsi="仿宋" w:eastAsia="仿宋"/>
          <w:sz w:val="32"/>
          <w:szCs w:val="32"/>
        </w:rPr>
        <w:t>2023年度本年支出合计</w:t>
      </w:r>
      <w:r>
        <w:rPr>
          <w:rFonts w:ascii="仿宋" w:hAnsi="仿宋" w:eastAsia="仿宋"/>
          <w:b/>
          <w:sz w:val="32"/>
          <w:szCs w:val="32"/>
        </w:rPr>
        <w:t>2753.85</w:t>
      </w:r>
      <w:r>
        <w:rPr>
          <w:rFonts w:hint="eastAsia" w:ascii="仿宋" w:hAnsi="仿宋" w:eastAsia="仿宋"/>
          <w:sz w:val="32"/>
          <w:szCs w:val="32"/>
        </w:rPr>
        <w:t>万元，其中：基本支出</w:t>
      </w:r>
      <w:r>
        <w:rPr>
          <w:rFonts w:ascii="仿宋" w:hAnsi="仿宋" w:eastAsia="仿宋"/>
          <w:b/>
          <w:sz w:val="32"/>
          <w:szCs w:val="32"/>
        </w:rPr>
        <w:t>2179.11</w:t>
      </w:r>
      <w:r>
        <w:rPr>
          <w:rFonts w:hint="eastAsia" w:ascii="仿宋" w:hAnsi="仿宋" w:eastAsia="仿宋"/>
          <w:sz w:val="32"/>
          <w:szCs w:val="32"/>
        </w:rPr>
        <w:t>万元，占</w:t>
      </w:r>
      <w:r>
        <w:rPr>
          <w:rFonts w:ascii="仿宋" w:hAnsi="仿宋" w:eastAsia="仿宋"/>
          <w:b/>
          <w:sz w:val="32"/>
          <w:szCs w:val="32"/>
        </w:rPr>
        <w:t>79.12</w:t>
      </w:r>
      <w:r>
        <w:rPr>
          <w:rFonts w:ascii="仿宋" w:hAnsi="仿宋" w:eastAsia="仿宋"/>
          <w:sz w:val="32"/>
          <w:szCs w:val="32"/>
        </w:rPr>
        <w:t>%</w:t>
      </w:r>
      <w:r>
        <w:rPr>
          <w:rFonts w:hint="eastAsia" w:ascii="仿宋" w:hAnsi="仿宋" w:eastAsia="仿宋"/>
          <w:sz w:val="32"/>
          <w:szCs w:val="32"/>
        </w:rPr>
        <w:t>；项目支出</w:t>
      </w:r>
      <w:r>
        <w:rPr>
          <w:rFonts w:ascii="仿宋" w:hAnsi="仿宋" w:eastAsia="仿宋"/>
          <w:b/>
          <w:sz w:val="32"/>
          <w:szCs w:val="32"/>
        </w:rPr>
        <w:t>574.74</w:t>
      </w:r>
      <w:r>
        <w:rPr>
          <w:rFonts w:hint="eastAsia" w:ascii="仿宋" w:hAnsi="仿宋" w:eastAsia="仿宋"/>
          <w:sz w:val="32"/>
          <w:szCs w:val="32"/>
        </w:rPr>
        <w:t>万元，占</w:t>
      </w:r>
      <w:r>
        <w:rPr>
          <w:rFonts w:ascii="仿宋" w:hAnsi="仿宋" w:eastAsia="仿宋"/>
          <w:b/>
          <w:sz w:val="32"/>
          <w:szCs w:val="32"/>
        </w:rPr>
        <w:t>20.87</w:t>
      </w:r>
      <w:r>
        <w:rPr>
          <w:rFonts w:ascii="仿宋" w:hAnsi="仿宋" w:eastAsia="仿宋"/>
          <w:sz w:val="32"/>
          <w:szCs w:val="32"/>
        </w:rPr>
        <w:t>%</w:t>
      </w:r>
      <w:r>
        <w:rPr>
          <w:rFonts w:hint="eastAsia" w:ascii="仿宋" w:hAnsi="仿宋" w:eastAsia="仿宋"/>
          <w:sz w:val="32"/>
          <w:szCs w:val="32"/>
        </w:rPr>
        <w:t>；上缴上级支出</w:t>
      </w:r>
      <w:r>
        <w:rPr>
          <w:rFonts w:ascii="仿宋" w:hAnsi="仿宋" w:eastAsia="仿宋"/>
          <w:b/>
          <w:sz w:val="32"/>
          <w:szCs w:val="32"/>
        </w:rPr>
        <w:t>0</w:t>
      </w:r>
      <w:r>
        <w:rPr>
          <w:rFonts w:hint="eastAsia" w:ascii="仿宋" w:hAnsi="仿宋" w:eastAsia="仿宋"/>
          <w:sz w:val="32"/>
          <w:szCs w:val="32"/>
        </w:rPr>
        <w:t>万元，占</w:t>
      </w:r>
      <w:r>
        <w:rPr>
          <w:rFonts w:hint="eastAsia" w:ascii="仿宋" w:hAnsi="仿宋" w:eastAsia="仿宋"/>
          <w:b/>
          <w:sz w:val="32"/>
          <w:szCs w:val="32"/>
        </w:rPr>
        <w:t>0</w:t>
      </w:r>
      <w:r>
        <w:rPr>
          <w:rFonts w:ascii="仿宋" w:hAnsi="仿宋" w:eastAsia="仿宋"/>
          <w:sz w:val="32"/>
          <w:szCs w:val="32"/>
        </w:rPr>
        <w:t>%</w:t>
      </w:r>
      <w:r>
        <w:rPr>
          <w:rFonts w:hint="eastAsia" w:ascii="仿宋" w:hAnsi="仿宋" w:eastAsia="仿宋"/>
          <w:sz w:val="32"/>
          <w:szCs w:val="32"/>
        </w:rPr>
        <w:t>；经营支出</w:t>
      </w:r>
      <w:r>
        <w:rPr>
          <w:rFonts w:ascii="仿宋" w:hAnsi="仿宋" w:eastAsia="仿宋"/>
          <w:b/>
          <w:sz w:val="32"/>
          <w:szCs w:val="32"/>
        </w:rPr>
        <w:t>0</w:t>
      </w:r>
      <w:r>
        <w:rPr>
          <w:rFonts w:hint="eastAsia" w:ascii="仿宋" w:hAnsi="仿宋" w:eastAsia="仿宋"/>
          <w:sz w:val="32"/>
          <w:szCs w:val="32"/>
        </w:rPr>
        <w:t>万元，占</w:t>
      </w:r>
      <w:r>
        <w:rPr>
          <w:rFonts w:ascii="仿宋" w:hAnsi="仿宋" w:eastAsia="仿宋"/>
          <w:b/>
          <w:sz w:val="32"/>
          <w:szCs w:val="32"/>
        </w:rPr>
        <w:t>0</w:t>
      </w:r>
      <w:r>
        <w:rPr>
          <w:rFonts w:ascii="仿宋" w:hAnsi="仿宋" w:eastAsia="仿宋"/>
          <w:sz w:val="32"/>
          <w:szCs w:val="32"/>
        </w:rPr>
        <w:t>%</w:t>
      </w:r>
      <w:r>
        <w:rPr>
          <w:rFonts w:hint="eastAsia" w:ascii="仿宋" w:hAnsi="仿宋" w:eastAsia="仿宋"/>
          <w:sz w:val="32"/>
          <w:szCs w:val="32"/>
        </w:rPr>
        <w:t>；对附属单位补助支出</w:t>
      </w:r>
      <w:r>
        <w:rPr>
          <w:rFonts w:ascii="仿宋" w:hAnsi="仿宋" w:eastAsia="仿宋"/>
          <w:b/>
          <w:sz w:val="32"/>
          <w:szCs w:val="32"/>
        </w:rPr>
        <w:t>0</w:t>
      </w:r>
      <w:r>
        <w:rPr>
          <w:rFonts w:hint="eastAsia" w:ascii="仿宋" w:hAnsi="仿宋" w:eastAsia="仿宋"/>
          <w:sz w:val="32"/>
          <w:szCs w:val="32"/>
        </w:rPr>
        <w:t>万元，占</w:t>
      </w:r>
      <w:r>
        <w:rPr>
          <w:rFonts w:ascii="仿宋" w:hAnsi="仿宋" w:eastAsia="仿宋"/>
          <w:b/>
          <w:sz w:val="32"/>
          <w:szCs w:val="32"/>
        </w:rPr>
        <w:t>0</w:t>
      </w:r>
      <w:r>
        <w:rPr>
          <w:rFonts w:ascii="仿宋" w:hAnsi="仿宋" w:eastAsia="仿宋"/>
          <w:sz w:val="32"/>
          <w:szCs w:val="32"/>
        </w:rPr>
        <w:t>%</w:t>
      </w:r>
      <w:r>
        <w:rPr>
          <w:rFonts w:hint="eastAsia" w:ascii="仿宋" w:hAnsi="仿宋" w:eastAsia="仿宋"/>
          <w:sz w:val="32"/>
          <w:szCs w:val="32"/>
        </w:rPr>
        <w:t>。</w:t>
      </w:r>
    </w:p>
    <w:p w14:paraId="12082487">
      <w:pPr>
        <w:spacing w:line="600" w:lineRule="exact"/>
        <w:ind w:firstLine="643" w:firstLineChars="200"/>
        <w:outlineLvl w:val="1"/>
        <w:rPr>
          <w:rFonts w:ascii="仿宋" w:hAnsi="仿宋" w:eastAsia="仿宋"/>
          <w:b/>
          <w:sz w:val="32"/>
          <w:szCs w:val="32"/>
        </w:rPr>
      </w:pPr>
      <w:r>
        <w:rPr>
          <w:rFonts w:hint="eastAsia" w:ascii="仿宋" w:hAnsi="仿宋" w:eastAsia="仿宋"/>
          <w:b/>
          <w:sz w:val="32"/>
          <w:szCs w:val="32"/>
        </w:rPr>
        <w:t>（注：数据来源于财决</w:t>
      </w:r>
      <w:r>
        <w:rPr>
          <w:rFonts w:ascii="仿宋" w:hAnsi="仿宋" w:eastAsia="仿宋"/>
          <w:b/>
          <w:sz w:val="32"/>
          <w:szCs w:val="32"/>
        </w:rPr>
        <w:t>04</w:t>
      </w:r>
      <w:r>
        <w:rPr>
          <w:rFonts w:hint="eastAsia" w:ascii="仿宋" w:hAnsi="仿宋" w:eastAsia="仿宋"/>
          <w:b/>
          <w:sz w:val="32"/>
          <w:szCs w:val="32"/>
        </w:rPr>
        <w:t>表，仅罗列本单位涉及的支出。）</w:t>
      </w:r>
    </w:p>
    <w:p w14:paraId="2024EADB">
      <w:pPr>
        <w:spacing w:line="600" w:lineRule="exact"/>
        <w:ind w:firstLine="640" w:firstLineChars="200"/>
        <w:rPr>
          <w:rFonts w:hint="eastAsia" w:ascii="仿宋_GB2312" w:eastAsia="仿宋_GB2312"/>
          <w:sz w:val="32"/>
          <w:szCs w:val="32"/>
          <w:lang w:eastAsia="zh-CN"/>
        </w:rPr>
      </w:pPr>
      <w:r>
        <w:rPr>
          <w:rFonts w:hint="eastAsia" w:ascii="仿宋" w:hAnsi="仿宋" w:eastAsia="仿宋"/>
          <w:sz w:val="32"/>
          <w:szCs w:val="32"/>
        </w:rPr>
        <w:t>（图3：支出决算结构图）（饼状图）</w:t>
      </w:r>
    </w:p>
    <w:p w14:paraId="33F923BF">
      <w:pPr>
        <w:spacing w:line="600" w:lineRule="exact"/>
        <w:ind w:firstLine="1153" w:firstLineChars="0"/>
        <w:rPr>
          <w:rFonts w:hint="eastAsia" w:ascii="仿宋_GB2312" w:eastAsia="仿宋_GB2312"/>
          <w:sz w:val="32"/>
          <w:szCs w:val="32"/>
          <w:lang w:eastAsia="zh-CN"/>
        </w:rPr>
      </w:pPr>
    </w:p>
    <w:p w14:paraId="4ACE36D0">
      <w:pPr>
        <w:spacing w:line="600" w:lineRule="exact"/>
        <w:ind w:firstLine="1153" w:firstLineChars="0"/>
        <w:rPr>
          <w:rFonts w:hint="eastAsia" w:ascii="仿宋_GB2312" w:eastAsia="仿宋_GB2312"/>
          <w:sz w:val="32"/>
          <w:szCs w:val="32"/>
          <w:lang w:eastAsia="zh-CN"/>
        </w:rPr>
      </w:pPr>
    </w:p>
    <w:p w14:paraId="090085A5">
      <w:pPr>
        <w:spacing w:line="600" w:lineRule="exact"/>
        <w:ind w:firstLine="640" w:firstLineChars="200"/>
        <w:rPr>
          <w:rFonts w:hint="eastAsia" w:ascii="仿宋_GB2312" w:eastAsia="仿宋_GB2312"/>
          <w:sz w:val="32"/>
          <w:szCs w:val="32"/>
          <w:lang w:eastAsia="zh-CN"/>
        </w:rPr>
      </w:pPr>
    </w:p>
    <w:p w14:paraId="38413B69">
      <w:pPr>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drawing>
          <wp:anchor distT="0" distB="0" distL="114300" distR="114300" simplePos="0" relativeHeight="251660288" behindDoc="0" locked="0" layoutInCell="1" allowOverlap="1">
            <wp:simplePos x="0" y="0"/>
            <wp:positionH relativeFrom="column">
              <wp:posOffset>401955</wp:posOffset>
            </wp:positionH>
            <wp:positionV relativeFrom="paragraph">
              <wp:posOffset>77470</wp:posOffset>
            </wp:positionV>
            <wp:extent cx="4444365" cy="2868930"/>
            <wp:effectExtent l="4445" t="4445" r="16510" b="6985"/>
            <wp:wrapNone/>
            <wp:docPr id="6"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anchor>
        </w:drawing>
      </w:r>
    </w:p>
    <w:p w14:paraId="2C82DC87">
      <w:pPr>
        <w:spacing w:line="600" w:lineRule="exact"/>
        <w:ind w:firstLine="640" w:firstLineChars="200"/>
        <w:rPr>
          <w:rFonts w:hint="eastAsia" w:ascii="仿宋_GB2312" w:eastAsia="仿宋_GB2312"/>
          <w:sz w:val="32"/>
          <w:szCs w:val="32"/>
          <w:lang w:eastAsia="zh-CN"/>
        </w:rPr>
      </w:pPr>
    </w:p>
    <w:p w14:paraId="328FFA4B">
      <w:pPr>
        <w:spacing w:line="600" w:lineRule="exact"/>
        <w:rPr>
          <w:rFonts w:hint="eastAsia" w:ascii="仿宋_GB2312" w:eastAsia="仿宋_GB2312"/>
          <w:sz w:val="32"/>
          <w:szCs w:val="32"/>
          <w:lang w:eastAsia="zh-CN"/>
        </w:rPr>
      </w:pPr>
    </w:p>
    <w:p w14:paraId="5AF3F0B9">
      <w:pPr>
        <w:spacing w:line="600" w:lineRule="exact"/>
        <w:ind w:firstLine="640" w:firstLineChars="200"/>
        <w:rPr>
          <w:rFonts w:hint="eastAsia" w:ascii="仿宋_GB2312" w:eastAsia="仿宋_GB2312"/>
          <w:sz w:val="32"/>
          <w:szCs w:val="32"/>
          <w:lang w:eastAsia="zh-CN"/>
        </w:rPr>
      </w:pPr>
    </w:p>
    <w:p w14:paraId="0EB8BA70">
      <w:pPr>
        <w:spacing w:line="600" w:lineRule="exact"/>
        <w:rPr>
          <w:rFonts w:hint="eastAsia" w:ascii="仿宋_GB2312" w:eastAsia="仿宋_GB2312"/>
          <w:sz w:val="32"/>
          <w:szCs w:val="32"/>
          <w:lang w:eastAsia="zh-CN"/>
        </w:rPr>
      </w:pPr>
    </w:p>
    <w:p w14:paraId="43D5A537">
      <w:pPr>
        <w:spacing w:line="600" w:lineRule="exact"/>
        <w:ind w:firstLine="640" w:firstLineChars="200"/>
        <w:outlineLvl w:val="1"/>
        <w:rPr>
          <w:rFonts w:hint="eastAsia" w:ascii="黑体" w:hAnsi="黑体" w:eastAsia="黑体"/>
          <w:sz w:val="32"/>
          <w:szCs w:val="32"/>
        </w:rPr>
      </w:pPr>
      <w:bookmarkStart w:id="24" w:name="_Toc15377208"/>
      <w:bookmarkStart w:id="25" w:name="_Toc15396606"/>
    </w:p>
    <w:p w14:paraId="67410768">
      <w:pPr>
        <w:spacing w:line="600" w:lineRule="exact"/>
        <w:ind w:firstLine="640" w:firstLineChars="200"/>
        <w:outlineLvl w:val="1"/>
        <w:rPr>
          <w:rFonts w:hint="eastAsia" w:ascii="黑体" w:hAnsi="黑体" w:eastAsia="黑体"/>
          <w:sz w:val="32"/>
          <w:szCs w:val="32"/>
        </w:rPr>
      </w:pPr>
    </w:p>
    <w:p w14:paraId="6BF80823">
      <w:pPr>
        <w:spacing w:line="600" w:lineRule="exact"/>
        <w:ind w:firstLine="640" w:firstLineChars="200"/>
        <w:outlineLvl w:val="1"/>
        <w:rPr>
          <w:rFonts w:hint="eastAsia" w:ascii="黑体" w:hAnsi="黑体" w:eastAsia="黑体"/>
          <w:sz w:val="32"/>
          <w:szCs w:val="32"/>
        </w:rPr>
      </w:pPr>
    </w:p>
    <w:p w14:paraId="3698F63E">
      <w:pPr>
        <w:spacing w:line="600" w:lineRule="exact"/>
        <w:ind w:firstLine="640" w:firstLineChars="200"/>
        <w:outlineLvl w:val="1"/>
        <w:rPr>
          <w:rStyle w:val="29"/>
          <w:rFonts w:ascii="黑体" w:hAnsi="黑体" w:eastAsia="黑体"/>
          <w:b w:val="0"/>
        </w:rPr>
      </w:pPr>
      <w:r>
        <w:rPr>
          <w:rFonts w:hint="eastAsia" w:ascii="黑体" w:hAnsi="黑体" w:eastAsia="黑体"/>
          <w:sz w:val="32"/>
          <w:szCs w:val="32"/>
        </w:rPr>
        <w:t>四、财</w:t>
      </w:r>
      <w:r>
        <w:rPr>
          <w:rStyle w:val="29"/>
          <w:rFonts w:hint="eastAsia" w:ascii="黑体" w:hAnsi="黑体" w:eastAsia="黑体"/>
          <w:b w:val="0"/>
        </w:rPr>
        <w:t>政拨款收入支出决算总体情况说明</w:t>
      </w:r>
      <w:bookmarkEnd w:id="24"/>
      <w:bookmarkEnd w:id="25"/>
    </w:p>
    <w:p w14:paraId="4383F59A">
      <w:pPr>
        <w:spacing w:line="600" w:lineRule="exact"/>
        <w:ind w:firstLine="640"/>
        <w:rPr>
          <w:rFonts w:ascii="仿宋" w:hAnsi="仿宋" w:eastAsia="仿宋"/>
          <w:b/>
          <w:sz w:val="32"/>
          <w:szCs w:val="32"/>
        </w:rPr>
      </w:pPr>
      <w:r>
        <w:rPr>
          <w:rFonts w:hint="eastAsia" w:ascii="仿宋" w:hAnsi="仿宋" w:eastAsia="仿宋"/>
          <w:sz w:val="32"/>
          <w:szCs w:val="32"/>
        </w:rPr>
        <w:t>2023年度财政拨款收、支总计均为</w:t>
      </w:r>
      <w:r>
        <w:rPr>
          <w:rFonts w:ascii="仿宋" w:hAnsi="仿宋" w:eastAsia="仿宋"/>
          <w:b/>
          <w:sz w:val="32"/>
          <w:szCs w:val="32"/>
        </w:rPr>
        <w:t>2753.85</w:t>
      </w:r>
      <w:r>
        <w:rPr>
          <w:rFonts w:hint="eastAsia" w:ascii="仿宋" w:hAnsi="仿宋" w:eastAsia="仿宋"/>
          <w:sz w:val="32"/>
          <w:szCs w:val="32"/>
        </w:rPr>
        <w:t>万元。与2022年度相比，财政拨款收、支总计各增加</w:t>
      </w:r>
      <w:r>
        <w:rPr>
          <w:rFonts w:hint="eastAsia" w:ascii="仿宋" w:hAnsi="仿宋" w:eastAsia="仿宋"/>
          <w:sz w:val="32"/>
          <w:szCs w:val="32"/>
          <w:lang w:val="en-US" w:eastAsia="zh-CN"/>
        </w:rPr>
        <w:t>262.54</w:t>
      </w:r>
      <w:r>
        <w:rPr>
          <w:rFonts w:hint="eastAsia" w:ascii="仿宋" w:hAnsi="仿宋" w:eastAsia="仿宋"/>
          <w:sz w:val="32"/>
          <w:szCs w:val="32"/>
        </w:rPr>
        <w:t>万元，增长</w:t>
      </w:r>
      <w:r>
        <w:rPr>
          <w:rFonts w:hint="eastAsia" w:ascii="仿宋" w:hAnsi="仿宋" w:eastAsia="仿宋"/>
          <w:sz w:val="32"/>
          <w:szCs w:val="32"/>
          <w:lang w:val="en-US" w:eastAsia="zh-CN"/>
        </w:rPr>
        <w:t>10.54</w:t>
      </w:r>
      <w:r>
        <w:rPr>
          <w:rFonts w:ascii="仿宋" w:hAnsi="仿宋" w:eastAsia="仿宋"/>
          <w:sz w:val="32"/>
          <w:szCs w:val="32"/>
        </w:rPr>
        <w:t>%</w:t>
      </w:r>
      <w:r>
        <w:rPr>
          <w:rFonts w:hint="eastAsia" w:ascii="仿宋" w:hAnsi="仿宋" w:eastAsia="仿宋"/>
          <w:sz w:val="32"/>
          <w:szCs w:val="32"/>
        </w:rPr>
        <w:t>。主要变动原因是202</w:t>
      </w:r>
      <w:r>
        <w:rPr>
          <w:rFonts w:hint="eastAsia" w:ascii="仿宋" w:hAnsi="仿宋" w:eastAsia="仿宋"/>
          <w:sz w:val="32"/>
          <w:szCs w:val="32"/>
          <w:lang w:val="en-US" w:eastAsia="zh-CN"/>
        </w:rPr>
        <w:t>3年相比2022年新招录了5名行政人员，人员经费增加，全州财政事务项目较上年度有所增加</w:t>
      </w:r>
      <w:r>
        <w:rPr>
          <w:rFonts w:hint="eastAsia" w:ascii="仿宋" w:hAnsi="仿宋" w:eastAsia="仿宋"/>
          <w:sz w:val="32"/>
          <w:szCs w:val="32"/>
        </w:rPr>
        <w:t>。</w:t>
      </w:r>
      <w:r>
        <w:rPr>
          <w:rFonts w:hint="eastAsia" w:ascii="仿宋" w:hAnsi="仿宋" w:eastAsia="仿宋"/>
          <w:b/>
          <w:sz w:val="32"/>
          <w:szCs w:val="32"/>
        </w:rPr>
        <w:t>（注：数据来源于财决</w:t>
      </w:r>
      <w:r>
        <w:rPr>
          <w:rFonts w:ascii="仿宋" w:hAnsi="仿宋" w:eastAsia="仿宋"/>
          <w:b/>
          <w:sz w:val="32"/>
          <w:szCs w:val="32"/>
        </w:rPr>
        <w:t>01-1</w:t>
      </w:r>
      <w:r>
        <w:rPr>
          <w:rFonts w:hint="eastAsia" w:ascii="仿宋" w:hAnsi="仿宋" w:eastAsia="仿宋"/>
          <w:b/>
          <w:sz w:val="32"/>
          <w:szCs w:val="32"/>
        </w:rPr>
        <w:t>表</w:t>
      </w:r>
      <w:r>
        <w:rPr>
          <w:rFonts w:ascii="仿宋" w:hAnsi="仿宋" w:eastAsia="仿宋"/>
          <w:b/>
          <w:sz w:val="32"/>
          <w:szCs w:val="32"/>
        </w:rPr>
        <w:t>）</w:t>
      </w:r>
    </w:p>
    <w:p w14:paraId="57A89F08">
      <w:pPr>
        <w:spacing w:line="600" w:lineRule="exact"/>
        <w:ind w:firstLine="640" w:firstLineChars="200"/>
        <w:rPr>
          <w:rFonts w:ascii="仿宋" w:hAnsi="仿宋" w:eastAsia="仿宋"/>
          <w:sz w:val="32"/>
          <w:szCs w:val="32"/>
        </w:rPr>
      </w:pPr>
      <w:r>
        <w:rPr>
          <w:rFonts w:hint="eastAsia" w:ascii="仿宋" w:hAnsi="仿宋" w:eastAsia="仿宋"/>
          <w:sz w:val="32"/>
          <w:szCs w:val="32"/>
        </w:rPr>
        <w:t>（图4：财政拨款收、支决算总计变动情况）（柱状图）</w:t>
      </w:r>
    </w:p>
    <w:p w14:paraId="217BDCC6">
      <w:pPr>
        <w:spacing w:line="600" w:lineRule="exact"/>
        <w:ind w:firstLine="640"/>
        <w:rPr>
          <w:rFonts w:hint="eastAsia" w:ascii="仿宋" w:hAnsi="仿宋" w:eastAsia="仿宋"/>
          <w:b/>
          <w:sz w:val="32"/>
          <w:szCs w:val="32"/>
          <w:lang w:eastAsia="zh-CN"/>
        </w:rPr>
      </w:pPr>
      <w:r>
        <w:rPr>
          <w:rFonts w:hint="eastAsia" w:ascii="仿宋_GB2312" w:eastAsia="仿宋_GB2312"/>
          <w:sz w:val="32"/>
          <w:szCs w:val="32"/>
          <w:lang w:eastAsia="zh-CN"/>
        </w:rPr>
        <w:pict>
          <v:shape id="_x0000_s1026" o:spid="_x0000_s1026" o:spt="75" alt="" type="#_x0000_t75" style="position:absolute;left:0pt;margin-left:-3.35pt;margin-top:10.15pt;height:227.95pt;width:413.1pt;z-index:251661312;mso-width-relative:page;mso-height-relative:page;" o:ole="t" filled="f" o:preferrelative="t" stroked="f" coordsize="21600,21600">
            <v:path/>
            <v:fill on="f" focussize="0,0"/>
            <v:stroke on="f"/>
            <v:imagedata r:id="rId11" o:title=""/>
            <o:lock v:ext="edit" aspectratio="t"/>
          </v:shape>
          <o:OLEObject Type="Embed" ProgID="Excel.Chart.8" ShapeID="_x0000_s1026" DrawAspect="Content" ObjectID="_1468075726" r:id="rId10">
            <o:LockedField>false</o:LockedField>
          </o:OLEObject>
        </w:pict>
      </w:r>
    </w:p>
    <w:p w14:paraId="6E5CB28E">
      <w:pPr>
        <w:spacing w:line="600" w:lineRule="exact"/>
        <w:ind w:firstLine="640"/>
        <w:rPr>
          <w:rFonts w:hint="eastAsia" w:ascii="仿宋" w:hAnsi="仿宋" w:eastAsia="仿宋"/>
          <w:b/>
          <w:sz w:val="32"/>
          <w:szCs w:val="32"/>
          <w:lang w:eastAsia="zh-CN"/>
        </w:rPr>
      </w:pPr>
    </w:p>
    <w:p w14:paraId="2ED8610E">
      <w:pPr>
        <w:spacing w:line="600" w:lineRule="exact"/>
        <w:ind w:firstLine="640"/>
        <w:rPr>
          <w:rFonts w:hint="eastAsia" w:ascii="仿宋" w:hAnsi="仿宋" w:eastAsia="仿宋"/>
          <w:b/>
          <w:sz w:val="32"/>
          <w:szCs w:val="32"/>
          <w:lang w:eastAsia="zh-CN"/>
        </w:rPr>
      </w:pPr>
    </w:p>
    <w:p w14:paraId="022EC4E8">
      <w:pPr>
        <w:spacing w:line="600" w:lineRule="exact"/>
        <w:ind w:firstLine="640"/>
        <w:rPr>
          <w:rFonts w:hint="eastAsia" w:ascii="仿宋_GB2312" w:eastAsia="仿宋_GB2312"/>
          <w:sz w:val="32"/>
          <w:szCs w:val="32"/>
          <w:lang w:eastAsia="zh-CN"/>
        </w:rPr>
      </w:pPr>
    </w:p>
    <w:p w14:paraId="37343046">
      <w:pPr>
        <w:spacing w:line="600" w:lineRule="exact"/>
        <w:ind w:firstLine="640"/>
        <w:rPr>
          <w:rFonts w:hint="eastAsia" w:ascii="仿宋_GB2312" w:eastAsia="仿宋_GB2312"/>
          <w:sz w:val="32"/>
          <w:szCs w:val="32"/>
          <w:lang w:eastAsia="zh-CN"/>
        </w:rPr>
      </w:pPr>
    </w:p>
    <w:p w14:paraId="110C9E13">
      <w:pPr>
        <w:spacing w:line="600" w:lineRule="exact"/>
        <w:ind w:firstLine="640"/>
        <w:rPr>
          <w:rFonts w:hint="eastAsia" w:ascii="仿宋_GB2312" w:eastAsia="仿宋_GB2312"/>
          <w:sz w:val="32"/>
          <w:szCs w:val="32"/>
          <w:lang w:eastAsia="zh-CN"/>
        </w:rPr>
      </w:pPr>
    </w:p>
    <w:p w14:paraId="1F5332C4">
      <w:pPr>
        <w:spacing w:line="600" w:lineRule="exact"/>
        <w:ind w:firstLine="640"/>
        <w:rPr>
          <w:rFonts w:hint="eastAsia" w:ascii="仿宋_GB2312" w:eastAsia="仿宋_GB2312"/>
          <w:sz w:val="32"/>
          <w:szCs w:val="32"/>
          <w:lang w:eastAsia="zh-CN"/>
        </w:rPr>
      </w:pPr>
    </w:p>
    <w:p w14:paraId="1776D644">
      <w:pPr>
        <w:spacing w:line="240" w:lineRule="auto"/>
        <w:ind w:firstLine="640"/>
        <w:rPr>
          <w:rFonts w:hint="eastAsia" w:ascii="仿宋" w:hAnsi="仿宋" w:eastAsia="仿宋"/>
          <w:b/>
          <w:sz w:val="32"/>
          <w:szCs w:val="32"/>
          <w:lang w:eastAsia="zh-CN"/>
        </w:rPr>
      </w:pPr>
    </w:p>
    <w:p w14:paraId="1EC77CDE">
      <w:pPr>
        <w:spacing w:line="600" w:lineRule="exact"/>
        <w:ind w:firstLine="640" w:firstLineChars="200"/>
        <w:outlineLvl w:val="1"/>
        <w:rPr>
          <w:rStyle w:val="29"/>
          <w:rFonts w:ascii="黑体" w:hAnsi="黑体" w:eastAsia="黑体"/>
          <w:b w:val="0"/>
        </w:rPr>
      </w:pPr>
      <w:bookmarkStart w:id="26" w:name="_Toc15396607"/>
      <w:bookmarkStart w:id="27" w:name="_Toc15377209"/>
      <w:r>
        <w:rPr>
          <w:rFonts w:hint="eastAsia" w:ascii="黑体" w:hAnsi="黑体" w:eastAsia="黑体"/>
          <w:sz w:val="32"/>
          <w:szCs w:val="32"/>
        </w:rPr>
        <w:t>五、</w:t>
      </w:r>
      <w:r>
        <w:rPr>
          <w:rFonts w:hint="eastAsia" w:ascii="黑体" w:hAnsi="黑体" w:eastAsia="黑体"/>
          <w:b/>
          <w:sz w:val="32"/>
          <w:szCs w:val="32"/>
        </w:rPr>
        <w:t>一</w:t>
      </w:r>
      <w:r>
        <w:rPr>
          <w:rStyle w:val="29"/>
          <w:rFonts w:hint="eastAsia" w:ascii="黑体" w:hAnsi="黑体" w:eastAsia="黑体"/>
          <w:b w:val="0"/>
        </w:rPr>
        <w:t>般公共预算财政拨款支出决算情况说明</w:t>
      </w:r>
      <w:bookmarkEnd w:id="26"/>
      <w:bookmarkEnd w:id="27"/>
    </w:p>
    <w:p w14:paraId="3781F537">
      <w:pPr>
        <w:spacing w:line="600" w:lineRule="exact"/>
        <w:ind w:firstLine="643" w:firstLineChars="200"/>
        <w:outlineLvl w:val="2"/>
        <w:rPr>
          <w:rFonts w:ascii="仿宋" w:hAnsi="仿宋" w:eastAsia="仿宋"/>
          <w:b/>
          <w:sz w:val="32"/>
          <w:szCs w:val="32"/>
        </w:rPr>
      </w:pPr>
      <w:bookmarkStart w:id="28" w:name="_Toc15377210"/>
      <w:r>
        <w:rPr>
          <w:rFonts w:hint="eastAsia" w:ascii="仿宋" w:hAnsi="仿宋" w:eastAsia="仿宋"/>
          <w:b/>
          <w:sz w:val="32"/>
          <w:szCs w:val="32"/>
        </w:rPr>
        <w:t>（一）一般公共预算财政拨款支出决算总体情况</w:t>
      </w:r>
      <w:bookmarkEnd w:id="28"/>
    </w:p>
    <w:p w14:paraId="0B623CB7">
      <w:pPr>
        <w:spacing w:line="600" w:lineRule="exact"/>
        <w:ind w:firstLine="640" w:firstLineChars="200"/>
        <w:rPr>
          <w:rFonts w:ascii="仿宋" w:hAnsi="仿宋" w:eastAsia="仿宋"/>
          <w:sz w:val="32"/>
          <w:szCs w:val="32"/>
        </w:rPr>
      </w:pPr>
      <w:r>
        <w:rPr>
          <w:rFonts w:hint="eastAsia" w:ascii="仿宋" w:hAnsi="仿宋" w:eastAsia="仿宋"/>
          <w:sz w:val="32"/>
          <w:szCs w:val="32"/>
        </w:rPr>
        <w:t>2023年度一般公共预算财政拨款支出</w:t>
      </w:r>
      <w:r>
        <w:rPr>
          <w:rFonts w:ascii="仿宋" w:hAnsi="仿宋" w:eastAsia="仿宋"/>
          <w:b/>
          <w:sz w:val="32"/>
          <w:szCs w:val="32"/>
        </w:rPr>
        <w:t>2753.85</w:t>
      </w:r>
      <w:r>
        <w:rPr>
          <w:rFonts w:hint="eastAsia" w:ascii="仿宋" w:hAnsi="仿宋" w:eastAsia="仿宋"/>
          <w:sz w:val="32"/>
          <w:szCs w:val="32"/>
        </w:rPr>
        <w:t>万元，占本年支出合计的</w:t>
      </w:r>
      <w:r>
        <w:rPr>
          <w:rFonts w:ascii="仿宋" w:hAnsi="仿宋" w:eastAsia="仿宋"/>
          <w:b/>
          <w:sz w:val="32"/>
          <w:szCs w:val="32"/>
        </w:rPr>
        <w:t>100</w:t>
      </w:r>
      <w:r>
        <w:rPr>
          <w:rFonts w:ascii="仿宋" w:hAnsi="仿宋" w:eastAsia="仿宋"/>
          <w:sz w:val="32"/>
          <w:szCs w:val="32"/>
        </w:rPr>
        <w:t>%</w:t>
      </w:r>
      <w:r>
        <w:rPr>
          <w:rFonts w:hint="eastAsia" w:ascii="仿宋" w:hAnsi="仿宋" w:eastAsia="仿宋"/>
          <w:sz w:val="32"/>
          <w:szCs w:val="32"/>
        </w:rPr>
        <w:t>。与2022年度相比，一般公共预算财政拨款支出增加</w:t>
      </w:r>
      <w:r>
        <w:rPr>
          <w:rFonts w:hint="eastAsia" w:ascii="仿宋" w:hAnsi="仿宋" w:eastAsia="仿宋"/>
          <w:sz w:val="32"/>
          <w:szCs w:val="32"/>
          <w:lang w:val="en-US" w:eastAsia="zh-CN"/>
        </w:rPr>
        <w:t>262.54</w:t>
      </w:r>
      <w:r>
        <w:rPr>
          <w:rFonts w:hint="eastAsia" w:ascii="仿宋" w:hAnsi="仿宋" w:eastAsia="仿宋"/>
          <w:sz w:val="32"/>
          <w:szCs w:val="32"/>
        </w:rPr>
        <w:t>万元，增长</w:t>
      </w:r>
      <w:r>
        <w:rPr>
          <w:rFonts w:hint="eastAsia" w:ascii="仿宋" w:hAnsi="仿宋" w:eastAsia="仿宋"/>
          <w:sz w:val="32"/>
          <w:szCs w:val="32"/>
          <w:lang w:val="en-US" w:eastAsia="zh-CN"/>
        </w:rPr>
        <w:t>10.54</w:t>
      </w:r>
      <w:r>
        <w:rPr>
          <w:rFonts w:ascii="仿宋" w:hAnsi="仿宋" w:eastAsia="仿宋"/>
          <w:sz w:val="32"/>
          <w:szCs w:val="32"/>
        </w:rPr>
        <w:t>%</w:t>
      </w:r>
      <w:r>
        <w:rPr>
          <w:rFonts w:hint="eastAsia" w:ascii="仿宋" w:hAnsi="仿宋" w:eastAsia="仿宋"/>
          <w:sz w:val="32"/>
          <w:szCs w:val="32"/>
        </w:rPr>
        <w:t>。主要变动原因是202</w:t>
      </w:r>
      <w:r>
        <w:rPr>
          <w:rFonts w:hint="eastAsia" w:ascii="仿宋" w:hAnsi="仿宋" w:eastAsia="仿宋"/>
          <w:sz w:val="32"/>
          <w:szCs w:val="32"/>
          <w:lang w:val="en-US" w:eastAsia="zh-CN"/>
        </w:rPr>
        <w:t>3年相比2022年新招录了5名行政人员，人员经费增加，全州财政事务项目较上年度有所增加</w:t>
      </w:r>
      <w:r>
        <w:rPr>
          <w:rFonts w:hint="eastAsia" w:ascii="仿宋" w:hAnsi="仿宋" w:eastAsia="仿宋"/>
          <w:sz w:val="32"/>
          <w:szCs w:val="32"/>
        </w:rPr>
        <w:t>。</w:t>
      </w:r>
    </w:p>
    <w:p w14:paraId="6E1E5191">
      <w:pPr>
        <w:spacing w:line="600" w:lineRule="exact"/>
        <w:ind w:firstLine="640" w:firstLineChars="200"/>
        <w:rPr>
          <w:rFonts w:ascii="仿宋" w:hAnsi="仿宋" w:eastAsia="仿宋"/>
          <w:sz w:val="32"/>
          <w:szCs w:val="32"/>
        </w:rPr>
      </w:pPr>
      <w:r>
        <w:rPr>
          <w:rFonts w:hint="eastAsia" w:ascii="仿宋" w:hAnsi="仿宋" w:eastAsia="仿宋"/>
          <w:sz w:val="32"/>
          <w:szCs w:val="32"/>
        </w:rPr>
        <w:t>（图5：一般公共预算财政拨款支出决算变动情况）（柱状图）</w:t>
      </w:r>
    </w:p>
    <w:p w14:paraId="17E83FD3">
      <w:pPr>
        <w:spacing w:line="600" w:lineRule="exact"/>
        <w:ind w:firstLine="640" w:firstLineChars="200"/>
        <w:rPr>
          <w:rFonts w:hint="eastAsia" w:ascii="仿宋" w:hAnsi="仿宋" w:eastAsia="仿宋"/>
          <w:sz w:val="32"/>
          <w:szCs w:val="32"/>
          <w:lang w:eastAsia="zh-CN"/>
        </w:rPr>
      </w:pPr>
      <w:r>
        <w:rPr>
          <w:rFonts w:hint="eastAsia" w:ascii="仿宋" w:hAnsi="仿宋" w:eastAsia="仿宋"/>
          <w:sz w:val="32"/>
          <w:szCs w:val="32"/>
          <w:lang w:eastAsia="zh-CN"/>
        </w:rPr>
        <w:drawing>
          <wp:anchor distT="0" distB="0" distL="114300" distR="114300" simplePos="0" relativeHeight="251659264" behindDoc="0" locked="0" layoutInCell="1" allowOverlap="1">
            <wp:simplePos x="0" y="0"/>
            <wp:positionH relativeFrom="column">
              <wp:posOffset>106680</wp:posOffset>
            </wp:positionH>
            <wp:positionV relativeFrom="paragraph">
              <wp:posOffset>304800</wp:posOffset>
            </wp:positionV>
            <wp:extent cx="4630420" cy="2844165"/>
            <wp:effectExtent l="4445" t="5080" r="13335" b="15875"/>
            <wp:wrapNone/>
            <wp:docPr id="8" name="图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anchor>
        </w:drawing>
      </w:r>
    </w:p>
    <w:p w14:paraId="5854B199">
      <w:pPr>
        <w:spacing w:line="600" w:lineRule="exact"/>
        <w:ind w:firstLine="643" w:firstLineChars="200"/>
        <w:outlineLvl w:val="2"/>
        <w:rPr>
          <w:rFonts w:hint="eastAsia" w:ascii="仿宋" w:hAnsi="仿宋" w:eastAsia="仿宋"/>
          <w:b/>
          <w:sz w:val="32"/>
          <w:szCs w:val="32"/>
        </w:rPr>
      </w:pPr>
      <w:bookmarkStart w:id="29" w:name="_Toc15377211"/>
    </w:p>
    <w:p w14:paraId="611CBAFD">
      <w:pPr>
        <w:spacing w:line="600" w:lineRule="exact"/>
        <w:ind w:firstLine="643" w:firstLineChars="200"/>
        <w:outlineLvl w:val="2"/>
        <w:rPr>
          <w:rFonts w:hint="eastAsia" w:ascii="仿宋" w:hAnsi="仿宋" w:eastAsia="仿宋"/>
          <w:b/>
          <w:sz w:val="32"/>
          <w:szCs w:val="32"/>
        </w:rPr>
      </w:pPr>
    </w:p>
    <w:p w14:paraId="32117F6A">
      <w:pPr>
        <w:spacing w:line="600" w:lineRule="exact"/>
        <w:ind w:firstLine="643" w:firstLineChars="200"/>
        <w:outlineLvl w:val="2"/>
        <w:rPr>
          <w:rFonts w:hint="eastAsia" w:ascii="仿宋" w:hAnsi="仿宋" w:eastAsia="仿宋"/>
          <w:b/>
          <w:sz w:val="32"/>
          <w:szCs w:val="32"/>
        </w:rPr>
      </w:pPr>
    </w:p>
    <w:p w14:paraId="067363A3">
      <w:pPr>
        <w:spacing w:line="600" w:lineRule="exact"/>
        <w:ind w:firstLine="643" w:firstLineChars="200"/>
        <w:outlineLvl w:val="2"/>
        <w:rPr>
          <w:rFonts w:hint="eastAsia" w:ascii="仿宋" w:hAnsi="仿宋" w:eastAsia="仿宋"/>
          <w:b/>
          <w:sz w:val="32"/>
          <w:szCs w:val="32"/>
        </w:rPr>
      </w:pPr>
    </w:p>
    <w:p w14:paraId="730B0191">
      <w:pPr>
        <w:spacing w:line="600" w:lineRule="exact"/>
        <w:ind w:firstLine="643" w:firstLineChars="200"/>
        <w:outlineLvl w:val="2"/>
        <w:rPr>
          <w:rFonts w:hint="eastAsia" w:ascii="仿宋" w:hAnsi="仿宋" w:eastAsia="仿宋"/>
          <w:b/>
          <w:sz w:val="32"/>
          <w:szCs w:val="32"/>
        </w:rPr>
      </w:pPr>
    </w:p>
    <w:p w14:paraId="5D3EFEF3">
      <w:pPr>
        <w:spacing w:line="600" w:lineRule="exact"/>
        <w:ind w:firstLine="643" w:firstLineChars="200"/>
        <w:outlineLvl w:val="2"/>
        <w:rPr>
          <w:rFonts w:hint="eastAsia" w:ascii="仿宋" w:hAnsi="仿宋" w:eastAsia="仿宋"/>
          <w:b/>
          <w:sz w:val="32"/>
          <w:szCs w:val="32"/>
        </w:rPr>
      </w:pPr>
    </w:p>
    <w:p w14:paraId="0311573E">
      <w:pPr>
        <w:spacing w:line="600" w:lineRule="exact"/>
        <w:ind w:firstLine="643" w:firstLineChars="200"/>
        <w:outlineLvl w:val="2"/>
        <w:rPr>
          <w:rFonts w:hint="eastAsia" w:ascii="仿宋" w:hAnsi="仿宋" w:eastAsia="仿宋"/>
          <w:b/>
          <w:sz w:val="32"/>
          <w:szCs w:val="32"/>
        </w:rPr>
      </w:pPr>
    </w:p>
    <w:p w14:paraId="506E1DC6">
      <w:pPr>
        <w:spacing w:line="600" w:lineRule="exact"/>
        <w:ind w:firstLine="643" w:firstLineChars="200"/>
        <w:outlineLvl w:val="2"/>
        <w:rPr>
          <w:rFonts w:hint="eastAsia" w:ascii="仿宋" w:hAnsi="仿宋" w:eastAsia="仿宋"/>
          <w:b/>
          <w:sz w:val="32"/>
          <w:szCs w:val="32"/>
        </w:rPr>
      </w:pPr>
    </w:p>
    <w:p w14:paraId="1375A607">
      <w:pPr>
        <w:spacing w:line="600" w:lineRule="exact"/>
        <w:ind w:firstLine="643" w:firstLineChars="200"/>
        <w:outlineLvl w:val="2"/>
        <w:rPr>
          <w:rFonts w:ascii="仿宋" w:hAnsi="仿宋" w:eastAsia="仿宋"/>
          <w:b/>
          <w:sz w:val="32"/>
          <w:szCs w:val="32"/>
        </w:rPr>
      </w:pPr>
      <w:r>
        <w:rPr>
          <w:rFonts w:hint="eastAsia" w:ascii="仿宋" w:hAnsi="仿宋" w:eastAsia="仿宋"/>
          <w:b/>
          <w:sz w:val="32"/>
          <w:szCs w:val="32"/>
        </w:rPr>
        <w:t>（二）一般公共预算财政拨款支出决算结构情况</w:t>
      </w:r>
      <w:bookmarkEnd w:id="29"/>
    </w:p>
    <w:p w14:paraId="32854010">
      <w:pPr>
        <w:snapToGrid w:val="0"/>
        <w:spacing w:line="520" w:lineRule="exact"/>
        <w:ind w:firstLine="640" w:firstLineChars="200"/>
        <w:rPr>
          <w:rFonts w:hint="eastAsia" w:ascii="Times New Roman" w:hAnsi="Times New Roman" w:eastAsia="仿宋_GB2312"/>
          <w:sz w:val="32"/>
          <w:szCs w:val="13"/>
          <w:lang w:eastAsia="zh-CN"/>
        </w:rPr>
      </w:pPr>
      <w:r>
        <w:rPr>
          <w:rFonts w:hint="eastAsia" w:ascii="仿宋" w:hAnsi="仿宋" w:eastAsia="仿宋"/>
          <w:sz w:val="32"/>
          <w:szCs w:val="32"/>
        </w:rPr>
        <w:t>2023年度一般公共预算财政拨款支出</w:t>
      </w:r>
      <w:r>
        <w:rPr>
          <w:rFonts w:ascii="仿宋" w:hAnsi="仿宋" w:eastAsia="仿宋"/>
          <w:b/>
          <w:sz w:val="32"/>
          <w:szCs w:val="32"/>
        </w:rPr>
        <w:t>2753.85</w:t>
      </w:r>
      <w:r>
        <w:rPr>
          <w:rFonts w:hint="eastAsia" w:ascii="仿宋" w:hAnsi="仿宋" w:eastAsia="仿宋"/>
          <w:sz w:val="32"/>
          <w:szCs w:val="32"/>
        </w:rPr>
        <w:t>万元，主要用于以下方面</w:t>
      </w:r>
      <w:r>
        <w:rPr>
          <w:rFonts w:ascii="仿宋" w:hAnsi="仿宋" w:eastAsia="仿宋"/>
          <w:sz w:val="32"/>
          <w:szCs w:val="32"/>
        </w:rPr>
        <w:t>:</w:t>
      </w:r>
      <w:r>
        <w:rPr>
          <w:rFonts w:hint="eastAsia" w:ascii="仿宋" w:hAnsi="仿宋" w:eastAsia="仿宋"/>
          <w:b/>
          <w:sz w:val="32"/>
          <w:szCs w:val="32"/>
        </w:rPr>
        <w:t>一般公共服务</w:t>
      </w:r>
      <w:r>
        <w:rPr>
          <w:rFonts w:hint="eastAsia" w:ascii="仿宋" w:hAnsi="仿宋" w:eastAsia="仿宋"/>
          <w:b/>
          <w:bCs/>
          <w:sz w:val="32"/>
          <w:szCs w:val="32"/>
        </w:rPr>
        <w:t>支出</w:t>
      </w:r>
      <w:r>
        <w:rPr>
          <w:rFonts w:hint="eastAsia" w:ascii="Times New Roman" w:hAnsi="Times New Roman" w:eastAsia="仿宋_GB2312"/>
          <w:sz w:val="32"/>
          <w:szCs w:val="13"/>
          <w:lang w:val="en-US" w:eastAsia="zh-CN"/>
        </w:rPr>
        <w:t>2266.16</w:t>
      </w:r>
      <w:r>
        <w:rPr>
          <w:rFonts w:hint="eastAsia" w:ascii="Times New Roman" w:hAnsi="Times New Roman" w:eastAsia="仿宋_GB2312"/>
          <w:sz w:val="32"/>
          <w:szCs w:val="13"/>
        </w:rPr>
        <w:t>万元，占比</w:t>
      </w:r>
      <w:r>
        <w:rPr>
          <w:rFonts w:hint="eastAsia" w:ascii="Times New Roman" w:hAnsi="Times New Roman" w:eastAsia="仿宋_GB2312"/>
          <w:sz w:val="32"/>
          <w:szCs w:val="13"/>
          <w:lang w:val="en-US" w:eastAsia="zh-CN"/>
        </w:rPr>
        <w:t>82.29</w:t>
      </w:r>
      <w:r>
        <w:rPr>
          <w:rFonts w:ascii="仿宋" w:hAnsi="仿宋" w:eastAsia="仿宋"/>
          <w:sz w:val="32"/>
          <w:szCs w:val="32"/>
        </w:rPr>
        <w:t>%</w:t>
      </w:r>
      <w:r>
        <w:rPr>
          <w:rFonts w:hint="eastAsia" w:ascii="仿宋" w:hAnsi="仿宋" w:eastAsia="仿宋"/>
          <w:sz w:val="32"/>
          <w:szCs w:val="32"/>
        </w:rPr>
        <w:t>；</w:t>
      </w:r>
      <w:r>
        <w:rPr>
          <w:rFonts w:hint="eastAsia" w:ascii="仿宋" w:hAnsi="仿宋" w:eastAsia="仿宋"/>
          <w:b/>
          <w:sz w:val="32"/>
          <w:szCs w:val="32"/>
        </w:rPr>
        <w:t>社会保障和就业支出</w:t>
      </w:r>
      <w:r>
        <w:rPr>
          <w:rFonts w:hint="eastAsia" w:ascii="Times New Roman" w:hAnsi="Times New Roman" w:eastAsia="仿宋_GB2312"/>
          <w:sz w:val="32"/>
          <w:szCs w:val="13"/>
        </w:rPr>
        <w:t>为2</w:t>
      </w:r>
      <w:r>
        <w:rPr>
          <w:rFonts w:hint="eastAsia" w:ascii="Times New Roman" w:hAnsi="Times New Roman" w:eastAsia="仿宋_GB2312"/>
          <w:sz w:val="32"/>
          <w:szCs w:val="13"/>
          <w:lang w:val="en-US" w:eastAsia="zh-CN"/>
        </w:rPr>
        <w:t>54.52</w:t>
      </w:r>
      <w:r>
        <w:rPr>
          <w:rFonts w:hint="eastAsia" w:ascii="Times New Roman" w:hAnsi="Times New Roman" w:eastAsia="仿宋_GB2312"/>
          <w:sz w:val="32"/>
          <w:szCs w:val="13"/>
        </w:rPr>
        <w:t>万元，占比</w:t>
      </w:r>
      <w:r>
        <w:rPr>
          <w:rFonts w:hint="eastAsia" w:ascii="Times New Roman" w:hAnsi="Times New Roman" w:eastAsia="仿宋_GB2312"/>
          <w:sz w:val="32"/>
          <w:szCs w:val="13"/>
          <w:lang w:val="en-US" w:eastAsia="zh-CN"/>
        </w:rPr>
        <w:t>9.24</w:t>
      </w:r>
      <w:r>
        <w:rPr>
          <w:rFonts w:hint="eastAsia" w:ascii="Times New Roman" w:hAnsi="Times New Roman" w:eastAsia="仿宋_GB2312"/>
          <w:sz w:val="32"/>
          <w:szCs w:val="13"/>
        </w:rPr>
        <w:t>%；</w:t>
      </w:r>
      <w:r>
        <w:rPr>
          <w:rFonts w:hint="eastAsia" w:ascii="仿宋" w:hAnsi="仿宋" w:eastAsia="仿宋"/>
          <w:b/>
          <w:sz w:val="32"/>
          <w:szCs w:val="32"/>
        </w:rPr>
        <w:t>卫生健康支出</w:t>
      </w:r>
      <w:r>
        <w:rPr>
          <w:rFonts w:hint="eastAsia" w:ascii="Times New Roman" w:hAnsi="Times New Roman" w:eastAsia="仿宋_GB2312"/>
          <w:sz w:val="32"/>
          <w:szCs w:val="13"/>
        </w:rPr>
        <w:t>为87.5</w:t>
      </w:r>
      <w:r>
        <w:rPr>
          <w:rFonts w:hint="eastAsia" w:ascii="Times New Roman" w:hAnsi="Times New Roman" w:eastAsia="仿宋_GB2312"/>
          <w:sz w:val="32"/>
          <w:szCs w:val="13"/>
          <w:lang w:val="en-US" w:eastAsia="zh-CN"/>
        </w:rPr>
        <w:t>1</w:t>
      </w:r>
      <w:r>
        <w:rPr>
          <w:rFonts w:hint="eastAsia" w:ascii="Times New Roman" w:hAnsi="Times New Roman" w:eastAsia="仿宋_GB2312"/>
          <w:sz w:val="32"/>
          <w:szCs w:val="13"/>
        </w:rPr>
        <w:t>万元，占比</w:t>
      </w:r>
      <w:r>
        <w:rPr>
          <w:rFonts w:hint="eastAsia" w:ascii="Times New Roman" w:hAnsi="Times New Roman" w:eastAsia="仿宋_GB2312"/>
          <w:sz w:val="32"/>
          <w:szCs w:val="13"/>
          <w:lang w:val="en-US" w:eastAsia="zh-CN"/>
        </w:rPr>
        <w:t>3.18</w:t>
      </w:r>
      <w:r>
        <w:rPr>
          <w:rFonts w:hint="eastAsia" w:ascii="Times New Roman" w:hAnsi="Times New Roman" w:eastAsia="仿宋_GB2312"/>
          <w:sz w:val="32"/>
          <w:szCs w:val="13"/>
        </w:rPr>
        <w:t>%；</w:t>
      </w:r>
      <w:r>
        <w:rPr>
          <w:rFonts w:hint="eastAsia" w:ascii="仿宋" w:hAnsi="仿宋" w:eastAsia="仿宋"/>
          <w:b/>
          <w:sz w:val="32"/>
          <w:szCs w:val="32"/>
          <w:lang w:eastAsia="zh-CN"/>
        </w:rPr>
        <w:t>住房保障</w:t>
      </w:r>
      <w:r>
        <w:rPr>
          <w:rFonts w:hint="eastAsia" w:ascii="仿宋" w:hAnsi="仿宋" w:eastAsia="仿宋"/>
          <w:b/>
          <w:sz w:val="32"/>
          <w:szCs w:val="32"/>
        </w:rPr>
        <w:t>支出</w:t>
      </w:r>
      <w:r>
        <w:rPr>
          <w:rFonts w:hint="eastAsia" w:ascii="Times New Roman" w:hAnsi="Times New Roman" w:eastAsia="仿宋_GB2312"/>
          <w:sz w:val="32"/>
          <w:szCs w:val="13"/>
        </w:rPr>
        <w:t>为</w:t>
      </w:r>
      <w:r>
        <w:rPr>
          <w:rFonts w:hint="eastAsia" w:ascii="Times New Roman" w:hAnsi="Times New Roman" w:eastAsia="仿宋_GB2312"/>
          <w:sz w:val="32"/>
          <w:szCs w:val="13"/>
          <w:lang w:val="en-US" w:eastAsia="zh-CN"/>
        </w:rPr>
        <w:t>145.66</w:t>
      </w:r>
      <w:r>
        <w:rPr>
          <w:rFonts w:hint="eastAsia" w:ascii="Times New Roman" w:hAnsi="Times New Roman" w:eastAsia="仿宋_GB2312"/>
          <w:sz w:val="32"/>
          <w:szCs w:val="13"/>
        </w:rPr>
        <w:t>万元，占比</w:t>
      </w:r>
      <w:r>
        <w:rPr>
          <w:rFonts w:hint="eastAsia" w:ascii="Times New Roman" w:hAnsi="Times New Roman" w:eastAsia="仿宋_GB2312"/>
          <w:sz w:val="32"/>
          <w:szCs w:val="13"/>
          <w:lang w:val="en-US" w:eastAsia="zh-CN"/>
        </w:rPr>
        <w:t>5.29</w:t>
      </w:r>
      <w:r>
        <w:rPr>
          <w:rFonts w:hint="eastAsia" w:ascii="Times New Roman" w:hAnsi="Times New Roman" w:eastAsia="仿宋_GB2312"/>
          <w:sz w:val="32"/>
          <w:szCs w:val="13"/>
        </w:rPr>
        <w:t>%</w:t>
      </w:r>
      <w:r>
        <w:rPr>
          <w:rFonts w:hint="eastAsia" w:ascii="Times New Roman" w:hAnsi="Times New Roman" w:eastAsia="仿宋_GB2312"/>
          <w:sz w:val="32"/>
          <w:szCs w:val="13"/>
          <w:lang w:eastAsia="zh-CN"/>
        </w:rPr>
        <w:t>。</w:t>
      </w:r>
    </w:p>
    <w:p w14:paraId="3208A472">
      <w:pPr>
        <w:spacing w:line="600" w:lineRule="exact"/>
        <w:ind w:firstLine="640"/>
        <w:rPr>
          <w:rFonts w:ascii="仿宋" w:hAnsi="仿宋" w:eastAsia="仿宋"/>
          <w:b/>
          <w:sz w:val="32"/>
          <w:szCs w:val="32"/>
        </w:rPr>
      </w:pPr>
      <w:r>
        <w:rPr>
          <w:rFonts w:hint="eastAsia" w:ascii="仿宋" w:hAnsi="仿宋" w:eastAsia="仿宋"/>
          <w:b/>
          <w:sz w:val="32"/>
          <w:szCs w:val="32"/>
        </w:rPr>
        <w:t>（注：数据来源于财决01-1表，仅罗列本单位涉及的全部功能分类科目，至类级。）</w:t>
      </w:r>
    </w:p>
    <w:p w14:paraId="66AF16FE">
      <w:pPr>
        <w:spacing w:line="600" w:lineRule="exact"/>
        <w:ind w:firstLine="640" w:firstLineChars="200"/>
        <w:rPr>
          <w:rFonts w:ascii="仿宋" w:hAnsi="仿宋" w:eastAsia="仿宋"/>
          <w:sz w:val="32"/>
          <w:szCs w:val="32"/>
        </w:rPr>
      </w:pPr>
      <w:r>
        <w:rPr>
          <w:rFonts w:hint="eastAsia" w:ascii="仿宋" w:hAnsi="仿宋" w:eastAsia="仿宋"/>
          <w:sz w:val="32"/>
          <w:szCs w:val="32"/>
        </w:rPr>
        <w:t>（图6：一般公共预算财政拨款支出决算结构）（饼状图）</w:t>
      </w:r>
    </w:p>
    <w:p w14:paraId="17E6AA95">
      <w:pPr>
        <w:spacing w:line="240" w:lineRule="auto"/>
        <w:ind w:firstLine="643" w:firstLineChars="200"/>
        <w:outlineLvl w:val="2"/>
        <w:rPr>
          <w:rFonts w:hint="eastAsia" w:ascii="仿宋" w:hAnsi="仿宋" w:eastAsia="仿宋"/>
          <w:b/>
          <w:sz w:val="32"/>
          <w:szCs w:val="32"/>
          <w:lang w:eastAsia="zh-CN"/>
        </w:rPr>
      </w:pPr>
      <w:bookmarkStart w:id="30" w:name="_Toc15377212"/>
      <w:r>
        <w:rPr>
          <w:rFonts w:hint="eastAsia" w:ascii="仿宋" w:hAnsi="仿宋" w:eastAsia="仿宋"/>
          <w:b/>
          <w:sz w:val="32"/>
          <w:szCs w:val="32"/>
          <w:lang w:eastAsia="zh-CN"/>
        </w:rPr>
        <w:drawing>
          <wp:anchor distT="0" distB="0" distL="114300" distR="114300" simplePos="0" relativeHeight="251661312" behindDoc="0" locked="0" layoutInCell="1" allowOverlap="1">
            <wp:simplePos x="0" y="0"/>
            <wp:positionH relativeFrom="column">
              <wp:posOffset>64770</wp:posOffset>
            </wp:positionH>
            <wp:positionV relativeFrom="paragraph">
              <wp:posOffset>139065</wp:posOffset>
            </wp:positionV>
            <wp:extent cx="5256530" cy="2988310"/>
            <wp:effectExtent l="5080" t="4445" r="11430" b="9525"/>
            <wp:wrapNone/>
            <wp:docPr id="10" name="图表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anchor>
        </w:drawing>
      </w:r>
    </w:p>
    <w:p w14:paraId="3EEC8E67">
      <w:pPr>
        <w:spacing w:line="600" w:lineRule="exact"/>
        <w:ind w:firstLine="643" w:firstLineChars="200"/>
        <w:outlineLvl w:val="2"/>
        <w:rPr>
          <w:rFonts w:hint="eastAsia" w:ascii="仿宋" w:hAnsi="仿宋" w:eastAsia="仿宋"/>
          <w:b/>
          <w:sz w:val="32"/>
          <w:szCs w:val="32"/>
        </w:rPr>
      </w:pPr>
    </w:p>
    <w:p w14:paraId="15F35544">
      <w:pPr>
        <w:spacing w:line="600" w:lineRule="exact"/>
        <w:ind w:firstLine="643" w:firstLineChars="200"/>
        <w:outlineLvl w:val="2"/>
        <w:rPr>
          <w:rFonts w:hint="eastAsia" w:ascii="仿宋" w:hAnsi="仿宋" w:eastAsia="仿宋"/>
          <w:b/>
          <w:sz w:val="32"/>
          <w:szCs w:val="32"/>
        </w:rPr>
      </w:pPr>
    </w:p>
    <w:p w14:paraId="6433BFF1">
      <w:pPr>
        <w:spacing w:line="600" w:lineRule="exact"/>
        <w:ind w:firstLine="643" w:firstLineChars="200"/>
        <w:outlineLvl w:val="2"/>
        <w:rPr>
          <w:rFonts w:hint="eastAsia" w:ascii="仿宋" w:hAnsi="仿宋" w:eastAsia="仿宋"/>
          <w:b/>
          <w:sz w:val="32"/>
          <w:szCs w:val="32"/>
        </w:rPr>
      </w:pPr>
    </w:p>
    <w:p w14:paraId="0A282902">
      <w:pPr>
        <w:spacing w:line="600" w:lineRule="exact"/>
        <w:ind w:firstLine="643" w:firstLineChars="200"/>
        <w:outlineLvl w:val="2"/>
        <w:rPr>
          <w:rFonts w:hint="eastAsia" w:ascii="仿宋" w:hAnsi="仿宋" w:eastAsia="仿宋"/>
          <w:b/>
          <w:sz w:val="32"/>
          <w:szCs w:val="32"/>
        </w:rPr>
      </w:pPr>
    </w:p>
    <w:p w14:paraId="2A4168F2">
      <w:pPr>
        <w:spacing w:line="600" w:lineRule="exact"/>
        <w:ind w:firstLine="643" w:firstLineChars="200"/>
        <w:outlineLvl w:val="2"/>
        <w:rPr>
          <w:rFonts w:hint="eastAsia" w:ascii="仿宋" w:hAnsi="仿宋" w:eastAsia="仿宋"/>
          <w:b/>
          <w:sz w:val="32"/>
          <w:szCs w:val="32"/>
        </w:rPr>
      </w:pPr>
    </w:p>
    <w:p w14:paraId="25A4B857">
      <w:pPr>
        <w:spacing w:line="600" w:lineRule="exact"/>
        <w:ind w:firstLine="643" w:firstLineChars="200"/>
        <w:outlineLvl w:val="2"/>
        <w:rPr>
          <w:rFonts w:hint="eastAsia" w:ascii="仿宋" w:hAnsi="仿宋" w:eastAsia="仿宋"/>
          <w:b/>
          <w:sz w:val="32"/>
          <w:szCs w:val="32"/>
        </w:rPr>
      </w:pPr>
    </w:p>
    <w:p w14:paraId="59F82514">
      <w:pPr>
        <w:spacing w:line="600" w:lineRule="exact"/>
        <w:ind w:firstLine="643" w:firstLineChars="200"/>
        <w:outlineLvl w:val="2"/>
        <w:rPr>
          <w:rFonts w:hint="eastAsia" w:ascii="仿宋" w:hAnsi="仿宋" w:eastAsia="仿宋"/>
          <w:b/>
          <w:sz w:val="32"/>
          <w:szCs w:val="32"/>
        </w:rPr>
      </w:pPr>
    </w:p>
    <w:p w14:paraId="71E44477">
      <w:pPr>
        <w:spacing w:line="600" w:lineRule="exact"/>
        <w:ind w:firstLine="643" w:firstLineChars="200"/>
        <w:outlineLvl w:val="2"/>
        <w:rPr>
          <w:rFonts w:ascii="仿宋" w:hAnsi="仿宋" w:eastAsia="仿宋"/>
          <w:b/>
          <w:sz w:val="32"/>
          <w:szCs w:val="32"/>
        </w:rPr>
      </w:pPr>
      <w:r>
        <w:rPr>
          <w:rFonts w:hint="eastAsia" w:ascii="仿宋" w:hAnsi="仿宋" w:eastAsia="仿宋"/>
          <w:b/>
          <w:sz w:val="32"/>
          <w:szCs w:val="32"/>
        </w:rPr>
        <w:t>（三）一般公共预算财政拨款支出决算具体情况</w:t>
      </w:r>
      <w:bookmarkEnd w:id="30"/>
    </w:p>
    <w:p w14:paraId="7A0FC04B">
      <w:pPr>
        <w:spacing w:line="600" w:lineRule="exact"/>
        <w:ind w:firstLine="643" w:firstLineChars="200"/>
        <w:outlineLvl w:val="2"/>
        <w:rPr>
          <w:rFonts w:ascii="仿宋" w:hAnsi="仿宋" w:eastAsia="仿宋"/>
          <w:sz w:val="32"/>
          <w:szCs w:val="32"/>
        </w:rPr>
      </w:pPr>
      <w:bookmarkStart w:id="31" w:name="_Toc15377444"/>
      <w:bookmarkStart w:id="32" w:name="_Toc15378460"/>
      <w:bookmarkStart w:id="33" w:name="_Toc15377213"/>
      <w:r>
        <w:rPr>
          <w:rFonts w:hint="eastAsia" w:ascii="仿宋" w:hAnsi="仿宋" w:eastAsia="仿宋"/>
          <w:b/>
          <w:sz w:val="32"/>
          <w:szCs w:val="32"/>
        </w:rPr>
        <w:t>2023年度一般公共预算支出决算数为</w:t>
      </w:r>
      <w:r>
        <w:rPr>
          <w:rFonts w:ascii="仿宋" w:hAnsi="仿宋" w:eastAsia="仿宋"/>
          <w:b/>
          <w:sz w:val="32"/>
          <w:szCs w:val="32"/>
        </w:rPr>
        <w:t>2753.85</w:t>
      </w:r>
      <w:r>
        <w:rPr>
          <w:rFonts w:hint="eastAsia" w:ascii="仿宋" w:hAnsi="仿宋" w:eastAsia="仿宋"/>
          <w:sz w:val="32"/>
          <w:szCs w:val="32"/>
        </w:rPr>
        <w:t>，</w:t>
      </w:r>
      <w:r>
        <w:rPr>
          <w:rStyle w:val="17"/>
          <w:rFonts w:hint="eastAsia" w:ascii="仿宋" w:hAnsi="仿宋" w:eastAsia="仿宋"/>
          <w:bCs/>
          <w:sz w:val="32"/>
          <w:szCs w:val="32"/>
        </w:rPr>
        <w:t>完成预算</w:t>
      </w:r>
      <w:r>
        <w:rPr>
          <w:rStyle w:val="17"/>
          <w:rFonts w:hint="eastAsia" w:ascii="仿宋" w:hAnsi="仿宋" w:eastAsia="仿宋"/>
          <w:bCs/>
          <w:sz w:val="32"/>
          <w:szCs w:val="32"/>
          <w:lang w:val="en-US" w:eastAsia="zh-CN"/>
        </w:rPr>
        <w:t>100</w:t>
      </w:r>
      <w:r>
        <w:rPr>
          <w:rStyle w:val="17"/>
          <w:rFonts w:ascii="仿宋" w:hAnsi="仿宋" w:eastAsia="仿宋"/>
          <w:bCs/>
          <w:sz w:val="32"/>
          <w:szCs w:val="32"/>
        </w:rPr>
        <w:t>%</w:t>
      </w:r>
      <w:r>
        <w:rPr>
          <w:rStyle w:val="17"/>
          <w:rFonts w:hint="eastAsia" w:ascii="仿宋" w:hAnsi="仿宋" w:eastAsia="仿宋"/>
          <w:bCs/>
          <w:sz w:val="32"/>
          <w:szCs w:val="32"/>
        </w:rPr>
        <w:t>。其中：</w:t>
      </w:r>
      <w:bookmarkEnd w:id="31"/>
      <w:bookmarkEnd w:id="32"/>
      <w:bookmarkEnd w:id="33"/>
    </w:p>
    <w:p w14:paraId="4BCC4439">
      <w:pPr>
        <w:pStyle w:val="34"/>
        <w:keepNext w:val="0"/>
        <w:keepLines w:val="0"/>
        <w:widowControl/>
        <w:suppressLineNumbers w:val="0"/>
        <w:shd w:val="clear" w:fill="FFFFFF"/>
        <w:autoSpaceDE w:val="0"/>
        <w:autoSpaceDN/>
        <w:spacing w:line="560" w:lineRule="exact"/>
        <w:rPr>
          <w:rFonts w:hint="eastAsia" w:ascii="仿宋_GB2312" w:eastAsia="仿宋_GB2312" w:cs="仿宋_GB2312"/>
          <w:b w:val="0"/>
          <w:bCs w:val="0"/>
          <w:kern w:val="0"/>
          <w:sz w:val="32"/>
          <w:szCs w:val="32"/>
          <w:shd w:val="clear" w:fill="FFFFFF"/>
        </w:rPr>
      </w:pPr>
      <w:r>
        <w:rPr>
          <w:rStyle w:val="17"/>
          <w:rFonts w:hint="eastAsia" w:ascii="仿宋" w:hAnsi="仿宋" w:eastAsia="仿宋" w:cstheme="minorBidi"/>
          <w:bCs/>
          <w:kern w:val="2"/>
          <w:sz w:val="32"/>
          <w:szCs w:val="32"/>
          <w:lang w:val="en-US" w:eastAsia="zh-CN" w:bidi="ar-SA"/>
        </w:rPr>
        <w:t>1.一般公共服务（类）201（款）06（项）01:</w:t>
      </w:r>
      <w:r>
        <w:rPr>
          <w:rFonts w:hint="eastAsia" w:ascii="仿宋_GB2312" w:eastAsia="仿宋_GB2312" w:cs="仿宋_GB2312"/>
          <w:b w:val="0"/>
          <w:bCs w:val="0"/>
          <w:kern w:val="0"/>
          <w:sz w:val="32"/>
          <w:szCs w:val="32"/>
          <w:shd w:val="clear" w:fill="FFFFFF"/>
        </w:rPr>
        <w:t xml:space="preserve"> 支出决算为</w:t>
      </w:r>
      <w:r>
        <w:rPr>
          <w:rFonts w:hint="eastAsia" w:ascii="仿宋_GB2312" w:eastAsia="仿宋_GB2312" w:cs="仿宋_GB2312"/>
          <w:b w:val="0"/>
          <w:bCs w:val="0"/>
          <w:kern w:val="0"/>
          <w:sz w:val="32"/>
          <w:szCs w:val="32"/>
          <w:shd w:val="clear" w:fill="FFFFFF"/>
          <w:lang w:val="en-US" w:eastAsia="zh-CN"/>
        </w:rPr>
        <w:t>169.42</w:t>
      </w:r>
      <w:r>
        <w:rPr>
          <w:rFonts w:hint="eastAsia" w:ascii="仿宋_GB2312" w:eastAsia="仿宋_GB2312" w:cs="仿宋_GB2312"/>
          <w:b w:val="0"/>
          <w:bCs w:val="0"/>
          <w:kern w:val="0"/>
          <w:sz w:val="32"/>
          <w:szCs w:val="32"/>
          <w:shd w:val="clear" w:fill="FFFFFF"/>
        </w:rPr>
        <w:t>万元，完成预算100%，决算数与预算数持平。</w:t>
      </w:r>
    </w:p>
    <w:p w14:paraId="40605D48">
      <w:pPr>
        <w:pStyle w:val="34"/>
        <w:keepNext w:val="0"/>
        <w:keepLines w:val="0"/>
        <w:widowControl/>
        <w:suppressLineNumbers w:val="0"/>
        <w:shd w:val="clear" w:fill="FFFFFF"/>
        <w:autoSpaceDE w:val="0"/>
        <w:autoSpaceDN/>
        <w:spacing w:line="560" w:lineRule="exact"/>
        <w:rPr>
          <w:rFonts w:hint="eastAsia" w:ascii="仿宋_GB2312" w:eastAsia="仿宋_GB2312" w:cs="仿宋_GB2312"/>
          <w:b w:val="0"/>
          <w:bCs w:val="0"/>
          <w:kern w:val="0"/>
          <w:sz w:val="32"/>
          <w:szCs w:val="32"/>
          <w:shd w:val="clear" w:fill="FFFFFF"/>
        </w:rPr>
      </w:pPr>
      <w:r>
        <w:rPr>
          <w:rStyle w:val="17"/>
          <w:rFonts w:hint="eastAsia" w:ascii="仿宋" w:hAnsi="仿宋" w:eastAsia="仿宋" w:cstheme="minorBidi"/>
          <w:bCs/>
          <w:kern w:val="2"/>
          <w:sz w:val="32"/>
          <w:szCs w:val="32"/>
          <w:lang w:val="en-US" w:eastAsia="zh-CN" w:bidi="ar-SA"/>
        </w:rPr>
        <w:t>2. 一般公共服务（类）201（款）06（项）02:</w:t>
      </w:r>
      <w:r>
        <w:rPr>
          <w:rFonts w:hint="eastAsia" w:ascii="仿宋_GB2312" w:eastAsia="仿宋_GB2312" w:cs="仿宋_GB2312"/>
          <w:b w:val="0"/>
          <w:bCs w:val="0"/>
          <w:kern w:val="0"/>
          <w:sz w:val="32"/>
          <w:szCs w:val="32"/>
          <w:shd w:val="clear" w:fill="FFFFFF"/>
        </w:rPr>
        <w:t xml:space="preserve"> 支出决算为</w:t>
      </w:r>
      <w:r>
        <w:rPr>
          <w:rFonts w:hint="eastAsia" w:ascii="仿宋_GB2312" w:eastAsia="仿宋_GB2312" w:cs="仿宋_GB2312"/>
          <w:b w:val="0"/>
          <w:bCs w:val="0"/>
          <w:kern w:val="0"/>
          <w:sz w:val="32"/>
          <w:szCs w:val="32"/>
          <w:shd w:val="clear" w:fill="FFFFFF"/>
          <w:lang w:val="en-US" w:eastAsia="zh-CN"/>
        </w:rPr>
        <w:t>316.96</w:t>
      </w:r>
      <w:r>
        <w:rPr>
          <w:rFonts w:hint="eastAsia" w:ascii="仿宋_GB2312" w:eastAsia="仿宋_GB2312" w:cs="仿宋_GB2312"/>
          <w:b w:val="0"/>
          <w:bCs w:val="0"/>
          <w:kern w:val="0"/>
          <w:sz w:val="32"/>
          <w:szCs w:val="32"/>
          <w:shd w:val="clear" w:fill="FFFFFF"/>
        </w:rPr>
        <w:t>万元，完成预算100%，决算数与预算数持平。</w:t>
      </w:r>
    </w:p>
    <w:p w14:paraId="53EE0D59">
      <w:pPr>
        <w:pStyle w:val="34"/>
        <w:keepNext w:val="0"/>
        <w:keepLines w:val="0"/>
        <w:widowControl/>
        <w:suppressLineNumbers w:val="0"/>
        <w:shd w:val="clear" w:fill="FFFFFF"/>
        <w:autoSpaceDE w:val="0"/>
        <w:autoSpaceDN/>
        <w:spacing w:line="560" w:lineRule="exact"/>
        <w:rPr>
          <w:rFonts w:hint="eastAsia" w:ascii="仿宋_GB2312" w:eastAsia="仿宋_GB2312" w:cs="仿宋_GB2312"/>
          <w:b w:val="0"/>
          <w:bCs w:val="0"/>
          <w:kern w:val="0"/>
          <w:sz w:val="32"/>
          <w:szCs w:val="32"/>
          <w:shd w:val="clear" w:fill="FFFFFF"/>
        </w:rPr>
      </w:pPr>
      <w:r>
        <w:rPr>
          <w:rStyle w:val="17"/>
          <w:rFonts w:hint="eastAsia" w:ascii="仿宋" w:hAnsi="仿宋" w:eastAsia="仿宋" w:cstheme="minorBidi"/>
          <w:bCs/>
          <w:kern w:val="2"/>
          <w:sz w:val="32"/>
          <w:szCs w:val="32"/>
          <w:lang w:val="en-US" w:eastAsia="zh-CN" w:bidi="ar-SA"/>
        </w:rPr>
        <w:t xml:space="preserve">3. 一般公共服务（类）201（款）06（项）08: </w:t>
      </w:r>
      <w:r>
        <w:rPr>
          <w:rFonts w:hint="eastAsia" w:ascii="仿宋_GB2312" w:eastAsia="仿宋_GB2312" w:cs="仿宋_GB2312"/>
          <w:b w:val="0"/>
          <w:bCs w:val="0"/>
          <w:kern w:val="0"/>
          <w:sz w:val="32"/>
          <w:szCs w:val="32"/>
          <w:shd w:val="clear" w:fill="FFFFFF"/>
        </w:rPr>
        <w:t>支出决算为</w:t>
      </w:r>
      <w:r>
        <w:rPr>
          <w:rFonts w:hint="eastAsia" w:ascii="仿宋_GB2312" w:eastAsia="仿宋_GB2312" w:cs="仿宋_GB2312"/>
          <w:b w:val="0"/>
          <w:bCs w:val="0"/>
          <w:kern w:val="0"/>
          <w:sz w:val="32"/>
          <w:szCs w:val="32"/>
          <w:shd w:val="clear" w:fill="FFFFFF"/>
          <w:lang w:val="en-US" w:eastAsia="zh-CN"/>
        </w:rPr>
        <w:t>257.78</w:t>
      </w:r>
      <w:r>
        <w:rPr>
          <w:rFonts w:hint="eastAsia" w:ascii="仿宋_GB2312" w:eastAsia="仿宋_GB2312" w:cs="仿宋_GB2312"/>
          <w:b w:val="0"/>
          <w:bCs w:val="0"/>
          <w:kern w:val="0"/>
          <w:sz w:val="32"/>
          <w:szCs w:val="32"/>
          <w:shd w:val="clear" w:fill="FFFFFF"/>
        </w:rPr>
        <w:t>万元，完成预算100%，决算数与预算数持平。</w:t>
      </w:r>
    </w:p>
    <w:p w14:paraId="793FD9F8">
      <w:pPr>
        <w:pStyle w:val="34"/>
        <w:keepNext w:val="0"/>
        <w:keepLines w:val="0"/>
        <w:widowControl/>
        <w:suppressLineNumbers w:val="0"/>
        <w:shd w:val="clear" w:fill="FFFFFF"/>
        <w:autoSpaceDE w:val="0"/>
        <w:autoSpaceDN/>
        <w:spacing w:line="560" w:lineRule="exact"/>
        <w:rPr>
          <w:rFonts w:hint="eastAsia" w:ascii="仿宋_GB2312" w:eastAsia="仿宋_GB2312" w:cs="仿宋_GB2312"/>
          <w:b w:val="0"/>
          <w:bCs w:val="0"/>
          <w:kern w:val="0"/>
          <w:sz w:val="32"/>
          <w:szCs w:val="32"/>
          <w:shd w:val="clear" w:fill="FFFFFF"/>
        </w:rPr>
      </w:pPr>
      <w:r>
        <w:rPr>
          <w:rStyle w:val="17"/>
          <w:rFonts w:hint="eastAsia" w:ascii="仿宋" w:hAnsi="仿宋" w:eastAsia="仿宋" w:cstheme="minorBidi"/>
          <w:bCs/>
          <w:kern w:val="2"/>
          <w:sz w:val="32"/>
          <w:szCs w:val="32"/>
          <w:lang w:val="en-US" w:eastAsia="zh-CN" w:bidi="ar-SA"/>
        </w:rPr>
        <w:t>4. 社会保障和就业（类）208（款）05（项）05:</w:t>
      </w:r>
      <w:r>
        <w:rPr>
          <w:rFonts w:hint="eastAsia" w:ascii="仿宋_GB2312" w:eastAsia="仿宋_GB2312" w:cs="仿宋_GB2312"/>
          <w:b w:val="0"/>
          <w:bCs w:val="0"/>
          <w:kern w:val="0"/>
          <w:sz w:val="32"/>
          <w:szCs w:val="32"/>
          <w:shd w:val="clear" w:fill="FFFFFF"/>
        </w:rPr>
        <w:t xml:space="preserve"> 支出决算为</w:t>
      </w:r>
      <w:r>
        <w:rPr>
          <w:rFonts w:hint="eastAsia" w:ascii="仿宋_GB2312" w:eastAsia="仿宋_GB2312" w:cs="仿宋_GB2312"/>
          <w:b w:val="0"/>
          <w:bCs w:val="0"/>
          <w:kern w:val="0"/>
          <w:sz w:val="32"/>
          <w:szCs w:val="32"/>
          <w:shd w:val="clear" w:fill="FFFFFF"/>
          <w:lang w:val="en-US" w:eastAsia="zh-CN"/>
        </w:rPr>
        <w:t>183.25</w:t>
      </w:r>
      <w:r>
        <w:rPr>
          <w:rFonts w:hint="eastAsia" w:ascii="仿宋_GB2312" w:eastAsia="仿宋_GB2312" w:cs="仿宋_GB2312"/>
          <w:b w:val="0"/>
          <w:bCs w:val="0"/>
          <w:kern w:val="0"/>
          <w:sz w:val="32"/>
          <w:szCs w:val="32"/>
          <w:shd w:val="clear" w:fill="FFFFFF"/>
        </w:rPr>
        <w:t>万元，完成预算100%，决算数与预算数持平。</w:t>
      </w:r>
    </w:p>
    <w:p w14:paraId="26F05844">
      <w:pPr>
        <w:pStyle w:val="34"/>
        <w:keepNext w:val="0"/>
        <w:keepLines w:val="0"/>
        <w:widowControl/>
        <w:suppressLineNumbers w:val="0"/>
        <w:shd w:val="clear" w:fill="FFFFFF"/>
        <w:autoSpaceDE w:val="0"/>
        <w:autoSpaceDN/>
        <w:spacing w:line="560" w:lineRule="exact"/>
        <w:rPr>
          <w:rFonts w:hint="eastAsia" w:ascii="仿宋_GB2312" w:eastAsia="仿宋_GB2312" w:cs="仿宋_GB2312"/>
          <w:b w:val="0"/>
          <w:bCs w:val="0"/>
          <w:kern w:val="0"/>
          <w:sz w:val="32"/>
          <w:szCs w:val="32"/>
          <w:shd w:val="clear" w:fill="FFFFFF"/>
        </w:rPr>
      </w:pPr>
      <w:r>
        <w:rPr>
          <w:rStyle w:val="17"/>
          <w:rFonts w:hint="eastAsia" w:ascii="仿宋" w:hAnsi="仿宋" w:eastAsia="仿宋" w:cstheme="minorBidi"/>
          <w:bCs/>
          <w:kern w:val="2"/>
          <w:sz w:val="32"/>
          <w:szCs w:val="32"/>
          <w:lang w:val="en-US" w:eastAsia="zh-CN" w:bidi="ar-SA"/>
        </w:rPr>
        <w:t>5.社会保障和就业（类）208（款）05（项）06:</w:t>
      </w:r>
      <w:r>
        <w:rPr>
          <w:rFonts w:hint="eastAsia" w:ascii="仿宋_GB2312" w:eastAsia="仿宋_GB2312" w:cs="仿宋_GB2312"/>
          <w:b w:val="0"/>
          <w:bCs w:val="0"/>
          <w:kern w:val="0"/>
          <w:sz w:val="32"/>
          <w:szCs w:val="32"/>
          <w:shd w:val="clear" w:fill="FFFFFF"/>
        </w:rPr>
        <w:t xml:space="preserve"> 支出决算为</w:t>
      </w:r>
      <w:r>
        <w:rPr>
          <w:rFonts w:hint="eastAsia" w:ascii="仿宋_GB2312" w:eastAsia="仿宋_GB2312" w:cs="仿宋_GB2312"/>
          <w:b w:val="0"/>
          <w:bCs w:val="0"/>
          <w:kern w:val="0"/>
          <w:sz w:val="32"/>
          <w:szCs w:val="32"/>
          <w:shd w:val="clear" w:fill="FFFFFF"/>
          <w:lang w:val="en-US" w:eastAsia="zh-CN"/>
        </w:rPr>
        <w:t>71.27</w:t>
      </w:r>
      <w:r>
        <w:rPr>
          <w:rFonts w:hint="eastAsia" w:ascii="仿宋_GB2312" w:eastAsia="仿宋_GB2312" w:cs="仿宋_GB2312"/>
          <w:b w:val="0"/>
          <w:bCs w:val="0"/>
          <w:kern w:val="0"/>
          <w:sz w:val="32"/>
          <w:szCs w:val="32"/>
          <w:shd w:val="clear" w:fill="FFFFFF"/>
        </w:rPr>
        <w:t>万元，完成预算100%，决算数与预算数持平。</w:t>
      </w:r>
    </w:p>
    <w:p w14:paraId="14FDBCCA">
      <w:pPr>
        <w:pStyle w:val="34"/>
        <w:keepNext w:val="0"/>
        <w:keepLines w:val="0"/>
        <w:widowControl/>
        <w:suppressLineNumbers w:val="0"/>
        <w:shd w:val="clear" w:fill="FFFFFF"/>
        <w:autoSpaceDE w:val="0"/>
        <w:autoSpaceDN/>
        <w:spacing w:line="560" w:lineRule="exact"/>
        <w:rPr>
          <w:rFonts w:hint="eastAsia" w:ascii="仿宋_GB2312" w:eastAsia="仿宋_GB2312" w:cs="仿宋_GB2312"/>
          <w:b w:val="0"/>
          <w:bCs w:val="0"/>
          <w:kern w:val="0"/>
          <w:sz w:val="32"/>
          <w:szCs w:val="32"/>
          <w:shd w:val="clear" w:fill="FFFFFF"/>
        </w:rPr>
      </w:pPr>
      <w:r>
        <w:rPr>
          <w:rStyle w:val="17"/>
          <w:rFonts w:hint="eastAsia" w:ascii="仿宋" w:hAnsi="仿宋" w:eastAsia="仿宋" w:cstheme="minorBidi"/>
          <w:bCs/>
          <w:kern w:val="2"/>
          <w:sz w:val="32"/>
          <w:szCs w:val="32"/>
          <w:lang w:val="en-US" w:eastAsia="zh-CN" w:bidi="ar-SA"/>
        </w:rPr>
        <w:t>6.卫生健康（类）210（款）11（项）01:</w:t>
      </w:r>
      <w:r>
        <w:rPr>
          <w:rFonts w:hint="eastAsia" w:ascii="仿宋_GB2312" w:eastAsia="仿宋_GB2312" w:cs="仿宋_GB2312"/>
          <w:b w:val="0"/>
          <w:bCs w:val="0"/>
          <w:kern w:val="0"/>
          <w:sz w:val="32"/>
          <w:szCs w:val="32"/>
          <w:shd w:val="clear" w:fill="FFFFFF"/>
        </w:rPr>
        <w:t>支出决算为</w:t>
      </w:r>
      <w:r>
        <w:rPr>
          <w:rFonts w:hint="eastAsia" w:ascii="仿宋_GB2312" w:eastAsia="仿宋_GB2312" w:cs="仿宋_GB2312"/>
          <w:b w:val="0"/>
          <w:bCs w:val="0"/>
          <w:kern w:val="0"/>
          <w:sz w:val="32"/>
          <w:szCs w:val="32"/>
          <w:shd w:val="clear" w:fill="FFFFFF"/>
          <w:lang w:val="en-US" w:eastAsia="zh-CN"/>
        </w:rPr>
        <w:t>65.66</w:t>
      </w:r>
      <w:r>
        <w:rPr>
          <w:rFonts w:hint="eastAsia" w:ascii="仿宋_GB2312" w:eastAsia="仿宋_GB2312" w:cs="仿宋_GB2312"/>
          <w:b w:val="0"/>
          <w:bCs w:val="0"/>
          <w:kern w:val="0"/>
          <w:sz w:val="32"/>
          <w:szCs w:val="32"/>
          <w:shd w:val="clear" w:fill="FFFFFF"/>
        </w:rPr>
        <w:t>万元，完成预算100%，决算数与预算数持平。</w:t>
      </w:r>
    </w:p>
    <w:p w14:paraId="36781015">
      <w:pPr>
        <w:pStyle w:val="34"/>
        <w:keepNext w:val="0"/>
        <w:keepLines w:val="0"/>
        <w:widowControl/>
        <w:suppressLineNumbers w:val="0"/>
        <w:shd w:val="clear" w:fill="FFFFFF"/>
        <w:autoSpaceDE w:val="0"/>
        <w:autoSpaceDN/>
        <w:spacing w:line="560" w:lineRule="exact"/>
        <w:rPr>
          <w:rFonts w:hint="eastAsia" w:ascii="仿宋_GB2312" w:eastAsia="仿宋_GB2312" w:cs="仿宋_GB2312"/>
          <w:b w:val="0"/>
          <w:bCs w:val="0"/>
          <w:kern w:val="0"/>
          <w:sz w:val="32"/>
          <w:szCs w:val="32"/>
          <w:shd w:val="clear" w:fill="FFFFFF"/>
        </w:rPr>
      </w:pPr>
      <w:r>
        <w:rPr>
          <w:rStyle w:val="17"/>
          <w:rFonts w:hint="eastAsia" w:ascii="仿宋" w:hAnsi="仿宋" w:eastAsia="仿宋" w:cstheme="minorBidi"/>
          <w:bCs/>
          <w:kern w:val="2"/>
          <w:sz w:val="32"/>
          <w:szCs w:val="32"/>
          <w:lang w:val="en-US" w:eastAsia="zh-CN" w:bidi="ar-SA"/>
        </w:rPr>
        <w:t>7</w:t>
      </w:r>
      <w:r>
        <w:rPr>
          <w:rStyle w:val="17"/>
          <w:rFonts w:hint="eastAsia" w:ascii="仿宋" w:hAnsi="仿宋" w:eastAsia="仿宋" w:cstheme="minorBidi"/>
          <w:bCs/>
          <w:kern w:val="2"/>
          <w:sz w:val="32"/>
          <w:szCs w:val="32"/>
          <w:lang w:val="en-US" w:eastAsia="zh-CN" w:bidi="ar-SA"/>
        </w:rPr>
        <w:t>.卫生健康（类）210（款）11（项）03:</w:t>
      </w:r>
      <w:r>
        <w:rPr>
          <w:rStyle w:val="35"/>
          <w:rFonts w:hint="eastAsia" w:ascii="仿宋_GB2312" w:eastAsia="仿宋_GB2312" w:cs="仿宋_GB2312"/>
          <w:b w:val="0"/>
          <w:bCs w:val="0"/>
          <w:sz w:val="32"/>
          <w:szCs w:val="32"/>
          <w:shd w:val="clear" w:fill="FFFFFF"/>
        </w:rPr>
        <w:t>支出决算为</w:t>
      </w:r>
      <w:r>
        <w:rPr>
          <w:rStyle w:val="35"/>
          <w:rFonts w:hint="eastAsia" w:ascii="仿宋_GB2312" w:eastAsia="仿宋_GB2312" w:cs="仿宋_GB2312"/>
          <w:b w:val="0"/>
          <w:bCs w:val="0"/>
          <w:sz w:val="32"/>
          <w:szCs w:val="32"/>
          <w:shd w:val="clear" w:fill="FFFFFF"/>
          <w:lang w:val="en-US" w:eastAsia="zh-CN"/>
        </w:rPr>
        <w:t>21.85</w:t>
      </w:r>
      <w:r>
        <w:rPr>
          <w:rStyle w:val="35"/>
          <w:rFonts w:hint="eastAsia" w:ascii="仿宋_GB2312" w:eastAsia="仿宋_GB2312" w:cs="仿宋_GB2312"/>
          <w:b w:val="0"/>
          <w:bCs w:val="0"/>
          <w:sz w:val="32"/>
          <w:szCs w:val="32"/>
          <w:shd w:val="clear" w:fill="FFFFFF"/>
        </w:rPr>
        <w:t>万元，完成预算100%，</w:t>
      </w:r>
      <w:r>
        <w:rPr>
          <w:rFonts w:hint="eastAsia" w:ascii="仿宋_GB2312" w:eastAsia="仿宋_GB2312" w:cs="仿宋_GB2312"/>
          <w:b w:val="0"/>
          <w:bCs w:val="0"/>
          <w:kern w:val="0"/>
          <w:sz w:val="32"/>
          <w:szCs w:val="32"/>
          <w:shd w:val="clear" w:fill="FFFFFF"/>
        </w:rPr>
        <w:t>决算数与预算数持平。</w:t>
      </w:r>
    </w:p>
    <w:p w14:paraId="1F523192">
      <w:pPr>
        <w:pStyle w:val="34"/>
        <w:keepNext w:val="0"/>
        <w:keepLines w:val="0"/>
        <w:widowControl/>
        <w:suppressLineNumbers w:val="0"/>
        <w:shd w:val="clear" w:fill="FFFFFF"/>
        <w:autoSpaceDE w:val="0"/>
        <w:autoSpaceDN/>
        <w:spacing w:line="560" w:lineRule="exact"/>
        <w:rPr>
          <w:rFonts w:hint="eastAsia" w:ascii="仿宋_GB2312" w:eastAsia="仿宋_GB2312" w:cs="仿宋_GB2312"/>
          <w:b w:val="0"/>
          <w:bCs w:val="0"/>
          <w:kern w:val="0"/>
          <w:sz w:val="32"/>
          <w:szCs w:val="32"/>
          <w:shd w:val="clear" w:fill="FFFFFF"/>
        </w:rPr>
      </w:pPr>
      <w:r>
        <w:rPr>
          <w:rStyle w:val="17"/>
          <w:rFonts w:hint="eastAsia" w:ascii="仿宋" w:hAnsi="仿宋" w:eastAsia="仿宋" w:cstheme="minorBidi"/>
          <w:bCs/>
          <w:kern w:val="2"/>
          <w:sz w:val="32"/>
          <w:szCs w:val="32"/>
          <w:lang w:val="en-US" w:eastAsia="zh-CN" w:bidi="ar-SA"/>
        </w:rPr>
        <w:t>8.住房保障（类）221（款）02（项）01：</w:t>
      </w:r>
      <w:r>
        <w:rPr>
          <w:rFonts w:hint="eastAsia" w:ascii="仿宋_GB2312" w:eastAsia="仿宋_GB2312" w:cs="仿宋_GB2312"/>
          <w:b w:val="0"/>
          <w:bCs w:val="0"/>
          <w:kern w:val="0"/>
          <w:sz w:val="32"/>
          <w:szCs w:val="32"/>
          <w:shd w:val="clear" w:fill="FFFFFF"/>
        </w:rPr>
        <w:t>支出决算为</w:t>
      </w:r>
      <w:r>
        <w:rPr>
          <w:rFonts w:hint="eastAsia" w:ascii="仿宋_GB2312" w:eastAsia="仿宋_GB2312" w:cs="仿宋_GB2312"/>
          <w:b w:val="0"/>
          <w:bCs w:val="0"/>
          <w:kern w:val="0"/>
          <w:sz w:val="32"/>
          <w:szCs w:val="32"/>
          <w:shd w:val="clear" w:fill="FFFFFF"/>
          <w:lang w:val="en-US" w:eastAsia="zh-CN"/>
        </w:rPr>
        <w:t>143.26</w:t>
      </w:r>
      <w:r>
        <w:rPr>
          <w:rFonts w:hint="eastAsia" w:ascii="仿宋_GB2312" w:eastAsia="仿宋_GB2312" w:cs="仿宋_GB2312"/>
          <w:b w:val="0"/>
          <w:bCs w:val="0"/>
          <w:kern w:val="0"/>
          <w:sz w:val="32"/>
          <w:szCs w:val="32"/>
          <w:shd w:val="clear" w:fill="FFFFFF"/>
        </w:rPr>
        <w:t>万元，完成预算100%，决算数与预算数持平。</w:t>
      </w:r>
    </w:p>
    <w:p w14:paraId="6CDE316F">
      <w:pPr>
        <w:pStyle w:val="34"/>
        <w:keepNext w:val="0"/>
        <w:keepLines w:val="0"/>
        <w:widowControl/>
        <w:suppressLineNumbers w:val="0"/>
        <w:shd w:val="clear" w:fill="FFFFFF"/>
        <w:autoSpaceDE w:val="0"/>
        <w:autoSpaceDN/>
        <w:spacing w:line="560" w:lineRule="exact"/>
        <w:rPr>
          <w:rFonts w:hint="eastAsia" w:ascii="仿宋_GB2312" w:eastAsia="仿宋_GB2312" w:cs="仿宋_GB2312"/>
          <w:b w:val="0"/>
          <w:bCs w:val="0"/>
          <w:kern w:val="0"/>
          <w:sz w:val="32"/>
          <w:szCs w:val="32"/>
          <w:shd w:val="clear" w:fill="FFFFFF"/>
        </w:rPr>
      </w:pPr>
      <w:r>
        <w:rPr>
          <w:rStyle w:val="17"/>
          <w:rFonts w:hint="eastAsia" w:ascii="仿宋" w:hAnsi="仿宋" w:eastAsia="仿宋" w:cstheme="minorBidi"/>
          <w:bCs/>
          <w:kern w:val="2"/>
          <w:sz w:val="32"/>
          <w:szCs w:val="32"/>
          <w:lang w:val="en-US" w:eastAsia="zh-CN" w:bidi="ar-SA"/>
        </w:rPr>
        <w:t>9.住房保障（类）221（款）02（项）03：</w:t>
      </w:r>
      <w:r>
        <w:rPr>
          <w:rFonts w:hint="eastAsia" w:ascii="仿宋_GB2312" w:eastAsia="仿宋_GB2312" w:cs="仿宋_GB2312"/>
          <w:b w:val="0"/>
          <w:bCs w:val="0"/>
          <w:kern w:val="0"/>
          <w:sz w:val="32"/>
          <w:szCs w:val="32"/>
          <w:shd w:val="clear" w:fill="FFFFFF"/>
        </w:rPr>
        <w:t>支出决算为2</w:t>
      </w:r>
      <w:r>
        <w:rPr>
          <w:rFonts w:hint="eastAsia" w:ascii="仿宋_GB2312" w:eastAsia="仿宋_GB2312" w:cs="仿宋_GB2312"/>
          <w:b w:val="0"/>
          <w:bCs w:val="0"/>
          <w:kern w:val="0"/>
          <w:sz w:val="32"/>
          <w:szCs w:val="32"/>
          <w:shd w:val="clear" w:fill="FFFFFF"/>
          <w:lang w:val="en-US" w:eastAsia="zh-CN"/>
        </w:rPr>
        <w:t>.4</w:t>
      </w:r>
      <w:r>
        <w:rPr>
          <w:rFonts w:hint="eastAsia" w:ascii="仿宋_GB2312" w:eastAsia="仿宋_GB2312" w:cs="仿宋_GB2312"/>
          <w:b w:val="0"/>
          <w:bCs w:val="0"/>
          <w:kern w:val="0"/>
          <w:sz w:val="32"/>
          <w:szCs w:val="32"/>
          <w:shd w:val="clear" w:fill="FFFFFF"/>
        </w:rPr>
        <w:t>万元，完成预算100%，决算数与预算数持平。</w:t>
      </w:r>
    </w:p>
    <w:p w14:paraId="12B790A1">
      <w:pPr>
        <w:spacing w:line="600" w:lineRule="exact"/>
        <w:ind w:firstLine="643" w:firstLineChars="200"/>
        <w:rPr>
          <w:rFonts w:ascii="仿宋" w:hAnsi="仿宋" w:eastAsia="仿宋"/>
          <w:b/>
          <w:sz w:val="32"/>
          <w:szCs w:val="32"/>
        </w:rPr>
      </w:pPr>
      <w:r>
        <w:rPr>
          <w:rFonts w:hint="eastAsia" w:ascii="仿宋" w:hAnsi="仿宋" w:eastAsia="仿宋"/>
          <w:b/>
          <w:sz w:val="32"/>
          <w:szCs w:val="32"/>
        </w:rPr>
        <w:t>（注：数据来源于财决</w:t>
      </w:r>
      <w:r>
        <w:rPr>
          <w:rFonts w:ascii="仿宋" w:hAnsi="仿宋" w:eastAsia="仿宋"/>
          <w:b/>
          <w:sz w:val="32"/>
          <w:szCs w:val="32"/>
        </w:rPr>
        <w:t>0</w:t>
      </w:r>
      <w:r>
        <w:rPr>
          <w:rFonts w:hint="eastAsia" w:ascii="仿宋" w:hAnsi="仿宋" w:eastAsia="仿宋"/>
          <w:b/>
          <w:sz w:val="32"/>
          <w:szCs w:val="32"/>
        </w:rPr>
        <w:t>1-1表和财决08表，仅罗列本单位涉及的全部功能分类科目，至项级。上述“预算”口径为全年预算数。增减变动原因为决算数</w:t>
      </w:r>
      <w:r>
        <w:rPr>
          <w:rFonts w:ascii="仿宋" w:hAnsi="仿宋" w:eastAsia="仿宋"/>
          <w:b/>
          <w:sz w:val="32"/>
          <w:szCs w:val="32"/>
        </w:rPr>
        <w:t>&lt;</w:t>
      </w:r>
      <w:r>
        <w:rPr>
          <w:rFonts w:hint="eastAsia" w:ascii="仿宋" w:hAnsi="仿宋" w:eastAsia="仿宋"/>
          <w:b/>
          <w:sz w:val="32"/>
          <w:szCs w:val="32"/>
        </w:rPr>
        <w:t>项级</w:t>
      </w:r>
      <w:r>
        <w:rPr>
          <w:rFonts w:ascii="仿宋" w:hAnsi="仿宋" w:eastAsia="仿宋"/>
          <w:b/>
          <w:sz w:val="32"/>
          <w:szCs w:val="32"/>
        </w:rPr>
        <w:t>&gt;</w:t>
      </w:r>
      <w:r>
        <w:rPr>
          <w:rFonts w:hint="eastAsia" w:ascii="仿宋" w:hAnsi="仿宋" w:eastAsia="仿宋"/>
          <w:b/>
          <w:sz w:val="32"/>
          <w:szCs w:val="32"/>
        </w:rPr>
        <w:t>和全年预算数</w:t>
      </w:r>
      <w:r>
        <w:rPr>
          <w:rFonts w:ascii="仿宋" w:hAnsi="仿宋" w:eastAsia="仿宋"/>
          <w:b/>
          <w:sz w:val="32"/>
          <w:szCs w:val="32"/>
        </w:rPr>
        <w:t>&lt;</w:t>
      </w:r>
      <w:r>
        <w:rPr>
          <w:rFonts w:hint="eastAsia" w:ascii="仿宋" w:hAnsi="仿宋" w:eastAsia="仿宋"/>
          <w:b/>
          <w:sz w:val="32"/>
          <w:szCs w:val="32"/>
        </w:rPr>
        <w:t>项级</w:t>
      </w:r>
      <w:r>
        <w:rPr>
          <w:rFonts w:ascii="仿宋" w:hAnsi="仿宋" w:eastAsia="仿宋"/>
          <w:b/>
          <w:sz w:val="32"/>
          <w:szCs w:val="32"/>
        </w:rPr>
        <w:t>&gt;</w:t>
      </w:r>
      <w:r>
        <w:rPr>
          <w:rFonts w:hint="eastAsia" w:ascii="仿宋" w:hAnsi="仿宋" w:eastAsia="仿宋"/>
          <w:b/>
          <w:sz w:val="32"/>
          <w:szCs w:val="32"/>
        </w:rPr>
        <w:t>比较，与预算数持平可以不写原因。）</w:t>
      </w:r>
    </w:p>
    <w:p w14:paraId="670C8CE4">
      <w:pPr>
        <w:spacing w:line="600" w:lineRule="exact"/>
        <w:ind w:firstLine="640"/>
        <w:rPr>
          <w:rFonts w:ascii="仿宋" w:hAnsi="仿宋" w:eastAsia="仿宋"/>
          <w:b/>
          <w:sz w:val="32"/>
          <w:szCs w:val="32"/>
        </w:rPr>
      </w:pPr>
    </w:p>
    <w:p w14:paraId="650DBA6E">
      <w:pPr>
        <w:tabs>
          <w:tab w:val="right" w:pos="8306"/>
        </w:tabs>
        <w:spacing w:line="600" w:lineRule="exact"/>
        <w:ind w:firstLine="640"/>
        <w:outlineLvl w:val="1"/>
        <w:rPr>
          <w:rStyle w:val="29"/>
        </w:rPr>
      </w:pPr>
      <w:bookmarkStart w:id="34" w:name="_Toc15377214"/>
      <w:bookmarkStart w:id="35" w:name="_Toc15396608"/>
      <w:r>
        <w:rPr>
          <w:rFonts w:hint="eastAsia" w:ascii="黑体" w:eastAsia="黑体"/>
          <w:sz w:val="32"/>
          <w:szCs w:val="32"/>
        </w:rPr>
        <w:t>六</w:t>
      </w:r>
      <w:r>
        <w:rPr>
          <w:rFonts w:hint="eastAsia" w:ascii="黑体" w:eastAsia="黑体"/>
          <w:b/>
          <w:sz w:val="32"/>
          <w:szCs w:val="32"/>
        </w:rPr>
        <w:t>、</w:t>
      </w:r>
      <w:r>
        <w:rPr>
          <w:rFonts w:hint="eastAsia" w:ascii="黑体" w:hAnsi="黑体" w:eastAsia="黑体"/>
          <w:b/>
          <w:sz w:val="32"/>
          <w:szCs w:val="32"/>
        </w:rPr>
        <w:t>一</w:t>
      </w:r>
      <w:r>
        <w:rPr>
          <w:rStyle w:val="29"/>
          <w:rFonts w:hint="eastAsia" w:ascii="黑体" w:hAnsi="黑体" w:eastAsia="黑体"/>
          <w:b w:val="0"/>
        </w:rPr>
        <w:t>般公共预算财政拨款基本支出决算情况说明</w:t>
      </w:r>
      <w:bookmarkEnd w:id="34"/>
      <w:bookmarkEnd w:id="35"/>
      <w:r>
        <w:rPr>
          <w:rStyle w:val="29"/>
          <w:rFonts w:ascii="黑体" w:hAnsi="黑体" w:eastAsia="黑体"/>
          <w:b w:val="0"/>
        </w:rPr>
        <w:tab/>
      </w:r>
    </w:p>
    <w:p w14:paraId="63D3A447">
      <w:pPr>
        <w:spacing w:line="600" w:lineRule="exact"/>
        <w:ind w:firstLine="645"/>
        <w:rPr>
          <w:rFonts w:ascii="仿宋" w:hAnsi="仿宋" w:eastAsia="仿宋"/>
          <w:sz w:val="32"/>
          <w:szCs w:val="32"/>
        </w:rPr>
      </w:pPr>
      <w:r>
        <w:rPr>
          <w:rFonts w:hint="eastAsia" w:ascii="仿宋" w:hAnsi="仿宋" w:eastAsia="仿宋"/>
          <w:sz w:val="32"/>
          <w:szCs w:val="32"/>
        </w:rPr>
        <w:t>2023年度一般公共预算财政拨款基本支出</w:t>
      </w:r>
      <w:r>
        <w:rPr>
          <w:rFonts w:ascii="仿宋" w:hAnsi="仿宋" w:eastAsia="仿宋"/>
          <w:b/>
          <w:sz w:val="32"/>
          <w:szCs w:val="32"/>
        </w:rPr>
        <w:t>2179.11</w:t>
      </w:r>
      <w:r>
        <w:rPr>
          <w:rFonts w:hint="eastAsia" w:ascii="仿宋" w:hAnsi="仿宋" w:eastAsia="仿宋"/>
          <w:sz w:val="32"/>
          <w:szCs w:val="32"/>
        </w:rPr>
        <w:t>万元，其中：</w:t>
      </w:r>
    </w:p>
    <w:p w14:paraId="7EBE2043">
      <w:pPr>
        <w:pStyle w:val="13"/>
        <w:spacing w:line="560" w:lineRule="exact"/>
        <w:ind w:firstLine="640" w:firstLineChars="200"/>
        <w:rPr>
          <w:rFonts w:ascii="仿宋" w:hAnsi="仿宋" w:eastAsia="仿宋"/>
          <w:sz w:val="32"/>
          <w:szCs w:val="32"/>
        </w:rPr>
      </w:pPr>
      <w:r>
        <w:rPr>
          <w:rFonts w:hint="eastAsia" w:ascii="仿宋" w:hAnsi="仿宋" w:eastAsia="仿宋" w:cs="Times New Roman"/>
          <w:kern w:val="2"/>
          <w:sz w:val="32"/>
          <w:szCs w:val="32"/>
          <w:lang w:val="en-US" w:eastAsia="zh-CN" w:bidi="ar-SA"/>
        </w:rPr>
        <w:t>人员经费</w:t>
      </w:r>
      <w:r>
        <w:rPr>
          <w:rFonts w:hint="eastAsia" w:ascii="仿宋" w:hAnsi="仿宋" w:eastAsia="仿宋"/>
          <w:b/>
          <w:sz w:val="32"/>
          <w:szCs w:val="32"/>
          <w:lang w:val="en-US" w:eastAsia="zh-CN"/>
        </w:rPr>
        <w:t>1852.75</w:t>
      </w:r>
      <w:r>
        <w:rPr>
          <w:rFonts w:hint="eastAsia" w:ascii="仿宋" w:hAnsi="仿宋" w:eastAsia="仿宋" w:cs="Times New Roman"/>
          <w:kern w:val="2"/>
          <w:sz w:val="32"/>
          <w:szCs w:val="32"/>
          <w:lang w:val="en-US" w:eastAsia="zh-CN" w:bidi="ar-SA"/>
        </w:rPr>
        <w:t>万元，主要包</w:t>
      </w:r>
      <w:r>
        <w:rPr>
          <w:rFonts w:hint="eastAsia" w:ascii="仿宋" w:hAnsi="仿宋" w:eastAsia="仿宋" w:cs="Times New Roman"/>
          <w:kern w:val="2"/>
          <w:sz w:val="32"/>
          <w:szCs w:val="32"/>
          <w:lang w:val="en-US" w:eastAsia="zh-CN" w:bidi="ar-SA"/>
        </w:rPr>
        <w:t>括：基本工资341.49万元，津贴补贴594.52万元，奖金254.75万元，伙食补助费56.43万元，机关事业单位基本养老保险缴费183.25万元，职业年金缴费81.27万元，职工基本医疗保险缴费65.66万元，公务员医疗补助21.85万元，其他社会保障缴费5.57万元，住房公积金143.26万元，抚恤金12.04万元，生活补助92.64万元。</w:t>
      </w:r>
      <w:r>
        <w:rPr>
          <w:rFonts w:ascii="仿宋" w:hAnsi="仿宋" w:eastAsia="仿宋"/>
          <w:sz w:val="32"/>
          <w:szCs w:val="32"/>
        </w:rPr>
        <w:br w:type="textWrapping"/>
      </w:r>
      <w:r>
        <w:rPr>
          <w:rFonts w:hint="eastAsia" w:ascii="仿宋" w:hAnsi="仿宋" w:eastAsia="仿宋"/>
          <w:sz w:val="32"/>
          <w:szCs w:val="32"/>
        </w:rPr>
        <w:t>　　公用经费</w:t>
      </w:r>
      <w:r>
        <w:rPr>
          <w:rFonts w:ascii="仿宋" w:hAnsi="仿宋" w:eastAsia="仿宋"/>
          <w:b/>
          <w:sz w:val="32"/>
          <w:szCs w:val="32"/>
        </w:rPr>
        <w:t>326.36</w:t>
      </w:r>
      <w:r>
        <w:rPr>
          <w:rFonts w:hint="eastAsia" w:ascii="仿宋" w:hAnsi="仿宋" w:eastAsia="仿宋"/>
          <w:sz w:val="32"/>
          <w:szCs w:val="32"/>
        </w:rPr>
        <w:t>万元，主要包括：</w:t>
      </w:r>
      <w:r>
        <w:rPr>
          <w:rFonts w:hint="eastAsia" w:ascii="仿宋" w:hAnsi="仿宋" w:eastAsia="仿宋" w:cs="Times New Roman"/>
          <w:kern w:val="2"/>
          <w:sz w:val="32"/>
          <w:szCs w:val="32"/>
          <w:lang w:val="en-US" w:eastAsia="zh-CN" w:bidi="ar-SA"/>
        </w:rPr>
        <w:t>办公费19.40万元，水费1.29万元，邮电费45.56万元，物业管理费15.19万元，差旅费25.43万元，维修（护）费23.99万元，培训费5.29万元，劳务费87.24万元，福利费38.92万元，公务用车运行维护费60.73万元。</w:t>
      </w:r>
    </w:p>
    <w:p w14:paraId="5884FD34">
      <w:pPr>
        <w:spacing w:line="600" w:lineRule="exact"/>
        <w:ind w:firstLine="645"/>
        <w:rPr>
          <w:rFonts w:ascii="仿宋" w:hAnsi="仿宋" w:eastAsia="仿宋"/>
          <w:b/>
          <w:sz w:val="32"/>
          <w:szCs w:val="32"/>
        </w:rPr>
      </w:pPr>
      <w:r>
        <w:rPr>
          <w:rFonts w:hint="eastAsia" w:ascii="仿宋" w:hAnsi="仿宋" w:eastAsia="仿宋"/>
          <w:b/>
          <w:sz w:val="32"/>
          <w:szCs w:val="32"/>
        </w:rPr>
        <w:t>（注：数据来源于财决</w:t>
      </w:r>
      <w:r>
        <w:rPr>
          <w:rFonts w:ascii="仿宋" w:hAnsi="仿宋" w:eastAsia="仿宋"/>
          <w:b/>
          <w:sz w:val="32"/>
          <w:szCs w:val="32"/>
        </w:rPr>
        <w:t>0</w:t>
      </w:r>
      <w:r>
        <w:rPr>
          <w:rFonts w:hint="eastAsia" w:ascii="仿宋" w:hAnsi="仿宋" w:eastAsia="仿宋"/>
          <w:b/>
          <w:sz w:val="32"/>
          <w:szCs w:val="32"/>
        </w:rPr>
        <w:t>7表和财决08-1表，仅罗列本单位实际支出涉及的经济分类科目。）</w:t>
      </w:r>
    </w:p>
    <w:p w14:paraId="5CEE40F3">
      <w:pPr>
        <w:spacing w:line="600" w:lineRule="exact"/>
        <w:ind w:firstLine="640"/>
        <w:rPr>
          <w:rFonts w:ascii="仿宋" w:hAnsi="仿宋" w:eastAsia="仿宋"/>
          <w:b/>
          <w:sz w:val="32"/>
          <w:szCs w:val="32"/>
        </w:rPr>
      </w:pPr>
    </w:p>
    <w:p w14:paraId="7AE792C4">
      <w:pPr>
        <w:spacing w:line="600" w:lineRule="exact"/>
        <w:ind w:firstLine="640"/>
        <w:outlineLvl w:val="1"/>
        <w:rPr>
          <w:rStyle w:val="29"/>
          <w:rFonts w:ascii="黑体" w:hAnsi="黑体" w:eastAsia="黑体"/>
          <w:b w:val="0"/>
        </w:rPr>
      </w:pPr>
      <w:bookmarkStart w:id="36" w:name="_Toc15377215"/>
      <w:bookmarkStart w:id="37" w:name="_Toc15396609"/>
      <w:r>
        <w:rPr>
          <w:rFonts w:hint="eastAsia" w:ascii="黑体" w:eastAsia="黑体"/>
          <w:sz w:val="32"/>
          <w:szCs w:val="32"/>
        </w:rPr>
        <w:t>七、</w:t>
      </w:r>
      <w:r>
        <w:rPr>
          <w:rStyle w:val="29"/>
          <w:rFonts w:hint="eastAsia" w:ascii="黑体" w:hAnsi="黑体" w:eastAsia="黑体"/>
          <w:b w:val="0"/>
        </w:rPr>
        <w:t>财政拨款</w:t>
      </w:r>
      <w:r>
        <w:rPr>
          <w:rStyle w:val="29"/>
          <w:rFonts w:hint="eastAsia" w:ascii="黑体" w:hAnsi="黑体" w:eastAsia="黑体"/>
        </w:rPr>
        <w:t>“</w:t>
      </w:r>
      <w:r>
        <w:rPr>
          <w:rStyle w:val="29"/>
          <w:rFonts w:hint="eastAsia" w:ascii="黑体" w:hAnsi="黑体" w:eastAsia="黑体"/>
          <w:b w:val="0"/>
        </w:rPr>
        <w:t>三公”经费支出决算情况说明</w:t>
      </w:r>
      <w:bookmarkEnd w:id="36"/>
      <w:bookmarkEnd w:id="37"/>
    </w:p>
    <w:p w14:paraId="0B717318">
      <w:pPr>
        <w:spacing w:line="600" w:lineRule="exact"/>
        <w:ind w:firstLine="640"/>
        <w:outlineLvl w:val="2"/>
        <w:rPr>
          <w:rFonts w:ascii="仿宋" w:hAnsi="仿宋" w:eastAsia="仿宋"/>
          <w:b/>
          <w:sz w:val="32"/>
          <w:szCs w:val="32"/>
        </w:rPr>
      </w:pPr>
      <w:bookmarkStart w:id="38" w:name="_Toc15377216"/>
      <w:r>
        <w:rPr>
          <w:rFonts w:hint="eastAsia" w:ascii="仿宋" w:hAnsi="仿宋" w:eastAsia="仿宋"/>
          <w:b/>
          <w:sz w:val="32"/>
          <w:szCs w:val="32"/>
        </w:rPr>
        <w:t>（一）“三公”经费财政拨款支出决算总体情况说明</w:t>
      </w:r>
      <w:bookmarkEnd w:id="38"/>
    </w:p>
    <w:p w14:paraId="26E36761">
      <w:pPr>
        <w:spacing w:line="600" w:lineRule="exact"/>
        <w:ind w:firstLine="640"/>
        <w:rPr>
          <w:rFonts w:ascii="仿宋" w:hAnsi="仿宋" w:eastAsia="仿宋"/>
          <w:sz w:val="32"/>
          <w:szCs w:val="32"/>
        </w:rPr>
      </w:pPr>
      <w:r>
        <w:rPr>
          <w:rFonts w:hint="eastAsia" w:ascii="仿宋" w:hAnsi="仿宋" w:eastAsia="仿宋"/>
          <w:sz w:val="32"/>
          <w:szCs w:val="32"/>
        </w:rPr>
        <w:t>2023年度“三公”经费财政拨款支出决算为</w:t>
      </w:r>
      <w:r>
        <w:rPr>
          <w:rFonts w:ascii="仿宋" w:hAnsi="仿宋" w:eastAsia="仿宋"/>
          <w:b/>
          <w:sz w:val="32"/>
          <w:szCs w:val="32"/>
        </w:rPr>
        <w:t>83.68</w:t>
      </w:r>
      <w:r>
        <w:rPr>
          <w:rFonts w:hint="eastAsia" w:ascii="仿宋" w:hAnsi="仿宋" w:eastAsia="仿宋"/>
          <w:sz w:val="32"/>
          <w:szCs w:val="32"/>
        </w:rPr>
        <w:t>万元，完成预算</w:t>
      </w:r>
      <w:r>
        <w:rPr>
          <w:rFonts w:ascii="仿宋" w:hAnsi="仿宋" w:eastAsia="仿宋"/>
          <w:b/>
          <w:sz w:val="32"/>
          <w:szCs w:val="32"/>
        </w:rPr>
        <w:t>100</w:t>
      </w:r>
      <w:r>
        <w:rPr>
          <w:rFonts w:ascii="仿宋" w:hAnsi="仿宋" w:eastAsia="仿宋"/>
          <w:sz w:val="32"/>
          <w:szCs w:val="32"/>
        </w:rPr>
        <w:t>%</w:t>
      </w:r>
      <w:r>
        <w:rPr>
          <w:rFonts w:hint="eastAsia" w:ascii="仿宋" w:hAnsi="仿宋" w:eastAsia="仿宋"/>
          <w:sz w:val="32"/>
          <w:szCs w:val="32"/>
        </w:rPr>
        <w:t>，较上年度</w:t>
      </w:r>
      <w:r>
        <w:rPr>
          <w:rFonts w:hint="eastAsia" w:ascii="仿宋" w:hAnsi="仿宋" w:eastAsia="仿宋"/>
          <w:sz w:val="32"/>
          <w:szCs w:val="32"/>
          <w:lang w:eastAsia="zh-CN"/>
        </w:rPr>
        <w:t>减少</w:t>
      </w:r>
      <w:r>
        <w:rPr>
          <w:rFonts w:hint="eastAsia" w:ascii="仿宋" w:hAnsi="仿宋" w:eastAsia="仿宋"/>
          <w:sz w:val="32"/>
          <w:szCs w:val="32"/>
          <w:lang w:val="en-US" w:eastAsia="zh-CN"/>
        </w:rPr>
        <w:t>17.67</w:t>
      </w:r>
      <w:r>
        <w:rPr>
          <w:rFonts w:hint="eastAsia" w:ascii="仿宋" w:hAnsi="仿宋" w:eastAsia="仿宋"/>
          <w:sz w:val="32"/>
          <w:szCs w:val="32"/>
        </w:rPr>
        <w:t>万元，下降</w:t>
      </w:r>
      <w:r>
        <w:rPr>
          <w:rFonts w:hint="eastAsia" w:ascii="仿宋" w:hAnsi="仿宋" w:eastAsia="仿宋"/>
          <w:sz w:val="32"/>
          <w:szCs w:val="32"/>
          <w:lang w:val="en-US" w:eastAsia="zh-CN"/>
        </w:rPr>
        <w:t>17.43</w:t>
      </w:r>
      <w:r>
        <w:rPr>
          <w:rFonts w:hint="eastAsia" w:ascii="仿宋" w:hAnsi="仿宋" w:eastAsia="仿宋"/>
          <w:sz w:val="32"/>
          <w:szCs w:val="32"/>
        </w:rPr>
        <w:t>%。决算数</w:t>
      </w:r>
      <w:r>
        <w:rPr>
          <w:rFonts w:hint="eastAsia" w:ascii="仿宋" w:hAnsi="仿宋" w:eastAsia="仿宋"/>
          <w:sz w:val="32"/>
          <w:szCs w:val="32"/>
          <w:lang w:eastAsia="zh-CN"/>
        </w:rPr>
        <w:t>与</w:t>
      </w:r>
      <w:r>
        <w:rPr>
          <w:rFonts w:hint="eastAsia" w:ascii="仿宋" w:hAnsi="仿宋" w:eastAsia="仿宋"/>
          <w:sz w:val="32"/>
          <w:szCs w:val="32"/>
        </w:rPr>
        <w:t>预算数持平。</w:t>
      </w:r>
    </w:p>
    <w:p w14:paraId="318B850C">
      <w:pPr>
        <w:spacing w:line="600" w:lineRule="exact"/>
        <w:ind w:firstLine="640"/>
        <w:rPr>
          <w:rFonts w:ascii="仿宋" w:hAnsi="仿宋" w:eastAsia="仿宋"/>
          <w:b/>
          <w:sz w:val="32"/>
          <w:szCs w:val="32"/>
        </w:rPr>
      </w:pPr>
      <w:r>
        <w:rPr>
          <w:rFonts w:hint="eastAsia" w:ascii="仿宋" w:hAnsi="仿宋" w:eastAsia="仿宋"/>
          <w:b/>
          <w:sz w:val="32"/>
          <w:szCs w:val="32"/>
        </w:rPr>
        <w:t>（注：上述“预算”口径为全年预算数，包括一般公共预算和政府性基金预算财政拨款支出决算情况。）</w:t>
      </w:r>
    </w:p>
    <w:p w14:paraId="49C5364A">
      <w:pPr>
        <w:spacing w:line="600" w:lineRule="exact"/>
        <w:ind w:firstLine="640"/>
        <w:outlineLvl w:val="2"/>
        <w:rPr>
          <w:rFonts w:ascii="仿宋" w:hAnsi="仿宋" w:eastAsia="仿宋"/>
          <w:b/>
          <w:sz w:val="32"/>
          <w:szCs w:val="32"/>
        </w:rPr>
      </w:pPr>
      <w:bookmarkStart w:id="39" w:name="_Toc15377217"/>
      <w:r>
        <w:rPr>
          <w:rFonts w:hint="eastAsia" w:ascii="仿宋" w:hAnsi="仿宋" w:eastAsia="仿宋"/>
          <w:b/>
          <w:sz w:val="32"/>
          <w:szCs w:val="32"/>
        </w:rPr>
        <w:t>（二）“三公”经费财政拨款支出决算具体情况说明</w:t>
      </w:r>
      <w:bookmarkEnd w:id="39"/>
    </w:p>
    <w:p w14:paraId="7DD6D6E2">
      <w:pPr>
        <w:spacing w:line="600" w:lineRule="exact"/>
        <w:ind w:firstLine="640"/>
        <w:rPr>
          <w:rFonts w:ascii="仿宋" w:hAnsi="仿宋" w:eastAsia="仿宋"/>
          <w:sz w:val="32"/>
          <w:szCs w:val="32"/>
        </w:rPr>
      </w:pPr>
      <w:r>
        <w:rPr>
          <w:rFonts w:hint="eastAsia" w:ascii="仿宋" w:hAnsi="仿宋" w:eastAsia="仿宋"/>
          <w:sz w:val="32"/>
          <w:szCs w:val="32"/>
        </w:rPr>
        <w:t>2023年度“三公”经费财政拨款支出决算中，因公出国（境）费支出决算</w:t>
      </w:r>
      <w:r>
        <w:rPr>
          <w:rFonts w:ascii="仿宋" w:hAnsi="仿宋" w:eastAsia="仿宋"/>
          <w:b/>
          <w:sz w:val="32"/>
          <w:szCs w:val="32"/>
        </w:rPr>
        <w:t>0</w:t>
      </w:r>
      <w:r>
        <w:rPr>
          <w:rFonts w:hint="eastAsia" w:ascii="仿宋" w:hAnsi="仿宋" w:eastAsia="仿宋"/>
          <w:sz w:val="32"/>
          <w:szCs w:val="32"/>
        </w:rPr>
        <w:t>万元，占</w:t>
      </w:r>
      <w:r>
        <w:rPr>
          <w:rFonts w:ascii="仿宋" w:hAnsi="仿宋" w:eastAsia="仿宋"/>
          <w:b/>
          <w:sz w:val="32"/>
          <w:szCs w:val="32"/>
        </w:rPr>
        <w:t>0</w:t>
      </w:r>
      <w:r>
        <w:rPr>
          <w:rFonts w:ascii="仿宋" w:hAnsi="仿宋" w:eastAsia="仿宋"/>
          <w:sz w:val="32"/>
          <w:szCs w:val="32"/>
        </w:rPr>
        <w:t>%</w:t>
      </w:r>
      <w:r>
        <w:rPr>
          <w:rFonts w:hint="eastAsia" w:ascii="仿宋" w:hAnsi="仿宋" w:eastAsia="仿宋"/>
          <w:sz w:val="32"/>
          <w:szCs w:val="32"/>
        </w:rPr>
        <w:t>；公务用车购置及运行维护费支出决算</w:t>
      </w:r>
      <w:r>
        <w:rPr>
          <w:rFonts w:ascii="仿宋" w:hAnsi="仿宋" w:eastAsia="仿宋"/>
          <w:b/>
          <w:sz w:val="32"/>
          <w:szCs w:val="32"/>
        </w:rPr>
        <w:t>83.68</w:t>
      </w:r>
      <w:r>
        <w:rPr>
          <w:rFonts w:hint="eastAsia" w:ascii="仿宋" w:hAnsi="仿宋" w:eastAsia="仿宋"/>
          <w:sz w:val="32"/>
          <w:szCs w:val="32"/>
        </w:rPr>
        <w:t>万元，占</w:t>
      </w:r>
      <w:r>
        <w:rPr>
          <w:rFonts w:ascii="仿宋" w:hAnsi="仿宋" w:eastAsia="仿宋"/>
          <w:b/>
          <w:sz w:val="32"/>
          <w:szCs w:val="32"/>
        </w:rPr>
        <w:t>100</w:t>
      </w:r>
      <w:r>
        <w:rPr>
          <w:rFonts w:ascii="仿宋" w:hAnsi="仿宋" w:eastAsia="仿宋"/>
          <w:sz w:val="32"/>
          <w:szCs w:val="32"/>
        </w:rPr>
        <w:t>%</w:t>
      </w:r>
      <w:r>
        <w:rPr>
          <w:rFonts w:hint="eastAsia" w:ascii="仿宋" w:hAnsi="仿宋" w:eastAsia="仿宋"/>
          <w:sz w:val="32"/>
          <w:szCs w:val="32"/>
        </w:rPr>
        <w:t>；公务接待费支出决算</w:t>
      </w:r>
      <w:r>
        <w:rPr>
          <w:rFonts w:ascii="仿宋" w:hAnsi="仿宋" w:eastAsia="仿宋"/>
          <w:b/>
          <w:sz w:val="32"/>
          <w:szCs w:val="32"/>
        </w:rPr>
        <w:t>0</w:t>
      </w:r>
      <w:r>
        <w:rPr>
          <w:rFonts w:hint="eastAsia" w:ascii="仿宋" w:hAnsi="仿宋" w:eastAsia="仿宋"/>
          <w:sz w:val="32"/>
          <w:szCs w:val="32"/>
        </w:rPr>
        <w:t>万元，占</w:t>
      </w:r>
      <w:r>
        <w:rPr>
          <w:rFonts w:ascii="仿宋" w:hAnsi="仿宋" w:eastAsia="仿宋"/>
          <w:b/>
          <w:sz w:val="32"/>
          <w:szCs w:val="32"/>
        </w:rPr>
        <w:t>0</w:t>
      </w:r>
      <w:r>
        <w:rPr>
          <w:rFonts w:ascii="仿宋" w:hAnsi="仿宋" w:eastAsia="仿宋"/>
          <w:sz w:val="32"/>
          <w:szCs w:val="32"/>
        </w:rPr>
        <w:t>%</w:t>
      </w:r>
      <w:r>
        <w:rPr>
          <w:rFonts w:hint="eastAsia" w:ascii="仿宋" w:hAnsi="仿宋" w:eastAsia="仿宋"/>
          <w:sz w:val="32"/>
          <w:szCs w:val="32"/>
        </w:rPr>
        <w:t>。具体情况如下：</w:t>
      </w:r>
    </w:p>
    <w:p w14:paraId="0AD5F363">
      <w:pPr>
        <w:spacing w:line="600" w:lineRule="exact"/>
        <w:ind w:firstLine="640"/>
        <w:rPr>
          <w:rFonts w:hint="eastAsia" w:ascii="仿宋" w:hAnsi="仿宋" w:eastAsia="仿宋"/>
          <w:sz w:val="32"/>
          <w:szCs w:val="32"/>
        </w:rPr>
      </w:pPr>
      <w:r>
        <w:rPr>
          <w:rFonts w:hint="eastAsia" w:ascii="仿宋" w:hAnsi="仿宋" w:eastAsia="仿宋"/>
          <w:sz w:val="32"/>
          <w:szCs w:val="32"/>
        </w:rPr>
        <w:t>（图7：“三公”经费财政拨款支出结构）（饼状图）</w:t>
      </w:r>
    </w:p>
    <w:p w14:paraId="36127A61">
      <w:pPr>
        <w:spacing w:line="600" w:lineRule="exact"/>
        <w:ind w:firstLine="640"/>
        <w:rPr>
          <w:rFonts w:hint="eastAsia" w:ascii="仿宋" w:hAnsi="仿宋" w:eastAsia="仿宋"/>
          <w:sz w:val="32"/>
          <w:szCs w:val="32"/>
          <w:lang w:eastAsia="zh-CN"/>
        </w:rPr>
      </w:pPr>
      <w:r>
        <w:rPr>
          <w:rFonts w:hint="eastAsia" w:ascii="仿宋" w:hAnsi="仿宋" w:eastAsia="仿宋"/>
          <w:sz w:val="32"/>
          <w:szCs w:val="32"/>
          <w:lang w:eastAsia="zh-CN"/>
        </w:rPr>
        <w:drawing>
          <wp:anchor distT="0" distB="0" distL="114300" distR="114300" simplePos="0" relativeHeight="251662336" behindDoc="0" locked="0" layoutInCell="1" allowOverlap="1">
            <wp:simplePos x="0" y="0"/>
            <wp:positionH relativeFrom="column">
              <wp:posOffset>181610</wp:posOffset>
            </wp:positionH>
            <wp:positionV relativeFrom="paragraph">
              <wp:posOffset>236220</wp:posOffset>
            </wp:positionV>
            <wp:extent cx="4926965" cy="2828290"/>
            <wp:effectExtent l="4445" t="4445" r="6350" b="17145"/>
            <wp:wrapNone/>
            <wp:docPr id="11" name="图表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anchor>
        </w:drawing>
      </w:r>
    </w:p>
    <w:p w14:paraId="1A291C31">
      <w:pPr>
        <w:spacing w:line="600" w:lineRule="exact"/>
        <w:ind w:firstLine="640"/>
        <w:rPr>
          <w:rFonts w:ascii="仿宋_GB2312" w:eastAsia="仿宋_GB2312"/>
          <w:b/>
          <w:sz w:val="32"/>
          <w:szCs w:val="32"/>
        </w:rPr>
      </w:pPr>
      <w:bookmarkStart w:id="40" w:name="_Toc15377218"/>
      <w:bookmarkStart w:id="41" w:name="_Toc15396610"/>
    </w:p>
    <w:p w14:paraId="77717CF8">
      <w:pPr>
        <w:spacing w:line="600" w:lineRule="exact"/>
        <w:ind w:firstLine="640"/>
        <w:rPr>
          <w:rFonts w:ascii="仿宋_GB2312" w:eastAsia="仿宋_GB2312"/>
          <w:b/>
          <w:sz w:val="32"/>
          <w:szCs w:val="32"/>
        </w:rPr>
      </w:pPr>
    </w:p>
    <w:p w14:paraId="0D074DCA">
      <w:pPr>
        <w:spacing w:line="600" w:lineRule="exact"/>
        <w:ind w:firstLine="640"/>
        <w:rPr>
          <w:rFonts w:ascii="仿宋_GB2312" w:eastAsia="仿宋_GB2312"/>
          <w:b/>
          <w:sz w:val="32"/>
          <w:szCs w:val="32"/>
        </w:rPr>
      </w:pPr>
    </w:p>
    <w:p w14:paraId="426F965E">
      <w:pPr>
        <w:spacing w:line="600" w:lineRule="exact"/>
        <w:ind w:firstLine="640"/>
        <w:rPr>
          <w:rFonts w:ascii="仿宋_GB2312" w:eastAsia="仿宋_GB2312"/>
          <w:b/>
          <w:sz w:val="32"/>
          <w:szCs w:val="32"/>
        </w:rPr>
      </w:pPr>
    </w:p>
    <w:p w14:paraId="76DBD7C7">
      <w:pPr>
        <w:spacing w:line="600" w:lineRule="exact"/>
        <w:ind w:firstLine="640"/>
        <w:rPr>
          <w:rFonts w:ascii="仿宋_GB2312" w:eastAsia="仿宋_GB2312"/>
          <w:b/>
          <w:sz w:val="32"/>
          <w:szCs w:val="32"/>
        </w:rPr>
      </w:pPr>
    </w:p>
    <w:p w14:paraId="6E47A7BD">
      <w:pPr>
        <w:spacing w:line="600" w:lineRule="exact"/>
        <w:ind w:firstLine="640"/>
        <w:rPr>
          <w:rFonts w:ascii="仿宋_GB2312" w:eastAsia="仿宋_GB2312"/>
          <w:b/>
          <w:sz w:val="32"/>
          <w:szCs w:val="32"/>
        </w:rPr>
      </w:pPr>
    </w:p>
    <w:p w14:paraId="33915EFA">
      <w:pPr>
        <w:spacing w:line="600" w:lineRule="exact"/>
        <w:ind w:firstLine="640"/>
        <w:rPr>
          <w:rFonts w:ascii="仿宋_GB2312" w:eastAsia="仿宋_GB2312"/>
          <w:b/>
          <w:sz w:val="32"/>
          <w:szCs w:val="32"/>
        </w:rPr>
      </w:pPr>
    </w:p>
    <w:p w14:paraId="4883737E">
      <w:pPr>
        <w:spacing w:line="600" w:lineRule="exact"/>
        <w:ind w:firstLine="640"/>
        <w:rPr>
          <w:rFonts w:ascii="仿宋_GB2312" w:eastAsia="仿宋_GB2312"/>
          <w:b/>
          <w:sz w:val="32"/>
          <w:szCs w:val="32"/>
        </w:rPr>
      </w:pPr>
      <w:r>
        <w:rPr>
          <w:rFonts w:ascii="仿宋_GB2312" w:eastAsia="仿宋_GB2312"/>
          <w:b/>
          <w:sz w:val="32"/>
          <w:szCs w:val="32"/>
        </w:rPr>
        <w:t>1.</w:t>
      </w:r>
      <w:r>
        <w:rPr>
          <w:rFonts w:hint="eastAsia" w:ascii="仿宋_GB2312" w:eastAsia="仿宋_GB2312"/>
          <w:b/>
          <w:sz w:val="32"/>
          <w:szCs w:val="32"/>
        </w:rPr>
        <w:t>因公出国（境）经费支出</w:t>
      </w:r>
      <w:r>
        <w:rPr>
          <w:rFonts w:ascii="仿宋" w:hAnsi="仿宋" w:eastAsia="仿宋"/>
          <w:b/>
          <w:sz w:val="32"/>
          <w:szCs w:val="32"/>
        </w:rPr>
        <w:t>0</w:t>
      </w:r>
      <w:r>
        <w:rPr>
          <w:rFonts w:hint="eastAsia" w:ascii="仿宋_GB2312" w:eastAsia="仿宋_GB2312"/>
          <w:sz w:val="32"/>
          <w:szCs w:val="32"/>
        </w:rPr>
        <w:t>万元，</w:t>
      </w:r>
      <w:r>
        <w:rPr>
          <w:rStyle w:val="17"/>
          <w:rFonts w:hint="eastAsia" w:ascii="仿宋" w:hAnsi="仿宋" w:eastAsia="仿宋"/>
          <w:b w:val="0"/>
          <w:bCs/>
          <w:sz w:val="32"/>
          <w:szCs w:val="32"/>
        </w:rPr>
        <w:t>完成预算</w:t>
      </w:r>
      <w:r>
        <w:rPr>
          <w:rStyle w:val="17"/>
          <w:rFonts w:ascii="仿宋" w:hAnsi="仿宋" w:eastAsia="仿宋"/>
          <w:bCs/>
          <w:sz w:val="32"/>
          <w:szCs w:val="32"/>
        </w:rPr>
        <w:t>0</w:t>
      </w:r>
      <w:r>
        <w:rPr>
          <w:rStyle w:val="17"/>
          <w:rFonts w:ascii="仿宋" w:hAnsi="仿宋" w:eastAsia="仿宋"/>
          <w:b w:val="0"/>
          <w:bCs/>
          <w:sz w:val="32"/>
          <w:szCs w:val="32"/>
        </w:rPr>
        <w:t>%</w:t>
      </w:r>
      <w:r>
        <w:rPr>
          <w:rStyle w:val="17"/>
          <w:rFonts w:hint="eastAsia" w:ascii="仿宋" w:hAnsi="仿宋" w:eastAsia="仿宋"/>
          <w:b w:val="0"/>
          <w:bCs/>
          <w:sz w:val="32"/>
          <w:szCs w:val="32"/>
        </w:rPr>
        <w:t>。</w:t>
      </w:r>
      <w:r>
        <w:rPr>
          <w:rFonts w:hint="eastAsia" w:ascii="仿宋_GB2312" w:eastAsia="仿宋_GB2312"/>
          <w:sz w:val="32"/>
          <w:szCs w:val="32"/>
        </w:rPr>
        <w:t>全年安排因公出国（境）团组</w:t>
      </w:r>
      <w:r>
        <w:rPr>
          <w:rFonts w:ascii="仿宋_GB2312" w:eastAsia="仿宋_GB2312"/>
          <w:b/>
          <w:sz w:val="32"/>
          <w:szCs w:val="32"/>
        </w:rPr>
        <w:t>0</w:t>
      </w:r>
      <w:r>
        <w:rPr>
          <w:rFonts w:hint="eastAsia" w:ascii="仿宋_GB2312" w:eastAsia="仿宋_GB2312"/>
          <w:sz w:val="32"/>
          <w:szCs w:val="32"/>
        </w:rPr>
        <w:t>次，出国（境）</w:t>
      </w:r>
      <w:r>
        <w:rPr>
          <w:rFonts w:ascii="仿宋_GB2312" w:eastAsia="仿宋_GB2312"/>
          <w:b/>
          <w:sz w:val="32"/>
          <w:szCs w:val="32"/>
        </w:rPr>
        <w:t>0</w:t>
      </w:r>
      <w:r>
        <w:rPr>
          <w:rFonts w:hint="eastAsia" w:ascii="仿宋_GB2312" w:eastAsia="仿宋_GB2312"/>
          <w:sz w:val="32"/>
          <w:szCs w:val="32"/>
        </w:rPr>
        <w:t>人。因公出国（境）支出决算比2022年增加</w:t>
      </w:r>
      <w:r>
        <w:rPr>
          <w:rFonts w:ascii="仿宋_GB2312" w:eastAsia="仿宋_GB2312"/>
          <w:sz w:val="32"/>
          <w:szCs w:val="32"/>
        </w:rPr>
        <w:t>/</w:t>
      </w:r>
      <w:r>
        <w:rPr>
          <w:rFonts w:hint="eastAsia" w:ascii="仿宋_GB2312" w:eastAsia="仿宋_GB2312"/>
          <w:sz w:val="32"/>
          <w:szCs w:val="32"/>
        </w:rPr>
        <w:t>减少</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ascii="仿宋_GB2312" w:eastAsia="仿宋_GB2312"/>
          <w:sz w:val="32"/>
          <w:szCs w:val="32"/>
        </w:rPr>
        <w:t>/</w:t>
      </w:r>
      <w:r>
        <w:rPr>
          <w:rFonts w:hint="eastAsia" w:ascii="仿宋_GB2312" w:eastAsia="仿宋_GB2312"/>
          <w:sz w:val="32"/>
          <w:szCs w:val="32"/>
        </w:rPr>
        <w:t>下降</w:t>
      </w:r>
      <w:r>
        <w:rPr>
          <w:rFonts w:hint="eastAsia" w:ascii="仿宋_GB2312" w:eastAsia="仿宋_GB2312"/>
          <w:sz w:val="32"/>
          <w:szCs w:val="32"/>
          <w:lang w:val="en-US" w:eastAsia="zh-CN"/>
        </w:rPr>
        <w:t>0</w:t>
      </w:r>
      <w:r>
        <w:rPr>
          <w:rFonts w:ascii="仿宋_GB2312" w:eastAsia="仿宋_GB2312"/>
          <w:sz w:val="32"/>
          <w:szCs w:val="32"/>
        </w:rPr>
        <w:t>%</w:t>
      </w:r>
      <w:r>
        <w:rPr>
          <w:rFonts w:hint="eastAsia" w:ascii="仿宋_GB2312" w:eastAsia="仿宋_GB2312"/>
          <w:sz w:val="32"/>
          <w:szCs w:val="32"/>
        </w:rPr>
        <w:t>。</w:t>
      </w:r>
    </w:p>
    <w:p w14:paraId="2770031F">
      <w:pPr>
        <w:spacing w:line="600" w:lineRule="exact"/>
        <w:ind w:firstLine="640"/>
        <w:rPr>
          <w:rFonts w:ascii="仿宋_GB2312" w:eastAsia="仿宋_GB2312"/>
          <w:b/>
          <w:sz w:val="32"/>
          <w:szCs w:val="32"/>
        </w:rPr>
      </w:pPr>
      <w:r>
        <w:rPr>
          <w:rFonts w:ascii="仿宋_GB2312" w:eastAsia="仿宋_GB2312"/>
          <w:b/>
          <w:sz w:val="32"/>
          <w:szCs w:val="32"/>
        </w:rPr>
        <w:t>2.</w:t>
      </w:r>
      <w:r>
        <w:rPr>
          <w:rFonts w:hint="eastAsia" w:ascii="仿宋_GB2312" w:eastAsia="仿宋_GB2312"/>
          <w:b/>
          <w:sz w:val="32"/>
          <w:szCs w:val="32"/>
        </w:rPr>
        <w:t>公务用车购置及运行维护费支出</w:t>
      </w:r>
      <w:r>
        <w:rPr>
          <w:rFonts w:ascii="仿宋" w:hAnsi="仿宋" w:eastAsia="仿宋"/>
          <w:b/>
          <w:sz w:val="32"/>
          <w:szCs w:val="32"/>
        </w:rPr>
        <w:t>83.68</w:t>
      </w:r>
      <w:r>
        <w:rPr>
          <w:rFonts w:hint="eastAsia" w:ascii="仿宋_GB2312" w:eastAsia="仿宋_GB2312"/>
          <w:sz w:val="32"/>
          <w:szCs w:val="32"/>
        </w:rPr>
        <w:t>万元,</w:t>
      </w:r>
      <w:r>
        <w:rPr>
          <w:rStyle w:val="17"/>
          <w:rFonts w:hint="eastAsia" w:ascii="仿宋" w:hAnsi="仿宋" w:eastAsia="仿宋"/>
          <w:b w:val="0"/>
          <w:bCs/>
          <w:sz w:val="32"/>
          <w:szCs w:val="32"/>
        </w:rPr>
        <w:t>完成预算</w:t>
      </w:r>
      <w:r>
        <w:rPr>
          <w:rStyle w:val="17"/>
          <w:rFonts w:ascii="仿宋" w:hAnsi="仿宋" w:eastAsia="仿宋"/>
          <w:bCs/>
          <w:sz w:val="32"/>
          <w:szCs w:val="32"/>
        </w:rPr>
        <w:t>100</w:t>
      </w:r>
      <w:r>
        <w:rPr>
          <w:rStyle w:val="17"/>
          <w:rFonts w:ascii="仿宋" w:hAnsi="仿宋" w:eastAsia="仿宋"/>
          <w:b w:val="0"/>
          <w:bCs/>
          <w:sz w:val="32"/>
          <w:szCs w:val="32"/>
        </w:rPr>
        <w:t>%</w:t>
      </w:r>
      <w:r>
        <w:rPr>
          <w:rStyle w:val="17"/>
          <w:rFonts w:hint="eastAsia" w:ascii="仿宋" w:hAnsi="仿宋" w:eastAsia="仿宋"/>
          <w:b w:val="0"/>
          <w:bCs/>
          <w:sz w:val="32"/>
          <w:szCs w:val="32"/>
        </w:rPr>
        <w:t>。</w:t>
      </w:r>
      <w:r>
        <w:rPr>
          <w:rFonts w:hint="eastAsia" w:ascii="仿宋_GB2312" w:eastAsia="仿宋_GB2312"/>
          <w:sz w:val="32"/>
          <w:szCs w:val="32"/>
        </w:rPr>
        <w:t>公务用车购置及运行维护费支出决算比2022年度减少</w:t>
      </w:r>
      <w:r>
        <w:rPr>
          <w:rFonts w:hint="eastAsia" w:ascii="仿宋_GB2312" w:eastAsia="仿宋_GB2312"/>
          <w:sz w:val="32"/>
          <w:szCs w:val="32"/>
          <w:lang w:val="en-US" w:eastAsia="zh-CN"/>
        </w:rPr>
        <w:t>17.27</w:t>
      </w:r>
      <w:r>
        <w:rPr>
          <w:rFonts w:hint="eastAsia" w:ascii="仿宋_GB2312" w:eastAsia="仿宋_GB2312"/>
          <w:sz w:val="32"/>
          <w:szCs w:val="32"/>
        </w:rPr>
        <w:t>万元，下降</w:t>
      </w:r>
      <w:r>
        <w:rPr>
          <w:rFonts w:hint="eastAsia" w:ascii="仿宋_GB2312" w:eastAsia="仿宋_GB2312"/>
          <w:sz w:val="32"/>
          <w:szCs w:val="32"/>
          <w:lang w:val="en-US" w:eastAsia="zh-CN"/>
        </w:rPr>
        <w:t>17.43</w:t>
      </w:r>
      <w:r>
        <w:rPr>
          <w:rFonts w:ascii="仿宋_GB2312" w:eastAsia="仿宋_GB2312"/>
          <w:sz w:val="32"/>
          <w:szCs w:val="32"/>
        </w:rPr>
        <w:t>%</w:t>
      </w:r>
      <w:r>
        <w:rPr>
          <w:rFonts w:hint="eastAsia" w:ascii="仿宋_GB2312" w:eastAsia="仿宋_GB2312"/>
          <w:sz w:val="32"/>
          <w:szCs w:val="32"/>
        </w:rPr>
        <w:t>。主要原因是</w:t>
      </w:r>
      <w:r>
        <w:rPr>
          <w:rFonts w:hint="eastAsia" w:ascii="仿宋_GB2312" w:eastAsia="仿宋_GB2312"/>
          <w:sz w:val="32"/>
          <w:szCs w:val="32"/>
          <w:lang w:eastAsia="zh-CN"/>
        </w:rPr>
        <w:t>我部门厉行节约，缩减三公经费</w:t>
      </w:r>
      <w:r>
        <w:rPr>
          <w:rFonts w:hint="eastAsia" w:ascii="仿宋_GB2312" w:eastAsia="仿宋_GB2312"/>
          <w:sz w:val="32"/>
          <w:szCs w:val="32"/>
        </w:rPr>
        <w:t>。</w:t>
      </w:r>
    </w:p>
    <w:p w14:paraId="37387AA3">
      <w:pPr>
        <w:spacing w:line="600" w:lineRule="exact"/>
        <w:ind w:firstLine="640" w:firstLineChars="200"/>
        <w:rPr>
          <w:rFonts w:ascii="仿宋_GB2312" w:eastAsia="仿宋_GB2312"/>
          <w:b/>
          <w:sz w:val="32"/>
          <w:szCs w:val="32"/>
        </w:rPr>
      </w:pPr>
      <w:r>
        <w:rPr>
          <w:rFonts w:hint="eastAsia" w:ascii="仿宋_GB2312" w:eastAsia="仿宋_GB2312"/>
          <w:sz w:val="32"/>
          <w:szCs w:val="32"/>
        </w:rPr>
        <w:t>其中：</w:t>
      </w:r>
      <w:r>
        <w:rPr>
          <w:rFonts w:hint="eastAsia" w:ascii="仿宋_GB2312" w:eastAsia="仿宋_GB2312"/>
          <w:b/>
          <w:sz w:val="32"/>
          <w:szCs w:val="32"/>
        </w:rPr>
        <w:t>公务用车购置支出</w:t>
      </w:r>
      <w:r>
        <w:rPr>
          <w:rFonts w:ascii="仿宋" w:hAnsi="仿宋" w:eastAsia="仿宋"/>
          <w:b/>
          <w:sz w:val="32"/>
          <w:szCs w:val="32"/>
        </w:rPr>
        <w:t>0</w:t>
      </w:r>
      <w:r>
        <w:rPr>
          <w:rFonts w:hint="eastAsia" w:ascii="仿宋_GB2312" w:eastAsia="仿宋_GB2312"/>
          <w:sz w:val="32"/>
          <w:szCs w:val="32"/>
        </w:rPr>
        <w:t>万元。全年按规定更新购置公务用车</w:t>
      </w:r>
      <w:r>
        <w:rPr>
          <w:rFonts w:hint="eastAsia" w:ascii="仿宋_GB2312" w:eastAsia="仿宋_GB2312"/>
          <w:sz w:val="32"/>
          <w:szCs w:val="32"/>
          <w:lang w:val="en-US" w:eastAsia="zh-CN"/>
        </w:rPr>
        <w:t>0</w:t>
      </w:r>
      <w:r>
        <w:rPr>
          <w:rFonts w:hint="eastAsia" w:ascii="仿宋_GB2312" w:eastAsia="仿宋_GB2312"/>
          <w:sz w:val="32"/>
          <w:szCs w:val="32"/>
        </w:rPr>
        <w:t>辆，其中：轿车</w:t>
      </w:r>
      <w:r>
        <w:rPr>
          <w:rFonts w:hint="eastAsia" w:ascii="仿宋_GB2312" w:eastAsia="仿宋_GB2312"/>
          <w:sz w:val="32"/>
          <w:szCs w:val="32"/>
          <w:lang w:val="en-US" w:eastAsia="zh-CN"/>
        </w:rPr>
        <w:t>0</w:t>
      </w:r>
      <w:r>
        <w:rPr>
          <w:rFonts w:hint="eastAsia" w:ascii="仿宋_GB2312" w:eastAsia="仿宋_GB2312"/>
          <w:sz w:val="32"/>
          <w:szCs w:val="32"/>
        </w:rPr>
        <w:t>辆、金额</w:t>
      </w:r>
      <w:r>
        <w:rPr>
          <w:rFonts w:hint="eastAsia" w:ascii="仿宋_GB2312" w:eastAsia="仿宋_GB2312"/>
          <w:sz w:val="32"/>
          <w:szCs w:val="32"/>
          <w:lang w:val="en-US" w:eastAsia="zh-CN"/>
        </w:rPr>
        <w:t>0</w:t>
      </w:r>
      <w:r>
        <w:rPr>
          <w:rFonts w:hint="eastAsia" w:ascii="仿宋_GB2312" w:eastAsia="仿宋_GB2312"/>
          <w:sz w:val="32"/>
          <w:szCs w:val="32"/>
        </w:rPr>
        <w:t>万元，越野车</w:t>
      </w:r>
      <w:r>
        <w:rPr>
          <w:rFonts w:hint="eastAsia" w:ascii="仿宋_GB2312" w:eastAsia="仿宋_GB2312"/>
          <w:sz w:val="32"/>
          <w:szCs w:val="32"/>
          <w:lang w:val="en-US" w:eastAsia="zh-CN"/>
        </w:rPr>
        <w:t>0</w:t>
      </w:r>
      <w:r>
        <w:rPr>
          <w:rFonts w:hint="eastAsia" w:ascii="仿宋_GB2312" w:eastAsia="仿宋_GB2312"/>
          <w:sz w:val="32"/>
          <w:szCs w:val="32"/>
        </w:rPr>
        <w:t>辆、金额</w:t>
      </w:r>
      <w:r>
        <w:rPr>
          <w:rFonts w:hint="eastAsia" w:ascii="仿宋_GB2312" w:eastAsia="仿宋_GB2312"/>
          <w:sz w:val="32"/>
          <w:szCs w:val="32"/>
          <w:lang w:val="en-US" w:eastAsia="zh-CN"/>
        </w:rPr>
        <w:t>0</w:t>
      </w:r>
      <w:r>
        <w:rPr>
          <w:rFonts w:hint="eastAsia" w:ascii="仿宋_GB2312" w:eastAsia="仿宋_GB2312"/>
          <w:sz w:val="32"/>
          <w:szCs w:val="32"/>
        </w:rPr>
        <w:t>万元，载客汽车</w:t>
      </w:r>
      <w:r>
        <w:rPr>
          <w:rFonts w:hint="eastAsia" w:ascii="仿宋_GB2312" w:eastAsia="仿宋_GB2312"/>
          <w:sz w:val="32"/>
          <w:szCs w:val="32"/>
          <w:lang w:val="en-US" w:eastAsia="zh-CN"/>
        </w:rPr>
        <w:t>0</w:t>
      </w:r>
      <w:r>
        <w:rPr>
          <w:rFonts w:hint="eastAsia" w:ascii="仿宋_GB2312" w:eastAsia="仿宋_GB2312"/>
          <w:sz w:val="32"/>
          <w:szCs w:val="32"/>
        </w:rPr>
        <w:t>辆、金额</w:t>
      </w:r>
      <w:r>
        <w:rPr>
          <w:rFonts w:hint="eastAsia" w:ascii="仿宋_GB2312" w:eastAsia="仿宋_GB2312"/>
          <w:sz w:val="32"/>
          <w:szCs w:val="32"/>
          <w:lang w:val="en-US" w:eastAsia="zh-CN"/>
        </w:rPr>
        <w:t>0</w:t>
      </w:r>
      <w:r>
        <w:rPr>
          <w:rFonts w:hint="eastAsia" w:ascii="仿宋_GB2312" w:eastAsia="仿宋_GB2312"/>
          <w:sz w:val="32"/>
          <w:szCs w:val="32"/>
        </w:rPr>
        <w:t>万元。截至2023年</w:t>
      </w:r>
      <w:r>
        <w:rPr>
          <w:rFonts w:ascii="仿宋_GB2312" w:eastAsia="仿宋_GB2312"/>
          <w:sz w:val="32"/>
          <w:szCs w:val="32"/>
        </w:rPr>
        <w:t>12</w:t>
      </w:r>
      <w:r>
        <w:rPr>
          <w:rFonts w:hint="eastAsia" w:ascii="仿宋_GB2312" w:eastAsia="仿宋_GB2312"/>
          <w:sz w:val="32"/>
          <w:szCs w:val="32"/>
        </w:rPr>
        <w:t>月31日，单位共有公务用车</w:t>
      </w:r>
      <w:r>
        <w:rPr>
          <w:rFonts w:hint="eastAsia" w:ascii="仿宋_GB2312" w:eastAsia="仿宋_GB2312"/>
          <w:sz w:val="32"/>
          <w:szCs w:val="32"/>
          <w:lang w:val="en-US" w:eastAsia="zh-CN"/>
        </w:rPr>
        <w:t>9</w:t>
      </w:r>
      <w:r>
        <w:rPr>
          <w:rFonts w:hint="eastAsia" w:ascii="仿宋_GB2312" w:eastAsia="仿宋_GB2312"/>
          <w:sz w:val="32"/>
          <w:szCs w:val="32"/>
        </w:rPr>
        <w:t>辆，其中：轿车</w:t>
      </w:r>
      <w:r>
        <w:rPr>
          <w:rFonts w:hint="eastAsia" w:ascii="仿宋_GB2312" w:eastAsia="仿宋_GB2312"/>
          <w:sz w:val="32"/>
          <w:szCs w:val="32"/>
          <w:lang w:val="en-US" w:eastAsia="zh-CN"/>
        </w:rPr>
        <w:t>0</w:t>
      </w:r>
      <w:r>
        <w:rPr>
          <w:rFonts w:hint="eastAsia" w:ascii="仿宋_GB2312" w:eastAsia="仿宋_GB2312"/>
          <w:sz w:val="32"/>
          <w:szCs w:val="32"/>
        </w:rPr>
        <w:t>辆、越野车</w:t>
      </w:r>
      <w:r>
        <w:rPr>
          <w:rFonts w:hint="eastAsia" w:ascii="仿宋_GB2312" w:eastAsia="仿宋_GB2312"/>
          <w:sz w:val="32"/>
          <w:szCs w:val="32"/>
          <w:lang w:val="en-US" w:eastAsia="zh-CN"/>
        </w:rPr>
        <w:t>9</w:t>
      </w:r>
      <w:r>
        <w:rPr>
          <w:rFonts w:hint="eastAsia" w:ascii="仿宋_GB2312" w:eastAsia="仿宋_GB2312"/>
          <w:sz w:val="32"/>
          <w:szCs w:val="32"/>
        </w:rPr>
        <w:t>辆、载客汽车</w:t>
      </w:r>
      <w:r>
        <w:rPr>
          <w:rFonts w:hint="eastAsia" w:ascii="仿宋_GB2312" w:eastAsia="仿宋_GB2312"/>
          <w:sz w:val="32"/>
          <w:szCs w:val="32"/>
          <w:lang w:val="en-US" w:eastAsia="zh-CN"/>
        </w:rPr>
        <w:t>0</w:t>
      </w:r>
      <w:r>
        <w:rPr>
          <w:rFonts w:hint="eastAsia" w:ascii="仿宋_GB2312" w:eastAsia="仿宋_GB2312"/>
          <w:sz w:val="32"/>
          <w:szCs w:val="32"/>
        </w:rPr>
        <w:t>辆。</w:t>
      </w:r>
    </w:p>
    <w:p w14:paraId="0508E29B">
      <w:pPr>
        <w:spacing w:line="600" w:lineRule="exact"/>
        <w:ind w:firstLine="640"/>
        <w:rPr>
          <w:rFonts w:ascii="仿宋_GB2312" w:eastAsia="仿宋_GB2312"/>
          <w:sz w:val="32"/>
          <w:szCs w:val="32"/>
        </w:rPr>
      </w:pPr>
      <w:r>
        <w:rPr>
          <w:rFonts w:hint="eastAsia" w:ascii="仿宋_GB2312" w:eastAsia="仿宋_GB2312"/>
          <w:b/>
          <w:sz w:val="32"/>
          <w:szCs w:val="32"/>
        </w:rPr>
        <w:t>公务用车运行维护费支出</w:t>
      </w:r>
      <w:r>
        <w:rPr>
          <w:rFonts w:ascii="仿宋" w:hAnsi="仿宋" w:eastAsia="仿宋"/>
          <w:b/>
          <w:sz w:val="32"/>
          <w:szCs w:val="32"/>
        </w:rPr>
        <w:t>83.68</w:t>
      </w:r>
      <w:r>
        <w:rPr>
          <w:rFonts w:hint="eastAsia" w:ascii="仿宋_GB2312" w:eastAsia="仿宋_GB2312"/>
          <w:sz w:val="32"/>
          <w:szCs w:val="32"/>
        </w:rPr>
        <w:t>万元。主要用于</w:t>
      </w:r>
      <w:r>
        <w:rPr>
          <w:rFonts w:hint="eastAsia" w:ascii="仿宋_GB2312" w:eastAsia="仿宋_GB2312"/>
          <w:sz w:val="32"/>
          <w:szCs w:val="32"/>
          <w:lang w:eastAsia="zh-CN"/>
        </w:rPr>
        <w:t>全州财政工作</w:t>
      </w:r>
      <w:r>
        <w:rPr>
          <w:rFonts w:hint="eastAsia" w:ascii="仿宋_GB2312" w:eastAsia="仿宋_GB2312"/>
          <w:sz w:val="32"/>
          <w:szCs w:val="32"/>
        </w:rPr>
        <w:t>等所需的公务用车燃料费、维修费、过路过桥费、保险费等支出。</w:t>
      </w:r>
    </w:p>
    <w:p w14:paraId="4F84186B">
      <w:pPr>
        <w:spacing w:line="600" w:lineRule="exact"/>
        <w:ind w:firstLine="640"/>
        <w:rPr>
          <w:rFonts w:ascii="仿宋_GB2312" w:eastAsia="仿宋_GB2312"/>
          <w:sz w:val="32"/>
          <w:szCs w:val="32"/>
        </w:rPr>
      </w:pPr>
      <w:r>
        <w:rPr>
          <w:rFonts w:ascii="仿宋_GB2312" w:eastAsia="仿宋_GB2312"/>
          <w:b/>
          <w:sz w:val="32"/>
          <w:szCs w:val="32"/>
        </w:rPr>
        <w:t>3.</w:t>
      </w:r>
      <w:r>
        <w:rPr>
          <w:rFonts w:hint="eastAsia" w:ascii="仿宋_GB2312" w:eastAsia="仿宋_GB2312"/>
          <w:b/>
          <w:sz w:val="32"/>
          <w:szCs w:val="32"/>
        </w:rPr>
        <w:t>公务接待费支出</w:t>
      </w:r>
      <w:r>
        <w:rPr>
          <w:rFonts w:ascii="仿宋" w:hAnsi="仿宋" w:eastAsia="仿宋"/>
          <w:b/>
          <w:sz w:val="32"/>
          <w:szCs w:val="32"/>
        </w:rPr>
        <w:t>0</w:t>
      </w:r>
      <w:r>
        <w:rPr>
          <w:rFonts w:hint="eastAsia" w:ascii="仿宋_GB2312" w:eastAsia="仿宋_GB2312"/>
          <w:sz w:val="32"/>
          <w:szCs w:val="32"/>
        </w:rPr>
        <w:t>万元，</w:t>
      </w:r>
      <w:r>
        <w:rPr>
          <w:rStyle w:val="17"/>
          <w:rFonts w:hint="eastAsia" w:ascii="仿宋" w:hAnsi="仿宋" w:eastAsia="仿宋"/>
          <w:b w:val="0"/>
          <w:bCs/>
          <w:sz w:val="32"/>
          <w:szCs w:val="32"/>
        </w:rPr>
        <w:t>完成预算</w:t>
      </w:r>
      <w:r>
        <w:rPr>
          <w:rStyle w:val="17"/>
          <w:rFonts w:ascii="仿宋" w:hAnsi="仿宋" w:eastAsia="仿宋"/>
          <w:b w:val="0"/>
          <w:bCs/>
          <w:sz w:val="32"/>
          <w:szCs w:val="32"/>
        </w:rPr>
        <w:t>0%</w:t>
      </w:r>
      <w:r>
        <w:rPr>
          <w:rStyle w:val="17"/>
          <w:rFonts w:hint="eastAsia" w:ascii="仿宋" w:hAnsi="仿宋" w:eastAsia="仿宋"/>
          <w:b w:val="0"/>
          <w:bCs/>
          <w:sz w:val="32"/>
          <w:szCs w:val="32"/>
        </w:rPr>
        <w:t>。</w:t>
      </w:r>
      <w:r>
        <w:rPr>
          <w:rFonts w:hint="eastAsia" w:ascii="仿宋_GB2312" w:eastAsia="仿宋_GB2312"/>
          <w:sz w:val="32"/>
          <w:szCs w:val="32"/>
        </w:rPr>
        <w:t>公务接待费支出决算比2022年度增加</w:t>
      </w:r>
      <w:r>
        <w:rPr>
          <w:rFonts w:ascii="仿宋_GB2312" w:eastAsia="仿宋_GB2312"/>
          <w:sz w:val="32"/>
          <w:szCs w:val="32"/>
        </w:rPr>
        <w:t>/</w:t>
      </w:r>
      <w:r>
        <w:rPr>
          <w:rFonts w:hint="eastAsia" w:ascii="仿宋_GB2312" w:eastAsia="仿宋_GB2312"/>
          <w:sz w:val="32"/>
          <w:szCs w:val="32"/>
        </w:rPr>
        <w:t>减少</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ascii="仿宋_GB2312" w:eastAsia="仿宋_GB2312"/>
          <w:sz w:val="32"/>
          <w:szCs w:val="32"/>
        </w:rPr>
        <w:t>/</w:t>
      </w:r>
      <w:r>
        <w:rPr>
          <w:rFonts w:hint="eastAsia" w:ascii="仿宋_GB2312" w:eastAsia="仿宋_GB2312"/>
          <w:sz w:val="32"/>
          <w:szCs w:val="32"/>
        </w:rPr>
        <w:t>下降</w:t>
      </w:r>
      <w:r>
        <w:rPr>
          <w:rFonts w:hint="eastAsia" w:ascii="仿宋_GB2312" w:eastAsia="仿宋_GB2312"/>
          <w:sz w:val="32"/>
          <w:szCs w:val="32"/>
          <w:lang w:val="en-US" w:eastAsia="zh-CN"/>
        </w:rPr>
        <w:t>0</w:t>
      </w:r>
      <w:r>
        <w:rPr>
          <w:rFonts w:ascii="仿宋_GB2312" w:eastAsia="仿宋_GB2312"/>
          <w:sz w:val="32"/>
          <w:szCs w:val="32"/>
        </w:rPr>
        <w:t>%</w:t>
      </w:r>
      <w:r>
        <w:rPr>
          <w:rFonts w:hint="eastAsia" w:ascii="仿宋_GB2312" w:eastAsia="仿宋_GB2312"/>
          <w:sz w:val="32"/>
          <w:szCs w:val="32"/>
        </w:rPr>
        <w:t>。其中：</w:t>
      </w:r>
    </w:p>
    <w:p w14:paraId="4A8EF290">
      <w:pPr>
        <w:spacing w:line="600" w:lineRule="exact"/>
        <w:ind w:firstLine="640"/>
        <w:rPr>
          <w:rFonts w:ascii="仿宋_GB2312" w:eastAsia="仿宋_GB2312"/>
          <w:sz w:val="32"/>
          <w:szCs w:val="32"/>
        </w:rPr>
      </w:pPr>
      <w:r>
        <w:rPr>
          <w:rFonts w:hint="eastAsia" w:ascii="仿宋" w:hAnsi="仿宋" w:eastAsia="仿宋"/>
          <w:b/>
          <w:sz w:val="32"/>
          <w:szCs w:val="32"/>
        </w:rPr>
        <w:t>国内公务接待支出</w:t>
      </w:r>
      <w:r>
        <w:rPr>
          <w:rFonts w:ascii="仿宋" w:hAnsi="仿宋" w:eastAsia="仿宋"/>
          <w:b/>
          <w:sz w:val="32"/>
          <w:szCs w:val="32"/>
        </w:rPr>
        <w:t>0</w:t>
      </w:r>
      <w:r>
        <w:rPr>
          <w:rFonts w:hint="eastAsia" w:ascii="仿宋_GB2312" w:eastAsia="仿宋_GB2312"/>
          <w:sz w:val="32"/>
          <w:szCs w:val="32"/>
        </w:rPr>
        <w:t>万元，主要用于……(执行公务、开展业务活动开支的交通费、住宿费、用餐费等)。国内公务接待</w:t>
      </w:r>
      <w:r>
        <w:rPr>
          <w:rFonts w:ascii="仿宋_GB2312" w:eastAsia="仿宋_GB2312"/>
          <w:sz w:val="32"/>
          <w:szCs w:val="32"/>
        </w:rPr>
        <w:t>**</w:t>
      </w:r>
      <w:r>
        <w:rPr>
          <w:rFonts w:hint="eastAsia" w:ascii="仿宋_GB2312" w:eastAsia="仿宋_GB2312"/>
          <w:sz w:val="32"/>
          <w:szCs w:val="32"/>
        </w:rPr>
        <w:t>批次，</w:t>
      </w:r>
      <w:r>
        <w:rPr>
          <w:rFonts w:ascii="仿宋_GB2312" w:eastAsia="仿宋_GB2312"/>
          <w:sz w:val="32"/>
          <w:szCs w:val="32"/>
        </w:rPr>
        <w:t>**</w:t>
      </w:r>
      <w:r>
        <w:rPr>
          <w:rFonts w:hint="eastAsia" w:ascii="仿宋_GB2312" w:eastAsia="仿宋_GB2312"/>
          <w:sz w:val="32"/>
          <w:szCs w:val="32"/>
        </w:rPr>
        <w:t>人次（不包括陪同人员），共计支出</w:t>
      </w:r>
      <w:r>
        <w:rPr>
          <w:rFonts w:ascii="仿宋_GB2312" w:eastAsia="仿宋_GB2312"/>
          <w:sz w:val="32"/>
          <w:szCs w:val="32"/>
        </w:rPr>
        <w:t>**</w:t>
      </w:r>
      <w:r>
        <w:rPr>
          <w:rFonts w:hint="eastAsia" w:ascii="仿宋_GB2312" w:eastAsia="仿宋_GB2312"/>
          <w:sz w:val="32"/>
          <w:szCs w:val="32"/>
        </w:rPr>
        <w:t>万元，具体内容包括：…（接待具体项目、金额）。</w:t>
      </w:r>
    </w:p>
    <w:p w14:paraId="2CDD1FC9">
      <w:pPr>
        <w:spacing w:line="600" w:lineRule="exact"/>
        <w:ind w:firstLine="643" w:firstLineChars="200"/>
        <w:rPr>
          <w:rFonts w:ascii="仿宋_GB2312" w:eastAsia="仿宋_GB2312"/>
          <w:sz w:val="32"/>
          <w:szCs w:val="32"/>
        </w:rPr>
      </w:pPr>
      <w:r>
        <w:rPr>
          <w:rFonts w:hint="eastAsia" w:ascii="仿宋" w:hAnsi="仿宋" w:eastAsia="仿宋"/>
          <w:b/>
          <w:sz w:val="32"/>
          <w:szCs w:val="32"/>
        </w:rPr>
        <w:t>外事接待支出</w:t>
      </w:r>
      <w:r>
        <w:rPr>
          <w:rFonts w:ascii="仿宋" w:hAnsi="仿宋" w:eastAsia="仿宋"/>
          <w:b/>
          <w:sz w:val="32"/>
          <w:szCs w:val="32"/>
        </w:rPr>
        <w:t>0</w:t>
      </w:r>
      <w:r>
        <w:rPr>
          <w:rFonts w:hint="eastAsia" w:ascii="仿宋_GB2312" w:eastAsia="仿宋_GB2312"/>
          <w:sz w:val="32"/>
          <w:szCs w:val="32"/>
        </w:rPr>
        <w:t>万元，主要用于接待</w:t>
      </w:r>
      <w:r>
        <w:rPr>
          <w:rFonts w:ascii="仿宋_GB2312" w:eastAsia="仿宋_GB2312"/>
          <w:sz w:val="32"/>
          <w:szCs w:val="32"/>
        </w:rPr>
        <w:t>…</w:t>
      </w:r>
      <w:r>
        <w:rPr>
          <w:rFonts w:hint="eastAsia" w:ascii="仿宋_GB2312" w:eastAsia="仿宋_GB2312"/>
          <w:sz w:val="32"/>
          <w:szCs w:val="32"/>
        </w:rPr>
        <w:t>（具体项目）。外事接待</w:t>
      </w:r>
      <w:r>
        <w:rPr>
          <w:rFonts w:ascii="仿宋_GB2312" w:eastAsia="仿宋_GB2312"/>
          <w:sz w:val="32"/>
          <w:szCs w:val="32"/>
        </w:rPr>
        <w:t>**</w:t>
      </w:r>
      <w:r>
        <w:rPr>
          <w:rFonts w:hint="eastAsia" w:ascii="仿宋_GB2312" w:eastAsia="仿宋_GB2312"/>
          <w:sz w:val="32"/>
          <w:szCs w:val="32"/>
        </w:rPr>
        <w:t>批次，</w:t>
      </w:r>
      <w:r>
        <w:rPr>
          <w:rFonts w:ascii="仿宋_GB2312" w:eastAsia="仿宋_GB2312"/>
          <w:sz w:val="32"/>
          <w:szCs w:val="32"/>
        </w:rPr>
        <w:t>**</w:t>
      </w:r>
      <w:r>
        <w:rPr>
          <w:rFonts w:hint="eastAsia" w:ascii="仿宋_GB2312" w:eastAsia="仿宋_GB2312"/>
          <w:sz w:val="32"/>
          <w:szCs w:val="32"/>
        </w:rPr>
        <w:t>人次（不包括陪同人员），共计支出</w:t>
      </w:r>
      <w:r>
        <w:rPr>
          <w:rFonts w:ascii="仿宋_GB2312" w:eastAsia="仿宋_GB2312"/>
          <w:sz w:val="32"/>
          <w:szCs w:val="32"/>
        </w:rPr>
        <w:t>**</w:t>
      </w:r>
      <w:r>
        <w:rPr>
          <w:rFonts w:hint="eastAsia" w:ascii="仿宋_GB2312" w:eastAsia="仿宋_GB2312"/>
          <w:sz w:val="32"/>
          <w:szCs w:val="32"/>
        </w:rPr>
        <w:t>万元。</w:t>
      </w:r>
    </w:p>
    <w:p w14:paraId="40B7F7E4">
      <w:pPr>
        <w:spacing w:line="600" w:lineRule="exact"/>
        <w:ind w:firstLine="640"/>
        <w:outlineLvl w:val="1"/>
        <w:rPr>
          <w:rFonts w:ascii="黑体" w:eastAsia="黑体"/>
          <w:sz w:val="32"/>
          <w:szCs w:val="32"/>
        </w:rPr>
      </w:pPr>
    </w:p>
    <w:p w14:paraId="5E4826D4">
      <w:pPr>
        <w:spacing w:line="600" w:lineRule="exact"/>
        <w:ind w:firstLine="640"/>
        <w:outlineLvl w:val="1"/>
        <w:rPr>
          <w:rStyle w:val="29"/>
          <w:rFonts w:ascii="黑体" w:hAnsi="黑体" w:eastAsia="黑体"/>
        </w:rPr>
      </w:pPr>
      <w:r>
        <w:rPr>
          <w:rFonts w:hint="eastAsia" w:ascii="黑体" w:eastAsia="黑体"/>
          <w:sz w:val="32"/>
          <w:szCs w:val="32"/>
        </w:rPr>
        <w:t>八、</w:t>
      </w:r>
      <w:r>
        <w:rPr>
          <w:rStyle w:val="29"/>
          <w:rFonts w:hint="eastAsia" w:ascii="黑体" w:hAnsi="黑体" w:eastAsia="黑体"/>
          <w:b w:val="0"/>
        </w:rPr>
        <w:t>政府性基金预算支出决算情况说明</w:t>
      </w:r>
      <w:bookmarkEnd w:id="40"/>
      <w:bookmarkEnd w:id="41"/>
    </w:p>
    <w:p w14:paraId="207FC276">
      <w:pPr>
        <w:spacing w:line="600" w:lineRule="exact"/>
        <w:ind w:firstLine="640"/>
        <w:rPr>
          <w:rFonts w:ascii="仿宋_GB2312" w:eastAsia="仿宋_GB2312"/>
          <w:sz w:val="32"/>
          <w:szCs w:val="32"/>
        </w:rPr>
      </w:pPr>
      <w:r>
        <w:rPr>
          <w:rFonts w:hint="eastAsia" w:ascii="仿宋_GB2312" w:eastAsia="仿宋_GB2312"/>
          <w:sz w:val="32"/>
          <w:szCs w:val="32"/>
        </w:rPr>
        <w:t>2023年度政府性基金预算财政拨款支出</w:t>
      </w:r>
      <w:r>
        <w:rPr>
          <w:rFonts w:ascii="仿宋" w:hAnsi="仿宋" w:eastAsia="仿宋"/>
          <w:b/>
          <w:sz w:val="32"/>
          <w:szCs w:val="32"/>
        </w:rPr>
        <w:t>0</w:t>
      </w:r>
      <w:r>
        <w:rPr>
          <w:rFonts w:hint="eastAsia" w:ascii="仿宋_GB2312" w:eastAsia="仿宋_GB2312"/>
          <w:sz w:val="32"/>
          <w:szCs w:val="32"/>
        </w:rPr>
        <w:t>万元。</w:t>
      </w:r>
    </w:p>
    <w:p w14:paraId="49CCA035">
      <w:pPr>
        <w:spacing w:line="600" w:lineRule="exact"/>
        <w:ind w:firstLine="640"/>
        <w:rPr>
          <w:rFonts w:ascii="仿宋_GB2312" w:eastAsia="仿宋_GB2312"/>
          <w:sz w:val="32"/>
          <w:szCs w:val="32"/>
        </w:rPr>
      </w:pPr>
    </w:p>
    <w:p w14:paraId="70F7B6F5">
      <w:pPr>
        <w:numPr>
          <w:ilvl w:val="0"/>
          <w:numId w:val="3"/>
        </w:numPr>
        <w:spacing w:line="600" w:lineRule="exact"/>
        <w:ind w:firstLine="640"/>
        <w:outlineLvl w:val="1"/>
        <w:rPr>
          <w:rStyle w:val="29"/>
          <w:rFonts w:ascii="黑体" w:hAnsi="黑体" w:eastAsia="黑体"/>
          <w:b w:val="0"/>
        </w:rPr>
      </w:pPr>
      <w:bookmarkStart w:id="42" w:name="_Toc15377219"/>
      <w:bookmarkStart w:id="43" w:name="_Toc15396611"/>
      <w:r>
        <w:rPr>
          <w:rStyle w:val="29"/>
          <w:rFonts w:hint="eastAsia" w:ascii="黑体" w:hAnsi="黑体" w:eastAsia="黑体"/>
          <w:b w:val="0"/>
        </w:rPr>
        <w:t>国有资本经营预算支出决算情况说明</w:t>
      </w:r>
      <w:bookmarkEnd w:id="42"/>
      <w:bookmarkEnd w:id="43"/>
    </w:p>
    <w:p w14:paraId="72099E17">
      <w:pPr>
        <w:spacing w:line="600" w:lineRule="exact"/>
        <w:ind w:firstLine="640"/>
        <w:rPr>
          <w:rFonts w:ascii="仿宋_GB2312" w:eastAsia="仿宋_GB2312"/>
          <w:sz w:val="32"/>
          <w:szCs w:val="32"/>
        </w:rPr>
      </w:pPr>
      <w:r>
        <w:rPr>
          <w:rFonts w:hint="eastAsia" w:ascii="仿宋_GB2312" w:eastAsia="仿宋_GB2312"/>
          <w:sz w:val="32"/>
          <w:szCs w:val="32"/>
        </w:rPr>
        <w:t>2023年度国有资本经营预算财政拨款支出</w:t>
      </w:r>
      <w:r>
        <w:rPr>
          <w:rFonts w:ascii="仿宋" w:hAnsi="仿宋" w:eastAsia="仿宋"/>
          <w:b/>
          <w:sz w:val="32"/>
          <w:szCs w:val="32"/>
        </w:rPr>
        <w:t>0</w:t>
      </w:r>
      <w:r>
        <w:rPr>
          <w:rFonts w:hint="eastAsia" w:ascii="仿宋_GB2312" w:eastAsia="仿宋_GB2312"/>
          <w:sz w:val="32"/>
          <w:szCs w:val="32"/>
        </w:rPr>
        <w:t>万元。</w:t>
      </w:r>
    </w:p>
    <w:p w14:paraId="54364017">
      <w:pPr>
        <w:spacing w:line="580" w:lineRule="exact"/>
        <w:jc w:val="center"/>
        <w:rPr>
          <w:rFonts w:ascii="方正小标宋简体" w:hAnsi="方正小标宋简体" w:eastAsia="方正小标宋简体" w:cs="方正小标宋简体"/>
          <w:sz w:val="44"/>
          <w:szCs w:val="44"/>
        </w:rPr>
      </w:pPr>
    </w:p>
    <w:p w14:paraId="7EA43D21">
      <w:pPr>
        <w:numPr>
          <w:ilvl w:val="0"/>
          <w:numId w:val="3"/>
        </w:numPr>
        <w:spacing w:line="600" w:lineRule="exact"/>
        <w:ind w:firstLine="640"/>
        <w:outlineLvl w:val="1"/>
        <w:rPr>
          <w:rStyle w:val="29"/>
          <w:rFonts w:ascii="黑体" w:hAnsi="黑体" w:eastAsia="黑体"/>
          <w:b w:val="0"/>
        </w:rPr>
      </w:pPr>
      <w:bookmarkStart w:id="44" w:name="_Toc15377221"/>
      <w:bookmarkStart w:id="45" w:name="_Toc15396612"/>
      <w:r>
        <w:rPr>
          <w:rStyle w:val="29"/>
          <w:rFonts w:hint="eastAsia" w:ascii="黑体" w:hAnsi="黑体" w:eastAsia="黑体"/>
          <w:b w:val="0"/>
        </w:rPr>
        <w:t>其他重要事项的情况说明</w:t>
      </w:r>
      <w:bookmarkEnd w:id="44"/>
      <w:bookmarkEnd w:id="45"/>
    </w:p>
    <w:p w14:paraId="2475CEDB">
      <w:pPr>
        <w:spacing w:line="600" w:lineRule="exact"/>
        <w:ind w:firstLine="643" w:firstLineChars="200"/>
        <w:outlineLvl w:val="2"/>
        <w:rPr>
          <w:rFonts w:ascii="仿宋" w:hAnsi="仿宋" w:eastAsia="仿宋"/>
          <w:sz w:val="32"/>
          <w:szCs w:val="32"/>
        </w:rPr>
      </w:pPr>
      <w:bookmarkStart w:id="46" w:name="_Toc15377222"/>
      <w:r>
        <w:rPr>
          <w:rFonts w:hint="eastAsia" w:ascii="仿宋" w:hAnsi="仿宋" w:eastAsia="仿宋"/>
          <w:b/>
          <w:sz w:val="32"/>
          <w:szCs w:val="32"/>
        </w:rPr>
        <w:t>（一）机关运行经费支出情况</w:t>
      </w:r>
      <w:bookmarkEnd w:id="46"/>
    </w:p>
    <w:p w14:paraId="6F902936">
      <w:pPr>
        <w:spacing w:line="600" w:lineRule="exact"/>
        <w:ind w:firstLine="640" w:firstLineChars="200"/>
        <w:rPr>
          <w:rFonts w:ascii="仿宋_GB2312" w:eastAsia="仿宋_GB2312"/>
          <w:sz w:val="32"/>
          <w:szCs w:val="32"/>
        </w:rPr>
      </w:pPr>
      <w:r>
        <w:rPr>
          <w:rFonts w:hint="eastAsia" w:ascii="仿宋_GB2312" w:eastAsia="仿宋_GB2312"/>
          <w:sz w:val="32"/>
          <w:szCs w:val="32"/>
        </w:rPr>
        <w:t>2023年度，</w:t>
      </w:r>
      <w:r>
        <w:rPr>
          <w:rFonts w:ascii="仿宋_GB2312" w:eastAsia="仿宋_GB2312"/>
          <w:b/>
          <w:sz w:val="32"/>
          <w:szCs w:val="32"/>
        </w:rPr>
        <w:t>阿坝州财政局</w:t>
      </w:r>
      <w:r>
        <w:rPr>
          <w:rFonts w:hint="eastAsia" w:ascii="仿宋_GB2312" w:eastAsia="仿宋_GB2312"/>
          <w:sz w:val="32"/>
          <w:szCs w:val="32"/>
        </w:rPr>
        <w:t>机关运行经费支出</w:t>
      </w:r>
      <w:r>
        <w:rPr>
          <w:rFonts w:ascii="仿宋" w:hAnsi="仿宋" w:eastAsia="仿宋"/>
          <w:b/>
          <w:sz w:val="32"/>
          <w:szCs w:val="32"/>
        </w:rPr>
        <w:t>326.36</w:t>
      </w:r>
      <w:r>
        <w:rPr>
          <w:rFonts w:hint="eastAsia" w:ascii="仿宋_GB2312" w:eastAsia="仿宋_GB2312"/>
          <w:sz w:val="32"/>
          <w:szCs w:val="32"/>
        </w:rPr>
        <w:t>万元，比2022年度增加</w:t>
      </w:r>
      <w:r>
        <w:rPr>
          <w:rFonts w:hint="eastAsia" w:ascii="仿宋_GB2312" w:eastAsia="仿宋_GB2312"/>
          <w:sz w:val="32"/>
          <w:szCs w:val="32"/>
          <w:lang w:val="en-US" w:eastAsia="zh-CN"/>
        </w:rPr>
        <w:t>102.86</w:t>
      </w:r>
      <w:r>
        <w:rPr>
          <w:rFonts w:hint="eastAsia" w:ascii="仿宋_GB2312" w:eastAsia="仿宋_GB2312"/>
          <w:sz w:val="32"/>
          <w:szCs w:val="32"/>
        </w:rPr>
        <w:t>万元，增长</w:t>
      </w:r>
      <w:r>
        <w:rPr>
          <w:rFonts w:hint="eastAsia" w:ascii="仿宋_GB2312" w:eastAsia="仿宋_GB2312"/>
          <w:sz w:val="32"/>
          <w:szCs w:val="32"/>
          <w:lang w:val="en-US" w:eastAsia="zh-CN"/>
        </w:rPr>
        <w:t>46.04</w:t>
      </w:r>
      <w:r>
        <w:rPr>
          <w:rFonts w:ascii="仿宋_GB2312" w:eastAsia="仿宋_GB2312"/>
          <w:sz w:val="32"/>
          <w:szCs w:val="32"/>
        </w:rPr>
        <w:t>%</w:t>
      </w:r>
      <w:r>
        <w:rPr>
          <w:rFonts w:hint="eastAsia" w:ascii="仿宋_GB2312" w:eastAsia="仿宋_GB2312"/>
          <w:sz w:val="32"/>
          <w:szCs w:val="32"/>
        </w:rPr>
        <w:t>。主要原因是</w:t>
      </w:r>
      <w:r>
        <w:rPr>
          <w:rFonts w:hint="eastAsia" w:ascii="仿宋_GB2312" w:eastAsia="仿宋_GB2312"/>
          <w:sz w:val="32"/>
          <w:szCs w:val="32"/>
          <w:lang w:eastAsia="zh-CN"/>
        </w:rPr>
        <w:t>机关运行经费增加</w:t>
      </w:r>
      <w:r>
        <w:rPr>
          <w:rFonts w:hint="eastAsia" w:ascii="仿宋_GB2312" w:eastAsia="仿宋_GB2312"/>
          <w:sz w:val="32"/>
          <w:szCs w:val="32"/>
        </w:rPr>
        <w:t>。</w:t>
      </w:r>
    </w:p>
    <w:p w14:paraId="1A852A9D">
      <w:pPr>
        <w:spacing w:line="600" w:lineRule="exact"/>
        <w:ind w:firstLine="643" w:firstLineChars="200"/>
        <w:rPr>
          <w:rFonts w:ascii="仿宋" w:hAnsi="仿宋" w:eastAsia="仿宋"/>
          <w:b/>
          <w:sz w:val="32"/>
          <w:szCs w:val="32"/>
        </w:rPr>
      </w:pPr>
      <w:r>
        <w:rPr>
          <w:rFonts w:hint="eastAsia" w:ascii="仿宋" w:hAnsi="仿宋" w:eastAsia="仿宋"/>
          <w:b/>
          <w:sz w:val="32"/>
          <w:szCs w:val="32"/>
        </w:rPr>
        <w:t>（注：数据来源于财决附</w:t>
      </w:r>
      <w:r>
        <w:rPr>
          <w:rFonts w:ascii="仿宋" w:hAnsi="仿宋" w:eastAsia="仿宋"/>
          <w:b/>
          <w:sz w:val="32"/>
          <w:szCs w:val="32"/>
        </w:rPr>
        <w:t>03</w:t>
      </w:r>
      <w:r>
        <w:rPr>
          <w:rFonts w:hint="eastAsia" w:ascii="仿宋" w:hAnsi="仿宋" w:eastAsia="仿宋"/>
          <w:b/>
          <w:sz w:val="32"/>
          <w:szCs w:val="32"/>
        </w:rPr>
        <w:t>表）</w:t>
      </w:r>
    </w:p>
    <w:p w14:paraId="6FA83568">
      <w:pPr>
        <w:autoSpaceDE w:val="0"/>
        <w:autoSpaceDN w:val="0"/>
        <w:adjustRightInd w:val="0"/>
        <w:spacing w:line="600" w:lineRule="exact"/>
        <w:ind w:firstLine="643" w:firstLineChars="200"/>
        <w:jc w:val="left"/>
        <w:outlineLvl w:val="2"/>
        <w:rPr>
          <w:rFonts w:ascii="仿宋" w:hAnsi="仿宋" w:eastAsia="仿宋"/>
          <w:b/>
          <w:sz w:val="32"/>
          <w:szCs w:val="32"/>
        </w:rPr>
      </w:pPr>
      <w:bookmarkStart w:id="47" w:name="_Toc15377223"/>
      <w:r>
        <w:rPr>
          <w:rFonts w:hint="eastAsia" w:ascii="仿宋" w:hAnsi="仿宋" w:eastAsia="仿宋"/>
          <w:b/>
          <w:sz w:val="32"/>
          <w:szCs w:val="32"/>
        </w:rPr>
        <w:t>（二）政府采购支出情况</w:t>
      </w:r>
      <w:bookmarkEnd w:id="47"/>
    </w:p>
    <w:p w14:paraId="3A79E9DD">
      <w:pPr>
        <w:spacing w:line="600" w:lineRule="exact"/>
        <w:ind w:firstLine="640" w:firstLineChars="200"/>
        <w:rPr>
          <w:rFonts w:ascii="仿宋_GB2312" w:eastAsia="仿宋_GB2312"/>
          <w:sz w:val="32"/>
          <w:szCs w:val="32"/>
        </w:rPr>
      </w:pPr>
      <w:r>
        <w:rPr>
          <w:rFonts w:hint="eastAsia" w:ascii="仿宋_GB2312" w:eastAsia="仿宋_GB2312"/>
          <w:sz w:val="32"/>
          <w:szCs w:val="32"/>
        </w:rPr>
        <w:t>2023年度，</w:t>
      </w:r>
      <w:r>
        <w:rPr>
          <w:rFonts w:ascii="仿宋_GB2312" w:eastAsia="仿宋_GB2312"/>
          <w:b/>
          <w:sz w:val="32"/>
          <w:szCs w:val="32"/>
        </w:rPr>
        <w:t>阿坝州财政局</w:t>
      </w:r>
      <w:r>
        <w:rPr>
          <w:rFonts w:hint="eastAsia" w:ascii="仿宋_GB2312" w:eastAsia="仿宋_GB2312"/>
          <w:sz w:val="32"/>
          <w:szCs w:val="32"/>
        </w:rPr>
        <w:t>政府采购支出总额</w:t>
      </w:r>
      <w:r>
        <w:rPr>
          <w:rFonts w:ascii="仿宋" w:hAnsi="仿宋" w:eastAsia="仿宋"/>
          <w:b/>
          <w:sz w:val="32"/>
          <w:szCs w:val="32"/>
        </w:rPr>
        <w:t>185.07</w:t>
      </w:r>
      <w:r>
        <w:rPr>
          <w:rFonts w:hint="eastAsia" w:ascii="仿宋_GB2312" w:eastAsia="仿宋_GB2312"/>
          <w:sz w:val="32"/>
          <w:szCs w:val="32"/>
        </w:rPr>
        <w:t>万元，其中：政府采购货物支出</w:t>
      </w:r>
      <w:r>
        <w:rPr>
          <w:rFonts w:ascii="仿宋" w:hAnsi="仿宋" w:eastAsia="仿宋"/>
          <w:b/>
          <w:sz w:val="32"/>
          <w:szCs w:val="32"/>
        </w:rPr>
        <w:t>28.91</w:t>
      </w:r>
      <w:r>
        <w:rPr>
          <w:rFonts w:hint="eastAsia" w:ascii="仿宋_GB2312" w:eastAsia="仿宋_GB2312"/>
          <w:sz w:val="32"/>
          <w:szCs w:val="32"/>
        </w:rPr>
        <w:t>万元、政府采购工程支出</w:t>
      </w:r>
      <w:r>
        <w:rPr>
          <w:rFonts w:ascii="仿宋" w:hAnsi="仿宋" w:eastAsia="仿宋"/>
          <w:b/>
          <w:sz w:val="32"/>
          <w:szCs w:val="32"/>
        </w:rPr>
        <w:t>0</w:t>
      </w:r>
      <w:r>
        <w:rPr>
          <w:rFonts w:hint="eastAsia" w:ascii="仿宋_GB2312" w:eastAsia="仿宋_GB2312"/>
          <w:sz w:val="32"/>
          <w:szCs w:val="32"/>
        </w:rPr>
        <w:t>万元、政府采购服务支出</w:t>
      </w:r>
      <w:r>
        <w:rPr>
          <w:rFonts w:ascii="仿宋" w:hAnsi="仿宋" w:eastAsia="仿宋"/>
          <w:b/>
          <w:sz w:val="32"/>
          <w:szCs w:val="32"/>
        </w:rPr>
        <w:t>156.17</w:t>
      </w:r>
      <w:r>
        <w:rPr>
          <w:rFonts w:hint="eastAsia" w:ascii="仿宋_GB2312" w:eastAsia="仿宋_GB2312"/>
          <w:sz w:val="32"/>
          <w:szCs w:val="32"/>
        </w:rPr>
        <w:t>万元。主要用于</w:t>
      </w:r>
      <w:r>
        <w:rPr>
          <w:rFonts w:ascii="仿宋_GB2312" w:eastAsia="仿宋_GB2312"/>
          <w:sz w:val="32"/>
          <w:szCs w:val="32"/>
        </w:rPr>
        <w:t>…</w:t>
      </w:r>
      <w:r>
        <w:rPr>
          <w:rFonts w:hint="eastAsia" w:ascii="仿宋_GB2312" w:eastAsia="仿宋_GB2312"/>
          <w:sz w:val="32"/>
          <w:szCs w:val="32"/>
        </w:rPr>
        <w:t>（具体工作）。授予中小企业合同金额</w:t>
      </w:r>
      <w:r>
        <w:rPr>
          <w:rFonts w:ascii="仿宋" w:hAnsi="仿宋" w:eastAsia="仿宋"/>
          <w:b/>
          <w:sz w:val="32"/>
          <w:szCs w:val="32"/>
        </w:rPr>
        <w:t>0</w:t>
      </w:r>
      <w:r>
        <w:rPr>
          <w:rFonts w:hint="eastAsia" w:ascii="仿宋_GB2312" w:eastAsia="仿宋_GB2312"/>
          <w:sz w:val="32"/>
          <w:szCs w:val="32"/>
        </w:rPr>
        <w:t>万元，占政府采购支出总额的</w:t>
      </w:r>
      <w:r>
        <w:rPr>
          <w:rFonts w:ascii="仿宋_GB2312" w:eastAsia="仿宋_GB2312"/>
          <w:sz w:val="32"/>
          <w:szCs w:val="32"/>
        </w:rPr>
        <w:t>0%</w:t>
      </w:r>
      <w:r>
        <w:rPr>
          <w:rFonts w:hint="eastAsia" w:ascii="仿宋_GB2312" w:eastAsia="仿宋_GB2312"/>
          <w:sz w:val="32"/>
          <w:szCs w:val="32"/>
        </w:rPr>
        <w:t>，其中：授予小微企业合同金额</w:t>
      </w:r>
      <w:r>
        <w:rPr>
          <w:rFonts w:ascii="仿宋" w:hAnsi="仿宋" w:eastAsia="仿宋"/>
          <w:b/>
          <w:sz w:val="32"/>
          <w:szCs w:val="32"/>
        </w:rPr>
        <w:t>0</w:t>
      </w:r>
      <w:r>
        <w:rPr>
          <w:rFonts w:hint="eastAsia" w:ascii="仿宋_GB2312" w:eastAsia="仿宋_GB2312"/>
          <w:sz w:val="32"/>
          <w:szCs w:val="32"/>
        </w:rPr>
        <w:t>万元，占政府采购支出总额的</w:t>
      </w:r>
      <w:r>
        <w:rPr>
          <w:rFonts w:ascii="仿宋_GB2312" w:eastAsia="仿宋_GB2312"/>
          <w:b/>
          <w:sz w:val="32"/>
          <w:szCs w:val="32"/>
        </w:rPr>
        <w:t>0</w:t>
      </w:r>
      <w:r>
        <w:rPr>
          <w:rFonts w:ascii="仿宋_GB2312" w:eastAsia="仿宋_GB2312"/>
          <w:sz w:val="32"/>
          <w:szCs w:val="32"/>
        </w:rPr>
        <w:t>%</w:t>
      </w:r>
      <w:r>
        <w:rPr>
          <w:rFonts w:hint="eastAsia" w:ascii="仿宋_GB2312" w:eastAsia="仿宋_GB2312"/>
          <w:sz w:val="32"/>
          <w:szCs w:val="32"/>
        </w:rPr>
        <w:t>。</w:t>
      </w:r>
    </w:p>
    <w:p w14:paraId="08292469">
      <w:pPr>
        <w:spacing w:line="600" w:lineRule="exact"/>
        <w:ind w:firstLine="643" w:firstLineChars="200"/>
        <w:rPr>
          <w:rFonts w:ascii="仿宋" w:hAnsi="仿宋" w:eastAsia="仿宋"/>
          <w:b/>
          <w:sz w:val="32"/>
          <w:szCs w:val="32"/>
        </w:rPr>
      </w:pPr>
      <w:r>
        <w:rPr>
          <w:rFonts w:hint="eastAsia" w:ascii="仿宋" w:hAnsi="仿宋" w:eastAsia="仿宋"/>
          <w:b/>
          <w:sz w:val="32"/>
          <w:szCs w:val="32"/>
        </w:rPr>
        <w:t>（注：数据来源于财决附</w:t>
      </w:r>
      <w:r>
        <w:rPr>
          <w:rFonts w:ascii="仿宋" w:hAnsi="仿宋" w:eastAsia="仿宋"/>
          <w:b/>
          <w:sz w:val="32"/>
          <w:szCs w:val="32"/>
        </w:rPr>
        <w:t>03</w:t>
      </w:r>
      <w:r>
        <w:rPr>
          <w:rFonts w:hint="eastAsia" w:ascii="仿宋" w:hAnsi="仿宋" w:eastAsia="仿宋"/>
          <w:b/>
          <w:sz w:val="32"/>
          <w:szCs w:val="32"/>
        </w:rPr>
        <w:t>表）</w:t>
      </w:r>
    </w:p>
    <w:p w14:paraId="27912391">
      <w:pPr>
        <w:autoSpaceDE w:val="0"/>
        <w:autoSpaceDN w:val="0"/>
        <w:adjustRightInd w:val="0"/>
        <w:spacing w:line="600" w:lineRule="exact"/>
        <w:ind w:firstLine="643" w:firstLineChars="200"/>
        <w:jc w:val="left"/>
        <w:outlineLvl w:val="2"/>
        <w:rPr>
          <w:rFonts w:ascii="仿宋" w:hAnsi="仿宋" w:eastAsia="仿宋"/>
          <w:b/>
          <w:sz w:val="32"/>
          <w:szCs w:val="32"/>
        </w:rPr>
      </w:pPr>
      <w:bookmarkStart w:id="48" w:name="_Toc15377224"/>
      <w:r>
        <w:rPr>
          <w:rFonts w:hint="eastAsia" w:ascii="仿宋" w:hAnsi="仿宋" w:eastAsia="仿宋"/>
          <w:b/>
          <w:sz w:val="32"/>
          <w:szCs w:val="32"/>
        </w:rPr>
        <w:t>（三）国有资产占有使用情况</w:t>
      </w:r>
      <w:bookmarkEnd w:id="48"/>
    </w:p>
    <w:p w14:paraId="5EC3238D">
      <w:pPr>
        <w:autoSpaceDE w:val="0"/>
        <w:autoSpaceDN w:val="0"/>
        <w:adjustRightInd w:val="0"/>
        <w:spacing w:line="600" w:lineRule="exact"/>
        <w:ind w:firstLine="640" w:firstLineChars="200"/>
        <w:jc w:val="left"/>
        <w:rPr>
          <w:rFonts w:ascii="仿宋_GB2312" w:eastAsia="仿宋_GB2312"/>
          <w:sz w:val="32"/>
          <w:szCs w:val="32"/>
        </w:rPr>
      </w:pPr>
      <w:r>
        <w:rPr>
          <w:rFonts w:hint="eastAsia" w:ascii="仿宋_GB2312" w:eastAsia="仿宋_GB2312"/>
          <w:sz w:val="32"/>
          <w:szCs w:val="32"/>
        </w:rPr>
        <w:t>截至2023年</w:t>
      </w:r>
      <w:r>
        <w:rPr>
          <w:rFonts w:ascii="仿宋_GB2312" w:eastAsia="仿宋_GB2312"/>
          <w:sz w:val="32"/>
          <w:szCs w:val="32"/>
        </w:rPr>
        <w:t>12</w:t>
      </w:r>
      <w:r>
        <w:rPr>
          <w:rFonts w:hint="eastAsia" w:ascii="仿宋_GB2312" w:eastAsia="仿宋_GB2312"/>
          <w:sz w:val="32"/>
          <w:szCs w:val="32"/>
        </w:rPr>
        <w:t>月</w:t>
      </w:r>
      <w:r>
        <w:rPr>
          <w:rFonts w:ascii="仿宋_GB2312" w:eastAsia="仿宋_GB2312"/>
          <w:sz w:val="32"/>
          <w:szCs w:val="32"/>
        </w:rPr>
        <w:t>31</w:t>
      </w:r>
      <w:r>
        <w:rPr>
          <w:rFonts w:hint="eastAsia" w:ascii="仿宋_GB2312" w:eastAsia="仿宋_GB2312"/>
          <w:sz w:val="32"/>
          <w:szCs w:val="32"/>
        </w:rPr>
        <w:t>日，</w:t>
      </w:r>
      <w:r>
        <w:rPr>
          <w:rFonts w:ascii="仿宋_GB2312" w:eastAsia="仿宋_GB2312"/>
          <w:b/>
          <w:sz w:val="32"/>
          <w:szCs w:val="32"/>
        </w:rPr>
        <w:t>阿坝州财政局</w:t>
      </w:r>
      <w:r>
        <w:rPr>
          <w:rFonts w:hint="eastAsia" w:ascii="仿宋_GB2312" w:eastAsia="仿宋_GB2312"/>
          <w:sz w:val="32"/>
          <w:szCs w:val="32"/>
        </w:rPr>
        <w:t>共有车辆</w:t>
      </w:r>
      <w:r>
        <w:rPr>
          <w:rFonts w:hint="eastAsia" w:ascii="仿宋_GB2312" w:eastAsia="仿宋_GB2312"/>
          <w:b/>
          <w:sz w:val="32"/>
          <w:szCs w:val="32"/>
        </w:rPr>
        <w:t>9</w:t>
      </w:r>
      <w:r>
        <w:rPr>
          <w:rFonts w:hint="eastAsia" w:ascii="仿宋_GB2312" w:eastAsia="仿宋_GB2312"/>
          <w:sz w:val="32"/>
          <w:szCs w:val="32"/>
        </w:rPr>
        <w:t>辆，其中：主要领导干部用车</w:t>
      </w:r>
      <w:r>
        <w:rPr>
          <w:rFonts w:hint="eastAsia" w:ascii="仿宋_GB2312" w:eastAsia="仿宋_GB2312"/>
          <w:sz w:val="32"/>
          <w:szCs w:val="32"/>
          <w:lang w:val="en-US" w:eastAsia="zh-CN"/>
        </w:rPr>
        <w:t>0</w:t>
      </w:r>
      <w:r>
        <w:rPr>
          <w:rFonts w:hint="eastAsia" w:ascii="仿宋_GB2312" w:eastAsia="仿宋_GB2312"/>
          <w:sz w:val="32"/>
          <w:szCs w:val="32"/>
        </w:rPr>
        <w:t>辆、机要通信用车</w:t>
      </w:r>
      <w:r>
        <w:rPr>
          <w:rFonts w:hint="eastAsia" w:ascii="仿宋_GB2312" w:eastAsia="仿宋_GB2312"/>
          <w:sz w:val="32"/>
          <w:szCs w:val="32"/>
          <w:lang w:val="en-US" w:eastAsia="zh-CN"/>
        </w:rPr>
        <w:t>0</w:t>
      </w:r>
      <w:r>
        <w:rPr>
          <w:rFonts w:hint="eastAsia" w:ascii="仿宋_GB2312" w:eastAsia="仿宋_GB2312"/>
          <w:sz w:val="32"/>
          <w:szCs w:val="32"/>
        </w:rPr>
        <w:t>辆、应急保障用车</w:t>
      </w:r>
      <w:r>
        <w:rPr>
          <w:rFonts w:hint="eastAsia" w:ascii="仿宋_GB2312" w:eastAsia="仿宋_GB2312"/>
          <w:sz w:val="32"/>
          <w:szCs w:val="32"/>
          <w:lang w:val="en-US" w:eastAsia="zh-CN"/>
        </w:rPr>
        <w:t>9</w:t>
      </w:r>
      <w:r>
        <w:rPr>
          <w:rFonts w:hint="eastAsia" w:ascii="仿宋_GB2312" w:eastAsia="仿宋_GB2312"/>
          <w:sz w:val="32"/>
          <w:szCs w:val="32"/>
        </w:rPr>
        <w:t>辆、其他用车</w:t>
      </w:r>
      <w:r>
        <w:rPr>
          <w:rFonts w:hint="eastAsia" w:ascii="仿宋_GB2312" w:eastAsia="仿宋_GB2312"/>
          <w:sz w:val="32"/>
          <w:szCs w:val="32"/>
          <w:lang w:val="en-US" w:eastAsia="zh-CN"/>
        </w:rPr>
        <w:t>0</w:t>
      </w:r>
      <w:r>
        <w:rPr>
          <w:rFonts w:hint="eastAsia" w:ascii="仿宋_GB2312" w:eastAsia="仿宋_GB2312"/>
          <w:sz w:val="32"/>
          <w:szCs w:val="32"/>
        </w:rPr>
        <w:t>辆，其他用车主要是用于。单价</w:t>
      </w:r>
      <w:r>
        <w:rPr>
          <w:rFonts w:ascii="仿宋_GB2312" w:eastAsia="仿宋_GB2312"/>
          <w:sz w:val="32"/>
          <w:szCs w:val="32"/>
        </w:rPr>
        <w:t>100</w:t>
      </w:r>
      <w:r>
        <w:rPr>
          <w:rFonts w:hint="eastAsia" w:ascii="仿宋_GB2312" w:eastAsia="仿宋_GB2312"/>
          <w:sz w:val="32"/>
          <w:szCs w:val="32"/>
        </w:rPr>
        <w:t>万元以上设备（不含车辆）</w:t>
      </w:r>
      <w:r>
        <w:rPr>
          <w:rFonts w:ascii="仿宋_GB2312" w:eastAsia="仿宋_GB2312"/>
          <w:b/>
          <w:sz w:val="32"/>
          <w:szCs w:val="32"/>
        </w:rPr>
        <w:t>0</w:t>
      </w:r>
      <w:r>
        <w:rPr>
          <w:rFonts w:hint="eastAsia" w:ascii="仿宋_GB2312" w:eastAsia="仿宋_GB2312"/>
          <w:sz w:val="32"/>
          <w:szCs w:val="32"/>
        </w:rPr>
        <w:t>台（套）。</w:t>
      </w:r>
    </w:p>
    <w:p w14:paraId="12E9DDFC">
      <w:pPr>
        <w:autoSpaceDE w:val="0"/>
        <w:autoSpaceDN w:val="0"/>
        <w:adjustRightInd w:val="0"/>
        <w:spacing w:line="600" w:lineRule="exact"/>
        <w:ind w:firstLine="643" w:firstLineChars="200"/>
        <w:jc w:val="left"/>
        <w:rPr>
          <w:rFonts w:ascii="仿宋" w:hAnsi="仿宋" w:eastAsia="仿宋"/>
          <w:b/>
          <w:sz w:val="32"/>
          <w:szCs w:val="32"/>
        </w:rPr>
      </w:pPr>
      <w:r>
        <w:rPr>
          <w:rFonts w:hint="eastAsia" w:ascii="仿宋" w:hAnsi="仿宋" w:eastAsia="仿宋"/>
          <w:b/>
          <w:sz w:val="32"/>
          <w:szCs w:val="32"/>
        </w:rPr>
        <w:t>（注：数据来源于财决附</w:t>
      </w:r>
      <w:r>
        <w:rPr>
          <w:rFonts w:ascii="仿宋" w:hAnsi="仿宋" w:eastAsia="仿宋"/>
          <w:b/>
          <w:sz w:val="32"/>
          <w:szCs w:val="32"/>
        </w:rPr>
        <w:t>03</w:t>
      </w:r>
      <w:r>
        <w:rPr>
          <w:rFonts w:hint="eastAsia" w:ascii="仿宋" w:hAnsi="仿宋" w:eastAsia="仿宋"/>
          <w:b/>
          <w:sz w:val="32"/>
          <w:szCs w:val="32"/>
        </w:rPr>
        <w:t>表，按单位决算报表填报数据罗列车辆情况。）</w:t>
      </w:r>
    </w:p>
    <w:p w14:paraId="53537512">
      <w:pPr>
        <w:autoSpaceDE w:val="0"/>
        <w:autoSpaceDN w:val="0"/>
        <w:adjustRightInd w:val="0"/>
        <w:spacing w:line="600" w:lineRule="exact"/>
        <w:ind w:firstLine="643" w:firstLineChars="200"/>
        <w:jc w:val="left"/>
        <w:outlineLvl w:val="2"/>
        <w:rPr>
          <w:rFonts w:ascii="仿宋" w:hAnsi="仿宋" w:eastAsia="仿宋"/>
          <w:b/>
          <w:sz w:val="32"/>
          <w:szCs w:val="32"/>
        </w:rPr>
      </w:pPr>
      <w:r>
        <w:rPr>
          <w:rFonts w:hint="eastAsia" w:ascii="仿宋" w:hAnsi="仿宋" w:eastAsia="仿宋"/>
          <w:b/>
          <w:sz w:val="32"/>
          <w:szCs w:val="32"/>
        </w:rPr>
        <w:t>（四）预算绩效管理情况</w:t>
      </w:r>
    </w:p>
    <w:p w14:paraId="3B540EDD">
      <w:pPr>
        <w:spacing w:line="600" w:lineRule="exact"/>
        <w:ind w:firstLine="640" w:firstLineChars="200"/>
        <w:rPr>
          <w:rFonts w:ascii="仿宋_GB2312" w:eastAsia="仿宋_GB2312"/>
          <w:sz w:val="32"/>
          <w:szCs w:val="32"/>
        </w:rPr>
      </w:pPr>
      <w:r>
        <w:rPr>
          <w:rFonts w:hint="eastAsia" w:ascii="仿宋_GB2312" w:eastAsia="仿宋_GB2312"/>
          <w:sz w:val="32"/>
          <w:szCs w:val="32"/>
        </w:rPr>
        <w:t>根据预算绩效管理要求，本单位在2023年度预算编制阶段，组织对</w:t>
      </w:r>
      <w:r>
        <w:rPr>
          <w:rFonts w:hint="eastAsia" w:ascii="仿宋_GB2312" w:eastAsia="仿宋_GB2312"/>
          <w:sz w:val="32"/>
          <w:szCs w:val="32"/>
          <w:lang w:val="en-US" w:eastAsia="zh-CN"/>
        </w:rPr>
        <w:t>23</w:t>
      </w:r>
      <w:r>
        <w:rPr>
          <w:rFonts w:hint="eastAsia" w:ascii="仿宋_GB2312" w:eastAsia="仿宋_GB2312"/>
          <w:sz w:val="32"/>
          <w:szCs w:val="32"/>
        </w:rPr>
        <w:t>项目（项目名称）等</w:t>
      </w:r>
      <w:r>
        <w:rPr>
          <w:rFonts w:hint="eastAsia" w:ascii="仿宋_GB2312" w:eastAsia="仿宋_GB2312"/>
          <w:sz w:val="32"/>
          <w:szCs w:val="32"/>
          <w:lang w:val="en-US" w:eastAsia="zh-CN"/>
        </w:rPr>
        <w:t>23</w:t>
      </w:r>
      <w:r>
        <w:rPr>
          <w:rFonts w:hint="eastAsia" w:ascii="仿宋_GB2312" w:eastAsia="仿宋_GB2312"/>
          <w:sz w:val="32"/>
          <w:szCs w:val="32"/>
        </w:rPr>
        <w:t>个项目开展了预算事前绩效评估，对</w:t>
      </w:r>
      <w:r>
        <w:rPr>
          <w:rFonts w:hint="eastAsia" w:ascii="仿宋_GB2312" w:eastAsia="仿宋_GB2312"/>
          <w:sz w:val="32"/>
          <w:szCs w:val="32"/>
          <w:lang w:val="en-US" w:eastAsia="zh-CN"/>
        </w:rPr>
        <w:t>23</w:t>
      </w:r>
      <w:r>
        <w:rPr>
          <w:rFonts w:hint="eastAsia" w:ascii="仿宋_GB2312" w:eastAsia="仿宋_GB2312"/>
          <w:sz w:val="32"/>
          <w:szCs w:val="32"/>
        </w:rPr>
        <w:t>个项目编制了绩效目标，预算执行过程中，选取</w:t>
      </w:r>
      <w:r>
        <w:rPr>
          <w:rFonts w:hint="eastAsia" w:ascii="仿宋_GB2312" w:eastAsia="仿宋_GB2312"/>
          <w:sz w:val="32"/>
          <w:szCs w:val="32"/>
          <w:lang w:val="en-US" w:eastAsia="zh-CN"/>
        </w:rPr>
        <w:t>23</w:t>
      </w:r>
      <w:r>
        <w:rPr>
          <w:rFonts w:hint="eastAsia" w:ascii="仿宋_GB2312" w:eastAsia="仿宋_GB2312"/>
          <w:sz w:val="32"/>
          <w:szCs w:val="32"/>
        </w:rPr>
        <w:t>个项目开展绩效监控，组织对</w:t>
      </w:r>
      <w:r>
        <w:rPr>
          <w:rFonts w:hint="eastAsia" w:ascii="仿宋_GB2312" w:eastAsia="仿宋_GB2312"/>
          <w:sz w:val="32"/>
          <w:szCs w:val="32"/>
          <w:lang w:val="en-US" w:eastAsia="zh-CN"/>
        </w:rPr>
        <w:t>23</w:t>
      </w:r>
      <w:r>
        <w:rPr>
          <w:rFonts w:hint="eastAsia" w:ascii="仿宋_GB2312" w:eastAsia="仿宋_GB2312"/>
          <w:sz w:val="32"/>
          <w:szCs w:val="32"/>
        </w:rPr>
        <w:t>个项目开展绩效自评，绩效自评表详见第四部分附件。</w:t>
      </w:r>
    </w:p>
    <w:p w14:paraId="29F4C181">
      <w:pPr>
        <w:spacing w:line="600" w:lineRule="exact"/>
        <w:ind w:firstLine="640" w:firstLineChars="200"/>
        <w:rPr>
          <w:rFonts w:ascii="仿宋_GB2312" w:eastAsia="仿宋_GB2312"/>
          <w:sz w:val="32"/>
          <w:szCs w:val="32"/>
        </w:rPr>
      </w:pPr>
      <w:r>
        <w:rPr>
          <w:rFonts w:hint="eastAsia" w:ascii="仿宋_GB2312" w:eastAsia="仿宋_GB2312"/>
          <w:sz w:val="32"/>
          <w:szCs w:val="32"/>
        </w:rPr>
        <w:br w:type="page"/>
      </w:r>
      <w:bookmarkStart w:id="67" w:name="_GoBack"/>
      <w:bookmarkEnd w:id="67"/>
    </w:p>
    <w:p w14:paraId="0F6BC40D">
      <w:pPr>
        <w:numPr>
          <w:ilvl w:val="0"/>
          <w:numId w:val="4"/>
        </w:numPr>
        <w:spacing w:line="600" w:lineRule="exact"/>
        <w:ind w:firstLine="660" w:firstLineChars="150"/>
        <w:jc w:val="center"/>
        <w:outlineLvl w:val="0"/>
        <w:rPr>
          <w:rStyle w:val="28"/>
          <w:rFonts w:ascii="黑体" w:hAnsi="黑体" w:eastAsia="黑体"/>
          <w:b w:val="0"/>
        </w:rPr>
      </w:pPr>
      <w:bookmarkStart w:id="49" w:name="_Toc15377225"/>
      <w:bookmarkStart w:id="50" w:name="_Toc15396613"/>
      <w:r>
        <w:rPr>
          <w:rFonts w:hint="eastAsia" w:ascii="黑体" w:hAnsi="黑体" w:eastAsia="黑体"/>
          <w:sz w:val="44"/>
          <w:szCs w:val="44"/>
        </w:rPr>
        <w:t>名</w:t>
      </w:r>
      <w:r>
        <w:rPr>
          <w:rStyle w:val="28"/>
          <w:rFonts w:hint="eastAsia" w:ascii="黑体" w:hAnsi="黑体" w:eastAsia="黑体"/>
          <w:b w:val="0"/>
        </w:rPr>
        <w:t>词解释</w:t>
      </w:r>
      <w:bookmarkEnd w:id="49"/>
      <w:bookmarkEnd w:id="50"/>
    </w:p>
    <w:p w14:paraId="5897197C">
      <w:pPr>
        <w:spacing w:line="600" w:lineRule="exact"/>
        <w:jc w:val="left"/>
        <w:rPr>
          <w:rFonts w:ascii="宋体"/>
          <w:b/>
          <w:sz w:val="44"/>
          <w:szCs w:val="44"/>
        </w:rPr>
      </w:pPr>
    </w:p>
    <w:p w14:paraId="619F78A6">
      <w:pPr>
        <w:pStyle w:val="26"/>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1.</w:t>
      </w:r>
      <w:r>
        <w:rPr>
          <w:rFonts w:hint="eastAsia" w:ascii="仿宋_GB2312" w:eastAsia="仿宋_GB2312"/>
          <w:color w:val="auto"/>
          <w:sz w:val="32"/>
          <w:szCs w:val="32"/>
        </w:rPr>
        <w:t>财政拨款收入：指单位从同级财政部门取得的财政预算资金。</w:t>
      </w:r>
    </w:p>
    <w:p w14:paraId="6CF35971">
      <w:pPr>
        <w:pStyle w:val="26"/>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2.</w:t>
      </w:r>
      <w:r>
        <w:rPr>
          <w:rFonts w:hint="eastAsia" w:ascii="仿宋_GB2312" w:eastAsia="仿宋_GB2312"/>
          <w:color w:val="auto"/>
          <w:sz w:val="32"/>
          <w:szCs w:val="32"/>
        </w:rPr>
        <w:t>事业收入：指事业单位开展专业业务活动及辅助活动取得的收入。如…（二级预算单位事业收入情况）等。</w:t>
      </w:r>
    </w:p>
    <w:p w14:paraId="116B687B">
      <w:pPr>
        <w:pStyle w:val="26"/>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3.</w:t>
      </w:r>
      <w:r>
        <w:rPr>
          <w:rFonts w:hint="eastAsia" w:ascii="仿宋_GB2312" w:eastAsia="仿宋_GB2312"/>
          <w:color w:val="auto"/>
          <w:sz w:val="32"/>
          <w:szCs w:val="32"/>
        </w:rPr>
        <w:t>经营收入：指事业单位在专业业务活动及其辅助活动之外开展非独立核算经营活动取得的收入。如…（二级预算单位经营收入情况）等。</w:t>
      </w:r>
    </w:p>
    <w:p w14:paraId="0F612F5E">
      <w:pPr>
        <w:pStyle w:val="26"/>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4.</w:t>
      </w:r>
      <w:r>
        <w:rPr>
          <w:rFonts w:hint="eastAsia" w:ascii="仿宋_GB2312" w:eastAsia="仿宋_GB2312"/>
          <w:color w:val="auto"/>
          <w:sz w:val="32"/>
          <w:szCs w:val="32"/>
        </w:rPr>
        <w:t>其他收入：指单位取得的除上述收入以外的各项收入。主要是…（收入类型）等。</w:t>
      </w:r>
      <w:r>
        <w:rPr>
          <w:rFonts w:ascii="仿宋_GB2312" w:eastAsia="仿宋_GB2312"/>
          <w:color w:val="auto"/>
          <w:sz w:val="32"/>
          <w:szCs w:val="32"/>
        </w:rPr>
        <w:t xml:space="preserve"> </w:t>
      </w:r>
    </w:p>
    <w:p w14:paraId="6C01D6D9">
      <w:pPr>
        <w:pStyle w:val="26"/>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5.</w:t>
      </w:r>
      <w:r>
        <w:rPr>
          <w:rFonts w:hint="eastAsia" w:ascii="仿宋_GB2312" w:hAnsi="华文中宋" w:eastAsia="仿宋_GB2312"/>
          <w:sz w:val="32"/>
          <w:szCs w:val="32"/>
        </w:rPr>
        <w:t>使用非财政拨款结余（含专用结余）</w:t>
      </w:r>
      <w:r>
        <w:rPr>
          <w:rFonts w:hint="eastAsia" w:ascii="仿宋_GB2312" w:eastAsia="仿宋_GB2312"/>
          <w:color w:val="auto"/>
          <w:sz w:val="32"/>
          <w:szCs w:val="32"/>
        </w:rPr>
        <w:t>：指事业单位使用以前年度积累的非财政拨款结余弥补当年收支差额的金额。</w:t>
      </w:r>
      <w:r>
        <w:rPr>
          <w:rFonts w:ascii="仿宋_GB2312" w:eastAsia="仿宋_GB2312"/>
          <w:color w:val="auto"/>
          <w:sz w:val="32"/>
          <w:szCs w:val="32"/>
        </w:rPr>
        <w:t xml:space="preserve"> </w:t>
      </w:r>
    </w:p>
    <w:p w14:paraId="45632B18">
      <w:pPr>
        <w:pStyle w:val="26"/>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6.</w:t>
      </w:r>
      <w:r>
        <w:rPr>
          <w:rFonts w:hint="eastAsia" w:ascii="仿宋_GB2312" w:eastAsia="仿宋_GB2312"/>
          <w:color w:val="auto"/>
          <w:sz w:val="32"/>
          <w:szCs w:val="32"/>
        </w:rPr>
        <w:t>年初结转和结余：指以前年度尚未完成、结转到本年按有关规定继续使用的资金。</w:t>
      </w:r>
      <w:r>
        <w:rPr>
          <w:rFonts w:ascii="仿宋_GB2312" w:eastAsia="仿宋_GB2312"/>
          <w:color w:val="auto"/>
          <w:sz w:val="32"/>
          <w:szCs w:val="32"/>
        </w:rPr>
        <w:t xml:space="preserve"> </w:t>
      </w:r>
    </w:p>
    <w:p w14:paraId="74B9997F">
      <w:pPr>
        <w:pStyle w:val="26"/>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7.</w:t>
      </w:r>
      <w:r>
        <w:rPr>
          <w:rFonts w:hint="eastAsia" w:ascii="仿宋_GB2312" w:eastAsia="仿宋_GB2312"/>
          <w:color w:val="auto"/>
          <w:sz w:val="32"/>
          <w:szCs w:val="32"/>
        </w:rPr>
        <w:t>结余分配：指事业单位按照会计制度规定缴纳的所得税、提取的专用结余以及转入非财政拨款结余的金额等。</w:t>
      </w:r>
    </w:p>
    <w:p w14:paraId="707CC72D">
      <w:pPr>
        <w:pStyle w:val="26"/>
        <w:spacing w:line="560" w:lineRule="exact"/>
        <w:ind w:firstLine="640" w:firstLineChars="200"/>
        <w:rPr>
          <w:rFonts w:hint="eastAsia" w:ascii="仿宋_GB2312" w:eastAsia="仿宋_GB2312"/>
          <w:color w:val="auto"/>
          <w:sz w:val="32"/>
          <w:szCs w:val="32"/>
        </w:rPr>
      </w:pPr>
      <w:r>
        <w:rPr>
          <w:rFonts w:hint="eastAsia" w:ascii="仿宋_GB2312" w:eastAsia="仿宋_GB2312"/>
          <w:color w:val="auto"/>
          <w:sz w:val="32"/>
          <w:szCs w:val="32"/>
        </w:rPr>
        <w:t>8</w:t>
      </w:r>
      <w:r>
        <w:rPr>
          <w:rFonts w:hint="eastAsia" w:ascii="仿宋_GB2312" w:eastAsia="仿宋_GB2312"/>
          <w:color w:val="auto"/>
          <w:sz w:val="32"/>
          <w:szCs w:val="32"/>
        </w:rPr>
        <w:t>.年末结转和结余：指单位按有关规定结转到下年或以后年度继续使用的资金。</w:t>
      </w:r>
    </w:p>
    <w:p w14:paraId="75B2D594">
      <w:pPr>
        <w:pStyle w:val="26"/>
        <w:spacing w:line="560" w:lineRule="exact"/>
        <w:ind w:firstLine="640" w:firstLineChars="200"/>
        <w:rPr>
          <w:rFonts w:hint="eastAsia" w:ascii="仿宋_GB2312" w:eastAsia="仿宋_GB2312"/>
          <w:color w:val="auto"/>
          <w:sz w:val="32"/>
          <w:szCs w:val="32"/>
        </w:rPr>
      </w:pPr>
      <w:r>
        <w:rPr>
          <w:rFonts w:hint="eastAsia" w:ascii="仿宋_GB2312" w:eastAsia="仿宋_GB2312"/>
          <w:color w:val="auto"/>
          <w:sz w:val="32"/>
          <w:szCs w:val="32"/>
        </w:rPr>
        <w:t>9.一般公共服务（类）201（款）06（项）01：指反映行政单位（包括实行公务员管理的事业单位）的基本支出。</w:t>
      </w:r>
    </w:p>
    <w:p w14:paraId="2DBACB01">
      <w:pPr>
        <w:pStyle w:val="26"/>
        <w:spacing w:line="560" w:lineRule="exact"/>
        <w:ind w:firstLine="640" w:firstLineChars="200"/>
        <w:rPr>
          <w:rFonts w:hint="eastAsia" w:ascii="仿宋_GB2312" w:eastAsia="仿宋_GB2312"/>
          <w:color w:val="auto"/>
          <w:sz w:val="32"/>
          <w:szCs w:val="32"/>
        </w:rPr>
      </w:pPr>
      <w:r>
        <w:rPr>
          <w:rFonts w:hint="eastAsia" w:ascii="仿宋_GB2312" w:eastAsia="仿宋_GB2312"/>
          <w:color w:val="auto"/>
          <w:sz w:val="32"/>
          <w:szCs w:val="32"/>
        </w:rPr>
        <w:t>10.一般公共服务（类）201（款）06（项）02: 指反映行政单位（包括实行公务员管理的事业单位）未单独设置项级科目的其他项目支出。</w:t>
      </w:r>
    </w:p>
    <w:p w14:paraId="13C7AB10">
      <w:pPr>
        <w:pStyle w:val="26"/>
        <w:spacing w:line="560" w:lineRule="exact"/>
        <w:ind w:firstLine="640" w:firstLineChars="200"/>
        <w:rPr>
          <w:rFonts w:hint="eastAsia" w:ascii="仿宋_GB2312" w:eastAsia="仿宋_GB2312"/>
          <w:color w:val="auto"/>
          <w:sz w:val="32"/>
          <w:szCs w:val="32"/>
        </w:rPr>
      </w:pPr>
      <w:r>
        <w:rPr>
          <w:rFonts w:hint="eastAsia" w:ascii="仿宋_GB2312" w:eastAsia="仿宋_GB2312"/>
          <w:color w:val="auto"/>
          <w:sz w:val="32"/>
          <w:szCs w:val="32"/>
        </w:rPr>
        <w:t>11.一般公共服务（类）201（款）06（项）05：指反映财政部门用于财政国库集中支付收付业务方面的支出。</w:t>
      </w:r>
    </w:p>
    <w:p w14:paraId="3173F9DD">
      <w:pPr>
        <w:pStyle w:val="26"/>
        <w:spacing w:line="560" w:lineRule="exact"/>
        <w:ind w:firstLine="640" w:firstLineChars="200"/>
        <w:rPr>
          <w:rFonts w:hint="eastAsia" w:ascii="仿宋_GB2312" w:eastAsia="仿宋_GB2312"/>
          <w:color w:val="auto"/>
          <w:sz w:val="32"/>
          <w:szCs w:val="32"/>
        </w:rPr>
      </w:pPr>
      <w:r>
        <w:rPr>
          <w:rFonts w:hint="eastAsia" w:ascii="仿宋_GB2312" w:eastAsia="仿宋_GB2312"/>
          <w:color w:val="auto"/>
          <w:sz w:val="32"/>
          <w:szCs w:val="32"/>
        </w:rPr>
        <w:t>12.社会保障和就业（类）208（款）05（项）05：指反映机关事业单位实施养老保险制度由单位缴纳的职业年金支出。</w:t>
      </w:r>
    </w:p>
    <w:p w14:paraId="7747636F">
      <w:pPr>
        <w:pStyle w:val="26"/>
        <w:spacing w:line="560" w:lineRule="exact"/>
        <w:ind w:firstLine="640" w:firstLineChars="200"/>
        <w:rPr>
          <w:rFonts w:hint="eastAsia" w:ascii="仿宋_GB2312" w:eastAsia="仿宋_GB2312"/>
          <w:color w:val="auto"/>
          <w:sz w:val="32"/>
          <w:szCs w:val="32"/>
        </w:rPr>
      </w:pPr>
      <w:r>
        <w:rPr>
          <w:rFonts w:hint="eastAsia" w:ascii="仿宋_GB2312" w:eastAsia="仿宋_GB2312"/>
          <w:color w:val="auto"/>
          <w:sz w:val="32"/>
          <w:szCs w:val="32"/>
        </w:rPr>
        <w:t>13.社会保障和就业（类）208（款）05（项）06：指反映机关事业单位实施养老保险制度由单位实际缴纳的基本养老保险费支出。</w:t>
      </w:r>
    </w:p>
    <w:p w14:paraId="4358E988">
      <w:pPr>
        <w:pStyle w:val="26"/>
        <w:spacing w:line="560" w:lineRule="exact"/>
        <w:ind w:firstLine="640" w:firstLineChars="200"/>
        <w:rPr>
          <w:rFonts w:hint="eastAsia" w:ascii="仿宋_GB2312" w:eastAsia="仿宋_GB2312"/>
          <w:color w:val="auto"/>
          <w:sz w:val="32"/>
          <w:szCs w:val="32"/>
        </w:rPr>
      </w:pPr>
      <w:r>
        <w:rPr>
          <w:rFonts w:hint="eastAsia" w:ascii="仿宋_GB2312" w:eastAsia="仿宋_GB2312"/>
          <w:color w:val="auto"/>
          <w:sz w:val="32"/>
          <w:szCs w:val="32"/>
        </w:rPr>
        <w:t xml:space="preserve"> </w:t>
      </w:r>
      <w:r>
        <w:rPr>
          <w:rFonts w:hint="eastAsia" w:ascii="仿宋_GB2312" w:eastAsia="仿宋_GB2312"/>
          <w:color w:val="auto"/>
          <w:sz w:val="32"/>
          <w:szCs w:val="32"/>
          <w:lang w:val="en-US" w:eastAsia="zh-CN"/>
        </w:rPr>
        <w:t xml:space="preserve">  </w:t>
      </w:r>
      <w:r>
        <w:rPr>
          <w:rFonts w:hint="eastAsia" w:ascii="仿宋_GB2312" w:eastAsia="仿宋_GB2312"/>
          <w:color w:val="auto"/>
          <w:sz w:val="32"/>
          <w:szCs w:val="32"/>
        </w:rPr>
        <w:t>14.卫生健康（类）210（款）11（项）01：反映财政部门安排的行政单位(包括实行公务员管理的事业单位，下同)基本医疗保险缴费经费，未参加医疗保险的行政单位的公费医疗经费，按国家规定享受离休人员、红军老战士待遇人员的医疗经费。</w:t>
      </w:r>
    </w:p>
    <w:p w14:paraId="1B51E7B6">
      <w:pPr>
        <w:pStyle w:val="26"/>
        <w:spacing w:line="560" w:lineRule="exact"/>
        <w:ind w:firstLine="640" w:firstLineChars="200"/>
        <w:rPr>
          <w:rFonts w:hint="eastAsia" w:ascii="仿宋_GB2312" w:eastAsia="仿宋_GB2312"/>
          <w:color w:val="auto"/>
          <w:sz w:val="32"/>
          <w:szCs w:val="32"/>
        </w:rPr>
      </w:pPr>
      <w:r>
        <w:rPr>
          <w:rFonts w:hint="eastAsia" w:ascii="仿宋_GB2312" w:eastAsia="仿宋_GB2312"/>
          <w:color w:val="auto"/>
          <w:sz w:val="32"/>
          <w:szCs w:val="32"/>
        </w:rPr>
        <w:t>15.卫生健康（类）210（款）11（项）03：反映财政部门安排的公务员医疗补助经费。</w:t>
      </w:r>
    </w:p>
    <w:p w14:paraId="0EEF1414">
      <w:pPr>
        <w:pStyle w:val="26"/>
        <w:spacing w:line="560" w:lineRule="exact"/>
        <w:ind w:firstLine="640" w:firstLineChars="200"/>
        <w:rPr>
          <w:rFonts w:hint="eastAsia" w:ascii="仿宋_GB2312" w:eastAsia="仿宋_GB2312" w:cs="仿宋_GB2312"/>
          <w:b w:val="0"/>
          <w:bCs w:val="0"/>
          <w:kern w:val="0"/>
          <w:sz w:val="32"/>
          <w:szCs w:val="32"/>
        </w:rPr>
      </w:pPr>
      <w:r>
        <w:rPr>
          <w:rFonts w:hint="eastAsia" w:ascii="仿宋_GB2312" w:eastAsia="仿宋_GB2312"/>
          <w:color w:val="auto"/>
          <w:sz w:val="32"/>
          <w:szCs w:val="32"/>
        </w:rPr>
        <w:t>16.商业服务业等支出（类）216（款）99（项）99：反映其他商业服务业等支出</w:t>
      </w:r>
      <w:r>
        <w:rPr>
          <w:rFonts w:hint="eastAsia" w:ascii="仿宋_GB2312" w:eastAsia="仿宋_GB2312" w:cs="仿宋_GB2312"/>
          <w:b w:val="0"/>
          <w:bCs w:val="0"/>
          <w:kern w:val="0"/>
          <w:sz w:val="32"/>
          <w:szCs w:val="32"/>
        </w:rPr>
        <w:t>中除上述项目以外的其他支出。</w:t>
      </w:r>
    </w:p>
    <w:p w14:paraId="698267AD">
      <w:pPr>
        <w:spacing w:line="600" w:lineRule="exact"/>
        <w:ind w:firstLine="640"/>
        <w:rPr>
          <w:rFonts w:ascii="仿宋" w:hAnsi="仿宋" w:eastAsia="仿宋"/>
          <w:b/>
          <w:sz w:val="32"/>
          <w:szCs w:val="32"/>
        </w:rPr>
      </w:pPr>
      <w:r>
        <w:rPr>
          <w:rFonts w:hint="eastAsia" w:ascii="仿宋" w:hAnsi="仿宋" w:eastAsia="仿宋"/>
          <w:b/>
          <w:sz w:val="32"/>
          <w:szCs w:val="32"/>
        </w:rPr>
        <w:t>（解释本单位决算报表中涉及的全部功能分类科目至项级，不涉及的科目请自行删除。请参照《2023年政府收支分类科目》增减内容。）</w:t>
      </w:r>
    </w:p>
    <w:p w14:paraId="7CBA9759">
      <w:pPr>
        <w:ind w:firstLine="640" w:firstLineChars="200"/>
        <w:rPr>
          <w:rFonts w:ascii="仿宋_GB2312" w:eastAsia="仿宋_GB2312"/>
          <w:sz w:val="32"/>
          <w:szCs w:val="32"/>
        </w:rPr>
      </w:pPr>
      <w:r>
        <w:rPr>
          <w:rFonts w:hint="eastAsia" w:ascii="仿宋_GB2312" w:eastAsia="仿宋_GB2312"/>
          <w:sz w:val="32"/>
          <w:szCs w:val="32"/>
          <w:lang w:val="en-US" w:eastAsia="zh-CN"/>
        </w:rPr>
        <w:t>1</w:t>
      </w:r>
      <w:r>
        <w:rPr>
          <w:rFonts w:ascii="仿宋_GB2312" w:eastAsia="仿宋_GB2312"/>
          <w:sz w:val="32"/>
          <w:szCs w:val="32"/>
        </w:rPr>
        <w:t>7.</w:t>
      </w:r>
      <w:r>
        <w:rPr>
          <w:rFonts w:hint="eastAsia" w:ascii="仿宋_GB2312" w:eastAsia="仿宋_GB2312"/>
          <w:sz w:val="32"/>
          <w:szCs w:val="32"/>
        </w:rPr>
        <w:t>基本支出：指为保障机构正常运转、完成日常工作任务而发生的人员支出和公用支出。</w:t>
      </w:r>
    </w:p>
    <w:p w14:paraId="7E89108A">
      <w:pPr>
        <w:ind w:firstLine="640" w:firstLineChars="200"/>
        <w:rPr>
          <w:rFonts w:ascii="仿宋_GB2312" w:eastAsia="仿宋_GB2312"/>
          <w:sz w:val="32"/>
          <w:szCs w:val="32"/>
        </w:rPr>
      </w:pPr>
      <w:r>
        <w:rPr>
          <w:rFonts w:hint="eastAsia" w:ascii="仿宋_GB2312" w:eastAsia="仿宋_GB2312"/>
          <w:sz w:val="32"/>
          <w:szCs w:val="32"/>
          <w:lang w:val="en-US" w:eastAsia="zh-CN"/>
        </w:rPr>
        <w:t>1</w:t>
      </w:r>
      <w:r>
        <w:rPr>
          <w:rFonts w:ascii="仿宋_GB2312" w:eastAsia="仿宋_GB2312"/>
          <w:sz w:val="32"/>
          <w:szCs w:val="32"/>
        </w:rPr>
        <w:t>8.</w:t>
      </w:r>
      <w:r>
        <w:rPr>
          <w:rFonts w:hint="eastAsia" w:ascii="仿宋_GB2312" w:eastAsia="仿宋_GB2312"/>
          <w:sz w:val="32"/>
          <w:szCs w:val="32"/>
        </w:rPr>
        <w:t>项目支出：指在基本支出之外为完成特定行政任务和事业发展目标所发生的支出。</w:t>
      </w:r>
      <w:r>
        <w:rPr>
          <w:rFonts w:ascii="仿宋_GB2312" w:eastAsia="仿宋_GB2312"/>
          <w:sz w:val="32"/>
          <w:szCs w:val="32"/>
        </w:rPr>
        <w:t xml:space="preserve"> </w:t>
      </w:r>
    </w:p>
    <w:p w14:paraId="08D7BF8D">
      <w:pPr>
        <w:ind w:firstLine="640" w:firstLineChars="200"/>
        <w:rPr>
          <w:rFonts w:ascii="仿宋_GB2312" w:eastAsia="仿宋_GB2312"/>
          <w:sz w:val="32"/>
          <w:szCs w:val="32"/>
        </w:rPr>
      </w:pPr>
      <w:r>
        <w:rPr>
          <w:rFonts w:hint="eastAsia" w:ascii="仿宋_GB2312" w:eastAsia="仿宋_GB2312"/>
          <w:sz w:val="32"/>
          <w:szCs w:val="32"/>
          <w:lang w:val="en-US" w:eastAsia="zh-CN"/>
        </w:rPr>
        <w:t>1</w:t>
      </w:r>
      <w:r>
        <w:rPr>
          <w:rFonts w:ascii="仿宋_GB2312" w:eastAsia="仿宋_GB2312"/>
          <w:sz w:val="32"/>
          <w:szCs w:val="32"/>
        </w:rPr>
        <w:t>9.</w:t>
      </w:r>
      <w:r>
        <w:rPr>
          <w:rFonts w:hint="eastAsia" w:ascii="仿宋_GB2312" w:eastAsia="仿宋_GB2312"/>
          <w:sz w:val="32"/>
          <w:szCs w:val="32"/>
        </w:rPr>
        <w:t>经营支出：指事业单位在专业业务活动及其辅助活动之外开展非独立核算经营活动发生的支出。</w:t>
      </w:r>
    </w:p>
    <w:p w14:paraId="37D7C5A9">
      <w:pPr>
        <w:pStyle w:val="26"/>
        <w:spacing w:line="560" w:lineRule="exact"/>
        <w:ind w:firstLine="640" w:firstLineChars="200"/>
        <w:rPr>
          <w:rFonts w:ascii="仿宋_GB2312" w:eastAsia="仿宋_GB2312"/>
          <w:color w:val="auto"/>
          <w:sz w:val="32"/>
          <w:szCs w:val="32"/>
        </w:rPr>
      </w:pPr>
      <w:r>
        <w:rPr>
          <w:rFonts w:hint="eastAsia" w:ascii="仿宋_GB2312" w:eastAsia="仿宋_GB2312"/>
          <w:color w:val="auto"/>
          <w:sz w:val="32"/>
          <w:szCs w:val="32"/>
          <w:lang w:val="en-US" w:eastAsia="zh-CN"/>
        </w:rPr>
        <w:t>2</w:t>
      </w:r>
      <w:r>
        <w:rPr>
          <w:rFonts w:ascii="仿宋_GB2312" w:eastAsia="仿宋_GB2312"/>
          <w:color w:val="auto"/>
          <w:sz w:val="32"/>
          <w:szCs w:val="32"/>
        </w:rPr>
        <w:t>0.</w:t>
      </w:r>
      <w:r>
        <w:rPr>
          <w:rFonts w:hint="eastAsia" w:ascii="仿宋_GB2312" w:eastAsia="仿宋_GB2312"/>
          <w:color w:val="auto"/>
          <w:sz w:val="32"/>
          <w:szCs w:val="32"/>
        </w:rPr>
        <w:t>“三公”经费：指单位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14:paraId="42FB321D">
      <w:pPr>
        <w:pStyle w:val="26"/>
        <w:spacing w:line="560" w:lineRule="exact"/>
        <w:ind w:firstLine="640" w:firstLineChars="200"/>
        <w:rPr>
          <w:rFonts w:ascii="仿宋_GB2312" w:eastAsia="仿宋_GB2312"/>
          <w:color w:val="auto"/>
          <w:sz w:val="32"/>
          <w:szCs w:val="32"/>
        </w:rPr>
      </w:pPr>
      <w:r>
        <w:rPr>
          <w:rFonts w:hint="eastAsia" w:ascii="仿宋_GB2312" w:eastAsia="仿宋_GB2312"/>
          <w:color w:val="auto"/>
          <w:sz w:val="32"/>
          <w:szCs w:val="32"/>
          <w:lang w:val="en-US" w:eastAsia="zh-CN"/>
        </w:rPr>
        <w:t>2</w:t>
      </w:r>
      <w:r>
        <w:rPr>
          <w:rFonts w:ascii="仿宋_GB2312" w:eastAsia="仿宋_GB2312"/>
          <w:color w:val="auto"/>
          <w:sz w:val="32"/>
          <w:szCs w:val="32"/>
        </w:rPr>
        <w:t>1.</w:t>
      </w:r>
      <w:r>
        <w:rPr>
          <w:rFonts w:hint="eastAsia" w:ascii="仿宋_GB2312" w:eastAsia="仿宋_GB2312"/>
          <w:color w:val="auto"/>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75C35450">
      <w:pPr>
        <w:pStyle w:val="26"/>
        <w:spacing w:line="560" w:lineRule="exact"/>
        <w:ind w:firstLine="640" w:firstLineChars="200"/>
        <w:rPr>
          <w:rFonts w:ascii="仿宋_GB2312" w:eastAsia="仿宋_GB2312" w:cs="黑体"/>
          <w:color w:val="auto"/>
          <w:sz w:val="32"/>
          <w:szCs w:val="32"/>
        </w:rPr>
      </w:pPr>
    </w:p>
    <w:p w14:paraId="3157F806">
      <w:pPr>
        <w:ind w:firstLine="643" w:firstLineChars="200"/>
        <w:rPr>
          <w:rFonts w:ascii="仿宋" w:hAnsi="仿宋" w:eastAsia="仿宋"/>
          <w:b/>
          <w:sz w:val="32"/>
          <w:szCs w:val="32"/>
        </w:rPr>
      </w:pPr>
      <w:r>
        <w:rPr>
          <w:rFonts w:hint="eastAsia" w:ascii="仿宋" w:hAnsi="仿宋" w:eastAsia="仿宋"/>
          <w:b/>
          <w:sz w:val="32"/>
          <w:szCs w:val="32"/>
        </w:rPr>
        <w:t>（名词解释部分请根据各单位实际列支情况罗列，并根据本单位职责职能增减名词解释内容。）</w:t>
      </w:r>
    </w:p>
    <w:p w14:paraId="20548099">
      <w:pPr>
        <w:spacing w:line="600" w:lineRule="exact"/>
        <w:jc w:val="center"/>
        <w:outlineLvl w:val="0"/>
        <w:rPr>
          <w:rStyle w:val="28"/>
          <w:rFonts w:ascii="黑体" w:hAnsi="黑体" w:eastAsia="黑体"/>
          <w:b w:val="0"/>
        </w:rPr>
      </w:pPr>
      <w:bookmarkStart w:id="51" w:name="_Toc15377226"/>
      <w:r>
        <w:rPr>
          <w:rFonts w:ascii="宋体"/>
          <w:b/>
          <w:sz w:val="44"/>
          <w:szCs w:val="44"/>
        </w:rPr>
        <w:br w:type="page"/>
      </w:r>
      <w:bookmarkStart w:id="52" w:name="_Toc15396614"/>
      <w:r>
        <w:rPr>
          <w:rFonts w:hint="eastAsia" w:ascii="黑体" w:hAnsi="黑体" w:eastAsia="黑体"/>
          <w:sz w:val="44"/>
          <w:szCs w:val="44"/>
        </w:rPr>
        <w:t>第</w:t>
      </w:r>
      <w:r>
        <w:rPr>
          <w:rStyle w:val="28"/>
          <w:rFonts w:hint="eastAsia" w:ascii="黑体" w:hAnsi="黑体" w:eastAsia="黑体"/>
          <w:b w:val="0"/>
        </w:rPr>
        <w:t>四部分 附件</w:t>
      </w:r>
      <w:bookmarkEnd w:id="52"/>
    </w:p>
    <w:p w14:paraId="15AC0D42">
      <w:pPr>
        <w:spacing w:line="572" w:lineRule="exact"/>
        <w:jc w:val="left"/>
        <w:outlineLvl w:val="0"/>
        <w:rPr>
          <w:rFonts w:ascii="仿宋_GB2312" w:hAnsi="仿宋_GB2312" w:eastAsia="仿宋_GB2312" w:cs="仿宋_GB2312"/>
          <w:sz w:val="32"/>
          <w:szCs w:val="32"/>
        </w:rPr>
      </w:pPr>
    </w:p>
    <w:p w14:paraId="4A0EB76A">
      <w:pPr>
        <w:spacing w:line="600" w:lineRule="exact"/>
        <w:jc w:val="center"/>
        <w:outlineLvl w:val="0"/>
        <w:rPr>
          <w:rFonts w:ascii="黑体" w:hAnsi="黑体" w:eastAsia="黑体"/>
          <w:color w:val="FF0000"/>
          <w:sz w:val="44"/>
          <w:szCs w:val="44"/>
        </w:rPr>
      </w:pPr>
      <w:bookmarkStart w:id="53" w:name="_Toc15396618"/>
      <w:r>
        <w:rPr>
          <w:rFonts w:hint="eastAsia"/>
          <w:sz w:val="32"/>
          <w:szCs w:val="32"/>
        </w:rPr>
        <w:t>部门预算项目支出绩效自评表（2023年度）</w:t>
      </w:r>
    </w:p>
    <w:p w14:paraId="26FBDB28">
      <w:pPr>
        <w:pStyle w:val="14"/>
        <w:spacing w:line="560" w:lineRule="exact"/>
        <w:ind w:left="0" w:leftChars="0" w:firstLine="640"/>
        <w:rPr>
          <w:sz w:val="32"/>
        </w:rPr>
      </w:pPr>
    </w:p>
    <w:p w14:paraId="5C0626B6">
      <w:pPr>
        <w:pStyle w:val="14"/>
        <w:spacing w:line="560" w:lineRule="exact"/>
        <w:ind w:left="0" w:leftChars="0" w:firstLine="640"/>
        <w:rPr>
          <w:rFonts w:hAnsi="Calibri" w:eastAsia="仿宋_GB2312" w:cs="仿宋"/>
          <w:sz w:val="32"/>
          <w:lang w:val="zh-CN"/>
        </w:rPr>
      </w:pPr>
      <w:r>
        <w:rPr>
          <w:rFonts w:hint="eastAsia" w:hAnsi="Calibri" w:eastAsia="仿宋_GB2312" w:cs="仿宋"/>
          <w:sz w:val="32"/>
        </w:rPr>
        <w:t>（备注：按照绩效自评工作安排，各单位可在预算管理一体化系统—综合报表查询—预算绩效报表模块中下载本单位“部门预算项目支出绩效自评表（2023年度）”，该表格应作为附件予以公开。）</w:t>
      </w:r>
    </w:p>
    <w:p w14:paraId="5CFD0ABA">
      <w:pPr>
        <w:pStyle w:val="5"/>
        <w:spacing w:before="93"/>
        <w:rPr>
          <w:rFonts w:hAnsi="Calibri" w:cs="仿宋"/>
          <w:sz w:val="32"/>
          <w:szCs w:val="32"/>
        </w:rPr>
      </w:pPr>
    </w:p>
    <w:p w14:paraId="127CA267">
      <w:pPr>
        <w:pStyle w:val="5"/>
        <w:spacing w:before="93"/>
        <w:rPr>
          <w:rFonts w:hAnsi="Calibri" w:cs="仿宋"/>
          <w:sz w:val="32"/>
          <w:szCs w:val="32"/>
        </w:rPr>
      </w:pPr>
    </w:p>
    <w:p w14:paraId="738C9690">
      <w:pPr>
        <w:pStyle w:val="5"/>
        <w:spacing w:before="93"/>
        <w:rPr>
          <w:rFonts w:hAnsi="Calibri" w:cs="仿宋"/>
          <w:sz w:val="32"/>
          <w:szCs w:val="32"/>
        </w:rPr>
      </w:pPr>
    </w:p>
    <w:p w14:paraId="37A1955C">
      <w:pPr>
        <w:pStyle w:val="5"/>
        <w:spacing w:before="93"/>
        <w:rPr>
          <w:rFonts w:hAnsi="Calibri" w:cs="仿宋"/>
          <w:sz w:val="32"/>
          <w:szCs w:val="32"/>
        </w:rPr>
      </w:pPr>
    </w:p>
    <w:p w14:paraId="7D787203">
      <w:pPr>
        <w:pStyle w:val="5"/>
        <w:spacing w:before="93"/>
        <w:rPr>
          <w:rFonts w:hAnsi="Calibri" w:cs="仿宋"/>
          <w:sz w:val="32"/>
          <w:szCs w:val="32"/>
        </w:rPr>
      </w:pPr>
    </w:p>
    <w:p w14:paraId="5A1ABF6E">
      <w:pPr>
        <w:pStyle w:val="5"/>
        <w:spacing w:before="93"/>
        <w:rPr>
          <w:rFonts w:hAnsi="Calibri" w:cs="仿宋"/>
          <w:sz w:val="32"/>
          <w:szCs w:val="32"/>
        </w:rPr>
      </w:pPr>
    </w:p>
    <w:p w14:paraId="286FC028">
      <w:pPr>
        <w:pStyle w:val="5"/>
        <w:spacing w:before="93"/>
        <w:rPr>
          <w:rFonts w:hAnsi="Calibri" w:cs="仿宋"/>
          <w:sz w:val="32"/>
          <w:szCs w:val="32"/>
        </w:rPr>
      </w:pPr>
    </w:p>
    <w:p w14:paraId="18BF634D">
      <w:pPr>
        <w:pStyle w:val="5"/>
        <w:spacing w:before="93"/>
        <w:rPr>
          <w:rFonts w:hAnsi="Calibri" w:cs="仿宋"/>
          <w:sz w:val="32"/>
          <w:szCs w:val="32"/>
        </w:rPr>
      </w:pPr>
    </w:p>
    <w:p w14:paraId="63360877">
      <w:pPr>
        <w:pStyle w:val="5"/>
        <w:spacing w:before="93"/>
        <w:rPr>
          <w:rFonts w:hAnsi="Calibri" w:cs="仿宋"/>
          <w:sz w:val="32"/>
          <w:szCs w:val="32"/>
        </w:rPr>
      </w:pPr>
    </w:p>
    <w:p w14:paraId="6A3C6BAB">
      <w:pPr>
        <w:pStyle w:val="5"/>
        <w:spacing w:before="93"/>
        <w:rPr>
          <w:rFonts w:hAnsi="Calibri" w:cs="仿宋"/>
          <w:sz w:val="32"/>
          <w:szCs w:val="32"/>
        </w:rPr>
      </w:pPr>
    </w:p>
    <w:p w14:paraId="6796E3AD">
      <w:pPr>
        <w:pStyle w:val="5"/>
        <w:spacing w:before="93"/>
        <w:rPr>
          <w:rFonts w:hAnsi="Calibri" w:cs="仿宋"/>
          <w:sz w:val="32"/>
          <w:szCs w:val="32"/>
        </w:rPr>
      </w:pPr>
    </w:p>
    <w:p w14:paraId="7E33D263">
      <w:pPr>
        <w:pStyle w:val="5"/>
        <w:spacing w:before="93"/>
        <w:rPr>
          <w:rFonts w:hAnsi="Calibri" w:cs="仿宋"/>
          <w:sz w:val="32"/>
          <w:szCs w:val="32"/>
        </w:rPr>
      </w:pPr>
    </w:p>
    <w:p w14:paraId="64EC4483">
      <w:pPr>
        <w:spacing w:line="600" w:lineRule="exact"/>
        <w:jc w:val="center"/>
        <w:outlineLvl w:val="0"/>
        <w:rPr>
          <w:rFonts w:hint="eastAsia" w:ascii="黑体" w:hAnsi="黑体" w:eastAsia="黑体"/>
          <w:sz w:val="44"/>
          <w:szCs w:val="44"/>
        </w:rPr>
      </w:pPr>
    </w:p>
    <w:p w14:paraId="57AF71F9">
      <w:pPr>
        <w:spacing w:line="600" w:lineRule="exact"/>
        <w:jc w:val="center"/>
        <w:outlineLvl w:val="0"/>
        <w:rPr>
          <w:rFonts w:ascii="仿宋" w:hAnsi="仿宋" w:eastAsia="仿宋"/>
        </w:rPr>
      </w:pPr>
      <w:r>
        <w:rPr>
          <w:rFonts w:hint="eastAsia" w:ascii="黑体" w:hAnsi="黑体" w:eastAsia="黑体"/>
          <w:sz w:val="44"/>
          <w:szCs w:val="44"/>
        </w:rPr>
        <w:t>第</w:t>
      </w:r>
      <w:r>
        <w:rPr>
          <w:rStyle w:val="28"/>
          <w:rFonts w:hint="eastAsia" w:ascii="黑体" w:hAnsi="黑体" w:eastAsia="黑体"/>
          <w:b w:val="0"/>
        </w:rPr>
        <w:t>五部分 附表</w:t>
      </w:r>
      <w:bookmarkEnd w:id="51"/>
      <w:bookmarkEnd w:id="53"/>
      <w:bookmarkStart w:id="54" w:name="_Toc15396619"/>
    </w:p>
    <w:p w14:paraId="34B324B7">
      <w:pPr>
        <w:pStyle w:val="3"/>
        <w:rPr>
          <w:rFonts w:ascii="仿宋" w:hAnsi="仿宋" w:eastAsia="仿宋"/>
        </w:rPr>
      </w:pPr>
      <w:r>
        <w:rPr>
          <w:rFonts w:hint="eastAsia" w:ascii="仿宋" w:hAnsi="仿宋" w:eastAsia="仿宋"/>
          <w:b w:val="0"/>
        </w:rPr>
        <w:t>一、收</w:t>
      </w:r>
      <w:r>
        <w:rPr>
          <w:rStyle w:val="29"/>
          <w:rFonts w:hint="eastAsia" w:ascii="仿宋" w:hAnsi="仿宋" w:eastAsia="仿宋"/>
          <w:b w:val="0"/>
          <w:bCs w:val="0"/>
        </w:rPr>
        <w:t>入支出决算总表</w:t>
      </w:r>
      <w:bookmarkEnd w:id="54"/>
    </w:p>
    <w:p w14:paraId="34DA7670">
      <w:pPr>
        <w:pStyle w:val="3"/>
        <w:rPr>
          <w:rFonts w:ascii="仿宋" w:hAnsi="仿宋" w:eastAsia="仿宋"/>
        </w:rPr>
      </w:pPr>
      <w:bookmarkStart w:id="55" w:name="_Toc15396620"/>
      <w:r>
        <w:rPr>
          <w:rFonts w:hint="eastAsia" w:ascii="仿宋" w:hAnsi="仿宋" w:eastAsia="仿宋"/>
          <w:b w:val="0"/>
        </w:rPr>
        <w:t>二、收</w:t>
      </w:r>
      <w:r>
        <w:rPr>
          <w:rStyle w:val="29"/>
          <w:rFonts w:hint="eastAsia" w:ascii="仿宋" w:hAnsi="仿宋" w:eastAsia="仿宋"/>
          <w:b w:val="0"/>
          <w:bCs w:val="0"/>
        </w:rPr>
        <w:t>入决算表</w:t>
      </w:r>
      <w:bookmarkEnd w:id="55"/>
    </w:p>
    <w:p w14:paraId="409040A4">
      <w:pPr>
        <w:pStyle w:val="3"/>
        <w:rPr>
          <w:rFonts w:ascii="仿宋" w:hAnsi="仿宋" w:eastAsia="仿宋"/>
        </w:rPr>
      </w:pPr>
      <w:bookmarkStart w:id="56" w:name="_Toc15396621"/>
      <w:r>
        <w:rPr>
          <w:rStyle w:val="29"/>
          <w:rFonts w:hint="eastAsia" w:ascii="仿宋" w:hAnsi="仿宋" w:eastAsia="仿宋"/>
          <w:b w:val="0"/>
          <w:bCs w:val="0"/>
        </w:rPr>
        <w:t>三、</w:t>
      </w:r>
      <w:r>
        <w:rPr>
          <w:rFonts w:hint="eastAsia" w:ascii="仿宋" w:hAnsi="仿宋" w:eastAsia="仿宋"/>
          <w:b w:val="0"/>
        </w:rPr>
        <w:t>支</w:t>
      </w:r>
      <w:r>
        <w:rPr>
          <w:rStyle w:val="29"/>
          <w:rFonts w:hint="eastAsia" w:ascii="仿宋" w:hAnsi="仿宋" w:eastAsia="仿宋"/>
          <w:b w:val="0"/>
          <w:bCs w:val="0"/>
        </w:rPr>
        <w:t>出决算表</w:t>
      </w:r>
      <w:bookmarkEnd w:id="56"/>
    </w:p>
    <w:p w14:paraId="76CDE540">
      <w:pPr>
        <w:pStyle w:val="3"/>
        <w:rPr>
          <w:rFonts w:ascii="仿宋" w:hAnsi="仿宋" w:eastAsia="仿宋"/>
          <w:b w:val="0"/>
        </w:rPr>
      </w:pPr>
      <w:bookmarkStart w:id="57" w:name="_Toc15396622"/>
      <w:r>
        <w:rPr>
          <w:rStyle w:val="29"/>
          <w:rFonts w:hint="eastAsia" w:ascii="仿宋" w:hAnsi="仿宋" w:eastAsia="仿宋"/>
          <w:b w:val="0"/>
          <w:bCs w:val="0"/>
        </w:rPr>
        <w:t>四、</w:t>
      </w:r>
      <w:r>
        <w:rPr>
          <w:rFonts w:hint="eastAsia" w:ascii="仿宋" w:hAnsi="仿宋" w:eastAsia="仿宋"/>
          <w:b w:val="0"/>
        </w:rPr>
        <w:t>财</w:t>
      </w:r>
      <w:r>
        <w:rPr>
          <w:rStyle w:val="29"/>
          <w:rFonts w:hint="eastAsia" w:ascii="仿宋" w:hAnsi="仿宋" w:eastAsia="仿宋"/>
          <w:b w:val="0"/>
          <w:bCs w:val="0"/>
        </w:rPr>
        <w:t>政拨款收入支出决算总表</w:t>
      </w:r>
      <w:bookmarkEnd w:id="57"/>
    </w:p>
    <w:p w14:paraId="7ED92A80">
      <w:pPr>
        <w:pStyle w:val="3"/>
        <w:rPr>
          <w:rStyle w:val="29"/>
          <w:rFonts w:ascii="仿宋" w:hAnsi="仿宋" w:eastAsia="仿宋"/>
          <w:b w:val="0"/>
          <w:bCs w:val="0"/>
        </w:rPr>
      </w:pPr>
      <w:bookmarkStart w:id="58" w:name="_Toc15396623"/>
      <w:r>
        <w:rPr>
          <w:rStyle w:val="29"/>
          <w:rFonts w:hint="eastAsia" w:ascii="仿宋" w:hAnsi="仿宋" w:eastAsia="仿宋"/>
          <w:b w:val="0"/>
          <w:bCs w:val="0"/>
        </w:rPr>
        <w:t>五、</w:t>
      </w:r>
      <w:r>
        <w:rPr>
          <w:rFonts w:hint="eastAsia" w:ascii="仿宋" w:hAnsi="仿宋" w:eastAsia="仿宋"/>
          <w:b w:val="0"/>
        </w:rPr>
        <w:t>财</w:t>
      </w:r>
      <w:r>
        <w:rPr>
          <w:rStyle w:val="29"/>
          <w:rFonts w:hint="eastAsia" w:ascii="仿宋" w:hAnsi="仿宋" w:eastAsia="仿宋"/>
          <w:b w:val="0"/>
          <w:bCs w:val="0"/>
        </w:rPr>
        <w:t>政拨款支出决算明细表</w:t>
      </w:r>
      <w:bookmarkEnd w:id="58"/>
      <w:bookmarkStart w:id="59" w:name="_Toc15396624"/>
    </w:p>
    <w:p w14:paraId="2BCE679F">
      <w:pPr>
        <w:pStyle w:val="3"/>
        <w:rPr>
          <w:rFonts w:ascii="仿宋" w:hAnsi="仿宋" w:eastAsia="仿宋"/>
        </w:rPr>
      </w:pPr>
      <w:r>
        <w:rPr>
          <w:rStyle w:val="29"/>
          <w:rFonts w:hint="eastAsia" w:ascii="仿宋" w:hAnsi="仿宋" w:eastAsia="仿宋"/>
          <w:b w:val="0"/>
          <w:bCs w:val="0"/>
        </w:rPr>
        <w:t>六、</w:t>
      </w:r>
      <w:r>
        <w:rPr>
          <w:rFonts w:hint="eastAsia" w:ascii="仿宋" w:hAnsi="仿宋" w:eastAsia="仿宋"/>
          <w:b w:val="0"/>
        </w:rPr>
        <w:t>一</w:t>
      </w:r>
      <w:r>
        <w:rPr>
          <w:rStyle w:val="29"/>
          <w:rFonts w:hint="eastAsia" w:ascii="仿宋" w:hAnsi="仿宋" w:eastAsia="仿宋"/>
          <w:b w:val="0"/>
          <w:bCs w:val="0"/>
        </w:rPr>
        <w:t>般公共预算财政拨款支出决算表</w:t>
      </w:r>
      <w:bookmarkEnd w:id="59"/>
    </w:p>
    <w:p w14:paraId="7E92BAB5">
      <w:pPr>
        <w:pStyle w:val="3"/>
        <w:rPr>
          <w:rFonts w:ascii="仿宋" w:hAnsi="仿宋" w:eastAsia="仿宋"/>
        </w:rPr>
      </w:pPr>
      <w:bookmarkStart w:id="60" w:name="_Toc15396625"/>
      <w:r>
        <w:rPr>
          <w:rStyle w:val="29"/>
          <w:rFonts w:hint="eastAsia" w:ascii="仿宋" w:hAnsi="仿宋" w:eastAsia="仿宋"/>
          <w:b w:val="0"/>
          <w:bCs w:val="0"/>
        </w:rPr>
        <w:t>七、</w:t>
      </w:r>
      <w:r>
        <w:rPr>
          <w:rFonts w:hint="eastAsia" w:ascii="仿宋" w:hAnsi="仿宋" w:eastAsia="仿宋"/>
          <w:b w:val="0"/>
        </w:rPr>
        <w:t>一</w:t>
      </w:r>
      <w:r>
        <w:rPr>
          <w:rStyle w:val="29"/>
          <w:rFonts w:hint="eastAsia" w:ascii="仿宋" w:hAnsi="仿宋" w:eastAsia="仿宋"/>
          <w:b w:val="0"/>
          <w:bCs w:val="0"/>
        </w:rPr>
        <w:t>般公共预算财政拨款支出决算明细表</w:t>
      </w:r>
      <w:bookmarkEnd w:id="60"/>
    </w:p>
    <w:p w14:paraId="26BFD768">
      <w:pPr>
        <w:pStyle w:val="3"/>
        <w:rPr>
          <w:rFonts w:ascii="仿宋" w:hAnsi="仿宋" w:eastAsia="仿宋"/>
        </w:rPr>
      </w:pPr>
      <w:bookmarkStart w:id="61" w:name="_Toc15396626"/>
      <w:r>
        <w:rPr>
          <w:rStyle w:val="29"/>
          <w:rFonts w:hint="eastAsia" w:ascii="仿宋" w:hAnsi="仿宋" w:eastAsia="仿宋"/>
          <w:b w:val="0"/>
          <w:bCs w:val="0"/>
        </w:rPr>
        <w:t>八、</w:t>
      </w:r>
      <w:r>
        <w:rPr>
          <w:rFonts w:hint="eastAsia" w:ascii="仿宋" w:hAnsi="仿宋" w:eastAsia="仿宋"/>
          <w:b w:val="0"/>
        </w:rPr>
        <w:t>一</w:t>
      </w:r>
      <w:r>
        <w:rPr>
          <w:rStyle w:val="29"/>
          <w:rFonts w:hint="eastAsia" w:ascii="仿宋" w:hAnsi="仿宋" w:eastAsia="仿宋"/>
          <w:b w:val="0"/>
          <w:bCs w:val="0"/>
        </w:rPr>
        <w:t>般公共预算财政拨款基本支出决算表</w:t>
      </w:r>
      <w:bookmarkEnd w:id="61"/>
    </w:p>
    <w:p w14:paraId="4C4068C5">
      <w:pPr>
        <w:pStyle w:val="3"/>
        <w:rPr>
          <w:rFonts w:ascii="仿宋" w:hAnsi="仿宋" w:eastAsia="仿宋"/>
        </w:rPr>
      </w:pPr>
      <w:bookmarkStart w:id="62" w:name="_Toc15396627"/>
      <w:r>
        <w:rPr>
          <w:rStyle w:val="29"/>
          <w:rFonts w:hint="eastAsia" w:ascii="仿宋" w:hAnsi="仿宋" w:eastAsia="仿宋"/>
          <w:b w:val="0"/>
          <w:bCs w:val="0"/>
        </w:rPr>
        <w:t>九、</w:t>
      </w:r>
      <w:r>
        <w:rPr>
          <w:rFonts w:hint="eastAsia" w:ascii="仿宋" w:hAnsi="仿宋" w:eastAsia="仿宋"/>
          <w:b w:val="0"/>
        </w:rPr>
        <w:t>一</w:t>
      </w:r>
      <w:r>
        <w:rPr>
          <w:rStyle w:val="29"/>
          <w:rFonts w:hint="eastAsia" w:ascii="仿宋" w:hAnsi="仿宋" w:eastAsia="仿宋"/>
          <w:b w:val="0"/>
          <w:bCs w:val="0"/>
        </w:rPr>
        <w:t>般公共预算财政拨款项目支出决算表</w:t>
      </w:r>
      <w:bookmarkEnd w:id="62"/>
    </w:p>
    <w:p w14:paraId="52007D58">
      <w:pPr>
        <w:pStyle w:val="3"/>
        <w:rPr>
          <w:rFonts w:ascii="仿宋" w:hAnsi="仿宋" w:eastAsia="仿宋"/>
        </w:rPr>
      </w:pPr>
      <w:bookmarkStart w:id="63" w:name="_Toc15396628"/>
      <w:r>
        <w:rPr>
          <w:rStyle w:val="29"/>
          <w:rFonts w:hint="eastAsia" w:ascii="仿宋" w:hAnsi="仿宋" w:eastAsia="仿宋"/>
          <w:b w:val="0"/>
          <w:bCs w:val="0"/>
        </w:rPr>
        <w:t>十、</w:t>
      </w:r>
      <w:bookmarkEnd w:id="63"/>
      <w:r>
        <w:rPr>
          <w:rFonts w:hint="eastAsia" w:ascii="仿宋" w:hAnsi="仿宋" w:eastAsia="仿宋"/>
          <w:b w:val="0"/>
        </w:rPr>
        <w:t>政</w:t>
      </w:r>
      <w:r>
        <w:rPr>
          <w:rStyle w:val="29"/>
          <w:rFonts w:hint="eastAsia" w:ascii="仿宋" w:hAnsi="仿宋" w:eastAsia="仿宋"/>
          <w:b w:val="0"/>
          <w:bCs w:val="0"/>
        </w:rPr>
        <w:t>府性基金预算财政拨款收入支出决算表</w:t>
      </w:r>
    </w:p>
    <w:p w14:paraId="6A1BEAF4">
      <w:pPr>
        <w:pStyle w:val="3"/>
        <w:rPr>
          <w:rFonts w:ascii="仿宋" w:hAnsi="仿宋" w:eastAsia="仿宋"/>
        </w:rPr>
      </w:pPr>
      <w:bookmarkStart w:id="64" w:name="_Toc15396629"/>
      <w:r>
        <w:rPr>
          <w:rStyle w:val="29"/>
          <w:rFonts w:hint="eastAsia" w:ascii="仿宋" w:hAnsi="仿宋" w:eastAsia="仿宋"/>
          <w:b w:val="0"/>
          <w:bCs w:val="0"/>
        </w:rPr>
        <w:t>十一、</w:t>
      </w:r>
      <w:bookmarkEnd w:id="64"/>
      <w:r>
        <w:rPr>
          <w:rFonts w:hint="eastAsia" w:ascii="仿宋" w:hAnsi="仿宋" w:eastAsia="仿宋"/>
          <w:b w:val="0"/>
        </w:rPr>
        <w:t>国</w:t>
      </w:r>
      <w:r>
        <w:rPr>
          <w:rStyle w:val="29"/>
          <w:rFonts w:hint="eastAsia" w:ascii="仿宋" w:hAnsi="仿宋" w:eastAsia="仿宋"/>
          <w:b w:val="0"/>
          <w:bCs w:val="0"/>
        </w:rPr>
        <w:t>有资本经营预算财政拨款收入支出决算表</w:t>
      </w:r>
    </w:p>
    <w:p w14:paraId="386FEE3E">
      <w:pPr>
        <w:pStyle w:val="3"/>
        <w:rPr>
          <w:rFonts w:ascii="仿宋" w:hAnsi="仿宋" w:eastAsia="仿宋"/>
        </w:rPr>
      </w:pPr>
      <w:bookmarkStart w:id="65" w:name="_Toc15396630"/>
      <w:r>
        <w:rPr>
          <w:rStyle w:val="29"/>
          <w:rFonts w:hint="eastAsia" w:ascii="仿宋" w:hAnsi="仿宋" w:eastAsia="仿宋"/>
          <w:b w:val="0"/>
          <w:bCs w:val="0"/>
        </w:rPr>
        <w:t>十二、</w:t>
      </w:r>
      <w:bookmarkEnd w:id="65"/>
      <w:r>
        <w:rPr>
          <w:rStyle w:val="29"/>
          <w:rFonts w:hint="eastAsia" w:ascii="仿宋" w:hAnsi="仿宋" w:eastAsia="仿宋"/>
          <w:b w:val="0"/>
          <w:bCs w:val="0"/>
        </w:rPr>
        <w:t>国有资本经营预算财政拨款支出决算表</w:t>
      </w:r>
    </w:p>
    <w:p w14:paraId="325C545F">
      <w:pPr>
        <w:pStyle w:val="3"/>
        <w:rPr>
          <w:rFonts w:eastAsia="仿宋"/>
        </w:rPr>
      </w:pPr>
      <w:bookmarkStart w:id="66" w:name="_Toc15396631"/>
      <w:r>
        <w:rPr>
          <w:rStyle w:val="29"/>
          <w:rFonts w:hint="eastAsia" w:ascii="仿宋" w:hAnsi="仿宋" w:eastAsia="仿宋"/>
          <w:b w:val="0"/>
          <w:bCs w:val="0"/>
        </w:rPr>
        <w:t>十三、</w:t>
      </w:r>
      <w:bookmarkEnd w:id="66"/>
      <w:r>
        <w:rPr>
          <w:rStyle w:val="29"/>
          <w:rFonts w:hint="eastAsia" w:ascii="仿宋" w:hAnsi="仿宋" w:eastAsia="仿宋"/>
          <w:b w:val="0"/>
          <w:bCs w:val="0"/>
        </w:rPr>
        <w:t>财政拨款“三公”经费支出决算表</w:t>
      </w:r>
    </w:p>
    <w:sectPr>
      <w:headerReference r:id="rId3" w:type="default"/>
      <w:footerReference r:id="rId4" w:type="default"/>
      <w:pgSz w:w="11906" w:h="16838"/>
      <w:pgMar w:top="1440" w:right="1800" w:bottom="1440" w:left="1800" w:header="851" w:footer="992" w:gutter="0"/>
      <w:pgNumType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panose1 w:val="03000509000000000000"/>
    <w:charset w:val="86"/>
    <w:family w:val="script"/>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94781956"/>
    </w:sdtPr>
    <w:sdtContent>
      <w:p w14:paraId="54B312CE">
        <w:pPr>
          <w:pStyle w:val="9"/>
          <w:jc w:val="center"/>
        </w:pPr>
        <w:r>
          <w:fldChar w:fldCharType="begin"/>
        </w:r>
        <w:r>
          <w:instrText xml:space="preserve">PAGE   \* MERGEFORMAT</w:instrText>
        </w:r>
        <w:r>
          <w:fldChar w:fldCharType="separate"/>
        </w:r>
        <w:r>
          <w:rPr>
            <w:lang w:val="zh-CN"/>
          </w:rPr>
          <w:t>15</w:t>
        </w:r>
        <w:r>
          <w:fldChar w:fldCharType="end"/>
        </w:r>
      </w:p>
    </w:sdtContent>
  </w:sdt>
  <w:p w14:paraId="30D042E0">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A1D570">
    <w:pPr>
      <w:pStyle w:val="1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652CEC"/>
    <w:multiLevelType w:val="singleLevel"/>
    <w:tmpl w:val="CF652CEC"/>
    <w:lvl w:ilvl="0" w:tentative="0">
      <w:start w:val="9"/>
      <w:numFmt w:val="chineseCounting"/>
      <w:suff w:val="nothing"/>
      <w:lvlText w:val="%1、"/>
      <w:lvlJc w:val="left"/>
      <w:rPr>
        <w:rFonts w:hint="eastAsia"/>
      </w:rPr>
    </w:lvl>
  </w:abstractNum>
  <w:abstractNum w:abstractNumId="1">
    <w:nsid w:val="E2FA047D"/>
    <w:multiLevelType w:val="singleLevel"/>
    <w:tmpl w:val="E2FA047D"/>
    <w:lvl w:ilvl="0" w:tentative="0">
      <w:start w:val="3"/>
      <w:numFmt w:val="chineseCounting"/>
      <w:suff w:val="space"/>
      <w:lvlText w:val="第%1部分"/>
      <w:lvlJc w:val="left"/>
      <w:rPr>
        <w:rFonts w:hint="eastAsia" w:ascii="黑体" w:hAnsi="黑体" w:eastAsia="黑体" w:cs="黑体"/>
        <w:sz w:val="44"/>
        <w:szCs w:val="44"/>
      </w:rPr>
    </w:lvl>
  </w:abstractNum>
  <w:abstractNum w:abstractNumId="2">
    <w:nsid w:val="1272550B"/>
    <w:multiLevelType w:val="multilevel"/>
    <w:tmpl w:val="1272550B"/>
    <w:lvl w:ilvl="0" w:tentative="0">
      <w:start w:val="1"/>
      <w:numFmt w:val="japaneseCounting"/>
      <w:lvlText w:val="%1、"/>
      <w:lvlJc w:val="left"/>
      <w:pPr>
        <w:ind w:left="1360" w:hanging="720"/>
      </w:pPr>
      <w:rPr>
        <w:rFonts w:hint="default"/>
        <w:b w:val="0"/>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3">
    <w:nsid w:val="3818A09A"/>
    <w:multiLevelType w:val="singleLevel"/>
    <w:tmpl w:val="3818A09A"/>
    <w:lvl w:ilvl="0" w:tentative="0">
      <w:start w:val="1"/>
      <w:numFmt w:val="chineseCounting"/>
      <w:suff w:val="nothing"/>
      <w:lvlText w:val="%1、"/>
      <w:lvlJc w:val="left"/>
      <w:rPr>
        <w:rFonts w:hint="eastAsia"/>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NkYzc1NzFiOWI5NmUwNjJhMzNjZDM5YzdhY2E3ZWQifQ=="/>
  </w:docVars>
  <w:rsids>
    <w:rsidRoot w:val="00F1361C"/>
    <w:rsid w:val="000222C6"/>
    <w:rsid w:val="0002549F"/>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42216"/>
    <w:rsid w:val="00144D6A"/>
    <w:rsid w:val="0014729F"/>
    <w:rsid w:val="00157BAB"/>
    <w:rsid w:val="001654D1"/>
    <w:rsid w:val="00174518"/>
    <w:rsid w:val="0018106D"/>
    <w:rsid w:val="001877A7"/>
    <w:rsid w:val="00191536"/>
    <w:rsid w:val="00196687"/>
    <w:rsid w:val="001A1DAD"/>
    <w:rsid w:val="001C0962"/>
    <w:rsid w:val="001D7531"/>
    <w:rsid w:val="001E737D"/>
    <w:rsid w:val="001F0592"/>
    <w:rsid w:val="001F7506"/>
    <w:rsid w:val="002006CD"/>
    <w:rsid w:val="00202B36"/>
    <w:rsid w:val="00204B7A"/>
    <w:rsid w:val="00204CDE"/>
    <w:rsid w:val="00206907"/>
    <w:rsid w:val="0021101A"/>
    <w:rsid w:val="00212B4A"/>
    <w:rsid w:val="00220536"/>
    <w:rsid w:val="00235629"/>
    <w:rsid w:val="00260C38"/>
    <w:rsid w:val="002616C0"/>
    <w:rsid w:val="00265372"/>
    <w:rsid w:val="002662AA"/>
    <w:rsid w:val="00280496"/>
    <w:rsid w:val="00294DC9"/>
    <w:rsid w:val="00295495"/>
    <w:rsid w:val="002A31DE"/>
    <w:rsid w:val="002B2613"/>
    <w:rsid w:val="002C5004"/>
    <w:rsid w:val="002D6D05"/>
    <w:rsid w:val="002F1818"/>
    <w:rsid w:val="002F567B"/>
    <w:rsid w:val="003216A9"/>
    <w:rsid w:val="00335A74"/>
    <w:rsid w:val="0036561B"/>
    <w:rsid w:val="0037013F"/>
    <w:rsid w:val="00380C92"/>
    <w:rsid w:val="003A484F"/>
    <w:rsid w:val="003A4883"/>
    <w:rsid w:val="003B0BE0"/>
    <w:rsid w:val="003B0C1B"/>
    <w:rsid w:val="003B688C"/>
    <w:rsid w:val="003C0291"/>
    <w:rsid w:val="003C39AE"/>
    <w:rsid w:val="003C7B60"/>
    <w:rsid w:val="003D0C0F"/>
    <w:rsid w:val="003D1FB2"/>
    <w:rsid w:val="003D66DA"/>
    <w:rsid w:val="003E1310"/>
    <w:rsid w:val="003E6F55"/>
    <w:rsid w:val="00406254"/>
    <w:rsid w:val="004223DE"/>
    <w:rsid w:val="00425C50"/>
    <w:rsid w:val="0043177C"/>
    <w:rsid w:val="00434489"/>
    <w:rsid w:val="00437085"/>
    <w:rsid w:val="00443880"/>
    <w:rsid w:val="004464F4"/>
    <w:rsid w:val="0046049C"/>
    <w:rsid w:val="00471401"/>
    <w:rsid w:val="00473F31"/>
    <w:rsid w:val="0048263A"/>
    <w:rsid w:val="00487E5D"/>
    <w:rsid w:val="004A711F"/>
    <w:rsid w:val="004B199D"/>
    <w:rsid w:val="004B4690"/>
    <w:rsid w:val="004E0A2D"/>
    <w:rsid w:val="004E206B"/>
    <w:rsid w:val="004E6DF7"/>
    <w:rsid w:val="004F0FBD"/>
    <w:rsid w:val="00505A47"/>
    <w:rsid w:val="00512FDA"/>
    <w:rsid w:val="00520DA0"/>
    <w:rsid w:val="005533CF"/>
    <w:rsid w:val="005664BB"/>
    <w:rsid w:val="00566FFA"/>
    <w:rsid w:val="0057481D"/>
    <w:rsid w:val="0058486E"/>
    <w:rsid w:val="00585B33"/>
    <w:rsid w:val="0059014D"/>
    <w:rsid w:val="005B5C64"/>
    <w:rsid w:val="005B6E8A"/>
    <w:rsid w:val="005C5337"/>
    <w:rsid w:val="005C6BD0"/>
    <w:rsid w:val="005D1C8B"/>
    <w:rsid w:val="005D468D"/>
    <w:rsid w:val="005D5CED"/>
    <w:rsid w:val="005F10BC"/>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55FC5"/>
    <w:rsid w:val="0066343B"/>
    <w:rsid w:val="00664777"/>
    <w:rsid w:val="006748A4"/>
    <w:rsid w:val="00681A31"/>
    <w:rsid w:val="00683E73"/>
    <w:rsid w:val="006A3141"/>
    <w:rsid w:val="006A5E34"/>
    <w:rsid w:val="006B2422"/>
    <w:rsid w:val="006B2B9A"/>
    <w:rsid w:val="006C1937"/>
    <w:rsid w:val="006F020C"/>
    <w:rsid w:val="0071021A"/>
    <w:rsid w:val="007127B7"/>
    <w:rsid w:val="0071798E"/>
    <w:rsid w:val="007416B6"/>
    <w:rsid w:val="00746F48"/>
    <w:rsid w:val="0075404D"/>
    <w:rsid w:val="0076182A"/>
    <w:rsid w:val="00767B7E"/>
    <w:rsid w:val="007770C3"/>
    <w:rsid w:val="00784D24"/>
    <w:rsid w:val="00785FBA"/>
    <w:rsid w:val="00786E4A"/>
    <w:rsid w:val="007875EB"/>
    <w:rsid w:val="0079426B"/>
    <w:rsid w:val="007D1682"/>
    <w:rsid w:val="007D312A"/>
    <w:rsid w:val="007D3F19"/>
    <w:rsid w:val="007E23B0"/>
    <w:rsid w:val="007E23E5"/>
    <w:rsid w:val="007F1991"/>
    <w:rsid w:val="007F2C2F"/>
    <w:rsid w:val="007F55FC"/>
    <w:rsid w:val="007F5665"/>
    <w:rsid w:val="00800112"/>
    <w:rsid w:val="00813102"/>
    <w:rsid w:val="00813348"/>
    <w:rsid w:val="008253BB"/>
    <w:rsid w:val="0083706E"/>
    <w:rsid w:val="008408F6"/>
    <w:rsid w:val="008423A5"/>
    <w:rsid w:val="00850625"/>
    <w:rsid w:val="00853718"/>
    <w:rsid w:val="00855221"/>
    <w:rsid w:val="00860645"/>
    <w:rsid w:val="00871F71"/>
    <w:rsid w:val="00872FD8"/>
    <w:rsid w:val="00885AF4"/>
    <w:rsid w:val="008939CD"/>
    <w:rsid w:val="008B768C"/>
    <w:rsid w:val="008C4DB1"/>
    <w:rsid w:val="008C4EAF"/>
    <w:rsid w:val="008C5176"/>
    <w:rsid w:val="008C7FD0"/>
    <w:rsid w:val="008C7FD8"/>
    <w:rsid w:val="008E1DE7"/>
    <w:rsid w:val="008E707C"/>
    <w:rsid w:val="00900B08"/>
    <w:rsid w:val="00902155"/>
    <w:rsid w:val="00902FA3"/>
    <w:rsid w:val="00923564"/>
    <w:rsid w:val="0092392E"/>
    <w:rsid w:val="009315F9"/>
    <w:rsid w:val="00933499"/>
    <w:rsid w:val="00935C98"/>
    <w:rsid w:val="00946945"/>
    <w:rsid w:val="00951248"/>
    <w:rsid w:val="0095152F"/>
    <w:rsid w:val="00954C49"/>
    <w:rsid w:val="00955E37"/>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22EB"/>
    <w:rsid w:val="00A45BB7"/>
    <w:rsid w:val="00A56DF2"/>
    <w:rsid w:val="00A56E6E"/>
    <w:rsid w:val="00A67AB5"/>
    <w:rsid w:val="00A733B2"/>
    <w:rsid w:val="00A741C2"/>
    <w:rsid w:val="00A91760"/>
    <w:rsid w:val="00A93B00"/>
    <w:rsid w:val="00A93C21"/>
    <w:rsid w:val="00AB64C9"/>
    <w:rsid w:val="00AC3C6A"/>
    <w:rsid w:val="00AD5620"/>
    <w:rsid w:val="00AD656B"/>
    <w:rsid w:val="00AD7C1B"/>
    <w:rsid w:val="00AE16BA"/>
    <w:rsid w:val="00AE1EBE"/>
    <w:rsid w:val="00B03C9D"/>
    <w:rsid w:val="00B060AE"/>
    <w:rsid w:val="00B10517"/>
    <w:rsid w:val="00B14E76"/>
    <w:rsid w:val="00B161B8"/>
    <w:rsid w:val="00B2048C"/>
    <w:rsid w:val="00B310B9"/>
    <w:rsid w:val="00B35F3F"/>
    <w:rsid w:val="00B36CBB"/>
    <w:rsid w:val="00B425E0"/>
    <w:rsid w:val="00B440AA"/>
    <w:rsid w:val="00B44B70"/>
    <w:rsid w:val="00B53C56"/>
    <w:rsid w:val="00B57DAF"/>
    <w:rsid w:val="00B77EA6"/>
    <w:rsid w:val="00B81598"/>
    <w:rsid w:val="00B841F1"/>
    <w:rsid w:val="00B944D6"/>
    <w:rsid w:val="00BB4DF0"/>
    <w:rsid w:val="00BC289F"/>
    <w:rsid w:val="00BC2D50"/>
    <w:rsid w:val="00BC5361"/>
    <w:rsid w:val="00BC5460"/>
    <w:rsid w:val="00BC6B50"/>
    <w:rsid w:val="00BD0E25"/>
    <w:rsid w:val="00BF5BD6"/>
    <w:rsid w:val="00C03E31"/>
    <w:rsid w:val="00C33E72"/>
    <w:rsid w:val="00C354B2"/>
    <w:rsid w:val="00C35554"/>
    <w:rsid w:val="00C42709"/>
    <w:rsid w:val="00C533CC"/>
    <w:rsid w:val="00C5751C"/>
    <w:rsid w:val="00C61BFC"/>
    <w:rsid w:val="00C62B85"/>
    <w:rsid w:val="00C65438"/>
    <w:rsid w:val="00C87FD8"/>
    <w:rsid w:val="00C91381"/>
    <w:rsid w:val="00C91CBB"/>
    <w:rsid w:val="00CB4E70"/>
    <w:rsid w:val="00CC09B6"/>
    <w:rsid w:val="00CC666F"/>
    <w:rsid w:val="00CD1E3F"/>
    <w:rsid w:val="00CE44F6"/>
    <w:rsid w:val="00CE49DA"/>
    <w:rsid w:val="00CE7B61"/>
    <w:rsid w:val="00D00095"/>
    <w:rsid w:val="00D114F0"/>
    <w:rsid w:val="00D20620"/>
    <w:rsid w:val="00D254F7"/>
    <w:rsid w:val="00D26091"/>
    <w:rsid w:val="00D2685C"/>
    <w:rsid w:val="00D31E6F"/>
    <w:rsid w:val="00D34E7C"/>
    <w:rsid w:val="00D35489"/>
    <w:rsid w:val="00D36AFE"/>
    <w:rsid w:val="00D51276"/>
    <w:rsid w:val="00D7035F"/>
    <w:rsid w:val="00DA634F"/>
    <w:rsid w:val="00DA65AC"/>
    <w:rsid w:val="00DB1913"/>
    <w:rsid w:val="00DC410D"/>
    <w:rsid w:val="00DC5A81"/>
    <w:rsid w:val="00DC68CA"/>
    <w:rsid w:val="00DC7CBA"/>
    <w:rsid w:val="00DD73B7"/>
    <w:rsid w:val="00DF28BC"/>
    <w:rsid w:val="00DF34B9"/>
    <w:rsid w:val="00E01053"/>
    <w:rsid w:val="00E07ACF"/>
    <w:rsid w:val="00E331A1"/>
    <w:rsid w:val="00E33202"/>
    <w:rsid w:val="00E336A9"/>
    <w:rsid w:val="00E472B1"/>
    <w:rsid w:val="00E50624"/>
    <w:rsid w:val="00E568DF"/>
    <w:rsid w:val="00E64269"/>
    <w:rsid w:val="00E82267"/>
    <w:rsid w:val="00E853CE"/>
    <w:rsid w:val="00E867B6"/>
    <w:rsid w:val="00EA010F"/>
    <w:rsid w:val="00ED1B63"/>
    <w:rsid w:val="00ED3C1F"/>
    <w:rsid w:val="00ED4085"/>
    <w:rsid w:val="00ED420E"/>
    <w:rsid w:val="00ED6FBE"/>
    <w:rsid w:val="00EE2F57"/>
    <w:rsid w:val="00EF4C34"/>
    <w:rsid w:val="00EF77C6"/>
    <w:rsid w:val="00F05438"/>
    <w:rsid w:val="00F1361C"/>
    <w:rsid w:val="00F156F0"/>
    <w:rsid w:val="00F160C7"/>
    <w:rsid w:val="00F2408F"/>
    <w:rsid w:val="00F240E9"/>
    <w:rsid w:val="00F36D8F"/>
    <w:rsid w:val="00F417B1"/>
    <w:rsid w:val="00F45853"/>
    <w:rsid w:val="00F602DF"/>
    <w:rsid w:val="00F754A1"/>
    <w:rsid w:val="00F81FD9"/>
    <w:rsid w:val="00F841AA"/>
    <w:rsid w:val="00F84A94"/>
    <w:rsid w:val="00F87E96"/>
    <w:rsid w:val="00FA23E8"/>
    <w:rsid w:val="00FD3CC1"/>
    <w:rsid w:val="00FF1E02"/>
    <w:rsid w:val="00FF30B4"/>
    <w:rsid w:val="03DC2831"/>
    <w:rsid w:val="081B5E94"/>
    <w:rsid w:val="0A2032A3"/>
    <w:rsid w:val="0B8A37D8"/>
    <w:rsid w:val="0C2D3BB8"/>
    <w:rsid w:val="0F5FFB2F"/>
    <w:rsid w:val="0FFFCF60"/>
    <w:rsid w:val="10C055FF"/>
    <w:rsid w:val="118107EC"/>
    <w:rsid w:val="11DD6519"/>
    <w:rsid w:val="16BB723D"/>
    <w:rsid w:val="18015F3F"/>
    <w:rsid w:val="19F23F40"/>
    <w:rsid w:val="1BE8440E"/>
    <w:rsid w:val="1D155CEE"/>
    <w:rsid w:val="1FDBBF84"/>
    <w:rsid w:val="20F57F95"/>
    <w:rsid w:val="240371BF"/>
    <w:rsid w:val="25711CC6"/>
    <w:rsid w:val="25C741E6"/>
    <w:rsid w:val="276F80C0"/>
    <w:rsid w:val="27842671"/>
    <w:rsid w:val="27C77C52"/>
    <w:rsid w:val="29FD04D3"/>
    <w:rsid w:val="2ABE7A3E"/>
    <w:rsid w:val="2AFF09B6"/>
    <w:rsid w:val="2CA234A8"/>
    <w:rsid w:val="2EFA178C"/>
    <w:rsid w:val="2EFDF86C"/>
    <w:rsid w:val="2F9D17E1"/>
    <w:rsid w:val="30B46D73"/>
    <w:rsid w:val="319F7F4E"/>
    <w:rsid w:val="356A28F1"/>
    <w:rsid w:val="357C035A"/>
    <w:rsid w:val="368E000D"/>
    <w:rsid w:val="383D272C"/>
    <w:rsid w:val="39AE70AB"/>
    <w:rsid w:val="3A4DCE41"/>
    <w:rsid w:val="3BCB56FA"/>
    <w:rsid w:val="3C0C0783"/>
    <w:rsid w:val="3EE7C2F4"/>
    <w:rsid w:val="3F371B56"/>
    <w:rsid w:val="3F792ED8"/>
    <w:rsid w:val="3F9F3A96"/>
    <w:rsid w:val="3FECA4B2"/>
    <w:rsid w:val="3FF58C48"/>
    <w:rsid w:val="42FF6694"/>
    <w:rsid w:val="48BF60AB"/>
    <w:rsid w:val="493C27E9"/>
    <w:rsid w:val="496F39ED"/>
    <w:rsid w:val="49FF41D3"/>
    <w:rsid w:val="4BE068DB"/>
    <w:rsid w:val="4BF6002B"/>
    <w:rsid w:val="4BFFC6BE"/>
    <w:rsid w:val="4ECE2238"/>
    <w:rsid w:val="51DB4B86"/>
    <w:rsid w:val="51F64DB0"/>
    <w:rsid w:val="55333C3E"/>
    <w:rsid w:val="5F67802D"/>
    <w:rsid w:val="5F7DC4F2"/>
    <w:rsid w:val="5FB36814"/>
    <w:rsid w:val="5FBB8E56"/>
    <w:rsid w:val="5FFB5535"/>
    <w:rsid w:val="64CA39A1"/>
    <w:rsid w:val="69630ADE"/>
    <w:rsid w:val="69BD5F13"/>
    <w:rsid w:val="69FB0B4B"/>
    <w:rsid w:val="6BFFE1FB"/>
    <w:rsid w:val="6C4A05C8"/>
    <w:rsid w:val="6D3B1A89"/>
    <w:rsid w:val="6DB7D8A3"/>
    <w:rsid w:val="6EC78701"/>
    <w:rsid w:val="6EC828CE"/>
    <w:rsid w:val="6F7A5481"/>
    <w:rsid w:val="6FFE07A9"/>
    <w:rsid w:val="71BF4EC2"/>
    <w:rsid w:val="72734D90"/>
    <w:rsid w:val="727C51FA"/>
    <w:rsid w:val="73E75B71"/>
    <w:rsid w:val="7412278C"/>
    <w:rsid w:val="75DDCDA9"/>
    <w:rsid w:val="75FF44B1"/>
    <w:rsid w:val="77670518"/>
    <w:rsid w:val="777FA627"/>
    <w:rsid w:val="77DF1B5F"/>
    <w:rsid w:val="77EF2D9D"/>
    <w:rsid w:val="79E7B28D"/>
    <w:rsid w:val="7ACFF0C2"/>
    <w:rsid w:val="7AFB9108"/>
    <w:rsid w:val="7B2E5971"/>
    <w:rsid w:val="7BD5340C"/>
    <w:rsid w:val="7BFB19D2"/>
    <w:rsid w:val="7BFD1750"/>
    <w:rsid w:val="7BFDAA1B"/>
    <w:rsid w:val="7CDF9A82"/>
    <w:rsid w:val="7CFFA1BD"/>
    <w:rsid w:val="7D2E3F7A"/>
    <w:rsid w:val="7DED9490"/>
    <w:rsid w:val="7DFF4872"/>
    <w:rsid w:val="7E7487E6"/>
    <w:rsid w:val="7E7C2A54"/>
    <w:rsid w:val="7EEEFD72"/>
    <w:rsid w:val="7F1D517C"/>
    <w:rsid w:val="7F5DA057"/>
    <w:rsid w:val="7F6C2237"/>
    <w:rsid w:val="7F7F319B"/>
    <w:rsid w:val="7F9F20EE"/>
    <w:rsid w:val="7FBBE890"/>
    <w:rsid w:val="7FBC2ABD"/>
    <w:rsid w:val="7FBF5D48"/>
    <w:rsid w:val="7FCCFC01"/>
    <w:rsid w:val="7FDD1748"/>
    <w:rsid w:val="7FE769C6"/>
    <w:rsid w:val="7FFD083E"/>
    <w:rsid w:val="7FFF9372"/>
    <w:rsid w:val="84BF1F3B"/>
    <w:rsid w:val="8F55B106"/>
    <w:rsid w:val="95DF317D"/>
    <w:rsid w:val="97E77C70"/>
    <w:rsid w:val="9E3A10E2"/>
    <w:rsid w:val="9FB91FBD"/>
    <w:rsid w:val="9FD54998"/>
    <w:rsid w:val="A671883B"/>
    <w:rsid w:val="A7EFD17F"/>
    <w:rsid w:val="A7FFE43F"/>
    <w:rsid w:val="BDFEA317"/>
    <w:rsid w:val="CD9BBABB"/>
    <w:rsid w:val="CF99F292"/>
    <w:rsid w:val="D5DA60B3"/>
    <w:rsid w:val="D7C6F579"/>
    <w:rsid w:val="D8FECA92"/>
    <w:rsid w:val="DAFFBE66"/>
    <w:rsid w:val="DD2C0BFE"/>
    <w:rsid w:val="DE3F332B"/>
    <w:rsid w:val="DE6F4A3D"/>
    <w:rsid w:val="DF69F8B0"/>
    <w:rsid w:val="DFC71555"/>
    <w:rsid w:val="DFFC559C"/>
    <w:rsid w:val="DFFEDFAE"/>
    <w:rsid w:val="DFFFB5EB"/>
    <w:rsid w:val="E4B33E57"/>
    <w:rsid w:val="E5BF946A"/>
    <w:rsid w:val="EB39BD45"/>
    <w:rsid w:val="EBCF1FC2"/>
    <w:rsid w:val="EBD18F66"/>
    <w:rsid w:val="ED17392C"/>
    <w:rsid w:val="ED9FFD9A"/>
    <w:rsid w:val="EDB7968B"/>
    <w:rsid w:val="EEF73F60"/>
    <w:rsid w:val="EFED9E42"/>
    <w:rsid w:val="EFFFB194"/>
    <w:rsid w:val="F2E1F9D4"/>
    <w:rsid w:val="F5FF7449"/>
    <w:rsid w:val="F7880819"/>
    <w:rsid w:val="F7AF180D"/>
    <w:rsid w:val="F7BDBFA7"/>
    <w:rsid w:val="F7FAD68F"/>
    <w:rsid w:val="F7FB14CF"/>
    <w:rsid w:val="FB3FC69C"/>
    <w:rsid w:val="FBDFF225"/>
    <w:rsid w:val="FBF7AB63"/>
    <w:rsid w:val="FC2F3373"/>
    <w:rsid w:val="FCF51535"/>
    <w:rsid w:val="FD77F6B8"/>
    <w:rsid w:val="FDD69328"/>
    <w:rsid w:val="FDDFEC0E"/>
    <w:rsid w:val="FDE58BDD"/>
    <w:rsid w:val="FDEC7001"/>
    <w:rsid w:val="FEDFE87F"/>
    <w:rsid w:val="FEF1D25B"/>
    <w:rsid w:val="FF3EF90F"/>
    <w:rsid w:val="FFAF6081"/>
    <w:rsid w:val="FFECCD8C"/>
    <w:rsid w:val="FFED60BD"/>
    <w:rsid w:val="FFEE08F0"/>
    <w:rsid w:val="FFEE7F9F"/>
    <w:rsid w:val="FFFF3197"/>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8"/>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9"/>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32"/>
    <w:unhideWhenUsed/>
    <w:qFormat/>
    <w:uiPriority w:val="9"/>
    <w:pPr>
      <w:keepNext/>
      <w:keepLines/>
      <w:spacing w:before="260" w:after="260" w:line="416" w:lineRule="auto"/>
      <w:outlineLvl w:val="2"/>
    </w:pPr>
    <w:rPr>
      <w:b/>
      <w:bCs/>
      <w:sz w:val="32"/>
      <w:szCs w:val="32"/>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5">
    <w:name w:val="Body Text"/>
    <w:basedOn w:val="1"/>
    <w:link w:val="25"/>
    <w:qFormat/>
    <w:uiPriority w:val="99"/>
    <w:pPr>
      <w:spacing w:beforeLines="30"/>
    </w:pPr>
    <w:rPr>
      <w:rFonts w:ascii="仿宋_GB2312" w:eastAsia="仿宋_GB2312"/>
      <w:kern w:val="0"/>
      <w:sz w:val="30"/>
    </w:rPr>
  </w:style>
  <w:style w:type="paragraph" w:styleId="6">
    <w:name w:val="Body Text Indent"/>
    <w:basedOn w:val="1"/>
    <w:qFormat/>
    <w:uiPriority w:val="0"/>
    <w:pPr>
      <w:spacing w:after="120"/>
      <w:ind w:left="200" w:leftChars="200"/>
    </w:pPr>
    <w:rPr>
      <w:rFonts w:ascii="仿宋_GB2312"/>
      <w:szCs w:val="32"/>
    </w:rPr>
  </w:style>
  <w:style w:type="paragraph" w:styleId="7">
    <w:name w:val="toc 3"/>
    <w:basedOn w:val="1"/>
    <w:next w:val="1"/>
    <w:unhideWhenUsed/>
    <w:qFormat/>
    <w:uiPriority w:val="39"/>
    <w:pPr>
      <w:tabs>
        <w:tab w:val="right" w:leader="dot" w:pos="8296"/>
      </w:tabs>
      <w:ind w:left="840" w:leftChars="400"/>
    </w:pPr>
  </w:style>
  <w:style w:type="paragraph" w:styleId="8">
    <w:name w:val="Balloon Text"/>
    <w:basedOn w:val="1"/>
    <w:link w:val="31"/>
    <w:semiHidden/>
    <w:unhideWhenUsed/>
    <w:qFormat/>
    <w:uiPriority w:val="99"/>
    <w:rPr>
      <w:sz w:val="18"/>
      <w:szCs w:val="18"/>
    </w:rPr>
  </w:style>
  <w:style w:type="paragraph" w:styleId="9">
    <w:name w:val="footer"/>
    <w:basedOn w:val="1"/>
    <w:link w:val="23"/>
    <w:qFormat/>
    <w:uiPriority w:val="99"/>
    <w:pPr>
      <w:tabs>
        <w:tab w:val="center" w:pos="4153"/>
        <w:tab w:val="right" w:pos="8306"/>
      </w:tabs>
      <w:snapToGrid w:val="0"/>
      <w:jc w:val="left"/>
    </w:pPr>
    <w:rPr>
      <w:rFonts w:ascii="Calibri" w:hAnsi="Calibri"/>
      <w:kern w:val="0"/>
      <w:sz w:val="18"/>
      <w:szCs w:val="18"/>
    </w:rPr>
  </w:style>
  <w:style w:type="paragraph" w:styleId="10">
    <w:name w:val="header"/>
    <w:basedOn w:val="1"/>
    <w:link w:val="21"/>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1">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2">
    <w:name w:val="toc 2"/>
    <w:basedOn w:val="1"/>
    <w:next w:val="1"/>
    <w:unhideWhenUsed/>
    <w:qFormat/>
    <w:uiPriority w:val="39"/>
    <w:pPr>
      <w:tabs>
        <w:tab w:val="right" w:leader="dot" w:pos="8296"/>
      </w:tabs>
      <w:ind w:left="420" w:leftChars="200"/>
    </w:pPr>
  </w:style>
  <w:style w:type="paragraph" w:styleId="13">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4">
    <w:name w:val="Body Text First Indent 2"/>
    <w:basedOn w:val="6"/>
    <w:unhideWhenUsed/>
    <w:qFormat/>
    <w:uiPriority w:val="99"/>
    <w:pPr>
      <w:ind w:firstLine="420" w:firstLineChars="200"/>
    </w:pPr>
  </w:style>
  <w:style w:type="character" w:styleId="17">
    <w:name w:val="Strong"/>
    <w:basedOn w:val="16"/>
    <w:qFormat/>
    <w:uiPriority w:val="99"/>
    <w:rPr>
      <w:b/>
    </w:rPr>
  </w:style>
  <w:style w:type="character" w:styleId="18">
    <w:name w:val="Hyperlink"/>
    <w:basedOn w:val="16"/>
    <w:unhideWhenUsed/>
    <w:qFormat/>
    <w:uiPriority w:val="99"/>
    <w:rPr>
      <w:color w:val="0000FF" w:themeColor="hyperlink"/>
      <w:u w:val="single"/>
      <w14:textFill>
        <w14:solidFill>
          <w14:schemeClr w14:val="hlink"/>
        </w14:solidFill>
      </w14:textFill>
    </w:rPr>
  </w:style>
  <w:style w:type="paragraph" w:customStyle="1" w:styleId="19">
    <w:name w:val="标题 5（有编号）（绿盟科技）"/>
    <w:next w:val="1"/>
    <w:qFormat/>
    <w:uiPriority w:val="99"/>
    <w:pPr>
      <w:keepNext/>
      <w:keepLines/>
      <w:widowControl w:val="0"/>
      <w:spacing w:before="280" w:after="156" w:line="377" w:lineRule="auto"/>
      <w:outlineLvl w:val="4"/>
    </w:pPr>
    <w:rPr>
      <w:rFonts w:ascii="Arial" w:hAnsi="Arial" w:eastAsia="黑体" w:cs="Times New Roman"/>
      <w:b/>
      <w:kern w:val="2"/>
      <w:sz w:val="24"/>
      <w:szCs w:val="28"/>
      <w:lang w:val="en-US" w:eastAsia="zh-CN" w:bidi="ar-SA"/>
    </w:rPr>
  </w:style>
  <w:style w:type="character" w:customStyle="1" w:styleId="20">
    <w:name w:val="Header Char"/>
    <w:basedOn w:val="16"/>
    <w:semiHidden/>
    <w:qFormat/>
    <w:uiPriority w:val="99"/>
    <w:rPr>
      <w:rFonts w:ascii="Times New Roman" w:hAnsi="Times New Roman"/>
      <w:sz w:val="18"/>
      <w:szCs w:val="18"/>
    </w:rPr>
  </w:style>
  <w:style w:type="character" w:customStyle="1" w:styleId="21">
    <w:name w:val="页眉 字符"/>
    <w:link w:val="10"/>
    <w:semiHidden/>
    <w:qFormat/>
    <w:locked/>
    <w:uiPriority w:val="99"/>
    <w:rPr>
      <w:sz w:val="18"/>
    </w:rPr>
  </w:style>
  <w:style w:type="character" w:customStyle="1" w:styleId="22">
    <w:name w:val="Footer Char"/>
    <w:basedOn w:val="16"/>
    <w:semiHidden/>
    <w:qFormat/>
    <w:uiPriority w:val="99"/>
    <w:rPr>
      <w:rFonts w:ascii="Times New Roman" w:hAnsi="Times New Roman"/>
      <w:sz w:val="18"/>
      <w:szCs w:val="18"/>
    </w:rPr>
  </w:style>
  <w:style w:type="character" w:customStyle="1" w:styleId="23">
    <w:name w:val="页脚 字符"/>
    <w:link w:val="9"/>
    <w:qFormat/>
    <w:locked/>
    <w:uiPriority w:val="99"/>
    <w:rPr>
      <w:sz w:val="18"/>
    </w:rPr>
  </w:style>
  <w:style w:type="character" w:customStyle="1" w:styleId="24">
    <w:name w:val="Body Text Char"/>
    <w:basedOn w:val="16"/>
    <w:semiHidden/>
    <w:qFormat/>
    <w:uiPriority w:val="99"/>
    <w:rPr>
      <w:rFonts w:ascii="Times New Roman" w:hAnsi="Times New Roman"/>
      <w:szCs w:val="24"/>
    </w:rPr>
  </w:style>
  <w:style w:type="character" w:customStyle="1" w:styleId="25">
    <w:name w:val="正文文本 字符"/>
    <w:link w:val="5"/>
    <w:qFormat/>
    <w:locked/>
    <w:uiPriority w:val="99"/>
    <w:rPr>
      <w:rFonts w:ascii="仿宋_GB2312" w:hAnsi="Times New Roman" w:eastAsia="仿宋_GB2312"/>
      <w:sz w:val="24"/>
    </w:rPr>
  </w:style>
  <w:style w:type="paragraph" w:customStyle="1" w:styleId="26">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27">
    <w:name w:val="List Paragraph"/>
    <w:basedOn w:val="1"/>
    <w:qFormat/>
    <w:uiPriority w:val="34"/>
    <w:pPr>
      <w:ind w:firstLine="420" w:firstLineChars="200"/>
    </w:pPr>
  </w:style>
  <w:style w:type="character" w:customStyle="1" w:styleId="28">
    <w:name w:val="标题 1 字符"/>
    <w:basedOn w:val="16"/>
    <w:link w:val="2"/>
    <w:qFormat/>
    <w:uiPriority w:val="9"/>
    <w:rPr>
      <w:rFonts w:ascii="Times New Roman" w:hAnsi="Times New Roman"/>
      <w:b/>
      <w:bCs/>
      <w:kern w:val="44"/>
      <w:sz w:val="44"/>
      <w:szCs w:val="44"/>
    </w:rPr>
  </w:style>
  <w:style w:type="character" w:customStyle="1" w:styleId="29">
    <w:name w:val="标题 2 字符"/>
    <w:basedOn w:val="16"/>
    <w:link w:val="3"/>
    <w:qFormat/>
    <w:uiPriority w:val="9"/>
    <w:rPr>
      <w:rFonts w:asciiTheme="majorHAnsi" w:hAnsiTheme="majorHAnsi" w:eastAsiaTheme="majorEastAsia" w:cstheme="majorBidi"/>
      <w:b/>
      <w:bCs/>
      <w:kern w:val="2"/>
      <w:sz w:val="32"/>
      <w:szCs w:val="32"/>
    </w:rPr>
  </w:style>
  <w:style w:type="paragraph" w:customStyle="1" w:styleId="30">
    <w:name w:val="TOC 标题1"/>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1">
    <w:name w:val="批注框文本 字符"/>
    <w:basedOn w:val="16"/>
    <w:link w:val="8"/>
    <w:semiHidden/>
    <w:qFormat/>
    <w:uiPriority w:val="99"/>
    <w:rPr>
      <w:rFonts w:ascii="Times New Roman" w:hAnsi="Times New Roman"/>
      <w:kern w:val="2"/>
      <w:sz w:val="18"/>
      <w:szCs w:val="18"/>
    </w:rPr>
  </w:style>
  <w:style w:type="character" w:customStyle="1" w:styleId="32">
    <w:name w:val="标题 3 字符"/>
    <w:basedOn w:val="16"/>
    <w:link w:val="4"/>
    <w:qFormat/>
    <w:uiPriority w:val="9"/>
    <w:rPr>
      <w:rFonts w:ascii="Times New Roman" w:hAnsi="Times New Roman"/>
      <w:b/>
      <w:bCs/>
      <w:kern w:val="2"/>
      <w:sz w:val="32"/>
      <w:szCs w:val="32"/>
    </w:rPr>
  </w:style>
  <w:style w:type="paragraph" w:customStyle="1" w:styleId="33">
    <w:name w:val="TOC 标题2"/>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34">
    <w:name w:val="普通(网站) Char"/>
    <w:basedOn w:val="1"/>
    <w:hidden/>
    <w:qFormat/>
    <w:uiPriority w:val="0"/>
    <w:pPr>
      <w:keepNext w:val="0"/>
      <w:keepLines w:val="0"/>
      <w:widowControl/>
      <w:suppressLineNumbers w:val="0"/>
      <w:spacing w:before="0" w:beforeAutospacing="1" w:after="0" w:afterAutospacing="1"/>
      <w:ind w:left="0" w:right="0"/>
      <w:jc w:val="left"/>
    </w:pPr>
    <w:rPr>
      <w:rFonts w:hint="eastAsia" w:ascii="宋体" w:hAnsi="宋体" w:eastAsia="宋体" w:cs="宋体"/>
      <w:kern w:val="0"/>
      <w:sz w:val="24"/>
      <w:szCs w:val="24"/>
      <w:lang w:val="en-US" w:eastAsia="zh-CN" w:bidi="ar"/>
    </w:rPr>
  </w:style>
  <w:style w:type="character" w:customStyle="1" w:styleId="35">
    <w:name w:val="16"/>
    <w:basedOn w:val="16"/>
    <w:uiPriority w:val="0"/>
    <w:rPr>
      <w:rFonts w:hint="default" w:ascii="Times New Roman" w:hAnsi="Times New Roman" w:cs="Times New Roman"/>
      <w:b/>
    </w:rPr>
  </w:style>
</w:styles>
</file>

<file path=word/_rels/document.xml.rels><?xml version="1.0" encoding="UTF-8" standalone="yes"?>
<Relationships xmlns="http://schemas.openxmlformats.org/package/2006/relationships"><Relationship Id="rId9" Type="http://schemas.openxmlformats.org/officeDocument/2006/relationships/chart" Target="charts/chart2.xml"/><Relationship Id="rId8" Type="http://schemas.openxmlformats.org/officeDocument/2006/relationships/chart" Target="charts/chart1.xml"/><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chart" Target="charts/chart5.xml"/><Relationship Id="rId13" Type="http://schemas.openxmlformats.org/officeDocument/2006/relationships/chart" Target="charts/chart4.xml"/><Relationship Id="rId12" Type="http://schemas.openxmlformats.org/officeDocument/2006/relationships/chart" Target="charts/chart3.xml"/><Relationship Id="rId11" Type="http://schemas.openxmlformats.org/officeDocument/2006/relationships/image" Target="media/image2.emf"/><Relationship Id="rId10" Type="http://schemas.openxmlformats.org/officeDocument/2006/relationships/oleObject" Target="embeddings/oleObject2.bin"/><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1.xlsx"/></Relationships>
</file>

<file path=word/charts/_rels/chart2.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package" Target="../embeddings/Workbook4.xlsx"/></Relationships>
</file>

<file path=word/charts/_rels/chart3.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package" Target="../embeddings/Workbook5.xlsx"/></Relationships>
</file>

<file path=word/charts/_rels/chart4.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package" Target="../embeddings/Workbook2.xlsx"/></Relationships>
</file>

<file path=word/charts/_rels/chart5.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package" Target="../embeddings/Workbook3.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0" vertOverflow="ellipsis" vert="horz" wrap="square" anchor="ctr" anchorCtr="1"/>
        <a:lstStyle/>
        <a:p>
          <a:pPr>
            <a:defRPr lang="zh-CN" sz="1400" b="1" i="0" u="none" strike="noStrike" kern="1200" baseline="0">
              <a:solidFill>
                <a:schemeClr val="tx1">
                  <a:lumMod val="75000"/>
                  <a:lumOff val="25000"/>
                </a:schemeClr>
              </a:solidFill>
              <a:latin typeface="+mn-lt"/>
              <a:ea typeface="+mn-ea"/>
              <a:cs typeface="+mn-cs"/>
            </a:defRPr>
          </a:pPr>
        </a:p>
      </c:txPr>
    </c:title>
    <c:autoTitleDeleted val="0"/>
    <c:plotArea>
      <c:layout/>
      <c:pieChart>
        <c:varyColors val="1"/>
        <c:ser>
          <c:idx val="0"/>
          <c:order val="0"/>
          <c:tx>
            <c:strRef>
              <c:f>Sheet1!$B$1</c:f>
              <c:strCache>
                <c:ptCount val="1"/>
                <c:pt idx="0">
                  <c:v>收入决算数</c:v>
                </c:pt>
              </c:strCache>
            </c:strRef>
          </c:tx>
          <c:spPr/>
          <c:explosion val="0"/>
          <c:dPt>
            <c:idx val="0"/>
            <c:bubble3D val="0"/>
            <c:spPr>
              <a:solidFill>
                <a:schemeClr val="accent1"/>
              </a:solidFill>
              <a:ln>
                <a:solidFill>
                  <a:schemeClr val="bg1"/>
                </a:solidFill>
              </a:ln>
              <a:effectLst/>
            </c:spPr>
          </c:dPt>
          <c:dLbls>
            <c:dLbl>
              <c:idx val="0"/>
              <c:layout/>
              <c:dLblPos val="bestFi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bestFit"/>
            <c:showLegendKey val="0"/>
            <c:showVal val="0"/>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c:f>
              <c:strCache>
                <c:ptCount val="1"/>
                <c:pt idx="0">
                  <c:v>一般公共预算财政拨款收入</c:v>
                </c:pt>
              </c:strCache>
            </c:strRef>
          </c:cat>
          <c:val>
            <c:numRef>
              <c:f>Sheet1!$B$2</c:f>
              <c:numCache>
                <c:formatCode>General</c:formatCode>
                <c:ptCount val="1"/>
                <c:pt idx="0">
                  <c:v>2753.85</c:v>
                </c:pt>
              </c:numCache>
            </c:numRef>
          </c:val>
        </c:ser>
        <c:dLbls>
          <c:showLegendKey val="0"/>
          <c:showVal val="0"/>
          <c:showCatName val="0"/>
          <c:showSerName val="0"/>
          <c:showPercent val="0"/>
          <c:showBubbleSize val="0"/>
          <c:showLeaderLines val="1"/>
        </c:dLbls>
        <c:firstSliceAng val="0"/>
      </c:pieChart>
      <c:spPr>
        <a:noFill/>
        <a:ln>
          <a:noFill/>
        </a:ln>
        <a:effectLst/>
      </c:spPr>
    </c:plotArea>
    <c:legend>
      <c:legendPos val="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tx1">
                    <a:lumMod val="75000"/>
                    <a:lumOff val="25000"/>
                  </a:schemeClr>
                </a:solidFill>
                <a:latin typeface="+mn-lt"/>
                <a:ea typeface="+mn-ea"/>
                <a:cs typeface="+mn-cs"/>
              </a:defRPr>
            </a:pPr>
            <a:r>
              <a:t>支出决算数</a:t>
            </a:r>
          </a:p>
        </c:rich>
      </c:tx>
      <c:layout/>
      <c:overlay val="0"/>
      <c:spPr>
        <a:noFill/>
        <a:ln>
          <a:noFill/>
        </a:ln>
        <a:effectLst/>
      </c:spPr>
    </c:title>
    <c:autoTitleDeleted val="0"/>
    <c:plotArea>
      <c:layout/>
      <c:pieChart>
        <c:varyColors val="1"/>
        <c:ser>
          <c:idx val="0"/>
          <c:order val="0"/>
          <c:tx>
            <c:strRef>
              <c:f>Sheet1!$B$1</c:f>
              <c:strCache>
                <c:ptCount val="1"/>
                <c:pt idx="0">
                  <c:v>支出决算数</c:v>
                </c:pt>
              </c:strCache>
            </c:strRef>
          </c:tx>
          <c:spPr/>
          <c:explosion val="0"/>
          <c:dPt>
            <c:idx val="0"/>
            <c:bubble3D val="0"/>
            <c:spPr>
              <a:solidFill>
                <a:schemeClr val="accent1"/>
              </a:solidFill>
              <a:ln>
                <a:solidFill>
                  <a:schemeClr val="bg1"/>
                </a:solidFill>
              </a:ln>
              <a:effectLst/>
            </c:spPr>
          </c:dPt>
          <c:dPt>
            <c:idx val="1"/>
            <c:bubble3D val="0"/>
            <c:spPr>
              <a:solidFill>
                <a:schemeClr val="accent2"/>
              </a:solidFill>
              <a:ln>
                <a:solidFill>
                  <a:schemeClr val="bg1"/>
                </a:solidFill>
              </a:ln>
              <a:effectLst/>
            </c:spPr>
          </c:dPt>
          <c:dLbls>
            <c:dLbl>
              <c:idx val="0"/>
              <c:layout/>
              <c:spPr>
                <a:noFill/>
                <a:ln>
                  <a:noFill/>
                </a:ln>
                <a:effectLst/>
              </c:spPr>
              <c:txPr>
                <a:bodyPr rot="0" spcFirstLastPara="0" vertOverflow="ellipsis" vert="horz" wrap="square" lIns="38100" tIns="19050" rIns="38100" bIns="19050" anchor="ctr" anchorCtr="1"/>
                <a:lstStyle/>
                <a:p>
                  <a:pPr>
                    <a:defRPr lang="zh-CN" sz="1000" b="1" i="0" u="none" strike="noStrike" kern="1200" spc="0" baseline="0">
                      <a:solidFill>
                        <a:schemeClr val="accent1"/>
                      </a:solidFill>
                      <a:latin typeface="+mn-lt"/>
                      <a:ea typeface="+mn-ea"/>
                      <a:cs typeface="+mn-cs"/>
                    </a:defRPr>
                  </a:pPr>
                </a:p>
              </c:txPr>
              <c:dLblPos val="outEnd"/>
              <c:showLegendKey val="0"/>
              <c:showVal val="1"/>
              <c:showCatName val="0"/>
              <c:showSerName val="0"/>
              <c:showPercent val="0"/>
              <c:showBubbleSize val="0"/>
              <c:extLst>
                <c:ext xmlns:c15="http://schemas.microsoft.com/office/drawing/2012/chart" uri="{CE6537A1-D6FC-4f65-9D91-7224C49458BB}"/>
              </c:extLst>
            </c:dLbl>
            <c:dLbl>
              <c:idx val="1"/>
              <c:layout/>
              <c:spPr>
                <a:noFill/>
                <a:ln>
                  <a:noFill/>
                </a:ln>
                <a:effectLst/>
              </c:spPr>
              <c:txPr>
                <a:bodyPr rot="0" spcFirstLastPara="0" vertOverflow="ellipsis" vert="horz" wrap="square" lIns="38100" tIns="19050" rIns="38100" bIns="19050" anchor="ctr" anchorCtr="1"/>
                <a:lstStyle/>
                <a:p>
                  <a:pPr>
                    <a:defRPr lang="zh-CN" sz="1000" b="1" i="0" u="none" strike="noStrike" kern="1200" spc="0" baseline="0">
                      <a:solidFill>
                        <a:schemeClr val="accent2"/>
                      </a:solidFill>
                      <a:latin typeface="+mn-lt"/>
                      <a:ea typeface="+mn-ea"/>
                      <a:cs typeface="+mn-cs"/>
                    </a:defRPr>
                  </a:pPr>
                </a:p>
              </c:txPr>
              <c:dLblPos val="outEnd"/>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0" vertOverflow="ellipsis" vert="horz" wrap="square" lIns="38100" tIns="19050" rIns="38100" bIns="19050" anchor="ctr" anchorCtr="1"/>
              <a:lstStyle/>
              <a:p>
                <a:pPr>
                  <a:defRPr lang="zh-CN" sz="1000" b="1" i="0" u="none" strike="noStrike" kern="1200" spc="0" baseline="0">
                    <a:solidFill>
                      <a:schemeClr val="accent1"/>
                    </a:solidFill>
                    <a:latin typeface="+mn-lt"/>
                    <a:ea typeface="+mn-ea"/>
                    <a:cs typeface="+mn-cs"/>
                  </a:defRPr>
                </a:pPr>
              </a:p>
            </c:txPr>
            <c:dLblPos val="outEnd"/>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基本支出</c:v>
                </c:pt>
                <c:pt idx="1">
                  <c:v>项目支出</c:v>
                </c:pt>
              </c:strCache>
            </c:strRef>
          </c:cat>
          <c:val>
            <c:numRef>
              <c:f>Sheet1!$B$2:$B$3</c:f>
              <c:numCache>
                <c:formatCode>General</c:formatCode>
                <c:ptCount val="2"/>
                <c:pt idx="0">
                  <c:v>2179.11</c:v>
                </c:pt>
                <c:pt idx="1">
                  <c:v>574.74</c:v>
                </c:pt>
              </c:numCache>
            </c:numRef>
          </c:val>
        </c:ser>
        <c:dLbls>
          <c:showLegendKey val="0"/>
          <c:showVal val="0"/>
          <c:showCatName val="1"/>
          <c:showSerName val="0"/>
          <c:showPercent val="0"/>
          <c:showBubbleSize val="0"/>
          <c:showLeaderLines val="1"/>
        </c:dLbls>
        <c:firstSliceAng val="0"/>
      </c:pieChart>
      <c:spPr>
        <a:noFill/>
        <a:ln>
          <a:noFill/>
        </a:ln>
        <a:effectLst/>
      </c:spPr>
    </c:plotArea>
    <c:legend>
      <c:legendPos val="r"/>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tx1">
                    <a:lumMod val="75000"/>
                    <a:lumOff val="25000"/>
                  </a:schemeClr>
                </a:solidFill>
                <a:latin typeface="+mn-lt"/>
                <a:ea typeface="+mn-ea"/>
                <a:cs typeface="+mn-cs"/>
              </a:defRPr>
            </a:pPr>
            <a:r>
              <a:t>一般公共预算财政拨支出</a:t>
            </a:r>
          </a:p>
        </c:rich>
      </c:tx>
      <c:layout/>
      <c:overlay val="0"/>
      <c:spPr>
        <a:noFill/>
        <a:ln>
          <a:noFill/>
        </a:ln>
        <a:effectLst/>
      </c:spPr>
    </c:title>
    <c:autoTitleDeleted val="0"/>
    <c:plotArea>
      <c:layout/>
      <c:barChart>
        <c:barDir val="col"/>
        <c:grouping val="clustered"/>
        <c:varyColors val="0"/>
        <c:ser>
          <c:idx val="0"/>
          <c:order val="0"/>
          <c:tx>
            <c:strRef>
              <c:f>Sheet1!$B$1</c:f>
              <c:strCache>
                <c:ptCount val="1"/>
                <c:pt idx="0">
                  <c:v>一般公共预算财政拨款支出</c:v>
                </c:pt>
              </c:strCache>
            </c:strRef>
          </c:tx>
          <c:spPr>
            <a:solidFill>
              <a:schemeClr val="accent1"/>
            </a:solidFill>
            <a:ln>
              <a:noFill/>
            </a:ln>
            <a:effectLst/>
          </c:spPr>
          <c:invertIfNegative val="0"/>
          <c:dLbls>
            <c:delete val="1"/>
          </c:dLbls>
          <c:cat>
            <c:strRef>
              <c:f>Sheet1!$A$2:$A$3</c:f>
              <c:strCache>
                <c:ptCount val="2"/>
                <c:pt idx="0">
                  <c:v>2022年</c:v>
                </c:pt>
                <c:pt idx="1">
                  <c:v>2023年</c:v>
                </c:pt>
              </c:strCache>
            </c:strRef>
          </c:cat>
          <c:val>
            <c:numRef>
              <c:f>Sheet1!$B$2:$B$3</c:f>
              <c:numCache>
                <c:formatCode>General</c:formatCode>
                <c:ptCount val="2"/>
                <c:pt idx="0">
                  <c:v>2491.31</c:v>
                </c:pt>
                <c:pt idx="1">
                  <c:v>2753.85</c:v>
                </c:pt>
              </c:numCache>
            </c:numRef>
          </c:val>
        </c:ser>
        <c:ser>
          <c:idx val="1"/>
          <c:order val="1"/>
          <c:tx>
            <c:strRef>
              <c:f>Sheet1!#REF!</c:f>
              <c:strCache>
                <c:ptCount val="1"/>
                <c:pt idx="0">
                  <c:v/>
                </c:pt>
              </c:strCache>
            </c:strRef>
          </c:tx>
          <c:spPr>
            <a:solidFill>
              <a:schemeClr val="accent2"/>
            </a:solidFill>
            <a:ln>
              <a:noFill/>
            </a:ln>
            <a:effectLst/>
          </c:spPr>
          <c:invertIfNegative val="0"/>
          <c:dLbls>
            <c:delete val="1"/>
          </c:dLbls>
          <c:cat>
            <c:strRef>
              <c:f>Sheet1!$A$2:$A$3</c:f>
              <c:strCache>
                <c:ptCount val="2"/>
                <c:pt idx="0">
                  <c:v>2022年</c:v>
                </c:pt>
                <c:pt idx="1">
                  <c:v>2023年</c:v>
                </c:pt>
              </c:strCache>
            </c:strRef>
          </c:cat>
          <c:val>
            <c:numRef>
              <c:f>Sheet1!#REF!</c:f>
              <c:numCache>
                <c:formatCode>General</c:formatCode>
                <c:ptCount val="1"/>
                <c:pt idx="0">
                  <c:v>1</c:v>
                </c:pt>
              </c:numCache>
            </c:numRef>
          </c:val>
        </c:ser>
        <c:ser>
          <c:idx val="2"/>
          <c:order val="2"/>
          <c:tx>
            <c:strRef>
              <c:f>Sheet1!#REF!</c:f>
              <c:strCache>
                <c:ptCount val="1"/>
                <c:pt idx="0">
                  <c:v/>
                </c:pt>
              </c:strCache>
            </c:strRef>
          </c:tx>
          <c:spPr>
            <a:solidFill>
              <a:schemeClr val="accent3"/>
            </a:solidFill>
            <a:ln>
              <a:noFill/>
            </a:ln>
            <a:effectLst/>
          </c:spPr>
          <c:invertIfNegative val="0"/>
          <c:dLbls>
            <c:delete val="1"/>
          </c:dLbls>
          <c:cat>
            <c:strRef>
              <c:f>Sheet1!$A$2:$A$3</c:f>
              <c:strCache>
                <c:ptCount val="2"/>
                <c:pt idx="0">
                  <c:v>2022年</c:v>
                </c:pt>
                <c:pt idx="1">
                  <c:v>2023年</c:v>
                </c:pt>
              </c:strCache>
            </c:strRef>
          </c:cat>
          <c:val>
            <c:numRef>
              <c:f>Sheet1!#REF!</c:f>
              <c:numCache>
                <c:formatCode>General</c:formatCode>
                <c:ptCount val="1"/>
                <c:pt idx="0">
                  <c:v>1</c:v>
                </c:pt>
              </c:numCache>
            </c:numRef>
          </c:val>
        </c:ser>
        <c:dLbls>
          <c:showLegendKey val="0"/>
          <c:showVal val="0"/>
          <c:showCatName val="0"/>
          <c:showSerName val="0"/>
          <c:showPercent val="0"/>
          <c:showBubbleSize val="0"/>
        </c:dLbls>
        <c:gapWidth val="246"/>
        <c:overlap val="-28"/>
        <c:axId val="915293473"/>
        <c:axId val="197903951"/>
      </c:barChart>
      <c:catAx>
        <c:axId val="915293473"/>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97903951"/>
        <c:crosses val="autoZero"/>
        <c:auto val="1"/>
        <c:lblAlgn val="ctr"/>
        <c:lblOffset val="100"/>
        <c:noMultiLvlLbl val="0"/>
      </c:catAx>
      <c:valAx>
        <c:axId val="197903951"/>
        <c:scaling>
          <c:orientation val="minMax"/>
        </c:scaling>
        <c:delete val="0"/>
        <c:axPos val="l"/>
        <c:majorGridlines>
          <c:spPr>
            <a:ln w="9525" cap="flat" cmpd="sng" algn="ctr">
              <a:solidFill>
                <a:schemeClr val="lt1">
                  <a:lumMod val="902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915293473"/>
        <c:crosses val="autoZero"/>
        <c:crossBetween val="between"/>
      </c:valAx>
      <c:spPr>
        <a:noFill/>
        <a:ln>
          <a:noFill/>
        </a:ln>
        <a:effectLst/>
      </c:spPr>
    </c:plotArea>
    <c:legend>
      <c:legendPos val="b"/>
      <c:legendEntry>
        <c:idx val="1"/>
        <c:delete val="1"/>
      </c:legendEntry>
      <c:legendEntry>
        <c:idx val="2"/>
        <c:delete val="1"/>
      </c:legendEntry>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0" vertOverflow="ellipsis" vert="horz" wrap="square" anchor="ctr" anchorCtr="1"/>
        <a:lstStyle/>
        <a:p>
          <a:pPr>
            <a:defRPr lang="zh-CN" sz="1400" b="1" i="0" u="none" strike="noStrike" kern="1200" baseline="0">
              <a:solidFill>
                <a:schemeClr val="tx1">
                  <a:lumMod val="75000"/>
                  <a:lumOff val="25000"/>
                </a:schemeClr>
              </a:solidFill>
              <a:latin typeface="+mn-lt"/>
              <a:ea typeface="+mn-ea"/>
              <a:cs typeface="+mn-cs"/>
            </a:defRPr>
          </a:pPr>
        </a:p>
      </c:txPr>
    </c:title>
    <c:autoTitleDeleted val="0"/>
    <c:plotArea>
      <c:layout/>
      <c:pieChart>
        <c:varyColors val="1"/>
        <c:ser>
          <c:idx val="0"/>
          <c:order val="0"/>
          <c:tx>
            <c:strRef>
              <c:f>Sheet1!$B$1</c:f>
              <c:strCache>
                <c:ptCount val="1"/>
                <c:pt idx="0">
                  <c:v>一般公共预算财政拨款支出</c:v>
                </c:pt>
              </c:strCache>
            </c:strRef>
          </c:tx>
          <c:spPr/>
          <c:explosion val="0"/>
          <c:dPt>
            <c:idx val="0"/>
            <c:bubble3D val="0"/>
            <c:spPr>
              <a:solidFill>
                <a:schemeClr val="accent1"/>
              </a:solidFill>
              <a:ln>
                <a:solidFill>
                  <a:schemeClr val="bg1"/>
                </a:solidFill>
              </a:ln>
              <a:effectLst/>
            </c:spPr>
          </c:dPt>
          <c:dPt>
            <c:idx val="1"/>
            <c:bubble3D val="0"/>
            <c:spPr>
              <a:solidFill>
                <a:schemeClr val="accent2"/>
              </a:solidFill>
              <a:ln>
                <a:solidFill>
                  <a:schemeClr val="bg1"/>
                </a:solidFill>
              </a:ln>
              <a:effectLst/>
            </c:spPr>
          </c:dPt>
          <c:dPt>
            <c:idx val="2"/>
            <c:bubble3D val="0"/>
            <c:spPr>
              <a:solidFill>
                <a:schemeClr val="accent3"/>
              </a:solidFill>
              <a:ln>
                <a:solidFill>
                  <a:schemeClr val="bg1"/>
                </a:solidFill>
              </a:ln>
              <a:effectLst/>
            </c:spPr>
          </c:dPt>
          <c:dPt>
            <c:idx val="3"/>
            <c:bubble3D val="0"/>
            <c:spPr>
              <a:solidFill>
                <a:schemeClr val="accent4"/>
              </a:solidFill>
              <a:ln>
                <a:solidFill>
                  <a:schemeClr val="bg1"/>
                </a:solidFill>
              </a:ln>
              <a:effectLst/>
            </c:spPr>
          </c:dPt>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Sheet1!$A$2:$A$5</c:f>
              <c:strCache>
                <c:ptCount val="4"/>
                <c:pt idx="0">
                  <c:v>一般公共服务支出</c:v>
                </c:pt>
                <c:pt idx="1">
                  <c:v>社会保障和就业支出</c:v>
                </c:pt>
                <c:pt idx="2">
                  <c:v>卫生健康支出</c:v>
                </c:pt>
                <c:pt idx="3">
                  <c:v>住房保障支出</c:v>
                </c:pt>
              </c:strCache>
            </c:strRef>
          </c:cat>
          <c:val>
            <c:numRef>
              <c:f>Sheet1!$B$2:$B$5</c:f>
              <c:numCache>
                <c:formatCode>General</c:formatCode>
                <c:ptCount val="4"/>
                <c:pt idx="0">
                  <c:v>2266.16</c:v>
                </c:pt>
                <c:pt idx="1">
                  <c:v>254.52</c:v>
                </c:pt>
                <c:pt idx="2">
                  <c:v>87.51</c:v>
                </c:pt>
                <c:pt idx="3">
                  <c:v>145.66</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0" vertOverflow="ellipsis" vert="horz" wrap="square" anchor="ctr" anchorCtr="1"/>
        <a:lstStyle/>
        <a:p>
          <a:pPr>
            <a:defRPr lang="zh-CN" sz="1400" b="1" i="0" u="none" strike="noStrike" kern="1200" baseline="0">
              <a:solidFill>
                <a:schemeClr val="tx1">
                  <a:lumMod val="75000"/>
                  <a:lumOff val="25000"/>
                </a:schemeClr>
              </a:solidFill>
              <a:latin typeface="+mn-lt"/>
              <a:ea typeface="+mn-ea"/>
              <a:cs typeface="+mn-cs"/>
            </a:defRPr>
          </a:pPr>
        </a:p>
      </c:txPr>
    </c:title>
    <c:autoTitleDeleted val="0"/>
    <c:plotArea>
      <c:layout/>
      <c:pieChart>
        <c:varyColors val="1"/>
        <c:ser>
          <c:idx val="0"/>
          <c:order val="0"/>
          <c:tx>
            <c:strRef>
              <c:f>Sheet1!$B$1</c:f>
              <c:strCache>
                <c:ptCount val="1"/>
                <c:pt idx="0">
                  <c:v>三公经费</c:v>
                </c:pt>
              </c:strCache>
            </c:strRef>
          </c:tx>
          <c:spPr/>
          <c:explosion val="0"/>
          <c:dPt>
            <c:idx val="0"/>
            <c:bubble3D val="0"/>
            <c:spPr>
              <a:solidFill>
                <a:schemeClr val="accent1"/>
              </a:solidFill>
              <a:ln>
                <a:solidFill>
                  <a:schemeClr val="bg1"/>
                </a:solidFill>
              </a:ln>
              <a:effectLst/>
            </c:spPr>
          </c:dPt>
          <c:dLbls>
            <c:delete val="1"/>
          </c:dLbls>
          <c:cat>
            <c:strRef>
              <c:f>Sheet1!$A$2</c:f>
              <c:strCache>
                <c:ptCount val="1"/>
                <c:pt idx="0">
                  <c:v>公务用车运行维护费</c:v>
                </c:pt>
              </c:strCache>
            </c:strRef>
          </c:cat>
          <c:val>
            <c:numRef>
              <c:f>Sheet1!$B$2</c:f>
              <c:numCache>
                <c:formatCode>General</c:formatCode>
                <c:ptCount val="1"/>
                <c:pt idx="0">
                  <c:v>83.68</c:v>
                </c:pt>
              </c:numCache>
            </c:numRef>
          </c:val>
        </c:ser>
        <c:dLbls>
          <c:showLegendKey val="0"/>
          <c:showVal val="0"/>
          <c:showCatName val="0"/>
          <c:showSerName val="0"/>
          <c:showPercent val="0"/>
          <c:showBubbleSize val="0"/>
          <c:showLeaderLines val="1"/>
        </c:dLbls>
        <c:firstSliceAng val="0"/>
      </c:pieChart>
      <c:spPr>
        <a:noFill/>
        <a:ln>
          <a:noFill/>
        </a:ln>
        <a:effectLst/>
      </c:spPr>
    </c:plotArea>
    <c:legend>
      <c:legendPos val="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10084">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cs:styleClr val="auto"/>
    </cs:fontRef>
    <cs:defRPr sz="1000" b="1" i="0" u="none" strike="noStrike" kern="1200" spc="0" baseline="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100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四川省财政厅</Company>
  <Pages>22</Pages>
  <Words>6530</Words>
  <Characters>7013</Characters>
  <Lines>54</Lines>
  <Paragraphs>15</Paragraphs>
  <TotalTime>7</TotalTime>
  <ScaleCrop>false</ScaleCrop>
  <LinksUpToDate>false</LinksUpToDate>
  <CharactersWithSpaces>7038</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2020-08-08T01:49:00Z</dcterms:created>
  <dc:creator>曹颖</dc:creator>
  <cp:lastModifiedBy>FAAH</cp:lastModifiedBy>
  <cp:lastPrinted>2023-08-03T02:35:00Z</cp:lastPrinted>
  <dcterms:modified xsi:type="dcterms:W3CDTF">2024-09-10T02:59:47Z</dcterms:modified>
  <dc:title>四川省***</dc:title>
  <cp:revision>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D8369BB0256D4DE5B10E1B56B9689BF6_13</vt:lpwstr>
  </property>
</Properties>
</file>