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keepNext w:val="0"/>
        <w:keepLines w:val="0"/>
        <w:pageBreakBefore w:val="0"/>
        <w:widowControl w:val="0"/>
        <w:suppressLineNumbers w:val="0"/>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560" w:lineRule="exact"/>
        <w:ind w:left="0"/>
        <w:jc w:val="center"/>
        <w:textAlignment w:val="auto"/>
        <w:rPr>
          <w:rFonts w:ascii="Times New Roman" w:eastAsia="方正小标宋简体" w:cs="Times New Roman" w:hAnsi="Times New Roman"/>
          <w:bCs/>
          <w:spacing w:val="0"/>
          <w:sz w:val="44"/>
          <w:szCs w:val="44"/>
          <w:lang w:eastAsia="zh-CN"/>
          <w:highlight w:val="yellow"/>
        </w:rPr>
      </w:pPr>
      <w:r>
        <w:rPr>
          <w:rFonts w:ascii="Times New Roman" w:eastAsia="方正小标宋简体" w:cs="Times New Roman" w:hAnsi="Times New Roman"/>
          <w:bCs/>
          <w:spacing w:val="0"/>
          <w:sz w:val="44"/>
          <w:szCs w:val="44"/>
          <w:lang w:val="en-US" w:eastAsia="zh-CN"/>
        </w:rPr>
        <w:t>关于阿坝藏族羌族自治州2025年州级决算和2026年上半年预算执行情况的报告</w:t>
      </w:r>
    </w:p>
    <w:p>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jc w:val="center"/>
        <w:textAlignment w:val="auto"/>
        <w:rPr>
          <w:rFonts w:ascii="Times New Roman" w:eastAsia="楷体_GB2312" w:cs="Times New Roman" w:hAnsi="Times New Roman"/>
          <w:b/>
          <w:bCs w:val="0"/>
          <w:spacing w:val="0"/>
          <w:sz w:val="32"/>
          <w:szCs w:val="32"/>
          <w:lang w:eastAsia="zh-CN"/>
        </w:rPr>
      </w:pPr>
      <w:r>
        <w:rPr>
          <w:rFonts w:ascii="Times New Roman" w:eastAsia="楷体_GB2312" w:cs="Times New Roman" w:hAnsi="Times New Roman"/>
          <w:b/>
          <w:bCs w:val="0"/>
          <w:spacing w:val="0"/>
          <w:sz w:val="32"/>
          <w:szCs w:val="32"/>
          <w:lang w:eastAsia="zh-CN"/>
        </w:rPr>
        <w:t>2026年8月26日在州十三届人大常委会第三十八次会议上</w:t>
      </w:r>
    </w:p>
    <w:p>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jc w:val="center"/>
        <w:textAlignment w:val="auto"/>
        <w:rPr>
          <w:rFonts w:ascii="Times New Roman" w:eastAsia="楷体_GB2312" w:cs="Times New Roman" w:hAnsi="Times New Roman"/>
          <w:b/>
          <w:bCs w:val="0"/>
          <w:spacing w:val="0"/>
          <w:sz w:val="32"/>
          <w:szCs w:val="32"/>
          <w:lang w:eastAsia="zh-CN"/>
        </w:rPr>
      </w:pPr>
      <w:r>
        <w:rPr>
          <w:rFonts w:ascii="Times New Roman" w:eastAsia="楷体_GB2312" w:cs="Times New Roman" w:hAnsi="Times New Roman"/>
          <w:b/>
          <w:bCs w:val="0"/>
          <w:spacing w:val="0"/>
          <w:sz w:val="32"/>
          <w:szCs w:val="32"/>
          <w:lang w:eastAsia="zh-CN"/>
        </w:rPr>
        <w:t>州财政局局长  益西降措</w:t>
      </w:r>
    </w:p>
    <w:p>
      <w:pPr>
        <w:keepNext w:val="0"/>
        <w:keepLines w:val="0"/>
        <w:pageBreakBefore w:val="0"/>
        <w:widowControl w:val="0"/>
        <w:kinsoku/>
        <w:wordWrap/>
        <w:overflowPunct/>
        <w:topLinePunct w:val="0"/>
        <w:autoSpaceDE/>
        <w:autoSpaceDN/>
        <w:bidi w:val="0"/>
        <w:adjustRightInd/>
        <w:snapToGrid/>
        <w:spacing w:line="560" w:lineRule="exact"/>
        <w:ind w:left="0"/>
        <w:jc w:val="both"/>
        <w:textAlignment w:val="auto"/>
        <w:rPr>
          <w:rFonts w:ascii="Times New Roman" w:eastAsia="方正小标宋简体" w:cs="Times New Roman" w:hAnsi="Times New Roman"/>
          <w:bCs/>
          <w:spacing w:val="0"/>
          <w:sz w:val="44"/>
          <w:szCs w:val="44"/>
          <w:lang w:eastAsia="zh-CN"/>
        </w:rPr>
      </w:pPr>
    </w:p>
    <w:p>
      <w:pPr>
        <w:keepNext w:val="0"/>
        <w:keepLines w:val="0"/>
        <w:pageBreakBefore w:val="0"/>
        <w:widowControl w:val="0"/>
        <w:kinsoku/>
        <w:wordWrap/>
        <w:overflowPunct/>
        <w:topLinePunct w:val="0"/>
        <w:autoSpaceDE/>
        <w:autoSpaceDN w:val="0"/>
        <w:bidi w:val="0"/>
        <w:adjustRightInd/>
        <w:snapToGrid/>
        <w:spacing w:line="560" w:lineRule="exact"/>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主任，各位副主任，秘书长，各位委员：</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按照会议安排，受州人民政府委托，我向会议报告2025年州级决算和2026年上半年预算执行情况，请予审议。</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黑体" w:cs="Times New Roman" w:hAnsi="Times New Roman"/>
          <w:color w:val="000000"/>
          <w:sz w:val="32"/>
          <w:szCs w:val="32"/>
        </w:rPr>
      </w:pPr>
      <w:r>
        <w:rPr>
          <w:rFonts w:ascii="Times New Roman" w:eastAsia="黑体" w:cs="Times New Roman" w:hAnsi="Times New Roman"/>
          <w:color w:val="000000"/>
          <w:sz w:val="32"/>
          <w:szCs w:val="32"/>
        </w:rPr>
        <w:t>一、2025年州级决算情况</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2025年是“十四五”规划目标任务收官之年，面对外部压力加大、内部困难增多的复杂严峻形势，在州委的坚强领导下，在州人大常委会的监督支持下，州人民政府坚持以习近平新时代中国特色社会主义思想为指导，深入贯彻党的二十大和二十届历次全会精神，认真落实党中央、国务院和省委、省政府决策部署，坚持统筹发展与安全，努力克服各种不利因素影响，奋力推动建设民族地区高质量发展阿坝典范。州级财政预算执行平稳有序，较好完成了州十三届人大四次会议确定的目标任务。</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楷体_GB2312" w:cs="Times New Roman" w:hAnsi="Times New Roman"/>
          <w:b w:val="0"/>
          <w:bCs w:val="0"/>
          <w:color w:val="000000"/>
          <w:sz w:val="32"/>
          <w:szCs w:val="32"/>
        </w:rPr>
      </w:pPr>
      <w:r>
        <w:rPr>
          <w:rFonts w:ascii="Times New Roman" w:eastAsia="楷体_GB2312" w:cs="Times New Roman" w:hAnsi="Times New Roman"/>
          <w:b w:val="0"/>
          <w:bCs w:val="0"/>
          <w:color w:val="000000"/>
          <w:sz w:val="32"/>
          <w:szCs w:val="32"/>
        </w:rPr>
        <w:t>（一）全州预算执行情况</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1.</w:t>
      </w:r>
      <w:r>
        <w:rPr>
          <w:rFonts w:ascii="Times New Roman" w:eastAsia="仿宋_GB2312" w:cs="Times New Roman" w:hAnsi="Times New Roman"/>
          <w:color w:val="000000"/>
          <w:sz w:val="32"/>
          <w:szCs w:val="32"/>
        </w:rPr>
        <w:t>一般公共预算</w:t>
      </w:r>
      <w:r>
        <w:rPr>
          <w:rFonts w:ascii="Times New Roman" w:eastAsia="仿宋_GB2312" w:cs="Times New Roman" w:hAnsi="Times New Roman"/>
          <w:color w:val="000000"/>
          <w:sz w:val="32"/>
          <w:szCs w:val="32"/>
          <w:lang w:eastAsia="zh-CN"/>
        </w:rPr>
        <w:t>情况</w:t>
      </w:r>
      <w:r>
        <w:rPr>
          <w:rFonts w:ascii="Times New Roman" w:eastAsia="仿宋_GB2312" w:cs="Times New Roman" w:hAnsi="Times New Roman"/>
          <w:color w:val="000000"/>
          <w:sz w:val="32"/>
          <w:szCs w:val="32"/>
        </w:rPr>
        <w:t>。2025年，全州一般公共预算收入52.12亿元，完成预算的112.81%，增长18.99%。其中，税收收入31.84亿元，完成预算的106%，增长25.35%。实现转移性收入、上年结转收入、调入资金、动用预算稳定调节基金、地方政府一般债务收入等378.06亿元，收入总量430.18亿元。全州一般公共预算支出370.89亿元，完成调整预算的91.56%，增长0.7%。实现上解支出、补充预算稳定调节基金、债务还本等25.08亿元，支出总量395.97亿元。全州一般公共预算收支平衡，因项目跨年实施需要，结转下年继续使用34.21亿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2.</w:t>
      </w:r>
      <w:r>
        <w:rPr>
          <w:rFonts w:ascii="Times New Roman" w:eastAsia="仿宋_GB2312" w:cs="Times New Roman" w:hAnsi="Times New Roman"/>
          <w:color w:val="000000"/>
          <w:sz w:val="32"/>
          <w:szCs w:val="32"/>
        </w:rPr>
        <w:t>政府性基金预算</w:t>
      </w:r>
      <w:r>
        <w:rPr>
          <w:rFonts w:ascii="Times New Roman" w:eastAsia="仿宋_GB2312" w:cs="Times New Roman" w:hAnsi="Times New Roman"/>
          <w:color w:val="000000"/>
          <w:sz w:val="32"/>
          <w:szCs w:val="32"/>
          <w:lang w:eastAsia="zh-CN"/>
        </w:rPr>
        <w:t>情况</w:t>
      </w:r>
      <w:r>
        <w:rPr>
          <w:rFonts w:ascii="Times New Roman" w:eastAsia="仿宋_GB2312" w:cs="Times New Roman" w:hAnsi="Times New Roman"/>
          <w:color w:val="000000"/>
          <w:sz w:val="32"/>
          <w:szCs w:val="32"/>
        </w:rPr>
        <w:t>。2025年，全州政府性基金预算收入12.53亿元，完成预算的107.9%，增长9.9%。实现上级转移收入、债务转贷收入、动用上年结转收入、调入资金等37.5亿元，收入总量50.03亿元。实现全州政府性基金预算支出35.37亿元，完成预算的854.3%，增长119.69%。调出资金、债务还本支出7.77亿元，支出总量43.14亿元。全州政府性基金收支平衡，年终结余6.89亿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3.</w:t>
      </w:r>
      <w:r>
        <w:rPr>
          <w:rFonts w:ascii="Times New Roman" w:eastAsia="仿宋_GB2312" w:cs="Times New Roman" w:hAnsi="Times New Roman"/>
          <w:color w:val="000000"/>
          <w:sz w:val="32"/>
          <w:szCs w:val="32"/>
        </w:rPr>
        <w:t>国有资本经营预算</w:t>
      </w:r>
      <w:r>
        <w:rPr>
          <w:rFonts w:ascii="Times New Roman" w:eastAsia="仿宋_GB2312" w:cs="Times New Roman" w:hAnsi="Times New Roman"/>
          <w:color w:val="000000"/>
          <w:sz w:val="32"/>
          <w:szCs w:val="32"/>
          <w:lang w:eastAsia="zh-CN"/>
        </w:rPr>
        <w:t>情况</w:t>
      </w:r>
      <w:r>
        <w:rPr>
          <w:rFonts w:ascii="Times New Roman" w:eastAsia="仿宋_GB2312" w:cs="Times New Roman" w:hAnsi="Times New Roman"/>
          <w:color w:val="000000"/>
          <w:sz w:val="32"/>
          <w:szCs w:val="32"/>
        </w:rPr>
        <w:t>。2025年，全州国有资本经营预算收入2.05亿元，完成预算的112%，增长12.64%。实现上级补助收入</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结转收入782万元，收入总量为2.13亿元。实现全州国有资本经营预算支出157万元，完成调整预算的7.8%，下降54.36%。调出资金1.93亿元，支出总量1.94亿元。全州国有资本经营预算收支平衡，年终结余1857万元。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4.</w:t>
      </w:r>
      <w:r>
        <w:rPr>
          <w:rFonts w:ascii="Times New Roman" w:eastAsia="仿宋_GB2312" w:cs="Times New Roman" w:hAnsi="Times New Roman"/>
          <w:color w:val="000000"/>
          <w:sz w:val="32"/>
          <w:szCs w:val="32"/>
        </w:rPr>
        <w:t>社会保险基金预算</w:t>
      </w:r>
      <w:r>
        <w:rPr>
          <w:rFonts w:ascii="Times New Roman" w:eastAsia="仿宋_GB2312" w:cs="Times New Roman" w:hAnsi="Times New Roman"/>
          <w:color w:val="000000"/>
          <w:sz w:val="32"/>
          <w:szCs w:val="32"/>
          <w:lang w:eastAsia="zh-CN"/>
        </w:rPr>
        <w:t>方面</w:t>
      </w:r>
      <w:r>
        <w:rPr>
          <w:rFonts w:ascii="Times New Roman" w:eastAsia="仿宋_GB2312" w:cs="Times New Roman" w:hAnsi="Times New Roman"/>
          <w:color w:val="000000"/>
          <w:sz w:val="32"/>
          <w:szCs w:val="32"/>
        </w:rPr>
        <w:t>。2025年，全州社会保险基金预算收入4.46亿元，完成预算的122.53%，增长6.2%。上年结余10.88亿元，收入总量15.34亿元。全州社会保险基金预算支出2.72亿元，完成预算的132%，增长23.64%。全州社会保险基金预算收支平衡，年终结余12.62亿元，其中当年收支结余1.74亿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楷体_GB2312" w:cs="Times New Roman" w:hAnsi="Times New Roman"/>
          <w:b w:val="0"/>
          <w:bCs w:val="0"/>
          <w:color w:val="000000"/>
          <w:sz w:val="32"/>
          <w:szCs w:val="32"/>
        </w:rPr>
      </w:pPr>
      <w:r>
        <w:rPr>
          <w:rFonts w:ascii="Times New Roman" w:eastAsia="楷体_GB2312" w:cs="Times New Roman" w:hAnsi="Times New Roman"/>
          <w:b w:val="0"/>
          <w:bCs w:val="0"/>
          <w:color w:val="000000"/>
          <w:sz w:val="32"/>
          <w:szCs w:val="32"/>
        </w:rPr>
        <w:t>（二）州级预算执行情况</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1.</w:t>
      </w:r>
      <w:r>
        <w:rPr>
          <w:rFonts w:ascii="Times New Roman" w:eastAsia="仿宋_GB2312" w:cs="Times New Roman" w:hAnsi="Times New Roman"/>
          <w:color w:val="000000"/>
          <w:sz w:val="32"/>
          <w:szCs w:val="32"/>
        </w:rPr>
        <w:t>一般公共预算</w:t>
      </w:r>
      <w:r>
        <w:rPr>
          <w:rFonts w:ascii="Times New Roman" w:eastAsia="仿宋_GB2312" w:cs="Times New Roman" w:hAnsi="Times New Roman"/>
          <w:color w:val="000000"/>
          <w:sz w:val="32"/>
          <w:szCs w:val="32"/>
          <w:lang w:eastAsia="zh-CN"/>
        </w:rPr>
        <w:t>方面</w:t>
      </w:r>
      <w:r>
        <w:rPr>
          <w:rFonts w:ascii="Times New Roman" w:eastAsia="仿宋_GB2312" w:cs="Times New Roman" w:hAnsi="Times New Roman"/>
          <w:color w:val="000000"/>
          <w:sz w:val="32"/>
          <w:szCs w:val="32"/>
        </w:rPr>
        <w:t>。2025年，州级一般公共预算收入16.83亿元，完成预算的100.24%，增长10.72%。其中，税收收入10.46亿元，完成预算的95.09%，增长8.96%。实现转移性收入、下级上解收入、接受其他地区援助收入、上年结转收入、调入资金、动用预算稳定调节基金、地方政府一般债务收入等341.08亿元，收入总量357.91亿元。州级一般公共预算支出83.8亿元，完成调整预算的89.42%，增长3.7%。实现上解支出、税收返还</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转移性支出、补充预算稳定调节基金、债务还本等264.19亿元，支出总量347.99亿元。州级一般公共预算收支平衡，因项目跨年实施需要，结转下年继续使用9.92亿元。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2.</w:t>
      </w:r>
      <w:r>
        <w:rPr>
          <w:rFonts w:ascii="Times New Roman" w:eastAsia="仿宋_GB2312" w:cs="Times New Roman" w:hAnsi="Times New Roman"/>
          <w:color w:val="000000"/>
          <w:sz w:val="32"/>
          <w:szCs w:val="32"/>
        </w:rPr>
        <w:t>政府性基金预算</w:t>
      </w:r>
      <w:r>
        <w:rPr>
          <w:rFonts w:ascii="Times New Roman" w:eastAsia="仿宋_GB2312" w:cs="Times New Roman" w:hAnsi="Times New Roman"/>
          <w:color w:val="000000"/>
          <w:sz w:val="32"/>
          <w:szCs w:val="32"/>
          <w:lang w:eastAsia="zh-CN"/>
        </w:rPr>
        <w:t>方面</w:t>
      </w:r>
      <w:r>
        <w:rPr>
          <w:rFonts w:ascii="Times New Roman" w:eastAsia="仿宋_GB2312" w:cs="Times New Roman" w:hAnsi="Times New Roman"/>
          <w:color w:val="000000"/>
          <w:sz w:val="32"/>
          <w:szCs w:val="32"/>
        </w:rPr>
        <w:t>。2025年，州级政府性基金预算收入9.81亿元，完成预算的103.26%，增长7.8%。实现上级转移收入、债务转贷收入、动用上年结转收入等32.8亿元，收入总量42.61亿元。州级政府性基金预算支出14.95亿元，完成调整预算的87.07%，增长327.14%。实现补助下级支出、调出资金、债务转贷等25.43亿元，支出总量40.38亿元。州级政府性基金收支平衡，年终结余2.23亿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3.</w:t>
      </w:r>
      <w:r>
        <w:rPr>
          <w:rFonts w:ascii="Times New Roman" w:eastAsia="仿宋_GB2312" w:cs="Times New Roman" w:hAnsi="Times New Roman"/>
          <w:color w:val="000000"/>
          <w:sz w:val="32"/>
          <w:szCs w:val="32"/>
        </w:rPr>
        <w:t>国有资本经营预算</w:t>
      </w:r>
      <w:r>
        <w:rPr>
          <w:rFonts w:ascii="Times New Roman" w:eastAsia="仿宋_GB2312" w:cs="Times New Roman" w:hAnsi="Times New Roman"/>
          <w:color w:val="000000"/>
          <w:sz w:val="32"/>
          <w:szCs w:val="32"/>
          <w:lang w:eastAsia="zh-CN"/>
        </w:rPr>
        <w:t>方面</w:t>
      </w:r>
      <w:r>
        <w:rPr>
          <w:rFonts w:ascii="Times New Roman" w:eastAsia="仿宋_GB2312" w:cs="Times New Roman" w:hAnsi="Times New Roman"/>
          <w:color w:val="000000"/>
          <w:sz w:val="32"/>
          <w:szCs w:val="32"/>
        </w:rPr>
        <w:t>。2025年，州级国有资本经营预算收入1.21亿元，完成调整预算的5256.52%，增长1.68%。实现上级补助、结转收入</w:t>
      </w:r>
      <w:r>
        <w:rPr>
          <w:rFonts w:ascii="Times New Roman" w:eastAsia="仿宋_GB2312" w:cs="Times New Roman" w:hAnsi="Times New Roman"/>
          <w:color w:val="000000"/>
          <w:sz w:val="32"/>
          <w:szCs w:val="32"/>
          <w:lang w:eastAsia="zh-CN"/>
        </w:rPr>
        <w:t>完成</w:t>
      </w:r>
      <w:r>
        <w:rPr>
          <w:rFonts w:ascii="Times New Roman" w:eastAsia="仿宋_GB2312" w:cs="Times New Roman" w:hAnsi="Times New Roman"/>
          <w:color w:val="000000"/>
          <w:sz w:val="32"/>
          <w:szCs w:val="32"/>
        </w:rPr>
        <w:t>778万元，收入总量1.29亿元。州级国有资本经营预算支出134万元，完成调整预算的20.18%，下降58.64%。实现补助下级、调出资金等1.22亿元，支出总量1.23亿元。州级国有资本经营预算收支平衡，年终结余530万元。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4.</w:t>
      </w:r>
      <w:r>
        <w:rPr>
          <w:rFonts w:ascii="Times New Roman" w:eastAsia="仿宋_GB2312" w:cs="Times New Roman" w:hAnsi="Times New Roman"/>
          <w:color w:val="000000"/>
          <w:sz w:val="32"/>
          <w:szCs w:val="32"/>
        </w:rPr>
        <w:t>社会保险基金预算</w:t>
      </w:r>
      <w:r>
        <w:rPr>
          <w:rFonts w:ascii="Times New Roman" w:eastAsia="仿宋_GB2312" w:cs="Times New Roman" w:hAnsi="Times New Roman"/>
          <w:color w:val="000000"/>
          <w:sz w:val="32"/>
          <w:szCs w:val="32"/>
          <w:lang w:eastAsia="zh-CN"/>
        </w:rPr>
        <w:t>方面</w:t>
      </w:r>
      <w:r>
        <w:rPr>
          <w:rFonts w:ascii="Times New Roman" w:eastAsia="仿宋_GB2312" w:cs="Times New Roman" w:hAnsi="Times New Roman"/>
          <w:color w:val="000000"/>
          <w:sz w:val="32"/>
          <w:szCs w:val="32"/>
        </w:rPr>
        <w:t>。州级社会保险基金预算与全州一致。</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楷体_GB2312" w:cs="Times New Roman" w:hAnsi="Times New Roman"/>
          <w:b w:val="0"/>
          <w:bCs w:val="0"/>
          <w:color w:val="000000"/>
          <w:sz w:val="32"/>
          <w:szCs w:val="32"/>
        </w:rPr>
      </w:pPr>
      <w:r>
        <w:rPr>
          <w:rFonts w:ascii="Times New Roman" w:eastAsia="楷体_GB2312" w:cs="Times New Roman" w:hAnsi="Times New Roman"/>
          <w:b w:val="0"/>
          <w:bCs w:val="0"/>
          <w:color w:val="000000"/>
          <w:sz w:val="32"/>
          <w:szCs w:val="32"/>
        </w:rPr>
        <w:t>（三）2025年地方政府债券发行使用情况</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2024年末，全州地方政府债务余额169.85亿元。2025年发行新增债券39.54亿元、再融资债券14.16亿元，偿还到期政府债券15.89亿元，债务余额207.66亿元，较2024年末增加37.81亿元，控制在省政府核定债务限额214.37亿元内，债务风险总体可控。分类型看</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全州一般债务限额109.82亿元，余额103.5亿元；专项债务限额104.55亿元，余额104.16亿元。分级次看</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州本级政府债务限额91.01亿元，余额88.11亿元，其中一般债务40.17亿元、专项债务50.84亿元；县（市）政府债务限额123.36亿元，余额119.55亿元，其中一般债务66.07亿元、专项债务53.48亿元。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1.</w:t>
      </w:r>
      <w:r>
        <w:rPr>
          <w:rFonts w:ascii="Times New Roman" w:eastAsia="仿宋_GB2312" w:cs="Times New Roman" w:hAnsi="Times New Roman"/>
          <w:color w:val="000000"/>
          <w:sz w:val="32"/>
          <w:szCs w:val="32"/>
        </w:rPr>
        <w:t>地方政府债券使用转贷情况。2025年，全州地方政府债券转贷资金收入53.70亿元。州本级使用地方政府债券资金21.08亿元，其中新增一般债券5.38亿元、专项债券13.55亿元、再融资债券2.15亿元。转贷各县（市）地方政府债券资金32.62亿元，其中新增一般债券7.69亿元、专项债券12.92亿元、再融资债券12.01亿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2.</w:t>
      </w:r>
      <w:r>
        <w:rPr>
          <w:rFonts w:ascii="Times New Roman" w:eastAsia="仿宋_GB2312" w:cs="Times New Roman" w:hAnsi="Times New Roman"/>
          <w:color w:val="000000"/>
          <w:sz w:val="32"/>
          <w:szCs w:val="32"/>
        </w:rPr>
        <w:t>地方政府债券还本付息情况。全州法定债务本息21.51亿元，其中本金15.90亿元，通过发行再融资债券偿还14.16亿元、年初预算财力安排偿还1.74亿元；利息和手续费5.61亿元，其中一般债务利息2.98亿元、专项债务利息2.63亿元，已通过年初预算财力安排全部偿还。</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楷体_GB2312" w:cs="Times New Roman" w:hAnsi="Times New Roman"/>
          <w:b w:val="0"/>
          <w:bCs w:val="0"/>
          <w:color w:val="000000"/>
          <w:sz w:val="32"/>
          <w:szCs w:val="32"/>
        </w:rPr>
      </w:pPr>
      <w:r>
        <w:rPr>
          <w:rFonts w:ascii="Times New Roman" w:eastAsia="楷体_GB2312" w:cs="Times New Roman" w:hAnsi="Times New Roman"/>
          <w:b w:val="0"/>
          <w:bCs w:val="0"/>
          <w:color w:val="000000"/>
          <w:sz w:val="32"/>
          <w:szCs w:val="32"/>
        </w:rPr>
        <w:t>（四）其他事项</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1.</w:t>
      </w:r>
      <w:r>
        <w:rPr>
          <w:rFonts w:ascii="Times New Roman" w:eastAsia="仿宋_GB2312" w:cs="Times New Roman" w:hAnsi="Times New Roman"/>
          <w:color w:val="000000"/>
          <w:sz w:val="32"/>
          <w:szCs w:val="32"/>
        </w:rPr>
        <w:t>州级预备费安排使用情况。2025年，州本级财政按照《中华人民共和国预算法》第四十条“各级一般公共预算应当按照本级一般公共预算支出额的百分之一至百分之三设置预备费”规定</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设置预备费5700万元。年初预算安排的预备费</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统筹用于预算执行</w:t>
      </w:r>
      <w:r>
        <w:rPr>
          <w:rFonts w:ascii="Times New Roman" w:eastAsia="仿宋_GB2312" w:cs="Times New Roman" w:hAnsi="Times New Roman"/>
          <w:color w:val="000000"/>
          <w:spacing w:val="-11"/>
          <w:sz w:val="32"/>
          <w:szCs w:val="32"/>
        </w:rPr>
        <w:t>中自然灾害等突发事件处理增加支出</w:t>
      </w:r>
      <w:r>
        <w:rPr>
          <w:rFonts w:ascii="Times New Roman" w:eastAsia="仿宋_GB2312" w:cs="Times New Roman" w:hAnsi="Times New Roman"/>
          <w:color w:val="000000"/>
          <w:spacing w:val="-11"/>
          <w:sz w:val="32"/>
          <w:szCs w:val="32"/>
          <w:lang w:eastAsia="zh-CN"/>
        </w:rPr>
        <w:t>，以</w:t>
      </w:r>
      <w:r>
        <w:rPr>
          <w:rFonts w:ascii="Times New Roman" w:eastAsia="仿宋_GB2312" w:cs="Times New Roman" w:hAnsi="Times New Roman"/>
          <w:color w:val="000000"/>
          <w:spacing w:val="-11"/>
          <w:sz w:val="32"/>
          <w:szCs w:val="32"/>
        </w:rPr>
        <w:t>及其他难以预见开支</w:t>
      </w:r>
      <w:r>
        <w:rPr>
          <w:rFonts w:ascii="Times New Roman" w:eastAsia="仿宋_GB2312" w:cs="Times New Roman" w:hAnsi="Times New Roman"/>
          <w:color w:val="000000"/>
          <w:sz w:val="32"/>
          <w:szCs w:val="32"/>
        </w:rPr>
        <w:t>。</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2.</w:t>
      </w:r>
      <w:r>
        <w:rPr>
          <w:rFonts w:ascii="Times New Roman" w:eastAsia="仿宋_GB2312" w:cs="Times New Roman" w:hAnsi="Times New Roman"/>
          <w:color w:val="000000"/>
          <w:sz w:val="32"/>
          <w:szCs w:val="32"/>
        </w:rPr>
        <w:t>州级超收收入安排和预算稳定调节基金收支情况。2025年，未安排州级预算稳定调节基金，当年未使用。年末，当年超收收入全部补充预算稳定调节基金，州级预算稳定调节基金余额6.3亿元。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3.</w:t>
      </w:r>
      <w:r>
        <w:rPr>
          <w:rFonts w:ascii="Times New Roman" w:eastAsia="仿宋_GB2312" w:cs="Times New Roman" w:hAnsi="Times New Roman"/>
          <w:color w:val="000000"/>
          <w:sz w:val="32"/>
          <w:szCs w:val="32"/>
        </w:rPr>
        <w:t>结转结余资金使用情况。2025年，州级一般公共预算使用结转结余34.21亿元，其中州本级使用9.92亿元，州对县（市）转移支付使用24.29亿元。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lang w:val="zh-CN"/>
        </w:rPr>
      </w:pPr>
      <w:r>
        <w:rPr>
          <w:rFonts w:ascii="Times New Roman" w:eastAsia="仿宋_GB2312" w:cs="Times New Roman" w:hAnsi="Times New Roman"/>
          <w:color w:val="000000"/>
          <w:sz w:val="32"/>
          <w:szCs w:val="32"/>
          <w:lang w:val="en-US" w:eastAsia="zh-CN"/>
        </w:rPr>
        <w:t>4.</w:t>
      </w:r>
      <w:r>
        <w:rPr>
          <w:rFonts w:ascii="Times New Roman" w:eastAsia="仿宋_GB2312" w:cs="Times New Roman" w:hAnsi="Times New Roman"/>
          <w:color w:val="000000"/>
          <w:sz w:val="32"/>
          <w:szCs w:val="32"/>
        </w:rPr>
        <w:t>“三公”经费使用管理情况。</w:t>
      </w:r>
      <w:r>
        <w:rPr>
          <w:rFonts w:ascii="Times New Roman" w:eastAsia="仿宋_GB2312" w:cs="Times New Roman" w:hAnsi="Times New Roman"/>
          <w:color w:val="000000"/>
          <w:sz w:val="32"/>
          <w:szCs w:val="32"/>
          <w:lang w:val="zh-CN"/>
        </w:rPr>
        <w:t>2025年，州级“三公”经费财政拨款支出9665万元，较年初预算节约4313万元，同比减少12.14%。因公出国（境）经费支出130万元，较年初预算节约260万元。公务接待费271万元，较年初预算节约1050万元。公务用车购置及运行费用9264万元，较年初预算节约3003万元，其中公务用车购置经费2001万元，较年初预算节约999万元；公务用车运行维护费用7263万元，较年初预算节约2004万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州级决算草案在提请州人大常委会审查批准之前，已进行州级审计，我们</w:t>
      </w:r>
      <w:r>
        <w:rPr>
          <w:rFonts w:ascii="Times New Roman" w:eastAsia="仿宋_GB2312" w:cs="Times New Roman" w:hAnsi="Times New Roman"/>
          <w:color w:val="000000"/>
          <w:sz w:val="32"/>
          <w:szCs w:val="32"/>
          <w:lang w:eastAsia="zh-CN"/>
        </w:rPr>
        <w:t>将</w:t>
      </w:r>
      <w:r>
        <w:rPr>
          <w:rFonts w:ascii="Times New Roman" w:eastAsia="仿宋_GB2312" w:cs="Times New Roman" w:hAnsi="Times New Roman"/>
          <w:color w:val="000000"/>
          <w:sz w:val="32"/>
          <w:szCs w:val="32"/>
        </w:rPr>
        <w:t>坚持问题导向，压实整改责任，坚决予以纠正。</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黑体" w:cs="Times New Roman" w:hAnsi="Times New Roman"/>
          <w:color w:val="000000"/>
          <w:sz w:val="32"/>
          <w:szCs w:val="32"/>
        </w:rPr>
      </w:pPr>
      <w:r>
        <w:rPr>
          <w:rFonts w:ascii="Times New Roman" w:eastAsia="黑体" w:cs="Times New Roman" w:hAnsi="Times New Roman"/>
          <w:color w:val="000000"/>
          <w:sz w:val="32"/>
          <w:szCs w:val="32"/>
        </w:rPr>
        <w:t>二、2026年</w:t>
      </w:r>
      <w:r>
        <w:rPr>
          <w:rFonts w:ascii="Times New Roman" w:eastAsia="黑体" w:cs="Times New Roman" w:hAnsi="Times New Roman"/>
          <w:color w:val="000000"/>
          <w:sz w:val="32"/>
          <w:szCs w:val="32"/>
          <w:lang w:eastAsia="zh-CN"/>
        </w:rPr>
        <w:t>上半年</w:t>
      </w:r>
      <w:r>
        <w:rPr>
          <w:rFonts w:ascii="Times New Roman" w:eastAsia="黑体" w:cs="Times New Roman" w:hAnsi="Times New Roman"/>
          <w:color w:val="000000"/>
          <w:sz w:val="32"/>
          <w:szCs w:val="32"/>
        </w:rPr>
        <w:t>预算执行情况</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楷体_GB2312" w:cs="Times New Roman" w:hAnsi="Times New Roman"/>
          <w:b w:val="0"/>
          <w:bCs w:val="0"/>
          <w:color w:val="000000"/>
          <w:sz w:val="32"/>
          <w:szCs w:val="32"/>
        </w:rPr>
      </w:pPr>
      <w:r>
        <w:rPr>
          <w:rFonts w:ascii="Times New Roman" w:eastAsia="楷体_GB2312" w:cs="Times New Roman" w:hAnsi="Times New Roman"/>
          <w:b w:val="0"/>
          <w:bCs w:val="0"/>
          <w:color w:val="000000"/>
          <w:sz w:val="32"/>
          <w:szCs w:val="32"/>
        </w:rPr>
        <w:t>（一）全州预算执行情况</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1.</w:t>
      </w:r>
      <w:r>
        <w:rPr>
          <w:rFonts w:ascii="Times New Roman" w:eastAsia="仿宋_GB2312" w:cs="Times New Roman" w:hAnsi="Times New Roman"/>
          <w:color w:val="000000"/>
          <w:sz w:val="32"/>
          <w:szCs w:val="32"/>
        </w:rPr>
        <w:t>一般公共预算</w:t>
      </w:r>
      <w:r>
        <w:rPr>
          <w:rFonts w:ascii="Times New Roman" w:eastAsia="仿宋_GB2312" w:cs="Times New Roman" w:hAnsi="Times New Roman"/>
          <w:color w:val="000000"/>
          <w:sz w:val="32"/>
          <w:szCs w:val="32"/>
          <w:lang w:eastAsia="zh-CN"/>
        </w:rPr>
        <w:t>情况</w:t>
      </w:r>
      <w:r>
        <w:rPr>
          <w:rFonts w:ascii="Times New Roman" w:eastAsia="仿宋_GB2312" w:cs="Times New Roman" w:hAnsi="Times New Roman"/>
          <w:color w:val="000000"/>
          <w:sz w:val="32"/>
          <w:szCs w:val="32"/>
        </w:rPr>
        <w:t>。</w:t>
      </w:r>
      <w:r>
        <w:rPr>
          <w:rFonts w:ascii="Times New Roman" w:eastAsia="仿宋_GB2312" w:cs="Times New Roman" w:hAnsi="Times New Roman"/>
          <w:color w:val="000000"/>
          <w:sz w:val="32"/>
          <w:szCs w:val="32"/>
          <w:lang w:eastAsia="zh-CN"/>
        </w:rPr>
        <w:t>上半年，</w:t>
      </w:r>
      <w:r>
        <w:rPr>
          <w:rFonts w:ascii="Times New Roman" w:eastAsia="仿宋_GB2312" w:cs="Times New Roman" w:hAnsi="Times New Roman"/>
          <w:color w:val="000000"/>
          <w:sz w:val="32"/>
          <w:szCs w:val="32"/>
        </w:rPr>
        <w:t>全州累计实现一般公共预算收入40.76亿元，完成年初预算的74.98%，同比增长57.5%。其中税收收入完成20.79亿元，同比增长46.3%，税收占比51%；非税收入完成19.97亿元，同比增长71.12%。收入增长主要为州本级经济责任暨自然资源资产审计整改缴库非税收入8.94亿元，金川县独松光伏、嘎斯都光伏项目缴纳耕地占用税及滞纳金1.02亿元，松潘县剑科水电站水光互补项目缴纳耕地占用税0.96亿元等一次性因素。</w:t>
      </w:r>
      <w:r>
        <w:rPr>
          <w:rFonts w:ascii="Times New Roman" w:eastAsia="仿宋_GB2312" w:cs="Times New Roman" w:hAnsi="Times New Roman"/>
          <w:color w:val="000000"/>
          <w:sz w:val="32"/>
          <w:szCs w:val="32"/>
          <w:lang w:eastAsia="zh-CN"/>
        </w:rPr>
        <w:t>上半年，</w:t>
      </w:r>
      <w:r>
        <w:rPr>
          <w:rFonts w:ascii="Times New Roman" w:eastAsia="仿宋_GB2312" w:cs="Times New Roman" w:hAnsi="Times New Roman"/>
          <w:color w:val="000000"/>
          <w:sz w:val="32"/>
          <w:szCs w:val="32"/>
        </w:rPr>
        <w:t>全州累计实现一般公共预算支出166.5亿元，完成年初预算的55.39%，较上年同期减少2.85亿元，同比下降1.7%。</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2.</w:t>
      </w:r>
      <w:r>
        <w:rPr>
          <w:rFonts w:ascii="Times New Roman" w:eastAsia="仿宋_GB2312" w:cs="Times New Roman" w:hAnsi="Times New Roman"/>
          <w:color w:val="000000"/>
          <w:sz w:val="32"/>
          <w:szCs w:val="32"/>
        </w:rPr>
        <w:t>政府性基金预算</w:t>
      </w:r>
      <w:r>
        <w:rPr>
          <w:rFonts w:ascii="Times New Roman" w:eastAsia="仿宋_GB2312" w:cs="Times New Roman" w:hAnsi="Times New Roman"/>
          <w:color w:val="000000"/>
          <w:sz w:val="32"/>
          <w:szCs w:val="32"/>
          <w:lang w:eastAsia="zh-CN"/>
        </w:rPr>
        <w:t>情况</w:t>
      </w:r>
      <w:r>
        <w:rPr>
          <w:rFonts w:ascii="Times New Roman" w:eastAsia="仿宋_GB2312" w:cs="Times New Roman" w:hAnsi="Times New Roman"/>
          <w:color w:val="000000"/>
          <w:sz w:val="32"/>
          <w:szCs w:val="32"/>
        </w:rPr>
        <w:t>。州十三届人大第五次会议审议的全州政府性基金预算收入为11.5亿元</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支出为3.6亿元，上级新增下达专项转移支付2.83亿元、专项债券8.44亿元、上年结余5.46亿元，支出预算变动为20.33亿元。</w:t>
      </w:r>
      <w:r>
        <w:rPr>
          <w:rFonts w:ascii="Times New Roman" w:eastAsia="仿宋_GB2312" w:cs="Times New Roman" w:hAnsi="Times New Roman"/>
          <w:color w:val="000000"/>
          <w:sz w:val="32"/>
          <w:szCs w:val="32"/>
          <w:lang w:eastAsia="zh-CN"/>
        </w:rPr>
        <w:t>上半年，</w:t>
      </w:r>
      <w:r>
        <w:rPr>
          <w:rFonts w:ascii="Times New Roman" w:eastAsia="仿宋_GB2312" w:cs="Times New Roman" w:hAnsi="Times New Roman"/>
          <w:color w:val="000000"/>
          <w:sz w:val="32"/>
          <w:szCs w:val="32"/>
        </w:rPr>
        <w:t>全州政府性基金预算收入3.14亿元，完成预算的29.37%；全州政府性基金预算支出8.06亿元，完成预算的39.65%。</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3.</w:t>
      </w:r>
      <w:r>
        <w:rPr>
          <w:rFonts w:ascii="Times New Roman" w:eastAsia="仿宋_GB2312" w:cs="Times New Roman" w:hAnsi="Times New Roman"/>
          <w:color w:val="000000"/>
          <w:sz w:val="32"/>
          <w:szCs w:val="32"/>
        </w:rPr>
        <w:t>国有资本经营预算</w:t>
      </w:r>
      <w:r>
        <w:rPr>
          <w:rFonts w:ascii="Times New Roman" w:eastAsia="仿宋_GB2312" w:cs="Times New Roman" w:hAnsi="Times New Roman"/>
          <w:color w:val="000000"/>
          <w:sz w:val="32"/>
          <w:szCs w:val="32"/>
          <w:lang w:eastAsia="zh-CN"/>
        </w:rPr>
        <w:t>情况</w:t>
      </w:r>
      <w:r>
        <w:rPr>
          <w:rFonts w:ascii="Times New Roman" w:eastAsia="仿宋_GB2312" w:cs="Times New Roman" w:hAnsi="Times New Roman"/>
          <w:color w:val="000000"/>
          <w:sz w:val="32"/>
          <w:szCs w:val="32"/>
        </w:rPr>
        <w:t>。州十三届人大第五次会议以来，全州国有资本经营预算收入为1.94亿元，上年结余0.19亿元。州十三届人大第五次会议审议的全州国有资本经营预算支出预算为1448万元。</w:t>
      </w:r>
      <w:r>
        <w:rPr>
          <w:rFonts w:ascii="Times New Roman" w:eastAsia="仿宋_GB2312" w:cs="Times New Roman" w:hAnsi="Times New Roman"/>
          <w:color w:val="000000"/>
          <w:sz w:val="32"/>
          <w:szCs w:val="32"/>
          <w:lang w:eastAsia="zh-CN"/>
        </w:rPr>
        <w:t>上半年</w:t>
      </w:r>
      <w:r>
        <w:rPr>
          <w:rFonts w:ascii="Times New Roman" w:eastAsia="仿宋_GB2312" w:cs="Times New Roman" w:hAnsi="Times New Roman"/>
          <w:color w:val="000000"/>
          <w:sz w:val="32"/>
          <w:szCs w:val="32"/>
        </w:rPr>
        <w:t>，全州国有资本经营预算收入0.11亿元，完成预算的5.78%；全州国有资本经营预算支出29万元，完成预算的2%。</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4.</w:t>
      </w:r>
      <w:r>
        <w:rPr>
          <w:rFonts w:ascii="Times New Roman" w:eastAsia="仿宋_GB2312" w:cs="Times New Roman" w:hAnsi="Times New Roman"/>
          <w:color w:val="000000"/>
          <w:sz w:val="32"/>
          <w:szCs w:val="32"/>
        </w:rPr>
        <w:t>社会保险基金预算</w:t>
      </w:r>
      <w:r>
        <w:rPr>
          <w:rFonts w:ascii="Times New Roman" w:eastAsia="仿宋_GB2312" w:cs="Times New Roman" w:hAnsi="Times New Roman"/>
          <w:color w:val="000000"/>
          <w:sz w:val="32"/>
          <w:szCs w:val="32"/>
          <w:lang w:eastAsia="zh-CN"/>
        </w:rPr>
        <w:t>情况</w:t>
      </w:r>
      <w:r>
        <w:rPr>
          <w:rFonts w:ascii="Times New Roman" w:eastAsia="仿宋_GB2312" w:cs="Times New Roman" w:hAnsi="Times New Roman"/>
          <w:color w:val="000000"/>
          <w:sz w:val="32"/>
          <w:szCs w:val="32"/>
        </w:rPr>
        <w:t>。州十三届人大第五次会议以来，全州社会保险基金预算收入未发生变动，仍为4.87亿元。州十三届人大第五次会议审议的全州社会保险基金预算支出预算为2.97亿元。</w:t>
      </w:r>
      <w:r>
        <w:rPr>
          <w:rFonts w:ascii="Times New Roman" w:eastAsia="仿宋_GB2312" w:cs="Times New Roman" w:hAnsi="Times New Roman"/>
          <w:color w:val="000000"/>
          <w:sz w:val="32"/>
          <w:szCs w:val="32"/>
          <w:lang w:eastAsia="zh-CN"/>
        </w:rPr>
        <w:t>上半年</w:t>
      </w:r>
      <w:r>
        <w:rPr>
          <w:rFonts w:ascii="Times New Roman" w:eastAsia="仿宋_GB2312" w:cs="Times New Roman" w:hAnsi="Times New Roman"/>
          <w:color w:val="000000"/>
          <w:sz w:val="32"/>
          <w:szCs w:val="32"/>
        </w:rPr>
        <w:t>，全州社会保险基金预算收入3.4亿元，完成预算的70%；全州社会保险基金预算支出1.5亿元，完成预算的51%。</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楷体_GB2312" w:cs="Times New Roman" w:hAnsi="Times New Roman"/>
          <w:b w:val="0"/>
          <w:bCs w:val="0"/>
          <w:color w:val="000000"/>
          <w:sz w:val="32"/>
          <w:szCs w:val="32"/>
        </w:rPr>
      </w:pPr>
      <w:r>
        <w:rPr>
          <w:rFonts w:ascii="Times New Roman" w:eastAsia="楷体_GB2312" w:cs="Times New Roman" w:hAnsi="Times New Roman"/>
          <w:b w:val="0"/>
          <w:bCs w:val="0"/>
          <w:color w:val="000000"/>
          <w:sz w:val="32"/>
          <w:szCs w:val="32"/>
        </w:rPr>
        <w:t>（二）州级预算执行情况</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1.</w:t>
      </w:r>
      <w:r>
        <w:rPr>
          <w:rFonts w:ascii="Times New Roman" w:eastAsia="仿宋_GB2312" w:cs="Times New Roman" w:hAnsi="Times New Roman"/>
          <w:color w:val="000000"/>
          <w:sz w:val="32"/>
          <w:szCs w:val="32"/>
        </w:rPr>
        <w:t>一般公共预算</w:t>
      </w:r>
      <w:r>
        <w:rPr>
          <w:rFonts w:ascii="Times New Roman" w:eastAsia="仿宋_GB2312" w:cs="Times New Roman" w:hAnsi="Times New Roman"/>
          <w:color w:val="000000"/>
          <w:sz w:val="32"/>
          <w:szCs w:val="32"/>
          <w:lang w:eastAsia="zh-CN"/>
        </w:rPr>
        <w:t>情况</w:t>
      </w:r>
      <w:r>
        <w:rPr>
          <w:rFonts w:ascii="Times New Roman" w:eastAsia="仿宋_GB2312" w:cs="Times New Roman" w:hAnsi="Times New Roman"/>
          <w:color w:val="000000"/>
          <w:sz w:val="32"/>
          <w:szCs w:val="32"/>
        </w:rPr>
        <w:t>。州十三届人大第五次会议以来，州级一般公共预算收入预算未发生变动，仍为19.88亿元。州十三届人大第五次会议批准的州级一般公共预算支出预算为62.07亿元，加上中央新增下达一般性转移支付等59.01亿元、上年结转9.9亿元，减去州新增下达县（市）一般性转移支付等52.26亿元，增减相抵后，州级支出预算增加6.75亿元，变动为78.72亿元。</w:t>
      </w:r>
      <w:r>
        <w:rPr>
          <w:rFonts w:ascii="Times New Roman" w:eastAsia="仿宋_GB2312" w:cs="Times New Roman" w:hAnsi="Times New Roman"/>
          <w:color w:val="000000"/>
          <w:sz w:val="32"/>
          <w:szCs w:val="32"/>
          <w:lang w:eastAsia="zh-CN"/>
        </w:rPr>
        <w:t>上半年</w:t>
      </w:r>
      <w:r>
        <w:rPr>
          <w:rFonts w:ascii="Times New Roman" w:eastAsia="仿宋_GB2312" w:cs="Times New Roman" w:hAnsi="Times New Roman"/>
          <w:color w:val="000000"/>
          <w:sz w:val="32"/>
          <w:szCs w:val="32"/>
        </w:rPr>
        <w:t>，州本级一般公共预算收入17.5亿元，完成预算的88%，同比增长137.45%，其中税收收入完成6.03亿元，同比增长28%；非税收入完成11.48亿元，同比增长331.58%。州级一般公共预算支出37.31亿元，完成预算的60.1%，同比下降12.49%。</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2.</w:t>
      </w:r>
      <w:r>
        <w:rPr>
          <w:rFonts w:ascii="Times New Roman" w:eastAsia="仿宋_GB2312" w:cs="Times New Roman" w:hAnsi="Times New Roman"/>
          <w:color w:val="000000"/>
          <w:sz w:val="32"/>
          <w:szCs w:val="32"/>
        </w:rPr>
        <w:t>政府性基金预算</w:t>
      </w:r>
      <w:r>
        <w:rPr>
          <w:rFonts w:ascii="Times New Roman" w:eastAsia="仿宋_GB2312" w:cs="Times New Roman" w:hAnsi="Times New Roman"/>
          <w:color w:val="000000"/>
          <w:sz w:val="32"/>
          <w:szCs w:val="32"/>
          <w:lang w:eastAsia="zh-CN"/>
        </w:rPr>
        <w:t>情况</w:t>
      </w:r>
      <w:r>
        <w:rPr>
          <w:rFonts w:ascii="Times New Roman" w:eastAsia="仿宋_GB2312" w:cs="Times New Roman" w:hAnsi="Times New Roman"/>
          <w:color w:val="000000"/>
          <w:sz w:val="32"/>
          <w:szCs w:val="32"/>
        </w:rPr>
        <w:t>。州十三届人大第五次会议以来，州级政府性基金预算收入未发生变动，仍为10.5亿元。州十三届人大第五次会议批准的州级政府性基金预算支出为1.58亿元，加上级新增下达专项转移支付2.83亿元、专项债券8.44亿元、上年结余2.23亿元，减去补助下级2.19亿元，支出预算变动为12.89亿元。</w:t>
      </w:r>
      <w:r>
        <w:rPr>
          <w:rFonts w:ascii="Times New Roman" w:eastAsia="仿宋_GB2312" w:cs="Times New Roman" w:hAnsi="Times New Roman"/>
          <w:color w:val="000000"/>
          <w:sz w:val="32"/>
          <w:szCs w:val="32"/>
          <w:lang w:eastAsia="zh-CN"/>
        </w:rPr>
        <w:t>上半年</w:t>
      </w:r>
      <w:r>
        <w:rPr>
          <w:rFonts w:ascii="Times New Roman" w:eastAsia="仿宋_GB2312" w:cs="Times New Roman" w:hAnsi="Times New Roman"/>
          <w:color w:val="000000"/>
          <w:sz w:val="32"/>
          <w:szCs w:val="32"/>
        </w:rPr>
        <w:t>，州级政府性基金预算收入0.11亿元，完成预算的1.02%；州级政府性基金预算支出1.53亿元，完成预算的96.84%。</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3.</w:t>
      </w:r>
      <w:r>
        <w:rPr>
          <w:rFonts w:ascii="Times New Roman" w:eastAsia="仿宋_GB2312" w:cs="Times New Roman" w:hAnsi="Times New Roman"/>
          <w:color w:val="000000"/>
          <w:sz w:val="32"/>
          <w:szCs w:val="32"/>
        </w:rPr>
        <w:t>国有资本经营预算</w:t>
      </w:r>
      <w:r>
        <w:rPr>
          <w:rFonts w:ascii="Times New Roman" w:eastAsia="仿宋_GB2312" w:cs="Times New Roman" w:hAnsi="Times New Roman"/>
          <w:color w:val="000000"/>
          <w:sz w:val="32"/>
          <w:szCs w:val="32"/>
          <w:lang w:eastAsia="zh-CN"/>
        </w:rPr>
        <w:t>情况</w:t>
      </w:r>
      <w:r>
        <w:rPr>
          <w:rFonts w:ascii="Times New Roman" w:eastAsia="仿宋_GB2312" w:cs="Times New Roman" w:hAnsi="Times New Roman"/>
          <w:color w:val="000000"/>
          <w:sz w:val="32"/>
          <w:szCs w:val="32"/>
        </w:rPr>
        <w:t>。州十三届人大第五次会议以来，州级国有资本经营预算收入为1.55亿元，上年结余0.05亿元。州十三届人大第五次会议批准的州级国有资本经营预算支出预算为100万元。</w:t>
      </w:r>
      <w:r>
        <w:rPr>
          <w:rFonts w:ascii="Times New Roman" w:eastAsia="仿宋_GB2312" w:cs="Times New Roman" w:hAnsi="Times New Roman"/>
          <w:color w:val="000000"/>
          <w:sz w:val="32"/>
          <w:szCs w:val="32"/>
          <w:lang w:eastAsia="zh-CN"/>
        </w:rPr>
        <w:t>上半年</w:t>
      </w:r>
      <w:r>
        <w:rPr>
          <w:rFonts w:ascii="Times New Roman" w:eastAsia="仿宋_GB2312" w:cs="Times New Roman" w:hAnsi="Times New Roman"/>
          <w:color w:val="000000"/>
          <w:sz w:val="32"/>
          <w:szCs w:val="32"/>
        </w:rPr>
        <w:t>，州级国有资本经营预算收入0.11亿元，完成预算的7.24%；州级国有资本经营预算支出27万元，完成预算的27%。</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4.</w:t>
      </w:r>
      <w:r>
        <w:rPr>
          <w:rFonts w:ascii="Times New Roman" w:eastAsia="仿宋_GB2312" w:cs="Times New Roman" w:hAnsi="Times New Roman"/>
          <w:color w:val="000000"/>
          <w:sz w:val="32"/>
          <w:szCs w:val="32"/>
        </w:rPr>
        <w:t>社会保险基金预算</w:t>
      </w:r>
      <w:r>
        <w:rPr>
          <w:rFonts w:ascii="Times New Roman" w:eastAsia="仿宋_GB2312" w:cs="Times New Roman" w:hAnsi="Times New Roman"/>
          <w:color w:val="000000"/>
          <w:sz w:val="32"/>
          <w:szCs w:val="32"/>
          <w:lang w:eastAsia="zh-CN"/>
        </w:rPr>
        <w:t>情况</w:t>
      </w:r>
      <w:r>
        <w:rPr>
          <w:rFonts w:ascii="Times New Roman" w:eastAsia="仿宋_GB2312" w:cs="Times New Roman" w:hAnsi="Times New Roman"/>
          <w:color w:val="000000"/>
          <w:sz w:val="32"/>
          <w:szCs w:val="32"/>
        </w:rPr>
        <w:t>。州级社会保险基金预算与全州一致。</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楷体_GB2312" w:cs="Times New Roman" w:hAnsi="Times New Roman"/>
          <w:b w:val="0"/>
          <w:bCs w:val="0"/>
          <w:color w:val="000000"/>
          <w:sz w:val="32"/>
          <w:szCs w:val="32"/>
        </w:rPr>
      </w:pPr>
      <w:r>
        <w:rPr>
          <w:rFonts w:ascii="Times New Roman" w:eastAsia="楷体_GB2312" w:cs="Times New Roman" w:hAnsi="Times New Roman"/>
          <w:b w:val="0"/>
          <w:bCs w:val="0"/>
          <w:color w:val="000000"/>
          <w:sz w:val="32"/>
          <w:szCs w:val="32"/>
        </w:rPr>
        <w:t>（三）2026年预算执行效果和落实州人大决议情况</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上半年，州政府深入贯彻党中央、省委、州委重大决策部署，认真落实州人大及其常委会决议要求和预算审查监督条例，严格执行预算法及其实施条例，锚定高质量发展首要任务，实施更加积极的财政政策，深化审计发现问题闭环整改，统筹财政资源、优化支出结构，全力推动各项</w:t>
      </w:r>
      <w:r>
        <w:rPr>
          <w:rFonts w:ascii="Times New Roman" w:eastAsia="仿宋_GB2312" w:cs="Times New Roman" w:hAnsi="Times New Roman"/>
          <w:color w:val="000000"/>
          <w:sz w:val="32"/>
          <w:szCs w:val="32"/>
          <w:lang w:eastAsia="zh-CN"/>
        </w:rPr>
        <w:t>决策</w:t>
      </w:r>
      <w:r>
        <w:rPr>
          <w:rFonts w:ascii="Times New Roman" w:eastAsia="仿宋_GB2312" w:cs="Times New Roman" w:hAnsi="Times New Roman"/>
          <w:color w:val="000000"/>
          <w:sz w:val="32"/>
          <w:szCs w:val="32"/>
        </w:rPr>
        <w:t>部署落地落实，为全州经济持续回升向好、社会大局和谐稳定提供坚实有力的财政保障。</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b w:val="0"/>
          <w:bCs w:val="0"/>
          <w:color w:val="000000"/>
          <w:sz w:val="32"/>
          <w:szCs w:val="32"/>
          <w:lang w:val="en-US" w:eastAsia="zh-CN"/>
        </w:rPr>
        <w:t>1.</w:t>
      </w:r>
      <w:r>
        <w:rPr>
          <w:rFonts w:ascii="Times New Roman" w:eastAsia="仿宋_GB2312" w:cs="Times New Roman" w:hAnsi="Times New Roman"/>
          <w:b w:val="0"/>
          <w:bCs w:val="0"/>
          <w:color w:val="000000"/>
          <w:sz w:val="32"/>
          <w:szCs w:val="32"/>
        </w:rPr>
        <w:t>抓实财政收入。</w:t>
      </w:r>
      <w:r>
        <w:rPr>
          <w:rFonts w:ascii="Times New Roman" w:eastAsia="仿宋_GB2312" w:cs="Times New Roman" w:hAnsi="Times New Roman"/>
          <w:color w:val="000000"/>
          <w:sz w:val="32"/>
          <w:szCs w:val="32"/>
        </w:rPr>
        <w:t>紧扣全年收入目标抓实精细化征管，深挖增收潜力、做到应收尽收，推动财政收入增长、收入质量稳步提升。严格落实政府机关“过紧日子”要求，精准统筹财力，优化资金配置结构，集中有限财力保障重点领域，最大化提升财政资金使用效益。对标国家宏观政策与投资导向，积极向上对接汇报，高效推动各类争取事项落地。上半年争取到位上级补助资金271.7亿元、同比增长1.4%；争取各类债券额度50.74亿元、超长期特别国债资金3.7亿元，有力支撑了全州财政收支平稳运行和经济社会高质量发展。</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2.</w:t>
      </w:r>
      <w:r>
        <w:rPr>
          <w:rFonts w:ascii="Times New Roman" w:eastAsia="仿宋_GB2312" w:cs="Times New Roman" w:hAnsi="Times New Roman"/>
          <w:color w:val="000000"/>
          <w:sz w:val="32"/>
          <w:szCs w:val="32"/>
        </w:rPr>
        <w:t>深化文旅产业发展保障。深入落实省委十二届七次全会、州委十二届七次全会精神，州本级投入1亿元支持九寨沟、黄龙等重点景区提档升级。针对“大客流、低收益”发展困境，计划设立文旅子基金，综合运用追缴历史欠费、建立常态化征收机制、收取国企特别利润等多种方式进行筹措，重点投向旅游基础设施提升、文旅新业态培育、存量资产盘活等领域，推动全州旅游从“过境游”向“过夜游”、“观光游”向“体验游”转变，全面提升阿坝旅游品质与综合效益。强化文旅宣传营销，投入1800万元营销资金，依托热点IP打造“流量带游量”品牌效应。</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3.</w:t>
      </w:r>
      <w:r>
        <w:rPr>
          <w:rFonts w:ascii="Times New Roman" w:eastAsia="仿宋_GB2312" w:cs="Times New Roman" w:hAnsi="Times New Roman"/>
          <w:color w:val="000000"/>
          <w:sz w:val="32"/>
          <w:szCs w:val="32"/>
        </w:rPr>
        <w:t>夯实发展根基。深入落实州委关于优化营商环境工作要求，多措并举激发市场主体活力。统筹安排州级工业发展专项资金4000万元，专项用于升规企业贷款贴息及良好开局奖励，加快培育“专精特新”中小企业和“小巨人”企业，目前兑现工业领域州级奖励资金870万元，惠及62户企业。扩充电力能源专项资金池并拓宽适用范围，每年为企业减负834.9万元。落实政府采购中小企业扶持政策，授予中小企业合同金额23.59亿元，占采购规模89%。聚焦消费提质扩容，用好3127万元超长期国债资金支持消费品以旧换新，安排4000万元用于发放消费券，带动消费2.1亿元。</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4.</w:t>
      </w:r>
      <w:r>
        <w:rPr>
          <w:rFonts w:ascii="Times New Roman" w:eastAsia="仿宋_GB2312" w:cs="Times New Roman" w:hAnsi="Times New Roman"/>
          <w:color w:val="000000"/>
          <w:sz w:val="32"/>
          <w:szCs w:val="32"/>
        </w:rPr>
        <w:t>增进民生福祉。坚持民生支出优先导向，全州民生支出占比超70%，统筹5.6亿元资金保障“十大民生实事”落地。教育领域</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投入5亿元州本级教育经费，设立1000万元学生激励基金，惠及5231学生人</w:t>
      </w:r>
      <w:r>
        <w:rPr>
          <w:rFonts w:ascii="Times New Roman" w:eastAsia="仿宋_GB2312" w:cs="Times New Roman" w:hAnsi="Times New Roman"/>
          <w:color w:val="000000"/>
          <w:sz w:val="32"/>
          <w:szCs w:val="32"/>
          <w:lang w:val="en-US" w:eastAsia="zh-CN"/>
        </w:rPr>
        <w:t>/</w:t>
      </w:r>
      <w:r>
        <w:rPr>
          <w:rFonts w:ascii="Times New Roman" w:eastAsia="仿宋_GB2312" w:cs="Times New Roman" w:hAnsi="Times New Roman"/>
          <w:color w:val="000000"/>
          <w:sz w:val="32"/>
          <w:szCs w:val="32"/>
        </w:rPr>
        <w:t>次。医疗领域</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投入近5亿元推进健康阿坝建设，落地茂县高原病防治基地等医疗康养、医疗提升重点项目。就业领域</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投入6355万元就业创业补助资金，动态消除零就业家庭，设立1000万元就业创业帮扶基金，助力困难大中专毕业生稳定就业。乡村振兴</w:t>
      </w:r>
      <w:r>
        <w:rPr>
          <w:rFonts w:ascii="Times New Roman" w:eastAsia="仿宋_GB2312" w:cs="Times New Roman" w:hAnsi="Times New Roman"/>
          <w:color w:val="000000"/>
          <w:sz w:val="32"/>
          <w:szCs w:val="32"/>
          <w:lang w:eastAsia="zh-CN"/>
        </w:rPr>
        <w:t>领域</w:t>
      </w:r>
      <w:r>
        <w:rPr>
          <w:rFonts w:ascii="Times New Roman" w:eastAsia="仿宋_GB2312" w:cs="Times New Roman" w:hAnsi="Times New Roman"/>
          <w:color w:val="000000"/>
          <w:sz w:val="32"/>
          <w:szCs w:val="32"/>
        </w:rPr>
        <w:t>，下达15.4亿元中央、省、州衔接资金，投入3.5亿元推进和美乡村建设，投放2亿元培育优势特色产业，落实507万元农户厕所改造资金。深入实施“石榴籽工程”，统筹13.5亿元帮扶资金，开展六大民生帮扶行动；同时精准投入7479万元资金，帮扶2705户、1.2万名重点帮扶群众。计划三年筹集1亿元表彰“四好家庭”示范户资金，助力民族团结与社会和谐稳定。</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lang w:val="en-US" w:eastAsia="zh-CN"/>
        </w:rPr>
        <w:t>5.</w:t>
      </w:r>
      <w:r>
        <w:rPr>
          <w:rFonts w:ascii="Times New Roman" w:eastAsia="仿宋_GB2312" w:cs="Times New Roman" w:hAnsi="Times New Roman"/>
          <w:color w:val="000000"/>
          <w:sz w:val="32"/>
          <w:szCs w:val="32"/>
        </w:rPr>
        <w:t>深化财政治理改革。持续强化财政资源统筹，通过盘活财力资源、规范项目管理、清查存量资产、激活国企活力等提升资源利用效率，盘活1.2亿元“山水工程”结余资金用于生态修复，清理3680万元国债结余资金用于避险搬迁</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创新跨部门联合审核机制，严控信息化项目重复建设，对183个项目审减资金2.1亿元，精准压缩预算规模。深入推进财政管理改革，健全预算支出标准体系，完成州本级103个项目财政评审，审减节约资金1.20亿元，综合审减率7.96%</w:t>
      </w:r>
      <w:r>
        <w:rPr>
          <w:rFonts w:ascii="Times New Roman" w:eastAsia="仿宋_GB2312" w:cs="Times New Roman" w:hAnsi="Times New Roman"/>
          <w:color w:val="000000"/>
          <w:sz w:val="32"/>
          <w:szCs w:val="32"/>
          <w:lang w:eastAsia="zh-CN"/>
        </w:rPr>
        <w:t>。</w:t>
      </w:r>
      <w:r>
        <w:rPr>
          <w:rFonts w:ascii="Times New Roman" w:eastAsia="仿宋_GB2312" w:cs="Times New Roman" w:hAnsi="Times New Roman"/>
          <w:color w:val="000000"/>
          <w:sz w:val="32"/>
          <w:szCs w:val="32"/>
        </w:rPr>
        <w:t>纵深推进财会专项监督，严肃财经纪律，推行“开门编预算”，全方位、全过程、全覆盖预算绩效管理，完善绩效结果与预算安排挂钩机制，不断提升财政精细化管理水平。</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总体来看，全州财政运行稳中向好，预算执行情况总体符合预期，州人大常委会相关决议得到有效落实。</w:t>
      </w:r>
      <w:r>
        <w:rPr>
          <w:rFonts w:ascii="Times New Roman" w:eastAsia="仿宋_GB2312" w:cs="Times New Roman" w:hAnsi="Times New Roman"/>
          <w:color w:val="000000"/>
          <w:sz w:val="32"/>
          <w:szCs w:val="32"/>
          <w:lang w:eastAsia="zh-CN"/>
        </w:rPr>
        <w:t>同时，我们也</w:t>
      </w:r>
      <w:r>
        <w:rPr>
          <w:rFonts w:ascii="Times New Roman" w:eastAsia="仿宋_GB2312" w:cs="Times New Roman" w:hAnsi="Times New Roman"/>
          <w:color w:val="000000"/>
          <w:sz w:val="32"/>
          <w:szCs w:val="32"/>
        </w:rPr>
        <w:t>清醒认识到，财政收入持续增长基础尚不牢固，收支矛盾依然突出，部分领域风险防控压力加大，财政管理改革仍需深化，将高度重视，积极应对。</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黑体" w:cs="Times New Roman" w:hAnsi="Times New Roman"/>
          <w:color w:val="000000"/>
          <w:sz w:val="32"/>
          <w:szCs w:val="32"/>
        </w:rPr>
      </w:pPr>
      <w:r>
        <w:rPr>
          <w:rFonts w:ascii="Times New Roman" w:eastAsia="黑体" w:cs="Times New Roman" w:hAnsi="Times New Roman"/>
          <w:color w:val="000000"/>
          <w:sz w:val="32"/>
          <w:szCs w:val="32"/>
        </w:rPr>
        <w:t>三、下一步工作</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仿宋_GB2312" w:cs="Times New Roman" w:hAnsi="Times New Roman"/>
          <w:color w:val="000000"/>
          <w:sz w:val="32"/>
          <w:szCs w:val="32"/>
        </w:rPr>
        <w:t>下半年，坚持稳中求进工作总基调，完整、准确、全面贯彻新发展理念，更好统筹发展和安全，坚持系统思维、改革思维和底线思维，加力提效实施更加积极的财政政策，确保完成全年目标任务。</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楷体_GB2312" w:cs="Times New Roman" w:hAnsi="Times New Roman"/>
          <w:color w:val="000000"/>
          <w:sz w:val="32"/>
          <w:szCs w:val="32"/>
        </w:rPr>
        <w:t>（一）强化财源培植与收支管理。</w:t>
      </w:r>
      <w:r>
        <w:rPr>
          <w:rFonts w:ascii="Times New Roman" w:eastAsia="仿宋_GB2312" w:cs="Times New Roman" w:hAnsi="Times New Roman"/>
          <w:color w:val="000000"/>
          <w:sz w:val="32"/>
          <w:szCs w:val="32"/>
        </w:rPr>
        <w:t>依法加强收入征管深挖潜力，确保完成全年收入目标；加强财政资源统筹，适度扩大有效支出规模，集中财力保重点；强化预算执行监控，加快支出进度，盘活闲置沉淀、低效无效资金；坚决兜牢兜实基层“三保”底线，扎实做好“三保”各项工作。</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楷体_GB2312" w:cs="Times New Roman" w:hAnsi="Times New Roman"/>
          <w:color w:val="000000"/>
          <w:sz w:val="32"/>
          <w:szCs w:val="32"/>
        </w:rPr>
        <w:t>（二）聚焦大事要事精准发力。</w:t>
      </w:r>
      <w:r>
        <w:rPr>
          <w:rFonts w:ascii="Times New Roman" w:eastAsia="仿宋_GB2312" w:cs="Times New Roman" w:hAnsi="Times New Roman"/>
          <w:color w:val="000000"/>
          <w:sz w:val="32"/>
          <w:szCs w:val="32"/>
        </w:rPr>
        <w:t>全力保障省道446、国道347等重大交通项目及阿坝职业学院、长征干部学院等重点民生项目资金需求，推动产业引导基金实质运作。扎实推进资产盘活攻坚，重点突破权证办理、产权划转等瓶颈，分类施策推动土地、农村、教育类资产盘活。</w:t>
      </w:r>
    </w:p>
    <w:p>
      <w:pPr>
        <w:keepNext w:val="0"/>
        <w:keepLines w:val="0"/>
        <w:pageBreakBefore w:val="0"/>
        <w:widowControl w:val="0"/>
        <w:kinsoku/>
        <w:wordWrap/>
        <w:overflowPunct/>
        <w:topLinePunct w:val="0"/>
        <w:autoSpaceDE/>
        <w:autoSpaceDN w:val="0"/>
        <w:bidi w:val="0"/>
        <w:adjustRightInd/>
        <w:snapToGrid/>
        <w:spacing w:line="560" w:lineRule="exact"/>
        <w:ind w:firstLineChars="200" w:firstLine="640"/>
        <w:jc w:val="both"/>
        <w:textAlignment w:val="auto"/>
        <w:rPr>
          <w:rFonts w:ascii="Times New Roman" w:eastAsia="仿宋_GB2312" w:cs="Times New Roman" w:hAnsi="Times New Roman"/>
          <w:color w:val="000000"/>
          <w:sz w:val="32"/>
          <w:szCs w:val="32"/>
        </w:rPr>
      </w:pPr>
      <w:r>
        <w:rPr>
          <w:rFonts w:ascii="Times New Roman" w:eastAsia="楷体_GB2312" w:cs="Times New Roman" w:hAnsi="Times New Roman"/>
          <w:color w:val="000000"/>
          <w:sz w:val="32"/>
          <w:szCs w:val="32"/>
        </w:rPr>
        <w:t>（三）持续加大民生保障力度。</w:t>
      </w:r>
      <w:r>
        <w:rPr>
          <w:rFonts w:ascii="Times New Roman" w:eastAsia="仿宋_GB2312" w:cs="Times New Roman" w:hAnsi="Times New Roman"/>
          <w:color w:val="000000"/>
          <w:sz w:val="32"/>
          <w:szCs w:val="32"/>
        </w:rPr>
        <w:t>坚持民生优先投入，继续支持教育、医疗、就业、社保、文化等事业发展持续推进“石榴籽”工程走深走实。加强债务动态监测和社保基金监管，纵深推进防范打击非法集资，守住不发生系统性风险底线。</w:t>
      </w:r>
    </w:p>
    <w:p>
      <w:pPr>
        <w:keepNext w:val="0"/>
        <w:keepLines w:val="0"/>
        <w:pageBreakBefore w:val="0"/>
        <w:widowControl w:val="0"/>
        <w:kinsoku/>
        <w:wordWrap/>
        <w:overflowPunct/>
        <w:topLinePunct w:val="0"/>
        <w:autoSpaceDE/>
        <w:autoSpaceDN w:val="0"/>
        <w:adjustRightInd/>
        <w:snapToGrid/>
        <w:spacing w:line="560" w:lineRule="exact"/>
        <w:ind w:firstLineChars="200" w:firstLine="640"/>
        <w:rPr>
          <w:rFonts w:ascii="Times New Roman" w:cs="Times New Roman" w:hAnsi="Times New Roman"/>
          <w:lang w:eastAsia="zh-CN"/>
        </w:rPr>
      </w:pPr>
      <w:r>
        <w:rPr>
          <w:rFonts w:ascii="Times New Roman" w:eastAsia="仿宋_GB2312" w:cs="Times New Roman" w:hAnsi="Times New Roman"/>
          <w:color w:val="000000"/>
          <w:sz w:val="32"/>
          <w:szCs w:val="32"/>
        </w:rPr>
        <w:t>主任，各位副主任，秘书长，各位委员：我们将坚持以习近平新时代中国特色社会主义思想为指导，在州委的</w:t>
      </w:r>
      <w:r>
        <w:rPr>
          <w:rFonts w:ascii="Times New Roman" w:eastAsia="仿宋_GB2312" w:cs="Times New Roman" w:hAnsi="Times New Roman"/>
          <w:color w:val="000000"/>
          <w:sz w:val="32"/>
          <w:szCs w:val="32"/>
          <w:lang w:eastAsia="zh-CN"/>
        </w:rPr>
        <w:t>坚强</w:t>
      </w:r>
      <w:r>
        <w:rPr>
          <w:rFonts w:ascii="Times New Roman" w:eastAsia="仿宋_GB2312" w:cs="Times New Roman" w:hAnsi="Times New Roman"/>
          <w:color w:val="000000"/>
          <w:sz w:val="32"/>
          <w:szCs w:val="32"/>
        </w:rPr>
        <w:t>领导下，</w:t>
      </w:r>
      <w:r>
        <w:rPr>
          <w:rFonts w:ascii="Times New Roman" w:eastAsia="仿宋_GB2312" w:cs="Times New Roman" w:hAnsi="Times New Roman"/>
          <w:color w:val="000000"/>
          <w:sz w:val="32"/>
          <w:szCs w:val="32"/>
          <w:lang w:eastAsia="zh-CN"/>
        </w:rPr>
        <w:t>在</w:t>
      </w:r>
      <w:r>
        <w:rPr>
          <w:rFonts w:ascii="Times New Roman" w:eastAsia="仿宋_GB2312" w:cs="Times New Roman" w:hAnsi="Times New Roman"/>
          <w:color w:val="000000"/>
          <w:sz w:val="32"/>
          <w:szCs w:val="32"/>
        </w:rPr>
        <w:t>州人大</w:t>
      </w:r>
      <w:r>
        <w:rPr>
          <w:rFonts w:ascii="Times New Roman" w:eastAsia="仿宋_GB2312" w:cs="Times New Roman" w:hAnsi="Times New Roman"/>
          <w:color w:val="000000"/>
          <w:sz w:val="32"/>
          <w:szCs w:val="32"/>
          <w:lang w:eastAsia="zh-CN"/>
        </w:rPr>
        <w:t>常委会的</w:t>
      </w:r>
      <w:r>
        <w:rPr>
          <w:rFonts w:ascii="Times New Roman" w:eastAsia="仿宋_GB2312" w:cs="Times New Roman" w:hAnsi="Times New Roman"/>
          <w:color w:val="000000"/>
          <w:sz w:val="32"/>
          <w:szCs w:val="32"/>
        </w:rPr>
        <w:t>监督</w:t>
      </w:r>
      <w:r>
        <w:rPr>
          <w:rFonts w:ascii="Times New Roman" w:eastAsia="仿宋_GB2312" w:cs="Times New Roman" w:hAnsi="Times New Roman"/>
          <w:color w:val="000000"/>
          <w:sz w:val="32"/>
          <w:szCs w:val="32"/>
          <w:lang w:eastAsia="zh-CN"/>
        </w:rPr>
        <w:t>指导下</w:t>
      </w:r>
      <w:r>
        <w:rPr>
          <w:rFonts w:ascii="Times New Roman" w:eastAsia="仿宋_GB2312" w:cs="Times New Roman" w:hAnsi="Times New Roman"/>
          <w:color w:val="000000"/>
          <w:sz w:val="32"/>
          <w:szCs w:val="32"/>
        </w:rPr>
        <w:t>，以更加务实的作风、更加有力的举措，攻坚克难，扎实工作，全力推动全年财政各项目标任务完成</w:t>
      </w:r>
      <w:r>
        <w:rPr>
          <w:rFonts w:ascii="Times New Roman" w:eastAsia="仿宋_GB2312" w:cs="Times New Roman" w:hAnsi="Times New Roman"/>
          <w:color w:val="000000"/>
          <w:sz w:val="32"/>
          <w:szCs w:val="32"/>
          <w:lang w:eastAsia="zh-CN"/>
        </w:rPr>
        <w:t>。</w:t>
      </w:r>
      <w:bookmarkStart w:id="0" w:name="_GoBack"/>
      <w:bookmarkEnd w:id="0"/>
    </w:p>
    <w:sectPr>
      <w:footerReference w:type="default" r:id="rId2"/>
      <w:footerReference w:type="even" r:id="rId3"/>
      <w:pgSz w:w="11906" w:h="16838"/>
      <w:pgMar w:top="2098" w:right="1474" w:bottom="1984" w:left="1587" w:header="851" w:footer="992" w:gutter="0"/>
      <w:pgNumType w:start="1"/>
      <w:docGrid w:type="lines" w:linePitch="318"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003" w:usb1="288F0000" w:usb2="00000006" w:usb3="00000000" w:csb0="00040001" w:csb1="00000000"/>
  </w:font>
  <w:font w:name="Times New Roman">
    <w:panose1 w:val="02020603050405020304"/>
    <w:charset w:val="00"/>
    <w:family w:val="roman"/>
    <w:pitch w:val="variable"/>
    <w:sig w:usb0="20007A87" w:usb1="80000000" w:usb2="00000008" w:usb3="00000000" w:csb0="000001FF" w:csb1="00000000"/>
  </w:font>
  <w:font w:name="方正小标宋简体">
    <w:panose1 w:val="03000509000000000000"/>
    <w:charset w:val="86"/>
    <w:family w:val="auto"/>
    <w:pitch w:val="variable"/>
    <w:sig w:usb0="00000001" w:usb1="080E0000" w:usb2="00000000" w:usb3="00000000" w:csb0="00040000" w:csb1="00000000"/>
  </w:font>
  <w:font w:name="楷体_GB2312">
    <w:panose1 w:val="02010609030101010101"/>
    <w:charset w:val="86"/>
    <w:family w:val="auto"/>
    <w:pitch w:val="variable"/>
    <w:sig w:usb0="00000001" w:usb1="080E0000" w:usb2="00000000" w:usb3="00000000" w:csb0="00040000" w:csb1="00000000"/>
  </w:font>
  <w:font w:name="仿宋_GB2312">
    <w:panose1 w:val="02010609030101010101"/>
    <w:charset w:val="86"/>
    <w:family w:val="auto"/>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Calibri">
    <w:panose1 w:val="020F0502020204030204"/>
    <w:charset w:val="00"/>
    <w:family w:val="swiss"/>
    <w:pitch w:val="variable"/>
    <w:sig w:usb0="E0002AFF" w:usb1="C000247B" w:usb2="00000009" w:usb3="00000000" w:csb0="200001FF" w:csb1="00000000"/>
  </w:font>
  <w:font w:name="Arial">
    <w:panose1 w:val="020B0604020202020204"/>
    <w:charset w:val="01"/>
    <w:family w:val="swiss"/>
    <w:pitch w:val="variable"/>
    <w:sig w:usb0="E0002EFF" w:usb1="C0007843" w:usb2="00000009" w:usb3="00000000" w:csb0="400001FF" w:csb1="FFFF0000"/>
  </w:font>
  <w:font w:name="方正小标宋_GBK">
    <w:altName w:val="Arial Unicode MS"/>
    <w:panose1 w:val="03000509000000000000"/>
    <w:charset w:val="86"/>
    <w:family w:val="auto"/>
    <w:pitch w:val="variable"/>
    <w:sig w:usb0="00000001" w:usb1="080E0000" w:usb2="00000000" w:usb3="00000000" w:csb0="00040000" w:csb1="00000000"/>
  </w:font>
  <w:font w:name="Malgun Gothic">
    <w:panose1 w:val="020B0503020000020004"/>
    <w:charset w:val="81"/>
    <w:family w:val="auto"/>
    <w:pitch w:val="variable"/>
    <w:sig w:usb0="9000002F" w:usb1="29D77CFB" w:usb2="00000012" w:usb3="00000000" w:csb0="00080001" w:csb1="00000000"/>
  </w:font>
  <w:font w:name="Liberation Sans">
    <w:altName w:val="Vijaya"/>
    <w:panose1 w:val="020B0604020202020204"/>
    <w:charset w:val="00"/>
    <w:family w:val="auto"/>
    <w:pitch w:val="variable"/>
    <w:sig w:usb0="E0000AFF" w:usb1="500078FF" w:usb2="00000021" w:usb3="00000000" w:csb0="600001BF" w:csb1="DFF70000"/>
  </w:font>
  <w:font w:name="Noto Sans CJK SC Regular">
    <w:altName w:val="SimSun-ExtB"/>
    <w:panose1 w:val="020B0500000000000000"/>
    <w:charset w:val="86"/>
    <w:family w:val="auto"/>
    <w:pitch w:val="variable"/>
    <w:sig w:usb0="30000003" w:usb1="2BDF3C10" w:usb2="00000016" w:usb3="00000000" w:csb0="602E0107" w:csb1="00000000"/>
  </w:font>
  <w:font w:name="方正黑体_GBK">
    <w:panose1 w:val="03000509000000000000"/>
    <w:charset w:val="86"/>
    <w:family w:val="auto"/>
    <w:pitch w:val="variable"/>
    <w:sig w:usb0="00000001" w:usb1="080E0000" w:usb2="00000000" w:usb3="00000000" w:csb0="00040000" w:csb1="00000000"/>
  </w:font>
  <w:font w:name="Wingdings">
    <w:panose1 w:val="05000000000000000000"/>
    <w:charset w:val="02"/>
    <w:family w:val="auto"/>
    <w:pitch w:val="variable"/>
    <w:sig w:usb0="00000000" w:usb1="00000000" w:usb2="00000000" w:usb3="00000000" w:csb0="80000000" w:csb1="00000000"/>
  </w:font>
  <w:font w:name="Courier New">
    <w:panose1 w:val="02070309020205020404"/>
    <w:charset w:val="01"/>
    <w:family w:val="modern"/>
    <w:pitch w:val="variable"/>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8"/>
      <w:tabs>
        <w:tab w:val="clear" w:pos="4153"/>
        <w:tab w:val="left" w:pos="1003"/>
        <w:tab w:val="right" w:pos="8306"/>
      </w:tabs>
    </w:pPr>
    <w:r>
      <w:rPr>
        <w:sz w:val="18"/>
      </w:rPr>
      <mc:AlternateContent>
        <mc:Choice Requires="wps">
          <w:drawing>
            <wp:anchor distT="0" distB="0" distL="114298" distR="114298" simplePos="0" relativeHeight="13" behindDoc="0" locked="0" layoutInCell="1" hidden="0" allowOverlap="1">
              <wp:simplePos x="0" y="0"/>
              <wp:positionH relativeFrom="margin">
                <wp:align>outside</wp:align>
              </wp:positionH>
              <wp:positionV relativeFrom="paragraph">
                <wp:posOffset>12667</wp:posOffset>
              </wp:positionV>
              <wp:extent cx="1244599" cy="230251"/>
              <wp:effectExtent l="0" t="0" r="0" b="0"/>
              <wp:wrapNone/>
              <wp:docPr id="1" name="文本框 1"/>
              <wp:cNvGraphicFramePr>
                <a:graphicFrameLocks noChangeAspect="0"/>
              </wp:cNvGraphicFramePr>
              <a:graphic>
                <a:graphicData uri="http://schemas.microsoft.com/office/word/2010/wordprocessingShape">
                  <wps:wsp>
                    <wps:cNvSpPr/>
                    <wps:spPr>
                      <a:xfrm rot="0">
                        <a:off x="0" y="0"/>
                        <a:ext cx="1244599" cy="230251"/>
                      </a:xfrm>
                      <a:prstGeom prst="rect"/>
                      <a:noFill/>
                      <a:ln w="6350" cmpd="sng" cap="flat">
                        <a:noFill/>
                        <a:prstDash val="solid"/>
                        <a:round/>
                      </a:ln>
                    </wps:spPr>
                    <wps:txbx id="2">
                      <w:txbxContent>
                        <w:p>
                          <w:pPr>
                            <w:pStyle w:val="28"/>
                            <w:tabs>
                              <w:tab w:val="center" w:pos="4153"/>
                              <w:tab w:val="right" w:pos="8306"/>
                            </w:tabs>
                            <w:rPr>
                              <w:rFonts w:ascii="宋体" w:eastAsia="宋体"/>
                              <w:sz w:val="28"/>
                            </w:rPr>
                          </w:pPr>
                          <w:r>
                            <w:rPr>
                              <w:rFonts w:ascii="宋体" w:eastAsia="宋体"/>
                              <w:sz w:val="28"/>
                            </w:rPr>
                            <w:t>—</w:t>
                          </w:r>
                          <w:r>
                            <w:rPr>
                              <w:rFonts w:ascii="宋体" w:eastAsia="宋体"/>
                              <w:sz w:val="24"/>
                            </w:rPr>
                            <w:t>　</w:t>
                          </w:r>
                          <w:r>
                            <w:rPr>
                              <w:rFonts w:ascii="宋体" w:eastAsia="宋体"/>
                              <w:sz w:val="28"/>
                            </w:rPr>
                            <w:fldChar w:fldCharType="begin"/>
                          </w:r>
                          <w:r>
                            <w:rPr>
                              <w:rFonts w:ascii="宋体" w:eastAsia="宋体"/>
                              <w:sz w:val="28"/>
                            </w:rPr>
                            <w:instrText xml:space="preserve"> PAGE  \* MERGEFORMAT </w:instrText>
                          </w:r>
                          <w:r>
                            <w:rPr>
                              <w:rFonts w:ascii="宋体" w:eastAsia="宋体"/>
                              <w:sz w:val="28"/>
                            </w:rPr>
                            <w:fldChar w:fldCharType="separate"/>
                          </w:r>
                          <w:r>
                            <w:rPr>
                              <w:rFonts w:ascii="宋体" w:eastAsia="宋体"/>
                              <w:sz w:val="28"/>
                            </w:rPr>
                            <w:t>1</w:t>
                          </w:r>
                          <w:r>
                            <w:rPr>
                              <w:rFonts w:ascii="宋体" w:eastAsia="宋体"/>
                              <w:sz w:val="28"/>
                            </w:rPr>
                            <w:fldChar w:fldCharType="end"/>
                          </w:r>
                          <w:r>
                            <w:rPr>
                              <w:rFonts w:ascii="宋体" w:eastAsia="宋体"/>
                              <w:sz w:val="24"/>
                            </w:rPr>
                            <w:t>　</w:t>
                          </w:r>
                          <w:r>
                            <w:rPr>
                              <w:rFonts w:ascii="宋体" w:eastAsia="宋体"/>
                              <w:sz w:val="28"/>
                            </w:rPr>
                            <w:t>—</w:t>
                          </w:r>
                        </w:p>
                      </w:txbxContent>
                    </wps:txbx>
                    <wps:bodyPr vert="horz" wrap="none" lIns="203200" tIns="0" rIns="203200" bIns="0" anchor="t" anchorCtr="0" upright="0">
                      <a:spAutoFit/>
                    </wps:bodyPr>
                  </wps:wsp>
                </a:graphicData>
              </a:graphic>
            </wp:anchor>
          </w:drawing>
        </mc:Choice>
        <mc:Fallback>
          <w:pict>
            <v:shape type="#_x0000_t202" id="文本框 1 3" o:spid="_x0000_s3" filled="f" stroked="f" strokeweight="0.5pt" style="position:absolute;margin-left:0.0pt;margin-top:0.99745184pt;width:97.999985pt;height:18.130003pt;z-index:13;mso-position-horizontal:outside;mso-position-horizontal-relative:margin;mso-position-vertical:absolute;mso-wrap-distance-left:8.999863pt;mso-wrap-distance-right:8.999863pt;mso-wrap-style:none;">
              <v:stroke color="#000000"/>
              <v:textbox id="849" inset="5.644mm,0mm,5.644mm,0mm" o:insetmode="custom" style="layout-flow:horizontal;v-text-anchor:top;mso-fit-shape-to-text:t;">
                <w:txbxContent>
                  <w:p>
                    <w:pPr>
                      <w:pStyle w:val="28"/>
                      <w:tabs>
                        <w:tab w:val="center" w:pos="4153"/>
                        <w:tab w:val="right" w:pos="8306"/>
                      </w:tabs>
                      <w:rPr>
                        <w:rFonts w:ascii="宋体" w:eastAsia="宋体"/>
                        <w:sz w:val="28"/>
                      </w:rPr>
                    </w:pPr>
                    <w:r>
                      <w:rPr>
                        <w:rFonts w:ascii="宋体" w:eastAsia="宋体"/>
                        <w:sz w:val="28"/>
                      </w:rPr>
                      <w:t>—</w:t>
                    </w:r>
                    <w:r>
                      <w:rPr>
                        <w:rFonts w:ascii="宋体" w:eastAsia="宋体"/>
                        <w:sz w:val="24"/>
                      </w:rPr>
                      <w:t>　</w:t>
                    </w:r>
                    <w:r>
                      <w:rPr>
                        <w:rFonts w:ascii="宋体" w:eastAsia="宋体"/>
                        <w:sz w:val="28"/>
                      </w:rPr>
                      <w:fldChar w:fldCharType="begin"/>
                    </w:r>
                    <w:r>
                      <w:rPr>
                        <w:rFonts w:ascii="宋体" w:eastAsia="宋体"/>
                        <w:sz w:val="28"/>
                      </w:rPr>
                      <w:instrText xml:space="preserve"> PAGE  \* MERGEFORMAT </w:instrText>
                    </w:r>
                    <w:r>
                      <w:rPr>
                        <w:rFonts w:ascii="宋体" w:eastAsia="宋体"/>
                        <w:sz w:val="28"/>
                      </w:rPr>
                      <w:fldChar w:fldCharType="separate"/>
                    </w:r>
                    <w:r>
                      <w:rPr>
                        <w:rFonts w:ascii="宋体" w:eastAsia="宋体"/>
                        <w:sz w:val="28"/>
                      </w:rPr>
                      <w:t>1</w:t>
                    </w:r>
                    <w:r>
                      <w:rPr>
                        <w:rFonts w:ascii="宋体" w:eastAsia="宋体"/>
                        <w:sz w:val="28"/>
                      </w:rPr>
                      <w:fldChar w:fldCharType="end"/>
                    </w:r>
                    <w:r>
                      <w:rPr>
                        <w:rFonts w:ascii="宋体" w:eastAsia="宋体"/>
                        <w:sz w:val="24"/>
                      </w:rPr>
                      <w:t>　</w:t>
                    </w:r>
                    <w:r>
                      <w:rPr>
                        <w:rFonts w:ascii="宋体" w:eastAsia="宋体"/>
                        <w:sz w:val="28"/>
                      </w:rPr>
                      <w:t>—</w:t>
                    </w:r>
                  </w:p>
                </w:txbxContent>
              </v:textbox>
            </v:shape>
          </w:pict>
        </mc:Fallback>
      </mc:AlternateContent>
    </w:r>
    <w:r>
      <w:rPr>
        <w:rFonts w:hint="eastAsia"/>
        <w:lang w:eastAsia="zh-CN"/>
      </w:rPr>
      <w:tab/>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8"/>
      <w:tabs>
        <w:tab w:val="center" w:pos="4153"/>
        <w:tab w:val="right" w:pos="8306"/>
      </w:tabs>
    </w:pPr>
    <w:r>
      <w:rPr>
        <w:sz w:val="18"/>
      </w:rPr>
      <mc:AlternateContent>
        <mc:Choice Requires="wps">
          <w:drawing>
            <wp:anchor distT="0" distB="0" distL="114298" distR="114298" simplePos="0" relativeHeight="15" behindDoc="0" locked="0" layoutInCell="1" hidden="0" allowOverlap="1">
              <wp:simplePos x="0" y="0"/>
              <wp:positionH relativeFrom="margin">
                <wp:align>outside</wp:align>
              </wp:positionH>
              <wp:positionV relativeFrom="paragraph">
                <wp:posOffset>12667</wp:posOffset>
              </wp:positionV>
              <wp:extent cx="1244600" cy="230251"/>
              <wp:effectExtent l="0" t="0" r="0" b="0"/>
              <wp:wrapNone/>
              <wp:docPr id="4" name="文本框 2"/>
              <wp:cNvGraphicFramePr>
                <a:graphicFrameLocks noChangeAspect="0"/>
              </wp:cNvGraphicFramePr>
              <a:graphic>
                <a:graphicData uri="http://schemas.microsoft.com/office/word/2010/wordprocessingShape">
                  <wps:wsp>
                    <wps:cNvSpPr/>
                    <wps:spPr>
                      <a:xfrm rot="0">
                        <a:off x="0" y="0"/>
                        <a:ext cx="1244600" cy="230251"/>
                      </a:xfrm>
                      <a:prstGeom prst="rect"/>
                      <a:noFill/>
                      <a:ln w="6350" cmpd="sng" cap="flat">
                        <a:noFill/>
                        <a:prstDash val="solid"/>
                        <a:round/>
                      </a:ln>
                    </wps:spPr>
                    <wps:txbx id="5">
                      <w:txbxContent>
                        <w:p>
                          <w:pPr>
                            <w:pStyle w:val="28"/>
                            <w:tabs>
                              <w:tab w:val="center" w:pos="4153"/>
                              <w:tab w:val="right" w:pos="8306"/>
                            </w:tabs>
                            <w:rPr>
                              <w:rFonts w:ascii="宋体" w:eastAsia="宋体"/>
                              <w:sz w:val="28"/>
                            </w:rPr>
                          </w:pPr>
                          <w:r>
                            <w:rPr>
                              <w:rFonts w:ascii="宋体" w:eastAsia="宋体"/>
                              <w:sz w:val="28"/>
                            </w:rPr>
                            <w:t>—</w:t>
                          </w:r>
                          <w:r>
                            <w:rPr>
                              <w:rFonts w:ascii="宋体" w:eastAsia="宋体"/>
                              <w:sz w:val="24"/>
                            </w:rPr>
                            <w:t>　</w:t>
                          </w:r>
                          <w:r>
                            <w:rPr>
                              <w:rFonts w:ascii="宋体" w:eastAsia="宋体"/>
                              <w:sz w:val="28"/>
                            </w:rPr>
                            <w:fldChar w:fldCharType="begin"/>
                          </w:r>
                          <w:r>
                            <w:rPr>
                              <w:rFonts w:ascii="宋体" w:eastAsia="宋体"/>
                              <w:sz w:val="28"/>
                            </w:rPr>
                            <w:instrText xml:space="preserve"> PAGE  \* MERGEFORMAT </w:instrText>
                          </w:r>
                          <w:r>
                            <w:rPr>
                              <w:rFonts w:ascii="宋体" w:eastAsia="宋体"/>
                              <w:sz w:val="28"/>
                            </w:rPr>
                            <w:fldChar w:fldCharType="separate"/>
                          </w:r>
                          <w:r>
                            <w:rPr>
                              <w:rFonts w:ascii="宋体" w:eastAsia="宋体"/>
                              <w:sz w:val="28"/>
                            </w:rPr>
                            <w:t>2</w:t>
                          </w:r>
                          <w:r>
                            <w:rPr>
                              <w:rFonts w:ascii="宋体" w:eastAsia="宋体"/>
                              <w:sz w:val="28"/>
                            </w:rPr>
                            <w:fldChar w:fldCharType="end"/>
                          </w:r>
                          <w:r>
                            <w:rPr>
                              <w:rFonts w:ascii="宋体" w:eastAsia="宋体"/>
                              <w:sz w:val="24"/>
                            </w:rPr>
                            <w:t>　</w:t>
                          </w:r>
                          <w:r>
                            <w:rPr>
                              <w:rFonts w:ascii="宋体" w:eastAsia="宋体"/>
                              <w:sz w:val="28"/>
                            </w:rPr>
                            <w:t>—</w:t>
                          </w:r>
                        </w:p>
                      </w:txbxContent>
                    </wps:txbx>
                    <wps:bodyPr vert="horz" wrap="none" lIns="203200" tIns="0" rIns="203200" bIns="0" anchor="t" anchorCtr="0" upright="0">
                      <a:spAutoFit/>
                    </wps:bodyPr>
                  </wps:wsp>
                </a:graphicData>
              </a:graphic>
            </wp:anchor>
          </w:drawing>
        </mc:Choice>
        <mc:Fallback>
          <w:pict>
            <v:shape type="#_x0000_t202" id="文本框 2 6" o:spid="_x0000_s6" filled="f" stroked="f" strokeweight="0.5pt" style="position:absolute;margin-left:0.0pt;margin-top:0.99745184pt;width:98.0pt;height:18.130003pt;z-index:15;mso-position-horizontal:outside;mso-position-horizontal-relative:margin;mso-position-vertical:absolute;mso-wrap-distance-left:8.999863pt;mso-wrap-distance-right:8.999863pt;mso-wrap-style:none;">
              <v:stroke color="#000000"/>
              <v:textbox id="848" inset="5.644mm,0mm,5.644mm,0mm" o:insetmode="custom" style="layout-flow:horizontal;v-text-anchor:top;mso-fit-shape-to-text:t;">
                <w:txbxContent>
                  <w:p>
                    <w:pPr>
                      <w:pStyle w:val="28"/>
                      <w:tabs>
                        <w:tab w:val="center" w:pos="4153"/>
                        <w:tab w:val="right" w:pos="8306"/>
                      </w:tabs>
                      <w:rPr>
                        <w:rFonts w:ascii="宋体" w:eastAsia="宋体"/>
                        <w:sz w:val="28"/>
                      </w:rPr>
                    </w:pPr>
                    <w:r>
                      <w:rPr>
                        <w:rFonts w:ascii="宋体" w:eastAsia="宋体"/>
                        <w:sz w:val="28"/>
                      </w:rPr>
                      <w:t>—</w:t>
                    </w:r>
                    <w:r>
                      <w:rPr>
                        <w:rFonts w:ascii="宋体" w:eastAsia="宋体"/>
                        <w:sz w:val="24"/>
                      </w:rPr>
                      <w:t>　</w:t>
                    </w:r>
                    <w:r>
                      <w:rPr>
                        <w:rFonts w:ascii="宋体" w:eastAsia="宋体"/>
                        <w:sz w:val="28"/>
                      </w:rPr>
                      <w:fldChar w:fldCharType="begin"/>
                    </w:r>
                    <w:r>
                      <w:rPr>
                        <w:rFonts w:ascii="宋体" w:eastAsia="宋体"/>
                        <w:sz w:val="28"/>
                      </w:rPr>
                      <w:instrText xml:space="preserve"> PAGE  \* MERGEFORMAT </w:instrText>
                    </w:r>
                    <w:r>
                      <w:rPr>
                        <w:rFonts w:ascii="宋体" w:eastAsia="宋体"/>
                        <w:sz w:val="28"/>
                      </w:rPr>
                      <w:fldChar w:fldCharType="separate"/>
                    </w:r>
                    <w:r>
                      <w:rPr>
                        <w:rFonts w:ascii="宋体" w:eastAsia="宋体"/>
                        <w:sz w:val="28"/>
                      </w:rPr>
                      <w:t>2</w:t>
                    </w:r>
                    <w:r>
                      <w:rPr>
                        <w:rFonts w:ascii="宋体" w:eastAsia="宋体"/>
                        <w:sz w:val="28"/>
                      </w:rPr>
                      <w:fldChar w:fldCharType="end"/>
                    </w:r>
                    <w:r>
                      <w:rPr>
                        <w:rFonts w:ascii="宋体" w:eastAsia="宋体"/>
                        <w:sz w:val="24"/>
                      </w:rPr>
                      <w:t>　</w:t>
                    </w:r>
                    <w:r>
                      <w:rPr>
                        <w:rFonts w:ascii="宋体" w:eastAsia="宋体"/>
                        <w:sz w:val="28"/>
                      </w:rPr>
                      <w:t>—</w:t>
                    </w:r>
                  </w:p>
                </w:txbxContent>
              </v:textbox>
            </v:shape>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DBDEFF53"/>
    <w:multiLevelType w:val="multilevel"/>
    <w:tmpl w:val="DBDEFF53"/>
    <w:lvl w:ilvl="0">
      <w:start w:val="1"/>
      <w:numFmt w:val="bullet"/>
      <w:lvlRestart w:val="0"/>
      <w:pStyle w:val="23"/>
      <w:lvlText w:val=""/>
      <w:lvlJc w:val="left"/>
      <w:pPr>
        <w:tabs>
          <w:tab w:val="num" w:pos="0"/>
        </w:tabs>
        <w:ind w:left="78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eastAsia="Courier New" w:cs="Courier New" w:hint="default"/>
      </w:rPr>
    </w:lvl>
    <w:lvl w:ilvl="2">
      <w:start w:val="1"/>
      <w:numFmt w:val="bullet"/>
      <w:lvlText w:val="§"/>
      <w:lvlJc w:val="left"/>
      <w:pPr>
        <w:tabs>
          <w:tab w:val="num" w:pos="0"/>
        </w:tabs>
        <w:ind w:left="2160" w:hanging="360"/>
      </w:pPr>
      <w:rPr>
        <w:rFonts w:ascii="Wingdings" w:hAnsi="Wingdings" w:eastAsia="Wingdings" w:cs="Wingdings" w:hint="default"/>
      </w:rPr>
    </w:lvl>
    <w:lvl w:ilvl="3">
      <w:start w:val="1"/>
      <w:numFmt w:val="bullet"/>
      <w:lvlText w:val="·"/>
      <w:lvlJc w:val="left"/>
      <w:pPr>
        <w:tabs>
          <w:tab w:val="num" w:pos="0"/>
        </w:tabs>
        <w:ind w:left="2880" w:hanging="360"/>
      </w:pPr>
      <w:rPr>
        <w:rFonts w:ascii="Symbol" w:hAnsi="Symbol" w:eastAsia="Symbol" w:cs="Symbol" w:hint="default"/>
      </w:rPr>
    </w:lvl>
    <w:lvl w:ilvl="4">
      <w:start w:val="1"/>
      <w:numFmt w:val="bullet"/>
      <w:lvlText w:val="o"/>
      <w:lvlJc w:val="left"/>
      <w:pPr>
        <w:tabs>
          <w:tab w:val="num" w:pos="0"/>
        </w:tabs>
        <w:ind w:left="3600" w:hanging="360"/>
      </w:pPr>
      <w:rPr>
        <w:rFonts w:ascii="Courier New" w:hAnsi="Courier New" w:eastAsia="Courier New" w:cs="Courier New" w:hint="default"/>
      </w:rPr>
    </w:lvl>
    <w:lvl w:ilvl="5">
      <w:start w:val="1"/>
      <w:numFmt w:val="bullet"/>
      <w:lvlText w:val="§"/>
      <w:lvlJc w:val="left"/>
      <w:pPr>
        <w:tabs>
          <w:tab w:val="num" w:pos="0"/>
        </w:tabs>
        <w:ind w:left="4320" w:hanging="360"/>
      </w:pPr>
      <w:rPr>
        <w:rFonts w:ascii="Wingdings" w:hAnsi="Wingdings" w:eastAsia="Wingdings" w:cs="Wingdings" w:hint="default"/>
      </w:rPr>
    </w:lvl>
    <w:lvl w:ilvl="6">
      <w:start w:val="1"/>
      <w:numFmt w:val="bullet"/>
      <w:lvlText w:val="·"/>
      <w:lvlJc w:val="left"/>
      <w:pPr>
        <w:tabs>
          <w:tab w:val="num" w:pos="0"/>
        </w:tabs>
        <w:ind w:left="5040" w:hanging="360"/>
      </w:pPr>
      <w:rPr>
        <w:rFonts w:ascii="Symbol" w:hAnsi="Symbol" w:eastAsia="Symbol" w:cs="Symbol" w:hint="default"/>
      </w:rPr>
    </w:lvl>
    <w:lvl w:ilvl="7">
      <w:start w:val="1"/>
      <w:numFmt w:val="bullet"/>
      <w:lvlText w:val="o"/>
      <w:lvlJc w:val="left"/>
      <w:pPr>
        <w:tabs>
          <w:tab w:val="num" w:pos="0"/>
        </w:tabs>
        <w:ind w:left="5760" w:hanging="360"/>
      </w:pPr>
      <w:rPr>
        <w:rFonts w:ascii="Courier New" w:hAnsi="Courier New" w:eastAsia="Courier New" w:cs="Courier New" w:hint="default"/>
      </w:rPr>
    </w:lvl>
    <w:lvl w:ilvl="8">
      <w:start w:val="1"/>
      <w:numFmt w:val="bullet"/>
      <w:lvlText w:val="§"/>
      <w:lvlJc w:val="left"/>
      <w:pPr>
        <w:tabs>
          <w:tab w:val="num" w:pos="0"/>
        </w:tabs>
        <w:ind w:left="6480" w:hanging="360"/>
      </w:pPr>
      <w:rPr>
        <w:rFonts w:ascii="Wingdings" w:hAnsi="Wingdings" w:eastAsia="Wingdings" w:cs="Wingdings" w:hint="default"/>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0"/>
  <w:bordersDoNotSurroundHeader/>
  <w:bordersDoNotSurroundFooter/>
  <w:documentProtection w:edit="readOnly" w:enforcement="0"/>
  <w:defaultTabStop w:val="420"/>
  <w:evenAndOddHeaders/>
  <w:drawingGridHorizontalSpacing w:val="0"/>
  <w:drawingGridVerticalSpacing w:val="318"/>
  <w:displayHorizontalDrawingGridEvery w:val="0"/>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paragraph" w:styleId="1">
    <w:name w:val="heading 1"/>
    <w:basedOn w:val="0"/>
    <w:next w:val="0"/>
    <w:pPr>
      <w:ind w:left="706"/>
      <w:outlineLvl w:val="0"/>
    </w:pPr>
    <w:rPr>
      <w:rFonts w:ascii="方正小标宋_GBK" w:eastAsia="方正小标宋_GBK"/>
      <w:sz w:val="44"/>
      <w:szCs w:val="24"/>
    </w:rPr>
  </w:style>
  <w:style w:type="paragraph" w:styleId="2">
    <w:name w:val="heading 2"/>
    <w:basedOn w:val="0"/>
    <w:next w:val="0"/>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1"/>
    </w:pPr>
    <w:rPr>
      <w:rFonts w:ascii="宋体" w:eastAsia="宋体"/>
      <w:b/>
      <w:snapToGrid/>
      <w:color w:val="auto"/>
      <w:spacing w:val="0"/>
      <w:kern w:val="0"/>
      <w:position w:val="0"/>
      <w:sz w:val="36"/>
      <w:szCs w:val="21"/>
      <w:u w:val="none"/>
      <w:vertAlign w:val="baseline"/>
      <w:lang w:val="en-US" w:eastAsia="zh-CN"/>
    </w:rPr>
  </w:style>
  <w:style w:type="paragraph" w:styleId="3">
    <w:name w:val="heading 3"/>
    <w:basedOn w:val="0"/>
    <w:next w:val="0"/>
    <w:pPr>
      <w:spacing w:before="0" w:beforeAutospacing="1" w:after="0" w:afterAutospacing="1"/>
      <w:jc w:val="left"/>
      <w:outlineLvl w:val="2"/>
    </w:pPr>
    <w:rPr>
      <w:rFonts w:ascii="宋体" w:eastAsia="宋体" w:cs="宋体"/>
      <w:b/>
      <w:kern w:val="0"/>
      <w:sz w:val="27"/>
      <w:szCs w:val="27"/>
      <w:lang w:val="en-US" w:eastAsia="zh-CN"/>
    </w:rPr>
  </w:style>
  <w:style w:type="paragraph" w:styleId="4">
    <w:name w:val="heading 4"/>
    <w:basedOn w:val="0"/>
    <w:next w:val="0"/>
    <w:pPr>
      <w:keepNext/>
      <w:keepLines/>
      <w:widowControl w:val="0"/>
      <w:spacing w:before="320" w:after="200"/>
      <w:outlineLvl w:val="3"/>
    </w:pPr>
    <w:rPr>
      <w:rFonts w:ascii="Arial" w:eastAsia="Arial" w:cs="Arial" w:hAnsi="Arial"/>
      <w:b/>
      <w:bCs/>
      <w:sz w:val="26"/>
      <w:szCs w:val="26"/>
    </w:rPr>
  </w:style>
  <w:style w:type="paragraph" w:styleId="5">
    <w:name w:val="heading 5"/>
    <w:basedOn w:val="0"/>
    <w:next w:val="0"/>
    <w:pPr>
      <w:keepNext/>
      <w:keepLines/>
      <w:widowControl w:val="0"/>
      <w:spacing w:before="320" w:after="200"/>
      <w:outlineLvl w:val="4"/>
    </w:pPr>
    <w:rPr>
      <w:rFonts w:ascii="Arial" w:eastAsia="Arial" w:cs="Arial" w:hAnsi="Arial"/>
      <w:b/>
      <w:bCs/>
      <w:sz w:val="24"/>
      <w:szCs w:val="24"/>
    </w:rPr>
  </w:style>
  <w:style w:type="paragraph" w:styleId="6">
    <w:name w:val="heading 6"/>
    <w:basedOn w:val="0"/>
    <w:next w:val="0"/>
    <w:pPr>
      <w:keepNext/>
      <w:keepLines/>
      <w:widowControl w:val="0"/>
      <w:spacing w:before="320" w:after="200"/>
      <w:outlineLvl w:val="5"/>
    </w:pPr>
    <w:rPr>
      <w:rFonts w:ascii="Arial" w:eastAsia="Arial" w:cs="Arial" w:hAnsi="Arial"/>
      <w:b/>
      <w:bCs/>
      <w:sz w:val="22"/>
      <w:szCs w:val="22"/>
    </w:rPr>
  </w:style>
  <w:style w:type="paragraph" w:styleId="7">
    <w:name w:val="heading 7"/>
    <w:basedOn w:val="0"/>
    <w:next w:val="0"/>
    <w:pPr>
      <w:keepNext/>
      <w:keepLines/>
      <w:widowControl w:val="0"/>
      <w:spacing w:before="320" w:after="200"/>
      <w:outlineLvl w:val="6"/>
    </w:pPr>
    <w:rPr>
      <w:rFonts w:ascii="Arial" w:eastAsia="Arial" w:cs="Arial" w:hAnsi="Arial"/>
      <w:b/>
      <w:bCs/>
      <w:i/>
      <w:iCs/>
      <w:sz w:val="22"/>
      <w:szCs w:val="22"/>
    </w:rPr>
  </w:style>
  <w:style w:type="paragraph" w:styleId="8">
    <w:name w:val="heading 8"/>
    <w:basedOn w:val="0"/>
    <w:next w:val="0"/>
    <w:pPr>
      <w:keepNext/>
      <w:keepLines/>
      <w:widowControl w:val="0"/>
      <w:spacing w:before="320" w:after="200"/>
      <w:outlineLvl w:val="7"/>
    </w:pPr>
    <w:rPr>
      <w:rFonts w:ascii="Arial" w:eastAsia="Arial" w:cs="Arial" w:hAnsi="Arial"/>
      <w:i/>
      <w:iCs/>
      <w:sz w:val="22"/>
      <w:szCs w:val="22"/>
    </w:rPr>
  </w:style>
  <w:style w:type="paragraph" w:styleId="9">
    <w:name w:val="heading 9"/>
    <w:basedOn w:val="0"/>
    <w:next w:val="0"/>
    <w:pPr>
      <w:keepNext/>
      <w:keepLines/>
      <w:widowControl w:val="0"/>
      <w:spacing w:before="320" w:after="200"/>
      <w:outlineLvl w:val="8"/>
    </w:pPr>
    <w:rPr>
      <w:rFonts w:ascii="Arial" w:eastAsia="Arial" w:cs="Arial" w:hAnsi="Arial"/>
      <w:i/>
      <w:iCs/>
      <w:sz w:val="21"/>
      <w:szCs w:val="21"/>
    </w:rPr>
  </w:style>
  <w:style w:type="character" w:default="1" w:styleId="10">
    <w:name w:val="Default Paragraph Font"/>
  </w:style>
  <w:style w:type="paragraph" w:styleId="15">
    <w:name w:val="toc 7"/>
    <w:basedOn w:val="0"/>
    <w:next w:val="0"/>
    <w:pPr>
      <w:spacing w:after="57"/>
      <w:ind w:left="1701" w:right="0" w:firstLine="0"/>
    </w:pPr>
  </w:style>
  <w:style w:type="paragraph" w:styleId="16">
    <w:name w:val="Normal Indent"/>
    <w:basedOn w:val="0"/>
    <w:pPr>
      <w:ind w:firstLineChars="200" w:firstLine="200"/>
    </w:pPr>
  </w:style>
  <w:style w:type="paragraph" w:styleId="17">
    <w:name w:val="caption"/>
    <w:basedOn w:val="0"/>
    <w:next w:val="0"/>
    <w:pPr>
      <w:spacing w:line="276" w:lineRule="auto"/>
    </w:pPr>
    <w:rPr>
      <w:b/>
      <w:bCs/>
      <w:color w:val="5B9BD5"/>
      <w:sz w:val="18"/>
      <w:szCs w:val="18"/>
    </w:rPr>
  </w:style>
  <w:style w:type="paragraph" w:styleId="18">
    <w:name w:val="index 6"/>
    <w:basedOn w:val="0"/>
    <w:next w:val="0"/>
    <w:pPr>
      <w:widowControl w:val="0"/>
      <w:ind w:left="2100"/>
      <w:jc w:val="both"/>
    </w:pPr>
    <w:rPr>
      <w:rFonts w:ascii="Calibri" w:eastAsia="宋体" w:cs="Times New Roman" w:hAnsi="Calibri"/>
      <w:kern w:val="2"/>
      <w:sz w:val="21"/>
      <w:szCs w:val="21"/>
      <w:lang w:val="en-US" w:eastAsia="zh-CN" w:bidi="ar-SA"/>
    </w:rPr>
  </w:style>
  <w:style w:type="paragraph" w:styleId="19">
    <w:name w:val="Salutation"/>
    <w:basedOn w:val="0"/>
    <w:next w:val="0"/>
  </w:style>
  <w:style w:type="paragraph" w:styleId="20">
    <w:name w:val="Body Text"/>
    <w:basedOn w:val="0"/>
    <w:pPr>
      <w:spacing w:before="0" w:after="140" w:line="276" w:lineRule="auto"/>
    </w:pPr>
  </w:style>
  <w:style w:type="paragraph" w:styleId="21">
    <w:name w:val="Body Text Indent"/>
    <w:basedOn w:val="0"/>
    <w:next w:val="22"/>
    <w:pPr>
      <w:spacing w:line="640" w:lineRule="exact"/>
      <w:ind w:firstLine="645"/>
    </w:pPr>
    <w:rPr>
      <w:rFonts w:ascii="Times New Roman" w:hAnsi="Times New Roman"/>
    </w:rPr>
  </w:style>
  <w:style w:type="paragraph" w:styleId="22">
    <w:name w:val="Body Text First Indent 2"/>
    <w:basedOn w:val="0"/>
    <w:next w:val="0"/>
    <w:pPr>
      <w:keepNext w:val="0"/>
      <w:keepLines w:val="0"/>
      <w:widowControl w:val="0"/>
      <w:suppressLineNumbers w:val="0"/>
      <w:spacing w:before="0" w:beforeAutospacing="0" w:after="120" w:afterAutospacing="0"/>
      <w:ind w:leftChars="200" w:left="200" w:right="0" w:firstLineChars="200" w:firstLine="200"/>
      <w:jc w:val="both"/>
    </w:pPr>
    <w:rPr>
      <w:rFonts w:ascii="Times New Roman" w:eastAsia="宋体" w:cs="Times New Roman" w:hAnsi="Times New Roman"/>
      <w:kern w:val="2"/>
      <w:sz w:val="21"/>
      <w:szCs w:val="24"/>
      <w:lang w:val="en-US" w:eastAsia="zh-CN" w:bidi="ar-SA"/>
    </w:rPr>
  </w:style>
  <w:style w:type="paragraph" w:styleId="23">
    <w:name w:val="List Bullet 2"/>
    <w:basedOn w:val="0"/>
    <w:pPr>
      <w:numPr>
        <w:ilvl w:val="0"/>
        <w:numId w:val="1"/>
      </w:numPr>
    </w:pPr>
  </w:style>
  <w:style w:type="paragraph" w:styleId="24">
    <w:name w:val="toc 5"/>
    <w:basedOn w:val="0"/>
    <w:next w:val="0"/>
    <w:pPr>
      <w:spacing w:after="57"/>
      <w:ind w:left="1134" w:right="0" w:firstLine="0"/>
    </w:pPr>
  </w:style>
  <w:style w:type="paragraph" w:styleId="25">
    <w:name w:val="toc 3"/>
    <w:basedOn w:val="0"/>
    <w:next w:val="0"/>
    <w:pPr>
      <w:spacing w:after="57"/>
      <w:ind w:left="567" w:right="0" w:firstLine="0"/>
    </w:pPr>
  </w:style>
  <w:style w:type="paragraph" w:styleId="26">
    <w:name w:val="toc 8"/>
    <w:basedOn w:val="0"/>
    <w:next w:val="0"/>
    <w:pPr>
      <w:spacing w:after="57"/>
      <w:ind w:left="1984" w:right="0" w:firstLine="0"/>
    </w:pPr>
  </w:style>
  <w:style w:type="paragraph" w:styleId="27">
    <w:name w:val="endnote text"/>
    <w:basedOn w:val="0"/>
    <w:pPr>
      <w:spacing w:after="0" w:line="240" w:lineRule="auto"/>
    </w:pPr>
    <w:rPr>
      <w:sz w:val="20"/>
    </w:rPr>
  </w:style>
  <w:style w:type="paragraph" w:styleId="28">
    <w:name w:val="footer"/>
    <w:basedOn w:val="0"/>
    <w:next w:val="0"/>
    <w:pPr>
      <w:tabs>
        <w:tab w:val="center" w:pos="4153"/>
        <w:tab w:val="right" w:pos="8306"/>
      </w:tabs>
      <w:snapToGrid w:val="0"/>
      <w:jc w:val="left"/>
    </w:pPr>
    <w:rPr>
      <w:sz w:val="18"/>
      <w:szCs w:val="18"/>
    </w:rPr>
  </w:style>
  <w:style w:type="paragraph" w:styleId="29">
    <w:name w:val="header"/>
    <w:basedOn w:val="0"/>
    <w:pPr>
      <w:pBdr>
        <w:top w:val="none" w:sz="0" w:space="0" w:color="auto"/>
        <w:left w:val="none" w:sz="0" w:space="0" w:color="auto"/>
        <w:bottom w:val="none" w:sz="0" w:space="0" w:color="auto"/>
        <w:right w:val="none" w:sz="0" w:space="0" w:color="auto"/>
      </w:pBdr>
      <w:tabs>
        <w:tab w:val="center" w:pos="4153"/>
        <w:tab w:val="right" w:pos="8306"/>
      </w:tabs>
      <w:snapToGrid w:val="0"/>
      <w:jc w:val="center"/>
    </w:pPr>
    <w:rPr>
      <w:rFonts w:ascii="Calibri" w:hAnsi="Calibri"/>
      <w:sz w:val="18"/>
      <w:szCs w:val="18"/>
    </w:rPr>
  </w:style>
  <w:style w:type="paragraph" w:styleId="30">
    <w:name w:val="toc 1"/>
    <w:basedOn w:val="0"/>
    <w:next w:val="0"/>
    <w:pPr>
      <w:spacing w:after="57"/>
      <w:ind w:left="0" w:right="0" w:firstLine="0"/>
    </w:pPr>
  </w:style>
  <w:style w:type="paragraph" w:styleId="31">
    <w:name w:val="toc 4"/>
    <w:basedOn w:val="0"/>
    <w:next w:val="0"/>
    <w:pPr>
      <w:spacing w:after="57"/>
      <w:ind w:left="850" w:right="0" w:firstLine="0"/>
    </w:pPr>
  </w:style>
  <w:style w:type="paragraph" w:styleId="32">
    <w:name w:val="Subtitle"/>
    <w:basedOn w:val="0"/>
    <w:next w:val="0"/>
    <w:pPr>
      <w:spacing w:before="200" w:after="200"/>
    </w:pPr>
    <w:rPr>
      <w:sz w:val="24"/>
      <w:szCs w:val="24"/>
    </w:rPr>
  </w:style>
  <w:style w:type="paragraph" w:styleId="33">
    <w:name w:val="footnote text"/>
    <w:basedOn w:val="0"/>
    <w:next w:val="20"/>
    <w:pPr>
      <w:widowControl w:val="0"/>
      <w:snapToGrid w:val="0"/>
      <w:jc w:val="left"/>
    </w:pPr>
    <w:rPr>
      <w:rFonts w:ascii="Calibri" w:eastAsia="宋体" w:cs="Times New Roman" w:hAnsi="Calibri"/>
      <w:kern w:val="2"/>
      <w:sz w:val="18"/>
      <w:szCs w:val="24"/>
      <w:lang w:val="en-US" w:eastAsia="zh-CN" w:bidi="ar-SA"/>
    </w:rPr>
  </w:style>
  <w:style w:type="paragraph" w:styleId="34">
    <w:name w:val="toc 6"/>
    <w:basedOn w:val="0"/>
    <w:next w:val="0"/>
    <w:pPr>
      <w:spacing w:after="57"/>
      <w:ind w:left="1417" w:right="0" w:firstLine="0"/>
    </w:pPr>
  </w:style>
  <w:style w:type="paragraph" w:styleId="35">
    <w:name w:val="table of figures"/>
    <w:basedOn w:val="0"/>
    <w:next w:val="0"/>
    <w:pPr>
      <w:spacing w:before="100" w:beforeAutospacing="1" w:after="100" w:afterAutospacing="1"/>
      <w:ind w:leftChars="200" w:left="400" w:hangingChars="200" w:hanging="200"/>
    </w:pPr>
    <w:rPr>
      <w:rFonts w:ascii="Malgun Gothic" w:eastAsia="Malgun Gothic" w:cs="Times New Roman"/>
      <w:kern w:val="0"/>
      <w:sz w:val="20"/>
      <w:szCs w:val="21"/>
    </w:rPr>
  </w:style>
  <w:style w:type="paragraph" w:styleId="36">
    <w:name w:val="toc 2"/>
    <w:basedOn w:val="0"/>
    <w:next w:val="0"/>
    <w:pPr>
      <w:spacing w:after="57"/>
      <w:ind w:left="283" w:right="0" w:firstLine="0"/>
    </w:pPr>
  </w:style>
  <w:style w:type="paragraph" w:styleId="37">
    <w:name w:val="toc 9"/>
    <w:basedOn w:val="0"/>
    <w:next w:val="0"/>
    <w:pPr>
      <w:spacing w:after="57"/>
      <w:ind w:left="2268" w:right="0" w:firstLine="0"/>
    </w:pPr>
  </w:style>
  <w:style w:type="paragraph" w:styleId="38">
    <w:name w:val="HTML Preformatted"/>
    <w:basedOn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39">
    <w:name w:val="Normal (Web)"/>
    <w:basedOn w:val="0"/>
    <w:pPr>
      <w:widowControl/>
      <w:spacing w:before="100" w:beforeAutospacing="1" w:after="100" w:afterAutospacing="1"/>
      <w:jc w:val="left"/>
    </w:pPr>
    <w:rPr>
      <w:rFonts w:ascii="宋体" w:cs="宋体"/>
      <w:color w:val="000000"/>
      <w:kern w:val="0"/>
      <w:sz w:val="24"/>
    </w:rPr>
  </w:style>
  <w:style w:type="paragraph" w:styleId="40">
    <w:name w:val="Title"/>
    <w:basedOn w:val="0"/>
    <w:next w:val="0"/>
    <w:pPr>
      <w:keepNext w:val="0"/>
      <w:keepLines w:val="0"/>
      <w:widowControl w:val="0"/>
      <w:suppressLineNumbers w:val="0"/>
      <w:spacing w:before="0" w:beforeAutospacing="0" w:after="80" w:afterAutospacing="0" w:line="240" w:lineRule="auto"/>
      <w:ind w:left="0" w:firstLine="0"/>
      <w:contextualSpacing/>
      <w:jc w:val="both"/>
    </w:pPr>
    <w:rPr>
      <w:rFonts w:ascii="Arial" w:eastAsia="Arial" w:cs="Arial" w:hAnsi="Arial"/>
      <w:spacing w:val="0"/>
      <w:kern w:val="2"/>
      <w:sz w:val="56"/>
      <w:szCs w:val="56"/>
      <w:lang w:val="en-US" w:eastAsia="zh-CN"/>
    </w:rPr>
  </w:style>
  <w:style w:type="character" w:styleId="41">
    <w:name w:val="Strong"/>
    <w:basedOn w:val="10"/>
    <w:rPr>
      <w:b/>
    </w:rPr>
  </w:style>
  <w:style w:type="character" w:styleId="42">
    <w:name w:val="endnote reference"/>
    <w:basedOn w:val="10"/>
    <w:rPr>
      <w:vertAlign w:val="superscript"/>
    </w:rPr>
  </w:style>
  <w:style w:type="character" w:styleId="43">
    <w:name w:val="page number"/>
    <w:basedOn w:val="10"/>
  </w:style>
  <w:style w:type="character" w:styleId="44">
    <w:name w:val="Hyperlink"/>
    <w:rPr>
      <w:color w:val="0000FF"/>
      <w:u w:val="single"/>
    </w:rPr>
  </w:style>
  <w:style w:type="character" w:styleId="45">
    <w:name w:val="footnote reference"/>
    <w:basedOn w:val="10"/>
    <w:rPr>
      <w:vertAlign w:val="superscript"/>
    </w:rPr>
  </w:style>
  <w:style w:type="character" w:customStyle="1" w:styleId="46">
    <w:name w:val="Heading 1 Char"/>
    <w:basedOn w:val="10"/>
    <w:rPr>
      <w:rFonts w:ascii="Arial" w:eastAsia="Arial" w:cs="Arial" w:hAnsi="Arial"/>
      <w:sz w:val="40"/>
      <w:szCs w:val="40"/>
    </w:rPr>
  </w:style>
  <w:style w:type="character" w:customStyle="1" w:styleId="47">
    <w:name w:val="Heading 2 Char"/>
    <w:basedOn w:val="10"/>
    <w:rPr>
      <w:rFonts w:ascii="Arial" w:eastAsia="Arial" w:cs="Arial" w:hAnsi="Arial"/>
      <w:sz w:val="34"/>
    </w:rPr>
  </w:style>
  <w:style w:type="character" w:customStyle="1" w:styleId="48">
    <w:name w:val="Heading 3 Char"/>
    <w:basedOn w:val="10"/>
    <w:rPr>
      <w:rFonts w:ascii="Arial" w:eastAsia="Arial" w:cs="Arial" w:hAnsi="Arial"/>
      <w:sz w:val="30"/>
      <w:szCs w:val="30"/>
    </w:rPr>
  </w:style>
  <w:style w:type="paragraph" w:styleId="49">
    <w:name w:val="List Paragraph"/>
    <w:basedOn w:val="0"/>
    <w:pPr>
      <w:ind w:left="720"/>
      <w:contextualSpacing/>
    </w:pPr>
  </w:style>
  <w:style w:type="paragraph" w:styleId="50">
    <w:name w:val="No Spacing"/>
    <w:pPr>
      <w:spacing w:before="0" w:after="0" w:line="240" w:lineRule="auto"/>
    </w:pPr>
    <w:rPr>
      <w:rFonts w:ascii="Times New Roman" w:eastAsia="宋体" w:cs="Times New Roman" w:hAnsi="Times New Roman"/>
      <w:sz w:val="20"/>
      <w:szCs w:val="20"/>
    </w:rPr>
  </w:style>
  <w:style w:type="character" w:customStyle="1" w:styleId="51">
    <w:name w:val="Title Char"/>
    <w:basedOn w:val="10"/>
    <w:rPr>
      <w:sz w:val="48"/>
      <w:szCs w:val="48"/>
    </w:rPr>
  </w:style>
  <w:style w:type="paragraph" w:styleId="52">
    <w:name w:val="Quote"/>
    <w:basedOn w:val="0"/>
    <w:next w:val="0"/>
    <w:pPr>
      <w:ind w:left="720" w:right="720"/>
    </w:pPr>
    <w:rPr>
      <w:i/>
    </w:rPr>
  </w:style>
  <w:style w:type="paragraph" w:styleId="53">
    <w:name w:val="Intense Quote"/>
    <w:basedOn w:val="0"/>
    <w:next w:val="0"/>
    <w:pPr>
      <w:pBdr>
        <w:top w:val="single" w:sz="4" w:space="5" w:color="FFFFFF"/>
        <w:left w:val="single" w:sz="4" w:space="10" w:color="FFFFFF"/>
        <w:bottom w:val="single" w:sz="4" w:space="5" w:color="FFFFFF"/>
        <w:right w:val="single" w:sz="4" w:space="10" w:color="FFFFFF"/>
      </w:pBdr>
      <w:shd w:val="clear" w:color="auto" w:fill="F2F2F2"/>
      <w:ind w:left="720" w:right="720"/>
      <w:contextualSpacing w:val="0"/>
    </w:pPr>
    <w:rPr>
      <w:i/>
    </w:rPr>
  </w:style>
  <w:style w:type="character" w:customStyle="1" w:styleId="54">
    <w:name w:val="Header Char"/>
    <w:basedOn w:val="10"/>
  </w:style>
  <w:style w:type="character" w:customStyle="1" w:styleId="55">
    <w:name w:val="Footer Char"/>
    <w:basedOn w:val="10"/>
  </w:style>
  <w:style w:type="character" w:customStyle="1" w:styleId="56">
    <w:name w:val="Caption Char"/>
  </w:style>
  <w:style w:type="character" w:customStyle="1" w:styleId="57">
    <w:name w:val="Footnote Text Char"/>
    <w:rPr>
      <w:sz w:val="18"/>
    </w:rPr>
  </w:style>
  <w:style w:type="paragraph" w:customStyle="1" w:styleId="58">
    <w:name w:val="TOC Heading"/>
    <w:rPr>
      <w:rFonts w:ascii="Times New Roman" w:eastAsia="宋体" w:cs="Times New Roman" w:hAnsi="Times New Roman"/>
      <w:sz w:val="20"/>
      <w:szCs w:val="20"/>
    </w:rPr>
  </w:style>
  <w:style w:type="paragraph" w:customStyle="1" w:styleId="59">
    <w:name w:val="文档正文"/>
    <w:basedOn w:val="0"/>
    <w:pPr>
      <w:adjustRightInd w:val="0"/>
      <w:spacing w:line="480" w:lineRule="atLeast"/>
      <w:textAlignment w:val="baseline"/>
    </w:pPr>
    <w:rPr>
      <w:kern w:val="0"/>
    </w:rPr>
  </w:style>
  <w:style w:type="paragraph" w:customStyle="1" w:styleId="60">
    <w:name w:val="Heading 3"/>
    <w:basedOn w:val="0"/>
    <w:next w:val="0"/>
    <w:pPr>
      <w:spacing w:before="104" w:after="104"/>
      <w:jc w:val="both"/>
      <w:textAlignment w:val="baseline"/>
    </w:pPr>
    <w:rPr>
      <w:rFonts w:ascii="Calibri" w:eastAsia="黑体" w:hAnsi="Calibri"/>
      <w:kern w:val="2"/>
      <w:sz w:val="21"/>
      <w:szCs w:val="24"/>
      <w:lang w:val="en-US" w:eastAsia="zh-CN" w:bidi="ar-SA"/>
    </w:rPr>
  </w:style>
  <w:style w:type="paragraph" w:customStyle="1" w:styleId="61">
    <w:name w:val="Body Text First Indent1"/>
    <w:basedOn w:val="20"/>
  </w:style>
  <w:style w:type="character" w:customStyle="1" w:styleId="62">
    <w:name w:val="默认段落字体1"/>
  </w:style>
  <w:style w:type="paragraph" w:customStyle="1" w:styleId="63">
    <w:name w:val="Heading"/>
    <w:basedOn w:val="0"/>
    <w:next w:val="20"/>
    <w:pPr>
      <w:keepNext/>
      <w:widowControl w:val="0"/>
      <w:spacing w:before="240" w:after="120"/>
    </w:pPr>
    <w:rPr>
      <w:rFonts w:ascii="Liberation Sans" w:eastAsia="Noto Sans CJK SC Regular" w:cs="Noto Sans CJK SC Regular" w:hAnsi="Liberation Sans"/>
      <w:sz w:val="28"/>
      <w:szCs w:val="28"/>
      <w:lang w:bidi="ar-SA"/>
    </w:rPr>
  </w:style>
  <w:style w:type="paragraph" w:customStyle="1" w:styleId="64">
    <w:name w:val="Default"/>
    <w:pPr>
      <w:widowControl w:val="0"/>
      <w:autoSpaceDE w:val="0"/>
      <w:autoSpaceDN w:val="0"/>
    </w:pPr>
    <w:rPr>
      <w:rFonts w:ascii="Times New Roman" w:eastAsia="宋体" w:cs="Times New Roman" w:hAnsi="Times New Roman"/>
      <w:color w:val="000000"/>
      <w:sz w:val="24"/>
      <w:szCs w:val="24"/>
      <w:lang w:val="en-US" w:eastAsia="zh-CN" w:bidi="ar-SA"/>
    </w:rPr>
  </w:style>
  <w:style w:type="paragraph" w:customStyle="1" w:styleId="65">
    <w:name w:val="批注框文本1"/>
    <w:basedOn w:val="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snapToGrid/>
      <w:spacing w:before="0" w:beforeAutospacing="0" w:after="0" w:afterAutospacing="0" w:line="240" w:lineRule="auto"/>
      <w:ind w:left="0" w:right="0" w:firstLine="0"/>
      <w:jc w:val="both"/>
      <w:outlineLvl w:val="9"/>
    </w:pPr>
    <w:rPr>
      <w:rFonts w:ascii="Times New Roman" w:eastAsia="宋体" w:hAnsi="Times New Roman"/>
      <w:color w:val="000000"/>
      <w:spacing w:val="0"/>
      <w:kern w:val="2"/>
      <w:sz w:val="18"/>
      <w:szCs w:val="18"/>
      <w:u w:val="none"/>
      <w:vertAlign w:val="baseline"/>
      <w:lang w:val="en-US" w:eastAsia="zh-CN" w:bidi="ar-SA"/>
    </w:rPr>
  </w:style>
  <w:style w:type="paragraph" w:customStyle="1" w:styleId="66">
    <w:name w:val="称呼1"/>
    <w:basedOn w:val="0"/>
  </w:style>
  <w:style w:type="paragraph" w:customStyle="1" w:styleId="67">
    <w:name w:val="正文文本缩进1"/>
    <w:basedOn w:val="0"/>
    <w:pPr>
      <w:spacing w:after="120"/>
      <w:ind w:leftChars="200" w:left="200"/>
    </w:pPr>
  </w:style>
  <w:style w:type="paragraph" w:customStyle="1" w:styleId="68">
    <w:name w:val="页脚1"/>
    <w:basedOn w:val="0"/>
    <w:pPr>
      <w:tabs>
        <w:tab w:val="center" w:pos="4153"/>
        <w:tab w:val="right" w:pos="8306"/>
      </w:tabs>
      <w:snapToGrid w:val="0"/>
    </w:pPr>
    <w:rPr>
      <w:sz w:val="18"/>
    </w:rPr>
  </w:style>
  <w:style w:type="paragraph" w:customStyle="1" w:styleId="69">
    <w:name w:val="Table Paragraph"/>
    <w:basedOn w:val="0"/>
    <w:pPr>
      <w:jc w:val="center"/>
    </w:pPr>
    <w:rPr>
      <w:rFonts w:ascii="Times New Roman" w:eastAsia="Times New Roman" w:hAnsi="Times New Roman"/>
      <w:sz w:val="24"/>
      <w:szCs w:val="24"/>
    </w:rPr>
  </w:style>
  <w:style w:type="paragraph" w:customStyle="1" w:styleId="70">
    <w:name w:val="Heading 31"/>
    <w:basedOn w:val="0"/>
    <w:next w:val="0"/>
    <w:pPr>
      <w:spacing w:before="104" w:after="104"/>
      <w:jc w:val="both"/>
      <w:textAlignment w:val="baseline"/>
    </w:pPr>
    <w:rPr>
      <w:rFonts w:ascii="Calibri" w:eastAsia="黑体" w:hAnsi="Calibri"/>
      <w:kern w:val="2"/>
      <w:sz w:val="21"/>
      <w:szCs w:val="24"/>
      <w:lang w:val="en-US" w:eastAsia="zh-CN" w:bidi="ar-SA"/>
    </w:rPr>
  </w:style>
  <w:style w:type="character" w:customStyle="1" w:styleId="71">
    <w:name w:val="font01"/>
    <w:basedOn w:val="10"/>
    <w:rPr>
      <w:rFonts w:ascii="宋体" w:eastAsia="宋体" w:cs="宋体"/>
      <w:color w:val="000000"/>
      <w:sz w:val="22"/>
      <w:szCs w:val="22"/>
      <w:u w:val="single"/>
      <w:lang w:bidi="ar-SA"/>
    </w:rPr>
  </w:style>
  <w:style w:type="character" w:customStyle="1" w:styleId="72">
    <w:name w:val="font11"/>
    <w:basedOn w:val="10"/>
    <w:rPr>
      <w:rFonts w:ascii="宋体" w:eastAsia="宋体" w:cs="宋体"/>
      <w:color w:val="000000"/>
      <w:sz w:val="22"/>
      <w:szCs w:val="22"/>
      <w:u w:val="none"/>
      <w:lang w:bidi="ar-SA"/>
    </w:rPr>
  </w:style>
  <w:style w:type="paragraph" w:customStyle="1" w:styleId="73">
    <w:name w:val="Normal_0"/>
    <w:pPr>
      <w:spacing w:before="120" w:after="240"/>
      <w:jc w:val="both"/>
    </w:pPr>
    <w:rPr>
      <w:rFonts w:ascii="Calibri" w:eastAsia="Calibri" w:cs="Times New Roman" w:hAnsi="Calibri"/>
      <w:sz w:val="22"/>
      <w:szCs w:val="22"/>
      <w:lang w:val="ru-RU" w:bidi="ar-SA"/>
    </w:rPr>
  </w:style>
  <w:style w:type="paragraph" w:customStyle="1" w:styleId="74">
    <w:name w:val="ds-markdown-paragraph"/>
    <w:basedOn w:val="0"/>
    <w:pPr>
      <w:widowControl/>
      <w:spacing w:before="100" w:beforeAutospacing="1" w:after="100" w:afterAutospacing="1"/>
      <w:jc w:val="left"/>
    </w:pPr>
    <w:rPr>
      <w:rFonts w:ascii="宋体" w:eastAsia="宋体" w:cs="宋体"/>
      <w:kern w:val="0"/>
      <w:sz w:val="24"/>
      <w:szCs w:val="24"/>
    </w:rPr>
  </w:style>
  <w:style w:type="character" w:customStyle="1" w:styleId="75">
    <w:name w:val="font21"/>
    <w:basedOn w:val="10"/>
    <w:rPr>
      <w:rFonts w:ascii="方正黑体_GBK" w:eastAsia="方正黑体_GBK" w:cs="方正黑体_GBK"/>
      <w:b/>
      <w:color w:val="000000"/>
      <w:sz w:val="22"/>
      <w:szCs w:val="22"/>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numbering" Target="numbering.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Yozo_Office27021597764231179</Application>
  <Pages>12</Pages>
  <Words>6021</Words>
  <Characters>6983</Characters>
  <Lines>257</Lines>
  <Paragraphs>52</Paragraphs>
  <CharactersWithSpaces>6985</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Administrator</dc:creator>
  <cp:lastModifiedBy>Administrator</cp:lastModifiedBy>
  <cp:revision>3</cp:revision>
  <cp:lastPrinted>2026-08-24T03:17:56Z</cp:lastPrinted>
  <dcterms:created xsi:type="dcterms:W3CDTF">2019-04-29T18:09:00Z</dcterms:created>
  <dcterms:modified xsi:type="dcterms:W3CDTF">2026-08-24T03:18:08Z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2052-11.8.2.12320</vt:lpwstr>
  </property>
  <property fmtid="{D5CDD505-2E9C-101B-9397-08002B2CF9AE}" pid="3" name="ICV">
    <vt:lpwstr>5EE4A2192A53D35B82B48B6A329682C8</vt:lpwstr>
  </property>
  <property fmtid="{D5CDD505-2E9C-101B-9397-08002B2CF9AE}" pid="4" name="KSOTemplateDocerSaveRecord">
    <vt:lpwstr>eyJoZGlkIjoiYWZiYWVhZDlmMTQyNzVlNjdiNzQwMDY5YjZkMzQwZTQiLCJ1c2VySWQiOiIzNjczMTM0NDcifQ==</vt:lpwstr>
  </property>
</Properties>
</file>