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B007D">
      <w:pPr>
        <w:pStyle w:val="3"/>
        <w:keepNext w:val="0"/>
        <w:keepLines w:val="0"/>
        <w:pageBreakBefore w:val="0"/>
        <w:widowControl w:val="0"/>
        <w:kinsoku/>
        <w:wordWrap/>
        <w:overflowPunct/>
        <w:topLinePunct w:val="0"/>
        <w:autoSpaceDE/>
        <w:bidi w:val="0"/>
        <w:adjustRightInd/>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阿坝藏族羌族自治州</w:t>
      </w:r>
    </w:p>
    <w:p w14:paraId="1BB4F6E5">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年财政预算执行情况和202</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年财政预算草案的报告</w:t>
      </w:r>
      <w:r>
        <w:rPr>
          <w:rFonts w:hint="default" w:ascii="Times New Roman" w:hAnsi="Times New Roman" w:eastAsia="方正小标宋简体" w:cs="Times New Roman"/>
          <w:sz w:val="44"/>
          <w:szCs w:val="44"/>
          <w:lang w:eastAsia="zh-CN"/>
        </w:rPr>
        <w:t>（书面）（送审稿）</w:t>
      </w:r>
    </w:p>
    <w:p w14:paraId="4C76E0D0">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仿宋_GB2312" w:cs="Times New Roman"/>
          <w:sz w:val="32"/>
          <w:szCs w:val="32"/>
        </w:rPr>
      </w:pPr>
    </w:p>
    <w:p w14:paraId="4518B1DA">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202</w:t>
      </w:r>
      <w:r>
        <w:rPr>
          <w:rFonts w:hint="default" w:ascii="Times New Roman" w:hAnsi="Times New Roman" w:eastAsia="楷体_GB2312" w:cs="Times New Roman"/>
          <w:b/>
          <w:bCs/>
          <w:sz w:val="28"/>
          <w:szCs w:val="28"/>
          <w:lang w:val="en-US" w:eastAsia="zh-CN"/>
        </w:rPr>
        <w:t>4</w:t>
      </w:r>
      <w:r>
        <w:rPr>
          <w:rFonts w:hint="default" w:ascii="Times New Roman" w:hAnsi="Times New Roman" w:eastAsia="楷体_GB2312" w:cs="Times New Roman"/>
          <w:b/>
          <w:bCs/>
          <w:sz w:val="28"/>
          <w:szCs w:val="28"/>
        </w:rPr>
        <w:t>年1月</w:t>
      </w:r>
      <w:r>
        <w:rPr>
          <w:rFonts w:hint="eastAsia" w:ascii="Times New Roman" w:hAnsi="Times New Roman" w:eastAsia="楷体_GB2312" w:cs="Times New Roman"/>
          <w:b/>
          <w:bCs/>
          <w:sz w:val="28"/>
          <w:szCs w:val="28"/>
          <w:lang w:val="en-US" w:eastAsia="zh-CN"/>
        </w:rPr>
        <w:t>7</w:t>
      </w:r>
      <w:r>
        <w:rPr>
          <w:rFonts w:hint="default" w:ascii="Times New Roman" w:hAnsi="Times New Roman" w:eastAsia="楷体_GB2312" w:cs="Times New Roman"/>
          <w:b/>
          <w:bCs/>
          <w:sz w:val="28"/>
          <w:szCs w:val="28"/>
        </w:rPr>
        <w:t>日</w:t>
      </w:r>
    </w:p>
    <w:p w14:paraId="3DA18BFA">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楷体_GB2312" w:cs="Times New Roman"/>
          <w:b/>
          <w:bCs/>
          <w:sz w:val="28"/>
          <w:szCs w:val="28"/>
        </w:rPr>
        <w:t>在阿坝藏族羌族自治州第十三届人民代表大会第</w:t>
      </w:r>
      <w:r>
        <w:rPr>
          <w:rFonts w:hint="default" w:ascii="Times New Roman" w:hAnsi="Times New Roman" w:eastAsia="楷体_GB2312" w:cs="Times New Roman"/>
          <w:b/>
          <w:bCs/>
          <w:sz w:val="28"/>
          <w:szCs w:val="28"/>
          <w:lang w:val="en-US" w:eastAsia="zh-CN"/>
        </w:rPr>
        <w:t>三</w:t>
      </w:r>
      <w:r>
        <w:rPr>
          <w:rFonts w:hint="default" w:ascii="Times New Roman" w:hAnsi="Times New Roman" w:eastAsia="楷体_GB2312" w:cs="Times New Roman"/>
          <w:b/>
          <w:bCs/>
          <w:sz w:val="28"/>
          <w:szCs w:val="28"/>
        </w:rPr>
        <w:t>次会议上</w:t>
      </w:r>
    </w:p>
    <w:p w14:paraId="54F8EDBF">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阿坝州财政局</w:t>
      </w:r>
    </w:p>
    <w:p w14:paraId="5DA3A7FD">
      <w:pPr>
        <w:keepNext w:val="0"/>
        <w:keepLines w:val="0"/>
        <w:pageBreakBefore w:val="0"/>
        <w:widowControl w:val="0"/>
        <w:kinsoku/>
        <w:wordWrap/>
        <w:overflowPunct/>
        <w:topLinePunct w:val="0"/>
        <w:autoSpaceDE/>
        <w:bidi w:val="0"/>
        <w:adjustRightInd/>
        <w:spacing w:line="560" w:lineRule="exact"/>
        <w:jc w:val="left"/>
        <w:textAlignment w:val="auto"/>
        <w:rPr>
          <w:rFonts w:hint="default" w:ascii="Times New Roman" w:hAnsi="Times New Roman" w:eastAsia="仿宋_GB2312" w:cs="Times New Roman"/>
          <w:sz w:val="32"/>
          <w:szCs w:val="32"/>
        </w:rPr>
      </w:pPr>
    </w:p>
    <w:p w14:paraId="28479CD5">
      <w:pPr>
        <w:keepNext w:val="0"/>
        <w:keepLines w:val="0"/>
        <w:pageBreakBefore w:val="0"/>
        <w:widowControl w:val="0"/>
        <w:kinsoku/>
        <w:wordWrap/>
        <w:overflowPunct/>
        <w:topLinePunct w:val="0"/>
        <w:autoSpaceDE/>
        <w:bidi w:val="0"/>
        <w:adjustRightIn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各位代表：</w:t>
      </w:r>
    </w:p>
    <w:p w14:paraId="0920E2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受州人民政府委托，现将阿坝州2023年财政预算执行情况和2024年财政预算草案提请州十三届人大</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次会议审议，并请州政协委员和其他列席人员提出意见。</w:t>
      </w:r>
    </w:p>
    <w:p w14:paraId="2CAB7B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一、2023年预算执行情况</w:t>
      </w:r>
    </w:p>
    <w:p w14:paraId="34D4CE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 年，面对全球经济复苏的不确定性，国内经济转型升级的压力，全州财政部门坚定以习近平新时代中国特色社会主义思想和习近平总书记对四川、对阿坝工作系列重要指示精神为指导，全面贯彻党的二十大精神，认真落实党中央国务院、省委省政府、州委决策部署，严格执行州十三届人大二次会议批准的预算，切实执行州人大审查意见，全力以赴拼经济搞建设抓发展，积极应对经济下行压力，推进经济社会持续健康发展，全州和州级预算执行情况良好，较好地完成了全年目标任务。</w:t>
      </w:r>
    </w:p>
    <w:p w14:paraId="51D5671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（一）全州预算执行情况</w:t>
      </w:r>
    </w:p>
    <w:p w14:paraId="7A2F58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一般公共预算。</w:t>
      </w:r>
      <w:r>
        <w:rPr>
          <w:rFonts w:hint="default" w:ascii="Times New Roman" w:hAnsi="Times New Roman" w:eastAsia="仿宋_GB2312" w:cs="Times New Roman"/>
          <w:sz w:val="32"/>
          <w:szCs w:val="32"/>
          <w:lang w:val="en-US" w:eastAsia="zh-CN"/>
        </w:rPr>
        <w:t>2023年，全州一般公共预算收入完成62.9亿元，完成预算的167.6%，增长81%（扣除一次性非税收入影响增长9%）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其中，税收收入完成25.8亿元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完成预算的102.7%，增长11.2%。加上转移性收入、上年结转收入、调入资金、动用预算稳定调节基金、地方政府一般债务收入等338亿元，收入总量为400.9亿元。全州一般公共预算支出完成347.5亿元，完成调整预算的94.8%，增长14.5%。加上上解支出、补充预算稳定调节基金、债务还本等34.1亿元，支出总量为381.6亿元。全州一般公共预算收支平衡，因项目跨年实施需要，结转下年继续使用19.3亿元。</w:t>
      </w:r>
    </w:p>
    <w:p w14:paraId="6CC5B6F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政府性基金预算。</w:t>
      </w:r>
      <w:r>
        <w:rPr>
          <w:rFonts w:hint="default" w:ascii="Times New Roman" w:hAnsi="Times New Roman" w:eastAsia="仿宋_GB2312" w:cs="Times New Roman"/>
          <w:sz w:val="32"/>
          <w:szCs w:val="32"/>
          <w:lang w:val="en-US" w:eastAsia="zh-CN"/>
        </w:rPr>
        <w:t>2023年，全州政府性基金预算收入完成10.4亿元，完成预算的91.9%，增长71.3%。加上级转移收入、债务转贷收入、动用上年结转收入、调入资金等11.3亿元，收入总量为21.7亿元。全州政府性基金预算支出12.7亿元，完成预算的89.8%，下降39.6%。加上调出资金7.6亿元，支出总计20.3亿元。全州政府性基金收支平衡，年终结余1.4亿元。</w:t>
      </w:r>
    </w:p>
    <w:p w14:paraId="1A0DCAD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国有资本经营预算。</w:t>
      </w:r>
      <w:r>
        <w:rPr>
          <w:rFonts w:hint="default" w:ascii="Times New Roman" w:hAnsi="Times New Roman" w:eastAsia="仿宋_GB2312" w:cs="Times New Roman"/>
          <w:sz w:val="32"/>
          <w:szCs w:val="32"/>
          <w:highlight w:val="none"/>
          <w:lang w:val="en-US" w:eastAsia="zh-CN"/>
        </w:rPr>
        <w:t>2023年，全州国有资本经营预算收入完成4098万元，完成预算的113.1%，下降76%。加上结转收入2549万元，收入总计6647万元。全州国有资本经营预算支出完成6291万元，完成预算的99%，下降40%。全州国有资本经营预算收支平衡，年终结余356万元。</w:t>
      </w:r>
    </w:p>
    <w:p w14:paraId="6F8EDB6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社会保险基金预算。</w:t>
      </w:r>
      <w:r>
        <w:rPr>
          <w:rFonts w:hint="default" w:ascii="Times New Roman" w:hAnsi="Times New Roman" w:eastAsia="仿宋_GB2312" w:cs="Times New Roman"/>
          <w:sz w:val="32"/>
          <w:szCs w:val="32"/>
          <w:lang w:val="en-US" w:eastAsia="zh-CN"/>
        </w:rPr>
        <w:t>2023年，全州社会保险基金预算收入完成23.6亿元，完成预算的105.2%，增长5.6%。加上上年结余48.7亿元，收入总计72.3亿元。全州社会保险基金预算支出完成18.6亿元，完成预算的105.9%，增长16.9%。全州社会保险基金预算收支平衡，年终结余53.7亿元，其中：当年收支结余5亿元。</w:t>
      </w:r>
    </w:p>
    <w:p w14:paraId="1FA61CC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（二）州级预算执行情况</w:t>
      </w:r>
    </w:p>
    <w:p w14:paraId="15D4A0A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一般公共预算。</w:t>
      </w:r>
      <w:r>
        <w:rPr>
          <w:rFonts w:hint="default" w:ascii="Times New Roman" w:hAnsi="Times New Roman" w:eastAsia="仿宋_GB2312" w:cs="Times New Roman"/>
          <w:sz w:val="32"/>
          <w:szCs w:val="32"/>
          <w:lang w:val="en-US" w:eastAsia="zh-CN"/>
        </w:rPr>
        <w:t>2023年，州级一般公共预算收入20.7亿元，完成预算的142.1%，增长54.2%。其中，税收收入完成11.3亿元，完成预算的110.2%，增长2%。加上转移性收入、下级上解收入、接受其他地区援助收入、上年结转收入、调入资金、动用预算稳定调节基金、地方政府一般债务收入等321.8亿元，收入总量为342.4亿元。州级一般公共预算支出完成79.1亿元，完成调整预算的94.7%，增长30.3%。加上上解支出、税收返还和转移性支出、补充预算稳定调节基金、债务还本等258.9亿元，支出总量为338亿元。州级一般公共预算收支平衡，因项目跨年实施需要，结转下年继续使用4.4亿元。</w:t>
      </w:r>
    </w:p>
    <w:p w14:paraId="3F39FF7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政府性基金预算。</w:t>
      </w:r>
      <w:r>
        <w:rPr>
          <w:rFonts w:hint="default" w:ascii="Times New Roman" w:hAnsi="Times New Roman" w:eastAsia="仿宋_GB2312" w:cs="Times New Roman"/>
          <w:sz w:val="32"/>
          <w:szCs w:val="32"/>
          <w:lang w:val="en-US" w:eastAsia="zh-CN"/>
        </w:rPr>
        <w:t>2023年，州级政府性基金预算收入完成7.7亿元，完成预算的109.1%，增长408.4%。加上级转移收入、债务转贷收入、动用上年结转收入等1.8亿元，收入总量为9.5亿元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州级政府性基金预算支出1.8亿元，完成调整预算的79.1%，下降78.5%。加上补助下级支出、调出资金7.2亿元，支出总计9亿元。州级政府性基金收支平衡，年终结余0.5亿元。</w:t>
      </w:r>
    </w:p>
    <w:p w14:paraId="63AEB2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国有资本经营预算。</w:t>
      </w:r>
      <w:r>
        <w:rPr>
          <w:rFonts w:hint="default" w:ascii="Times New Roman" w:hAnsi="Times New Roman" w:eastAsia="仿宋_GB2312" w:cs="Times New Roman"/>
          <w:sz w:val="32"/>
          <w:szCs w:val="32"/>
          <w:highlight w:val="none"/>
          <w:lang w:val="en-US" w:eastAsia="zh-CN"/>
        </w:rPr>
        <w:t>2023年，州级国有资本经营预算收入完成1278万元，完成预算的159.7%，下降53.5%。加上结转收入2549万元，收入总计3827万元。州级国有资本经营预算支出完成3471万元，完成预算的98%，增长348.7%。州级国有资本经营预算收支平衡，年终结余356万元。</w:t>
      </w:r>
    </w:p>
    <w:p w14:paraId="1EFF9A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社会保险基金预算。</w:t>
      </w:r>
      <w:r>
        <w:rPr>
          <w:rFonts w:hint="default" w:ascii="Times New Roman" w:hAnsi="Times New Roman" w:eastAsia="仿宋_GB2312" w:cs="Times New Roman"/>
          <w:sz w:val="32"/>
          <w:szCs w:val="32"/>
          <w:lang w:val="en-US" w:eastAsia="zh-CN"/>
        </w:rPr>
        <w:t>县（市）社会保险基金全部由上级统筹， 州级社会保险基金预算与全州一致。</w:t>
      </w:r>
    </w:p>
    <w:p w14:paraId="2C42B8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以上财政预算执行情况均为2023年快报数据，在完成决算及决算审查汇总并与省财政办理结算后会有变化，届时向州人大常委会报告。</w:t>
      </w:r>
    </w:p>
    <w:p w14:paraId="03D123C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（三）地方政府债务情况</w:t>
      </w:r>
    </w:p>
    <w:p w14:paraId="3E8E37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末，全州地方政府债务余额134.8亿元。2023年发行新增债券15.4亿元、再融资债券5.8亿元，偿还到期政府债券5.8亿元后，债务余额为150.23亿元，较2022年末增加15.4亿元，控制在省政府核定的债务限额150.3亿元内，债务风险总体可控。分类型看：全州一般债务限额80.99亿元，余额80.94亿元；专项债务限额69.31亿元，余额69.29亿元。分级次看：州本级政府债务限额66.07亿元，余额66.05亿元，其中：一般债务29.04亿元、专项债务37.01亿元；县（市）政府债务限额84.23亿元，余额84.18亿元，其中：一般债务51.9亿元、专项债务32.28亿元。</w:t>
      </w:r>
    </w:p>
    <w:p w14:paraId="060AAE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val="0"/>
          <w:sz w:val="32"/>
          <w:szCs w:val="32"/>
        </w:rPr>
      </w:pPr>
      <w:r>
        <w:rPr>
          <w:rFonts w:hint="default" w:ascii="Times New Roman" w:hAnsi="Times New Roman" w:eastAsia="黑体" w:cs="Times New Roman"/>
          <w:bCs w:val="0"/>
          <w:sz w:val="32"/>
          <w:szCs w:val="32"/>
        </w:rPr>
        <w:t>二、202</w:t>
      </w:r>
      <w:r>
        <w:rPr>
          <w:rFonts w:hint="default" w:ascii="Times New Roman" w:hAnsi="Times New Roman" w:eastAsia="黑体" w:cs="Times New Roman"/>
          <w:bCs w:val="0"/>
          <w:sz w:val="32"/>
          <w:szCs w:val="32"/>
          <w:lang w:val="en-US" w:eastAsia="zh-CN"/>
        </w:rPr>
        <w:t>3</w:t>
      </w:r>
      <w:r>
        <w:rPr>
          <w:rFonts w:hint="default" w:ascii="Times New Roman" w:hAnsi="Times New Roman" w:eastAsia="黑体" w:cs="Times New Roman"/>
          <w:bCs w:val="0"/>
          <w:sz w:val="32"/>
          <w:szCs w:val="32"/>
        </w:rPr>
        <w:t>年落实州人大预算决议和重点财政工作等情况</w:t>
      </w:r>
    </w:p>
    <w:p w14:paraId="2FA3C0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2023年，全州财政</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认真贯彻落实党中央国务院、省委省政府、州委决策部署和各项工作要求，严格执行预算法及其实施条例、严格落实州人大预算决议，坚持稳字当头、稳中求进，全面实施积极财政政策，着力提升财政资源配置效率和使用效益，为全州经济社会高质量发展提供了强有力保障。</w:t>
      </w:r>
    </w:p>
    <w:p w14:paraId="2D924B2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（一）2023年落实州人大预算决议和重点财政工作情况</w:t>
      </w:r>
    </w:p>
    <w:p w14:paraId="2AC9A23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val="0"/>
          <w:sz w:val="32"/>
          <w:szCs w:val="32"/>
          <w:lang w:val="en-US" w:eastAsia="zh-CN"/>
        </w:rPr>
        <w:t>1.壮大财政收入，全力促进经济稳步增长</w:t>
      </w:r>
    </w:p>
    <w:p w14:paraId="78F1D1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面加强财政收支预算执行管理，积极培植财源税源，2023年完成地方一般公共预算收入62.9亿元、增长81%。加大中央、省预算内投资项目、专项债券项目申报，取得财力性转移支付增量资金5.4亿元，同比增长6.8%。争取到有较高自主安排权的一般债券资金7.3亿元，</w:t>
      </w:r>
      <w:r>
        <w:rPr>
          <w:rFonts w:hint="default" w:ascii="Times New Roman" w:hAnsi="Times New Roman" w:eastAsia="仿宋_GB2312" w:cs="Times New Roman"/>
          <w:sz w:val="32"/>
          <w:szCs w:val="32"/>
          <w:highlight w:val="none"/>
          <w:lang w:val="en-US" w:eastAsia="zh-CN"/>
        </w:rPr>
        <w:t>同比增加5.9亿元，</w:t>
      </w:r>
      <w:r>
        <w:rPr>
          <w:rFonts w:hint="default" w:ascii="Times New Roman" w:hAnsi="Times New Roman" w:eastAsia="仿宋_GB2312" w:cs="Times New Roman"/>
          <w:sz w:val="32"/>
          <w:szCs w:val="32"/>
          <w:lang w:val="en-US" w:eastAsia="zh-CN"/>
        </w:rPr>
        <w:t>为落实州委、州政府重大决策部署、促进全州经济社会发展提供有力的财力保障。</w:t>
      </w:r>
    </w:p>
    <w:p w14:paraId="2D91D56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2.强化资金统筹，增强大事要事保障力度</w:t>
      </w:r>
    </w:p>
    <w:p w14:paraId="1672B2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优化财力安排和库款保障，对县（市）资金调度158亿元，支持基层保基本民生、保工资、保运转支出。</w:t>
      </w:r>
      <w:r>
        <w:rPr>
          <w:rFonts w:hint="default" w:ascii="Times New Roman" w:hAnsi="Times New Roman" w:eastAsia="仿宋_GB2312" w:cs="Times New Roman"/>
          <w:color w:val="auto"/>
          <w:sz w:val="32"/>
          <w:szCs w:val="32"/>
          <w:lang w:val="en-US" w:eastAsia="zh-CN"/>
        </w:rPr>
        <w:t>下达革命老区转移支付资金2.5亿元，为革命老区改善和保障民生提供实质性的帮助，推动各项社会事业进步。下达欠发达县域托底性财力补助资金1.2亿元，助力我州欠发达县提高经济实力和竞争力，更好融入全省经济社会发展大局。</w:t>
      </w:r>
      <w:r>
        <w:rPr>
          <w:rFonts w:hint="default" w:ascii="Times New Roman" w:hAnsi="Times New Roman" w:eastAsia="仿宋_GB2312" w:cs="Times New Roman"/>
          <w:sz w:val="32"/>
          <w:szCs w:val="32"/>
          <w:lang w:val="en-US" w:eastAsia="zh-CN"/>
        </w:rPr>
        <w:t>统筹资金52.6亿元，支持“四川黄河上游若尔盖草原湿地山水林田湖草沙冰一体化保护和修复工程”项目建设。下达资金7.22亿元，保障川青铁路、西成铁路建设。下达“6·10”马尔康地震灾后恢复重建资金</w:t>
      </w:r>
      <w:r>
        <w:rPr>
          <w:rFonts w:hint="eastAsia" w:ascii="Times New Roman" w:hAnsi="Times New Roman" w:eastAsia="仿宋_GB2312" w:cs="Times New Roman"/>
          <w:sz w:val="32"/>
          <w:szCs w:val="32"/>
          <w:lang w:val="en-US" w:eastAsia="zh-CN"/>
        </w:rPr>
        <w:t>10.85</w:t>
      </w:r>
      <w:r>
        <w:rPr>
          <w:rFonts w:hint="default" w:ascii="Times New Roman" w:hAnsi="Times New Roman" w:eastAsia="仿宋_GB2312" w:cs="Times New Roman"/>
          <w:sz w:val="32"/>
          <w:szCs w:val="32"/>
          <w:lang w:val="en-US" w:eastAsia="zh-CN"/>
        </w:rPr>
        <w:t xml:space="preserve">亿元，切实为受灾群众过渡安置、生产生活、房屋重建等工作提供坚强的资金保障。州级财政安排专项资金5127万元，保障建州70周年庆典活动有序推进。                                         </w:t>
      </w:r>
    </w:p>
    <w:p w14:paraId="7E3396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3.精打细算理财，助力财政管理提质增效</w:t>
      </w:r>
    </w:p>
    <w:p w14:paraId="238B89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构建全方位、全过程、全覆盖的预算绩效管理体系，将绩效理念和方法深度融入预算编制、执行、监督全过程，实施预算执行进度和目标实现程度“双监控”。坚持多部门合力、全流程协同，首次开展“开门编预算”</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主动到各预算单位对接预算需求，有针对性地了解各预算单位在预算编制过程中存在的问题，为保障部门合理预算需求，持续优化预算编制方式提供了重要参考依据。推进评价结果与预算安排有机衔接，对2023年重点项目绩效评价结果为80分以下的5个部门按10%比例压减项目预算，对于高于90分的部门适当增加预算，充分发挥绩效“指挥棒”作用，提升财政资金使用效益。</w:t>
      </w:r>
    </w:p>
    <w:p w14:paraId="04FB11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财会监督专项行动为抓手，推动重大财税政策落地落实,强化财经纪律刚性约束，充分发挥财会监督在党和国家监督体系中的基础性、支撑性作用，不断开创财会监督工作新局面。开展财经纪律重点问题专项复查行动，涉及部门359个，复查发现问题35个，涉及问题金额24.7亿元；开展会计监督检查工作，涉及部门237个，涉及违规问题单位56个，涉及违规问题资金6603万元。积极构建财政支出标准，建立健全财政投资评审制度，全年评审项目11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项，审减1.</w:t>
      </w: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val="en-US" w:eastAsia="zh-CN"/>
        </w:rPr>
        <w:t>亿元，审减率7.8</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%，有效提高财政资金使用效率。在全州范围内推进政府采购项目线上交易，全面实现政府采购全流程电子化，全州政府采购金额36亿元，节约资金2.3亿元，节约率5.9%。</w:t>
      </w:r>
    </w:p>
    <w:p w14:paraId="649474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4.坚持依法行政，主动接受人大监督</w:t>
      </w:r>
    </w:p>
    <w:p w14:paraId="7AA0D3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深入学习贯彻习近平法治思想，坚持用法治思维和法治方式推动工作，全方位推进财政领域依法行政向纵深发展。强化责任担当，全力支持人大工作开展，锚定全州高质量发展目标任务，持续增强做好人大意见落实的思想和行动自觉。主动将事关改革发展、群众切身利益的突出问题和重大政策调整、重点资金安排情况等向州人大常委会报告，确保政策制定和支出安排的合法性和民主性，为人大政策拓展提供数据支撑，让人大代表更好读懂“财政账本”。扎实做好代表建议办理，把人大代表建议办理作为履行职责、接受监督、改进工作和提升财政服务水平的重要抓手，对涉及重大民生问题的建议意见，深入实地调研，建立工作台账和跟踪督办机制，做到件件有着落，事事有回应。2023年，我局承办人大代表建议21件，政协提案19件，委员来信4件，均在规定时限内办理完毕，办结率、沟通率</w:t>
      </w:r>
      <w:r>
        <w:rPr>
          <w:rFonts w:hint="eastAsia" w:ascii="Times New Roman" w:hAnsi="Times New Roman" w:eastAsia="仿宋_GB2312" w:cs="Times New Roman"/>
          <w:sz w:val="32"/>
          <w:szCs w:val="32"/>
          <w:highlight w:val="none"/>
          <w:lang w:val="en-US" w:eastAsia="zh-CN"/>
        </w:rPr>
        <w:t>、满意率</w:t>
      </w:r>
      <w:r>
        <w:rPr>
          <w:rFonts w:hint="default" w:ascii="Times New Roman" w:hAnsi="Times New Roman" w:eastAsia="仿宋_GB2312" w:cs="Times New Roman"/>
          <w:sz w:val="32"/>
          <w:szCs w:val="32"/>
          <w:highlight w:val="none"/>
          <w:lang w:val="en-US" w:eastAsia="zh-CN"/>
        </w:rPr>
        <w:t>均为100％。</w:t>
      </w:r>
    </w:p>
    <w:p w14:paraId="3AD043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（二）2023年重点支出政策落实情况</w:t>
      </w:r>
    </w:p>
    <w:p w14:paraId="68CBFB0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1.发挥财政撬动作用，全力服务高质量发展</w:t>
      </w:r>
    </w:p>
    <w:p w14:paraId="5946C1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研究出台《阿坝州高质量发展激励奖补办法》，选取产业增加值增速、重点项目推进等11项高质量发展指标进行考核，筹集资金3650万元给予真抓实干、成效明显的县（市）激励奖励，对排名靠后的适当体现约束，激发县（市）干事创业热情，奋力助推全州经济高质量发展。下达资金13亿元，支持开展“交通大会战”，推动“交通强州”建设。安排工业发展专项资金3000万元，专项用于升规企业贷款贴息、良好开局奖励等方面的扶持，帮助市场主体纾困解难。安排阿坝州中小微企业贷款风险补贴资金3000万元，专项用于对合作银行及其分支机构发放中小微企业担保贷款发生的本息损失补贴，</w:t>
      </w:r>
      <w:r>
        <w:rPr>
          <w:rFonts w:hint="default" w:ascii="Times New Roman" w:hAnsi="Times New Roman" w:eastAsia="仿宋_GB2312" w:cs="Times New Roman"/>
          <w:sz w:val="32"/>
          <w:szCs w:val="32"/>
          <w:highlight w:val="none"/>
          <w:lang w:val="en-US" w:eastAsia="zh-CN"/>
        </w:rPr>
        <w:t>有效缓解中小微企业融资难、融资贵</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问题。</w:t>
      </w:r>
      <w:r>
        <w:rPr>
          <w:rFonts w:hint="default" w:ascii="Times New Roman" w:hAnsi="Times New Roman" w:eastAsia="仿宋_GB2312" w:cs="Times New Roman"/>
          <w:sz w:val="32"/>
          <w:szCs w:val="32"/>
          <w:lang w:val="en-US" w:eastAsia="zh-CN"/>
        </w:rPr>
        <w:t>发放“政采贷”支持中小企业发展，累计为109家供应商发放贷款1亿元。发放财政补助资金4</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62万元，先后推出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期政府消费券系列活动，吸引全州12家景区及220余家市场主体开展主题促销活动，直接带动消费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亿元，撬动比例实现1:</w:t>
      </w: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lang w:val="en-US" w:eastAsia="zh-CN"/>
        </w:rPr>
        <w:t>。</w:t>
      </w:r>
    </w:p>
    <w:p w14:paraId="272257C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2.</w:t>
      </w:r>
      <w:r>
        <w:rPr>
          <w:rFonts w:hint="eastAsia" w:ascii="Times New Roman" w:hAnsi="Times New Roman" w:eastAsia="仿宋_GB2312" w:cs="Times New Roman"/>
          <w:b/>
          <w:bCs w:val="0"/>
          <w:sz w:val="32"/>
          <w:szCs w:val="32"/>
          <w:lang w:val="en-US" w:eastAsia="zh-CN"/>
        </w:rPr>
        <w:t>强化财力保障</w:t>
      </w:r>
      <w:r>
        <w:rPr>
          <w:rFonts w:hint="default" w:ascii="Times New Roman" w:hAnsi="Times New Roman" w:eastAsia="仿宋_GB2312" w:cs="Times New Roman"/>
          <w:b/>
          <w:bCs w:val="0"/>
          <w:sz w:val="32"/>
          <w:szCs w:val="32"/>
          <w:lang w:val="en-US" w:eastAsia="zh-CN"/>
        </w:rPr>
        <w:t>，精准助力乡村振兴</w:t>
      </w:r>
    </w:p>
    <w:p w14:paraId="6A338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进一步扛牢财政支农强农责任，不断强化投入保障，持续优化政策措施，在全面推进乡村振兴中不断彰显财政新担当、贡献财政新力量。下达中央和省、州、县（市）衔接资金20.6亿元，保持衔接资金投入总体稳定，为防止规模性返贫发挥了积极作用。累计筹集产业发展贷款风险补偿资金1.3亿元，撬动省农业融资担保公司阿坝州分公司为全州2337户新型农业经营主体发放担保贷款7.8亿元</w:t>
      </w:r>
      <w:r>
        <w:rPr>
          <w:rFonts w:hint="default" w:ascii="Times New Roman" w:hAnsi="Times New Roman" w:eastAsia="仿宋_GB2312" w:cs="Times New Roman"/>
          <w:sz w:val="32"/>
          <w:szCs w:val="32"/>
          <w:highlight w:val="none"/>
          <w:lang w:val="en-US" w:eastAsia="zh-CN"/>
        </w:rPr>
        <w:t>，有效缓解了农业产业发展“贷款难、贷款贵”的问题。下达资金1.4亿元，切实保障2023年省、州乡村振兴战略考评“三家园”激励资金和星级现代农业园区建设奖补资金，惠及20个现代农业园区、11个乡村振兴先进乡镇、77个乡村振兴先进村和重点帮扶村。</w:t>
      </w:r>
      <w:r>
        <w:rPr>
          <w:rFonts w:hint="default" w:ascii="Times New Roman" w:hAnsi="Times New Roman" w:eastAsia="仿宋_GB2312" w:cs="Times New Roman"/>
          <w:sz w:val="32"/>
          <w:szCs w:val="32"/>
          <w:lang w:val="en-US" w:eastAsia="zh-CN"/>
        </w:rPr>
        <w:t>将生态文明建设与乡村振兴有机结合，筹措生态扶贫资金2亿元用于生态公益性岗位，惠及全州20753户家庭，人均增收10000元。</w:t>
      </w:r>
    </w:p>
    <w:p w14:paraId="3899525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3.践行“两山理论”，推进生态文明建设</w:t>
      </w:r>
    </w:p>
    <w:p w14:paraId="42ED0F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充分发挥财政职能，积极推动全流域横向生态补偿长效机制，深入推进长江、黄河流域生态保护修复工程，促进生态环境质量持续改善，助力我州建成国家生态文明建设示范区。下达黄河流域生态保护和高质量发展资金5.3亿元，保障黄河长治久安。下达林草类资金9亿元，对全州5580万亩的天然林，4728.4万亩天然草原进行有效管护，持续巩固76.7万亩退耕还林成果。</w:t>
      </w:r>
      <w:r>
        <w:rPr>
          <w:rFonts w:hint="default" w:ascii="Times New Roman" w:hAnsi="Times New Roman" w:eastAsia="仿宋_GB2312" w:cs="Times New Roman"/>
          <w:sz w:val="32"/>
          <w:szCs w:val="32"/>
          <w:highlight w:val="none"/>
          <w:lang w:val="en-US" w:eastAsia="zh-CN"/>
        </w:rPr>
        <w:t>下达生态环保资金4.1亿元，</w:t>
      </w:r>
      <w:r>
        <w:rPr>
          <w:rFonts w:hint="default" w:ascii="Times New Roman" w:hAnsi="Times New Roman" w:eastAsia="仿宋_GB2312" w:cs="Times New Roman"/>
          <w:sz w:val="32"/>
          <w:szCs w:val="32"/>
          <w:lang w:val="en-US" w:eastAsia="zh-CN"/>
        </w:rPr>
        <w:t>用于农村污水治理、流域横向生态保护补偿奖励、植被恢复等生态保护修复工程，促进生态环境质量持续改善，有效兜牢生态文明建设底线。“四川黄河上游若尔盖草原湿地山水林田湖草沙冰一体化保和修复工程”项目，已累计完成投资 31.85亿元，生态修复总面积达19.2万公顷。安排地质灾害综合防治资金2.7亿元，支持治理工程132处、排危除险63处、避险搬迁248户、专业监测129处，确保历史遗留废弃矿山生态修复面积426.4公顷。</w:t>
      </w:r>
    </w:p>
    <w:p w14:paraId="0491EA8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4.提升财政服务能力，助推文旅产业快速发展</w:t>
      </w:r>
    </w:p>
    <w:p w14:paraId="184FCC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力塑好“九大”文旅品牌，推动我州国家全域旅游示范区建设。下达资金8300万元，支持州级特色文化旅游名镇名村及特色产业园区建设，进一步打造我州旅游名片。安排旅游宣传营销资金1700万元，提高阿坝全域旅游品牌知名度，助力旅游市场快速复苏。下达资金1200万元，推进我州旅游产业发展和国家全域旅游示范区集中攻坚。累计投入资金4亿元，大力支持四姑娘山景区创建国家“5A”级景区建设，目前景区创建已顺利通过国家文旅部组织的专家明查暗访，等待最后公示和授牌；下达资金550万元，支持达古冰川景区申报国家地质公园建设。</w:t>
      </w:r>
    </w:p>
    <w:p w14:paraId="2242567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5.突出公共财政职能，全力改善民生补短板</w:t>
      </w:r>
    </w:p>
    <w:p w14:paraId="0C51B0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教育优先发展，健全教育财政保障机制。下达教育资金11.2亿元，进一步推动我州十五年免费教育事业持续健康发展，全面落实城乡义务教育保障机制的各项政策措施，重点向义务教育乡村振兴任务较重的地区倾斜。</w:t>
      </w:r>
      <w:r>
        <w:rPr>
          <w:rFonts w:hint="default" w:ascii="Times New Roman" w:hAnsi="Times New Roman" w:eastAsia="仿宋_GB2312" w:cs="Times New Roman"/>
          <w:sz w:val="32"/>
          <w:szCs w:val="32"/>
          <w:highlight w:val="none"/>
          <w:lang w:val="en-US" w:eastAsia="zh-CN"/>
        </w:rPr>
        <w:t>下达资金3.5亿元，巩固完善家庭经济困难学生资助政策体系，为13万名家庭经济困难学生送去了温暖。</w:t>
      </w:r>
      <w:r>
        <w:rPr>
          <w:rFonts w:hint="default" w:ascii="Times New Roman" w:hAnsi="Times New Roman" w:eastAsia="仿宋_GB2312" w:cs="Times New Roman"/>
          <w:sz w:val="32"/>
          <w:szCs w:val="32"/>
          <w:lang w:val="en-US" w:eastAsia="zh-CN"/>
        </w:rPr>
        <w:t>下达资金1519万元，支持职业教育攻坚，全力推进民族地区职业教育发展。下达资金</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亿元，建立健全医疗服务与保障能力提升领域投入机制，促进全州医疗卫生事业的高速发展。下达资金3199万元，保障计划生育相关政策和妇女两癌免费筛查，并在全省率先推行城乡居民住院分娩基本技术服务免费保障机制。发放基本养老金17.1亿元，按时足额兑现9.4万名参保人员养老待遇。发放城乡居民基本医疗保险待遇6.7亿元，惠及14.6万人。下达资金9917万元，加大对重点群体就业创业帮扶力度，缓解就业矛盾。下达困难群众救助补助资金2.8亿元，落实城乡低保、特困人员供养、临时救助、孤儿生活保障和流浪乞讨救助等财政补助政策，保障困难群众生活水平。下达资金928万元，支持推进全民健身工程建设、大型体育场馆免费（低收费）开放，体育赛事筹办，促进我州体育事业发展。下达资金2443万元，支持228个美术馆、公共图书馆、文化馆（站）及博物馆纪念馆免费、延时或低收费开放。</w:t>
      </w:r>
    </w:p>
    <w:p w14:paraId="1BD78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70C0"/>
          <w:sz w:val="32"/>
          <w:szCs w:val="32"/>
          <w:lang w:val="en-US" w:eastAsia="zh-CN"/>
        </w:rPr>
      </w:pPr>
      <w:r>
        <w:rPr>
          <w:rFonts w:hint="default" w:ascii="Times New Roman" w:hAnsi="Times New Roman" w:eastAsia="仿宋_GB2312" w:cs="Times New Roman"/>
          <w:kern w:val="0"/>
          <w:sz w:val="32"/>
          <w:szCs w:val="32"/>
          <w:lang w:val="en-US" w:eastAsia="zh-CN"/>
        </w:rPr>
        <w:t>各位代表，在总结成绩和经验的同时，我们也清醒</w:t>
      </w:r>
      <w:r>
        <w:rPr>
          <w:rFonts w:hint="eastAsia" w:ascii="Times New Roman" w:hAnsi="Times New Roman" w:eastAsia="仿宋_GB2312" w:cs="Times New Roman"/>
          <w:kern w:val="0"/>
          <w:sz w:val="32"/>
          <w:szCs w:val="32"/>
          <w:lang w:val="en-US" w:eastAsia="zh-CN"/>
        </w:rPr>
        <w:t>地</w:t>
      </w:r>
      <w:r>
        <w:rPr>
          <w:rFonts w:hint="default" w:ascii="Times New Roman" w:hAnsi="Times New Roman" w:eastAsia="仿宋_GB2312" w:cs="Times New Roman"/>
          <w:kern w:val="0"/>
          <w:sz w:val="32"/>
          <w:szCs w:val="32"/>
          <w:lang w:val="en-US" w:eastAsia="zh-CN"/>
        </w:rPr>
        <w:t>认识到财政运行仍存在一些不容忽视的问题，主要表现在：财政收入持续增长基础尚不稳固，资金筹措难度加大，刚性支出需求持续增加，财政收支矛盾凸显；统筹财政资源增强重大战略任务保障的能力还有待提高；预算绩效管理结果应用还需进一步强化；基层</w:t>
      </w:r>
      <w:bookmarkStart w:id="0" w:name="_GoBack"/>
      <w:bookmarkEnd w:id="0"/>
      <w:r>
        <w:rPr>
          <w:rFonts w:hint="default" w:ascii="Times New Roman" w:hAnsi="Times New Roman" w:eastAsia="仿宋_GB2312" w:cs="Times New Roman"/>
          <w:kern w:val="0"/>
          <w:sz w:val="32"/>
          <w:szCs w:val="32"/>
          <w:lang w:val="en-US" w:eastAsia="zh-CN"/>
        </w:rPr>
        <w:t>财政资金使用规范性、有效性还需加强。对此，我们将高度重视，采取有力措施，认真加以解决。</w:t>
      </w:r>
    </w:p>
    <w:p w14:paraId="59EED16E">
      <w:pPr>
        <w:keepNext w:val="0"/>
        <w:keepLines w:val="0"/>
        <w:pageBreakBefore w:val="0"/>
        <w:widowControl w:val="0"/>
        <w:kinsoku/>
        <w:wordWrap/>
        <w:overflowPunct/>
        <w:topLinePunct w:val="0"/>
        <w:autoSpaceDE/>
        <w:autoSpaceDN w:val="0"/>
        <w:bidi w:val="0"/>
        <w:adjustRightInd/>
        <w:snapToGrid/>
        <w:spacing w:line="560" w:lineRule="exact"/>
        <w:ind w:right="136" w:rightChars="65"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三、202</w:t>
      </w:r>
      <w:r>
        <w:rPr>
          <w:rFonts w:hint="default"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年财政预算草案</w:t>
      </w:r>
    </w:p>
    <w:p w14:paraId="134FD48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2024年，预算编制指导思想：</w:t>
      </w:r>
      <w:r>
        <w:rPr>
          <w:rFonts w:hint="default" w:ascii="Times New Roman" w:hAnsi="Times New Roman" w:eastAsia="仿宋_GB2312" w:cs="Times New Roman"/>
          <w:b w:val="0"/>
          <w:bCs w:val="0"/>
          <w:kern w:val="0"/>
          <w:sz w:val="32"/>
          <w:szCs w:val="32"/>
        </w:rPr>
        <w:t>坚持以习近平新时代中国特色社会主义思想为指导</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全面贯彻落实党的二十大精神、二十届二中全会和中央经济工作会议精神</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深入贯彻习近平总书记对四川、对阿坝工作系列重要指示精神,坚持稳中求进工作总基调</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完整、准确、全面贯彻新发展理念，主动服务和融入新发展格局</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着力推动高质量发展，坚持新型城镇化和乡村振兴双轮驱动，切实增强经济活力、防范化解风险、改善社会预期，巩固和增强经济回升向好态势</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持续推动经济实现质的有效提升和量的合理增长。</w:t>
      </w:r>
    </w:p>
    <w:p w14:paraId="56D30B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2024年，预算编制遵循的原则：</w:t>
      </w:r>
      <w:r>
        <w:rPr>
          <w:rFonts w:hint="default" w:ascii="Times New Roman" w:hAnsi="Times New Roman" w:eastAsia="仿宋_GB2312" w:cs="Times New Roman"/>
          <w:b w:val="0"/>
          <w:bCs w:val="0"/>
          <w:kern w:val="0"/>
          <w:sz w:val="32"/>
          <w:szCs w:val="32"/>
        </w:rPr>
        <w:t>坚持稳中求进、以进促稳、先立后破，在转方式、调结构、提质量、增效益上积极进取。全面落实“转作风、拼经济、搞建设、惠民生、防风险</w:t>
      </w:r>
      <w:r>
        <w:rPr>
          <w:rFonts w:hint="eastAsia" w:ascii="Times New Roman" w:hAnsi="Times New Roman" w:eastAsia="仿宋_GB2312" w:cs="Times New Roman"/>
          <w:b w:val="0"/>
          <w:bCs w:val="0"/>
          <w:kern w:val="0"/>
          <w:sz w:val="32"/>
          <w:szCs w:val="32"/>
          <w:lang w:eastAsia="zh-CN"/>
        </w:rPr>
        <w:t>、守底线</w:t>
      </w:r>
      <w:r>
        <w:rPr>
          <w:rFonts w:hint="default" w:ascii="Times New Roman" w:hAnsi="Times New Roman" w:eastAsia="仿宋_GB2312" w:cs="Times New Roman"/>
          <w:b w:val="0"/>
          <w:bCs w:val="0"/>
          <w:kern w:val="0"/>
          <w:sz w:val="32"/>
          <w:szCs w:val="32"/>
        </w:rPr>
        <w:t>”工作要求，落实落细结构性减税降费政策，支持健全完善绿色税制体系。大力优化支出结构，加强财政资金资产资源全要素统筹，全力做好国家和省、州重大战略任务财力保障。坚持党政机关过紧日子，提高财政资源的配置效率和实施效果，大幅压减非刚性、非重点项目支出。正确处理防风险和促发展的关系，尽力而为、量力而行，始终将“三保”支出置于财政支出的核心地位；加强重大项目财政承受能力评估，强化地方政府债务管理，建立健全重大风险防控化解体系。健全现代预算制度，切实提高年初预算到位率和资金使用效益，进一步提升财政管理水平，充分发挥财政职能作用，为我州高质量建设“一州两区三家园”作出财政贡献。</w:t>
      </w:r>
    </w:p>
    <w:p w14:paraId="6EA818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（一）</w:t>
      </w:r>
      <w:r>
        <w:rPr>
          <w:rFonts w:hint="default" w:ascii="Times New Roman" w:hAnsi="Times New Roman" w:eastAsia="楷体_GB2312" w:cs="Times New Roman"/>
          <w:b/>
          <w:bCs/>
          <w:kern w:val="0"/>
          <w:sz w:val="32"/>
          <w:szCs w:val="32"/>
        </w:rPr>
        <w:t>全州预算草案</w:t>
      </w:r>
    </w:p>
    <w:p w14:paraId="295F5D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一般公共预算。</w:t>
      </w:r>
      <w:r>
        <w:rPr>
          <w:rFonts w:hint="default" w:ascii="Times New Roman" w:hAnsi="Times New Roman" w:eastAsia="仿宋_GB2312" w:cs="Times New Roman"/>
          <w:b w:val="0"/>
          <w:bCs w:val="0"/>
          <w:kern w:val="0"/>
          <w:sz w:val="32"/>
          <w:szCs w:val="32"/>
        </w:rPr>
        <w:t>2024年，全州一般公共预算收入预期40.6亿元，同口径增长7.1%。加上转移性收入、上年结转收入、动用预算稳定调节基金、调入资金等155.7亿元，收入总量为196.3亿元。全州一般公共预算支出191.8亿元，加上上解上级支出、地方政府一般债务还本支出等4.5亿元，支出总量为196.3亿元。全州一般公共预算收支平衡。</w:t>
      </w:r>
    </w:p>
    <w:p w14:paraId="3C50F0C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政府性基金预算。</w:t>
      </w:r>
      <w:r>
        <w:rPr>
          <w:rFonts w:hint="default" w:ascii="Times New Roman" w:hAnsi="Times New Roman" w:eastAsia="仿宋_GB2312" w:cs="Times New Roman"/>
          <w:b w:val="0"/>
          <w:bCs w:val="0"/>
          <w:kern w:val="0"/>
          <w:sz w:val="32"/>
          <w:szCs w:val="32"/>
        </w:rPr>
        <w:t>2024年，全州政府性基金预算收入预期10.7亿元。加上上年结余等转移性收入1.3亿元，收入总量为12亿元。全州政府性基金预算支出3.3亿元，加上调出资金、地方政府专项债务还本支出、结转下年支出8.7亿元，支出总量为12亿元。全州政府性基金预算收支平衡。</w:t>
      </w:r>
    </w:p>
    <w:p w14:paraId="15021D1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bCs/>
          <w:kern w:val="0"/>
          <w:sz w:val="32"/>
          <w:szCs w:val="32"/>
          <w:highlight w:val="none"/>
        </w:rPr>
        <w:t>国有资本经营预算。</w:t>
      </w:r>
      <w:r>
        <w:rPr>
          <w:rFonts w:hint="default" w:ascii="Times New Roman" w:hAnsi="Times New Roman" w:eastAsia="仿宋_GB2312" w:cs="Times New Roman"/>
          <w:b w:val="0"/>
          <w:bCs w:val="0"/>
          <w:kern w:val="0"/>
          <w:sz w:val="32"/>
          <w:szCs w:val="32"/>
          <w:highlight w:val="none"/>
        </w:rPr>
        <w:t>2024年，全州国有资本经营预算收入预期20012万元，加上上年结转收入356万元，收入总量为20368万元。全州国有资本经营预算支出352万元，加上调入一般公共预算20016万元，支出总量为20368万元。全州国有资本经营预算收支平衡。</w:t>
      </w:r>
    </w:p>
    <w:p w14:paraId="720535C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社会保险基金预算。</w:t>
      </w:r>
      <w:r>
        <w:rPr>
          <w:rFonts w:hint="default" w:ascii="Times New Roman" w:hAnsi="Times New Roman" w:eastAsia="仿宋_GB2312" w:cs="Times New Roman"/>
          <w:b w:val="0"/>
          <w:bCs w:val="0"/>
          <w:kern w:val="0"/>
          <w:sz w:val="32"/>
          <w:szCs w:val="32"/>
        </w:rPr>
        <w:t>2024年，全州社会保险基金预算收入预期25.7亿元，加上上年结余等转移性收入53.7亿元后，收入总量为79.4亿元。社会保险基金支出安排21.2亿元。收入总量减去支出总量后，年终结余58.2亿元。</w:t>
      </w:r>
    </w:p>
    <w:p w14:paraId="2932B1B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（二）州级预算草案</w:t>
      </w:r>
    </w:p>
    <w:p w14:paraId="298494A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一般公共预算。</w:t>
      </w:r>
      <w:r>
        <w:rPr>
          <w:rFonts w:hint="default" w:ascii="Times New Roman" w:hAnsi="Times New Roman" w:eastAsia="仿宋_GB2312" w:cs="Times New Roman"/>
          <w:b w:val="0"/>
          <w:bCs w:val="0"/>
          <w:kern w:val="0"/>
          <w:sz w:val="32"/>
          <w:szCs w:val="32"/>
        </w:rPr>
        <w:t>2024年，州级一般公共预算收入预期15亿元，同口径增长6%。加上转移性收入、下级上解收入、上年结转收入、动用预算稳定调节基金、调入资金等150.7亿元，收入总量为165.7亿元。州级一般公共预算支出56.5亿元，加上转移性支出、上解上级支出、地方政府一般债务还本支出等109.2亿元，支出总量为165.7亿元。州级一般公共预算收支平衡。</w:t>
      </w:r>
    </w:p>
    <w:p w14:paraId="3BF2DE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政府性基金预算。</w:t>
      </w:r>
      <w:r>
        <w:rPr>
          <w:rFonts w:hint="default" w:ascii="Times New Roman" w:hAnsi="Times New Roman" w:eastAsia="仿宋_GB2312" w:cs="Times New Roman"/>
          <w:b w:val="0"/>
          <w:bCs w:val="0"/>
          <w:kern w:val="0"/>
          <w:sz w:val="32"/>
          <w:szCs w:val="32"/>
        </w:rPr>
        <w:t>2024年，州级政府性基金预算收入预期8.3亿元，加上上年结余0.5亿元，收入总量为8.8亿元。州级政府性基金预算支出1.3亿元，加上调出资金、结转下年支出7.5亿元，支出总量为8.8亿元。州级政府性基金预算收支平衡。</w:t>
      </w:r>
    </w:p>
    <w:p w14:paraId="373C6F2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bCs/>
          <w:kern w:val="0"/>
          <w:sz w:val="32"/>
          <w:szCs w:val="32"/>
          <w:highlight w:val="none"/>
        </w:rPr>
        <w:t>国有资本经营预算。</w:t>
      </w:r>
      <w:r>
        <w:rPr>
          <w:rFonts w:hint="default" w:ascii="Times New Roman" w:hAnsi="Times New Roman" w:eastAsia="仿宋_GB2312" w:cs="Times New Roman"/>
          <w:b w:val="0"/>
          <w:bCs w:val="0"/>
          <w:kern w:val="0"/>
          <w:sz w:val="32"/>
          <w:szCs w:val="32"/>
          <w:highlight w:val="none"/>
        </w:rPr>
        <w:t>2024年，州级国有资本经营预算收入预期4925万元。加上上年结转收入356万元，收入总量为5281万元。州级国有资本经营预算支出332万元，加上转移性支出、调入一般公共预算等4949万元，支出总量为5281万元。州级国有资本经营预算收支平衡。</w:t>
      </w:r>
    </w:p>
    <w:p w14:paraId="6FC549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社会保险基金预算。</w:t>
      </w:r>
      <w:r>
        <w:rPr>
          <w:rFonts w:hint="default" w:ascii="Times New Roman" w:hAnsi="Times New Roman" w:eastAsia="仿宋_GB2312" w:cs="Times New Roman"/>
          <w:b w:val="0"/>
          <w:bCs w:val="0"/>
          <w:kern w:val="0"/>
          <w:sz w:val="32"/>
          <w:szCs w:val="32"/>
        </w:rPr>
        <w:t>县（市）社会保险基金全部由上级统筹，州级社会保险基金预算与全州一致。</w:t>
      </w:r>
    </w:p>
    <w:p w14:paraId="00B86DA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（三）2024年预算安排重点</w:t>
      </w:r>
    </w:p>
    <w:p w14:paraId="67D9D54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1.聚焦城乡融合协同发展，建设美丽宜居乡村</w:t>
      </w:r>
    </w:p>
    <w:p w14:paraId="78E3679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一是支持全面推进乡村振兴。</w:t>
      </w:r>
      <w:r>
        <w:rPr>
          <w:rFonts w:hint="default" w:ascii="Times New Roman" w:hAnsi="Times New Roman" w:eastAsia="仿宋_GB2312" w:cs="Times New Roman"/>
          <w:b w:val="0"/>
          <w:bCs w:val="0"/>
          <w:kern w:val="0"/>
          <w:sz w:val="32"/>
          <w:szCs w:val="32"/>
        </w:rPr>
        <w:t>统筹安排预算资金2.3亿元，持续巩固脱贫攻坚成果，帮助贫困人口提高自我发展能力，实现可持续发展。主要用于：衔接推进乡村振兴，落实乡村振兴投入占一般公共预算支出比重只增不减要求；落实乡村振兴战略分类考评和州级现代农业产业园区建设激励；落实农业生产发展、农村基础设施建设等相关支农政策；强化乡村振兴农业产业发展投资引导，支持农业产业化项目银行贷款财政贴息；支持参加全省农业博览会。</w:t>
      </w:r>
    </w:p>
    <w:p w14:paraId="5F7404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二是支持扎实推动城乡融合发展。</w:t>
      </w:r>
      <w:r>
        <w:rPr>
          <w:rFonts w:hint="default" w:ascii="Times New Roman" w:hAnsi="Times New Roman" w:eastAsia="仿宋_GB2312" w:cs="Times New Roman"/>
          <w:b w:val="0"/>
          <w:bCs w:val="0"/>
          <w:kern w:val="0"/>
          <w:sz w:val="32"/>
          <w:szCs w:val="32"/>
        </w:rPr>
        <w:t>统筹安排预算资金3.8亿元，促进城乡资源要素的双向流动，推动城市优质资源向农村延伸。主要用于：支持统筹城乡产业布局和产业发展；加快补齐城乡交通设施、污水处理等方面短板；安排特色文化旅游名镇名村建设奖补资金，精心打造展示阿坝、宣传阿坝的示范窗口；支持深化城乡环境综合治理，巩固提升城乡生产环境、生态环境和人居环境；安排农资价格和储备补贴专项资金，减轻农民的经济负担，促进农业可持续发展。</w:t>
      </w:r>
    </w:p>
    <w:p w14:paraId="562B506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2.聚焦推动产业转型升级，提升经济发展质量</w:t>
      </w:r>
    </w:p>
    <w:p w14:paraId="212F8EF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一是加快调整产业结构。</w:t>
      </w:r>
      <w:r>
        <w:rPr>
          <w:rFonts w:hint="default" w:ascii="Times New Roman" w:hAnsi="Times New Roman" w:eastAsia="仿宋_GB2312" w:cs="Times New Roman"/>
          <w:b w:val="0"/>
          <w:bCs w:val="0"/>
          <w:kern w:val="0"/>
          <w:sz w:val="32"/>
          <w:szCs w:val="32"/>
        </w:rPr>
        <w:t>统筹安排预算资金1.5亿元，支持推动企业技术创新和升级，推动产业结构向更高层次、更高效益的方向转型。主要用于：安排工业发展和节能减排专项资金，支持重大产业培育、重大布局优化调整、重大技术升级改造，鼓励工业企业采用先进的节能技术和设备；促进建筑业高质量发展，支持优化建筑企业结构、促进企业转型升级。</w:t>
      </w:r>
    </w:p>
    <w:p w14:paraId="3E4041F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二是激发服务业活力。</w:t>
      </w:r>
      <w:r>
        <w:rPr>
          <w:rFonts w:hint="default" w:ascii="Times New Roman" w:hAnsi="Times New Roman" w:eastAsia="仿宋_GB2312" w:cs="Times New Roman"/>
          <w:b w:val="0"/>
          <w:bCs w:val="0"/>
          <w:kern w:val="0"/>
          <w:sz w:val="32"/>
          <w:szCs w:val="32"/>
        </w:rPr>
        <w:t>统筹安排预算资金2.3亿元，支持推动服务业与其他产业的深度融合，助力提高经济发展的质效。主要用于：支持发放消费券，激发州内文旅消费市场及批发、零售、住宿、餐饮、家电等行业消费活力；支持参加中国西部国际博览会，促进地区经济发展与合作；开展全域旅游整合营销，助力国际生态文化旅游目的地和九寨沟—黄龙世界级旅游景区建设；全力做好景区管理局经费保障，为景区事业的发展提供有力的支持。</w:t>
      </w:r>
    </w:p>
    <w:p w14:paraId="1F8A52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三是加强公共交通建设。</w:t>
      </w:r>
      <w:r>
        <w:rPr>
          <w:rFonts w:hint="default" w:ascii="Times New Roman" w:hAnsi="Times New Roman" w:eastAsia="仿宋_GB2312" w:cs="Times New Roman"/>
          <w:b w:val="0"/>
          <w:bCs w:val="0"/>
          <w:kern w:val="0"/>
          <w:sz w:val="32"/>
          <w:szCs w:val="32"/>
        </w:rPr>
        <w:t>统筹安排预算资金2.9亿元，支持促进交通基础设施建设和智能化发展，保障人民群众出行安全与便利。主要用于：开展公路、水路重点建设项目的前期工作和后期评价工作；国省干线、农村公路和隧道桥梁日常管理、维护养护；支持国省干线公路水毁抢通及恢复，确保尽快恢复干线公路的通行能力；安排航线开发补助资金，支持每年开发1-2条新增航线。</w:t>
      </w:r>
    </w:p>
    <w:p w14:paraId="7E35965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3.聚焦构筑绿色生态屏障，推进生态文明建设</w:t>
      </w:r>
    </w:p>
    <w:p w14:paraId="467F415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一是支持深入实施“七大保护”行动。</w:t>
      </w:r>
      <w:r>
        <w:rPr>
          <w:rFonts w:hint="default" w:ascii="Times New Roman" w:hAnsi="Times New Roman" w:eastAsia="仿宋_GB2312" w:cs="Times New Roman"/>
          <w:b w:val="0"/>
          <w:bCs w:val="0"/>
          <w:kern w:val="0"/>
          <w:sz w:val="32"/>
          <w:szCs w:val="32"/>
        </w:rPr>
        <w:t>统筹安排预算资金0.8亿元，有效维护自然生态的系统性、平衡性、和谐性。主要用于：安排湿地保护、草原保护、野生动植物保护和补偿资金，促进生态环境保护和可持续发展；支持大熊猫栖息地世界自然遗产阿坝片区保护规划编制，加强世界自然遗产保护管理；安排自然资源管理专项经费，支持统筹开展全州全覆盖地质灾害隐患排查；支持阿坝州“多规合一”信息化建设项目，完善国土空间规划“一张蓝图”基础数据；支持开展若尔盖草原湿地山水林田宣传工作，进一步筑牢长江黄河上游生态屏障。</w:t>
      </w:r>
    </w:p>
    <w:p w14:paraId="744CC7A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二是支持统筹推进“七大治理”工程。</w:t>
      </w:r>
      <w:r>
        <w:rPr>
          <w:rFonts w:hint="default" w:ascii="Times New Roman" w:hAnsi="Times New Roman" w:eastAsia="仿宋_GB2312" w:cs="Times New Roman"/>
          <w:b w:val="0"/>
          <w:bCs w:val="0"/>
          <w:kern w:val="0"/>
          <w:sz w:val="32"/>
          <w:szCs w:val="32"/>
        </w:rPr>
        <w:t>统筹安排预算资金0.4亿元，全力确保生态环境保护问题整改落实，推动生态环境质量持续改善。主要用于：安排生态环境保护督察专项资金，做好生态环境保护工作的监督检查经费保障；安排污染防治攻坚战专项资金，支持开展固体废物检查和排污许可证执行情况督导检查、监督考核；全力保障环境执法应急监测相关工作经费，确保环保法规得到有效执行。</w:t>
      </w:r>
    </w:p>
    <w:p w14:paraId="53A7AF7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4.聚焦加强社保体系建设，持续增进人民福祉</w:t>
      </w:r>
    </w:p>
    <w:p w14:paraId="2D9AB8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一是支持教育优先发展。</w:t>
      </w:r>
      <w:r>
        <w:rPr>
          <w:rFonts w:hint="default" w:ascii="Times New Roman" w:hAnsi="Times New Roman" w:eastAsia="仿宋_GB2312" w:cs="Times New Roman"/>
          <w:b w:val="0"/>
          <w:bCs w:val="0"/>
          <w:kern w:val="0"/>
          <w:sz w:val="32"/>
          <w:szCs w:val="32"/>
        </w:rPr>
        <w:t>统筹安排预算资金3.5亿元，加快建设高质量教育体系，促进教育公平，办好人民满意的教育。主要用于：安排州级教育专项资金，积极支持中小学教育信息化和校园改造建设；支持推进十五年免费教育，全面落实学前“一免一补”、义教“三免两补”、普通高中“两免一助”等惠民政策；支持高考综合改革，进一步提高普通高中经费补助水平。支持中职校危房维修加固。</w:t>
      </w:r>
    </w:p>
    <w:p w14:paraId="2D6C4BE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二是支持加强医疗卫生服务供给。</w:t>
      </w:r>
      <w:r>
        <w:rPr>
          <w:rFonts w:hint="default" w:ascii="Times New Roman" w:hAnsi="Times New Roman" w:eastAsia="仿宋_GB2312" w:cs="Times New Roman"/>
          <w:b w:val="0"/>
          <w:bCs w:val="0"/>
          <w:kern w:val="0"/>
          <w:sz w:val="32"/>
          <w:szCs w:val="32"/>
        </w:rPr>
        <w:t>统筹安排预算资金3.4亿元，完善人民健康促进政策，切实保障人民生命安全和身心健康。主要用于：继续保障公共卫生服务投入，筑牢公共卫生安全防线；安排卫生改革专项资金，支持公立医院建设，促进医疗机构提档升级，打造高水平临床重点专科；安排计划生育奖励扶助、公立医院取消药品加成、城乡医疗救助等补助资金。</w:t>
      </w:r>
    </w:p>
    <w:p w14:paraId="3913083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三是支持健全社会保障体系。</w:t>
      </w:r>
      <w:r>
        <w:rPr>
          <w:rFonts w:hint="default" w:ascii="Times New Roman" w:hAnsi="Times New Roman" w:eastAsia="仿宋_GB2312" w:cs="Times New Roman"/>
          <w:b w:val="0"/>
          <w:bCs w:val="0"/>
          <w:kern w:val="0"/>
          <w:sz w:val="32"/>
          <w:szCs w:val="32"/>
        </w:rPr>
        <w:t>统筹安排预算资金4.7亿元，健全覆盖全民、统筹城乡、公平统一、安全规范、可持续的多层次保障体系。主要用于：聚焦“ 一老一小” 构建全龄友好社会，落实养老服务体系建设、高龄津贴等财政保障责任，完善残疾人社会保障制度和关爱服务体系；提高城乡居民最低生活保障标准，健全社会救助、社会福利、优抚安置制度；安排城乡居民基本养老保险和基本医疗保险等政府补助；加强粮油猪肉政府储备；构建多主体供给、多渠道保障、租购并举的住房制度；安排州属林业企业离退人员统筹外费用，确保相关人员生活困难补助和社保费用及时到位。</w:t>
      </w:r>
    </w:p>
    <w:p w14:paraId="26F9EA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5.聚焦提高社会治理效能，推动社会和谐发展</w:t>
      </w:r>
    </w:p>
    <w:p w14:paraId="184374C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一是支持提高公共安全治理水平。</w:t>
      </w:r>
      <w:r>
        <w:rPr>
          <w:rFonts w:hint="default" w:ascii="Times New Roman" w:hAnsi="Times New Roman" w:eastAsia="仿宋_GB2312" w:cs="Times New Roman"/>
          <w:b w:val="0"/>
          <w:bCs w:val="0"/>
          <w:kern w:val="0"/>
          <w:sz w:val="32"/>
          <w:szCs w:val="32"/>
        </w:rPr>
        <w:t>统筹安排预算资金1.2亿元，加强社会治安综合治理，强化公共安全体系和应急管理体系建设，提高应对突发事件的能力和水平。主要用于：为执法办案和警务保障提供经费支持，助力社会治安防控体系和风险监测防控平台的建设，全面增强公共安全保障能力和提升依法治州水平；支持公安局、特警支队基地房屋维修改造，推动公安事业健康发展；开展自然灾害救助、强化应急物资采购，支持消防应急基础设施建设，保障应对突发事件的能力；支持道路交通管理业务工作，推动城市交通发展、保障交通安全。</w:t>
      </w:r>
    </w:p>
    <w:p w14:paraId="4B44DE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二是支持公共管理服务提升。</w:t>
      </w:r>
      <w:r>
        <w:rPr>
          <w:rFonts w:hint="default" w:ascii="Times New Roman" w:hAnsi="Times New Roman" w:eastAsia="仿宋_GB2312" w:cs="Times New Roman"/>
          <w:b w:val="0"/>
          <w:bCs w:val="0"/>
          <w:kern w:val="0"/>
          <w:sz w:val="32"/>
          <w:szCs w:val="32"/>
        </w:rPr>
        <w:t>统筹安排预算资金1.3亿元，保障党政机构有效地履行职责，提供优质的公共服务。主要用于：全力支持留置中心建设，助力推进反腐败工作的深入开展；加大食品药品安全抽检监测的力度，保障人民群众的饮食用药安全；安排人才发展、 就业创业等人才类专项资金，支持人才的培养、引进、激励和扶持工作，促进人才资源的优化配置；支持档案馆提升工程，进一步提高档案馆的现代化水平。</w:t>
      </w:r>
    </w:p>
    <w:p w14:paraId="4999DA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val="0"/>
          <w:bCs w:val="0"/>
          <w:kern w:val="0"/>
          <w:sz w:val="32"/>
          <w:szCs w:val="32"/>
        </w:rPr>
        <w:t>以上全州一般公共预算、政府性基金预算、社会保险基金预算和国有资本经营预算为汇编数，待各县（市）预算编制完成并经同级人代会批准后，再汇总报州人大常委会备案。州本级财政预算草案、附表及州本级2024年部门预算、项目资金绩效目标已全部提交大会，请予审查。</w:t>
      </w:r>
    </w:p>
    <w:p w14:paraId="67473E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 xml:space="preserve">四、2024年财政改革与管理工作 </w:t>
      </w:r>
      <w:r>
        <w:rPr>
          <w:rFonts w:hint="default" w:ascii="Times New Roman" w:hAnsi="Times New Roman" w:eastAsia="仿宋_GB2312" w:cs="Times New Roman"/>
          <w:sz w:val="32"/>
          <w:szCs w:val="32"/>
          <w:lang w:val="en-US" w:eastAsia="zh-CN"/>
        </w:rPr>
        <w:t xml:space="preserve">  </w:t>
      </w:r>
    </w:p>
    <w:p w14:paraId="225EEE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是“十四五”规划的攻坚之年，是推进中国式现代化走向深入的关键之年。我们将坚定以习近平新时代中国特色社会主义思想为指导，全面贯彻党的二十大和二十届三中全会精神，贯彻落实习近平总书记对四川、对阿坝工作系列重要指示批示精神，认真落实省委十二届三次四次全会决策部署和州委十二届三次四次全会工作安排。坚持稳中求进的工作总基调，强化党对财政工作的全面领导，加力提效实施积极财政政策，持续深化财政管理改革，不断提升财政精细化治理水平。</w:t>
      </w:r>
    </w:p>
    <w:p w14:paraId="3EC237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color w:val="auto"/>
          <w:sz w:val="32"/>
          <w:szCs w:val="32"/>
          <w:highlight w:val="none"/>
          <w:lang w:val="en-US" w:eastAsia="zh-CN"/>
        </w:rPr>
      </w:pPr>
      <w:r>
        <w:rPr>
          <w:rFonts w:hint="default" w:ascii="Times New Roman" w:hAnsi="Times New Roman" w:eastAsia="楷体_GB2312" w:cs="Times New Roman"/>
          <w:b/>
          <w:bCs w:val="0"/>
          <w:color w:val="auto"/>
          <w:sz w:val="32"/>
          <w:szCs w:val="32"/>
          <w:highlight w:val="none"/>
          <w:lang w:val="en-US" w:eastAsia="zh-CN"/>
        </w:rPr>
        <w:t>（一）强化党建引领，持之以恒推进全面从严治党</w:t>
      </w:r>
    </w:p>
    <w:p w14:paraId="3FB9A9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贯彻落实“以政领财、以财辅政”理念，积极发挥财政职能职责，推动党中央、省委、州委各项决策部署在财政阵地上落地落实。着力将主题教育成果转化为坚定拥护“两个确立”、坚决做到“两个维护”的政治自觉、思想自觉和行动自觉，不断提高“政治三力”。落实全面从严治党政治责任，坚定不移推动党风廉政和反腐败工作，始终把纪律规矩挺在前，坚持不懈纠治“四风”，营造风清气正的良好政治生态。努力培养信念坚定、为民服务、勤政务实、敢于担当、清正廉洁的“五好”财政干部。</w:t>
      </w:r>
    </w:p>
    <w:p w14:paraId="3B3949F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（二）聚力挖潜增收，建立稳定的财政收入增长机制</w:t>
      </w:r>
    </w:p>
    <w:p w14:paraId="6AB42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灵活运用国家财税政策，充分发挥财政资金的扶持和杠杆作用，把财源建设与产业结构深度调整有机结合，提升企业自主创新能力。重点培育壮大战略性新兴产业，巩固主体财源，培育新兴财源，优化财源结构，增强全州经济发展后劲，确保财政收入与经济发展同步增长。进一步提高财政收入质量。落实招商引资优惠政策，进一步鼓励和促进我州总部经济发展，加大“飞地园区”招商引资力度，重点培育优势产业和骨干企业，努力支持“飞地”园区形成长期稳定税源。</w:t>
      </w:r>
    </w:p>
    <w:p w14:paraId="6BA142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（三）优化支出结构，切实提高财政资金使用效益</w:t>
      </w:r>
    </w:p>
    <w:p w14:paraId="0A274C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有保有压，党政机关过紧日子，从严控制一般性支出，加强“三公”经费预算管理，努力降低行政运行成本。坚持“保基本、兜底线、促公平”，进一步优化支出结构，压减一般性支出，挤出更多财力解决民生问题。按照全口径预算的思路，全面统筹政府资金、资产、资源、资本，集中财力办大事，破解我州重大项目及资金的瓶颈。通过精准聚焦、绩效优先、存量增量并举、服务全局意识、有为政府和有效市场相结合五个方面，聚焦收入组织、聚焦财源建设、聚焦财政保障、聚焦改革攻坚、聚焦财政监督，建立跨年度预算平衡机制，实施中（长）期财政规划管理，为实现全州“十四五”目标任务提供坚实财力保障。</w:t>
      </w:r>
    </w:p>
    <w:p w14:paraId="49954CD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（四）统筹发展与安全，严格防范财政金融风险</w:t>
      </w:r>
    </w:p>
    <w:p w14:paraId="1BB60D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州地方政府债务余额严格控制在批准限额以内，债务风险保持总体可控，坚决遏制隐性债务增量，依法合规化解存量，研究缓释财政风险政策举措，统筹用好政府债务空间。及时更新项目库，积极争取地方政府债券资金，同时做好政府债务风险防范，强化绩效管理，健全风险防范化解机制，严禁发生新的隐性债务，确保债券资金用到关键处、紧要处，有效拉动经济发展。</w:t>
      </w:r>
    </w:p>
    <w:p w14:paraId="19DA8C8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（五）强化利民为本，高水平保障和改善民生</w:t>
      </w:r>
    </w:p>
    <w:p w14:paraId="5BD3EC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像抓经济建设一样抓民生保障，像落实发展指标一样落实民生任务”，进一步调整和优化支出结构，压缩一般性支出，提高民生资金保障能力，落实各项社会保障政策，有效兜住民生保障底线。继续加大对就业困难人员帮扶力度，重点做好高校毕业生、返乡农民工等困难群体就业创业工作。全面落实“双减”政策和“五项管理”要求，促进公共教育资源优化配置。持续推进健康阿坝建设，支持公立医院综合改革，落实好基本药物、基本公共卫生服务、计划生育扶助及中医药投入经费政策。进一步落实社会救助和社会福利等制度，加强困难群众救助、医疗救助政策落实和资金保障力度，有效保障困难群众基本生活。持续推动全民参保计划，稳步提升社会保险待遇。继续实施安居工程，改善城镇老旧小区居民的居住条件与生活环境，进一步提升人民群众的幸福感与获得感。</w:t>
      </w:r>
    </w:p>
    <w:p w14:paraId="2584F7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（六）提升财政保障力度，促进城乡高质量融合发展</w:t>
      </w:r>
    </w:p>
    <w:p w14:paraId="17C561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立足阿坝实际，紧盯关键环节，积极探索谋划，不断完善机制，统筹整合资金，出台一揽子财政政策，打出一套财政支持“组合拳”，推动城乡教育均等化、医疗资源共享化、养老服务一体化、公共文化服务均衡化，不断提高城乡基础设施完备度和公共服务便利度。以新型城镇化和乡村振兴为抓手，大力支持农村一二三产业融合，发展区域性特色产业，不断缩小城乡差别、工农差距和地区差距，高标准、高质量推进城乡融合发展。</w:t>
      </w:r>
    </w:p>
    <w:p w14:paraId="05F234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（七）落实积极财政政策，全力促进经济稳增长</w:t>
      </w:r>
    </w:p>
    <w:p w14:paraId="3083A2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贯彻落实中央经济工作会议精神，推动我州经济稳中求进、稳中有进。创新模式开展跨区域合作，大力发展飞地产业园区，通过“飞地”模式、共同组建平台公司等方式与成都、德阳等市深度合作，加快高端装备制造、新能源、新材料、节能环保等战略性新兴产业建设，推动高新技术产业、园区公共服务平台等项目建设。大力支持产业经济发展，综合运用财政补贴、激励奖补等方式，持续支持建设“6+N”特色农牧业、“5+N”生态工业、“1+6”现代服务业与“3+N”基础设施建设。 </w:t>
      </w:r>
    </w:p>
    <w:p w14:paraId="40D5CFD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（八）深化财政管理改革，推动治理能力现代化</w:t>
      </w:r>
    </w:p>
    <w:p w14:paraId="2E9D14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健全现代预算制度，深化预算绩效管理改革，健全政府资源配置体系。纵深推进财税体制改革，完善州以下财政体制，有序推进州以下财政事权和支出责任划分改革。围绕做好乡镇区划调整改革“后半篇”文章，指导县级财政研究完善对乡镇的财政管理体制。完善转移支付制度，加大财力性转移支付统筹力度。进一步严肃财经纪律，纵深推进财会监督，促进与其他各类监督贯通协调。突出结果导向，减少事前补助、增加事后奖补，将资金分配与绩效结果挂钩，明确奖补条件、标准、程序。加强绩效管控体系建设，大力提升绩效管理质效。优化政府采购需求管理，提高政府采购绩效，强化政府采购政策功能。</w:t>
      </w:r>
    </w:p>
    <w:p w14:paraId="4E1B5F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（九）坚持依法理财，主动接受预决算审查监督</w:t>
      </w:r>
    </w:p>
    <w:p w14:paraId="2B9201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动对照人大预算审查监督重点向支出预算和政策拓展指导意见、预算审查监督条例，坚决落实人大及其常委会有关预算决议和决算决议，自觉接受预算决算审查监督，落实预算联网监督要求，积极听取吸纳人大代表、政协委员和社会各界意见建议，紧紧围绕贯彻党中央、国务院决策部署，落实州委各项工作要求，改进预决算编制，进一步提升支出预算和政策的科学性、有效性。继续深入推进预决算公开工作。提升国有资产管理情况报告编报水平。落实人大监督管理意见，更好回应人大代表关切，切实服务好人大代表依法履职。</w:t>
      </w:r>
    </w:p>
    <w:p w14:paraId="328EF8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位代表，惟撑篙不已方能逆水行舟，惟奋斗不止方能冲出重围！我们要坚持以习近平新时代中国特色社会主义思想为指导，认真贯彻落实党的二十大精神和习近平总书记来川来州视察重要指示精神。在州委的正确领导下，在人大依法监督和政协民主监督下，与全州各族人民一起，以时时放心不下的责任感，脚踏实地加油干，为奋力谱写社会主义现代化新阿坝绚丽篇章，加快建设“一州两区三家园”做出更大贡献！</w:t>
      </w:r>
    </w:p>
    <w:p w14:paraId="7E67FAAE">
      <w:pPr>
        <w:pStyle w:val="3"/>
        <w:keepNext w:val="0"/>
        <w:keepLines w:val="0"/>
        <w:pageBreakBefore w:val="0"/>
        <w:widowControl w:val="0"/>
        <w:kinsoku/>
        <w:wordWrap/>
        <w:overflowPunct/>
        <w:topLinePunct w:val="0"/>
        <w:autoSpaceDE/>
        <w:bidi w:val="0"/>
        <w:adjustRightInd/>
        <w:snapToGrid w:val="0"/>
        <w:spacing w:line="560" w:lineRule="exact"/>
        <w:jc w:val="left"/>
        <w:textAlignment w:val="auto"/>
        <w:rPr>
          <w:rFonts w:hint="default" w:ascii="Times New Roman" w:hAnsi="Times New Roman" w:cs="Times New Roman"/>
          <w:kern w:val="0"/>
          <w:szCs w:val="32"/>
        </w:rPr>
      </w:pPr>
    </w:p>
    <w:p w14:paraId="3C37FB48">
      <w:pPr>
        <w:pStyle w:val="6"/>
        <w:keepNext w:val="0"/>
        <w:keepLines w:val="0"/>
        <w:pageBreakBefore w:val="0"/>
        <w:widowControl w:val="0"/>
        <w:kinsoku/>
        <w:wordWrap/>
        <w:overflowPunct/>
        <w:topLinePunct w:val="0"/>
        <w:autoSpaceDE/>
        <w:bidi w:val="0"/>
        <w:adjustRightInd/>
        <w:spacing w:line="560" w:lineRule="exact"/>
        <w:ind w:firstLine="420"/>
        <w:jc w:val="left"/>
        <w:textAlignment w:val="auto"/>
        <w:rPr>
          <w:rFonts w:hint="default" w:ascii="Times New Roman" w:hAnsi="Times New Roman" w:cs="Times New Roman"/>
        </w:rPr>
      </w:pPr>
    </w:p>
    <w:p w14:paraId="63893F18">
      <w:pPr>
        <w:pStyle w:val="6"/>
        <w:keepNext w:val="0"/>
        <w:keepLines w:val="0"/>
        <w:pageBreakBefore w:val="0"/>
        <w:widowControl w:val="0"/>
        <w:kinsoku/>
        <w:wordWrap/>
        <w:overflowPunct/>
        <w:topLinePunct w:val="0"/>
        <w:autoSpaceDE/>
        <w:bidi w:val="0"/>
        <w:adjustRightInd/>
        <w:spacing w:line="560" w:lineRule="exact"/>
        <w:ind w:firstLine="420"/>
        <w:jc w:val="left"/>
        <w:textAlignment w:val="auto"/>
        <w:rPr>
          <w:rFonts w:hint="default" w:ascii="Times New Roman" w:hAnsi="Times New Roman" w:cs="Times New Roman"/>
        </w:rPr>
      </w:pPr>
    </w:p>
    <w:p w14:paraId="07894A5C">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黑体" w:cs="Times New Roman"/>
          <w:sz w:val="32"/>
          <w:szCs w:val="32"/>
          <w:lang w:eastAsia="zh-CN"/>
        </w:rPr>
      </w:pPr>
    </w:p>
    <w:p w14:paraId="717EBCE8">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名词解释</w:t>
      </w:r>
    </w:p>
    <w:p w14:paraId="02C14CF0">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1.“政采贷”，即政府采购供应商信用融资，是指银行以政府采购供应商信用审查和政府采购信誉为基础，依托政府采购合同，优化贷款程序和利率，直接向申请贷款的供应商发放无财产抵押贷款。</w:t>
      </w:r>
    </w:p>
    <w:p w14:paraId="468CEA5B">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2.“两山理论”：“绿水青山就是金山银山”</w:t>
      </w:r>
    </w:p>
    <w:p w14:paraId="2E0C1011">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3.“九大”文旅品牌：大九寨、大熊猫、大草原、大雪山、大冰川、大彩林、大长征、大地震遗址、大禹故里品牌</w:t>
      </w:r>
    </w:p>
    <w:p w14:paraId="18074673">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两个确立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：确立习近平同志党中央的核心、全党的核心地位，确立习近平新时代中国特色社会主义思想的指导地位。</w:t>
      </w:r>
    </w:p>
    <w:p w14:paraId="1B8F2A39">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两个维护</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：坚决维护习近平总书记的核心地位，坚决维护党中央权威和集中统一领导。</w:t>
      </w:r>
    </w:p>
    <w:p w14:paraId="619F6E11">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政治三力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，指政治判断力、政治领悟力、政治执行力</w:t>
      </w:r>
      <w:r>
        <w:rPr>
          <w:rFonts w:hint="default" w:ascii="Times New Roman" w:hAnsi="Times New Roman" w:eastAsia="仿宋_GB2312" w:cs="Times New Roman"/>
          <w:sz w:val="32"/>
          <w:szCs w:val="32"/>
          <w:lang w:eastAsia="zh-CN"/>
        </w:rPr>
        <w:t>。</w:t>
      </w:r>
    </w:p>
    <w:p w14:paraId="3759F529">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.“四风”形式主义、官僚主义、享乐主义、奢靡之风</w:t>
      </w:r>
    </w:p>
    <w:p w14:paraId="7F2E6B7B">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.“三公”经费：是指单位通过财政拨款资金安排的因公出国（境）费、公务用车购置及运行费和公务接待费。</w:t>
      </w:r>
    </w:p>
    <w:p w14:paraId="56E54B6F">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：减轻义务教育阶段学生过重作业负担和校外培训负担。</w:t>
      </w:r>
    </w:p>
    <w:p w14:paraId="546404BD">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.教育“五项管理”：中小学生作业、睡眠、手机、读物、体质管理。</w:t>
      </w:r>
    </w:p>
    <w:p w14:paraId="254090D6">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.“6+N”特色农牧业：“6”是指牛羊（禽蜂）、生（藏）猪、特色果蔬、高原菜蔬、优质粮油、道地药材六大主导产业；“N”是指食药菌类、高原花卉等有发展潜力、尚在培育的N个新兴产业。</w:t>
      </w:r>
    </w:p>
    <w:p w14:paraId="6394A29B">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5+N”生态工业：“5”是指清洁能源产业、特色农牧深加工产业、民族文化工艺产业、中藏羌医药产业、优质矿产资源产业；“N”是指以“飞地”园区、县域中小微企业产业园为载体发展的数字经济、绿色载能、材料加工等N个特色产业。</w:t>
      </w:r>
    </w:p>
    <w:p w14:paraId="4D4210D1">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.“1+6”现代服务业：“1”是指文化旅游业；“6”是指金融服务、商业贸易、现代物流、科技信息、休闲康养、特色餐饮六大产业。</w:t>
      </w:r>
    </w:p>
    <w:p w14:paraId="04D1B62B">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.“3+N”基础设施：“3”是指交通、能源、通信三条高速通道；“N”是指新基建基础设施。</w:t>
      </w:r>
    </w:p>
    <w:p w14:paraId="53947C30">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.七大保护行动：草原、森林、湿地、雪山冰川、野生动物、植物、蓝天净土绿水青山保护行动。</w:t>
      </w:r>
    </w:p>
    <w:p w14:paraId="36EBE8C0">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.七大治理工程：草原“两化三害”治理、长江黄河上游干支流流域治理、地质灾害治理、污染治理、增草增林增绿治理、森林草原防灭火治理、全域环境综合治理。</w:t>
      </w:r>
    </w:p>
    <w:p w14:paraId="44AD9AD5">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p>
    <w:p w14:paraId="1F3FEB0D">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p>
    <w:p w14:paraId="72384BE7">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14:paraId="6F09CF22">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14:paraId="1225A788">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14:paraId="4FA05CB9">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14:paraId="38400136">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14:paraId="77480BF7">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lang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3064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E041D">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1E041D">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5969B"/>
    <w:rsid w:val="0BA9EA07"/>
    <w:rsid w:val="179AE6FE"/>
    <w:rsid w:val="17CCAD4E"/>
    <w:rsid w:val="17E91AAA"/>
    <w:rsid w:val="17F758B2"/>
    <w:rsid w:val="1BD71124"/>
    <w:rsid w:val="1ED27810"/>
    <w:rsid w:val="1FDF5FB1"/>
    <w:rsid w:val="1FFAE486"/>
    <w:rsid w:val="1FFF1641"/>
    <w:rsid w:val="21FE657D"/>
    <w:rsid w:val="2D3FF0C0"/>
    <w:rsid w:val="2D779CA9"/>
    <w:rsid w:val="2EFEA60A"/>
    <w:rsid w:val="2F1E3AE4"/>
    <w:rsid w:val="2FF8E565"/>
    <w:rsid w:val="2FFF7C78"/>
    <w:rsid w:val="335FDB13"/>
    <w:rsid w:val="33DFF349"/>
    <w:rsid w:val="369F8B16"/>
    <w:rsid w:val="36B783AC"/>
    <w:rsid w:val="374F460F"/>
    <w:rsid w:val="3767A947"/>
    <w:rsid w:val="38FD89CA"/>
    <w:rsid w:val="397F0B23"/>
    <w:rsid w:val="39FD4778"/>
    <w:rsid w:val="3B8BC69F"/>
    <w:rsid w:val="3BE74516"/>
    <w:rsid w:val="3C6FC41C"/>
    <w:rsid w:val="3CF50B0F"/>
    <w:rsid w:val="3CF8F9DB"/>
    <w:rsid w:val="3D1B006A"/>
    <w:rsid w:val="3D9D1D04"/>
    <w:rsid w:val="3DF63B4F"/>
    <w:rsid w:val="3EFF8174"/>
    <w:rsid w:val="3F9A67CB"/>
    <w:rsid w:val="3FBF7A6F"/>
    <w:rsid w:val="3FDBD21E"/>
    <w:rsid w:val="3FEBA24E"/>
    <w:rsid w:val="3FFD2CD5"/>
    <w:rsid w:val="3FFF21B9"/>
    <w:rsid w:val="46FCF7D9"/>
    <w:rsid w:val="4AF099B5"/>
    <w:rsid w:val="4BBE9C95"/>
    <w:rsid w:val="4DFD13D8"/>
    <w:rsid w:val="4E9A403A"/>
    <w:rsid w:val="4F5F9F55"/>
    <w:rsid w:val="4F65922A"/>
    <w:rsid w:val="4F8CD619"/>
    <w:rsid w:val="4FC62A9C"/>
    <w:rsid w:val="4FD1E661"/>
    <w:rsid w:val="4FEAEA5D"/>
    <w:rsid w:val="4FFF2D58"/>
    <w:rsid w:val="4FFFCD27"/>
    <w:rsid w:val="55CB3589"/>
    <w:rsid w:val="57CD1DC3"/>
    <w:rsid w:val="57FD2994"/>
    <w:rsid w:val="59F66219"/>
    <w:rsid w:val="59FB5B3A"/>
    <w:rsid w:val="5ABCAD46"/>
    <w:rsid w:val="5ABD7260"/>
    <w:rsid w:val="5B6DD468"/>
    <w:rsid w:val="5C8E246A"/>
    <w:rsid w:val="5CBF60B7"/>
    <w:rsid w:val="5CFF23D0"/>
    <w:rsid w:val="5DA64C90"/>
    <w:rsid w:val="5DEA603C"/>
    <w:rsid w:val="5DEFC058"/>
    <w:rsid w:val="5DF1B380"/>
    <w:rsid w:val="5DF680B1"/>
    <w:rsid w:val="5E3FB252"/>
    <w:rsid w:val="5EFF4760"/>
    <w:rsid w:val="5FB70953"/>
    <w:rsid w:val="63FF2C1B"/>
    <w:rsid w:val="65AF5A12"/>
    <w:rsid w:val="664786E5"/>
    <w:rsid w:val="67E3FB38"/>
    <w:rsid w:val="69FF5371"/>
    <w:rsid w:val="6A913A0B"/>
    <w:rsid w:val="6DA7B354"/>
    <w:rsid w:val="6F5A5ABC"/>
    <w:rsid w:val="6FAE9612"/>
    <w:rsid w:val="6FCF2206"/>
    <w:rsid w:val="6FEF0EA2"/>
    <w:rsid w:val="6FEF34C9"/>
    <w:rsid w:val="6FEF70BC"/>
    <w:rsid w:val="6FFB3708"/>
    <w:rsid w:val="70EE29B4"/>
    <w:rsid w:val="719EC242"/>
    <w:rsid w:val="71BFD1EC"/>
    <w:rsid w:val="73A5138B"/>
    <w:rsid w:val="73F47170"/>
    <w:rsid w:val="75DE8BE2"/>
    <w:rsid w:val="75FFB809"/>
    <w:rsid w:val="76A9945D"/>
    <w:rsid w:val="76AD4892"/>
    <w:rsid w:val="76BCEB78"/>
    <w:rsid w:val="7766ADC8"/>
    <w:rsid w:val="777F3127"/>
    <w:rsid w:val="77CE0D74"/>
    <w:rsid w:val="77D50C4A"/>
    <w:rsid w:val="77D9B171"/>
    <w:rsid w:val="77DE35C9"/>
    <w:rsid w:val="77DFEA80"/>
    <w:rsid w:val="77F6D21A"/>
    <w:rsid w:val="77FF7082"/>
    <w:rsid w:val="78BD4847"/>
    <w:rsid w:val="795FFBDF"/>
    <w:rsid w:val="79DFF971"/>
    <w:rsid w:val="79F7801F"/>
    <w:rsid w:val="7AF93F68"/>
    <w:rsid w:val="7AFD0CE3"/>
    <w:rsid w:val="7AFF810F"/>
    <w:rsid w:val="7B979B39"/>
    <w:rsid w:val="7BDE4CB9"/>
    <w:rsid w:val="7BF11F6E"/>
    <w:rsid w:val="7BF6EC36"/>
    <w:rsid w:val="7BF79441"/>
    <w:rsid w:val="7C7E7FC5"/>
    <w:rsid w:val="7CFF103D"/>
    <w:rsid w:val="7D367EC3"/>
    <w:rsid w:val="7D7B4A2A"/>
    <w:rsid w:val="7DB42268"/>
    <w:rsid w:val="7DD74E4E"/>
    <w:rsid w:val="7DDD35D1"/>
    <w:rsid w:val="7DFB09A7"/>
    <w:rsid w:val="7DFF1212"/>
    <w:rsid w:val="7E2E098B"/>
    <w:rsid w:val="7E5F4730"/>
    <w:rsid w:val="7E63EE81"/>
    <w:rsid w:val="7EE9C210"/>
    <w:rsid w:val="7EFAC518"/>
    <w:rsid w:val="7EFB3DA4"/>
    <w:rsid w:val="7EFF0B70"/>
    <w:rsid w:val="7EFF0DDE"/>
    <w:rsid w:val="7F7FE42A"/>
    <w:rsid w:val="7FAF7CB0"/>
    <w:rsid w:val="7FB53DAF"/>
    <w:rsid w:val="7FB59236"/>
    <w:rsid w:val="7FBB6F03"/>
    <w:rsid w:val="7FC971BE"/>
    <w:rsid w:val="7FCB7CBF"/>
    <w:rsid w:val="7FCFACAE"/>
    <w:rsid w:val="7FDD456B"/>
    <w:rsid w:val="7FE5C083"/>
    <w:rsid w:val="7FE77B94"/>
    <w:rsid w:val="7FEF03D1"/>
    <w:rsid w:val="7FF722BF"/>
    <w:rsid w:val="7FF79821"/>
    <w:rsid w:val="7FF98A41"/>
    <w:rsid w:val="7FFBF2ED"/>
    <w:rsid w:val="7FFDFB53"/>
    <w:rsid w:val="7FFEC292"/>
    <w:rsid w:val="7FFF9A54"/>
    <w:rsid w:val="7FFFC94B"/>
    <w:rsid w:val="7FFFFC2F"/>
    <w:rsid w:val="87BEA423"/>
    <w:rsid w:val="8CB95750"/>
    <w:rsid w:val="8CF8D185"/>
    <w:rsid w:val="8ECABEB3"/>
    <w:rsid w:val="8FBBD353"/>
    <w:rsid w:val="8FFD675C"/>
    <w:rsid w:val="973DD15E"/>
    <w:rsid w:val="9776AF37"/>
    <w:rsid w:val="9F7E3639"/>
    <w:rsid w:val="9FFDF223"/>
    <w:rsid w:val="A6EF7CFA"/>
    <w:rsid w:val="A9FFDBA0"/>
    <w:rsid w:val="AF7C11E3"/>
    <w:rsid w:val="AFB842F3"/>
    <w:rsid w:val="AFBFE7F3"/>
    <w:rsid w:val="B27F1B37"/>
    <w:rsid w:val="B5F2C1ED"/>
    <w:rsid w:val="B61940FA"/>
    <w:rsid w:val="B7F7DE91"/>
    <w:rsid w:val="B9FB6AE0"/>
    <w:rsid w:val="BBEB7534"/>
    <w:rsid w:val="BBFF7155"/>
    <w:rsid w:val="BD7B3B2D"/>
    <w:rsid w:val="BDA45742"/>
    <w:rsid w:val="BDBE646D"/>
    <w:rsid w:val="BDE3E44C"/>
    <w:rsid w:val="BECF05B3"/>
    <w:rsid w:val="BEDDE58A"/>
    <w:rsid w:val="BEFE770B"/>
    <w:rsid w:val="BF796E27"/>
    <w:rsid w:val="BF9D657D"/>
    <w:rsid w:val="BFD6A27A"/>
    <w:rsid w:val="BFDF55BC"/>
    <w:rsid w:val="BFEAE219"/>
    <w:rsid w:val="BFF18681"/>
    <w:rsid w:val="BFF3FFC6"/>
    <w:rsid w:val="BFF92DE5"/>
    <w:rsid w:val="BFFA8367"/>
    <w:rsid w:val="BFFF4A53"/>
    <w:rsid w:val="C5EB3F86"/>
    <w:rsid w:val="C7FBADFC"/>
    <w:rsid w:val="CAF79A9B"/>
    <w:rsid w:val="CBA6A721"/>
    <w:rsid w:val="CDFD90E2"/>
    <w:rsid w:val="CFFF9141"/>
    <w:rsid w:val="D26F5D4C"/>
    <w:rsid w:val="D59F356D"/>
    <w:rsid w:val="D5F78DE3"/>
    <w:rsid w:val="D775877C"/>
    <w:rsid w:val="D7DC8BE2"/>
    <w:rsid w:val="D7FF982A"/>
    <w:rsid w:val="DAFBFF8E"/>
    <w:rsid w:val="DB2FB384"/>
    <w:rsid w:val="DBD6F3D7"/>
    <w:rsid w:val="DBD762C4"/>
    <w:rsid w:val="DBDF5C15"/>
    <w:rsid w:val="DBEB7E94"/>
    <w:rsid w:val="DDB1002C"/>
    <w:rsid w:val="DDB7822B"/>
    <w:rsid w:val="DEBF3F15"/>
    <w:rsid w:val="DEDF7A65"/>
    <w:rsid w:val="DEF7A674"/>
    <w:rsid w:val="DF3F2FC9"/>
    <w:rsid w:val="DF4751B3"/>
    <w:rsid w:val="DFFF9D5E"/>
    <w:rsid w:val="E2FBDE93"/>
    <w:rsid w:val="E79BEBA4"/>
    <w:rsid w:val="E7BF4261"/>
    <w:rsid w:val="E9E6DCF7"/>
    <w:rsid w:val="E9FD243C"/>
    <w:rsid w:val="EAED5AEF"/>
    <w:rsid w:val="EB7FB30C"/>
    <w:rsid w:val="EBBCC7C1"/>
    <w:rsid w:val="EBFD50CA"/>
    <w:rsid w:val="EBFF253C"/>
    <w:rsid w:val="EDFE93D0"/>
    <w:rsid w:val="EEBF0590"/>
    <w:rsid w:val="EEF9260A"/>
    <w:rsid w:val="EF5DDE56"/>
    <w:rsid w:val="EF72D6D9"/>
    <w:rsid w:val="EFB7E2B8"/>
    <w:rsid w:val="EFE6EE1B"/>
    <w:rsid w:val="EFF33CFE"/>
    <w:rsid w:val="EFF7757D"/>
    <w:rsid w:val="EFF7E264"/>
    <w:rsid w:val="EFFE274E"/>
    <w:rsid w:val="F35E0EC9"/>
    <w:rsid w:val="F3BEAD63"/>
    <w:rsid w:val="F3E3B4C2"/>
    <w:rsid w:val="F4BFC791"/>
    <w:rsid w:val="F54B1BAA"/>
    <w:rsid w:val="F57D097E"/>
    <w:rsid w:val="F5CCBEAC"/>
    <w:rsid w:val="F5FB0354"/>
    <w:rsid w:val="F68C3F8B"/>
    <w:rsid w:val="F6F56E6B"/>
    <w:rsid w:val="F7977C74"/>
    <w:rsid w:val="F7AC772F"/>
    <w:rsid w:val="F7E966FB"/>
    <w:rsid w:val="F7EE6199"/>
    <w:rsid w:val="F7FFEF6E"/>
    <w:rsid w:val="F93D401B"/>
    <w:rsid w:val="F9DE58BB"/>
    <w:rsid w:val="F9E7F2E6"/>
    <w:rsid w:val="FABFCE83"/>
    <w:rsid w:val="FAF764C0"/>
    <w:rsid w:val="FAF7A622"/>
    <w:rsid w:val="FAF9868E"/>
    <w:rsid w:val="FB66F951"/>
    <w:rsid w:val="FB9FA309"/>
    <w:rsid w:val="FBEF3BD3"/>
    <w:rsid w:val="FBFC1D2C"/>
    <w:rsid w:val="FBFF4DEA"/>
    <w:rsid w:val="FC4F11AE"/>
    <w:rsid w:val="FCF6233E"/>
    <w:rsid w:val="FD3D8023"/>
    <w:rsid w:val="FD47984A"/>
    <w:rsid w:val="FD5D3EBE"/>
    <w:rsid w:val="FDBCC84B"/>
    <w:rsid w:val="FDE857C0"/>
    <w:rsid w:val="FDFE98CE"/>
    <w:rsid w:val="FE7FD22A"/>
    <w:rsid w:val="FEBFBE38"/>
    <w:rsid w:val="FEC5C9D0"/>
    <w:rsid w:val="FEEF54FC"/>
    <w:rsid w:val="FF1DB57B"/>
    <w:rsid w:val="FF6BCA56"/>
    <w:rsid w:val="FF75969B"/>
    <w:rsid w:val="FF767AD0"/>
    <w:rsid w:val="FF7D269A"/>
    <w:rsid w:val="FF8F7779"/>
    <w:rsid w:val="FF9C6901"/>
    <w:rsid w:val="FFBFB5A1"/>
    <w:rsid w:val="FFD5007B"/>
    <w:rsid w:val="FFDB8EC9"/>
    <w:rsid w:val="FFDF6EB5"/>
    <w:rsid w:val="FFDFA8A5"/>
    <w:rsid w:val="FFE7735D"/>
    <w:rsid w:val="FFECBB9B"/>
    <w:rsid w:val="FFF5169F"/>
    <w:rsid w:val="FFF59666"/>
    <w:rsid w:val="FFF7F514"/>
    <w:rsid w:val="FFF9F5F8"/>
    <w:rsid w:val="FFFA5A9E"/>
    <w:rsid w:val="FFFB782A"/>
    <w:rsid w:val="FFFF1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200" w:leftChars="200"/>
    </w:pPr>
  </w:style>
  <w:style w:type="paragraph" w:styleId="3">
    <w:name w:val="Plain Text"/>
    <w:basedOn w:val="1"/>
    <w:qFormat/>
    <w:uiPriority w:val="99"/>
    <w:rPr>
      <w:rFonts w:ascii="仿宋_GB2312" w:eastAsia="仿宋_GB2312" w:cs="Times New Roman"/>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qFormat/>
    <w:uiPriority w:val="0"/>
    <w:pPr>
      <w:spacing w:after="0"/>
      <w:ind w:left="0" w:leftChars="0" w:firstLine="200" w:firstLineChars="200"/>
    </w:pPr>
    <w:rPr>
      <w:rFonts w:ascii="仿宋_GB2312" w:hAnsi="仿宋_GB2312"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13163</Words>
  <Characters>14052</Characters>
  <Lines>0</Lines>
  <Paragraphs>0</Paragraphs>
  <TotalTime>20</TotalTime>
  <ScaleCrop>false</ScaleCrop>
  <LinksUpToDate>false</LinksUpToDate>
  <CharactersWithSpaces>14103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2023-12-26T20:49:00Z</dcterms:created>
  <dc:creator>user</dc:creator>
  <cp:lastModifiedBy>花红易衰</cp:lastModifiedBy>
  <cp:lastPrinted>2023-12-25T03:07:00Z</cp:lastPrinted>
  <dcterms:modified xsi:type="dcterms:W3CDTF">2026-05-14T02:45:33Z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5FAE806B6A06356BC8208165F38FEEAF</vt:lpwstr>
  </property>
  <property fmtid="{D5CDD505-2E9C-101B-9397-08002B2CF9AE}" pid="4" name="KSOTemplateDocerSaveRecord">
    <vt:lpwstr>eyJoZGlkIjoiNWNlNDRhODc1NWM1Nzc3NjU3YmU0Zjg2ZWIwYThkYmYiLCJ1c2VySWQiOiI0MzMxNDkwMDYifQ==</vt:lpwstr>
  </property>
</Properties>
</file>