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hd w:val="clear" w:color="auto" w:fill="FFFFFF"/>
        <w:jc w:val="center"/>
        <w:rPr>
          <w:sz w:val="52"/>
          <w:szCs w:val="52"/>
        </w:rPr>
      </w:pPr>
      <w:r>
        <w:rPr>
          <w:sz w:val="52"/>
          <w:szCs w:val="52"/>
        </w:rPr>
        <w:t>2022年度</w:t>
      </w:r>
    </w:p>
    <w:p>
      <w:pPr>
        <w:pStyle w:val="18"/>
        <w:shd w:val="clear" w:color="auto" w:fill="FFFFFF"/>
        <w:jc w:val="center"/>
        <w:outlineLvl w:val="0"/>
        <w:rPr>
          <w:sz w:val="52"/>
          <w:szCs w:val="52"/>
        </w:rPr>
      </w:pPr>
      <w:bookmarkStart w:id="0" w:name="_Toc26652"/>
      <w:bookmarkStart w:id="1" w:name="_Toc72938291"/>
      <w:r>
        <w:rPr>
          <w:sz w:val="52"/>
          <w:szCs w:val="52"/>
        </w:rPr>
        <w:t>四川省阿坝州发展和改革委员会</w:t>
      </w:r>
      <w:bookmarkEnd w:id="1"/>
    </w:p>
    <w:p>
      <w:pPr>
        <w:pStyle w:val="18"/>
        <w:shd w:val="clear" w:color="auto" w:fill="FFFFFF"/>
        <w:jc w:val="center"/>
        <w:outlineLvl w:val="0"/>
        <w:rPr>
          <w:sz w:val="52"/>
          <w:szCs w:val="52"/>
        </w:rPr>
      </w:pPr>
      <w:bookmarkStart w:id="2" w:name="_Toc72938292"/>
      <w:r>
        <w:rPr>
          <w:sz w:val="52"/>
          <w:szCs w:val="52"/>
        </w:rPr>
        <w:t>（汇总）部门决算</w:t>
      </w:r>
      <w:bookmarkEnd w:id="0"/>
      <w:bookmarkEnd w:id="2"/>
    </w:p>
    <w:p>
      <w:pPr>
        <w:pStyle w:val="18"/>
        <w:shd w:val="clear" w:color="auto" w:fill="FFFFFF"/>
        <w:jc w:val="center"/>
      </w:pPr>
    </w:p>
    <w:p>
      <w:pPr>
        <w:pStyle w:val="18"/>
        <w:shd w:val="clear" w:color="auto" w:fill="FFFFFF"/>
        <w:jc w:val="center"/>
      </w:pPr>
    </w:p>
    <w:p>
      <w:pPr>
        <w:pStyle w:val="18"/>
        <w:shd w:val="clear" w:color="auto" w:fill="FFFFFF"/>
        <w:jc w:val="center"/>
      </w:pPr>
      <w:r>
        <w:t> </w:t>
      </w:r>
    </w:p>
    <w:p>
      <w:pPr>
        <w:pStyle w:val="18"/>
        <w:shd w:val="clear" w:color="auto" w:fill="FFFFFF"/>
        <w:jc w:val="center"/>
      </w:pPr>
      <w:r>
        <w:t> </w:t>
      </w:r>
    </w:p>
    <w:p>
      <w:pPr>
        <w:pStyle w:val="18"/>
        <w:shd w:val="clear" w:color="auto" w:fill="FFFFFF"/>
        <w:jc w:val="center"/>
      </w:pPr>
      <w:r>
        <w:t> </w:t>
      </w:r>
    </w:p>
    <w:p>
      <w:pPr>
        <w:pStyle w:val="18"/>
        <w:shd w:val="clear" w:color="auto" w:fill="FFFFFF"/>
        <w:jc w:val="center"/>
      </w:pPr>
      <w:r>
        <w:t> </w:t>
      </w:r>
    </w:p>
    <w:p>
      <w:pPr>
        <w:pStyle w:val="18"/>
        <w:shd w:val="clear" w:color="auto" w:fill="FFFFFF"/>
        <w:jc w:val="center"/>
      </w:pPr>
      <w:r>
        <w:t> </w:t>
      </w:r>
    </w:p>
    <w:p>
      <w:pPr>
        <w:pStyle w:val="18"/>
        <w:shd w:val="clear" w:color="auto" w:fill="FFFFFF"/>
        <w:jc w:val="center"/>
      </w:pPr>
      <w:r>
        <w:t> </w:t>
      </w:r>
    </w:p>
    <w:p>
      <w:pPr>
        <w:pStyle w:val="18"/>
        <w:shd w:val="clear" w:color="auto" w:fill="FFFFFF"/>
        <w:jc w:val="center"/>
      </w:pPr>
      <w:r>
        <w:t> </w:t>
      </w:r>
    </w:p>
    <w:p>
      <w:pPr>
        <w:pStyle w:val="18"/>
        <w:shd w:val="clear" w:color="auto" w:fill="FFFFFF"/>
        <w:jc w:val="center"/>
      </w:pPr>
      <w:r>
        <w:t>已经保密审查、内容审定，同意对外公开</w:t>
      </w:r>
    </w:p>
    <w:p>
      <w:pPr>
        <w:pStyle w:val="18"/>
        <w:shd w:val="clear" w:color="auto" w:fill="FFFFFF"/>
      </w:pPr>
      <w:r>
        <w:t> </w:t>
      </w:r>
    </w:p>
    <w:p>
      <w:pPr>
        <w:pStyle w:val="18"/>
        <w:shd w:val="clear" w:color="auto" w:fill="FFFFFF"/>
      </w:pPr>
      <w:r>
        <w:t> </w:t>
      </w:r>
    </w:p>
    <w:p>
      <w:pPr>
        <w:pStyle w:val="18"/>
        <w:shd w:val="clear" w:color="auto" w:fill="FFFFFF"/>
        <w:jc w:val="center"/>
      </w:pPr>
      <w:r>
        <w:t> </w:t>
      </w:r>
    </w:p>
    <w:p>
      <w:pPr>
        <w:pStyle w:val="18"/>
        <w:shd w:val="clear" w:color="auto" w:fill="FFFFFF"/>
      </w:pPr>
      <w:r>
        <w:t> </w:t>
      </w:r>
    </w:p>
    <w:p>
      <w:pPr>
        <w:pStyle w:val="18"/>
        <w:shd w:val="clear" w:color="auto" w:fill="FFFFFF"/>
        <w:jc w:val="center"/>
      </w:pPr>
      <w:r>
        <w:t> </w:t>
      </w:r>
    </w:p>
    <w:p>
      <w:pPr>
        <w:pStyle w:val="18"/>
        <w:shd w:val="clear" w:color="auto" w:fill="FFFFFF"/>
        <w:jc w:val="center"/>
      </w:pPr>
      <w:r>
        <w:t> </w:t>
      </w:r>
    </w:p>
    <w:p>
      <w:pPr>
        <w:pStyle w:val="18"/>
        <w:shd w:val="clear" w:color="auto" w:fill="FFFFFF"/>
        <w:jc w:val="center"/>
      </w:pPr>
    </w:p>
    <w:p>
      <w:pPr>
        <w:pStyle w:val="18"/>
        <w:shd w:val="clear" w:color="auto" w:fill="FFFFFF"/>
        <w:jc w:val="center"/>
      </w:pPr>
    </w:p>
    <w:p>
      <w:pPr>
        <w:pStyle w:val="18"/>
        <w:shd w:val="clear" w:color="auto" w:fill="FFFFFF"/>
        <w:jc w:val="center"/>
      </w:pPr>
      <w:r>
        <w:br w:type="textWrapping" w:clear="all"/>
      </w:r>
      <w:r>
        <w:rPr>
          <w:rFonts w:ascii="黑体" w:eastAsia="黑体" w:cs="黑体" w:hint="eastAsia"/>
          <w:sz w:val="48"/>
          <w:szCs w:val="48"/>
        </w:rPr>
        <w:t>目</w:t>
      </w:r>
      <w:r>
        <w:rPr>
          <w:rFonts w:ascii="黑体" w:eastAsia="黑体" w:cs="黑体" w:hint="eastAsia"/>
          <w:sz w:val="48"/>
          <w:szCs w:val="48"/>
          <w:lang w:val="en-US" w:eastAsia="zh-CN"/>
        </w:rPr>
        <w:t xml:space="preserve">  </w:t>
      </w:r>
      <w:r>
        <w:rPr>
          <w:rFonts w:ascii="黑体" w:eastAsia="黑体" w:cs="黑体" w:hint="eastAsia"/>
          <w:sz w:val="48"/>
          <w:szCs w:val="48"/>
        </w:rPr>
        <w:t>录</w:t>
      </w:r>
      <w:r>
        <w:t> </w:t>
      </w:r>
    </w:p>
    <w:p>
      <w:pPr>
        <w:pStyle w:val="18"/>
        <w:shd w:val="clear" w:color="auto" w:fill="FFFFFF"/>
        <w:jc w:val="center"/>
      </w:pPr>
      <w:r>
        <w:t>公开时间：2023年9月14日</w:t>
      </w:r>
    </w:p>
    <w:sdt>
      <w:sdtPr>
        <w:rPr>
          <w:rFonts w:ascii="宋体" w:eastAsia="宋体" w:cs="宋体"/>
          <w:kern w:val="0"/>
          <w:sz w:val="21"/>
          <w:szCs w:val="24"/>
          <w:lang w:val="en-US" w:eastAsia="zh-CN" w:bidi="ar-SA"/>
        </w:rPr>
        <w:id w:val="226798324"/>
        <w15:color w:val="DBDBDB"/>
        <w:docPartObj>
          <w:docPartGallery w:val="Table of Contents"/>
          <w:docPartUnique/>
        </w:docPartObj>
      </w:sdtPr>
      <w:sdtContent>
        <w:p>
          <w:pPr>
            <w:spacing w:before="0" w:after="0" w:line="240" w:lineRule="auto"/>
            <w:ind w:left="0" w:right="0" w:firstLine="0"/>
            <w:jc w:val="center"/>
          </w:pPr>
        </w:p>
        <w:p>
          <w:pPr>
            <w:pStyle w:val="26"/>
            <w:tabs>
              <w:tab w:val="right" w:leader="dot" w:pos="8306"/>
            </w:tabs>
          </w:pPr>
          <w:r>
            <w:fldChar w:fldCharType="begin"/>
          </w:r>
          <w:r>
            <w:instrText xml:space="preserve">TOC \o "1-3" \h \u </w:instrText>
          </w:r>
          <w:r>
            <w:fldChar w:fldCharType="separate"/>
          </w:r>
        </w:p>
        <w:p>
          <w:pPr>
            <w:pStyle w:val="26"/>
            <w:tabs>
              <w:tab w:val="right" w:leader="dot" w:pos="8306"/>
            </w:tabs>
          </w:pPr>
          <w:r>
            <w:fldChar w:fldCharType="begin"/>
          </w:r>
          <w:r>
            <w:instrText>Hyperlink \l "_Toc72938293"</w:instrText>
          </w:r>
          <w:r>
            <w:fldChar w:fldCharType="separate"/>
          </w:r>
          <w:r>
            <w:t>第一部分 部门概况</w:t>
            <w:tab/>
          </w:r>
          <w:r>
            <w:fldChar w:fldCharType="begin"/>
          </w:r>
          <w:r>
            <w:instrText>PageRef _Toc72938293 \h</w:instrText>
          </w:r>
          <w:r>
            <w:fldChar w:fldCharType="separate"/>
          </w:r>
          <w:r>
            <w:t>2</w:t>
          </w:r>
          <w:r>
            <w:fldChar w:fldCharType="end"/>
          </w:r>
          <w:r>
            <w:fldChar w:fldCharType="end"/>
          </w:r>
        </w:p>
        <w:p>
          <w:pPr>
            <w:pStyle w:val="27"/>
            <w:tabs>
              <w:tab w:val="right" w:leader="dot" w:pos="8306"/>
            </w:tabs>
          </w:pPr>
          <w:r>
            <w:fldChar w:fldCharType="begin"/>
          </w:r>
          <w:r>
            <w:instrText>Hyperlink \l "_Toc72938294"</w:instrText>
          </w:r>
          <w:r>
            <w:fldChar w:fldCharType="separate"/>
          </w:r>
          <w:r>
            <w:rPr>
              <w:u w:color="auto"/>
              <w:shd w:val="clear" w:color="auto" w:fill="auto"/>
              <w:highlight w:val="auto"/>
            </w:rPr>
            <w:t>一、</w:t>
          </w:r>
          <w:r>
            <w:rPr>
              <w:highlight w:val="auto"/>
            </w:rPr>
            <w:t>基本职能及主要工作</w:t>
          </w:r>
          <w:r>
            <w:tab/>
          </w:r>
          <w:r>
            <w:fldChar w:fldCharType="begin"/>
          </w:r>
          <w:r>
            <w:instrText>PageRef _Toc72938294 \h</w:instrText>
          </w:r>
          <w:r>
            <w:fldChar w:fldCharType="separate"/>
          </w:r>
          <w:r>
            <w:t>3</w:t>
          </w:r>
          <w:r>
            <w:fldChar w:fldCharType="end"/>
          </w:r>
          <w:r>
            <w:fldChar w:fldCharType="end"/>
          </w:r>
        </w:p>
        <w:p>
          <w:pPr>
            <w:pStyle w:val="27"/>
            <w:tabs>
              <w:tab w:val="right" w:leader="dot" w:pos="8306"/>
            </w:tabs>
          </w:pPr>
          <w:r>
            <w:fldChar w:fldCharType="begin"/>
          </w:r>
          <w:r>
            <w:instrText>Hyperlink \l "_Toc72938296"</w:instrText>
          </w:r>
          <w:r>
            <w:fldChar w:fldCharType="separate"/>
          </w:r>
          <w:r>
            <w:rPr>
              <w:highlight w:val="auto"/>
            </w:rPr>
            <w:t>二、机构设置</w:t>
          </w:r>
          <w:r>
            <w:tab/>
          </w:r>
          <w:r>
            <w:fldChar w:fldCharType="begin"/>
          </w:r>
          <w:r>
            <w:instrText>PageRef _Toc72938296 \h</w:instrText>
          </w:r>
          <w:r>
            <w:fldChar w:fldCharType="separate"/>
          </w:r>
          <w:r>
            <w:t>14</w:t>
          </w:r>
          <w:r>
            <w:fldChar w:fldCharType="end"/>
          </w:r>
          <w:r>
            <w:fldChar w:fldCharType="end"/>
          </w:r>
        </w:p>
        <w:p>
          <w:pPr>
            <w:pStyle w:val="26"/>
            <w:tabs>
              <w:tab w:val="right" w:leader="dot" w:pos="8306"/>
            </w:tabs>
          </w:pPr>
          <w:r>
            <w:fldChar w:fldCharType="begin"/>
          </w:r>
          <w:r>
            <w:instrText>Hyperlink \l "_Toc72938298"</w:instrText>
          </w:r>
          <w:r>
            <w:fldChar w:fldCharType="separate"/>
          </w:r>
          <w:r>
            <w:t>第二部分 2022年度部门决算情况说明</w:t>
            <w:tab/>
          </w:r>
          <w:r>
            <w:fldChar w:fldCharType="begin"/>
          </w:r>
          <w:r>
            <w:instrText>PageRef _Toc72938298 \h</w:instrText>
          </w:r>
          <w:r>
            <w:fldChar w:fldCharType="separate"/>
          </w:r>
          <w:r>
            <w:t>14</w:t>
          </w:r>
          <w:r>
            <w:fldChar w:fldCharType="end"/>
          </w:r>
          <w:r>
            <w:fldChar w:fldCharType="end"/>
          </w:r>
        </w:p>
        <w:p>
          <w:pPr>
            <w:pStyle w:val="27"/>
            <w:tabs>
              <w:tab w:val="right" w:leader="dot" w:pos="8306"/>
            </w:tabs>
          </w:pPr>
          <w:r>
            <w:fldChar w:fldCharType="begin"/>
          </w:r>
          <w:r>
            <w:instrText>Hyperlink \l "_Toc72938299"</w:instrText>
          </w:r>
          <w:r>
            <w:fldChar w:fldCharType="separate"/>
          </w:r>
          <w:r>
            <w:rPr>
              <w:rFonts w:ascii="黑体" w:eastAsia="黑体" w:cs="黑体" w:hint="eastAsia"/>
              <w:szCs w:val="32"/>
              <w:lang w:val="en-US" w:eastAsia="zh-CN"/>
            </w:rPr>
            <w:t>一、</w:t>
          </w:r>
          <w:r>
            <w:rPr>
              <w:rFonts w:ascii="黑体" w:eastAsia="黑体" w:cs="黑体" w:hint="eastAsia"/>
              <w:szCs w:val="32"/>
            </w:rPr>
            <w:t>收入支出决算总体情况说明</w:t>
          </w:r>
          <w:r>
            <w:tab/>
          </w:r>
          <w:r>
            <w:fldChar w:fldCharType="begin"/>
          </w:r>
          <w:r>
            <w:instrText>PageRef _Toc72938299 \h</w:instrText>
          </w:r>
          <w:r>
            <w:fldChar w:fldCharType="separate"/>
          </w:r>
          <w:r>
            <w:t>14</w:t>
          </w:r>
          <w:r>
            <w:fldChar w:fldCharType="end"/>
          </w:r>
          <w:r>
            <w:fldChar w:fldCharType="end"/>
          </w:r>
        </w:p>
        <w:p>
          <w:pPr>
            <w:pStyle w:val="27"/>
            <w:tabs>
              <w:tab w:val="right" w:leader="dot" w:pos="8306"/>
            </w:tabs>
          </w:pPr>
          <w:r>
            <w:fldChar w:fldCharType="begin"/>
          </w:r>
          <w:r>
            <w:instrText>Hyperlink \l "_Toc72938300"</w:instrText>
          </w:r>
          <w:r>
            <w:fldChar w:fldCharType="separate"/>
          </w:r>
          <w:r>
            <w:rPr>
              <w:rFonts w:ascii="黑体" w:eastAsia="黑体" w:cs="黑体" w:hint="eastAsia"/>
              <w:szCs w:val="32"/>
              <w:lang w:val="en-US" w:eastAsia="zh-CN"/>
            </w:rPr>
            <w:t>二、</w:t>
          </w:r>
          <w:r>
            <w:rPr>
              <w:rFonts w:ascii="黑体" w:eastAsia="黑体" w:cs="黑体" w:hint="eastAsia"/>
              <w:szCs w:val="32"/>
            </w:rPr>
            <w:t>收入决算情况说明</w:t>
          </w:r>
          <w:r>
            <w:tab/>
          </w:r>
          <w:r>
            <w:fldChar w:fldCharType="begin"/>
          </w:r>
          <w:r>
            <w:instrText>PageRef _Toc72938300 \h</w:instrText>
          </w:r>
          <w:r>
            <w:fldChar w:fldCharType="separate"/>
          </w:r>
          <w:r>
            <w:t>15</w:t>
          </w:r>
          <w:r>
            <w:fldChar w:fldCharType="end"/>
          </w:r>
          <w:r>
            <w:fldChar w:fldCharType="end"/>
          </w:r>
        </w:p>
        <w:p>
          <w:pPr>
            <w:pStyle w:val="27"/>
            <w:tabs>
              <w:tab w:val="right" w:leader="dot" w:pos="8306"/>
            </w:tabs>
          </w:pPr>
          <w:r>
            <w:fldChar w:fldCharType="begin"/>
          </w:r>
          <w:r>
            <w:instrText>Hyperlink \l "_Toc72938301"</w:instrText>
          </w:r>
          <w:r>
            <w:fldChar w:fldCharType="separate"/>
          </w:r>
          <w:r>
            <w:rPr>
              <w:rFonts w:ascii="黑体" w:eastAsia="黑体" w:cs="黑体" w:hint="eastAsia"/>
              <w:szCs w:val="32"/>
              <w:lang w:val="en-US" w:eastAsia="zh-CN"/>
            </w:rPr>
            <w:t>三、支出决算情况说明</w:t>
          </w:r>
          <w:r>
            <w:tab/>
          </w:r>
          <w:r>
            <w:fldChar w:fldCharType="begin"/>
          </w:r>
          <w:r>
            <w:instrText>PageRef _Toc72938301 \h</w:instrText>
          </w:r>
          <w:r>
            <w:fldChar w:fldCharType="separate"/>
          </w:r>
          <w:r>
            <w:t>16</w:t>
          </w:r>
          <w:r>
            <w:fldChar w:fldCharType="end"/>
          </w:r>
          <w:r>
            <w:fldChar w:fldCharType="end"/>
          </w:r>
        </w:p>
        <w:p>
          <w:pPr>
            <w:pStyle w:val="27"/>
            <w:tabs>
              <w:tab w:val="right" w:leader="dot" w:pos="8306"/>
            </w:tabs>
          </w:pPr>
          <w:r>
            <w:fldChar w:fldCharType="begin"/>
          </w:r>
          <w:r>
            <w:instrText>Hyperlink \l "_Toc72938302"</w:instrText>
          </w:r>
          <w:r>
            <w:fldChar w:fldCharType="separate"/>
          </w:r>
          <w:r>
            <w:rPr>
              <w:rFonts w:ascii="黑体" w:eastAsia="黑体" w:cs="黑体" w:hint="eastAsia"/>
              <w:szCs w:val="32"/>
              <w:lang w:val="en-US" w:eastAsia="zh-CN"/>
            </w:rPr>
            <w:t>四、财政拨款收入支出决算总体情况说明</w:t>
          </w:r>
          <w:r>
            <w:tab/>
          </w:r>
          <w:r>
            <w:fldChar w:fldCharType="begin"/>
          </w:r>
          <w:r>
            <w:instrText>PageRef _Toc72938302 \h</w:instrText>
          </w:r>
          <w:r>
            <w:fldChar w:fldCharType="separate"/>
          </w:r>
          <w:r>
            <w:t>16</w:t>
          </w:r>
          <w:r>
            <w:fldChar w:fldCharType="end"/>
          </w:r>
          <w:r>
            <w:fldChar w:fldCharType="end"/>
          </w:r>
        </w:p>
        <w:p>
          <w:pPr>
            <w:pStyle w:val="27"/>
            <w:tabs>
              <w:tab w:val="right" w:leader="dot" w:pos="8306"/>
            </w:tabs>
          </w:pPr>
          <w:r>
            <w:fldChar w:fldCharType="begin"/>
          </w:r>
          <w:r>
            <w:instrText>Hyperlink \l "_Toc72938304"</w:instrText>
          </w:r>
          <w:r>
            <w:fldChar w:fldCharType="separate"/>
          </w:r>
          <w:r>
            <w:rPr>
              <w:rFonts w:ascii="黑体" w:eastAsia="黑体" w:cs="黑体" w:hint="eastAsia"/>
              <w:szCs w:val="32"/>
              <w:lang w:val="en-US" w:eastAsia="zh-CN"/>
            </w:rPr>
            <w:t>五、一般公共预算财政拨款支出决算情况说明</w:t>
          </w:r>
          <w:r>
            <w:tab/>
          </w:r>
          <w:r>
            <w:fldChar w:fldCharType="begin"/>
          </w:r>
          <w:r>
            <w:instrText>PageRef _Toc72938304 \h</w:instrText>
          </w:r>
          <w:r>
            <w:fldChar w:fldCharType="separate"/>
          </w:r>
          <w:r>
            <w:t>17</w:t>
          </w:r>
          <w:r>
            <w:fldChar w:fldCharType="end"/>
          </w:r>
          <w:r>
            <w:fldChar w:fldCharType="end"/>
          </w:r>
        </w:p>
        <w:p>
          <w:pPr>
            <w:pStyle w:val="27"/>
            <w:tabs>
              <w:tab w:val="right" w:leader="dot" w:pos="8306"/>
            </w:tabs>
          </w:pPr>
          <w:r>
            <w:fldChar w:fldCharType="begin"/>
          </w:r>
          <w:r>
            <w:instrText>Hyperlink \l "_Toc72938308"</w:instrText>
          </w:r>
          <w:r>
            <w:fldChar w:fldCharType="separate"/>
          </w:r>
          <w:r>
            <w:rPr>
              <w:rFonts w:ascii="黑体" w:eastAsia="黑体" w:cs="黑体" w:hint="eastAsia"/>
              <w:szCs w:val="32"/>
              <w:lang w:val="en-US" w:eastAsia="zh-CN"/>
            </w:rPr>
            <w:t>六、一般公共预算财政拨款基本支出决算情况说明 </w:t>
          </w:r>
          <w:r>
            <w:tab/>
          </w:r>
          <w:r>
            <w:fldChar w:fldCharType="begin"/>
          </w:r>
          <w:r>
            <w:instrText>PageRef _Toc72938308 \h</w:instrText>
          </w:r>
          <w:r>
            <w:fldChar w:fldCharType="separate"/>
          </w:r>
          <w:r>
            <w:t>21</w:t>
          </w:r>
          <w:r>
            <w:fldChar w:fldCharType="end"/>
          </w:r>
          <w:r>
            <w:fldChar w:fldCharType="end"/>
          </w:r>
        </w:p>
        <w:p>
          <w:pPr>
            <w:pStyle w:val="27"/>
            <w:tabs>
              <w:tab w:val="right" w:leader="dot" w:pos="8306"/>
            </w:tabs>
          </w:pPr>
          <w:r>
            <w:fldChar w:fldCharType="begin"/>
          </w:r>
          <w:r>
            <w:instrText>Hyperlink \l "_Toc72938312"</w:instrText>
          </w:r>
          <w:r>
            <w:fldChar w:fldCharType="separate"/>
          </w:r>
          <w:r>
            <w:rPr>
              <w:rFonts w:ascii="黑体" w:eastAsia="黑体" w:cs="黑体" w:hint="eastAsia"/>
              <w:szCs w:val="32"/>
              <w:lang w:val="en-US" w:eastAsia="zh-CN"/>
            </w:rPr>
            <w:t>八、政府性基金预算支出决算情况说明</w:t>
          </w:r>
          <w:r>
            <w:tab/>
          </w:r>
          <w:r>
            <w:fldChar w:fldCharType="begin"/>
          </w:r>
          <w:r>
            <w:instrText>PageRef _Toc72938312 \h</w:instrText>
          </w:r>
          <w:r>
            <w:fldChar w:fldCharType="separate"/>
          </w:r>
          <w:r>
            <w:t>24</w:t>
          </w:r>
          <w:r>
            <w:fldChar w:fldCharType="end"/>
          </w:r>
          <w:r>
            <w:fldChar w:fldCharType="end"/>
          </w:r>
        </w:p>
        <w:p>
          <w:pPr>
            <w:pStyle w:val="26"/>
            <w:tabs>
              <w:tab w:val="right" w:leader="dot" w:pos="8306"/>
            </w:tabs>
          </w:pPr>
          <w:r>
            <w:fldChar w:fldCharType="begin"/>
          </w:r>
          <w:r>
            <w:instrText>Hyperlink \l "_Toc72938317"</w:instrText>
          </w:r>
          <w:r>
            <w:fldChar w:fldCharType="separate"/>
          </w:r>
          <w:r>
            <w:rPr>
              <w:bCs/>
              <w:szCs w:val="39"/>
            </w:rPr>
            <w:t>第三部分 名词解释</w:t>
          </w:r>
          <w:r>
            <w:tab/>
          </w:r>
          <w:r>
            <w:fldChar w:fldCharType="begin"/>
          </w:r>
          <w:r>
            <w:instrText>PageRef _Toc72938317 \h</w:instrText>
          </w:r>
          <w:r>
            <w:fldChar w:fldCharType="separate"/>
          </w:r>
          <w:r>
            <w:t>26</w:t>
          </w:r>
          <w:r>
            <w:fldChar w:fldCharType="end"/>
          </w:r>
          <w:r>
            <w:fldChar w:fldCharType="end"/>
          </w:r>
        </w:p>
        <w:p>
          <w:pPr>
            <w:pStyle w:val="26"/>
            <w:tabs>
              <w:tab w:val="right" w:leader="dot" w:pos="8306"/>
            </w:tabs>
          </w:pPr>
          <w:r>
            <w:fldChar w:fldCharType="begin"/>
          </w:r>
          <w:r>
            <w:instrText>Hyperlink \l "_Toc72938320"</w:instrText>
          </w:r>
          <w:r>
            <w:fldChar w:fldCharType="separate"/>
          </w:r>
          <w:r>
            <w:rPr>
              <w:bCs/>
              <w:szCs w:val="39"/>
            </w:rPr>
            <w:t>第四部分 附件</w:t>
          </w:r>
          <w:r>
            <w:tab/>
          </w:r>
          <w:r>
            <w:fldChar w:fldCharType="begin"/>
          </w:r>
          <w:r>
            <w:instrText>PageRef _Toc72938320 \h</w:instrText>
          </w:r>
          <w:r>
            <w:fldChar w:fldCharType="separate"/>
          </w:r>
          <w:r>
            <w:t>29</w:t>
          </w:r>
          <w:r>
            <w:fldChar w:fldCharType="end"/>
          </w:r>
          <w:r>
            <w:fldChar w:fldCharType="end"/>
          </w:r>
        </w:p>
        <w:p>
          <w:pPr>
            <w:pStyle w:val="27"/>
            <w:tabs>
              <w:tab w:val="right" w:leader="dot" w:pos="8306"/>
            </w:tabs>
          </w:pPr>
          <w:r>
            <w:fldChar w:fldCharType="begin"/>
          </w:r>
          <w:r>
            <w:instrText>Hyperlink \l "_Toc72938359"</w:instrText>
          </w:r>
          <w:r>
            <w:fldChar w:fldCharType="separate"/>
          </w:r>
          <w:r>
            <w:rPr>
              <w:bCs/>
              <w:szCs w:val="39"/>
            </w:rPr>
            <w:t>第五部分 附表</w:t>
          </w:r>
          <w:r>
            <w:tab/>
          </w:r>
          <w:r>
            <w:fldChar w:fldCharType="begin"/>
          </w:r>
          <w:r>
            <w:instrText>PageRef _Toc72938359 \h</w:instrText>
          </w:r>
          <w:r>
            <w:fldChar w:fldCharType="separate"/>
          </w:r>
          <w:r>
            <w:t>53</w:t>
          </w:r>
          <w:r>
            <w:fldChar w:fldCharType="end"/>
          </w:r>
          <w:r>
            <w:fldChar w:fldCharType="end"/>
          </w:r>
        </w:p>
        <w:p>
          <w:pPr>
            <w:pStyle w:val="27"/>
            <w:tabs>
              <w:tab w:val="right" w:leader="dot" w:pos="8306"/>
            </w:tabs>
          </w:pPr>
          <w:r>
            <w:fldChar w:fldCharType="begin"/>
          </w:r>
          <w:r>
            <w:instrText>Hyperlink \l "_Toc72938360"</w:instrText>
          </w:r>
          <w:r>
            <w:fldChar w:fldCharType="separate"/>
          </w:r>
          <w:r>
            <w:rPr>
              <w:szCs w:val="32"/>
              <w:highlight w:val="auto"/>
            </w:rPr>
            <w:t>一、收入支出决算总表</w:t>
          </w:r>
          <w:r>
            <w:tab/>
          </w:r>
          <w:r>
            <w:fldChar w:fldCharType="begin"/>
          </w:r>
          <w:r>
            <w:instrText>PageRef _Toc72938360 \h</w:instrText>
          </w:r>
          <w:r>
            <w:fldChar w:fldCharType="separate"/>
          </w:r>
          <w:r>
            <w:t>53</w:t>
          </w:r>
          <w:r>
            <w:fldChar w:fldCharType="end"/>
          </w:r>
          <w:r>
            <w:fldChar w:fldCharType="end"/>
          </w:r>
        </w:p>
        <w:p>
          <w:pPr>
            <w:pStyle w:val="27"/>
            <w:tabs>
              <w:tab w:val="right" w:leader="dot" w:pos="8306"/>
            </w:tabs>
          </w:pPr>
          <w:r>
            <w:fldChar w:fldCharType="begin"/>
          </w:r>
          <w:r>
            <w:instrText>Hyperlink \l "_Toc72938361"</w:instrText>
          </w:r>
          <w:r>
            <w:fldChar w:fldCharType="separate"/>
          </w:r>
          <w:r>
            <w:rPr>
              <w:szCs w:val="32"/>
              <w:highlight w:val="auto"/>
            </w:rPr>
            <w:t>二、收入决算表</w:t>
          </w:r>
          <w:r>
            <w:tab/>
          </w:r>
          <w:r>
            <w:fldChar w:fldCharType="begin"/>
          </w:r>
          <w:r>
            <w:instrText>PageRef _Toc72938361 \h</w:instrText>
          </w:r>
          <w:r>
            <w:fldChar w:fldCharType="separate"/>
          </w:r>
          <w:r>
            <w:t>53</w:t>
          </w:r>
          <w:r>
            <w:fldChar w:fldCharType="end"/>
          </w:r>
          <w:r>
            <w:fldChar w:fldCharType="end"/>
          </w:r>
        </w:p>
        <w:p>
          <w:pPr>
            <w:pStyle w:val="27"/>
            <w:tabs>
              <w:tab w:val="right" w:leader="dot" w:pos="8306"/>
            </w:tabs>
          </w:pPr>
          <w:r>
            <w:fldChar w:fldCharType="begin"/>
          </w:r>
          <w:r>
            <w:instrText>Hyperlink \l "_Toc72938362"</w:instrText>
          </w:r>
          <w:r>
            <w:fldChar w:fldCharType="separate"/>
          </w:r>
          <w:r>
            <w:rPr>
              <w:szCs w:val="32"/>
              <w:highlight w:val="auto"/>
            </w:rPr>
            <w:t>三、支出决算表</w:t>
          </w:r>
          <w:r>
            <w:tab/>
          </w:r>
          <w:r>
            <w:fldChar w:fldCharType="begin"/>
          </w:r>
          <w:r>
            <w:instrText>PageRef _Toc72938362 \h</w:instrText>
          </w:r>
          <w:r>
            <w:fldChar w:fldCharType="separate"/>
          </w:r>
          <w:r>
            <w:t>53</w:t>
          </w:r>
          <w:r>
            <w:fldChar w:fldCharType="end"/>
          </w:r>
          <w:r>
            <w:fldChar w:fldCharType="end"/>
          </w:r>
        </w:p>
        <w:p>
          <w:pPr>
            <w:pStyle w:val="27"/>
            <w:tabs>
              <w:tab w:val="right" w:leader="dot" w:pos="8306"/>
            </w:tabs>
          </w:pPr>
          <w:r>
            <w:fldChar w:fldCharType="begin"/>
          </w:r>
          <w:r>
            <w:instrText>Hyperlink \l "_Toc72938363"</w:instrText>
          </w:r>
          <w:r>
            <w:fldChar w:fldCharType="separate"/>
          </w:r>
          <w:r>
            <w:rPr>
              <w:szCs w:val="32"/>
              <w:highlight w:val="auto"/>
            </w:rPr>
            <w:t>四、财政拨款收入支出决算总表</w:t>
          </w:r>
          <w:r>
            <w:tab/>
          </w:r>
          <w:r>
            <w:fldChar w:fldCharType="begin"/>
          </w:r>
          <w:r>
            <w:instrText>PageRef _Toc72938363 \h</w:instrText>
          </w:r>
          <w:r>
            <w:fldChar w:fldCharType="separate"/>
          </w:r>
          <w:r>
            <w:t>53</w:t>
          </w:r>
          <w:r>
            <w:fldChar w:fldCharType="end"/>
          </w:r>
          <w:r>
            <w:fldChar w:fldCharType="end"/>
          </w:r>
        </w:p>
        <w:p>
          <w:pPr>
            <w:pStyle w:val="27"/>
            <w:tabs>
              <w:tab w:val="right" w:leader="dot" w:pos="8306"/>
            </w:tabs>
          </w:pPr>
          <w:r>
            <w:fldChar w:fldCharType="begin"/>
          </w:r>
          <w:r>
            <w:instrText>Hyperlink \l "_Toc72938364"</w:instrText>
          </w:r>
          <w:r>
            <w:fldChar w:fldCharType="separate"/>
          </w:r>
          <w:r>
            <w:rPr>
              <w:szCs w:val="32"/>
              <w:highlight w:val="auto"/>
            </w:rPr>
            <w:t>五、财政拨款支出决算明细表</w:t>
          </w:r>
          <w:r>
            <w:tab/>
          </w:r>
          <w:r>
            <w:fldChar w:fldCharType="begin"/>
          </w:r>
          <w:r>
            <w:instrText>PageRef _Toc72938364 \h</w:instrText>
          </w:r>
          <w:r>
            <w:fldChar w:fldCharType="separate"/>
          </w:r>
          <w:r>
            <w:t>53</w:t>
          </w:r>
          <w:r>
            <w:fldChar w:fldCharType="end"/>
          </w:r>
          <w:r>
            <w:fldChar w:fldCharType="end"/>
          </w:r>
        </w:p>
        <w:p>
          <w:pPr>
            <w:pStyle w:val="27"/>
            <w:tabs>
              <w:tab w:val="right" w:leader="dot" w:pos="8306"/>
            </w:tabs>
          </w:pPr>
          <w:r>
            <w:fldChar w:fldCharType="begin"/>
          </w:r>
          <w:r>
            <w:instrText>Hyperlink \l "_Toc72938365"</w:instrText>
          </w:r>
          <w:r>
            <w:fldChar w:fldCharType="separate"/>
          </w:r>
          <w:r>
            <w:rPr>
              <w:szCs w:val="32"/>
              <w:highlight w:val="auto"/>
            </w:rPr>
            <w:t>六、一般公共预算财政拨款支出决算表</w:t>
          </w:r>
          <w:r>
            <w:tab/>
          </w:r>
          <w:r>
            <w:fldChar w:fldCharType="begin"/>
          </w:r>
          <w:r>
            <w:instrText>PageRef _Toc72938365 \h</w:instrText>
          </w:r>
          <w:r>
            <w:fldChar w:fldCharType="separate"/>
          </w:r>
          <w:r>
            <w:t>53</w:t>
          </w:r>
          <w:r>
            <w:fldChar w:fldCharType="end"/>
          </w:r>
          <w:r>
            <w:fldChar w:fldCharType="end"/>
          </w:r>
        </w:p>
        <w:p>
          <w:pPr>
            <w:pStyle w:val="27"/>
            <w:tabs>
              <w:tab w:val="right" w:leader="dot" w:pos="8306"/>
            </w:tabs>
          </w:pPr>
          <w:r>
            <w:fldChar w:fldCharType="begin"/>
          </w:r>
          <w:r>
            <w:instrText>Hyperlink \l "_Toc72938366"</w:instrText>
          </w:r>
          <w:r>
            <w:fldChar w:fldCharType="separate"/>
          </w:r>
          <w:r>
            <w:rPr>
              <w:szCs w:val="32"/>
              <w:highlight w:val="auto"/>
            </w:rPr>
            <w:t>七、一般公共预算财政拨款支出决算明细表</w:t>
          </w:r>
          <w:r>
            <w:tab/>
          </w:r>
          <w:r>
            <w:fldChar w:fldCharType="begin"/>
          </w:r>
          <w:r>
            <w:instrText>PageRef _Toc72938366 \h</w:instrText>
          </w:r>
          <w:r>
            <w:fldChar w:fldCharType="separate"/>
          </w:r>
          <w:r>
            <w:t>53</w:t>
          </w:r>
          <w:r>
            <w:fldChar w:fldCharType="end"/>
          </w:r>
          <w:r>
            <w:fldChar w:fldCharType="end"/>
          </w:r>
        </w:p>
        <w:p>
          <w:pPr>
            <w:pStyle w:val="27"/>
            <w:tabs>
              <w:tab w:val="right" w:leader="dot" w:pos="8306"/>
            </w:tabs>
          </w:pPr>
          <w:r>
            <w:fldChar w:fldCharType="begin"/>
          </w:r>
          <w:r>
            <w:instrText>Hyperlink \l "_Toc72938367"</w:instrText>
          </w:r>
          <w:r>
            <w:fldChar w:fldCharType="separate"/>
          </w:r>
          <w:r>
            <w:rPr>
              <w:szCs w:val="32"/>
              <w:highlight w:val="auto"/>
            </w:rPr>
            <w:t>八、一般公共预算财政拨款基本支出决算表</w:t>
          </w:r>
          <w:r>
            <w:tab/>
          </w:r>
          <w:r>
            <w:fldChar w:fldCharType="begin"/>
          </w:r>
          <w:r>
            <w:instrText>PageRef _Toc72938367 \h</w:instrText>
          </w:r>
          <w:r>
            <w:fldChar w:fldCharType="separate"/>
          </w:r>
          <w:r>
            <w:t>54</w:t>
          </w:r>
          <w:r>
            <w:fldChar w:fldCharType="end"/>
          </w:r>
          <w:r>
            <w:fldChar w:fldCharType="end"/>
          </w:r>
        </w:p>
        <w:p>
          <w:pPr>
            <w:pStyle w:val="27"/>
            <w:tabs>
              <w:tab w:val="right" w:leader="dot" w:pos="8306"/>
            </w:tabs>
          </w:pPr>
          <w:r>
            <w:fldChar w:fldCharType="begin"/>
          </w:r>
          <w:r>
            <w:instrText>Hyperlink \l "_Toc72938368"</w:instrText>
          </w:r>
          <w:r>
            <w:fldChar w:fldCharType="separate"/>
          </w:r>
          <w:r>
            <w:rPr>
              <w:szCs w:val="32"/>
              <w:highlight w:val="auto"/>
            </w:rPr>
            <w:t>九、一般公共预算财政拨款项目支出决算表</w:t>
          </w:r>
          <w:r>
            <w:tab/>
          </w:r>
          <w:r>
            <w:fldChar w:fldCharType="begin"/>
          </w:r>
          <w:r>
            <w:instrText>PageRef _Toc72938368 \h</w:instrText>
          </w:r>
          <w:r>
            <w:fldChar w:fldCharType="separate"/>
          </w:r>
          <w:r>
            <w:t>54</w:t>
          </w:r>
          <w:r>
            <w:fldChar w:fldCharType="end"/>
          </w:r>
          <w:r>
            <w:fldChar w:fldCharType="end"/>
          </w:r>
        </w:p>
        <w:p>
          <w:pPr>
            <w:pStyle w:val="27"/>
            <w:tabs>
              <w:tab w:val="right" w:leader="dot" w:pos="8306"/>
            </w:tabs>
          </w:pPr>
          <w:r>
            <w:fldChar w:fldCharType="begin"/>
          </w:r>
          <w:r>
            <w:instrText>Hyperlink \l "_Toc72938369"</w:instrText>
          </w:r>
          <w:r>
            <w:fldChar w:fldCharType="separate"/>
          </w:r>
          <w:r>
            <w:rPr>
              <w:szCs w:val="32"/>
              <w:highlight w:val="auto"/>
            </w:rPr>
            <w:t>十、政府性基金预算财政拨款收入支出决算表</w:t>
          </w:r>
          <w:r>
            <w:tab/>
          </w:r>
          <w:r>
            <w:fldChar w:fldCharType="begin"/>
          </w:r>
          <w:r>
            <w:instrText>PageRef _Toc72938369 \h</w:instrText>
          </w:r>
          <w:r>
            <w:fldChar w:fldCharType="separate"/>
          </w:r>
          <w:r>
            <w:t>54</w:t>
          </w:r>
          <w:r>
            <w:fldChar w:fldCharType="end"/>
          </w:r>
          <w:r>
            <w:fldChar w:fldCharType="end"/>
          </w:r>
        </w:p>
        <w:p>
          <w:pPr>
            <w:pStyle w:val="27"/>
            <w:tabs>
              <w:tab w:val="right" w:leader="dot" w:pos="8306"/>
            </w:tabs>
          </w:pPr>
          <w:r>
            <w:fldChar w:fldCharType="begin"/>
          </w:r>
          <w:r>
            <w:instrText>Hyperlink \l "_Toc72938370"</w:instrText>
          </w:r>
          <w:r>
            <w:fldChar w:fldCharType="separate"/>
          </w:r>
          <w:r>
            <w:rPr>
              <w:szCs w:val="32"/>
              <w:highlight w:val="auto"/>
            </w:rPr>
            <w:t>十一、国有资本经营预算财政拨款收入支出决算表</w:t>
          </w:r>
          <w:r>
            <w:tab/>
          </w:r>
          <w:r>
            <w:fldChar w:fldCharType="begin"/>
          </w:r>
          <w:r>
            <w:instrText>PageRef _Toc72938370 \h</w:instrText>
          </w:r>
          <w:r>
            <w:fldChar w:fldCharType="separate"/>
          </w:r>
          <w:r>
            <w:t>54</w:t>
          </w:r>
          <w:r>
            <w:fldChar w:fldCharType="end"/>
          </w:r>
          <w:r>
            <w:fldChar w:fldCharType="end"/>
          </w:r>
        </w:p>
        <w:p>
          <w:pPr>
            <w:pStyle w:val="27"/>
            <w:tabs>
              <w:tab w:val="right" w:leader="dot" w:pos="8306"/>
            </w:tabs>
          </w:pPr>
          <w:r>
            <w:fldChar w:fldCharType="begin"/>
          </w:r>
          <w:r>
            <w:instrText>Hyperlink \l "_Toc72938371"</w:instrText>
          </w:r>
          <w:r>
            <w:fldChar w:fldCharType="separate"/>
          </w:r>
          <w:r>
            <w:rPr>
              <w:szCs w:val="32"/>
              <w:highlight w:val="auto"/>
            </w:rPr>
            <w:t>十二、国有资本经营预算财政拨款支出决算表</w:t>
          </w:r>
          <w:r>
            <w:tab/>
          </w:r>
          <w:r>
            <w:fldChar w:fldCharType="begin"/>
          </w:r>
          <w:r>
            <w:instrText>PageRef _Toc72938371 \h</w:instrText>
          </w:r>
          <w:r>
            <w:fldChar w:fldCharType="separate"/>
          </w:r>
          <w:r>
            <w:t>54</w:t>
          </w:r>
          <w:r>
            <w:fldChar w:fldCharType="end"/>
          </w:r>
          <w:r>
            <w:fldChar w:fldCharType="end"/>
          </w:r>
        </w:p>
        <w:p>
          <w:pPr>
            <w:pStyle w:val="27"/>
            <w:tabs>
              <w:tab w:val="right" w:leader="dot" w:pos="8306"/>
            </w:tabs>
          </w:pPr>
          <w:r>
            <w:fldChar w:fldCharType="begin"/>
          </w:r>
          <w:r>
            <w:instrText>Hyperlink \l "_Toc72938372"</w:instrText>
          </w:r>
          <w:r>
            <w:fldChar w:fldCharType="separate"/>
          </w:r>
          <w:r>
            <w:rPr>
              <w:szCs w:val="32"/>
              <w:highlight w:val="auto"/>
            </w:rPr>
            <w:t>十三、财政拨款</w:t>
          </w:r>
          <w:r>
            <w:rPr>
              <w:rFonts w:hint="eastAsia"/>
              <w:szCs w:val="32"/>
              <w:highlight w:val="auto"/>
            </w:rPr>
            <w:t>“三公”经费</w:t>
          </w:r>
          <w:r>
            <w:rPr>
              <w:szCs w:val="32"/>
              <w:highlight w:val="auto"/>
            </w:rPr>
            <w:t>支出决算表</w:t>
          </w:r>
          <w:r>
            <w:tab/>
          </w:r>
          <w:r>
            <w:fldChar w:fldCharType="begin"/>
          </w:r>
          <w:r>
            <w:instrText>PageRef _Toc72938372 \h</w:instrText>
          </w:r>
          <w:r>
            <w:fldChar w:fldCharType="separate"/>
          </w:r>
          <w:r>
            <w:t>54</w:t>
          </w:r>
          <w:r>
            <w:fldChar w:fldCharType="end"/>
          </w:r>
          <w:r>
            <w:fldChar w:fldCharType="end"/>
          </w:r>
          <w:r>
            <w:fldChar w:fldCharType="end"/>
          </w:r>
        </w:p>
        <w:p/>
      </w:sdtContent>
    </w:sdt>
    <w:p>
      <w:pPr>
        <w:pStyle w:val="18"/>
        <w:shd w:val="clear" w:color="auto" w:fill="FFFFFF"/>
      </w:pPr>
      <w:r>
        <w:t>(注：请部门根据实际注明页码)</w:t>
      </w:r>
    </w:p>
    <w:p>
      <w:pPr>
        <w:pStyle w:val="1"/>
        <w:shd w:val="clear" w:color="auto" w:fill="FFFFFF"/>
        <w:jc w:val="center"/>
      </w:pPr>
      <w:bookmarkStart w:id="3" w:name="_Toc72938293"/>
    </w:p>
    <w:p>
      <w:pPr>
        <w:pStyle w:val="1"/>
        <w:shd w:val="clear" w:color="auto" w:fill="FFFFFF"/>
        <w:jc w:val="center"/>
      </w:pPr>
      <w:r>
        <w:t>第一部分 部门概况</w:t>
      </w:r>
      <w:bookmarkEnd w:id="3"/>
    </w:p>
    <w:p>
      <w:pPr>
        <w:pStyle w:val="18"/>
        <w:shd w:val="clear" w:color="auto" w:fill="FFFFFF"/>
      </w:pPr>
      <w:r>
        <w:t> </w:t>
      </w:r>
    </w:p>
    <w:p>
      <w:pPr>
        <w:pStyle w:val="2"/>
        <w:numPr>
          <w:ilvl w:val="0"/>
          <w:numId w:val="1"/>
        </w:numPr>
        <w:shd w:val="clear" w:color="auto" w:fill="FFFFFF"/>
        <w:rPr>
          <w:highlight w:val="auto"/>
        </w:rPr>
      </w:pPr>
      <w:bookmarkStart w:id="4" w:name="_Toc72938294"/>
      <w:r>
        <w:rPr>
          <w:highlight w:val="auto"/>
        </w:rPr>
        <w:t>基本职能及主要工作</w:t>
      </w:r>
      <w:bookmarkEnd w:id="4"/>
    </w:p>
    <w:p>
      <w:pPr>
        <w:ind w:firstLineChars="200" w:firstLine="640"/>
      </w:pPr>
      <w:r>
        <w:rPr>
          <w:rFonts w:ascii="仿宋_GB2312" w:eastAsia="仿宋_GB2312" w:cs="仿宋_GB2312"/>
          <w:sz w:val="32"/>
          <w:szCs w:val="32"/>
        </w:rPr>
        <w:t>（一）主要职能。</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3.负责监测宏观经济和社会发展态势，承担预测预警和信息引导的责任，研究宏观调控重大问题并提出政策建议，搞好总量平衡，综合协调经济社会发展中的重大问题。负责州级以上开发区的指导、协调和宏观管理。</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4.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5.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6.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7.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8.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9.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10.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11.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12.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13.指导、协调并综合管理全州招标投标工作，对国家和州重大建设项目建设过程中的工程招标投标活动实施监督检查。</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14.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15.负责组织编制全州国民经济动员与装备动员规划、计划，研究国民经济动员与装备动员和国民经济、国防建设的关系，协调相关重大问题，组织实施国民经济动员与装备动员有关工作。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16.承担州实施西部大开发领导小组、州重点项目领导小组的具体工作。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17.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18.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19.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20.贯彻国家军粮供应政策，做好军供粮差价款的拨付工作，保障军队(含武警)政策性粮食供应。指导粮食系统对外经济技术合作与交流，指导全州粮食行业的职业教育培训工作。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21.承担州政府公布的有关行政审批事项。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22.承办州政府交办的其他事项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阿坝州发改委职责调整</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1.将原州粮食局、州物价局的职责和原州扶贫两资以工代赈办公室承担的以工代赈职责整合划入州发展和改革委员会。</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2.取消、下放已由州政府公布取消下放的行政审批事项。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3.加强发展战略规划研究，重点拟订和组织实施国民经济和社会发展战略、中长期规划、年度计划。</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4.加强宏观经济的预测预警，综合协调经济社会发展中的重大问题。</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5.加强投资宏观管理，搞好政府投资综合平衡，引导社会投资方向，协调推进重大项目建设，引导全州重大生产力布局。</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6.加强价格管理，做好价格总水平调控，加强反价格垄断执法力度，提供价格公共服务。</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7.加强重大政策和重大问题研究，推进可持续发展，提出保持经济社会与资源、环境协调发展的政策建议。</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8.推进统筹城乡、区域协调发展，促进城乡一体化，缩小地区发展差异。</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9.统筹协调和指导推进全州经济体制改革，协调推进专项经济体制改革，指导经济体制改革试点工作。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10.加强指导协调并综合管理全州招标投标工作。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(二)2022年重点工作完成情况。</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line="540" w:lineRule="exact"/>
        <w:ind w:right="0" w:firstLineChars="200" w:firstLine="640"/>
        <w:jc w:val="both"/>
        <w:textAlignment w:val="auto"/>
        <w:rPr>
          <w:rFonts w:ascii="Times New Roman" w:eastAsia="仿宋_GB2312" w:cs="Times New Roman" w:hAnsi="Times New Roman"/>
          <w:kern w:val="2"/>
          <w:sz w:val="32"/>
          <w:szCs w:val="32"/>
        </w:rPr>
      </w:pPr>
      <w:r>
        <w:rPr>
          <w:rFonts w:ascii="Times New Roman" w:eastAsia="楷体_GB2312" w:cs="Times New Roman" w:hAnsi="Times New Roman"/>
          <w:b/>
          <w:bCs/>
          <w:kern w:val="2"/>
          <w:sz w:val="32"/>
          <w:szCs w:val="32"/>
        </w:rPr>
        <w:t>1.国民经济发展稳定向好。强化经济分析。</w:t>
      </w:r>
      <w:r>
        <w:rPr>
          <w:rFonts w:ascii="Times New Roman" w:eastAsia="仿宋_GB2312" w:cs="Times New Roman" w:hAnsi="Times New Roman"/>
          <w:kern w:val="2"/>
          <w:sz w:val="32"/>
          <w:szCs w:val="32"/>
        </w:rPr>
        <w:t>筹备召开州委财经委员会、季度经济形势研判，定期调度经济运行，研制</w:t>
      </w:r>
      <w:r>
        <w:rPr>
          <w:rFonts w:ascii="Times New Roman" w:eastAsia="仿宋_GB2312" w:cs="Times New Roman" w:hAnsi="Times New Roman"/>
          <w:spacing w:val="0"/>
          <w:kern w:val="2"/>
          <w:sz w:val="32"/>
          <w:szCs w:val="32"/>
        </w:rPr>
        <w:t>出台州级稳增长措施25条、落实中央和省委经济工作会议重大政策政策措施、</w:t>
      </w:r>
      <w:r>
        <w:rPr>
          <w:rFonts w:ascii="Times New Roman" w:eastAsia="仿宋_GB2312" w:cs="Times New Roman" w:hAnsi="Times New Roman"/>
          <w:kern w:val="2"/>
          <w:sz w:val="32"/>
          <w:szCs w:val="32"/>
        </w:rPr>
        <w:t>“决战四季度、大干一百天”攻坚行动分工方案，形成经济运行分析9篇、主要经济指标预警3期，</w:t>
      </w:r>
      <w:r>
        <w:rPr>
          <w:rFonts w:ascii="Times New Roman" w:eastAsia="仿宋_GB2312" w:cs="Times New Roman" w:hAnsi="Times New Roman"/>
          <w:spacing w:val="0"/>
          <w:kern w:val="2"/>
          <w:sz w:val="32"/>
          <w:szCs w:val="32"/>
        </w:rPr>
        <w:t>2022年1-9月GDP同比增长0.5%，全州经济在新冠</w:t>
      </w:r>
      <w:r>
        <w:rPr>
          <w:rFonts w:ascii="Times New Roman" w:eastAsia="仿宋_GB2312" w:cs="Times New Roman" w:hAnsi="Times New Roman"/>
          <w:kern w:val="2"/>
          <w:sz w:val="32"/>
          <w:szCs w:val="32"/>
        </w:rPr>
        <w:t>疫情、地震灾情、夏季节能等叠加冲击下仍然保持一定“韧性”和“定力”。</w:t>
      </w:r>
      <w:r>
        <w:rPr>
          <w:rFonts w:ascii="Times New Roman" w:eastAsia="仿宋_GB2312" w:cs="Times New Roman" w:hAnsi="Times New Roman"/>
          <w:b/>
          <w:bCs/>
          <w:kern w:val="2"/>
          <w:sz w:val="32"/>
          <w:szCs w:val="32"/>
        </w:rPr>
        <w:t>抓实规划执行。</w:t>
      </w:r>
      <w:r>
        <w:rPr>
          <w:rFonts w:ascii="Times New Roman" w:eastAsia="仿宋_GB2312" w:cs="Times New Roman" w:hAnsi="Times New Roman"/>
          <w:kern w:val="2"/>
          <w:sz w:val="32"/>
          <w:szCs w:val="32"/>
        </w:rPr>
        <w:t>起草并报请州政府印发《〈阿坝州国民经济和社会发展第十四个五年规划和二〇三五年远景目标纲要〉目标任务推进实施方案》，建立“主要目标、重大任务、重点工程项目”三张清单，跟踪督促规划实施，形成年度推进情况报告，务实推动规划执行落地。</w:t>
      </w:r>
      <w:r>
        <w:rPr>
          <w:rFonts w:ascii="Times New Roman" w:eastAsia="仿宋_GB2312" w:cs="Times New Roman" w:hAnsi="Times New Roman"/>
          <w:b/>
          <w:bCs/>
          <w:kern w:val="2"/>
          <w:sz w:val="32"/>
          <w:szCs w:val="32"/>
        </w:rPr>
        <w:t>推动区域发展。</w:t>
      </w:r>
      <w:r>
        <w:rPr>
          <w:rFonts w:ascii="Times New Roman" w:eastAsia="仿宋_GB2312" w:cs="Times New Roman" w:hAnsi="Times New Roman"/>
          <w:kern w:val="2"/>
          <w:sz w:val="32"/>
          <w:szCs w:val="32"/>
        </w:rPr>
        <w:t>全面贯彻落实“一干多支、五区协同”发展战略</w:t>
      </w:r>
      <w:r>
        <w:rPr>
          <w:rFonts w:ascii="Times New Roman" w:eastAsia="仿宋_GB2312" w:cs="Times New Roman" w:hAnsi="Times New Roman"/>
          <w:kern w:val="0"/>
          <w:sz w:val="32"/>
          <w:szCs w:val="32"/>
        </w:rPr>
        <w:t>，完成与成都市协同推进绿色低碳优势产业高质量发展合作协议和与宜宾市跨区域协同发展战略合作框架协议签订工作</w:t>
      </w:r>
      <w:r>
        <w:rPr>
          <w:rFonts w:ascii="Times New Roman" w:eastAsia="仿宋_GB2312" w:cs="Times New Roman" w:hAnsi="Times New Roman"/>
          <w:kern w:val="2"/>
          <w:sz w:val="32"/>
          <w:szCs w:val="32"/>
        </w:rPr>
        <w:t>，</w:t>
      </w:r>
      <w:r>
        <w:rPr>
          <w:rFonts w:ascii="Times New Roman" w:eastAsia="仿宋_GB2312" w:cs="Times New Roman" w:hAnsi="Times New Roman"/>
          <w:kern w:val="0"/>
          <w:sz w:val="32"/>
          <w:szCs w:val="32"/>
        </w:rPr>
        <w:t>积极融入成渝地区双城经济圈建设步伐加快。</w:t>
      </w:r>
    </w:p>
    <w:p>
      <w:pPr>
        <w:pStyle w:val="29"/>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Chars="0" w:left="0" w:firstLineChars="200" w:firstLine="640"/>
        <w:textAlignment w:val="auto"/>
        <w:rPr>
          <w:rFonts w:ascii="Times New Roman" w:eastAsia="仿宋_GB2312" w:cs="Times New Roman" w:hAnsi="Times New Roman"/>
          <w:kern w:val="0"/>
          <w:sz w:val="32"/>
          <w:szCs w:val="32"/>
        </w:rPr>
      </w:pPr>
      <w:r>
        <w:rPr>
          <w:rFonts w:ascii="Times New Roman" w:eastAsia="楷体_GB2312" w:cs="Times New Roman" w:hAnsi="Times New Roman"/>
          <w:b/>
          <w:bCs/>
          <w:kern w:val="2"/>
          <w:sz w:val="32"/>
          <w:szCs w:val="32"/>
        </w:rPr>
        <w:t>2.投资项目建设有力有序。</w:t>
      </w:r>
      <w:r>
        <w:rPr>
          <w:rFonts w:ascii="Times New Roman" w:eastAsia="仿宋_GB2312" w:cs="Times New Roman" w:hAnsi="Times New Roman"/>
          <w:b/>
          <w:bCs/>
          <w:kern w:val="2"/>
          <w:sz w:val="32"/>
          <w:szCs w:val="32"/>
        </w:rPr>
        <w:t>抓实投资拉动。</w:t>
      </w:r>
      <w:r>
        <w:rPr>
          <w:rFonts w:ascii="Times New Roman" w:eastAsia="仿宋_GB2312" w:cs="Times New Roman" w:hAnsi="Times New Roman"/>
          <w:spacing w:val="0"/>
          <w:kern w:val="2"/>
          <w:sz w:val="32"/>
          <w:szCs w:val="32"/>
        </w:rPr>
        <w:t>坚持抓项目促投资稳增长，全面启动“项目建设攻坚年”，圆满完成项目集中开工和现场推进活动。持续深化“州领导联系重大项目”以及“按月进度通报、适时问题转办、专题协调解决、按季考核评价、定期约谈问责”项目工作机制，切实加强投资运行监测，督促项目建设进度，双九路、卓小路、巴拉水电站等6个省重点考核项目已提前完成全年目标任务，成兰铁路、都四轨道、夹金山隧道等20个续建项目超额完成年度计划目标，州避难广场、尘埃落定红色文化旅游城、移动5G基础设施建设等19个重大项目相继开工建设。新能源光伏项目进入法人优选、川汶高速工可已报交通部审查、通用机场（九寨沟、若尔盖、汶川）选址已报省审查，1000千伏特高压项目加快选址选线，九大攻坚项目前期工作进展明显。</w:t>
      </w:r>
      <w:r>
        <w:rPr>
          <w:rFonts w:ascii="Times New Roman" w:eastAsia="仿宋_GB2312" w:cs="Times New Roman" w:hAnsi="Times New Roman"/>
          <w:kern w:val="2"/>
          <w:sz w:val="32"/>
          <w:szCs w:val="32"/>
        </w:rPr>
        <w:t>1—9月，全州全社会固定资产投资增长5.9%，与全省持平。预计，全年全州全社会固定资产投资增长8%。</w:t>
      </w:r>
      <w:r>
        <w:rPr>
          <w:rFonts w:ascii="Times New Roman" w:eastAsia="仿宋_GB2312" w:cs="Times New Roman" w:hAnsi="Times New Roman"/>
          <w:b/>
          <w:bCs/>
          <w:kern w:val="2"/>
          <w:sz w:val="32"/>
          <w:szCs w:val="32"/>
        </w:rPr>
        <w:t>抓实资金筹措。</w:t>
      </w:r>
      <w:r>
        <w:rPr>
          <w:rFonts w:ascii="Times New Roman" w:eastAsia="仿宋_GB2312" w:cs="Times New Roman" w:hAnsi="Times New Roman"/>
          <w:kern w:val="2"/>
          <w:sz w:val="32"/>
          <w:szCs w:val="32"/>
        </w:rPr>
        <w:t>牵头做好州庆项目规划，清单内规划马尔康市及州本级项目35个、总投资45.75亿元。准备专项债项目37个，拟申请资金26.36亿元，已发行12.08亿元。九黄机场四期改扩建、西成铁路签约落实政策性开发性基金3.28亿元。积极争取项目资金，累计到位中省预算内投资20.32亿元。</w:t>
      </w:r>
      <w:r>
        <w:rPr>
          <w:rFonts w:ascii="Times New Roman" w:eastAsia="仿宋_GB2312" w:cs="Times New Roman" w:hAnsi="Times New Roman"/>
          <w:b/>
          <w:bCs/>
          <w:kern w:val="2"/>
          <w:sz w:val="32"/>
          <w:szCs w:val="32"/>
        </w:rPr>
        <w:t>抓实恢复</w:t>
      </w:r>
      <w:r>
        <w:rPr>
          <w:rFonts w:ascii="Times New Roman" w:eastAsia="仿宋_GB2312" w:cs="Times New Roman" w:hAnsi="Times New Roman"/>
          <w:b/>
          <w:spacing w:val="0"/>
          <w:kern w:val="0"/>
          <w:sz w:val="32"/>
          <w:szCs w:val="32"/>
        </w:rPr>
        <w:t>重建。</w:t>
      </w:r>
      <w:r>
        <w:rPr>
          <w:rFonts w:ascii="Times New Roman" w:eastAsia="仿宋_GB2312" w:cs="Times New Roman" w:hAnsi="Times New Roman"/>
          <w:spacing w:val="0"/>
          <w:kern w:val="2"/>
          <w:sz w:val="32"/>
          <w:szCs w:val="32"/>
        </w:rPr>
        <w:t>印发《</w:t>
      </w:r>
      <w:r>
        <w:rPr>
          <w:rFonts w:ascii="Times New Roman" w:eastAsia="仿宋_GB2312" w:cs="Times New Roman" w:hAnsi="Times New Roman"/>
          <w:kern w:val="0"/>
          <w:sz w:val="32"/>
          <w:szCs w:val="32"/>
        </w:rPr>
        <w:t>“6·10”马尔康地震灾后恢复重建实施规划》，实施谋划项目99个、估算投资21.49亿元。建成草登乡202林场过渡安置点，顺利完成“受灾群众9月20日前住进过渡性安置住房，撤除所有帐篷”目标任务。加快推进灾区房屋维修加固和恢复重建，农房维修加固开工6530户，农房重建开工547户，城镇住房维修加固开工11户。170处地灾治理加快推进，草登乡政府后山滑坡治理预计年内全面完成，210户避险搬迁完成159户选址。</w:t>
      </w:r>
    </w:p>
    <w:p>
      <w:pPr>
        <w:pStyle w:val="29"/>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Chars="0" w:left="0" w:firstLineChars="200" w:firstLine="640"/>
        <w:textAlignment w:val="auto"/>
        <w:rPr>
          <w:rFonts w:ascii="Times New Roman" w:eastAsia="仿宋_GB2312" w:cs="Times New Roman" w:hAnsi="Times New Roman"/>
          <w:kern w:val="0"/>
          <w:sz w:val="32"/>
          <w:szCs w:val="32"/>
        </w:rPr>
      </w:pPr>
      <w:r>
        <w:rPr>
          <w:rFonts w:ascii="Times New Roman" w:eastAsia="楷体_GB2312" w:cs="Times New Roman" w:hAnsi="Times New Roman"/>
          <w:b/>
          <w:bCs/>
          <w:kern w:val="2"/>
          <w:sz w:val="32"/>
          <w:szCs w:val="32"/>
        </w:rPr>
        <w:t>3.促进民生福祉有效提升。</w:t>
      </w:r>
      <w:r>
        <w:rPr>
          <w:rFonts w:ascii="Times New Roman" w:eastAsia="仿宋_GB2312" w:cs="Times New Roman" w:hAnsi="Times New Roman"/>
          <w:b/>
          <w:bCs/>
          <w:kern w:val="2"/>
          <w:sz w:val="32"/>
          <w:szCs w:val="32"/>
        </w:rPr>
        <w:t>聚力推动乡村振兴。</w:t>
      </w:r>
      <w:r>
        <w:rPr>
          <w:rFonts w:ascii="Times New Roman" w:eastAsia="仿宋_GB2312" w:cs="Times New Roman" w:hAnsi="Times New Roman"/>
          <w:kern w:val="2"/>
          <w:sz w:val="32"/>
          <w:szCs w:val="32"/>
        </w:rPr>
        <w:t>积极承接好对口支援，做好州党政代表团赴杭州、温州、嘉兴、湖州考察对接活动和高层联席会议筹备，有效承接6.5亿对口支援资金，实施项目188个，已完成投资6.23亿元，投资完成率达96%。扎实争取20个以工代赈项目、资金8294万元，在165个农业农村领域基础设施项目推广以工代赈方式，累计组织7600余人参与项目建设，发放劳务报酬2800余万元，有力助推乡村振兴步伐。积极争取大熊猫国家公园、黄河国家文化公园中央预算内资金3600万元。积极推进社会信用体系建设，出台《阿坝州深入推进农村信用体系建设助力乡村振兴实施方案》，持续优化信用评定体系、推动信用价值转换。</w:t>
      </w:r>
      <w:r>
        <w:rPr>
          <w:rFonts w:ascii="Times New Roman" w:eastAsia="仿宋_GB2312" w:cs="Times New Roman" w:hAnsi="Times New Roman"/>
          <w:b/>
          <w:bCs/>
          <w:kern w:val="2"/>
          <w:sz w:val="32"/>
          <w:szCs w:val="32"/>
        </w:rPr>
        <w:t>切实加强保供稳价。</w:t>
      </w:r>
      <w:r>
        <w:rPr>
          <w:rFonts w:ascii="Times New Roman" w:eastAsia="仿宋_GB2312" w:cs="Times New Roman" w:hAnsi="Times New Roman"/>
          <w:kern w:val="0"/>
          <w:sz w:val="32"/>
          <w:szCs w:val="32"/>
        </w:rPr>
        <w:t>加强储备粮油管理，及时下达州级储备粮油轮换计划，加强轮换销售指导和监督，截至10月底，全州储备粮（原粮）库存共35614.6吨，食用油1068.4吨。做好“6·10”马尔康地震期间物资保障，统筹全州调拨应急物资75261件。</w:t>
      </w:r>
      <w:r>
        <w:rPr>
          <w:rFonts w:ascii="Times New Roman" w:eastAsia="仿宋_GB2312" w:cs="Times New Roman" w:hAnsi="Times New Roman"/>
          <w:kern w:val="2"/>
          <w:sz w:val="32"/>
          <w:szCs w:val="32"/>
        </w:rPr>
        <w:t>9月启动价格联动补贴工作，预计向9.1万名困难群众发放价格临时补贴177.37万元。</w:t>
      </w:r>
      <w:r>
        <w:rPr>
          <w:rStyle w:val="30"/>
          <w:rFonts w:ascii="Times New Roman" w:eastAsia="仿宋_GB2312" w:cs="Times New Roman" w:hAnsi="Times New Roman"/>
          <w:spacing w:val="0"/>
          <w:kern w:val="2"/>
          <w:sz w:val="32"/>
          <w:szCs w:val="32"/>
        </w:rPr>
        <w:t>截至10月，会同州商务局投放政府储备冻猪肉25.6吨，努力稳定市场物价。依法开展价格认定，办理疑难价格认定咨询案件30件，指导全州办理价格认定案件223件，标的总金额1455.92万元。</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line="540" w:lineRule="exact"/>
        <w:ind w:right="0" w:firstLineChars="200" w:firstLine="640"/>
        <w:textAlignment w:val="auto"/>
        <w:outlineLvl w:val="2"/>
        <w:rPr>
          <w:rFonts w:ascii="Times New Roman" w:eastAsia="仿宋_GB2312" w:cs="Times New Roman" w:hAnsi="Times New Roman"/>
          <w:kern w:val="2"/>
          <w:sz w:val="32"/>
          <w:szCs w:val="32"/>
        </w:rPr>
      </w:pPr>
      <w:bookmarkStart w:id="5" w:name="_Toc72938295"/>
      <w:r>
        <w:rPr>
          <w:rFonts w:ascii="Times New Roman" w:eastAsia="楷体_GB2312" w:cs="Times New Roman" w:hAnsi="Times New Roman"/>
          <w:b/>
          <w:bCs/>
          <w:kern w:val="2"/>
          <w:sz w:val="32"/>
          <w:szCs w:val="32"/>
        </w:rPr>
        <w:t>4.</w:t>
      </w:r>
      <w:r>
        <w:rPr>
          <w:rFonts w:ascii="Times New Roman" w:eastAsia="楷体_GB2312" w:cs="Times New Roman" w:hAnsi="Times New Roman"/>
          <w:b/>
          <w:bCs/>
          <w:spacing w:val="-20"/>
          <w:kern w:val="2"/>
          <w:sz w:val="32"/>
          <w:szCs w:val="32"/>
        </w:rPr>
        <w:t>川西北生态示范区建设持续深化。</w:t>
      </w:r>
      <w:r>
        <w:rPr>
          <w:rFonts w:ascii="Times New Roman" w:eastAsia="仿宋_GB2312" w:cs="Times New Roman" w:hAnsi="Times New Roman"/>
          <w:spacing w:val="0"/>
          <w:kern w:val="2"/>
          <w:sz w:val="32"/>
          <w:szCs w:val="32"/>
        </w:rPr>
        <w:t>坚持生态优先，印发川西北阿坝生态示范区2022年重点任务清单，指导若尔盖、红原、汶川三县完成生态综合补偿试点实施方案编制工作，争取中小河流治理、生态保护与修复支撑体系专项、重点区域生态保护与修复专项等生态保护类中央预算内投资项目20个，总投资2.3亿元。制定《阿坝州推动黄河流域生态保护和高质量发展实施方案》及2022年重点任务，有序推进黄河专项2021年已下达的4个项目建设，实现项目全部开工，部分项目年内完工的目标任务，争取国家下达黄河专项2022年第二批项目2个，到位中央预算内投资1.35亿元。</w:t>
      </w:r>
      <w:r>
        <w:rPr>
          <w:rFonts w:ascii="Times New Roman" w:eastAsia="仿宋_GB2312" w:cs="Times New Roman" w:hAnsi="Times New Roman"/>
          <w:spacing w:val="0"/>
          <w:kern w:val="2"/>
          <w:sz w:val="32"/>
          <w:szCs w:val="32"/>
          <w:lang w:bidi="ar-SA"/>
        </w:rPr>
        <w:t>制</w:t>
      </w:r>
      <w:r>
        <w:rPr>
          <w:rFonts w:ascii="Times New Roman" w:eastAsia="仿宋_GB2312" w:cs="Times New Roman" w:hAnsi="Times New Roman"/>
          <w:kern w:val="2"/>
          <w:sz w:val="32"/>
          <w:szCs w:val="32"/>
          <w:lang w:bidi="ar-SA"/>
        </w:rPr>
        <w:t>发《2022年阿坝州推动长江经济带发展工作要点》，</w:t>
      </w:r>
      <w:r>
        <w:rPr>
          <w:rFonts w:ascii="Times New Roman" w:eastAsia="仿宋_GB2312" w:cs="Times New Roman" w:hAnsi="Times New Roman"/>
          <w:spacing w:val="0"/>
          <w:kern w:val="2"/>
          <w:sz w:val="32"/>
          <w:szCs w:val="32"/>
        </w:rPr>
        <w:t>紧盯2021年29项四川省长江经济带生态环境问题整改任务，已完成整改并销号17项，已完成整改正在销号4项，正在整改8项。印发《关于以实现“双碳”目标为引领推动绿色转型高质量发展的意见》，研究提出“1+N”政策体系编制工作方案，部分重点行业领域碳达峰方案已形成初步成果。扎实推进节能工作，上半年，全州单位GDP能耗下降10.2%，降幅居全省第一，比全省低8.8个百分点，预计年度单位GDP能耗下降5%，“十四五”节能工作取得阶段性成效。</w:t>
      </w:r>
      <w:bookmarkEnd w:id="5"/>
    </w:p>
    <w:p>
      <w:pPr>
        <w:shd w:val="clear" w:color="auto" w:fill="FFFFFF"/>
        <w:spacing w:line="560" w:lineRule="exact"/>
        <w:ind w:right="300" w:firstLineChars="200" w:firstLine="640"/>
        <w:rPr>
          <w:rFonts w:ascii="仿宋_GB2312" w:eastAsia="仿宋_GB2312" w:cs="仿宋_GB2312" w:hint="eastAsia"/>
          <w:sz w:val="32"/>
          <w:szCs w:val="32"/>
          <w:highlight w:val="auto"/>
        </w:rPr>
      </w:pPr>
      <w:r>
        <w:rPr>
          <w:rFonts w:ascii="Times New Roman" w:eastAsia="楷体_GB2312" w:cs="Times New Roman" w:hAnsi="Times New Roman"/>
          <w:b/>
          <w:bCs/>
          <w:kern w:val="2"/>
          <w:sz w:val="32"/>
          <w:szCs w:val="32"/>
        </w:rPr>
        <w:t>5.重点领域改革扎实推进。</w:t>
      </w:r>
      <w:r>
        <w:rPr>
          <w:rFonts w:ascii="Times New Roman" w:eastAsia="仿宋_GB2312" w:cs="Times New Roman" w:hAnsi="Times New Roman"/>
          <w:b/>
          <w:bCs/>
          <w:kern w:val="2"/>
          <w:sz w:val="32"/>
          <w:szCs w:val="32"/>
        </w:rPr>
        <w:t>深入推进经济体制改革。</w:t>
      </w:r>
      <w:r>
        <w:rPr>
          <w:rFonts w:ascii="Times New Roman" w:eastAsia="仿宋_GB2312" w:cs="Times New Roman" w:hAnsi="Times New Roman"/>
          <w:kern w:val="2"/>
          <w:sz w:val="32"/>
          <w:szCs w:val="32"/>
        </w:rPr>
        <w:t>拟定2022年度经济体制改革任务16项，其中实施规划类改革任务已完成7项、专项改革方案上会已完成3项、重点专项改革方案落实已完成1项、重大改革试点已完成1项，其余改革任务持续推进中。</w:t>
      </w:r>
      <w:r>
        <w:rPr>
          <w:rFonts w:ascii="Times New Roman" w:eastAsia="楷体_GB2312" w:cs="Times New Roman" w:hAnsi="Times New Roman"/>
          <w:b/>
          <w:bCs/>
          <w:kern w:val="2"/>
          <w:sz w:val="32"/>
          <w:szCs w:val="32"/>
        </w:rPr>
        <w:t>持续</w:t>
      </w:r>
      <w:r>
        <w:rPr>
          <w:rFonts w:ascii="Times New Roman" w:eastAsia="仿宋_GB2312" w:cs="Times New Roman" w:hAnsi="Times New Roman"/>
          <w:b/>
          <w:bCs/>
          <w:kern w:val="2"/>
          <w:sz w:val="32"/>
          <w:szCs w:val="32"/>
        </w:rPr>
        <w:t>深化放管服改革。</w:t>
      </w:r>
      <w:r>
        <w:rPr>
          <w:rFonts w:ascii="Times New Roman" w:eastAsia="仿宋_GB2312" w:cs="Times New Roman" w:hAnsi="Times New Roman"/>
          <w:kern w:val="2"/>
          <w:sz w:val="32"/>
          <w:szCs w:val="32"/>
        </w:rPr>
        <w:t>优化项目审批流程，推行项目并联审批、靠前服务与容缺受理，落实企业投资项目告知承诺制，年内累计审批项目1859个，备案项目150个。</w:t>
      </w:r>
      <w:r>
        <w:rPr>
          <w:rFonts w:ascii="Times New Roman" w:eastAsia="仿宋_GB2312" w:cs="Times New Roman" w:hAnsi="Times New Roman"/>
          <w:b/>
          <w:bCs/>
          <w:kern w:val="2"/>
          <w:sz w:val="32"/>
          <w:szCs w:val="32"/>
        </w:rPr>
        <w:t>稳步推进重点领域事项。</w:t>
      </w:r>
      <w:r>
        <w:rPr>
          <w:rFonts w:ascii="Times New Roman" w:eastAsia="仿宋_GB2312" w:cs="Times New Roman" w:hAnsi="Times New Roman"/>
          <w:kern w:val="2"/>
          <w:sz w:val="32"/>
          <w:szCs w:val="32"/>
        </w:rPr>
        <w:t>积极争取留存电量26.6亿千瓦时，稳妥推进我州‘取消工商业目录电价’代理购电工作。深入开展涉企违规收费专项整治工作，指导、督促各县（市）发改局、住建局对本地供水供电供气供暖企业收费项目实行清单制管理。</w:t>
      </w:r>
      <w:r>
        <w:rPr>
          <w:rFonts w:ascii="Times New Roman" w:eastAsia="仿宋_GB2312" w:cs="Times New Roman" w:hAnsi="Times New Roman"/>
          <w:b/>
          <w:bCs/>
          <w:kern w:val="2"/>
          <w:sz w:val="32"/>
          <w:szCs w:val="32"/>
        </w:rPr>
        <w:t>持续深化招投标系统治理。</w:t>
      </w:r>
      <w:r>
        <w:rPr>
          <w:rFonts w:ascii="Times New Roman" w:eastAsia="仿宋_GB2312" w:cs="Times New Roman" w:hAnsi="Times New Roman"/>
          <w:kern w:val="2"/>
          <w:sz w:val="32"/>
          <w:szCs w:val="32"/>
        </w:rPr>
        <w:t>对36起违法违规线索立案查处，共处罚款145.03万元，对8个市场主体进行信用扣分，处理评标委员会成员5人，向行业主管部门移送违法违规线索3条。</w:t>
      </w:r>
    </w:p>
    <w:p>
      <w:pPr>
        <w:pStyle w:val="2"/>
        <w:shd w:val="clear" w:color="auto" w:fill="FFFFFF"/>
        <w:rPr>
          <w:highlight w:val="auto"/>
        </w:rPr>
      </w:pPr>
      <w:bookmarkStart w:id="6" w:name="_Toc75728732"/>
      <w:bookmarkStart w:id="7" w:name="_Toc72938296"/>
      <w:r>
        <w:rPr>
          <w:highlight w:val="auto"/>
        </w:rPr>
        <w:t>二、机构设置</w:t>
      </w:r>
      <w:bookmarkEnd w:id="6"/>
      <w:bookmarkEnd w:id="7"/>
    </w:p>
    <w:p>
      <w:pPr>
        <w:pStyle w:val="18"/>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textAlignment w:val="auto"/>
        <w:rPr>
          <w:rFonts w:ascii="仿宋_GB2312" w:eastAsia="仿宋_GB2312" w:cs="Times New Roman" w:hint="eastAsia"/>
          <w:color w:val="111111"/>
          <w:spacing w:val="0"/>
          <w:sz w:val="32"/>
          <w:szCs w:val="32"/>
          <w:shd w:val="clear" w:color="auto" w:fill="FFFFFF"/>
          <w:lang w:bidi="ar-SA"/>
          <w:highlight w:val="auto"/>
        </w:rPr>
      </w:pPr>
      <w:r>
        <w:rPr>
          <w:rFonts w:ascii="仿宋_GB2312" w:eastAsia="仿宋_GB2312" w:cs="Times New Roman" w:hint="eastAsia"/>
          <w:color w:val="111111"/>
          <w:spacing w:val="0"/>
          <w:sz w:val="32"/>
          <w:szCs w:val="32"/>
          <w:shd w:val="clear" w:color="auto" w:fill="FFFFFF"/>
          <w:lang w:bidi="ar-SA"/>
          <w:highlight w:val="auto"/>
        </w:rPr>
        <w:t>四川省阿坝州发展和改革委员会（汇总）下属二级单位</w:t>
      </w:r>
      <w:r>
        <w:rPr>
          <w:rFonts w:ascii="仿宋_GB2312" w:eastAsia="仿宋_GB2312" w:cs="Times New Roman" w:hint="eastAsia"/>
          <w:color w:val="111111"/>
          <w:spacing w:val="0"/>
          <w:sz w:val="32"/>
          <w:szCs w:val="32"/>
          <w:shd w:val="clear" w:color="auto" w:fill="FFFFFF"/>
          <w:lang w:val="en-US" w:eastAsia="zh-CN" w:bidi="ar-SA"/>
          <w:highlight w:val="auto"/>
        </w:rPr>
        <w:t>3</w:t>
      </w:r>
      <w:r>
        <w:rPr>
          <w:rFonts w:ascii="仿宋_GB2312" w:eastAsia="仿宋_GB2312" w:cs="Times New Roman" w:hint="eastAsia"/>
          <w:color w:val="111111"/>
          <w:spacing w:val="0"/>
          <w:sz w:val="32"/>
          <w:szCs w:val="32"/>
          <w:shd w:val="clear" w:color="auto" w:fill="FFFFFF"/>
          <w:lang w:bidi="ar-SA"/>
          <w:highlight w:val="auto"/>
        </w:rPr>
        <w:t>个，其中行政单位</w:t>
      </w:r>
      <w:r>
        <w:rPr>
          <w:rFonts w:ascii="仿宋_GB2312" w:eastAsia="仿宋_GB2312" w:cs="Times New Roman" w:hint="eastAsia"/>
          <w:color w:val="111111"/>
          <w:spacing w:val="0"/>
          <w:sz w:val="32"/>
          <w:szCs w:val="32"/>
          <w:shd w:val="clear" w:color="auto" w:fill="FFFFFF"/>
          <w:lang w:val="en-US" w:eastAsia="zh-CN" w:bidi="ar-SA"/>
          <w:highlight w:val="auto"/>
        </w:rPr>
        <w:t>1</w:t>
      </w:r>
      <w:r>
        <w:rPr>
          <w:rFonts w:ascii="仿宋_GB2312" w:eastAsia="仿宋_GB2312" w:cs="Times New Roman" w:hint="eastAsia"/>
          <w:color w:val="111111"/>
          <w:spacing w:val="0"/>
          <w:sz w:val="32"/>
          <w:szCs w:val="32"/>
          <w:shd w:val="clear" w:color="auto" w:fill="FFFFFF"/>
          <w:lang w:bidi="ar-SA"/>
          <w:highlight w:val="auto"/>
        </w:rPr>
        <w:t>个，参照公务员法管理的事业单位</w:t>
      </w:r>
      <w:r>
        <w:rPr>
          <w:rFonts w:ascii="仿宋_GB2312" w:eastAsia="仿宋_GB2312" w:cs="Times New Roman" w:hint="eastAsia"/>
          <w:color w:val="111111"/>
          <w:spacing w:val="0"/>
          <w:sz w:val="32"/>
          <w:szCs w:val="32"/>
          <w:shd w:val="clear" w:color="auto" w:fill="FFFFFF"/>
          <w:lang w:val="en-US" w:eastAsia="zh-CN" w:bidi="ar-SA"/>
          <w:highlight w:val="auto"/>
        </w:rPr>
        <w:t>1</w:t>
      </w:r>
      <w:r>
        <w:rPr>
          <w:rFonts w:ascii="仿宋_GB2312" w:eastAsia="仿宋_GB2312" w:cs="Times New Roman" w:hint="eastAsia"/>
          <w:color w:val="111111"/>
          <w:spacing w:val="0"/>
          <w:sz w:val="32"/>
          <w:szCs w:val="32"/>
          <w:shd w:val="clear" w:color="auto" w:fill="FFFFFF"/>
          <w:lang w:bidi="ar-SA"/>
          <w:highlight w:val="auto"/>
        </w:rPr>
        <w:t>个，其他事业单位</w:t>
      </w:r>
      <w:r>
        <w:rPr>
          <w:rFonts w:ascii="仿宋_GB2312" w:eastAsia="仿宋_GB2312" w:cs="Times New Roman" w:hint="eastAsia"/>
          <w:color w:val="111111"/>
          <w:spacing w:val="0"/>
          <w:sz w:val="32"/>
          <w:szCs w:val="32"/>
          <w:shd w:val="clear" w:color="auto" w:fill="FFFFFF"/>
          <w:lang w:val="en-US" w:eastAsia="zh-CN" w:bidi="ar-SA"/>
          <w:highlight w:val="auto"/>
        </w:rPr>
        <w:t>1</w:t>
      </w:r>
      <w:r>
        <w:rPr>
          <w:rFonts w:ascii="仿宋_GB2312" w:eastAsia="仿宋_GB2312" w:cs="Times New Roman" w:hint="eastAsia"/>
          <w:color w:val="111111"/>
          <w:spacing w:val="0"/>
          <w:sz w:val="32"/>
          <w:szCs w:val="32"/>
          <w:shd w:val="clear" w:color="auto" w:fill="FFFFFF"/>
          <w:lang w:bidi="ar-SA"/>
          <w:highlight w:val="auto"/>
        </w:rPr>
        <w:t>个。</w:t>
      </w:r>
    </w:p>
    <w:p>
      <w:pPr>
        <w:pStyle w:val="18"/>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textAlignment w:val="auto"/>
        <w:rPr>
          <w:sz w:val="32"/>
          <w:szCs w:val="32"/>
        </w:rPr>
      </w:pPr>
      <w:r>
        <w:rPr>
          <w:rFonts w:ascii="仿宋_GB2312" w:eastAsia="仿宋_GB2312" w:cs="Times New Roman" w:hint="eastAsia"/>
          <w:color w:val="111111"/>
          <w:spacing w:val="0"/>
          <w:sz w:val="32"/>
          <w:szCs w:val="32"/>
          <w:shd w:val="clear" w:color="auto" w:fill="FFFFFF"/>
          <w:lang w:bidi="ar-SA"/>
          <w:highlight w:val="auto"/>
        </w:rPr>
        <w:t>纳入四川省阿坝州发展和改革委员会（汇总）2021年度部门决算编制范围的二级预算单位包括：</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left="360"/>
        <w:textAlignment w:val="auto"/>
        <w:outlineLvl w:val="2"/>
        <w:rPr>
          <w:rFonts w:eastAsia="宋体"/>
          <w:sz w:val="32"/>
          <w:szCs w:val="32"/>
          <w:lang w:val="en-US" w:eastAsia="zh-CN"/>
        </w:rPr>
      </w:pPr>
      <w:bookmarkStart w:id="8" w:name="_Toc30589"/>
      <w:bookmarkStart w:id="9" w:name="_Toc72938297"/>
      <w:r>
        <w:rPr>
          <w:rFonts w:hint="eastAsia"/>
          <w:sz w:val="32"/>
          <w:szCs w:val="32"/>
          <w:lang w:val="en-US" w:eastAsia="zh-CN"/>
        </w:rPr>
        <w:t>1.</w:t>
      </w:r>
      <w:r>
        <w:rPr>
          <w:rFonts w:ascii="仿宋_GB2312" w:eastAsia="仿宋_GB2312" w:cs="Times New Roman" w:hint="eastAsia"/>
          <w:color w:val="111111"/>
          <w:spacing w:val="0"/>
          <w:sz w:val="32"/>
          <w:szCs w:val="32"/>
          <w:shd w:val="clear" w:color="auto" w:fill="FFFFFF"/>
          <w:lang w:bidi="ar-SA"/>
          <w:highlight w:val="auto"/>
        </w:rPr>
        <w:t>四川省阿坝州发展和改革委员会（</w:t>
      </w:r>
      <w:r>
        <w:rPr>
          <w:rFonts w:ascii="仿宋_GB2312" w:eastAsia="仿宋_GB2312" w:cs="Times New Roman" w:hint="eastAsia"/>
          <w:color w:val="111111"/>
          <w:spacing w:val="0"/>
          <w:sz w:val="32"/>
          <w:szCs w:val="32"/>
          <w:shd w:val="clear" w:color="auto" w:fill="FFFFFF"/>
          <w:lang w:val="en-US" w:eastAsia="zh-CN" w:bidi="ar-SA"/>
          <w:highlight w:val="auto"/>
        </w:rPr>
        <w:t>本级</w:t>
      </w:r>
      <w:r>
        <w:rPr>
          <w:rFonts w:ascii="仿宋_GB2312" w:eastAsia="仿宋_GB2312" w:cs="Times New Roman" w:hint="eastAsia"/>
          <w:color w:val="111111"/>
          <w:spacing w:val="0"/>
          <w:sz w:val="32"/>
          <w:szCs w:val="32"/>
          <w:shd w:val="clear" w:color="auto" w:fill="FFFFFF"/>
          <w:lang w:bidi="ar-SA"/>
          <w:highlight w:val="auto"/>
        </w:rPr>
        <w:t>）</w:t>
      </w:r>
      <w:bookmarkEnd w:id="8"/>
      <w:bookmarkEnd w:id="9"/>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left="360"/>
        <w:textAlignment w:val="auto"/>
        <w:rPr>
          <w:rFonts w:eastAsia="仿宋_GB2312"/>
          <w:sz w:val="32"/>
          <w:szCs w:val="32"/>
          <w:lang w:val="en-US" w:eastAsia="zh-CN"/>
        </w:rPr>
      </w:pPr>
      <w:r>
        <w:rPr>
          <w:rFonts w:hint="eastAsia"/>
          <w:sz w:val="32"/>
          <w:szCs w:val="32"/>
          <w:lang w:val="en-US" w:eastAsia="zh-CN"/>
        </w:rPr>
        <w:t>2.</w:t>
      </w:r>
      <w:r>
        <w:rPr>
          <w:rFonts w:ascii="仿宋_GB2312" w:eastAsia="仿宋_GB2312" w:cs="Times New Roman" w:hint="eastAsia"/>
          <w:color w:val="111111"/>
          <w:spacing w:val="0"/>
          <w:sz w:val="32"/>
          <w:szCs w:val="32"/>
          <w:shd w:val="clear" w:color="auto" w:fill="FFFFFF"/>
          <w:lang w:bidi="ar-SA"/>
          <w:highlight w:val="auto"/>
        </w:rPr>
        <w:t>四川省阿坝州</w:t>
      </w:r>
      <w:r>
        <w:rPr>
          <w:rFonts w:ascii="仿宋_GB2312" w:eastAsia="仿宋_GB2312" w:cs="Times New Roman" w:hint="eastAsia"/>
          <w:color w:val="111111"/>
          <w:spacing w:val="0"/>
          <w:sz w:val="32"/>
          <w:szCs w:val="32"/>
          <w:shd w:val="clear" w:color="auto" w:fill="FFFFFF"/>
          <w:lang w:val="en-US" w:eastAsia="zh-CN" w:bidi="ar-SA"/>
          <w:highlight w:val="auto"/>
        </w:rPr>
        <w:t>项目推进服务中心</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left="360"/>
        <w:textAlignment w:val="auto"/>
      </w:pPr>
      <w:r>
        <w:rPr>
          <w:rFonts w:hint="eastAsia"/>
          <w:sz w:val="32"/>
          <w:szCs w:val="32"/>
          <w:lang w:val="en-US" w:eastAsia="zh-CN"/>
        </w:rPr>
        <w:t>3.</w:t>
      </w:r>
      <w:r>
        <w:rPr>
          <w:rFonts w:ascii="仿宋_GB2312" w:eastAsia="仿宋_GB2312" w:cs="Times New Roman" w:hint="eastAsia"/>
          <w:color w:val="111111"/>
          <w:spacing w:val="0"/>
          <w:sz w:val="32"/>
          <w:szCs w:val="32"/>
          <w:shd w:val="clear" w:color="auto" w:fill="FFFFFF"/>
          <w:lang w:bidi="ar-SA"/>
          <w:highlight w:val="auto"/>
        </w:rPr>
        <w:t>四川省阿坝州</w:t>
      </w:r>
      <w:r>
        <w:rPr>
          <w:rFonts w:ascii="仿宋_GB2312" w:eastAsia="仿宋_GB2312" w:cs="Times New Roman" w:hint="eastAsia"/>
          <w:color w:val="111111"/>
          <w:spacing w:val="0"/>
          <w:sz w:val="32"/>
          <w:szCs w:val="32"/>
          <w:shd w:val="clear" w:color="auto" w:fill="FFFFFF"/>
          <w:lang w:val="en-US" w:eastAsia="zh-CN" w:bidi="ar-SA"/>
          <w:highlight w:val="auto"/>
        </w:rPr>
        <w:t>价格监测中心</w:t>
      </w:r>
      <w:r>
        <w:t> </w:t>
      </w:r>
    </w:p>
    <w:p>
      <w:pPr>
        <w:pStyle w:val="18"/>
        <w:shd w:val="clear" w:color="auto" w:fill="FFFFFF"/>
      </w:pPr>
      <w:r>
        <w:t> </w:t>
      </w:r>
    </w:p>
    <w:p>
      <w:pPr>
        <w:pStyle w:val="1"/>
        <w:shd w:val="clear" w:color="auto" w:fill="FFFFFF"/>
        <w:jc w:val="center"/>
      </w:pPr>
      <w:bookmarkStart w:id="10" w:name="_Toc72938298"/>
      <w:r>
        <w:t>第二部分 2022年度部门决算情况说明</w:t>
      </w:r>
      <w:bookmarkEnd w:id="10"/>
    </w:p>
    <w:p>
      <w:pPr>
        <w:shd w:val="clear" w:color="auto" w:fill="FFFFFF"/>
        <w:spacing w:before="100" w:beforeAutospacing="1" w:after="100" w:afterAutospacing="1"/>
        <w:ind w:left="360"/>
        <w:outlineLvl w:val="1"/>
        <w:rPr>
          <w:rFonts w:ascii="黑体" w:eastAsia="黑体" w:cs="黑体" w:hint="eastAsia"/>
          <w:sz w:val="32"/>
          <w:szCs w:val="32"/>
        </w:rPr>
      </w:pPr>
      <w:bookmarkStart w:id="11" w:name="_Toc72938299"/>
      <w:r>
        <w:rPr>
          <w:rFonts w:ascii="黑体" w:eastAsia="黑体" w:cs="黑体" w:hint="eastAsia"/>
          <w:sz w:val="32"/>
          <w:szCs w:val="32"/>
          <w:lang w:val="en-US" w:eastAsia="zh-CN"/>
        </w:rPr>
        <w:t>一、</w:t>
      </w:r>
      <w:r>
        <w:rPr>
          <w:rFonts w:ascii="黑体" w:eastAsia="黑体" w:cs="黑体" w:hint="eastAsia"/>
          <w:sz w:val="32"/>
          <w:szCs w:val="32"/>
        </w:rPr>
        <w:t>收入支出决算总体情况说明</w:t>
      </w:r>
      <w:bookmarkEnd w:id="11"/>
    </w:p>
    <w:p>
      <w:pPr>
        <w:pStyle w:val="18"/>
        <w:shd w:val="clear" w:color="auto" w:fill="FFFFFF"/>
        <w:ind w:firstLineChars="200" w:firstLine="640"/>
      </w:pPr>
      <w:r>
        <w:rPr>
          <w:rFonts w:ascii="仿宋_GB2312" w:eastAsia="仿宋_GB2312" w:cs="仿宋_GB2312" w:hint="eastAsia"/>
          <w:bCs/>
          <w:color w:val="000000"/>
          <w:sz w:val="32"/>
          <w:szCs w:val="32"/>
          <w:highlight w:val="auto"/>
        </w:rPr>
        <w:t>202</w:t>
      </w:r>
      <w:r>
        <w:rPr>
          <w:rFonts w:ascii="仿宋_GB2312" w:eastAsia="仿宋_GB2312" w:cs="仿宋_GB2312"/>
          <w:bCs/>
          <w:color w:val="000000"/>
          <w:sz w:val="32"/>
          <w:szCs w:val="32"/>
          <w:highlight w:val="auto"/>
        </w:rPr>
        <w:t>2</w:t>
      </w:r>
      <w:r>
        <w:rPr>
          <w:rFonts w:ascii="仿宋_GB2312" w:eastAsia="仿宋_GB2312" w:cs="仿宋_GB2312" w:hint="eastAsia"/>
          <w:bCs/>
          <w:color w:val="000000"/>
          <w:sz w:val="32"/>
          <w:szCs w:val="32"/>
          <w:highlight w:val="auto"/>
        </w:rPr>
        <w:t>年度收、支总计4,</w:t>
      </w:r>
      <w:r>
        <w:rPr>
          <w:rFonts w:ascii="仿宋_GB2312" w:eastAsia="仿宋_GB2312" w:cs="仿宋_GB2312"/>
          <w:bCs/>
          <w:color w:val="000000"/>
          <w:sz w:val="32"/>
          <w:szCs w:val="32"/>
          <w:highlight w:val="auto"/>
        </w:rPr>
        <w:t>803.9</w:t>
      </w:r>
      <w:r>
        <w:rPr>
          <w:rFonts w:ascii="仿宋_GB2312" w:eastAsia="仿宋_GB2312" w:cs="仿宋_GB2312" w:hint="eastAsia"/>
          <w:bCs/>
          <w:color w:val="000000"/>
          <w:sz w:val="32"/>
          <w:szCs w:val="32"/>
          <w:highlight w:val="auto"/>
        </w:rPr>
        <w:t>万元。与202</w:t>
      </w:r>
      <w:r>
        <w:rPr>
          <w:rFonts w:ascii="仿宋_GB2312" w:eastAsia="仿宋_GB2312" w:cs="仿宋_GB2312"/>
          <w:bCs/>
          <w:color w:val="000000"/>
          <w:sz w:val="32"/>
          <w:szCs w:val="32"/>
          <w:highlight w:val="auto"/>
        </w:rPr>
        <w:t>1</w:t>
      </w:r>
      <w:r>
        <w:rPr>
          <w:rFonts w:ascii="仿宋_GB2312" w:eastAsia="仿宋_GB2312" w:cs="仿宋_GB2312" w:hint="eastAsia"/>
          <w:bCs/>
          <w:color w:val="000000"/>
          <w:sz w:val="32"/>
          <w:szCs w:val="32"/>
          <w:highlight w:val="auto"/>
        </w:rPr>
        <w:t>年相比，收、支总计各增加</w:t>
      </w:r>
      <w:r>
        <w:rPr>
          <w:rFonts w:ascii="仿宋_GB2312" w:eastAsia="仿宋_GB2312" w:cs="仿宋_GB2312"/>
          <w:bCs/>
          <w:color w:val="000000"/>
          <w:sz w:val="32"/>
          <w:szCs w:val="32"/>
          <w:lang w:val="en-US" w:eastAsia="zh-CN"/>
          <w:highlight w:val="auto"/>
        </w:rPr>
        <w:t>-156.90</w:t>
      </w:r>
      <w:r>
        <w:rPr>
          <w:rFonts w:ascii="仿宋_GB2312" w:eastAsia="仿宋_GB2312" w:cs="仿宋_GB2312" w:hint="eastAsia"/>
          <w:bCs/>
          <w:color w:val="000000"/>
          <w:sz w:val="32"/>
          <w:szCs w:val="32"/>
          <w:highlight w:val="auto"/>
        </w:rPr>
        <w:t>万元，增长</w:t>
      </w:r>
      <w:r>
        <w:rPr>
          <w:rFonts w:ascii="仿宋_GB2312" w:eastAsia="仿宋_GB2312" w:cs="仿宋_GB2312"/>
          <w:bCs/>
          <w:color w:val="000000"/>
          <w:sz w:val="32"/>
          <w:szCs w:val="32"/>
          <w:lang w:val="en-US" w:eastAsia="zh-CN"/>
          <w:highlight w:val="auto"/>
        </w:rPr>
        <w:t>-3.16</w:t>
      </w:r>
      <w:r>
        <w:rPr>
          <w:rFonts w:ascii="仿宋_GB2312" w:eastAsia="仿宋_GB2312" w:cs="仿宋_GB2312" w:hint="eastAsia"/>
          <w:bCs/>
          <w:color w:val="000000"/>
          <w:sz w:val="32"/>
          <w:szCs w:val="32"/>
          <w:highlight w:val="auto"/>
        </w:rPr>
        <w:t>%。主要变动原因是</w:t>
      </w:r>
      <w:r>
        <w:rPr>
          <w:rFonts w:ascii="仿宋_GB2312" w:eastAsia="仿宋_GB2312"/>
          <w:color w:val="000000"/>
          <w:sz w:val="32"/>
          <w:szCs w:val="32"/>
          <w:highlight w:val="auto"/>
        </w:rPr>
        <w:t>2022年较上年减少了</w:t>
      </w:r>
      <w:r>
        <w:rPr>
          <w:rFonts w:ascii="仿宋_GB2312" w:eastAsia="仿宋_GB2312"/>
          <w:color w:val="000000"/>
          <w:sz w:val="32"/>
          <w:szCs w:val="32"/>
        </w:rPr>
        <w:t>优质粮工程建设等项目</w:t>
      </w:r>
      <w:r>
        <w:rPr>
          <w:rFonts w:ascii="仿宋_GB2312" w:eastAsia="仿宋_GB2312" w:hint="eastAsia"/>
          <w:color w:val="000000"/>
          <w:sz w:val="32"/>
          <w:szCs w:val="32"/>
          <w:highlight w:val="auto"/>
        </w:rPr>
        <w:t>。</w:t>
      </w:r>
    </w:p>
    <w:p>
      <w:pPr>
        <w:pStyle w:val="18"/>
        <w:shd w:val="clear" w:color="auto" w:fill="FFFFFF"/>
      </w:pPr>
      <w:r>
        <w:t>（图1：收、支决算总计变动情况图）（柱状图）</w:t>
      </w:r>
    </w:p>
    <w:p>
      <w:pPr>
        <w:pStyle w:val="18"/>
        <w:shd w:val="clear" w:color="auto" w:fill="FFFFFF"/>
      </w:pPr>
      <w:r>
        <w:t> </w:t>
      </w:r>
      <w:r>
        <w:drawing>
          <wp:inline distT="0" distB="0" distL="85723" distR="85723">
            <wp:extent cx="4581455" cy="2724108"/>
            <wp:effectExtent l="0" t="0" r="0" b="0"/>
            <wp:docPr id="4" name="图片"/>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4581455" cy="2724108"/>
                    </a:xfrm>
                    <a:prstGeom prst="rect"/>
                    <a:noFill/>
                    <a:ln w="9525" cmpd="sng" cap="flat">
                      <a:noFill/>
                      <a:prstDash val="solid"/>
                      <a:miter/>
                    </a:ln>
                  </pic:spPr>
                </pic:pic>
              </a:graphicData>
            </a:graphic>
          </wp:inline>
        </w:drawing>
      </w:r>
    </w:p>
    <w:p>
      <w:pPr>
        <w:shd w:val="clear" w:color="auto" w:fill="FFFFFF"/>
        <w:spacing w:before="100" w:beforeAutospacing="1" w:after="100" w:afterAutospacing="1"/>
        <w:ind w:left="360"/>
        <w:outlineLvl w:val="1"/>
        <w:rPr>
          <w:rFonts w:ascii="黑体" w:eastAsia="黑体" w:cs="黑体" w:hint="eastAsia"/>
          <w:sz w:val="32"/>
          <w:szCs w:val="32"/>
        </w:rPr>
      </w:pPr>
      <w:bookmarkStart w:id="12" w:name="_Toc72938300"/>
      <w:r>
        <w:rPr>
          <w:rFonts w:ascii="黑体" w:eastAsia="黑体" w:cs="黑体" w:hint="eastAsia"/>
          <w:sz w:val="32"/>
          <w:szCs w:val="32"/>
          <w:lang w:val="en-US" w:eastAsia="zh-CN"/>
        </w:rPr>
        <w:t>二、</w:t>
      </w:r>
      <w:r>
        <w:rPr>
          <w:rFonts w:ascii="黑体" w:eastAsia="黑体" w:cs="黑体" w:hint="eastAsia"/>
          <w:sz w:val="32"/>
          <w:szCs w:val="32"/>
        </w:rPr>
        <w:t>收入决算情况说明</w:t>
      </w:r>
      <w:bookmarkEnd w:id="12"/>
    </w:p>
    <w:p>
      <w:pPr>
        <w:pStyle w:val="18"/>
        <w:shd w:val="clear" w:color="auto" w:fill="FFFFFF"/>
        <w:ind w:firstLineChars="200" w:firstLine="640"/>
        <w:rPr>
          <w:rFonts w:ascii="仿宋_GB2312" w:eastAsia="仿宋_GB2312" w:cs="宋体" w:hint="eastAsia"/>
          <w:b w:val="0"/>
          <w:bCs w:val="0"/>
          <w:color w:val="000000"/>
          <w:kern w:val="0"/>
          <w:sz w:val="32"/>
          <w:szCs w:val="32"/>
          <w:shd w:val="clear" w:color="auto" w:fill="FFFFFF"/>
          <w:lang w:val="en-US" w:eastAsia="zh-CN"/>
        </w:rPr>
      </w:pPr>
      <w:r>
        <w:rPr>
          <w:rFonts w:ascii="仿宋_GB2312" w:eastAsia="仿宋_GB2312" w:cs="宋体" w:hint="eastAsia"/>
          <w:b w:val="0"/>
          <w:bCs w:val="0"/>
          <w:color w:val="000000"/>
          <w:kern w:val="0"/>
          <w:sz w:val="32"/>
          <w:szCs w:val="32"/>
          <w:shd w:val="clear" w:color="auto" w:fill="FFFFFF"/>
          <w:lang w:val="en-US" w:eastAsia="zh-CN"/>
        </w:rPr>
        <w:t>202</w:t>
      </w:r>
      <w:r>
        <w:rPr>
          <w:rFonts w:ascii="仿宋_GB2312" w:eastAsia="仿宋_GB2312" w:cs="宋体"/>
          <w:b w:val="0"/>
          <w:bCs w:val="0"/>
          <w:color w:val="000000"/>
          <w:kern w:val="0"/>
          <w:sz w:val="32"/>
          <w:szCs w:val="32"/>
          <w:shd w:val="clear" w:color="auto" w:fill="FFFFFF"/>
          <w:lang w:val="en-US" w:eastAsia="zh-CN"/>
        </w:rPr>
        <w:t>2</w:t>
      </w:r>
      <w:r>
        <w:rPr>
          <w:rFonts w:ascii="仿宋_GB2312" w:eastAsia="仿宋_GB2312" w:cs="宋体" w:hint="eastAsia"/>
          <w:b w:val="0"/>
          <w:bCs w:val="0"/>
          <w:color w:val="000000"/>
          <w:kern w:val="0"/>
          <w:sz w:val="32"/>
          <w:szCs w:val="32"/>
          <w:shd w:val="clear" w:color="auto" w:fill="FFFFFF"/>
          <w:lang w:val="en-US" w:eastAsia="zh-CN"/>
        </w:rPr>
        <w:t>年本年收入合计4,</w:t>
      </w:r>
      <w:r>
        <w:rPr>
          <w:rFonts w:ascii="仿宋_GB2312" w:eastAsia="仿宋_GB2312" w:cs="宋体"/>
          <w:b w:val="0"/>
          <w:bCs w:val="0"/>
          <w:color w:val="000000"/>
          <w:kern w:val="0"/>
          <w:sz w:val="32"/>
          <w:szCs w:val="32"/>
          <w:shd w:val="clear" w:color="auto" w:fill="FFFFFF"/>
          <w:lang w:val="en-US" w:eastAsia="zh-CN"/>
        </w:rPr>
        <w:t>773.14</w:t>
      </w:r>
      <w:r>
        <w:rPr>
          <w:rFonts w:ascii="仿宋_GB2312" w:eastAsia="仿宋_GB2312" w:cs="宋体" w:hint="eastAsia"/>
          <w:b w:val="0"/>
          <w:bCs w:val="0"/>
          <w:color w:val="000000"/>
          <w:kern w:val="0"/>
          <w:sz w:val="32"/>
          <w:szCs w:val="32"/>
          <w:shd w:val="clear" w:color="auto" w:fill="FFFFFF"/>
          <w:lang w:val="en-US" w:eastAsia="zh-CN"/>
        </w:rPr>
        <w:t>万元，其中：一般公共预算财政拨款收入4,</w:t>
      </w:r>
      <w:r>
        <w:rPr>
          <w:rFonts w:ascii="仿宋_GB2312" w:eastAsia="仿宋_GB2312" w:cs="宋体"/>
          <w:b w:val="0"/>
          <w:bCs w:val="0"/>
          <w:color w:val="000000"/>
          <w:kern w:val="0"/>
          <w:sz w:val="32"/>
          <w:szCs w:val="32"/>
          <w:shd w:val="clear" w:color="auto" w:fill="FFFFFF"/>
          <w:lang w:val="en-US" w:eastAsia="zh-CN"/>
        </w:rPr>
        <w:t>773.14</w:t>
      </w:r>
      <w:r>
        <w:rPr>
          <w:rFonts w:ascii="仿宋_GB2312" w:eastAsia="仿宋_GB2312" w:cs="宋体" w:hint="eastAsia"/>
          <w:b w:val="0"/>
          <w:bCs w:val="0"/>
          <w:color w:val="000000"/>
          <w:kern w:val="0"/>
          <w:sz w:val="32"/>
          <w:szCs w:val="32"/>
          <w:shd w:val="clear" w:color="auto" w:fill="FFFFFF"/>
          <w:lang w:val="en-US" w:eastAsia="zh-CN"/>
        </w:rPr>
        <w:t>万元，占98.11%；政府性基金预算财政拨款收入0.00万元，占0.00%；国有资本经营预算财政拨款收入0.00万元，占0.00%；上级补助收入0.00万元，占0.00%；事业收入0.00万元，占0.00%%；经营收入0.00万元，占0.00%%；附属单位上缴收入0.00万元，占0.00%；其他收入</w:t>
      </w:r>
      <w:r>
        <w:rPr>
          <w:rFonts w:ascii="仿宋_GB2312" w:eastAsia="仿宋_GB2312" w:cs="宋体"/>
          <w:b w:val="0"/>
          <w:bCs w:val="0"/>
          <w:color w:val="000000"/>
          <w:kern w:val="0"/>
          <w:sz w:val="32"/>
          <w:szCs w:val="32"/>
          <w:shd w:val="clear" w:color="auto" w:fill="FFFFFF"/>
          <w:lang w:val="en-US" w:eastAsia="zh-CN"/>
        </w:rPr>
        <w:t>0.00</w:t>
      </w:r>
      <w:r>
        <w:rPr>
          <w:rFonts w:ascii="仿宋_GB2312" w:eastAsia="仿宋_GB2312" w:cs="宋体" w:hint="eastAsia"/>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0.00</w:t>
      </w:r>
      <w:r>
        <w:rPr>
          <w:rFonts w:ascii="仿宋_GB2312" w:eastAsia="仿宋_GB2312" w:cs="宋体" w:hint="eastAsia"/>
          <w:b w:val="0"/>
          <w:bCs w:val="0"/>
          <w:color w:val="000000"/>
          <w:kern w:val="0"/>
          <w:sz w:val="32"/>
          <w:szCs w:val="32"/>
          <w:shd w:val="clear" w:color="auto" w:fill="FFFFFF"/>
          <w:lang w:val="en-US" w:eastAsia="zh-CN"/>
        </w:rPr>
        <w:t>%。</w:t>
      </w:r>
    </w:p>
    <w:p>
      <w:pPr>
        <w:pStyle w:val="18"/>
        <w:shd w:val="clear" w:color="auto" w:fill="FFFFFF"/>
      </w:pPr>
      <w:r>
        <w:rPr>
          <w:rStyle w:val="19"/>
        </w:rPr>
        <w:t>（注：数据来源于财决01表，仅罗列本部门涉及的收入。）</w:t>
      </w:r>
    </w:p>
    <w:p>
      <w:pPr>
        <w:pStyle w:val="18"/>
        <w:shd w:val="clear" w:color="auto" w:fill="FFFFFF"/>
      </w:pPr>
      <w:r>
        <w:t>（图2：收入决算结构图）（饼状图）</w:t>
      </w:r>
    </w:p>
    <w:p>
      <w:pPr>
        <w:pStyle w:val="18"/>
        <w:shd w:val="clear" w:color="auto" w:fill="FFFFFF"/>
      </w:pPr>
      <w:r>
        <w:t> </w:t>
      </w:r>
      <w:r>
        <w:drawing>
          <wp:inline distT="0" distB="0" distL="85723" distR="85723">
            <wp:extent cx="3695493" cy="1990546"/>
            <wp:effectExtent l="0" t="0" r="40" b="42"/>
            <wp:docPr id="7" name="图片"/>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3695493" cy="1990546"/>
                    </a:xfrm>
                    <a:prstGeom prst="rect"/>
                    <a:noFill/>
                    <a:ln w="9525" cmpd="sng" cap="flat">
                      <a:noFill/>
                      <a:prstDash val="solid"/>
                      <a:miter/>
                    </a:ln>
                  </pic:spPr>
                </pic:pic>
              </a:graphicData>
            </a:graphic>
          </wp:inline>
        </w:drawing>
      </w:r>
    </w:p>
    <w:p>
      <w:pPr>
        <w:shd w:val="clear" w:color="auto" w:fill="FFFFFF"/>
        <w:spacing w:before="100" w:beforeAutospacing="1" w:after="100" w:afterAutospacing="1"/>
        <w:ind w:left="360"/>
        <w:outlineLvl w:val="1"/>
        <w:rPr>
          <w:rFonts w:ascii="黑体" w:eastAsia="黑体" w:cs="黑体" w:hint="eastAsia"/>
          <w:sz w:val="32"/>
          <w:szCs w:val="32"/>
          <w:lang w:val="en-US" w:eastAsia="zh-CN"/>
        </w:rPr>
      </w:pPr>
      <w:bookmarkStart w:id="13" w:name="_Toc72938301"/>
      <w:r>
        <w:rPr>
          <w:rFonts w:ascii="黑体" w:eastAsia="黑体" w:cs="黑体" w:hint="eastAsia"/>
          <w:sz w:val="32"/>
          <w:szCs w:val="32"/>
          <w:lang w:val="en-US" w:eastAsia="zh-CN"/>
        </w:rPr>
        <w:t>三、支出决算情况说明</w:t>
      </w:r>
      <w:bookmarkEnd w:id="13"/>
    </w:p>
    <w:p>
      <w:pPr>
        <w:pStyle w:val="18"/>
        <w:shd w:val="clear" w:color="auto" w:fill="FFFFFF"/>
        <w:ind w:firstLineChars="200" w:firstLine="640"/>
        <w:rPr>
          <w:rFonts w:ascii="仿宋_GB2312" w:eastAsia="仿宋_GB2312" w:cs="宋体" w:hint="eastAsia"/>
          <w:b w:val="0"/>
          <w:bCs w:val="0"/>
          <w:color w:val="000000"/>
          <w:kern w:val="0"/>
          <w:sz w:val="32"/>
          <w:szCs w:val="32"/>
          <w:shd w:val="clear" w:color="auto" w:fill="FFFFFF"/>
          <w:lang w:val="en-US" w:eastAsia="zh-CN"/>
        </w:rPr>
      </w:pPr>
      <w:r>
        <w:rPr>
          <w:rFonts w:ascii="仿宋_GB2312" w:eastAsia="仿宋_GB2312" w:cs="宋体" w:hint="eastAsia"/>
          <w:b w:val="0"/>
          <w:bCs w:val="0"/>
          <w:color w:val="000000"/>
          <w:kern w:val="0"/>
          <w:sz w:val="32"/>
          <w:szCs w:val="32"/>
          <w:shd w:val="clear" w:color="auto" w:fill="FFFFFF"/>
          <w:lang w:val="en-US" w:eastAsia="zh-CN"/>
        </w:rPr>
        <w:t>202</w:t>
      </w:r>
      <w:r>
        <w:rPr>
          <w:rFonts w:ascii="仿宋_GB2312" w:eastAsia="仿宋_GB2312" w:cs="宋体"/>
          <w:b w:val="0"/>
          <w:bCs w:val="0"/>
          <w:color w:val="000000"/>
          <w:kern w:val="0"/>
          <w:sz w:val="32"/>
          <w:szCs w:val="32"/>
          <w:shd w:val="clear" w:color="auto" w:fill="FFFFFF"/>
          <w:lang w:val="en-US" w:eastAsia="zh-CN"/>
        </w:rPr>
        <w:t>2</w:t>
      </w:r>
      <w:r>
        <w:rPr>
          <w:rFonts w:ascii="仿宋_GB2312" w:eastAsia="仿宋_GB2312" w:cs="宋体" w:hint="eastAsia"/>
          <w:b w:val="0"/>
          <w:bCs w:val="0"/>
          <w:color w:val="000000"/>
          <w:kern w:val="0"/>
          <w:sz w:val="32"/>
          <w:szCs w:val="32"/>
          <w:shd w:val="clear" w:color="auto" w:fill="FFFFFF"/>
          <w:lang w:val="en-US" w:eastAsia="zh-CN"/>
        </w:rPr>
        <w:t>年本年支出合计4,</w:t>
      </w:r>
      <w:r>
        <w:rPr>
          <w:rFonts w:ascii="仿宋_GB2312" w:eastAsia="仿宋_GB2312" w:cs="宋体"/>
          <w:b w:val="0"/>
          <w:bCs w:val="0"/>
          <w:color w:val="000000"/>
          <w:kern w:val="0"/>
          <w:sz w:val="32"/>
          <w:szCs w:val="32"/>
          <w:shd w:val="clear" w:color="auto" w:fill="FFFFFF"/>
          <w:lang w:val="en-US" w:eastAsia="zh-CN"/>
        </w:rPr>
        <w:t>803.90</w:t>
      </w:r>
      <w:r>
        <w:rPr>
          <w:rFonts w:ascii="仿宋_GB2312" w:eastAsia="仿宋_GB2312" w:cs="宋体" w:hint="eastAsia"/>
          <w:b w:val="0"/>
          <w:bCs w:val="0"/>
          <w:color w:val="000000"/>
          <w:kern w:val="0"/>
          <w:sz w:val="32"/>
          <w:szCs w:val="32"/>
          <w:shd w:val="clear" w:color="auto" w:fill="FFFFFF"/>
          <w:lang w:val="en-US" w:eastAsia="zh-CN"/>
        </w:rPr>
        <w:t>万元，其中：基本支出3,5</w:t>
      </w:r>
      <w:r>
        <w:rPr>
          <w:rFonts w:ascii="仿宋_GB2312" w:eastAsia="仿宋_GB2312" w:cs="宋体"/>
          <w:b w:val="0"/>
          <w:bCs w:val="0"/>
          <w:color w:val="000000"/>
          <w:kern w:val="0"/>
          <w:sz w:val="32"/>
          <w:szCs w:val="32"/>
          <w:shd w:val="clear" w:color="auto" w:fill="FFFFFF"/>
          <w:lang w:val="en-US" w:eastAsia="zh-CN"/>
        </w:rPr>
        <w:t>22.33</w:t>
      </w:r>
      <w:r>
        <w:rPr>
          <w:rFonts w:ascii="仿宋_GB2312" w:eastAsia="仿宋_GB2312" w:cs="宋体" w:hint="eastAsia"/>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73.32</w:t>
      </w:r>
      <w:r>
        <w:rPr>
          <w:rFonts w:ascii="仿宋_GB2312" w:eastAsia="仿宋_GB2312" w:cs="宋体" w:hint="eastAsia"/>
          <w:b w:val="0"/>
          <w:bCs w:val="0"/>
          <w:color w:val="000000"/>
          <w:kern w:val="0"/>
          <w:sz w:val="32"/>
          <w:szCs w:val="32"/>
          <w:shd w:val="clear" w:color="auto" w:fill="FFFFFF"/>
          <w:lang w:val="en-US" w:eastAsia="zh-CN"/>
        </w:rPr>
        <w:t>%；项目支出1,</w:t>
      </w:r>
      <w:r>
        <w:rPr>
          <w:rFonts w:ascii="仿宋_GB2312" w:eastAsia="仿宋_GB2312" w:cs="宋体"/>
          <w:b w:val="0"/>
          <w:bCs w:val="0"/>
          <w:color w:val="000000"/>
          <w:kern w:val="0"/>
          <w:sz w:val="32"/>
          <w:szCs w:val="32"/>
          <w:shd w:val="clear" w:color="auto" w:fill="FFFFFF"/>
          <w:lang w:val="en-US" w:eastAsia="zh-CN"/>
        </w:rPr>
        <w:t>281.56</w:t>
      </w:r>
      <w:r>
        <w:rPr>
          <w:rFonts w:ascii="仿宋_GB2312" w:eastAsia="仿宋_GB2312" w:cs="宋体" w:hint="eastAsia"/>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26.68</w:t>
      </w:r>
      <w:r>
        <w:rPr>
          <w:rFonts w:ascii="仿宋_GB2312" w:eastAsia="仿宋_GB2312" w:cs="宋体" w:hint="eastAsia"/>
          <w:b w:val="0"/>
          <w:bCs w:val="0"/>
          <w:color w:val="000000"/>
          <w:kern w:val="0"/>
          <w:sz w:val="32"/>
          <w:szCs w:val="32"/>
          <w:shd w:val="clear" w:color="auto" w:fill="FFFFFF"/>
          <w:lang w:val="en-US" w:eastAsia="zh-CN"/>
        </w:rPr>
        <w:t>%；上缴上级支出0.00万元，占0.00%；经营支出0.00万元，占经营支出0.00万元，占 0.00%；对附属单位补助支出0.00万元，占0.00%。</w:t>
      </w:r>
    </w:p>
    <w:p>
      <w:pPr>
        <w:pStyle w:val="18"/>
        <w:shd w:val="clear" w:color="auto" w:fill="FFFFFF"/>
      </w:pPr>
      <w:r>
        <w:rPr>
          <w:rStyle w:val="19"/>
        </w:rPr>
        <w:t>（注：数据来源于财决04表，仅罗列本部门涉及的支出。）</w:t>
      </w:r>
    </w:p>
    <w:p>
      <w:pPr>
        <w:pStyle w:val="18"/>
        <w:shd w:val="clear" w:color="auto" w:fill="FFFFFF"/>
      </w:pPr>
      <w:r>
        <w:t>（图3：支出决算结构图）（饼状图）</w:t>
      </w:r>
    </w:p>
    <w:p>
      <w:pPr>
        <w:pStyle w:val="18"/>
        <w:shd w:val="clear" w:color="auto" w:fill="FFFFFF"/>
      </w:pPr>
      <w:r>
        <w:t> </w:t>
      </w:r>
      <w:r>
        <w:drawing>
          <wp:inline distT="0" distB="0" distL="85723" distR="85723">
            <wp:extent cx="3695643" cy="1914494"/>
            <wp:effectExtent l="0" t="0" r="0" b="1"/>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3695643" cy="1914494"/>
                    </a:xfrm>
                    <a:prstGeom prst="rect"/>
                    <a:noFill/>
                    <a:ln w="9525" cmpd="sng" cap="flat">
                      <a:noFill/>
                      <a:prstDash val="solid"/>
                      <a:miter/>
                    </a:ln>
                  </pic:spPr>
                </pic:pic>
              </a:graphicData>
            </a:graphic>
          </wp:inline>
        </w:drawing>
      </w:r>
    </w:p>
    <w:p>
      <w:pPr>
        <w:shd w:val="clear" w:color="auto" w:fill="FFFFFF"/>
        <w:spacing w:before="100" w:beforeAutospacing="1" w:after="100" w:afterAutospacing="1"/>
        <w:ind w:left="360"/>
        <w:outlineLvl w:val="1"/>
        <w:rPr>
          <w:rFonts w:ascii="黑体" w:eastAsia="黑体" w:cs="黑体" w:hint="eastAsia"/>
          <w:sz w:val="32"/>
          <w:szCs w:val="32"/>
          <w:lang w:val="en-US" w:eastAsia="zh-CN"/>
        </w:rPr>
      </w:pPr>
      <w:bookmarkStart w:id="14" w:name="_Toc72938302"/>
      <w:r>
        <w:rPr>
          <w:rFonts w:ascii="黑体" w:eastAsia="黑体" w:cs="黑体" w:hint="eastAsia"/>
          <w:sz w:val="32"/>
          <w:szCs w:val="32"/>
          <w:lang w:val="en-US" w:eastAsia="zh-CN"/>
        </w:rPr>
        <w:t>四、财政拨款收入支出决算总体情况说明</w:t>
      </w:r>
      <w:bookmarkEnd w:id="14"/>
    </w:p>
    <w:p>
      <w:pPr>
        <w:pStyle w:val="18"/>
        <w:shd w:val="clear" w:color="auto" w:fill="FFFFFF"/>
        <w:ind w:firstLineChars="200" w:firstLine="640"/>
      </w:pPr>
      <w:r>
        <w:rPr>
          <w:rFonts w:ascii="仿宋_GB2312" w:eastAsia="仿宋_GB2312" w:cs="仿宋_GB2312" w:hint="eastAsia"/>
          <w:bCs/>
          <w:color w:val="000000"/>
          <w:sz w:val="32"/>
          <w:szCs w:val="32"/>
          <w:highlight w:val="auto"/>
        </w:rPr>
        <w:t>202</w:t>
      </w:r>
      <w:r>
        <w:rPr>
          <w:rFonts w:ascii="仿宋_GB2312" w:eastAsia="仿宋_GB2312" w:cs="仿宋_GB2312"/>
          <w:bCs/>
          <w:color w:val="000000"/>
          <w:sz w:val="32"/>
          <w:szCs w:val="32"/>
          <w:highlight w:val="auto"/>
        </w:rPr>
        <w:t>2</w:t>
      </w:r>
      <w:r>
        <w:rPr>
          <w:rFonts w:ascii="仿宋_GB2312" w:eastAsia="仿宋_GB2312" w:cs="仿宋_GB2312" w:hint="eastAsia"/>
          <w:bCs/>
          <w:color w:val="000000"/>
          <w:sz w:val="32"/>
          <w:szCs w:val="32"/>
          <w:highlight w:val="auto"/>
        </w:rPr>
        <w:t>年财政拨款收、支总计4,</w:t>
      </w:r>
      <w:r>
        <w:rPr>
          <w:rFonts w:ascii="仿宋_GB2312" w:eastAsia="仿宋_GB2312" w:cs="仿宋_GB2312"/>
          <w:bCs/>
          <w:color w:val="000000"/>
          <w:sz w:val="32"/>
          <w:szCs w:val="32"/>
          <w:highlight w:val="auto"/>
        </w:rPr>
        <w:t>803.90</w:t>
      </w:r>
      <w:r>
        <w:rPr>
          <w:rFonts w:ascii="仿宋_GB2312" w:eastAsia="仿宋_GB2312" w:cs="仿宋_GB2312" w:hint="eastAsia"/>
          <w:bCs/>
          <w:color w:val="000000"/>
          <w:sz w:val="32"/>
          <w:szCs w:val="32"/>
          <w:highlight w:val="auto"/>
        </w:rPr>
        <w:t>万元。与202</w:t>
      </w:r>
      <w:r>
        <w:rPr>
          <w:rFonts w:ascii="仿宋_GB2312" w:eastAsia="仿宋_GB2312" w:cs="仿宋_GB2312"/>
          <w:bCs/>
          <w:color w:val="000000"/>
          <w:sz w:val="32"/>
          <w:szCs w:val="32"/>
          <w:highlight w:val="auto"/>
        </w:rPr>
        <w:t>1</w:t>
      </w:r>
      <w:r>
        <w:rPr>
          <w:rFonts w:ascii="仿宋_GB2312" w:eastAsia="仿宋_GB2312" w:cs="仿宋_GB2312" w:hint="eastAsia"/>
          <w:bCs/>
          <w:color w:val="000000"/>
          <w:sz w:val="32"/>
          <w:szCs w:val="32"/>
          <w:highlight w:val="auto"/>
        </w:rPr>
        <w:t>年相比，收、支总计各增加</w:t>
      </w:r>
      <w:r>
        <w:rPr>
          <w:rFonts w:ascii="仿宋_GB2312" w:eastAsia="仿宋_GB2312" w:cs="仿宋_GB2312"/>
          <w:bCs/>
          <w:color w:val="000000"/>
          <w:sz w:val="32"/>
          <w:szCs w:val="32"/>
          <w:lang w:val="en-US" w:eastAsia="zh-CN"/>
          <w:highlight w:val="auto"/>
        </w:rPr>
        <w:t>-75.55</w:t>
      </w:r>
      <w:r>
        <w:rPr>
          <w:rFonts w:ascii="仿宋_GB2312" w:eastAsia="仿宋_GB2312" w:cs="仿宋_GB2312" w:hint="eastAsia"/>
          <w:bCs/>
          <w:color w:val="000000"/>
          <w:sz w:val="32"/>
          <w:szCs w:val="32"/>
          <w:highlight w:val="auto"/>
        </w:rPr>
        <w:t>万元，增长</w:t>
      </w:r>
      <w:r>
        <w:rPr>
          <w:rFonts w:ascii="仿宋_GB2312" w:eastAsia="仿宋_GB2312" w:cs="仿宋_GB2312"/>
          <w:bCs/>
          <w:color w:val="000000"/>
          <w:sz w:val="32"/>
          <w:szCs w:val="32"/>
          <w:lang w:val="en-US" w:eastAsia="zh-CN"/>
          <w:highlight w:val="auto"/>
        </w:rPr>
        <w:t>-1.55</w:t>
      </w:r>
      <w:r>
        <w:rPr>
          <w:rFonts w:ascii="仿宋_GB2312" w:eastAsia="仿宋_GB2312" w:cs="仿宋_GB2312" w:hint="eastAsia"/>
          <w:bCs/>
          <w:color w:val="000000"/>
          <w:sz w:val="32"/>
          <w:szCs w:val="32"/>
          <w:highlight w:val="auto"/>
        </w:rPr>
        <w:t>%。主要变动原因是</w:t>
      </w:r>
      <w:r>
        <w:rPr>
          <w:rFonts w:ascii="仿宋_GB2312" w:eastAsia="仿宋_GB2312"/>
          <w:color w:val="000000"/>
          <w:sz w:val="32"/>
          <w:szCs w:val="32"/>
          <w:highlight w:val="auto"/>
        </w:rPr>
        <w:t>2022年较上年减少了</w:t>
      </w:r>
      <w:r>
        <w:rPr>
          <w:rFonts w:ascii="仿宋_GB2312" w:eastAsia="仿宋_GB2312"/>
          <w:color w:val="000000"/>
          <w:sz w:val="32"/>
          <w:szCs w:val="32"/>
        </w:rPr>
        <w:t>优质粮工程建设等项目</w:t>
      </w:r>
      <w:r>
        <w:rPr>
          <w:rFonts w:ascii="仿宋_GB2312" w:eastAsia="仿宋_GB2312" w:hint="eastAsia"/>
          <w:color w:val="000000"/>
          <w:sz w:val="32"/>
          <w:szCs w:val="32"/>
          <w:highlight w:val="auto"/>
        </w:rPr>
        <w:t>。</w:t>
      </w:r>
    </w:p>
    <w:p>
      <w:pPr>
        <w:pStyle w:val="18"/>
        <w:shd w:val="clear" w:color="auto" w:fill="FFFFFF"/>
        <w:outlineLvl w:val="2"/>
      </w:pPr>
      <w:bookmarkStart w:id="15" w:name="_Toc28578"/>
      <w:bookmarkStart w:id="16" w:name="_Toc72938303"/>
      <w:r>
        <w:rPr>
          <w:rStyle w:val="19"/>
        </w:rPr>
        <w:t>（注：数据来源于财决01-1表）</w:t>
      </w:r>
      <w:bookmarkEnd w:id="15"/>
      <w:bookmarkEnd w:id="16"/>
    </w:p>
    <w:p>
      <w:pPr>
        <w:pStyle w:val="18"/>
        <w:shd w:val="clear" w:color="auto" w:fill="FFFFFF"/>
      </w:pPr>
      <w:r>
        <w:t>（图4：财政拨款收、支决算总计变动情况）（柱状图）</w:t>
      </w:r>
    </w:p>
    <w:p>
      <w:pPr>
        <w:pStyle w:val="18"/>
        <w:shd w:val="clear" w:color="auto" w:fill="FFFFFF"/>
      </w:pPr>
      <w:r>
        <w:t> </w:t>
      </w:r>
      <w:r>
        <w:drawing>
          <wp:inline distT="0" distB="0" distL="85723" distR="85723">
            <wp:extent cx="4581455" cy="2752683"/>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581455" cy="2752683"/>
                    </a:xfrm>
                    <a:prstGeom prst="rect"/>
                    <a:noFill/>
                    <a:ln w="9525" cmpd="sng" cap="flat">
                      <a:noFill/>
                      <a:prstDash val="solid"/>
                      <a:miter/>
                    </a:ln>
                  </pic:spPr>
                </pic:pic>
              </a:graphicData>
            </a:graphic>
          </wp:inline>
        </w:drawing>
      </w:r>
    </w:p>
    <w:p>
      <w:pPr>
        <w:shd w:val="clear" w:color="auto" w:fill="FFFFFF"/>
        <w:spacing w:before="100" w:beforeAutospacing="1" w:after="100" w:afterAutospacing="1"/>
        <w:ind w:left="360"/>
        <w:outlineLvl w:val="1"/>
        <w:rPr>
          <w:rFonts w:ascii="黑体" w:eastAsia="黑体" w:cs="黑体" w:hint="eastAsia"/>
          <w:sz w:val="32"/>
          <w:szCs w:val="32"/>
          <w:lang w:val="en-US" w:eastAsia="zh-CN"/>
        </w:rPr>
      </w:pPr>
      <w:bookmarkStart w:id="17" w:name="_Toc72938304"/>
      <w:r>
        <w:rPr>
          <w:rFonts w:ascii="黑体" w:eastAsia="黑体" w:cs="黑体" w:hint="eastAsia"/>
          <w:sz w:val="32"/>
          <w:szCs w:val="32"/>
          <w:lang w:val="en-US" w:eastAsia="zh-CN"/>
        </w:rPr>
        <w:t>五、一般公共预算财政拨款支出决算情况说明</w:t>
      </w:r>
      <w:bookmarkEnd w:id="17"/>
    </w:p>
    <w:p>
      <w:pPr>
        <w:pStyle w:val="18"/>
        <w:shd w:val="clear" w:color="auto" w:fill="FFFFFF"/>
        <w:outlineLvl w:val="2"/>
        <w:rPr>
          <w:sz w:val="32"/>
          <w:szCs w:val="32"/>
        </w:rPr>
      </w:pPr>
      <w:bookmarkStart w:id="18" w:name="_Toc72938305"/>
      <w:r>
        <w:rPr>
          <w:rStyle w:val="19"/>
          <w:sz w:val="32"/>
          <w:szCs w:val="32"/>
        </w:rPr>
        <w:t>（一）一般公共预算财政拨款支出决算总体情况</w:t>
      </w:r>
      <w:bookmarkEnd w:id="18"/>
    </w:p>
    <w:p>
      <w:pPr>
        <w:pStyle w:val="18"/>
        <w:shd w:val="clear" w:color="auto" w:fill="FFFFFF"/>
        <w:ind w:firstLineChars="200" w:firstLine="640"/>
      </w:pPr>
      <w:r>
        <w:rPr>
          <w:rFonts w:ascii="仿宋_GB2312" w:eastAsia="仿宋_GB2312" w:cs="仿宋_GB2312" w:hint="eastAsia"/>
          <w:bCs/>
          <w:color w:val="000000"/>
          <w:sz w:val="32"/>
          <w:szCs w:val="32"/>
          <w:highlight w:val="auto"/>
        </w:rPr>
        <w:t>202</w:t>
      </w:r>
      <w:r>
        <w:rPr>
          <w:rFonts w:ascii="仿宋_GB2312" w:eastAsia="仿宋_GB2312" w:cs="仿宋_GB2312"/>
          <w:bCs/>
          <w:color w:val="000000"/>
          <w:sz w:val="32"/>
          <w:szCs w:val="32"/>
          <w:highlight w:val="auto"/>
        </w:rPr>
        <w:t>2</w:t>
      </w:r>
      <w:r>
        <w:rPr>
          <w:rFonts w:ascii="仿宋_GB2312" w:eastAsia="仿宋_GB2312" w:cs="仿宋_GB2312" w:hint="eastAsia"/>
          <w:bCs/>
          <w:color w:val="000000"/>
          <w:sz w:val="32"/>
          <w:szCs w:val="32"/>
          <w:highlight w:val="auto"/>
        </w:rPr>
        <w:t>年一般公共预算财政拨款支出4,8</w:t>
      </w:r>
      <w:r>
        <w:rPr>
          <w:rFonts w:ascii="仿宋_GB2312" w:eastAsia="仿宋_GB2312" w:cs="仿宋_GB2312"/>
          <w:bCs/>
          <w:color w:val="000000"/>
          <w:sz w:val="32"/>
          <w:szCs w:val="32"/>
          <w:highlight w:val="auto"/>
        </w:rPr>
        <w:t>03.90</w:t>
      </w:r>
      <w:r>
        <w:rPr>
          <w:rFonts w:ascii="仿宋_GB2312" w:eastAsia="仿宋_GB2312" w:cs="仿宋_GB2312" w:hint="eastAsia"/>
          <w:bCs/>
          <w:color w:val="000000"/>
          <w:sz w:val="32"/>
          <w:szCs w:val="32"/>
          <w:highlight w:val="auto"/>
        </w:rPr>
        <w:t>万元，占本年支出合计的</w:t>
      </w:r>
      <w:r>
        <w:rPr>
          <w:rFonts w:ascii="仿宋_GB2312" w:eastAsia="仿宋_GB2312" w:cs="仿宋_GB2312"/>
          <w:bCs/>
          <w:color w:val="000000"/>
          <w:sz w:val="32"/>
          <w:szCs w:val="32"/>
          <w:highlight w:val="auto"/>
        </w:rPr>
        <w:t>100</w:t>
      </w:r>
      <w:r>
        <w:rPr>
          <w:rFonts w:ascii="仿宋_GB2312" w:eastAsia="仿宋_GB2312" w:cs="仿宋_GB2312" w:hint="eastAsia"/>
          <w:bCs/>
          <w:color w:val="000000"/>
          <w:sz w:val="32"/>
          <w:szCs w:val="32"/>
          <w:highlight w:val="auto"/>
        </w:rPr>
        <w:t>%。与202</w:t>
      </w:r>
      <w:r>
        <w:rPr>
          <w:rFonts w:ascii="仿宋_GB2312" w:eastAsia="仿宋_GB2312" w:cs="仿宋_GB2312"/>
          <w:bCs/>
          <w:color w:val="000000"/>
          <w:sz w:val="32"/>
          <w:szCs w:val="32"/>
          <w:highlight w:val="auto"/>
        </w:rPr>
        <w:t>1</w:t>
      </w:r>
      <w:r>
        <w:rPr>
          <w:rFonts w:ascii="仿宋_GB2312" w:eastAsia="仿宋_GB2312" w:cs="仿宋_GB2312" w:hint="eastAsia"/>
          <w:bCs/>
          <w:color w:val="000000"/>
          <w:sz w:val="32"/>
          <w:szCs w:val="32"/>
          <w:highlight w:val="auto"/>
        </w:rPr>
        <w:t>年相比，收、支总计各增加</w:t>
      </w:r>
      <w:r>
        <w:rPr>
          <w:rFonts w:ascii="仿宋_GB2312" w:eastAsia="仿宋_GB2312" w:cs="仿宋_GB2312"/>
          <w:bCs/>
          <w:color w:val="000000"/>
          <w:sz w:val="32"/>
          <w:szCs w:val="32"/>
          <w:lang w:val="en-US" w:eastAsia="zh-CN"/>
          <w:highlight w:val="auto"/>
        </w:rPr>
        <w:t>-75.55</w:t>
      </w:r>
      <w:r>
        <w:rPr>
          <w:rFonts w:ascii="仿宋_GB2312" w:eastAsia="仿宋_GB2312" w:cs="仿宋_GB2312" w:hint="eastAsia"/>
          <w:bCs/>
          <w:color w:val="000000"/>
          <w:sz w:val="32"/>
          <w:szCs w:val="32"/>
          <w:highlight w:val="auto"/>
        </w:rPr>
        <w:t>万元，增长</w:t>
      </w:r>
      <w:r>
        <w:rPr>
          <w:rFonts w:ascii="仿宋_GB2312" w:eastAsia="仿宋_GB2312" w:cs="仿宋_GB2312"/>
          <w:bCs/>
          <w:color w:val="000000"/>
          <w:sz w:val="32"/>
          <w:szCs w:val="32"/>
          <w:lang w:val="en-US" w:eastAsia="zh-CN"/>
          <w:highlight w:val="auto"/>
        </w:rPr>
        <w:t>-1.55</w:t>
      </w:r>
      <w:r>
        <w:rPr>
          <w:rFonts w:ascii="仿宋_GB2312" w:eastAsia="仿宋_GB2312" w:cs="仿宋_GB2312" w:hint="eastAsia"/>
          <w:bCs/>
          <w:color w:val="000000"/>
          <w:sz w:val="32"/>
          <w:szCs w:val="32"/>
          <w:highlight w:val="auto"/>
        </w:rPr>
        <w:t>%。主要变动原因是</w:t>
      </w:r>
      <w:r>
        <w:rPr>
          <w:rFonts w:ascii="仿宋_GB2312" w:eastAsia="仿宋_GB2312"/>
          <w:color w:val="000000"/>
          <w:sz w:val="32"/>
          <w:szCs w:val="32"/>
          <w:highlight w:val="auto"/>
        </w:rPr>
        <w:t>2022年较上年减少了</w:t>
      </w:r>
      <w:r>
        <w:rPr>
          <w:rFonts w:ascii="仿宋_GB2312" w:eastAsia="仿宋_GB2312"/>
          <w:color w:val="000000"/>
          <w:sz w:val="32"/>
          <w:szCs w:val="32"/>
        </w:rPr>
        <w:t>优质粮工程建设等项目</w:t>
      </w:r>
      <w:r>
        <w:rPr>
          <w:rFonts w:ascii="仿宋_GB2312" w:eastAsia="仿宋_GB2312" w:hint="eastAsia"/>
          <w:color w:val="000000"/>
          <w:sz w:val="32"/>
          <w:szCs w:val="32"/>
          <w:highlight w:val="auto"/>
        </w:rPr>
        <w:t>。</w:t>
      </w:r>
    </w:p>
    <w:p>
      <w:pPr>
        <w:pStyle w:val="18"/>
        <w:shd w:val="clear" w:color="auto" w:fill="FFFFFF"/>
      </w:pPr>
      <w:r>
        <w:t>（图5：一般公共预算财政拨款支出决算变动情况）（柱状图）</w:t>
      </w:r>
    </w:p>
    <w:p>
      <w:pPr>
        <w:pStyle w:val="18"/>
        <w:shd w:val="clear" w:color="auto" w:fill="FFFFFF"/>
      </w:pPr>
      <w:r>
        <w:t> </w:t>
      </w:r>
      <w:r>
        <w:drawing>
          <wp:inline distT="0" distB="0" distL="85723" distR="85723">
            <wp:extent cx="4581455" cy="2743157"/>
            <wp:effectExtent l="0" t="1" r="0" b="0"/>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581455" cy="2743157"/>
                    </a:xfrm>
                    <a:prstGeom prst="rect"/>
                    <a:noFill/>
                    <a:ln w="9525" cmpd="sng" cap="flat">
                      <a:noFill/>
                      <a:prstDash val="solid"/>
                      <a:miter/>
                    </a:ln>
                  </pic:spPr>
                </pic:pic>
              </a:graphicData>
            </a:graphic>
          </wp:inline>
        </w:drawing>
      </w:r>
    </w:p>
    <w:p>
      <w:pPr>
        <w:pStyle w:val="18"/>
        <w:shd w:val="clear" w:color="auto" w:fill="FFFFFF"/>
        <w:outlineLvl w:val="2"/>
        <w:rPr>
          <w:sz w:val="32"/>
          <w:szCs w:val="32"/>
        </w:rPr>
      </w:pPr>
      <w:bookmarkStart w:id="19" w:name="_Toc72938306"/>
      <w:r>
        <w:rPr>
          <w:rStyle w:val="19"/>
          <w:sz w:val="32"/>
          <w:szCs w:val="32"/>
        </w:rPr>
        <w:t>（二）一般公共预算财政拨款支出决算结构情况</w:t>
      </w:r>
      <w:bookmarkEnd w:id="19"/>
    </w:p>
    <w:p>
      <w:pPr>
        <w:pStyle w:val="18"/>
        <w:shd w:val="clear" w:color="auto" w:fill="FFFFFF"/>
        <w:ind w:firstLineChars="200" w:firstLine="640"/>
      </w:pPr>
      <w:r>
        <w:rPr>
          <w:rFonts w:ascii="仿宋_GB2312" w:eastAsia="仿宋_GB2312" w:cs="宋体" w:hint="eastAsia"/>
          <w:b w:val="0"/>
          <w:bCs w:val="0"/>
          <w:color w:val="000000"/>
          <w:kern w:val="0"/>
          <w:sz w:val="32"/>
          <w:szCs w:val="32"/>
          <w:shd w:val="clear" w:color="auto" w:fill="FFFFFF"/>
          <w:lang w:val="en-US" w:eastAsia="zh-CN"/>
        </w:rPr>
        <w:t>202</w:t>
      </w:r>
      <w:r>
        <w:rPr>
          <w:rFonts w:ascii="仿宋_GB2312" w:eastAsia="仿宋_GB2312" w:cs="宋体"/>
          <w:b w:val="0"/>
          <w:bCs w:val="0"/>
          <w:color w:val="000000"/>
          <w:kern w:val="0"/>
          <w:sz w:val="32"/>
          <w:szCs w:val="32"/>
          <w:shd w:val="clear" w:color="auto" w:fill="FFFFFF"/>
          <w:lang w:val="en-US" w:eastAsia="zh-CN"/>
        </w:rPr>
        <w:t>2</w:t>
      </w:r>
      <w:r>
        <w:rPr>
          <w:rFonts w:ascii="仿宋_GB2312" w:eastAsia="仿宋_GB2312" w:cs="宋体" w:hint="eastAsia"/>
          <w:b w:val="0"/>
          <w:bCs w:val="0"/>
          <w:color w:val="000000"/>
          <w:kern w:val="0"/>
          <w:sz w:val="32"/>
          <w:szCs w:val="32"/>
          <w:shd w:val="clear" w:color="auto" w:fill="FFFFFF"/>
          <w:lang w:val="en-US" w:eastAsia="zh-CN"/>
        </w:rPr>
        <w:t>年一般公共预算财政拨款支出4,</w:t>
      </w:r>
      <w:r>
        <w:rPr>
          <w:rFonts w:ascii="仿宋_GB2312" w:eastAsia="仿宋_GB2312" w:cs="宋体"/>
          <w:b w:val="0"/>
          <w:bCs w:val="0"/>
          <w:color w:val="000000"/>
          <w:kern w:val="0"/>
          <w:sz w:val="32"/>
          <w:szCs w:val="32"/>
          <w:shd w:val="clear" w:color="auto" w:fill="FFFFFF"/>
          <w:lang w:val="en-US" w:eastAsia="zh-CN"/>
        </w:rPr>
        <w:t>803.90</w:t>
      </w:r>
      <w:r>
        <w:rPr>
          <w:rFonts w:ascii="仿宋_GB2312" w:eastAsia="仿宋_GB2312" w:cs="宋体" w:hint="eastAsia"/>
          <w:b w:val="0"/>
          <w:bCs w:val="0"/>
          <w:color w:val="000000"/>
          <w:kern w:val="0"/>
          <w:sz w:val="32"/>
          <w:szCs w:val="32"/>
          <w:shd w:val="clear" w:color="auto" w:fill="FFFFFF"/>
          <w:lang w:val="en-US" w:eastAsia="zh-CN"/>
        </w:rPr>
        <w:t>万元，主要用于以下方面:</w:t>
      </w:r>
      <w:r>
        <w:rPr>
          <w:rStyle w:val="19"/>
          <w:sz w:val="32"/>
          <w:szCs w:val="32"/>
        </w:rPr>
        <w:t>一般公共服务</w:t>
      </w:r>
      <w:r>
        <w:rPr>
          <w:rStyle w:val="19"/>
          <w:rFonts w:ascii="Calibri" w:eastAsia="宋体" w:cs="Arial" w:hAnsi="Calibri" w:hint="eastAsia"/>
          <w:sz w:val="32"/>
          <w:szCs w:val="32"/>
          <w:lang w:val="en-US" w:eastAsia="zh-CN"/>
        </w:rPr>
        <w:t>支出</w:t>
      </w:r>
      <w:r>
        <w:rPr>
          <w:rStyle w:val="19"/>
          <w:sz w:val="32"/>
          <w:szCs w:val="32"/>
        </w:rPr>
        <w:t>（</w:t>
      </w:r>
      <w:r>
        <w:rPr>
          <w:rStyle w:val="19"/>
          <w:rFonts w:hint="eastAsia"/>
          <w:sz w:val="32"/>
          <w:szCs w:val="32"/>
          <w:lang w:val="en-US" w:eastAsia="zh-CN"/>
        </w:rPr>
        <w:t>201</w:t>
      </w:r>
      <w:r>
        <w:rPr>
          <w:rStyle w:val="19"/>
          <w:sz w:val="32"/>
          <w:szCs w:val="32"/>
        </w:rPr>
        <w:t>）</w:t>
      </w:r>
      <w:r>
        <w:rPr>
          <w:rFonts w:ascii="仿宋_GB2312" w:eastAsia="仿宋_GB2312" w:cs="宋体" w:hint="eastAsia"/>
          <w:b w:val="0"/>
          <w:bCs w:val="0"/>
          <w:color w:val="000000"/>
          <w:kern w:val="0"/>
          <w:sz w:val="32"/>
          <w:szCs w:val="32"/>
          <w:shd w:val="clear" w:color="auto" w:fill="FFFFFF"/>
          <w:lang w:val="en-US" w:eastAsia="zh-CN"/>
        </w:rPr>
        <w:t>4,</w:t>
      </w:r>
      <w:r>
        <w:rPr>
          <w:rFonts w:ascii="仿宋_GB2312" w:eastAsia="仿宋_GB2312" w:cs="宋体"/>
          <w:b w:val="0"/>
          <w:bCs w:val="0"/>
          <w:color w:val="000000"/>
          <w:kern w:val="0"/>
          <w:sz w:val="32"/>
          <w:szCs w:val="32"/>
          <w:shd w:val="clear" w:color="auto" w:fill="FFFFFF"/>
          <w:lang w:val="en-US" w:eastAsia="zh-CN"/>
        </w:rPr>
        <w:t>136.18</w:t>
      </w:r>
      <w:r>
        <w:rPr>
          <w:rFonts w:ascii="仿宋_GB2312" w:eastAsia="仿宋_GB2312" w:cs="宋体" w:hint="eastAsia"/>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86.10</w:t>
      </w:r>
      <w:r>
        <w:rPr>
          <w:rFonts w:ascii="仿宋_GB2312" w:eastAsia="仿宋_GB2312" w:cs="宋体" w:hint="eastAsia"/>
          <w:b w:val="0"/>
          <w:bCs w:val="0"/>
          <w:color w:val="000000"/>
          <w:kern w:val="0"/>
          <w:sz w:val="32"/>
          <w:szCs w:val="32"/>
          <w:shd w:val="clear" w:color="auto" w:fill="FFFFFF"/>
          <w:lang w:val="en-US" w:eastAsia="zh-CN"/>
        </w:rPr>
        <w:t>%；</w:t>
      </w:r>
      <w:r>
        <w:rPr>
          <w:rStyle w:val="19"/>
          <w:sz w:val="32"/>
          <w:szCs w:val="32"/>
        </w:rPr>
        <w:t>教育支出（</w:t>
      </w:r>
      <w:r>
        <w:rPr>
          <w:rStyle w:val="19"/>
          <w:rFonts w:hint="eastAsia"/>
          <w:sz w:val="32"/>
          <w:szCs w:val="32"/>
          <w:lang w:val="en-US" w:eastAsia="zh-CN"/>
        </w:rPr>
        <w:t>205</w:t>
      </w:r>
      <w:r>
        <w:rPr>
          <w:rStyle w:val="19"/>
          <w:sz w:val="32"/>
          <w:szCs w:val="32"/>
        </w:rPr>
        <w:t>）</w:t>
      </w:r>
      <w:r>
        <w:rPr>
          <w:rFonts w:ascii="仿宋_GB2312" w:eastAsia="仿宋_GB2312" w:cs="宋体" w:hint="eastAsia"/>
          <w:b w:val="0"/>
          <w:bCs w:val="0"/>
          <w:color w:val="000000"/>
          <w:kern w:val="0"/>
          <w:sz w:val="32"/>
          <w:szCs w:val="32"/>
          <w:shd w:val="clear" w:color="auto" w:fill="FFFFFF"/>
          <w:lang w:val="en-US" w:eastAsia="zh-CN"/>
        </w:rPr>
        <w:t>0.00万元，占0.</w:t>
      </w:r>
      <w:r>
        <w:rPr>
          <w:rFonts w:ascii="仿宋_GB2312" w:eastAsia="仿宋_GB2312" w:cs="宋体"/>
          <w:b w:val="0"/>
          <w:bCs w:val="0"/>
          <w:color w:val="000000"/>
          <w:kern w:val="0"/>
          <w:sz w:val="32"/>
          <w:szCs w:val="32"/>
          <w:shd w:val="clear" w:color="auto" w:fill="FFFFFF"/>
          <w:lang w:val="en-US" w:eastAsia="zh-CN"/>
        </w:rPr>
        <w:t>00</w:t>
      </w:r>
      <w:r>
        <w:rPr>
          <w:rFonts w:ascii="仿宋_GB2312" w:eastAsia="仿宋_GB2312" w:cs="宋体" w:hint="eastAsia"/>
          <w:b w:val="0"/>
          <w:bCs w:val="0"/>
          <w:color w:val="000000"/>
          <w:kern w:val="0"/>
          <w:sz w:val="32"/>
          <w:szCs w:val="32"/>
          <w:shd w:val="clear" w:color="auto" w:fill="FFFFFF"/>
          <w:lang w:val="en-US" w:eastAsia="zh-CN"/>
        </w:rPr>
        <w:t>%；</w:t>
      </w:r>
      <w:r>
        <w:rPr>
          <w:rStyle w:val="19"/>
          <w:sz w:val="32"/>
          <w:szCs w:val="32"/>
        </w:rPr>
        <w:t>科学技术</w:t>
      </w:r>
      <w:r>
        <w:rPr>
          <w:rStyle w:val="19"/>
          <w:rFonts w:ascii="Calibri" w:eastAsia="宋体" w:cs="Arial" w:hAnsi="Calibri" w:hint="eastAsia"/>
          <w:sz w:val="32"/>
          <w:szCs w:val="32"/>
          <w:lang w:val="en-US" w:eastAsia="zh-CN"/>
        </w:rPr>
        <w:t>支出</w:t>
      </w:r>
      <w:r>
        <w:rPr>
          <w:rStyle w:val="19"/>
          <w:sz w:val="32"/>
          <w:szCs w:val="32"/>
        </w:rPr>
        <w:t>（</w:t>
      </w:r>
      <w:r>
        <w:rPr>
          <w:rStyle w:val="19"/>
          <w:rFonts w:hint="eastAsia"/>
          <w:sz w:val="32"/>
          <w:szCs w:val="32"/>
          <w:lang w:val="en-US" w:eastAsia="zh-CN"/>
        </w:rPr>
        <w:t>206</w:t>
      </w:r>
      <w:r>
        <w:rPr>
          <w:rStyle w:val="19"/>
          <w:sz w:val="32"/>
          <w:szCs w:val="32"/>
        </w:rPr>
        <w:t>）</w:t>
      </w:r>
      <w:r>
        <w:rPr>
          <w:rFonts w:ascii="仿宋_GB2312" w:eastAsia="仿宋_GB2312" w:cs="宋体" w:hint="eastAsia"/>
          <w:b w:val="0"/>
          <w:bCs w:val="0"/>
          <w:color w:val="000000"/>
          <w:kern w:val="0"/>
          <w:sz w:val="32"/>
          <w:szCs w:val="32"/>
          <w:shd w:val="clear" w:color="auto" w:fill="FFFFFF"/>
          <w:lang w:val="en-US" w:eastAsia="zh-CN"/>
        </w:rPr>
        <w:t>0.00万元，占0.00%；</w:t>
      </w:r>
      <w:r>
        <w:rPr>
          <w:rStyle w:val="19"/>
          <w:sz w:val="32"/>
          <w:szCs w:val="32"/>
        </w:rPr>
        <w:t>文化旅游体育与传媒支出（</w:t>
      </w:r>
      <w:r>
        <w:rPr>
          <w:rStyle w:val="19"/>
          <w:rFonts w:hint="eastAsia"/>
          <w:sz w:val="32"/>
          <w:szCs w:val="32"/>
          <w:lang w:val="en-US" w:eastAsia="zh-CN"/>
        </w:rPr>
        <w:t>207</w:t>
      </w:r>
      <w:r>
        <w:rPr>
          <w:rStyle w:val="19"/>
          <w:sz w:val="32"/>
          <w:szCs w:val="32"/>
        </w:rPr>
        <w:t>）0.00万元，占0.00%；社会保障和就业</w:t>
      </w:r>
      <w:r>
        <w:rPr>
          <w:rStyle w:val="19"/>
          <w:rFonts w:ascii="Calibri" w:eastAsia="宋体" w:cs="Arial" w:hAnsi="Calibri" w:hint="eastAsia"/>
          <w:sz w:val="32"/>
          <w:szCs w:val="32"/>
          <w:lang w:val="en-US" w:eastAsia="zh-CN"/>
        </w:rPr>
        <w:t>支出</w:t>
      </w:r>
      <w:r>
        <w:rPr>
          <w:rStyle w:val="19"/>
          <w:sz w:val="32"/>
          <w:szCs w:val="32"/>
        </w:rPr>
        <w:t>（</w:t>
      </w:r>
      <w:r>
        <w:rPr>
          <w:rStyle w:val="19"/>
          <w:rFonts w:hint="eastAsia"/>
          <w:sz w:val="32"/>
          <w:szCs w:val="32"/>
          <w:lang w:val="en-US" w:eastAsia="zh-CN"/>
        </w:rPr>
        <w:t>208</w:t>
      </w:r>
      <w:r>
        <w:rPr>
          <w:rStyle w:val="19"/>
          <w:sz w:val="32"/>
          <w:szCs w:val="32"/>
        </w:rPr>
        <w:t>）</w:t>
      </w:r>
      <w:r>
        <w:rPr>
          <w:rFonts w:ascii="仿宋_GB2312" w:eastAsia="仿宋_GB2312" w:cs="宋体"/>
          <w:b w:val="0"/>
          <w:bCs w:val="0"/>
          <w:color w:val="000000"/>
          <w:kern w:val="0"/>
          <w:sz w:val="32"/>
          <w:szCs w:val="32"/>
          <w:shd w:val="clear" w:color="auto" w:fill="FFFFFF"/>
          <w:lang w:val="en-US" w:eastAsia="zh-CN"/>
        </w:rPr>
        <w:t>330.88</w:t>
      </w:r>
      <w:r>
        <w:rPr>
          <w:rFonts w:ascii="仿宋_GB2312" w:eastAsia="仿宋_GB2312" w:cs="宋体" w:hint="eastAsia"/>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6.89</w:t>
      </w:r>
      <w:r>
        <w:rPr>
          <w:rFonts w:ascii="仿宋_GB2312" w:eastAsia="仿宋_GB2312" w:cs="宋体" w:hint="eastAsia"/>
          <w:b w:val="0"/>
          <w:bCs w:val="0"/>
          <w:color w:val="000000"/>
          <w:kern w:val="0"/>
          <w:sz w:val="32"/>
          <w:szCs w:val="32"/>
          <w:shd w:val="clear" w:color="auto" w:fill="FFFFFF"/>
          <w:lang w:val="en-US" w:eastAsia="zh-CN"/>
        </w:rPr>
        <w:t>%；</w:t>
      </w:r>
      <w:r>
        <w:rPr>
          <w:rStyle w:val="19"/>
          <w:sz w:val="32"/>
          <w:szCs w:val="32"/>
        </w:rPr>
        <w:t>卫生健康支出</w:t>
      </w:r>
      <w:r>
        <w:rPr>
          <w:rStyle w:val="19"/>
          <w:rFonts w:hint="eastAsia"/>
          <w:sz w:val="32"/>
          <w:szCs w:val="32"/>
          <w:lang w:eastAsia="zh-CN"/>
        </w:rPr>
        <w:t>（</w:t>
      </w:r>
      <w:r>
        <w:rPr>
          <w:rStyle w:val="19"/>
          <w:rFonts w:hint="eastAsia"/>
          <w:sz w:val="32"/>
          <w:szCs w:val="32"/>
          <w:lang w:val="en-US" w:eastAsia="zh-CN"/>
        </w:rPr>
        <w:t>210</w:t>
      </w:r>
      <w:r>
        <w:rPr>
          <w:rStyle w:val="19"/>
          <w:rFonts w:hint="eastAsia"/>
          <w:sz w:val="32"/>
          <w:szCs w:val="32"/>
          <w:lang w:eastAsia="zh-CN"/>
        </w:rPr>
        <w:t>）</w:t>
      </w:r>
      <w:r>
        <w:rPr>
          <w:rFonts w:ascii="仿宋_GB2312" w:eastAsia="仿宋_GB2312" w:cs="宋体"/>
          <w:b w:val="0"/>
          <w:bCs w:val="0"/>
          <w:color w:val="000000"/>
          <w:kern w:val="0"/>
          <w:sz w:val="32"/>
          <w:szCs w:val="32"/>
          <w:shd w:val="clear" w:color="auto" w:fill="FFFFFF"/>
          <w:lang w:val="en-US" w:eastAsia="zh-CN"/>
        </w:rPr>
        <w:t>113.45</w:t>
      </w:r>
      <w:r>
        <w:rPr>
          <w:rFonts w:ascii="仿宋_GB2312" w:eastAsia="仿宋_GB2312" w:cs="宋体" w:hint="eastAsia"/>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2.36</w:t>
      </w:r>
      <w:r>
        <w:rPr>
          <w:rFonts w:ascii="仿宋_GB2312" w:eastAsia="仿宋_GB2312" w:cs="宋体" w:hint="eastAsia"/>
          <w:b w:val="0"/>
          <w:bCs w:val="0"/>
          <w:color w:val="000000"/>
          <w:kern w:val="0"/>
          <w:sz w:val="32"/>
          <w:szCs w:val="32"/>
          <w:shd w:val="clear" w:color="auto" w:fill="FFFFFF"/>
          <w:lang w:val="en-US" w:eastAsia="zh-CN"/>
        </w:rPr>
        <w:t>%；</w:t>
      </w:r>
      <w:r>
        <w:rPr>
          <w:rStyle w:val="19"/>
          <w:rFonts w:ascii="Calibri" w:eastAsia="宋体" w:cs="Arial" w:hAnsi="Calibri" w:hint="eastAsia"/>
          <w:sz w:val="32"/>
          <w:szCs w:val="32"/>
          <w:lang w:val="en-US" w:eastAsia="zh-CN"/>
        </w:rPr>
        <w:t>住房保障支出（221）</w:t>
      </w:r>
      <w:r>
        <w:rPr>
          <w:rFonts w:ascii="仿宋_GB2312" w:eastAsia="仿宋_GB2312" w:cs="宋体"/>
          <w:b w:val="0"/>
          <w:bCs w:val="0"/>
          <w:color w:val="000000"/>
          <w:kern w:val="0"/>
          <w:sz w:val="32"/>
          <w:szCs w:val="32"/>
          <w:shd w:val="clear" w:color="auto" w:fill="FFFFFF"/>
          <w:lang w:val="en-US" w:eastAsia="zh-CN"/>
        </w:rPr>
        <w:t>183.71</w:t>
      </w:r>
      <w:r>
        <w:rPr>
          <w:rFonts w:ascii="仿宋_GB2312" w:eastAsia="仿宋_GB2312" w:cs="宋体" w:hint="eastAsia"/>
          <w:b w:val="0"/>
          <w:bCs w:val="0"/>
          <w:color w:val="000000"/>
          <w:kern w:val="0"/>
          <w:sz w:val="32"/>
          <w:szCs w:val="32"/>
          <w:shd w:val="clear" w:color="auto" w:fill="FFFFFF"/>
          <w:lang w:val="en-US" w:eastAsia="zh-CN"/>
        </w:rPr>
        <w:t>万元，占3.8</w:t>
      </w:r>
      <w:r>
        <w:rPr>
          <w:rFonts w:ascii="仿宋_GB2312" w:eastAsia="仿宋_GB2312" w:cs="宋体"/>
          <w:b w:val="0"/>
          <w:bCs w:val="0"/>
          <w:color w:val="000000"/>
          <w:kern w:val="0"/>
          <w:sz w:val="32"/>
          <w:szCs w:val="32"/>
          <w:shd w:val="clear" w:color="auto" w:fill="FFFFFF"/>
          <w:lang w:val="en-US" w:eastAsia="zh-CN"/>
        </w:rPr>
        <w:t>2</w:t>
      </w:r>
      <w:r>
        <w:rPr>
          <w:rFonts w:ascii="仿宋_GB2312" w:eastAsia="仿宋_GB2312" w:cs="宋体" w:hint="eastAsia"/>
          <w:b w:val="0"/>
          <w:bCs w:val="0"/>
          <w:color w:val="000000"/>
          <w:kern w:val="0"/>
          <w:sz w:val="32"/>
          <w:szCs w:val="32"/>
          <w:shd w:val="clear" w:color="auto" w:fill="FFFFFF"/>
          <w:lang w:val="en-US" w:eastAsia="zh-CN"/>
        </w:rPr>
        <w:t>%</w:t>
      </w:r>
      <w:r>
        <w:rPr>
          <w:rFonts w:ascii="仿宋_GB2312" w:eastAsia="仿宋_GB2312" w:cs="宋体"/>
          <w:b w:val="0"/>
          <w:bCs w:val="0"/>
          <w:color w:val="000000"/>
          <w:kern w:val="0"/>
          <w:sz w:val="32"/>
          <w:szCs w:val="32"/>
          <w:shd w:val="clear" w:color="auto" w:fill="FFFFFF"/>
          <w:lang w:val="en-US" w:eastAsia="zh-CN"/>
        </w:rPr>
        <w:t>；</w:t>
      </w:r>
      <w:r>
        <w:rPr>
          <w:rStyle w:val="19"/>
          <w:rFonts w:ascii="仿宋_GB2312" w:eastAsia="仿宋_GB2312"/>
          <w:sz w:val="32"/>
          <w:szCs w:val="32"/>
          <w:highlight w:val="auto"/>
        </w:rPr>
        <w:t>粮油物资储备支出</w:t>
      </w:r>
      <w:r>
        <w:rPr>
          <w:rStyle w:val="19"/>
          <w:rFonts w:ascii="仿宋_GB2312" w:eastAsia="仿宋_GB2312" w:hint="eastAsia"/>
          <w:sz w:val="32"/>
          <w:szCs w:val="32"/>
          <w:highlight w:val="auto"/>
        </w:rPr>
        <w:t>（22</w:t>
      </w:r>
      <w:r>
        <w:rPr>
          <w:rStyle w:val="19"/>
          <w:rFonts w:ascii="仿宋_GB2312" w:eastAsia="仿宋_GB2312"/>
          <w:sz w:val="32"/>
          <w:szCs w:val="32"/>
          <w:highlight w:val="auto"/>
        </w:rPr>
        <w:t>2</w:t>
      </w:r>
      <w:r>
        <w:rPr>
          <w:rStyle w:val="19"/>
          <w:rFonts w:ascii="仿宋_GB2312" w:eastAsia="仿宋_GB2312" w:hint="eastAsia"/>
          <w:sz w:val="32"/>
          <w:szCs w:val="32"/>
          <w:highlight w:val="auto"/>
        </w:rPr>
        <w:t>）</w:t>
      </w:r>
      <w:r>
        <w:rPr>
          <w:rFonts w:ascii="仿宋_GB2312" w:eastAsia="仿宋_GB2312"/>
          <w:sz w:val="32"/>
          <w:szCs w:val="32"/>
          <w:highlight w:val="auto"/>
        </w:rPr>
        <w:t>39.68</w:t>
      </w:r>
      <w:r>
        <w:rPr>
          <w:rFonts w:ascii="仿宋_GB2312" w:eastAsia="仿宋_GB2312" w:hint="eastAsia"/>
          <w:sz w:val="32"/>
          <w:szCs w:val="32"/>
          <w:highlight w:val="auto"/>
        </w:rPr>
        <w:t>万元，占</w:t>
      </w:r>
      <w:r>
        <w:rPr>
          <w:rFonts w:ascii="仿宋_GB2312" w:eastAsia="仿宋_GB2312"/>
          <w:sz w:val="32"/>
          <w:szCs w:val="32"/>
          <w:highlight w:val="auto"/>
        </w:rPr>
        <w:t>0.83</w:t>
      </w:r>
      <w:r>
        <w:rPr>
          <w:rFonts w:ascii="仿宋_GB2312" w:eastAsia="仿宋_GB2312" w:hint="eastAsia"/>
          <w:sz w:val="32"/>
          <w:szCs w:val="32"/>
          <w:highlight w:val="auto"/>
        </w:rPr>
        <w:t>%</w:t>
      </w:r>
      <w:r>
        <w:rPr>
          <w:rFonts w:ascii="仿宋_GB2312" w:eastAsia="仿宋_GB2312" w:cs="宋体" w:hint="eastAsia"/>
          <w:b w:val="0"/>
          <w:bCs w:val="0"/>
          <w:color w:val="000000"/>
          <w:kern w:val="0"/>
          <w:sz w:val="32"/>
          <w:szCs w:val="32"/>
          <w:shd w:val="clear" w:color="auto" w:fill="FFFFFF"/>
          <w:lang w:val="en-US" w:eastAsia="zh-CN"/>
        </w:rPr>
        <w:t>。</w:t>
      </w:r>
    </w:p>
    <w:p>
      <w:pPr>
        <w:pStyle w:val="18"/>
        <w:shd w:val="clear" w:color="auto" w:fill="FFFFFF"/>
      </w:pPr>
      <w:r>
        <w:rPr>
          <w:rStyle w:val="19"/>
        </w:rPr>
        <w:t>（注：数据来源于财决01-1表，仅罗列本部门涉及的全部功能分类科目，至类级。）</w:t>
      </w:r>
    </w:p>
    <w:p>
      <w:pPr>
        <w:pStyle w:val="18"/>
        <w:shd w:val="clear" w:color="auto" w:fill="FFFFFF"/>
      </w:pPr>
      <w:r>
        <w:t>（图6：一般公共预算财政拨款支出决算结构）（饼状图）</w:t>
      </w:r>
    </w:p>
    <w:p>
      <w:pPr>
        <w:pStyle w:val="18"/>
        <w:shd w:val="clear" w:color="auto" w:fill="FFFFFF"/>
      </w:pPr>
      <w:r>
        <w:t> </w:t>
      </w:r>
      <w:r>
        <w:drawing>
          <wp:inline distT="0" distB="0" distL="85723" distR="85723">
            <wp:extent cx="4076638" cy="2905080"/>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4076638" cy="2905080"/>
                    </a:xfrm>
                    <a:prstGeom prst="rect"/>
                    <a:noFill/>
                    <a:ln w="9525" cmpd="sng" cap="flat">
                      <a:noFill/>
                      <a:prstDash val="solid"/>
                      <a:miter/>
                    </a:ln>
                  </pic:spPr>
                </pic:pic>
              </a:graphicData>
            </a:graphic>
          </wp:inline>
        </w:drawing>
      </w:r>
    </w:p>
    <w:p>
      <w:pPr>
        <w:pStyle w:val="18"/>
        <w:shd w:val="clear" w:color="auto" w:fill="FFFFFF"/>
        <w:outlineLvl w:val="2"/>
        <w:rPr>
          <w:sz w:val="32"/>
          <w:szCs w:val="32"/>
        </w:rPr>
      </w:pPr>
      <w:bookmarkStart w:id="20" w:name="_Toc72938307"/>
      <w:r>
        <w:rPr>
          <w:rStyle w:val="19"/>
          <w:sz w:val="32"/>
          <w:szCs w:val="32"/>
        </w:rPr>
        <w:t>（三）一般公共预算财政拨款支出决算具体情况</w:t>
      </w:r>
      <w:bookmarkEnd w:id="20"/>
    </w:p>
    <w:p>
      <w:pPr>
        <w:pStyle w:val="18"/>
        <w:shd w:val="clear" w:color="auto" w:fill="FFFFFF"/>
        <w:ind w:firstLineChars="200" w:firstLine="640"/>
        <w:rPr>
          <w:rStyle w:val="19"/>
          <w:rFonts w:ascii="仿宋_GB2312" w:eastAsia="仿宋_GB2312" w:cs="Arial" w:hint="eastAsia"/>
          <w:bCs/>
          <w:color w:val="000000"/>
          <w:sz w:val="32"/>
          <w:szCs w:val="32"/>
          <w:highlight w:val="auto"/>
        </w:rPr>
      </w:pPr>
      <w:r>
        <w:rPr>
          <w:rStyle w:val="19"/>
          <w:rFonts w:ascii="仿宋_GB2312" w:eastAsia="仿宋_GB2312" w:cs="Arial" w:hint="eastAsia"/>
          <w:bCs/>
          <w:color w:val="000000"/>
          <w:sz w:val="32"/>
          <w:szCs w:val="32"/>
          <w:highlight w:val="auto"/>
        </w:rPr>
        <w:t>202</w:t>
      </w:r>
      <w:r>
        <w:rPr>
          <w:rStyle w:val="19"/>
          <w:rFonts w:ascii="仿宋_GB2312" w:eastAsia="仿宋_GB2312" w:cs="Arial"/>
          <w:bCs/>
          <w:color w:val="000000"/>
          <w:sz w:val="32"/>
          <w:szCs w:val="32"/>
          <w:highlight w:val="auto"/>
        </w:rPr>
        <w:t>2</w:t>
      </w:r>
      <w:r>
        <w:rPr>
          <w:rStyle w:val="19"/>
          <w:rFonts w:ascii="仿宋_GB2312" w:eastAsia="仿宋_GB2312" w:cs="Arial" w:hint="eastAsia"/>
          <w:bCs/>
          <w:color w:val="000000"/>
          <w:sz w:val="32"/>
          <w:szCs w:val="32"/>
          <w:highlight w:val="auto"/>
        </w:rPr>
        <w:t>年一般公共预算支出决算数为4,8</w:t>
      </w:r>
      <w:r>
        <w:rPr>
          <w:rStyle w:val="19"/>
          <w:rFonts w:ascii="仿宋_GB2312" w:eastAsia="仿宋_GB2312" w:cs="Arial"/>
          <w:bCs/>
          <w:color w:val="000000"/>
          <w:sz w:val="32"/>
          <w:szCs w:val="32"/>
          <w:highlight w:val="auto"/>
        </w:rPr>
        <w:t>03.90万元</w:t>
      </w:r>
      <w:r>
        <w:rPr>
          <w:rStyle w:val="19"/>
          <w:rFonts w:ascii="仿宋_GB2312" w:eastAsia="仿宋_GB2312" w:cs="Arial" w:hint="eastAsia"/>
          <w:bCs/>
          <w:color w:val="000000"/>
          <w:sz w:val="32"/>
          <w:szCs w:val="32"/>
          <w:highlight w:val="auto"/>
        </w:rPr>
        <w:t>，完成预算100.00%。其中：</w:t>
      </w:r>
    </w:p>
    <w:p>
      <w:pPr>
        <w:pStyle w:val="18"/>
        <w:shd w:val="clear" w:color="auto" w:fill="FFFFFF"/>
        <w:ind w:firstLineChars="200" w:firstLine="640"/>
        <w:rPr>
          <w:rFonts w:ascii="仿宋_GB2312" w:eastAsia="仿宋_GB2312" w:hint="eastAsia"/>
          <w:sz w:val="32"/>
          <w:szCs w:val="32"/>
          <w:highlight w:val="auto"/>
        </w:rPr>
      </w:pPr>
      <w:r>
        <w:rPr>
          <w:rStyle w:val="19"/>
          <w:rFonts w:ascii="仿宋_GB2312" w:eastAsia="仿宋_GB2312" w:hint="eastAsia"/>
          <w:sz w:val="32"/>
          <w:szCs w:val="32"/>
          <w:highlight w:val="auto"/>
        </w:rPr>
        <w:t>1.</w:t>
      </w:r>
      <w:r>
        <w:rPr>
          <w:rStyle w:val="19"/>
          <w:rFonts w:ascii="仿宋_GB2312" w:eastAsia="仿宋_GB2312" w:hint="eastAsia"/>
          <w:bCs/>
          <w:color w:val="000000"/>
          <w:sz w:val="32"/>
          <w:szCs w:val="32"/>
          <w:highlight w:val="auto"/>
        </w:rPr>
        <w:t>一般公共服务（201）发展与改革事务（04）行政运行（01）:</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lang w:val="en-US" w:eastAsia="zh-CN"/>
          <w:highlight w:val="auto"/>
        </w:rPr>
        <w:t>2,433.80</w:t>
      </w:r>
      <w:r>
        <w:rPr>
          <w:rStyle w:val="19"/>
          <w:rFonts w:ascii="仿宋_GB2312" w:eastAsia="仿宋_GB2312" w:hint="eastAsia"/>
          <w:b w:val="0"/>
          <w:bCs/>
          <w:color w:val="000000"/>
          <w:sz w:val="32"/>
          <w:szCs w:val="32"/>
          <w:highlight w:val="auto"/>
        </w:rPr>
        <w:t>万元，完成预算100%，决算数等于预算数；</w:t>
      </w:r>
      <w:r>
        <w:rPr>
          <w:rStyle w:val="19"/>
          <w:rFonts w:ascii="仿宋_GB2312" w:eastAsia="仿宋_GB2312" w:hint="eastAsia"/>
          <w:bCs/>
          <w:color w:val="000000"/>
          <w:sz w:val="32"/>
          <w:szCs w:val="32"/>
          <w:highlight w:val="auto"/>
        </w:rPr>
        <w:t>一般公共服务（201）发展与改革事务（04）一般行政管理事务（02）:</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lang w:val="en-US" w:eastAsia="zh-CN"/>
          <w:highlight w:val="auto"/>
        </w:rPr>
        <w:t>826.18</w:t>
      </w:r>
      <w:r>
        <w:rPr>
          <w:rStyle w:val="19"/>
          <w:rFonts w:ascii="仿宋_GB2312" w:eastAsia="仿宋_GB2312" w:hint="eastAsia"/>
          <w:b w:val="0"/>
          <w:bCs/>
          <w:color w:val="000000"/>
          <w:sz w:val="32"/>
          <w:szCs w:val="32"/>
          <w:highlight w:val="auto"/>
        </w:rPr>
        <w:t>万元，完成预算100%，决算数等于预算数；</w:t>
      </w:r>
      <w:r>
        <w:rPr>
          <w:rStyle w:val="19"/>
          <w:rFonts w:ascii="仿宋_GB2312" w:eastAsia="仿宋_GB2312" w:hint="eastAsia"/>
          <w:color w:val="000000"/>
          <w:sz w:val="32"/>
          <w:szCs w:val="32"/>
          <w:highlight w:val="auto"/>
        </w:rPr>
        <w:t>一般公共服务（201）发展与改革事务（04）事业运行（50）:</w:t>
      </w:r>
      <w:r>
        <w:rPr>
          <w:rStyle w:val="19"/>
          <w:rFonts w:ascii="仿宋" w:eastAsia="仿宋" w:hint="eastAsia"/>
          <w:b w:val="0"/>
          <w:bCs/>
          <w:color w:val="000000"/>
          <w:sz w:val="32"/>
          <w:szCs w:val="32"/>
          <w:highlight w:val="auto"/>
        </w:rPr>
        <w:t>支出决算为</w:t>
      </w:r>
      <w:r>
        <w:rPr>
          <w:rStyle w:val="19"/>
          <w:rFonts w:ascii="仿宋" w:eastAsia="仿宋"/>
          <w:b w:val="0"/>
          <w:bCs/>
          <w:color w:val="000000"/>
          <w:sz w:val="32"/>
          <w:szCs w:val="32"/>
          <w:highlight w:val="auto"/>
        </w:rPr>
        <w:t>460.50</w:t>
      </w:r>
      <w:r>
        <w:rPr>
          <w:rStyle w:val="19"/>
          <w:rFonts w:ascii="仿宋" w:eastAsia="仿宋" w:hint="eastAsia"/>
          <w:b w:val="0"/>
          <w:bCs/>
          <w:color w:val="000000"/>
          <w:sz w:val="32"/>
          <w:szCs w:val="32"/>
          <w:highlight w:val="auto"/>
        </w:rPr>
        <w:t>万元，完成预算</w:t>
      </w:r>
      <w:r>
        <w:rPr>
          <w:rStyle w:val="19"/>
          <w:rFonts w:ascii="仿宋" w:eastAsia="仿宋"/>
          <w:b w:val="0"/>
          <w:bCs/>
          <w:color w:val="000000"/>
          <w:sz w:val="32"/>
          <w:szCs w:val="32"/>
          <w:highlight w:val="auto"/>
        </w:rPr>
        <w:t>100%</w:t>
      </w:r>
      <w:r>
        <w:rPr>
          <w:rStyle w:val="19"/>
          <w:rFonts w:ascii="仿宋" w:eastAsia="仿宋" w:hint="eastAsia"/>
          <w:b w:val="0"/>
          <w:bCs/>
          <w:color w:val="000000"/>
          <w:sz w:val="32"/>
          <w:szCs w:val="32"/>
          <w:highlight w:val="auto"/>
        </w:rPr>
        <w:t>，决算数等于预算数</w:t>
      </w:r>
      <w:r>
        <w:rPr>
          <w:rStyle w:val="19"/>
          <w:rFonts w:ascii="仿宋" w:eastAsia="仿宋" w:hint="eastAsia"/>
          <w:b w:val="0"/>
          <w:bCs/>
          <w:color w:val="000000"/>
          <w:sz w:val="32"/>
          <w:szCs w:val="32"/>
          <w:lang w:eastAsia="zh-CN"/>
          <w:highlight w:val="auto"/>
        </w:rPr>
        <w:t>；</w:t>
      </w:r>
      <w:r>
        <w:rPr>
          <w:rStyle w:val="19"/>
          <w:rFonts w:ascii="仿宋_GB2312" w:eastAsia="仿宋_GB2312" w:hint="eastAsia"/>
          <w:bCs/>
          <w:color w:val="000000"/>
          <w:sz w:val="32"/>
          <w:szCs w:val="32"/>
          <w:highlight w:val="auto"/>
        </w:rPr>
        <w:t>一般公共服务（201）发展与改革事务（04）其他发展与改革事务支出（99）:</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highlight w:val="auto"/>
        </w:rPr>
        <w:t>415.70</w:t>
      </w:r>
      <w:r>
        <w:rPr>
          <w:rStyle w:val="19"/>
          <w:rFonts w:ascii="仿宋_GB2312" w:eastAsia="仿宋_GB2312" w:hint="eastAsia"/>
          <w:b w:val="0"/>
          <w:bCs/>
          <w:color w:val="000000"/>
          <w:sz w:val="32"/>
          <w:szCs w:val="32"/>
          <w:highlight w:val="auto"/>
        </w:rPr>
        <w:t>万元，完成预算100%，决算数等于预算数。</w:t>
      </w:r>
    </w:p>
    <w:p>
      <w:pPr>
        <w:pStyle w:val="18"/>
        <w:shd w:val="clear" w:color="auto" w:fill="FFFFFF"/>
        <w:ind w:firstLineChars="200" w:firstLine="640"/>
        <w:rPr>
          <w:rFonts w:ascii="仿宋_GB2312" w:eastAsia="仿宋_GB2312" w:hint="eastAsia"/>
          <w:sz w:val="32"/>
          <w:szCs w:val="32"/>
          <w:highlight w:val="auto"/>
        </w:rPr>
      </w:pPr>
      <w:r>
        <w:rPr>
          <w:rStyle w:val="19"/>
          <w:rFonts w:ascii="仿宋_GB2312" w:eastAsia="仿宋_GB2312"/>
          <w:sz w:val="32"/>
          <w:szCs w:val="32"/>
          <w:highlight w:val="auto"/>
        </w:rPr>
        <w:t>2</w:t>
      </w:r>
      <w:r>
        <w:rPr>
          <w:rStyle w:val="19"/>
          <w:rFonts w:ascii="仿宋_GB2312" w:eastAsia="仿宋_GB2312" w:hint="eastAsia"/>
          <w:sz w:val="32"/>
          <w:szCs w:val="32"/>
          <w:highlight w:val="auto"/>
        </w:rPr>
        <w:t>.</w:t>
      </w:r>
      <w:r>
        <w:rPr>
          <w:rStyle w:val="19"/>
          <w:rFonts w:ascii="仿宋_GB2312" w:eastAsia="仿宋_GB2312" w:hint="eastAsia"/>
          <w:bCs/>
          <w:color w:val="000000"/>
          <w:sz w:val="32"/>
          <w:szCs w:val="32"/>
          <w:highlight w:val="auto"/>
        </w:rPr>
        <w:t>社会保障和就业（208）行政事业单位养老支出（05）机关事业单位基本养老保险缴费支出（05）:</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lang w:val="en-US" w:eastAsia="zh-CN"/>
          <w:highlight w:val="auto"/>
        </w:rPr>
        <w:t>219.57</w:t>
      </w:r>
      <w:r>
        <w:rPr>
          <w:rStyle w:val="19"/>
          <w:rFonts w:ascii="仿宋_GB2312" w:eastAsia="仿宋_GB2312" w:hint="eastAsia"/>
          <w:b w:val="0"/>
          <w:bCs/>
          <w:color w:val="000000"/>
          <w:sz w:val="32"/>
          <w:szCs w:val="32"/>
          <w:highlight w:val="auto"/>
        </w:rPr>
        <w:t>万元，完成预算100%，决算数等于预算数；</w:t>
      </w:r>
      <w:r>
        <w:rPr>
          <w:rStyle w:val="19"/>
          <w:rFonts w:ascii="仿宋_GB2312" w:eastAsia="仿宋_GB2312" w:hint="eastAsia"/>
          <w:bCs/>
          <w:color w:val="000000"/>
          <w:sz w:val="32"/>
          <w:szCs w:val="32"/>
          <w:highlight w:val="auto"/>
        </w:rPr>
        <w:t>社会保障和就业（208）行政事业单位养老支出（05）机关事业单位职业年金缴费支出（06）:</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lang w:val="en-US" w:eastAsia="zh-CN"/>
          <w:highlight w:val="auto"/>
        </w:rPr>
        <w:t>111.31</w:t>
      </w:r>
      <w:r>
        <w:rPr>
          <w:rStyle w:val="19"/>
          <w:rFonts w:ascii="仿宋_GB2312" w:eastAsia="仿宋_GB2312" w:hint="eastAsia"/>
          <w:b w:val="0"/>
          <w:bCs/>
          <w:color w:val="000000"/>
          <w:sz w:val="32"/>
          <w:szCs w:val="32"/>
          <w:highlight w:val="auto"/>
        </w:rPr>
        <w:t>万元，完成预算100%，决算数等于预算数。</w:t>
      </w:r>
    </w:p>
    <w:p>
      <w:pPr>
        <w:pStyle w:val="18"/>
        <w:shd w:val="clear" w:color="auto" w:fill="FFFFFF"/>
        <w:ind w:firstLineChars="200" w:firstLine="640"/>
        <w:rPr>
          <w:rFonts w:ascii="仿宋_GB2312" w:eastAsia="仿宋_GB2312" w:hint="eastAsia"/>
          <w:sz w:val="32"/>
          <w:szCs w:val="32"/>
          <w:highlight w:val="auto"/>
        </w:rPr>
      </w:pPr>
      <w:r>
        <w:rPr>
          <w:rStyle w:val="19"/>
          <w:rFonts w:ascii="仿宋_GB2312" w:eastAsia="仿宋_GB2312"/>
          <w:sz w:val="32"/>
          <w:szCs w:val="32"/>
          <w:highlight w:val="auto"/>
        </w:rPr>
        <w:t>3</w:t>
      </w:r>
      <w:r>
        <w:rPr>
          <w:rStyle w:val="19"/>
          <w:rFonts w:ascii="仿宋_GB2312" w:eastAsia="仿宋_GB2312" w:hint="eastAsia"/>
          <w:sz w:val="32"/>
          <w:szCs w:val="32"/>
          <w:highlight w:val="auto"/>
        </w:rPr>
        <w:t>.</w:t>
      </w:r>
      <w:r>
        <w:rPr>
          <w:rFonts w:ascii="仿宋_GB2312" w:eastAsia="仿宋_GB2312" w:hint="eastAsia"/>
          <w:b/>
          <w:bCs/>
          <w:color w:val="000000"/>
          <w:sz w:val="32"/>
          <w:szCs w:val="32"/>
          <w:highlight w:val="auto"/>
        </w:rPr>
        <w:t>卫生健康</w:t>
      </w:r>
      <w:r>
        <w:rPr>
          <w:rStyle w:val="19"/>
          <w:rFonts w:ascii="仿宋_GB2312" w:eastAsia="仿宋_GB2312" w:hint="eastAsia"/>
          <w:bCs/>
          <w:color w:val="000000"/>
          <w:sz w:val="32"/>
          <w:szCs w:val="32"/>
          <w:highlight w:val="auto"/>
        </w:rPr>
        <w:t>（210）行政事业单位医疗（11）行政单位医疗（01）:</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lang w:val="en-US" w:eastAsia="zh-CN"/>
          <w:highlight w:val="auto"/>
        </w:rPr>
        <w:t>70.70</w:t>
      </w:r>
      <w:r>
        <w:rPr>
          <w:rStyle w:val="19"/>
          <w:rFonts w:ascii="仿宋_GB2312" w:eastAsia="仿宋_GB2312" w:hint="eastAsia"/>
          <w:b w:val="0"/>
          <w:bCs/>
          <w:color w:val="000000"/>
          <w:sz w:val="32"/>
          <w:szCs w:val="32"/>
          <w:highlight w:val="auto"/>
        </w:rPr>
        <w:t>万元，完成预算100%，决算数等于预算数；</w:t>
      </w:r>
      <w:r>
        <w:rPr>
          <w:rFonts w:ascii="仿宋_GB2312" w:eastAsia="仿宋_GB2312" w:hint="eastAsia"/>
          <w:b/>
          <w:bCs/>
          <w:color w:val="000000"/>
          <w:sz w:val="32"/>
          <w:szCs w:val="32"/>
          <w:highlight w:val="auto"/>
        </w:rPr>
        <w:t>卫生健康</w:t>
      </w:r>
      <w:r>
        <w:rPr>
          <w:rStyle w:val="0"/>
          <w:rFonts w:ascii="仿宋_GB2312" w:eastAsia="仿宋_GB2312" w:hint="eastAsia"/>
          <w:b/>
          <w:bCs/>
          <w:color w:val="000000"/>
          <w:sz w:val="32"/>
          <w:szCs w:val="32"/>
          <w:highlight w:val="auto"/>
        </w:rPr>
        <w:t>（210）行政事业单位医疗（11）事业单位医疗（02）:</w:t>
      </w:r>
      <w:r>
        <w:rPr>
          <w:rStyle w:val="19"/>
          <w:rFonts w:ascii="仿宋" w:eastAsia="仿宋" w:hint="eastAsia"/>
          <w:b w:val="0"/>
          <w:bCs/>
          <w:color w:val="000000"/>
          <w:sz w:val="32"/>
          <w:szCs w:val="32"/>
          <w:highlight w:val="auto"/>
        </w:rPr>
        <w:t>支出决算为</w:t>
      </w:r>
      <w:r>
        <w:rPr>
          <w:rStyle w:val="19"/>
          <w:rFonts w:ascii="仿宋" w:eastAsia="仿宋"/>
          <w:b w:val="0"/>
          <w:bCs/>
          <w:color w:val="000000"/>
          <w:sz w:val="32"/>
          <w:szCs w:val="32"/>
          <w:highlight w:val="auto"/>
        </w:rPr>
        <w:t>15.82</w:t>
      </w:r>
      <w:r>
        <w:rPr>
          <w:rStyle w:val="19"/>
          <w:rFonts w:ascii="仿宋" w:eastAsia="仿宋" w:hint="eastAsia"/>
          <w:b w:val="0"/>
          <w:bCs/>
          <w:color w:val="000000"/>
          <w:sz w:val="32"/>
          <w:szCs w:val="32"/>
          <w:highlight w:val="auto"/>
        </w:rPr>
        <w:t>万元，完成预算</w:t>
      </w:r>
      <w:r>
        <w:rPr>
          <w:rStyle w:val="19"/>
          <w:rFonts w:ascii="仿宋" w:eastAsia="仿宋"/>
          <w:b w:val="0"/>
          <w:bCs/>
          <w:color w:val="000000"/>
          <w:sz w:val="32"/>
          <w:szCs w:val="32"/>
          <w:highlight w:val="auto"/>
        </w:rPr>
        <w:t>100%</w:t>
      </w:r>
      <w:r>
        <w:rPr>
          <w:rStyle w:val="19"/>
          <w:rFonts w:ascii="仿宋" w:eastAsia="仿宋" w:hint="eastAsia"/>
          <w:b w:val="0"/>
          <w:bCs/>
          <w:color w:val="000000"/>
          <w:sz w:val="32"/>
          <w:szCs w:val="32"/>
          <w:highlight w:val="auto"/>
        </w:rPr>
        <w:t>，决算数等于预算数</w:t>
      </w:r>
      <w:r>
        <w:rPr>
          <w:rStyle w:val="19"/>
          <w:rFonts w:ascii="仿宋" w:eastAsia="仿宋"/>
          <w:b w:val="0"/>
          <w:bCs/>
          <w:color w:val="000000"/>
          <w:sz w:val="32"/>
          <w:szCs w:val="32"/>
          <w:highlight w:val="auto"/>
        </w:rPr>
        <w:t>；</w:t>
      </w:r>
      <w:r>
        <w:rPr>
          <w:rFonts w:ascii="仿宋_GB2312" w:eastAsia="仿宋_GB2312" w:hint="eastAsia"/>
          <w:b/>
          <w:bCs/>
          <w:color w:val="000000"/>
          <w:sz w:val="32"/>
          <w:szCs w:val="32"/>
          <w:highlight w:val="auto"/>
        </w:rPr>
        <w:t>卫生健康</w:t>
      </w:r>
      <w:r>
        <w:rPr>
          <w:rStyle w:val="19"/>
          <w:rFonts w:ascii="仿宋_GB2312" w:eastAsia="仿宋_GB2312" w:hint="eastAsia"/>
          <w:bCs/>
          <w:color w:val="000000"/>
          <w:sz w:val="32"/>
          <w:szCs w:val="32"/>
          <w:highlight w:val="auto"/>
        </w:rPr>
        <w:t>（210）行政事业单位医疗（11）公务员医疗补助（03）:</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highlight w:val="auto"/>
        </w:rPr>
        <w:t>23.47</w:t>
      </w:r>
      <w:r>
        <w:rPr>
          <w:rStyle w:val="19"/>
          <w:rFonts w:ascii="仿宋_GB2312" w:eastAsia="仿宋_GB2312" w:hint="eastAsia"/>
          <w:b w:val="0"/>
          <w:bCs/>
          <w:color w:val="000000"/>
          <w:sz w:val="32"/>
          <w:szCs w:val="32"/>
          <w:highlight w:val="auto"/>
        </w:rPr>
        <w:t>万元，完成预算100%，决算数等于预算数</w:t>
      </w:r>
      <w:r>
        <w:rPr>
          <w:rStyle w:val="19"/>
          <w:rFonts w:ascii="仿宋_GB2312" w:eastAsia="仿宋_GB2312" w:hint="eastAsia"/>
          <w:b w:val="0"/>
          <w:bCs/>
          <w:color w:val="000000"/>
          <w:sz w:val="32"/>
          <w:szCs w:val="32"/>
          <w:lang w:eastAsia="zh-CN"/>
          <w:highlight w:val="auto"/>
        </w:rPr>
        <w:t>；</w:t>
      </w:r>
      <w:r>
        <w:rPr>
          <w:rFonts w:ascii="仿宋_GB2312" w:eastAsia="仿宋_GB2312" w:hint="eastAsia"/>
          <w:b/>
          <w:bCs/>
          <w:color w:val="000000"/>
          <w:sz w:val="32"/>
          <w:szCs w:val="32"/>
          <w:highlight w:val="auto"/>
        </w:rPr>
        <w:t>卫生健康</w:t>
      </w:r>
      <w:r>
        <w:rPr>
          <w:rStyle w:val="0"/>
          <w:rFonts w:ascii="仿宋_GB2312" w:eastAsia="仿宋_GB2312" w:hint="eastAsia"/>
          <w:b/>
          <w:bCs/>
          <w:color w:val="000000"/>
          <w:sz w:val="32"/>
          <w:szCs w:val="32"/>
          <w:highlight w:val="auto"/>
        </w:rPr>
        <w:t>（210）行政事业单位医疗（11）其他行政事业单位医疗支出（99）:</w:t>
      </w:r>
      <w:r>
        <w:rPr>
          <w:rStyle w:val="19"/>
          <w:rFonts w:ascii="仿宋" w:eastAsia="仿宋" w:hint="eastAsia"/>
          <w:b w:val="0"/>
          <w:bCs/>
          <w:color w:val="000000"/>
          <w:sz w:val="32"/>
          <w:szCs w:val="32"/>
          <w:highlight w:val="auto"/>
        </w:rPr>
        <w:t>支出决算为</w:t>
      </w:r>
      <w:r>
        <w:rPr>
          <w:rStyle w:val="19"/>
          <w:rFonts w:ascii="仿宋" w:eastAsia="仿宋"/>
          <w:b w:val="0"/>
          <w:bCs/>
          <w:color w:val="000000"/>
          <w:sz w:val="32"/>
          <w:szCs w:val="32"/>
          <w:highlight w:val="auto"/>
        </w:rPr>
        <w:t>3.46</w:t>
      </w:r>
      <w:r>
        <w:rPr>
          <w:rStyle w:val="19"/>
          <w:rFonts w:ascii="仿宋" w:eastAsia="仿宋" w:hint="eastAsia"/>
          <w:b w:val="0"/>
          <w:bCs/>
          <w:color w:val="000000"/>
          <w:sz w:val="32"/>
          <w:szCs w:val="32"/>
          <w:highlight w:val="auto"/>
        </w:rPr>
        <w:t>万元，完成预算</w:t>
      </w:r>
      <w:r>
        <w:rPr>
          <w:rStyle w:val="19"/>
          <w:rFonts w:ascii="仿宋" w:eastAsia="仿宋"/>
          <w:b w:val="0"/>
          <w:bCs/>
          <w:color w:val="000000"/>
          <w:sz w:val="32"/>
          <w:szCs w:val="32"/>
          <w:highlight w:val="auto"/>
        </w:rPr>
        <w:t>100%</w:t>
      </w:r>
      <w:r>
        <w:rPr>
          <w:rStyle w:val="19"/>
          <w:rFonts w:ascii="仿宋" w:eastAsia="仿宋" w:hint="eastAsia"/>
          <w:b w:val="0"/>
          <w:bCs/>
          <w:color w:val="000000"/>
          <w:sz w:val="32"/>
          <w:szCs w:val="32"/>
          <w:highlight w:val="auto"/>
        </w:rPr>
        <w:t>，决算数等于预算数</w:t>
      </w:r>
      <w:r>
        <w:rPr>
          <w:rStyle w:val="19"/>
          <w:rFonts w:ascii="仿宋_GB2312" w:eastAsia="仿宋_GB2312" w:hint="eastAsia"/>
          <w:b w:val="0"/>
          <w:bCs/>
          <w:color w:val="000000"/>
          <w:sz w:val="32"/>
          <w:szCs w:val="32"/>
          <w:highlight w:val="auto"/>
        </w:rPr>
        <w:t>。</w:t>
      </w:r>
    </w:p>
    <w:p>
      <w:pPr>
        <w:pStyle w:val="18"/>
        <w:shd w:val="clear" w:color="auto" w:fill="FFFFFF"/>
        <w:ind w:firstLineChars="200" w:firstLine="640"/>
        <w:rPr>
          <w:rStyle w:val="19"/>
          <w:rFonts w:ascii="仿宋_GB2312" w:eastAsia="仿宋_GB2312"/>
          <w:b w:val="0"/>
          <w:bCs/>
          <w:color w:val="000000"/>
          <w:sz w:val="32"/>
          <w:szCs w:val="32"/>
          <w:highlight w:val="auto"/>
        </w:rPr>
      </w:pPr>
      <w:r>
        <w:rPr>
          <w:rStyle w:val="19"/>
          <w:rFonts w:ascii="仿宋_GB2312" w:eastAsia="仿宋_GB2312"/>
          <w:sz w:val="32"/>
          <w:szCs w:val="32"/>
          <w:highlight w:val="auto"/>
        </w:rPr>
        <w:t>4</w:t>
      </w:r>
      <w:r>
        <w:rPr>
          <w:rStyle w:val="19"/>
          <w:rFonts w:ascii="仿宋_GB2312" w:eastAsia="仿宋_GB2312" w:hint="eastAsia"/>
          <w:sz w:val="32"/>
          <w:szCs w:val="32"/>
          <w:highlight w:val="auto"/>
        </w:rPr>
        <w:t>.</w:t>
      </w:r>
      <w:r>
        <w:rPr>
          <w:rStyle w:val="19"/>
          <w:rFonts w:ascii="仿宋_GB2312" w:eastAsia="仿宋_GB2312" w:hint="eastAsia"/>
          <w:bCs/>
          <w:color w:val="000000"/>
          <w:sz w:val="32"/>
          <w:szCs w:val="32"/>
          <w:highlight w:val="auto"/>
        </w:rPr>
        <w:t>住房保障支出（221）住房改革支出（02）住房公积金（01）:</w:t>
      </w:r>
      <w:r>
        <w:rPr>
          <w:rStyle w:val="19"/>
          <w:rFonts w:ascii="仿宋_GB2312" w:eastAsia="仿宋_GB2312" w:hint="eastAsia"/>
          <w:b w:val="0"/>
          <w:bCs/>
          <w:color w:val="000000"/>
          <w:sz w:val="32"/>
          <w:szCs w:val="32"/>
          <w:highlight w:val="auto"/>
        </w:rPr>
        <w:t>支出决算为</w:t>
      </w:r>
      <w:r>
        <w:rPr>
          <w:rStyle w:val="19"/>
          <w:rFonts w:ascii="仿宋_GB2312" w:eastAsia="仿宋_GB2312"/>
          <w:b w:val="0"/>
          <w:bCs/>
          <w:color w:val="000000"/>
          <w:sz w:val="32"/>
          <w:szCs w:val="32"/>
          <w:lang w:val="en-US" w:eastAsia="zh-CN"/>
          <w:highlight w:val="auto"/>
        </w:rPr>
        <w:t>183.71</w:t>
      </w:r>
      <w:r>
        <w:rPr>
          <w:rStyle w:val="19"/>
          <w:rFonts w:ascii="仿宋_GB2312" w:eastAsia="仿宋_GB2312" w:hint="eastAsia"/>
          <w:b w:val="0"/>
          <w:bCs/>
          <w:color w:val="000000"/>
          <w:sz w:val="32"/>
          <w:szCs w:val="32"/>
          <w:highlight w:val="auto"/>
        </w:rPr>
        <w:t>万元，完成预算100%，决算数等于预算数。</w:t>
      </w:r>
    </w:p>
    <w:p>
      <w:pPr>
        <w:pStyle w:val="18"/>
        <w:shd w:val="clear" w:color="auto" w:fill="FFFFFF"/>
        <w:ind w:firstLineChars="200" w:firstLine="640"/>
        <w:rPr>
          <w:rFonts w:ascii="仿宋_GB2312" w:eastAsia="仿宋_GB2312" w:hint="eastAsia"/>
          <w:sz w:val="32"/>
          <w:szCs w:val="32"/>
          <w:highlight w:val="auto"/>
        </w:rPr>
      </w:pPr>
      <w:r>
        <w:rPr>
          <w:rStyle w:val="19"/>
          <w:rFonts w:ascii="仿宋_GB2312" w:eastAsia="仿宋_GB2312"/>
          <w:sz w:val="32"/>
          <w:szCs w:val="32"/>
          <w:highlight w:val="auto"/>
        </w:rPr>
        <w:t>5</w:t>
      </w:r>
      <w:r>
        <w:rPr>
          <w:rStyle w:val="19"/>
          <w:rFonts w:ascii="仿宋_GB2312" w:eastAsia="仿宋_GB2312" w:hint="eastAsia"/>
          <w:sz w:val="32"/>
          <w:szCs w:val="32"/>
          <w:highlight w:val="auto"/>
        </w:rPr>
        <w:t>.</w:t>
      </w:r>
      <w:r>
        <w:rPr>
          <w:rStyle w:val="19"/>
          <w:rFonts w:ascii="仿宋_GB2312" w:eastAsia="仿宋_GB2312"/>
          <w:sz w:val="32"/>
          <w:szCs w:val="32"/>
          <w:highlight w:val="auto"/>
        </w:rPr>
        <w:t>粮油物资储备支出</w:t>
      </w:r>
      <w:r>
        <w:rPr>
          <w:rStyle w:val="19"/>
          <w:rFonts w:ascii="仿宋_GB2312" w:eastAsia="仿宋_GB2312" w:hint="eastAsia"/>
          <w:sz w:val="32"/>
          <w:szCs w:val="32"/>
          <w:highlight w:val="auto"/>
        </w:rPr>
        <w:t>（2</w:t>
      </w:r>
      <w:r>
        <w:rPr>
          <w:rStyle w:val="19"/>
          <w:rFonts w:ascii="仿宋_GB2312" w:eastAsia="仿宋_GB2312"/>
          <w:sz w:val="32"/>
          <w:szCs w:val="32"/>
          <w:highlight w:val="auto"/>
        </w:rPr>
        <w:t>22</w:t>
      </w:r>
      <w:r>
        <w:rPr>
          <w:rStyle w:val="19"/>
          <w:rFonts w:ascii="仿宋_GB2312" w:eastAsia="仿宋_GB2312" w:hint="eastAsia"/>
          <w:sz w:val="32"/>
          <w:szCs w:val="32"/>
          <w:highlight w:val="auto"/>
        </w:rPr>
        <w:t>）</w:t>
      </w:r>
      <w:r>
        <w:rPr>
          <w:rStyle w:val="19"/>
          <w:rFonts w:ascii="仿宋_GB2312" w:eastAsia="仿宋_GB2312"/>
          <w:sz w:val="32"/>
          <w:szCs w:val="32"/>
          <w:highlight w:val="auto"/>
        </w:rPr>
        <w:t>粮油物资事务</w:t>
      </w:r>
      <w:r>
        <w:rPr>
          <w:rStyle w:val="19"/>
          <w:rFonts w:ascii="仿宋_GB2312" w:eastAsia="仿宋_GB2312" w:hint="eastAsia"/>
          <w:sz w:val="32"/>
          <w:szCs w:val="32"/>
          <w:highlight w:val="auto"/>
        </w:rPr>
        <w:t>（</w:t>
      </w:r>
      <w:r>
        <w:rPr>
          <w:rStyle w:val="19"/>
          <w:rFonts w:ascii="仿宋_GB2312" w:eastAsia="仿宋_GB2312"/>
          <w:sz w:val="32"/>
          <w:szCs w:val="32"/>
          <w:highlight w:val="auto"/>
        </w:rPr>
        <w:t>01</w:t>
      </w:r>
      <w:r>
        <w:rPr>
          <w:rStyle w:val="19"/>
          <w:rFonts w:ascii="仿宋_GB2312" w:eastAsia="仿宋_GB2312" w:hint="eastAsia"/>
          <w:sz w:val="32"/>
          <w:szCs w:val="32"/>
          <w:highlight w:val="auto"/>
        </w:rPr>
        <w:t>）</w:t>
      </w:r>
      <w:r>
        <w:rPr>
          <w:rStyle w:val="19"/>
          <w:rFonts w:ascii="仿宋_GB2312" w:eastAsia="仿宋_GB2312"/>
          <w:sz w:val="32"/>
          <w:szCs w:val="32"/>
          <w:highlight w:val="auto"/>
        </w:rPr>
        <w:t>其他粮油物资事务支出</w:t>
      </w:r>
      <w:r>
        <w:rPr>
          <w:rStyle w:val="19"/>
          <w:rFonts w:ascii="仿宋_GB2312" w:eastAsia="仿宋_GB2312" w:hint="eastAsia"/>
          <w:sz w:val="32"/>
          <w:szCs w:val="32"/>
          <w:highlight w:val="auto"/>
        </w:rPr>
        <w:t xml:space="preserve">（99）: </w:t>
      </w:r>
      <w:r>
        <w:rPr>
          <w:rStyle w:val="19"/>
          <w:rFonts w:ascii="仿宋_GB2312" w:eastAsia="仿宋_GB2312" w:hint="eastAsia"/>
          <w:b w:val="0"/>
          <w:bCs w:val="0"/>
          <w:sz w:val="32"/>
          <w:szCs w:val="32"/>
          <w:highlight w:val="auto"/>
        </w:rPr>
        <w:t>支出决算为</w:t>
      </w:r>
      <w:r>
        <w:rPr>
          <w:rStyle w:val="19"/>
          <w:rFonts w:ascii="仿宋_GB2312" w:eastAsia="仿宋_GB2312"/>
          <w:b w:val="0"/>
          <w:bCs w:val="0"/>
          <w:sz w:val="32"/>
          <w:szCs w:val="32"/>
          <w:highlight w:val="auto"/>
        </w:rPr>
        <w:t>39.68</w:t>
      </w:r>
      <w:r>
        <w:rPr>
          <w:rStyle w:val="19"/>
          <w:rFonts w:ascii="仿宋_GB2312" w:eastAsia="仿宋_GB2312" w:hint="eastAsia"/>
          <w:b w:val="0"/>
          <w:bCs w:val="0"/>
          <w:sz w:val="32"/>
          <w:szCs w:val="32"/>
          <w:highlight w:val="auto"/>
        </w:rPr>
        <w:t>万元，完成预算100%，决算数等于预算数。</w:t>
      </w:r>
    </w:p>
    <w:p>
      <w:pPr>
        <w:pStyle w:val="18"/>
        <w:shd w:val="clear" w:color="auto" w:fill="FFFFFF"/>
      </w:pPr>
      <w:r>
        <w:rPr>
          <w:rStyle w:val="19"/>
        </w:rPr>
        <w:t>（注：数据来源于财决01-1表和财决08表，仅罗列本部门涉及的全部功能分类科目，至项级。上述“预算”口径为调整预算数。增减变动原因为决算数和调整预算数比较，与预算数持平可以不写原因。）</w:t>
      </w:r>
    </w:p>
    <w:p>
      <w:pPr>
        <w:shd w:val="clear" w:color="auto" w:fill="FFFFFF"/>
        <w:spacing w:before="100" w:beforeAutospacing="1" w:after="100" w:afterAutospacing="1"/>
        <w:ind w:left="360"/>
        <w:outlineLvl w:val="1"/>
        <w:rPr>
          <w:rFonts w:ascii="黑体" w:eastAsia="黑体" w:cs="黑体"/>
          <w:sz w:val="32"/>
          <w:szCs w:val="32"/>
          <w:lang w:val="en-US" w:eastAsia="zh-CN"/>
        </w:rPr>
      </w:pPr>
      <w:bookmarkStart w:id="21" w:name="_Toc72938308"/>
      <w:r>
        <w:rPr>
          <w:rFonts w:ascii="黑体" w:eastAsia="黑体" w:cs="黑体" w:hint="eastAsia"/>
          <w:sz w:val="32"/>
          <w:szCs w:val="32"/>
          <w:lang w:val="en-US" w:eastAsia="zh-CN"/>
        </w:rPr>
        <w:t>六、一般公共预算财政拨款基本支出决算情况说明 </w:t>
      </w:r>
      <w:bookmarkEnd w:id="21"/>
    </w:p>
    <w:p>
      <w:pPr>
        <w:shd w:val="clear" w:color="auto" w:fill="FFFFFF"/>
        <w:spacing w:before="100" w:beforeAutospacing="1" w:after="100" w:afterAutospacing="1"/>
        <w:ind w:left="360"/>
        <w:outlineLvl w:val="1"/>
        <w:rPr>
          <w:rStyle w:val="19"/>
          <w:rFonts w:ascii="仿宋_GB2312" w:eastAsia="仿宋_GB2312" w:cs="Arial" w:hint="eastAsia"/>
          <w:b w:val="0"/>
          <w:bCs/>
          <w:color w:val="000000"/>
          <w:sz w:val="32"/>
          <w:szCs w:val="32"/>
          <w:highlight w:val="auto"/>
        </w:rPr>
      </w:pPr>
      <w:bookmarkStart w:id="22" w:name="_Toc72938309"/>
      <w:r>
        <w:rPr>
          <w:rStyle w:val="19"/>
          <w:rFonts w:ascii="仿宋_GB2312" w:eastAsia="仿宋_GB2312" w:cs="Arial" w:hint="eastAsia"/>
          <w:b w:val="0"/>
          <w:bCs/>
          <w:color w:val="000000"/>
          <w:sz w:val="32"/>
          <w:szCs w:val="32"/>
          <w:highlight w:val="auto"/>
        </w:rPr>
        <w:t>202</w:t>
      </w:r>
      <w:r>
        <w:rPr>
          <w:rStyle w:val="19"/>
          <w:rFonts w:ascii="仿宋_GB2312" w:eastAsia="仿宋_GB2312" w:cs="Arial"/>
          <w:b w:val="0"/>
          <w:bCs/>
          <w:color w:val="000000"/>
          <w:sz w:val="32"/>
          <w:szCs w:val="32"/>
          <w:highlight w:val="auto"/>
        </w:rPr>
        <w:t>2</w:t>
      </w:r>
      <w:r>
        <w:rPr>
          <w:rStyle w:val="19"/>
          <w:rFonts w:ascii="仿宋_GB2312" w:eastAsia="仿宋_GB2312" w:cs="Arial" w:hint="eastAsia"/>
          <w:b w:val="0"/>
          <w:bCs/>
          <w:color w:val="000000"/>
          <w:sz w:val="32"/>
          <w:szCs w:val="32"/>
          <w:highlight w:val="auto"/>
        </w:rPr>
        <w:t>年一般公共预算财政拨款基本支出3,</w:t>
      </w:r>
      <w:r>
        <w:rPr>
          <w:rStyle w:val="19"/>
          <w:rFonts w:ascii="仿宋_GB2312" w:eastAsia="仿宋_GB2312" w:cs="Arial"/>
          <w:b w:val="0"/>
          <w:bCs/>
          <w:color w:val="000000"/>
          <w:sz w:val="32"/>
          <w:szCs w:val="32"/>
          <w:highlight w:val="auto"/>
        </w:rPr>
        <w:t>522.33</w:t>
      </w:r>
      <w:r>
        <w:rPr>
          <w:rStyle w:val="19"/>
          <w:rFonts w:ascii="仿宋_GB2312" w:eastAsia="仿宋_GB2312" w:cs="Arial" w:hint="eastAsia"/>
          <w:b w:val="0"/>
          <w:bCs/>
          <w:color w:val="000000"/>
          <w:sz w:val="32"/>
          <w:szCs w:val="32"/>
          <w:highlight w:val="auto"/>
        </w:rPr>
        <w:t>万元</w:t>
      </w:r>
      <w:r>
        <w:rPr>
          <w:rStyle w:val="19"/>
          <w:rFonts w:ascii="仿宋_GB2312" w:eastAsia="仿宋_GB2312" w:cs="Arial"/>
          <w:b w:val="0"/>
          <w:bCs/>
          <w:color w:val="000000"/>
          <w:sz w:val="32"/>
          <w:szCs w:val="32"/>
          <w:highlight w:val="auto"/>
        </w:rPr>
        <w:t>，</w:t>
      </w:r>
      <w:r>
        <w:rPr>
          <w:rStyle w:val="19"/>
          <w:rFonts w:ascii="仿宋_GB2312" w:eastAsia="仿宋_GB2312" w:cs="Arial" w:hint="eastAsia"/>
          <w:b w:val="0"/>
          <w:bCs/>
          <w:color w:val="000000"/>
          <w:sz w:val="32"/>
          <w:szCs w:val="32"/>
          <w:highlight w:val="auto"/>
        </w:rPr>
        <w:t>其中：</w:t>
      </w:r>
      <w:bookmarkEnd w:id="22"/>
    </w:p>
    <w:p>
      <w:pPr>
        <w:pStyle w:val="18"/>
        <w:shd w:val="clear" w:color="auto" w:fill="FFFFFF"/>
        <w:ind w:firstLineChars="200" w:firstLine="640"/>
        <w:rPr>
          <w:rStyle w:val="19"/>
          <w:rFonts w:ascii="仿宋_GB2312" w:eastAsia="仿宋_GB2312" w:cs="Arial" w:hint="eastAsia"/>
          <w:b w:val="0"/>
          <w:bCs/>
          <w:color w:val="000000"/>
          <w:sz w:val="32"/>
          <w:szCs w:val="32"/>
          <w:highlight w:val="auto"/>
        </w:rPr>
      </w:pPr>
      <w:r>
        <w:rPr>
          <w:rStyle w:val="19"/>
          <w:rFonts w:ascii="仿宋_GB2312" w:eastAsia="仿宋_GB2312" w:cs="Arial" w:hint="eastAsia"/>
          <w:b w:val="0"/>
          <w:bCs/>
          <w:color w:val="000000"/>
          <w:sz w:val="32"/>
          <w:szCs w:val="32"/>
          <w:highlight w:val="auto"/>
        </w:rPr>
        <w:t>人员经费</w:t>
      </w:r>
      <w:r>
        <w:rPr>
          <w:rStyle w:val="19"/>
          <w:rFonts w:ascii="仿宋_GB2312" w:eastAsia="仿宋_GB2312" w:cs="Arial"/>
          <w:b w:val="0"/>
          <w:bCs/>
          <w:color w:val="000000"/>
          <w:sz w:val="32"/>
          <w:szCs w:val="32"/>
          <w:highlight w:val="auto"/>
        </w:rPr>
        <w:t>3</w:t>
      </w:r>
      <w:r>
        <w:rPr>
          <w:rStyle w:val="19"/>
          <w:rFonts w:ascii="仿宋_GB2312" w:eastAsia="仿宋_GB2312" w:cs="Arial" w:hint="eastAsia"/>
          <w:b w:val="0"/>
          <w:bCs/>
          <w:color w:val="000000"/>
          <w:sz w:val="32"/>
          <w:szCs w:val="32"/>
          <w:highlight w:val="auto"/>
        </w:rPr>
        <w:t>,</w:t>
      </w:r>
      <w:r>
        <w:rPr>
          <w:rStyle w:val="19"/>
          <w:rFonts w:ascii="仿宋_GB2312" w:eastAsia="仿宋_GB2312" w:cs="Arial"/>
          <w:b w:val="0"/>
          <w:bCs/>
          <w:color w:val="000000"/>
          <w:sz w:val="32"/>
          <w:szCs w:val="32"/>
          <w:highlight w:val="auto"/>
        </w:rPr>
        <w:t>090.15</w:t>
      </w:r>
      <w:r>
        <w:rPr>
          <w:rStyle w:val="19"/>
          <w:rFonts w:ascii="仿宋_GB2312" w:eastAsia="仿宋_GB2312" w:cs="Arial" w:hint="eastAsia"/>
          <w:b w:val="0"/>
          <w:bCs/>
          <w:color w:val="000000"/>
          <w:sz w:val="32"/>
          <w:szCs w:val="32"/>
          <w:highlight w:val="auto"/>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8"/>
        <w:shd w:val="clear" w:color="auto" w:fill="FFFFFF"/>
        <w:ind w:firstLineChars="200" w:firstLine="640"/>
      </w:pPr>
      <w:r>
        <w:rPr>
          <w:rStyle w:val="19"/>
          <w:rFonts w:ascii="仿宋_GB2312" w:eastAsia="仿宋_GB2312" w:cs="Arial" w:hint="eastAsia"/>
          <w:b w:val="0"/>
          <w:bCs/>
          <w:color w:val="000000"/>
          <w:sz w:val="32"/>
          <w:szCs w:val="32"/>
          <w:highlight w:val="auto"/>
        </w:rPr>
        <w:t>公用经费</w:t>
      </w:r>
      <w:r>
        <w:rPr>
          <w:rStyle w:val="19"/>
          <w:rFonts w:ascii="仿宋_GB2312" w:eastAsia="仿宋_GB2312" w:cs="Arial"/>
          <w:b w:val="0"/>
          <w:bCs/>
          <w:color w:val="000000"/>
          <w:sz w:val="32"/>
          <w:szCs w:val="32"/>
          <w:highlight w:val="auto"/>
        </w:rPr>
        <w:t>432.19</w:t>
      </w:r>
      <w:r>
        <w:rPr>
          <w:rStyle w:val="19"/>
          <w:rFonts w:ascii="仿宋_GB2312" w:eastAsia="仿宋_GB2312" w:cs="Arial" w:hint="eastAsia"/>
          <w:b w:val="0"/>
          <w:bCs/>
          <w:color w:val="000000"/>
          <w:sz w:val="32"/>
          <w:szCs w:val="32"/>
          <w:highlight w:val="auto"/>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8"/>
        <w:shd w:val="clear" w:color="auto" w:fill="FFFFFF"/>
      </w:pPr>
      <w:r>
        <w:rPr>
          <w:rStyle w:val="19"/>
        </w:rPr>
        <w:t>（注：数据来源于财决07表和财决08-1表，仅罗列本部门实际支出涉及的经济分类科目。）</w:t>
      </w:r>
    </w:p>
    <w:p>
      <w:pPr>
        <w:pStyle w:val="18"/>
        <w:shd w:val="clear" w:color="auto" w:fill="FFFFFF"/>
        <w:rPr>
          <w:rFonts w:ascii="黑体" w:eastAsia="黑体" w:cs="黑体" w:hint="eastAsia"/>
          <w:sz w:val="32"/>
          <w:szCs w:val="32"/>
          <w:lang w:val="en-US" w:eastAsia="zh-CN"/>
        </w:rPr>
      </w:pPr>
      <w:r>
        <w:t> </w:t>
      </w:r>
      <w:r>
        <w:rPr>
          <w:rFonts w:ascii="黑体" w:eastAsia="黑体" w:cs="黑体" w:hint="eastAsia"/>
          <w:sz w:val="32"/>
          <w:szCs w:val="32"/>
          <w:lang w:val="en-US" w:eastAsia="zh-CN"/>
        </w:rPr>
        <w:t>七、“三公”经费财政拨款支出决算情况说明</w:t>
      </w:r>
    </w:p>
    <w:p>
      <w:pPr>
        <w:pStyle w:val="18"/>
        <w:shd w:val="clear" w:color="auto" w:fill="FFFFFF"/>
        <w:outlineLvl w:val="2"/>
        <w:rPr>
          <w:sz w:val="32"/>
          <w:szCs w:val="32"/>
        </w:rPr>
      </w:pPr>
      <w:bookmarkStart w:id="23" w:name="_Toc72938310"/>
      <w:r>
        <w:rPr>
          <w:rStyle w:val="19"/>
          <w:sz w:val="32"/>
          <w:szCs w:val="32"/>
        </w:rPr>
        <w:t>（一）“三公”经费财政拨款支出决算总体情况说明</w:t>
      </w:r>
      <w:bookmarkEnd w:id="23"/>
    </w:p>
    <w:p>
      <w:pPr>
        <w:pStyle w:val="18"/>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年“三公”经费财政拨款支出决算为1</w:t>
      </w:r>
      <w:r>
        <w:rPr>
          <w:rFonts w:ascii="仿宋_GB2312" w:eastAsia="仿宋_GB2312"/>
          <w:sz w:val="32"/>
          <w:szCs w:val="32"/>
          <w:highlight w:val="auto"/>
        </w:rPr>
        <w:t>10.59</w:t>
      </w:r>
      <w:r>
        <w:rPr>
          <w:rFonts w:ascii="仿宋_GB2312" w:eastAsia="仿宋_GB2312" w:hint="eastAsia"/>
          <w:sz w:val="32"/>
          <w:szCs w:val="32"/>
          <w:highlight w:val="auto"/>
        </w:rPr>
        <w:t>万元，完成预算</w:t>
      </w:r>
      <w:r>
        <w:rPr>
          <w:rFonts w:ascii="仿宋_GB2312" w:eastAsia="仿宋_GB2312"/>
          <w:sz w:val="32"/>
          <w:szCs w:val="32"/>
          <w:highlight w:val="auto"/>
        </w:rPr>
        <w:t>10</w:t>
      </w:r>
      <w:r>
        <w:rPr>
          <w:rFonts w:ascii="仿宋_GB2312" w:eastAsia="仿宋_GB2312" w:hint="eastAsia"/>
          <w:sz w:val="32"/>
          <w:szCs w:val="32"/>
          <w:highlight w:val="auto"/>
        </w:rPr>
        <w:t>0.00%，决算数与预算数持平。</w:t>
      </w:r>
    </w:p>
    <w:p>
      <w:pPr>
        <w:pStyle w:val="18"/>
        <w:shd w:val="clear" w:color="auto" w:fill="FFFFFF"/>
      </w:pPr>
      <w:r>
        <w:rPr>
          <w:rStyle w:val="19"/>
        </w:rPr>
        <w:t>（注：上述“预算”口径为调整预算数。）</w:t>
      </w:r>
    </w:p>
    <w:p>
      <w:pPr>
        <w:pStyle w:val="18"/>
        <w:shd w:val="clear" w:color="auto" w:fill="FFFFFF"/>
        <w:outlineLvl w:val="2"/>
        <w:rPr>
          <w:sz w:val="32"/>
          <w:szCs w:val="32"/>
        </w:rPr>
      </w:pPr>
      <w:bookmarkStart w:id="24" w:name="_Toc72938311"/>
      <w:r>
        <w:rPr>
          <w:rStyle w:val="19"/>
          <w:sz w:val="32"/>
          <w:szCs w:val="32"/>
        </w:rPr>
        <w:t>（二）“三公”经费财政拨款支出决算具体情况说明</w:t>
      </w:r>
      <w:bookmarkEnd w:id="24"/>
    </w:p>
    <w:p>
      <w:pPr>
        <w:pStyle w:val="18"/>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年“三公”经费财政拨款支出决算中，因公出国（境）费支出决算0.00万元，占0.00%；公务用车购置及运行维护费支出决算1</w:t>
      </w:r>
      <w:r>
        <w:rPr>
          <w:rFonts w:ascii="仿宋_GB2312" w:eastAsia="仿宋_GB2312"/>
          <w:sz w:val="32"/>
          <w:szCs w:val="32"/>
          <w:highlight w:val="auto"/>
        </w:rPr>
        <w:t>08.88</w:t>
      </w:r>
      <w:r>
        <w:rPr>
          <w:rFonts w:ascii="仿宋_GB2312" w:eastAsia="仿宋_GB2312" w:hint="eastAsia"/>
          <w:sz w:val="32"/>
          <w:szCs w:val="32"/>
          <w:highlight w:val="auto"/>
        </w:rPr>
        <w:t>万元，占98.</w:t>
      </w:r>
      <w:r>
        <w:rPr>
          <w:rFonts w:ascii="仿宋_GB2312" w:eastAsia="仿宋_GB2312"/>
          <w:sz w:val="32"/>
          <w:szCs w:val="32"/>
          <w:highlight w:val="auto"/>
        </w:rPr>
        <w:t>45</w:t>
      </w:r>
      <w:r>
        <w:rPr>
          <w:rFonts w:ascii="仿宋_GB2312" w:eastAsia="仿宋_GB2312" w:hint="eastAsia"/>
          <w:sz w:val="32"/>
          <w:szCs w:val="32"/>
          <w:highlight w:val="auto"/>
        </w:rPr>
        <w:t>%；公务接待费支出决算1.</w:t>
      </w:r>
      <w:r>
        <w:rPr>
          <w:rFonts w:ascii="仿宋_GB2312" w:eastAsia="仿宋_GB2312"/>
          <w:sz w:val="32"/>
          <w:szCs w:val="32"/>
          <w:highlight w:val="auto"/>
        </w:rPr>
        <w:t>7</w:t>
      </w:r>
      <w:r>
        <w:rPr>
          <w:rFonts w:ascii="仿宋_GB2312" w:eastAsia="仿宋_GB2312" w:hint="eastAsia"/>
          <w:sz w:val="32"/>
          <w:szCs w:val="32"/>
          <w:highlight w:val="auto"/>
        </w:rPr>
        <w:t>万元，占1.</w:t>
      </w:r>
      <w:r>
        <w:rPr>
          <w:rFonts w:ascii="仿宋_GB2312" w:eastAsia="仿宋_GB2312"/>
          <w:sz w:val="32"/>
          <w:szCs w:val="32"/>
          <w:highlight w:val="auto"/>
        </w:rPr>
        <w:t>55</w:t>
      </w:r>
      <w:r>
        <w:rPr>
          <w:rFonts w:ascii="仿宋_GB2312" w:eastAsia="仿宋_GB2312" w:hint="eastAsia"/>
          <w:sz w:val="32"/>
          <w:szCs w:val="32"/>
          <w:highlight w:val="auto"/>
        </w:rPr>
        <w:t>%。具体情况如下：</w:t>
      </w:r>
    </w:p>
    <w:p>
      <w:pPr>
        <w:pStyle w:val="18"/>
        <w:shd w:val="clear" w:color="auto" w:fill="FFFFFF"/>
      </w:pPr>
      <w:r>
        <w:t>（图7：“三公”经费财政拨款支出结构）（饼状图）</w:t>
      </w:r>
    </w:p>
    <w:p>
      <w:pPr>
        <w:pStyle w:val="18"/>
        <w:shd w:val="clear" w:color="auto" w:fill="FFFFFF"/>
      </w:pPr>
      <w:r>
        <w:drawing>
          <wp:inline distT="0" distB="0" distL="85723" distR="85723">
            <wp:extent cx="3733743" cy="2057368"/>
            <wp:effectExtent l="0" t="0" r="0" b="0"/>
            <wp:docPr id="22" name="图片"/>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3733743" cy="2057368"/>
                    </a:xfrm>
                    <a:prstGeom prst="rect"/>
                    <a:noFill/>
                    <a:ln w="9525" cmpd="sng" cap="flat">
                      <a:noFill/>
                      <a:prstDash val="solid"/>
                      <a:miter/>
                    </a:ln>
                  </pic:spPr>
                </pic:pic>
              </a:graphicData>
            </a:graphic>
          </wp:inline>
        </w:drawing>
      </w:r>
    </w:p>
    <w:p>
      <w:pPr>
        <w:pStyle w:val="18"/>
        <w:shd w:val="clear" w:color="auto" w:fill="FFFFFF"/>
        <w:ind w:firstLineChars="200" w:firstLine="640"/>
        <w:rPr>
          <w:rFonts w:ascii="仿宋_GB2312" w:eastAsia="仿宋_GB2312" w:hint="eastAsia"/>
          <w:sz w:val="32"/>
          <w:szCs w:val="32"/>
          <w:highlight w:val="auto"/>
        </w:rPr>
      </w:pPr>
      <w:r>
        <w:rPr>
          <w:rStyle w:val="19"/>
          <w:rFonts w:ascii="仿宋_GB2312" w:eastAsia="仿宋_GB2312" w:hint="eastAsia"/>
          <w:sz w:val="32"/>
          <w:szCs w:val="32"/>
          <w:highlight w:val="auto"/>
        </w:rPr>
        <w:t>1.因公出国（境）经费支出</w:t>
      </w:r>
      <w:r>
        <w:rPr>
          <w:rFonts w:ascii="仿宋_GB2312" w:eastAsia="仿宋_GB2312" w:hint="eastAsia"/>
          <w:sz w:val="32"/>
          <w:szCs w:val="32"/>
          <w:highlight w:val="auto"/>
        </w:rPr>
        <w:t>0.00万元，</w:t>
      </w:r>
      <w:r>
        <w:rPr>
          <w:rStyle w:val="19"/>
          <w:rFonts w:ascii="仿宋_GB2312" w:eastAsia="仿宋_GB2312" w:hint="eastAsia"/>
          <w:sz w:val="32"/>
          <w:szCs w:val="32"/>
          <w:highlight w:val="auto"/>
        </w:rPr>
        <w:t>完成预算</w:t>
      </w:r>
      <w:r>
        <w:rPr>
          <w:rFonts w:ascii="仿宋_GB2312" w:eastAsia="仿宋_GB2312" w:hint="eastAsia"/>
          <w:sz w:val="32"/>
          <w:szCs w:val="32"/>
          <w:highlight w:val="auto"/>
        </w:rPr>
        <w:t>0.00</w:t>
      </w:r>
      <w:r>
        <w:rPr>
          <w:rStyle w:val="19"/>
          <w:rFonts w:ascii="仿宋_GB2312" w:eastAsia="仿宋_GB2312" w:hint="eastAsia"/>
          <w:sz w:val="32"/>
          <w:szCs w:val="32"/>
          <w:highlight w:val="auto"/>
        </w:rPr>
        <w:t>%。</w:t>
      </w:r>
      <w:r>
        <w:rPr>
          <w:rFonts w:ascii="仿宋_GB2312" w:eastAsia="仿宋_GB2312" w:hint="eastAsia"/>
          <w:sz w:val="32"/>
          <w:szCs w:val="32"/>
          <w:highlight w:val="auto"/>
        </w:rPr>
        <w:t>全年安排因公出国（境）团组0次，出国（境）0人。因公出国（境）支出决算比2020年增加0.00万元，增长0.00%。</w:t>
      </w:r>
    </w:p>
    <w:p>
      <w:pPr>
        <w:pStyle w:val="18"/>
        <w:shd w:val="clear" w:color="auto" w:fill="FFFFFF"/>
      </w:pPr>
      <w:r>
        <w:rPr>
          <w:rFonts w:ascii="仿宋_GB2312" w:eastAsia="仿宋_GB2312" w:hint="eastAsia"/>
          <w:sz w:val="32"/>
          <w:szCs w:val="32"/>
          <w:highlight w:val="auto"/>
        </w:rPr>
        <w:t>开支内容包括：无（团组名称、出访地点、取得成效）等。</w:t>
      </w:r>
    </w:p>
    <w:p>
      <w:pPr>
        <w:pStyle w:val="18"/>
        <w:shd w:val="clear" w:color="auto" w:fill="FFFFFF"/>
        <w:ind w:firstLineChars="200" w:firstLine="640"/>
      </w:pPr>
      <w:r>
        <w:rPr>
          <w:rStyle w:val="19"/>
          <w:rFonts w:ascii="仿宋_GB2312" w:eastAsia="仿宋_GB2312" w:cs="Arial" w:hint="eastAsia"/>
          <w:sz w:val="32"/>
          <w:szCs w:val="32"/>
          <w:highlight w:val="auto"/>
        </w:rPr>
        <w:t>2.公务用车购置及运行维护费支出1</w:t>
      </w:r>
      <w:r>
        <w:rPr>
          <w:rStyle w:val="19"/>
          <w:rFonts w:ascii="仿宋_GB2312" w:eastAsia="仿宋_GB2312" w:cs="Arial"/>
          <w:sz w:val="32"/>
          <w:szCs w:val="32"/>
          <w:highlight w:val="auto"/>
        </w:rPr>
        <w:t>08.88</w:t>
      </w:r>
      <w:r>
        <w:rPr>
          <w:rStyle w:val="19"/>
          <w:rFonts w:ascii="仿宋_GB2312" w:eastAsia="仿宋_GB2312" w:cs="Arial" w:hint="eastAsia"/>
          <w:sz w:val="32"/>
          <w:szCs w:val="32"/>
          <w:highlight w:val="auto"/>
        </w:rPr>
        <w:t>万元,完成预算0.00%。</w:t>
      </w:r>
      <w:r>
        <w:rPr>
          <w:rFonts w:ascii="仿宋_GB2312" w:eastAsia="仿宋_GB2312" w:cs="仿宋_GB2312" w:hint="eastAsia"/>
          <w:sz w:val="32"/>
          <w:szCs w:val="32"/>
        </w:rPr>
        <w:t>公务用车购置及运行维护费支出决算比202</w:t>
      </w:r>
      <w:r>
        <w:rPr>
          <w:rFonts w:ascii="仿宋_GB2312" w:eastAsia="仿宋_GB2312" w:cs="仿宋_GB2312"/>
          <w:sz w:val="32"/>
          <w:szCs w:val="32"/>
        </w:rPr>
        <w:t>1</w:t>
      </w:r>
      <w:r>
        <w:rPr>
          <w:rFonts w:ascii="仿宋_GB2312" w:eastAsia="仿宋_GB2312" w:cs="仿宋_GB2312" w:hint="eastAsia"/>
          <w:sz w:val="32"/>
          <w:szCs w:val="32"/>
        </w:rPr>
        <w:t>年增加</w:t>
      </w:r>
      <w:r>
        <w:rPr>
          <w:rFonts w:ascii="仿宋_GB2312" w:eastAsia="仿宋_GB2312" w:cs="仿宋_GB2312"/>
          <w:sz w:val="32"/>
          <w:szCs w:val="32"/>
          <w:lang w:val="en-US" w:eastAsia="zh-CN"/>
        </w:rPr>
        <w:t>-67.87</w:t>
      </w:r>
      <w:r>
        <w:rPr>
          <w:rFonts w:ascii="仿宋_GB2312" w:eastAsia="仿宋_GB2312" w:cs="仿宋_GB2312" w:hint="eastAsia"/>
          <w:sz w:val="32"/>
          <w:szCs w:val="32"/>
        </w:rPr>
        <w:t>万元，增长</w:t>
      </w:r>
      <w:r>
        <w:rPr>
          <w:rFonts w:ascii="仿宋_GB2312" w:eastAsia="仿宋_GB2312" w:cs="仿宋_GB2312"/>
          <w:sz w:val="32"/>
          <w:szCs w:val="32"/>
        </w:rPr>
        <w:t>-</w:t>
      </w:r>
      <w:r>
        <w:rPr>
          <w:rFonts w:ascii="仿宋_GB2312" w:eastAsia="仿宋_GB2312" w:cs="仿宋_GB2312"/>
          <w:sz w:val="32"/>
          <w:szCs w:val="32"/>
          <w:lang w:val="en-US" w:eastAsia="zh-CN"/>
        </w:rPr>
        <w:t>38.40</w:t>
      </w:r>
      <w:r>
        <w:rPr>
          <w:rFonts w:ascii="仿宋_GB2312" w:eastAsia="仿宋_GB2312" w:cs="仿宋_GB2312" w:hint="eastAsia"/>
          <w:sz w:val="32"/>
          <w:szCs w:val="32"/>
        </w:rPr>
        <w:t>%。主要原因是</w:t>
      </w:r>
      <w:r>
        <w:rPr>
          <w:rFonts w:ascii="仿宋_GB2312" w:eastAsia="仿宋_GB2312" w:hint="eastAsia"/>
          <w:sz w:val="32"/>
          <w:szCs w:val="32"/>
          <w:highlight w:val="auto"/>
        </w:rPr>
        <w:t>2021年购置</w:t>
      </w:r>
      <w:r>
        <w:rPr>
          <w:rFonts w:ascii="仿宋_GB2312" w:eastAsia="仿宋_GB2312"/>
          <w:sz w:val="32"/>
          <w:szCs w:val="32"/>
          <w:highlight w:val="auto"/>
        </w:rPr>
        <w:t>1辆越野型公务用车</w:t>
      </w:r>
      <w:r>
        <w:rPr>
          <w:rFonts w:ascii="仿宋_GB2312" w:eastAsia="仿宋_GB2312" w:hint="eastAsia"/>
          <w:sz w:val="32"/>
          <w:szCs w:val="32"/>
          <w:highlight w:val="auto"/>
        </w:rPr>
        <w:t>。</w:t>
      </w:r>
    </w:p>
    <w:p>
      <w:pPr>
        <w:pStyle w:val="18"/>
        <w:shd w:val="clear" w:color="auto" w:fill="FFFFFF"/>
        <w:ind w:firstLineChars="200" w:firstLine="640"/>
        <w:rPr>
          <w:rFonts w:ascii="仿宋_GB2312" w:eastAsia="仿宋_GB2312" w:hint="eastAsia"/>
          <w:sz w:val="32"/>
          <w:szCs w:val="32"/>
          <w:highlight w:val="auto"/>
        </w:rPr>
      </w:pPr>
      <w:r>
        <w:rPr>
          <w:rFonts w:ascii="仿宋_GB2312" w:eastAsia="仿宋_GB2312" w:cs="仿宋_GB2312" w:hint="eastAsia"/>
          <w:sz w:val="32"/>
          <w:szCs w:val="32"/>
        </w:rPr>
        <w:t>其中：</w:t>
      </w:r>
      <w:r>
        <w:rPr>
          <w:rStyle w:val="19"/>
          <w:rFonts w:ascii="仿宋_GB2312" w:eastAsia="仿宋_GB2312" w:cs="Arial" w:hint="eastAsia"/>
          <w:sz w:val="32"/>
          <w:szCs w:val="32"/>
          <w:highlight w:val="auto"/>
        </w:rPr>
        <w:t>公务用车购置支出</w:t>
      </w:r>
      <w:r>
        <w:rPr>
          <w:rFonts w:ascii="仿宋_GB2312" w:eastAsia="仿宋_GB2312" w:cs="仿宋_GB2312"/>
          <w:sz w:val="32"/>
          <w:szCs w:val="32"/>
        </w:rPr>
        <w:t>0.00</w:t>
      </w:r>
      <w:r>
        <w:rPr>
          <w:rFonts w:ascii="仿宋_GB2312" w:eastAsia="仿宋_GB2312" w:cs="仿宋_GB2312" w:hint="eastAsia"/>
          <w:sz w:val="32"/>
          <w:szCs w:val="32"/>
        </w:rPr>
        <w:t>万元。全年按规定更新购置公务用车</w:t>
      </w:r>
      <w:r>
        <w:rPr>
          <w:rFonts w:ascii="仿宋_GB2312" w:eastAsia="仿宋_GB2312" w:cs="仿宋_GB2312"/>
          <w:sz w:val="32"/>
          <w:szCs w:val="32"/>
        </w:rPr>
        <w:t>0</w:t>
      </w:r>
      <w:r>
        <w:rPr>
          <w:rFonts w:ascii="仿宋_GB2312" w:eastAsia="仿宋_GB2312" w:cs="仿宋_GB2312" w:hint="eastAsia"/>
          <w:sz w:val="32"/>
          <w:szCs w:val="32"/>
        </w:rPr>
        <w:t>辆，其中：</w:t>
      </w:r>
      <w:r>
        <w:rPr>
          <w:rFonts w:ascii="仿宋_GB2312" w:eastAsia="仿宋_GB2312" w:hint="eastAsia"/>
          <w:sz w:val="32"/>
          <w:szCs w:val="32"/>
          <w:highlight w:val="auto"/>
        </w:rPr>
        <w:t>轿车0辆、金额0万元，越野车</w:t>
      </w:r>
      <w:r>
        <w:rPr>
          <w:rFonts w:ascii="仿宋_GB2312" w:eastAsia="仿宋_GB2312"/>
          <w:sz w:val="32"/>
          <w:szCs w:val="32"/>
          <w:highlight w:val="auto"/>
        </w:rPr>
        <w:t>0</w:t>
      </w:r>
      <w:r>
        <w:rPr>
          <w:rFonts w:ascii="仿宋_GB2312" w:eastAsia="仿宋_GB2312" w:hint="eastAsia"/>
          <w:sz w:val="32"/>
          <w:szCs w:val="32"/>
          <w:highlight w:val="auto"/>
        </w:rPr>
        <w:t>辆、金额</w:t>
      </w:r>
      <w:r>
        <w:rPr>
          <w:rFonts w:ascii="仿宋_GB2312" w:eastAsia="仿宋_GB2312"/>
          <w:sz w:val="32"/>
          <w:szCs w:val="32"/>
          <w:highlight w:val="auto"/>
        </w:rPr>
        <w:t>0</w:t>
      </w:r>
      <w:r>
        <w:rPr>
          <w:rFonts w:ascii="仿宋_GB2312" w:eastAsia="仿宋_GB2312" w:hint="eastAsia"/>
          <w:sz w:val="32"/>
          <w:szCs w:val="32"/>
          <w:highlight w:val="auto"/>
        </w:rPr>
        <w:t>万元，载客汽车0辆、金额0万元。</w:t>
      </w:r>
      <w:r>
        <w:rPr>
          <w:rFonts w:ascii="仿宋_GB2312" w:eastAsia="仿宋_GB2312" w:cs="仿宋_GB2312" w:hint="eastAsia"/>
          <w:sz w:val="32"/>
          <w:szCs w:val="32"/>
        </w:rPr>
        <w:t>截至2021年12月底，单位共有公务用车1</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辆，其中：</w:t>
      </w:r>
      <w:r>
        <w:rPr>
          <w:rFonts w:ascii="仿宋_GB2312" w:eastAsia="仿宋_GB2312" w:hint="eastAsia"/>
          <w:sz w:val="32"/>
          <w:szCs w:val="32"/>
          <w:highlight w:val="auto"/>
        </w:rPr>
        <w:t>其中：轿车1辆、越野车12辆、商务车</w:t>
      </w:r>
      <w:r>
        <w:rPr>
          <w:rFonts w:ascii="仿宋_GB2312" w:eastAsia="仿宋_GB2312" w:hint="eastAsia"/>
          <w:sz w:val="32"/>
          <w:szCs w:val="32"/>
          <w:lang w:val="en-US" w:eastAsia="zh-CN"/>
          <w:highlight w:val="auto"/>
        </w:rPr>
        <w:t>2</w:t>
      </w:r>
      <w:r>
        <w:rPr>
          <w:rFonts w:ascii="仿宋_GB2312" w:eastAsia="仿宋_GB2312" w:hint="eastAsia"/>
          <w:sz w:val="32"/>
          <w:szCs w:val="32"/>
          <w:highlight w:val="auto"/>
        </w:rPr>
        <w:t>辆。</w:t>
      </w:r>
    </w:p>
    <w:p>
      <w:pPr>
        <w:pStyle w:val="18"/>
        <w:shd w:val="clear" w:color="auto" w:fill="FFFFFF"/>
        <w:ind w:firstLineChars="200" w:firstLine="640"/>
        <w:rPr>
          <w:rFonts w:ascii="仿宋_GB2312" w:eastAsia="仿宋_GB2312" w:cs="仿宋_GB2312" w:hint="eastAsia"/>
          <w:sz w:val="32"/>
          <w:szCs w:val="32"/>
        </w:rPr>
      </w:pPr>
      <w:r>
        <w:rPr>
          <w:rStyle w:val="19"/>
          <w:rFonts w:ascii="仿宋_GB2312" w:eastAsia="仿宋_GB2312" w:cs="Arial" w:hint="eastAsia"/>
          <w:sz w:val="32"/>
          <w:szCs w:val="32"/>
          <w:highlight w:val="auto"/>
        </w:rPr>
        <w:t>公务用车运行维护费支出</w:t>
      </w:r>
      <w:r>
        <w:rPr>
          <w:rFonts w:ascii="仿宋_GB2312" w:eastAsia="仿宋_GB2312" w:cs="仿宋_GB2312"/>
          <w:sz w:val="32"/>
          <w:szCs w:val="32"/>
        </w:rPr>
        <w:t>108.88</w:t>
      </w:r>
      <w:r>
        <w:rPr>
          <w:rFonts w:ascii="仿宋_GB2312" w:eastAsia="仿宋_GB2312" w:cs="仿宋_GB2312" w:hint="eastAsia"/>
          <w:sz w:val="32"/>
          <w:szCs w:val="32"/>
        </w:rPr>
        <w:t>万元。主要用于</w:t>
      </w:r>
      <w:r>
        <w:rPr>
          <w:rFonts w:ascii="仿宋_GB2312" w:eastAsia="仿宋_GB2312" w:hint="eastAsia"/>
          <w:color w:val="000000"/>
          <w:sz w:val="32"/>
          <w:szCs w:val="32"/>
          <w:highlight w:val="auto"/>
        </w:rPr>
        <w:t>发展与改革事务项目</w:t>
      </w:r>
      <w:r>
        <w:rPr>
          <w:rFonts w:ascii="仿宋_GB2312" w:eastAsia="仿宋_GB2312" w:hint="eastAsia"/>
          <w:sz w:val="32"/>
          <w:szCs w:val="32"/>
          <w:highlight w:val="auto"/>
        </w:rPr>
        <w:t>等</w:t>
      </w:r>
      <w:r>
        <w:rPr>
          <w:rFonts w:ascii="仿宋_GB2312" w:eastAsia="仿宋_GB2312" w:cs="仿宋_GB2312" w:hint="eastAsia"/>
          <w:sz w:val="32"/>
          <w:szCs w:val="32"/>
        </w:rPr>
        <w:t>所需的公务用车燃料费、维修费、过路过桥费、保险费等支出。</w:t>
      </w:r>
    </w:p>
    <w:p>
      <w:pPr>
        <w:pStyle w:val="18"/>
        <w:shd w:val="clear" w:color="auto" w:fill="FFFFFF"/>
        <w:ind w:firstLineChars="200" w:firstLine="640"/>
        <w:rPr>
          <w:rFonts w:ascii="仿宋_GB2312" w:eastAsia="仿宋_GB2312" w:cs="仿宋_GB2312" w:hint="eastAsia"/>
          <w:sz w:val="32"/>
          <w:szCs w:val="32"/>
        </w:rPr>
      </w:pPr>
      <w:r>
        <w:rPr>
          <w:rStyle w:val="19"/>
          <w:rFonts w:ascii="仿宋_GB2312" w:eastAsia="仿宋_GB2312" w:cs="Arial" w:hint="eastAsia"/>
          <w:sz w:val="32"/>
          <w:szCs w:val="32"/>
          <w:highlight w:val="auto"/>
        </w:rPr>
        <w:t>3.公务接待费支出1.</w:t>
      </w:r>
      <w:r>
        <w:rPr>
          <w:rStyle w:val="19"/>
          <w:rFonts w:ascii="仿宋_GB2312" w:eastAsia="仿宋_GB2312" w:cs="Arial"/>
          <w:sz w:val="32"/>
          <w:szCs w:val="32"/>
          <w:highlight w:val="auto"/>
        </w:rPr>
        <w:t>7</w:t>
      </w:r>
      <w:r>
        <w:rPr>
          <w:rStyle w:val="19"/>
          <w:rFonts w:ascii="仿宋_GB2312" w:eastAsia="仿宋_GB2312" w:cs="Arial" w:hint="eastAsia"/>
          <w:sz w:val="32"/>
          <w:szCs w:val="32"/>
          <w:highlight w:val="auto"/>
        </w:rPr>
        <w:t>万元，完成预算100%。</w:t>
      </w:r>
      <w:r>
        <w:rPr>
          <w:rFonts w:ascii="仿宋_GB2312" w:eastAsia="仿宋_GB2312" w:hint="eastAsia"/>
          <w:sz w:val="32"/>
          <w:szCs w:val="32"/>
          <w:highlight w:val="auto"/>
        </w:rPr>
        <w:t>公务接待费支出决算比202</w:t>
      </w:r>
      <w:r>
        <w:rPr>
          <w:rFonts w:ascii="仿宋_GB2312" w:eastAsia="仿宋_GB2312"/>
          <w:sz w:val="32"/>
          <w:szCs w:val="32"/>
          <w:highlight w:val="auto"/>
        </w:rPr>
        <w:t>1</w:t>
      </w:r>
      <w:r>
        <w:rPr>
          <w:rFonts w:ascii="仿宋_GB2312" w:eastAsia="仿宋_GB2312" w:hint="eastAsia"/>
          <w:sz w:val="32"/>
          <w:szCs w:val="32"/>
          <w:highlight w:val="auto"/>
        </w:rPr>
        <w:t>年</w:t>
      </w:r>
      <w:r>
        <w:rPr>
          <w:rFonts w:ascii="仿宋_GB2312" w:eastAsia="仿宋_GB2312"/>
          <w:sz w:val="32"/>
          <w:szCs w:val="32"/>
          <w:lang w:val="en-US" w:eastAsia="zh-CN"/>
          <w:highlight w:val="auto"/>
        </w:rPr>
        <w:t>增加</w:t>
      </w:r>
      <w:r>
        <w:rPr>
          <w:rFonts w:ascii="仿宋_GB2312" w:eastAsia="仿宋_GB2312"/>
          <w:sz w:val="32"/>
          <w:szCs w:val="32"/>
          <w:highlight w:val="auto"/>
        </w:rPr>
        <w:t>-0.23</w:t>
      </w:r>
      <w:r>
        <w:rPr>
          <w:rFonts w:ascii="仿宋_GB2312" w:eastAsia="仿宋_GB2312" w:hint="eastAsia"/>
          <w:sz w:val="32"/>
          <w:szCs w:val="32"/>
          <w:highlight w:val="auto"/>
        </w:rPr>
        <w:t>万元，</w:t>
      </w:r>
      <w:r>
        <w:rPr>
          <w:rFonts w:ascii="仿宋_GB2312" w:eastAsia="仿宋_GB2312"/>
          <w:sz w:val="32"/>
          <w:szCs w:val="32"/>
          <w:lang w:val="en-US" w:eastAsia="zh-CN"/>
          <w:highlight w:val="auto"/>
        </w:rPr>
        <w:t>增长-38.4</w:t>
      </w:r>
      <w:r>
        <w:rPr>
          <w:rFonts w:ascii="仿宋_GB2312" w:eastAsia="仿宋_GB2312" w:hint="eastAsia"/>
          <w:sz w:val="32"/>
          <w:szCs w:val="32"/>
          <w:highlight w:val="auto"/>
        </w:rPr>
        <w:t>%。主要原因是</w:t>
      </w:r>
      <w:r>
        <w:rPr>
          <w:rFonts w:ascii="仿宋_GB2312" w:eastAsia="仿宋_GB2312" w:hint="eastAsia"/>
          <w:color w:val="000000"/>
          <w:sz w:val="32"/>
          <w:szCs w:val="32"/>
          <w:highlight w:val="auto"/>
        </w:rPr>
        <w:t>厉行节约和受疫情影响，很多会议等在线上开展</w:t>
      </w:r>
      <w:r>
        <w:rPr>
          <w:rFonts w:ascii="仿宋_GB2312" w:eastAsia="仿宋_GB2312" w:hint="eastAsia"/>
          <w:sz w:val="32"/>
          <w:szCs w:val="32"/>
          <w:highlight w:val="auto"/>
        </w:rPr>
        <w:t>。</w:t>
      </w:r>
    </w:p>
    <w:p>
      <w:pPr>
        <w:pStyle w:val="18"/>
        <w:shd w:val="clear" w:color="auto" w:fill="FFFFFF"/>
        <w:ind w:firstLineChars="200" w:firstLine="640"/>
      </w:pPr>
      <w:r>
        <w:rPr>
          <w:rStyle w:val="19"/>
          <w:rFonts w:ascii="仿宋_GB2312" w:eastAsia="仿宋_GB2312" w:cs="Arial" w:hint="eastAsia"/>
          <w:sz w:val="32"/>
          <w:szCs w:val="32"/>
          <w:highlight w:val="auto"/>
        </w:rPr>
        <w:t>国内公务接待支出</w:t>
      </w:r>
      <w:r>
        <w:rPr>
          <w:rFonts w:ascii="仿宋_GB2312" w:eastAsia="仿宋_GB2312" w:cs="仿宋_GB2312" w:hint="eastAsia"/>
          <w:sz w:val="32"/>
          <w:szCs w:val="32"/>
        </w:rPr>
        <w:t>1.</w:t>
      </w:r>
      <w:r>
        <w:rPr>
          <w:rFonts w:ascii="仿宋_GB2312" w:eastAsia="仿宋_GB2312" w:cs="仿宋_GB2312"/>
          <w:sz w:val="32"/>
          <w:szCs w:val="32"/>
        </w:rPr>
        <w:t>7</w:t>
      </w:r>
      <w:r>
        <w:rPr>
          <w:rFonts w:ascii="仿宋_GB2312" w:eastAsia="仿宋_GB2312" w:cs="仿宋_GB2312" w:hint="eastAsia"/>
          <w:sz w:val="32"/>
          <w:szCs w:val="32"/>
        </w:rPr>
        <w:t>万元，主要用于</w:t>
      </w:r>
      <w:r>
        <w:rPr>
          <w:rFonts w:ascii="仿宋_GB2312" w:eastAsia="仿宋_GB2312" w:hint="eastAsia"/>
          <w:sz w:val="32"/>
          <w:szCs w:val="32"/>
          <w:highlight w:val="auto"/>
        </w:rPr>
        <w:t>执行公务、开展业务活动开支的交通费、住宿费、用餐费等。</w:t>
      </w:r>
      <w:r>
        <w:rPr>
          <w:rFonts w:ascii="仿宋_GB2312" w:eastAsia="仿宋_GB2312" w:cs="仿宋_GB2312" w:hint="eastAsia"/>
          <w:sz w:val="32"/>
          <w:szCs w:val="32"/>
        </w:rPr>
        <w:t>国内公务接待25批次，</w:t>
      </w:r>
      <w:r>
        <w:rPr>
          <w:rFonts w:ascii="仿宋_GB2312" w:eastAsia="仿宋_GB2312" w:cs="仿宋_GB2312"/>
          <w:sz w:val="32"/>
          <w:szCs w:val="32"/>
        </w:rPr>
        <w:t>177</w:t>
      </w:r>
      <w:r>
        <w:rPr>
          <w:rFonts w:ascii="仿宋_GB2312" w:eastAsia="仿宋_GB2312" w:cs="仿宋_GB2312" w:hint="eastAsia"/>
          <w:sz w:val="32"/>
          <w:szCs w:val="32"/>
        </w:rPr>
        <w:t>人次（不包括陪同人员），共计支出1.</w:t>
      </w:r>
      <w:r>
        <w:rPr>
          <w:rFonts w:ascii="仿宋_GB2312" w:eastAsia="仿宋_GB2312" w:cs="仿宋_GB2312"/>
          <w:sz w:val="32"/>
          <w:szCs w:val="32"/>
        </w:rPr>
        <w:t>7</w:t>
      </w:r>
      <w:r>
        <w:rPr>
          <w:rFonts w:ascii="仿宋_GB2312" w:eastAsia="仿宋_GB2312" w:cs="仿宋_GB2312" w:hint="eastAsia"/>
          <w:sz w:val="32"/>
          <w:szCs w:val="32"/>
        </w:rPr>
        <w:t>万元，具体内容包括：</w:t>
      </w:r>
      <w:r>
        <w:rPr>
          <w:rFonts w:ascii="仿宋_GB2312" w:eastAsia="仿宋_GB2312"/>
          <w:sz w:val="32"/>
          <w:szCs w:val="32"/>
          <w:highlight w:val="auto"/>
        </w:rPr>
        <w:t>各县级部门来我委对接工作及上级部门来我委检查和指导工作等</w:t>
      </w:r>
      <w:r>
        <w:t>。</w:t>
      </w:r>
    </w:p>
    <w:p>
      <w:pPr>
        <w:pStyle w:val="18"/>
        <w:shd w:val="clear" w:color="auto" w:fill="FFFFFF"/>
        <w:ind w:firstLineChars="200" w:firstLine="640"/>
        <w:rPr>
          <w:rFonts w:ascii="仿宋_GB2312" w:eastAsia="仿宋_GB2312" w:hint="eastAsia"/>
          <w:sz w:val="32"/>
          <w:szCs w:val="32"/>
          <w:highlight w:val="auto"/>
        </w:rPr>
      </w:pPr>
      <w:r>
        <w:rPr>
          <w:rStyle w:val="19"/>
          <w:rFonts w:ascii="仿宋_GB2312" w:eastAsia="仿宋_GB2312" w:hint="eastAsia"/>
          <w:sz w:val="32"/>
          <w:szCs w:val="32"/>
          <w:highlight w:val="auto"/>
        </w:rPr>
        <w:t>外事接待支出</w:t>
      </w:r>
      <w:r>
        <w:rPr>
          <w:rFonts w:ascii="仿宋_GB2312" w:eastAsia="仿宋_GB2312" w:hint="eastAsia"/>
          <w:sz w:val="32"/>
          <w:szCs w:val="32"/>
          <w:highlight w:val="auto"/>
        </w:rPr>
        <w:t>0.00万元，外事接待0批次，0人，共计支出0.00万元。</w:t>
      </w:r>
    </w:p>
    <w:p>
      <w:pPr>
        <w:shd w:val="clear" w:color="auto" w:fill="FFFFFF"/>
        <w:spacing w:before="100" w:beforeAutospacing="1" w:after="100" w:afterAutospacing="1"/>
        <w:outlineLvl w:val="1"/>
        <w:rPr>
          <w:rFonts w:ascii="黑体" w:eastAsia="黑体" w:cs="黑体" w:hint="eastAsia"/>
          <w:sz w:val="32"/>
          <w:szCs w:val="32"/>
          <w:lang w:val="en-US" w:eastAsia="zh-CN"/>
        </w:rPr>
      </w:pPr>
      <w:bookmarkStart w:id="25" w:name="_Toc72938312"/>
      <w:r>
        <w:rPr>
          <w:rFonts w:ascii="黑体" w:eastAsia="黑体" w:cs="黑体" w:hint="eastAsia"/>
          <w:sz w:val="32"/>
          <w:szCs w:val="32"/>
          <w:lang w:val="en-US" w:eastAsia="zh-CN"/>
        </w:rPr>
        <w:t>八、政府性基金预算支出决算情况说明</w:t>
      </w:r>
      <w:bookmarkEnd w:id="25"/>
    </w:p>
    <w:p>
      <w:pPr>
        <w:pStyle w:val="18"/>
        <w:shd w:val="clear" w:color="auto" w:fill="FFFFFF"/>
        <w:ind w:firstLineChars="200" w:firstLine="640"/>
        <w:rPr>
          <w:rFonts w:ascii="仿宋_GB2312" w:eastAsia="仿宋_GB2312"/>
          <w:sz w:val="32"/>
          <w:szCs w:val="32"/>
        </w:rPr>
      </w:pPr>
      <w:r>
        <w:rPr>
          <w:rFonts w:ascii="仿宋_GB2312" w:eastAsia="仿宋_GB2312" w:hint="eastAsia"/>
          <w:sz w:val="32"/>
          <w:szCs w:val="32"/>
        </w:rPr>
        <w:t>20</w:t>
      </w:r>
      <w:bookmarkStart w:id="26" w:name="_GoBack"/>
      <w:bookmarkEnd w:id="26"/>
      <w:r>
        <w:rPr>
          <w:rFonts w:ascii="仿宋_GB2312" w:eastAsia="仿宋_GB2312" w:hint="eastAsia"/>
          <w:sz w:val="32"/>
          <w:szCs w:val="32"/>
        </w:rPr>
        <w:t>2</w:t>
      </w:r>
      <w:r>
        <w:rPr>
          <w:rFonts w:ascii="仿宋_GB2312" w:eastAsia="仿宋_GB2312"/>
          <w:sz w:val="32"/>
          <w:szCs w:val="32"/>
        </w:rPr>
        <w:t>2</w:t>
      </w:r>
      <w:r>
        <w:rPr>
          <w:rFonts w:ascii="仿宋_GB2312" w:eastAsia="仿宋_GB2312" w:hint="eastAsia"/>
          <w:sz w:val="32"/>
          <w:szCs w:val="32"/>
        </w:rPr>
        <w:t>年政府性基金预算财政拨款支出0.00万元</w:t>
      </w:r>
      <w:r>
        <w:rPr>
          <w:rFonts w:ascii="仿宋_GB2312" w:eastAsia="仿宋_GB2312"/>
          <w:sz w:val="32"/>
          <w:szCs w:val="32"/>
        </w:rPr>
        <w:t>，我单位无</w:t>
      </w:r>
      <w:r>
        <w:rPr>
          <w:rFonts w:ascii="仿宋_GB2312" w:eastAsia="仿宋_GB2312" w:hint="eastAsia"/>
          <w:sz w:val="32"/>
          <w:szCs w:val="32"/>
        </w:rPr>
        <w:t>政府性基金预算财政拨款</w:t>
      </w:r>
      <w:r>
        <w:rPr>
          <w:rFonts w:ascii="仿宋_GB2312" w:eastAsia="仿宋_GB2312"/>
          <w:sz w:val="32"/>
          <w:szCs w:val="32"/>
        </w:rPr>
        <w:t>收支。</w:t>
      </w:r>
    </w:p>
    <w:p>
      <w:pPr>
        <w:pStyle w:val="18"/>
        <w:shd w:val="clear" w:color="auto" w:fill="FFFFFF"/>
        <w:rPr>
          <w:rFonts w:ascii="黑体" w:eastAsia="黑体" w:cs="黑体" w:hint="eastAsia"/>
          <w:sz w:val="32"/>
          <w:szCs w:val="32"/>
          <w:lang w:val="en-US" w:eastAsia="zh-CN"/>
        </w:rPr>
      </w:pPr>
      <w:r>
        <w:rPr>
          <w:rFonts w:ascii="黑体" w:eastAsia="黑体" w:cs="黑体" w:hint="eastAsia"/>
          <w:sz w:val="32"/>
          <w:szCs w:val="32"/>
          <w:lang w:val="en-US" w:eastAsia="zh-CN"/>
        </w:rPr>
        <w:t>九、国有资本经营预算支出决算情况说明</w:t>
      </w:r>
    </w:p>
    <w:p>
      <w:pPr>
        <w:pStyle w:val="18"/>
        <w:shd w:val="clear" w:color="auto" w:fill="FFFFFF"/>
        <w:ind w:firstLineChars="200" w:firstLine="640"/>
        <w:rPr>
          <w:highlight w:val="auto"/>
        </w:rPr>
      </w:pPr>
      <w:r>
        <w:rPr>
          <w:rFonts w:ascii="仿宋_GB2312" w:eastAsia="仿宋_GB2312" w:hint="eastAsia"/>
          <w:sz w:val="32"/>
          <w:szCs w:val="32"/>
        </w:rPr>
        <w:t>202</w:t>
      </w:r>
      <w:r>
        <w:rPr>
          <w:rFonts w:ascii="仿宋_GB2312" w:eastAsia="仿宋_GB2312"/>
          <w:sz w:val="32"/>
          <w:szCs w:val="32"/>
        </w:rPr>
        <w:t>2</w:t>
      </w:r>
      <w:r>
        <w:rPr>
          <w:rFonts w:ascii="仿宋_GB2312" w:eastAsia="仿宋_GB2312" w:hint="eastAsia"/>
          <w:sz w:val="32"/>
          <w:szCs w:val="32"/>
        </w:rPr>
        <w:t>年国有资本经营预算财政拨款支出0.00万元</w:t>
      </w:r>
      <w:r>
        <w:rPr>
          <w:rFonts w:ascii="仿宋_GB2312" w:eastAsia="仿宋_GB2312"/>
          <w:sz w:val="32"/>
          <w:szCs w:val="32"/>
        </w:rPr>
        <w:t>，我单位无</w:t>
      </w:r>
      <w:r>
        <w:rPr>
          <w:rFonts w:ascii="仿宋_GB2312" w:eastAsia="仿宋_GB2312" w:hint="eastAsia"/>
          <w:sz w:val="32"/>
          <w:szCs w:val="32"/>
        </w:rPr>
        <w:t>国有资本经营预算财政拨款</w:t>
      </w:r>
      <w:r>
        <w:rPr>
          <w:rFonts w:ascii="仿宋_GB2312" w:eastAsia="仿宋_GB2312"/>
          <w:sz w:val="32"/>
          <w:szCs w:val="32"/>
        </w:rPr>
        <w:t>收支</w:t>
      </w:r>
      <w:r>
        <w:rPr>
          <w:rFonts w:ascii="仿宋_GB2312" w:eastAsia="仿宋_GB2312" w:hint="eastAsia"/>
          <w:sz w:val="32"/>
          <w:szCs w:val="32"/>
        </w:rPr>
        <w:t>。</w:t>
      </w:r>
      <w:r>
        <w:rPr>
          <w:highlight w:val="auto"/>
        </w:rPr>
        <w:t> </w:t>
      </w:r>
    </w:p>
    <w:p>
      <w:pPr>
        <w:pStyle w:val="18"/>
        <w:shd w:val="clear" w:color="auto" w:fill="FFFFFF"/>
        <w:jc w:val="both"/>
        <w:rPr>
          <w:rFonts w:ascii="黑体" w:eastAsia="黑体" w:cs="黑体" w:hint="eastAsia"/>
          <w:sz w:val="32"/>
          <w:szCs w:val="32"/>
          <w:lang w:val="en-US" w:eastAsia="zh-CN"/>
        </w:rPr>
      </w:pPr>
      <w:r>
        <w:rPr>
          <w:rFonts w:ascii="黑体" w:eastAsia="黑体" w:cs="黑体" w:hint="eastAsia"/>
          <w:sz w:val="32"/>
          <w:szCs w:val="32"/>
          <w:lang w:val="en-US" w:eastAsia="zh-CN"/>
        </w:rPr>
        <w:t>十、其他重要事项的情况说明</w:t>
      </w:r>
    </w:p>
    <w:p>
      <w:pPr>
        <w:pStyle w:val="18"/>
        <w:shd w:val="clear" w:color="auto" w:fill="FFFFFF"/>
        <w:outlineLvl w:val="2"/>
        <w:rPr>
          <w:sz w:val="32"/>
          <w:szCs w:val="32"/>
        </w:rPr>
      </w:pPr>
      <w:bookmarkStart w:id="27" w:name="_Toc72938313"/>
      <w:r>
        <w:rPr>
          <w:rStyle w:val="19"/>
          <w:sz w:val="32"/>
          <w:szCs w:val="32"/>
        </w:rPr>
        <w:t>（一）机关运行经费支出情况</w:t>
      </w:r>
      <w:bookmarkEnd w:id="27"/>
    </w:p>
    <w:p>
      <w:pPr>
        <w:pStyle w:val="18"/>
        <w:shd w:val="clear" w:color="auto" w:fill="FFFFFF"/>
        <w:ind w:firstLineChars="200" w:firstLine="640"/>
        <w:rPr>
          <w:rFonts w:eastAsia="仿宋_GB2312" w:hint="eastAsia"/>
          <w:lang w:eastAsia="zh-CN"/>
        </w:rPr>
      </w:pPr>
      <w:r>
        <w:rPr>
          <w:rFonts w:ascii="仿宋_GB2312" w:eastAsia="仿宋_GB2312" w:cs="仿宋_GB2312" w:hint="eastAsia"/>
          <w:sz w:val="32"/>
          <w:szCs w:val="32"/>
        </w:rPr>
        <w:t>202</w:t>
      </w:r>
      <w:r>
        <w:rPr>
          <w:rFonts w:ascii="仿宋_GB2312" w:eastAsia="仿宋_GB2312" w:cs="仿宋_GB2312"/>
          <w:sz w:val="32"/>
          <w:szCs w:val="32"/>
        </w:rPr>
        <w:t>2</w:t>
      </w:r>
      <w:r>
        <w:rPr>
          <w:rFonts w:ascii="仿宋_GB2312" w:eastAsia="仿宋_GB2312" w:cs="仿宋_GB2312" w:hint="eastAsia"/>
          <w:sz w:val="32"/>
          <w:szCs w:val="32"/>
        </w:rPr>
        <w:t>年，四川省阿坝州发展和改革委员会（汇总）机关运行经费支出</w:t>
      </w:r>
      <w:r>
        <w:rPr>
          <w:rFonts w:ascii="仿宋_GB2312" w:eastAsia="仿宋_GB2312" w:cs="仿宋_GB2312"/>
          <w:sz w:val="32"/>
          <w:szCs w:val="32"/>
        </w:rPr>
        <w:t>386.06</w:t>
      </w:r>
      <w:r>
        <w:rPr>
          <w:rFonts w:ascii="仿宋_GB2312" w:eastAsia="仿宋_GB2312" w:cs="仿宋_GB2312" w:hint="eastAsia"/>
          <w:sz w:val="32"/>
          <w:szCs w:val="32"/>
        </w:rPr>
        <w:t>万元，比202</w:t>
      </w:r>
      <w:r>
        <w:rPr>
          <w:rFonts w:ascii="仿宋_GB2312" w:eastAsia="仿宋_GB2312" w:cs="仿宋_GB2312"/>
          <w:sz w:val="32"/>
          <w:szCs w:val="32"/>
        </w:rPr>
        <w:t>1</w:t>
      </w:r>
      <w:r>
        <w:rPr>
          <w:rFonts w:ascii="仿宋_GB2312" w:eastAsia="仿宋_GB2312" w:cs="仿宋_GB2312" w:hint="eastAsia"/>
          <w:sz w:val="32"/>
          <w:szCs w:val="32"/>
        </w:rPr>
        <w:t>年增加</w:t>
      </w:r>
      <w:r>
        <w:rPr>
          <w:rFonts w:ascii="仿宋_GB2312" w:eastAsia="仿宋_GB2312" w:cs="仿宋_GB2312"/>
          <w:sz w:val="32"/>
          <w:szCs w:val="32"/>
          <w:lang w:val="en-US" w:eastAsia="zh-CN"/>
        </w:rPr>
        <w:t>-162.34</w:t>
      </w:r>
      <w:r>
        <w:rPr>
          <w:rFonts w:ascii="仿宋_GB2312" w:eastAsia="仿宋_GB2312" w:cs="仿宋_GB2312" w:hint="eastAsia"/>
          <w:sz w:val="32"/>
          <w:szCs w:val="32"/>
        </w:rPr>
        <w:t>万元，增长</w:t>
      </w:r>
      <w:r>
        <w:rPr>
          <w:rFonts w:ascii="仿宋_GB2312" w:eastAsia="仿宋_GB2312" w:cs="仿宋_GB2312"/>
          <w:sz w:val="32"/>
          <w:szCs w:val="32"/>
          <w:lang w:val="en-US" w:eastAsia="zh-CN"/>
        </w:rPr>
        <w:t>-29.60</w:t>
      </w:r>
      <w:r>
        <w:rPr>
          <w:rFonts w:ascii="仿宋_GB2312" w:eastAsia="仿宋_GB2312" w:cs="仿宋_GB2312" w:hint="eastAsia"/>
          <w:sz w:val="32"/>
          <w:szCs w:val="32"/>
        </w:rPr>
        <w:t>%。主要原因是</w:t>
      </w:r>
      <w:r>
        <w:rPr>
          <w:rFonts w:ascii="仿宋_GB2312" w:eastAsia="仿宋_GB2312" w:cs="仿宋_GB2312"/>
          <w:sz w:val="32"/>
          <w:szCs w:val="32"/>
        </w:rPr>
        <w:t>2021年</w:t>
      </w:r>
      <w:r>
        <w:rPr>
          <w:sz w:val="32"/>
          <w:szCs w:val="32"/>
          <w:highlight w:val="auto"/>
        </w:rPr>
        <w:t>购置了1辆公务用车</w:t>
      </w:r>
      <w:r>
        <w:rPr>
          <w:rFonts w:ascii="仿宋_GB2312" w:eastAsia="仿宋_GB2312" w:cs="仿宋_GB2312" w:hint="eastAsia"/>
          <w:sz w:val="32"/>
          <w:szCs w:val="32"/>
          <w:lang w:eastAsia="zh-CN"/>
        </w:rPr>
        <w:t>。</w:t>
      </w:r>
    </w:p>
    <w:p>
      <w:pPr>
        <w:pStyle w:val="18"/>
        <w:shd w:val="clear" w:color="auto" w:fill="FFFFFF"/>
      </w:pPr>
      <w:r>
        <w:rPr>
          <w:rStyle w:val="19"/>
        </w:rPr>
        <w:t>（注：数据来源于财决附03表）</w:t>
      </w:r>
    </w:p>
    <w:p>
      <w:pPr>
        <w:pStyle w:val="18"/>
        <w:shd w:val="clear" w:color="auto" w:fill="FFFFFF"/>
        <w:outlineLvl w:val="2"/>
        <w:rPr>
          <w:sz w:val="32"/>
          <w:szCs w:val="32"/>
        </w:rPr>
      </w:pPr>
      <w:bookmarkStart w:id="28" w:name="_Toc72938314"/>
      <w:r>
        <w:rPr>
          <w:rStyle w:val="19"/>
          <w:sz w:val="32"/>
          <w:szCs w:val="32"/>
        </w:rPr>
        <w:t>（二）政府采购支出情况</w:t>
      </w:r>
      <w:bookmarkEnd w:id="28"/>
    </w:p>
    <w:p>
      <w:pPr>
        <w:pStyle w:val="18"/>
        <w:shd w:val="clear" w:color="auto" w:fill="FFFFFF"/>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sz w:val="32"/>
          <w:szCs w:val="32"/>
        </w:rPr>
        <w:t>2</w:t>
      </w:r>
      <w:r>
        <w:rPr>
          <w:rFonts w:ascii="仿宋_GB2312" w:eastAsia="仿宋_GB2312" w:cs="仿宋_GB2312" w:hint="eastAsia"/>
          <w:sz w:val="32"/>
          <w:szCs w:val="32"/>
        </w:rPr>
        <w:t>年，四川省阿坝州发展和改革委员会（汇总）政府采购支出总额</w:t>
      </w:r>
      <w:r>
        <w:rPr>
          <w:rFonts w:ascii="仿宋_GB2312" w:eastAsia="仿宋_GB2312" w:cs="仿宋_GB2312"/>
          <w:sz w:val="32"/>
          <w:szCs w:val="32"/>
        </w:rPr>
        <w:t>481.56</w:t>
      </w:r>
      <w:r>
        <w:rPr>
          <w:rFonts w:ascii="仿宋_GB2312" w:eastAsia="仿宋_GB2312" w:cs="仿宋_GB2312" w:hint="eastAsia"/>
          <w:sz w:val="32"/>
          <w:szCs w:val="32"/>
        </w:rPr>
        <w:t>万元，其中：政府采购货物支出</w:t>
      </w:r>
      <w:r>
        <w:rPr>
          <w:rFonts w:ascii="仿宋_GB2312" w:eastAsia="仿宋_GB2312" w:cs="仿宋_GB2312"/>
          <w:sz w:val="32"/>
          <w:szCs w:val="32"/>
        </w:rPr>
        <w:t>441.55</w:t>
      </w:r>
      <w:r>
        <w:rPr>
          <w:rFonts w:ascii="仿宋_GB2312" w:eastAsia="仿宋_GB2312" w:cs="仿宋_GB2312" w:hint="eastAsia"/>
          <w:sz w:val="32"/>
          <w:szCs w:val="32"/>
        </w:rPr>
        <w:t>万元、政府采购工程支出0.00万元、政府采购服务支出</w:t>
      </w:r>
      <w:r>
        <w:rPr>
          <w:rFonts w:ascii="仿宋_GB2312" w:eastAsia="仿宋_GB2312" w:cs="仿宋_GB2312"/>
          <w:sz w:val="32"/>
          <w:szCs w:val="32"/>
        </w:rPr>
        <w:t>40.01</w:t>
      </w:r>
      <w:r>
        <w:rPr>
          <w:rFonts w:ascii="仿宋_GB2312" w:eastAsia="仿宋_GB2312" w:cs="仿宋_GB2312" w:hint="eastAsia"/>
          <w:sz w:val="32"/>
          <w:szCs w:val="32"/>
        </w:rPr>
        <w:t>万元。主要用</w:t>
      </w:r>
      <w:r>
        <w:rPr>
          <w:rFonts w:ascii="仿宋_GB2312" w:eastAsia="仿宋_GB2312" w:cs="仿宋_GB2312" w:hint="eastAsia"/>
          <w:sz w:val="32"/>
          <w:szCs w:val="32"/>
          <w:lang w:val="en-US" w:eastAsia="zh-CN"/>
        </w:rPr>
        <w:t>于</w:t>
      </w:r>
      <w:r>
        <w:rPr>
          <w:rFonts w:ascii="仿宋_GB2312" w:eastAsia="仿宋_GB2312" w:cs="仿宋_GB2312" w:hint="eastAsia"/>
          <w:sz w:val="32"/>
          <w:szCs w:val="32"/>
        </w:rPr>
        <w:t>购置办公设备</w:t>
      </w:r>
      <w:r>
        <w:rPr>
          <w:rFonts w:ascii="仿宋_GB2312" w:eastAsia="仿宋_GB2312" w:cs="仿宋_GB2312" w:hint="eastAsia"/>
          <w:sz w:val="32"/>
          <w:szCs w:val="32"/>
          <w:lang w:val="en-US" w:eastAsia="zh-CN"/>
        </w:rPr>
        <w:t>和</w:t>
      </w:r>
      <w:r>
        <w:rPr>
          <w:rFonts w:ascii="仿宋_GB2312" w:eastAsia="仿宋_GB2312" w:cs="仿宋_GB2312"/>
          <w:sz w:val="32"/>
          <w:szCs w:val="32"/>
          <w:lang w:val="en-US" w:eastAsia="zh-CN"/>
        </w:rPr>
        <w:t>州级应急物资采购等</w:t>
      </w:r>
      <w:r>
        <w:rPr>
          <w:rFonts w:ascii="仿宋_GB2312" w:eastAsia="仿宋_GB2312" w:cs="仿宋_GB2312" w:hint="eastAsia"/>
          <w:sz w:val="32"/>
          <w:szCs w:val="32"/>
        </w:rPr>
        <w:t>。授予中小企业合同金额</w:t>
      </w:r>
      <w:r>
        <w:rPr>
          <w:rFonts w:ascii="仿宋_GB2312" w:eastAsia="仿宋_GB2312" w:cs="仿宋_GB2312"/>
          <w:sz w:val="32"/>
          <w:szCs w:val="32"/>
        </w:rPr>
        <w:t>481.56</w:t>
      </w:r>
      <w:r>
        <w:rPr>
          <w:rFonts w:ascii="仿宋_GB2312" w:eastAsia="仿宋_GB2312" w:cs="仿宋_GB2312" w:hint="eastAsia"/>
          <w:sz w:val="32"/>
          <w:szCs w:val="32"/>
        </w:rPr>
        <w:t>万元，占政府采购支出总额的100.00%，其中：授予小微企业合同金额</w:t>
      </w:r>
      <w:r>
        <w:rPr>
          <w:rFonts w:ascii="仿宋_GB2312" w:eastAsia="仿宋_GB2312" w:cs="仿宋_GB2312"/>
          <w:sz w:val="32"/>
          <w:szCs w:val="32"/>
        </w:rPr>
        <w:t>6.38</w:t>
      </w:r>
      <w:r>
        <w:rPr>
          <w:rFonts w:ascii="仿宋_GB2312" w:eastAsia="仿宋_GB2312" w:cs="仿宋_GB2312" w:hint="eastAsia"/>
          <w:sz w:val="32"/>
          <w:szCs w:val="32"/>
        </w:rPr>
        <w:t>万元，占政府采购支出总额的1</w:t>
      </w:r>
      <w:r>
        <w:rPr>
          <w:rFonts w:ascii="仿宋_GB2312" w:eastAsia="仿宋_GB2312" w:cs="仿宋_GB2312"/>
          <w:sz w:val="32"/>
          <w:szCs w:val="32"/>
        </w:rPr>
        <w:t>.32</w:t>
      </w:r>
      <w:r>
        <w:rPr>
          <w:rFonts w:ascii="仿宋_GB2312" w:eastAsia="仿宋_GB2312" w:cs="仿宋_GB2312" w:hint="eastAsia"/>
          <w:sz w:val="32"/>
          <w:szCs w:val="32"/>
        </w:rPr>
        <w:t>%。</w:t>
      </w:r>
    </w:p>
    <w:p>
      <w:pPr>
        <w:pStyle w:val="18"/>
        <w:shd w:val="clear" w:color="auto" w:fill="FFFFFF"/>
      </w:pPr>
      <w:r>
        <w:t> </w:t>
      </w:r>
      <w:r>
        <w:rPr>
          <w:rStyle w:val="19"/>
        </w:rPr>
        <w:t>（注：数据来源于财决附03表）</w:t>
      </w:r>
    </w:p>
    <w:p>
      <w:pPr>
        <w:pStyle w:val="18"/>
        <w:shd w:val="clear" w:color="auto" w:fill="FFFFFF"/>
        <w:outlineLvl w:val="2"/>
        <w:rPr>
          <w:sz w:val="32"/>
          <w:szCs w:val="32"/>
        </w:rPr>
      </w:pPr>
      <w:bookmarkStart w:id="29" w:name="_Toc72938315"/>
      <w:r>
        <w:rPr>
          <w:rStyle w:val="19"/>
          <w:sz w:val="32"/>
          <w:szCs w:val="32"/>
        </w:rPr>
        <w:t>（三）国有资产占有使用情况</w:t>
      </w:r>
      <w:bookmarkEnd w:id="29"/>
    </w:p>
    <w:p>
      <w:pPr>
        <w:pStyle w:val="18"/>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截至202</w:t>
      </w:r>
      <w:r>
        <w:rPr>
          <w:rFonts w:ascii="仿宋_GB2312" w:eastAsia="仿宋_GB2312"/>
          <w:sz w:val="32"/>
          <w:szCs w:val="32"/>
          <w:highlight w:val="auto"/>
        </w:rPr>
        <w:t>2</w:t>
      </w:r>
      <w:r>
        <w:rPr>
          <w:rFonts w:ascii="仿宋_GB2312" w:eastAsia="仿宋_GB2312" w:hint="eastAsia"/>
          <w:sz w:val="32"/>
          <w:szCs w:val="32"/>
          <w:highlight w:val="auto"/>
        </w:rPr>
        <w:t>年12月31日，四川省阿坝州发展和改革委员会（</w:t>
      </w:r>
      <w:r>
        <w:rPr>
          <w:rFonts w:ascii="仿宋_GB2312" w:eastAsia="仿宋_GB2312" w:hint="eastAsia"/>
          <w:sz w:val="32"/>
          <w:szCs w:val="32"/>
          <w:lang w:val="en-US" w:eastAsia="zh-CN"/>
          <w:highlight w:val="auto"/>
        </w:rPr>
        <w:t>汇总</w:t>
      </w:r>
      <w:r>
        <w:rPr>
          <w:rFonts w:ascii="仿宋_GB2312" w:eastAsia="仿宋_GB2312" w:hint="eastAsia"/>
          <w:sz w:val="32"/>
          <w:szCs w:val="32"/>
          <w:highlight w:val="auto"/>
        </w:rPr>
        <w:t>）共有车辆1</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辆，其中：主要领导干部用车0辆、机要通信用车0辆、应急保障用车0辆、其他用车1</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辆</w:t>
      </w:r>
      <w:r>
        <w:rPr>
          <w:rFonts w:ascii="仿宋_GB2312" w:eastAsia="仿宋_GB2312"/>
          <w:sz w:val="32"/>
          <w:szCs w:val="32"/>
          <w:highlight w:val="auto"/>
        </w:rPr>
        <w:t>，</w:t>
      </w:r>
      <w:r>
        <w:rPr>
          <w:rFonts w:ascii="仿宋_GB2312" w:eastAsia="仿宋_GB2312"/>
          <w:color w:val="000000"/>
          <w:sz w:val="32"/>
          <w:szCs w:val="32"/>
          <w:highlight w:val="auto"/>
        </w:rPr>
        <w:t>主要用于我委日常出差、下县检查工作等车辆运行。</w:t>
      </w:r>
      <w:r>
        <w:rPr>
          <w:rFonts w:ascii="仿宋_GB2312" w:eastAsia="仿宋_GB2312" w:hint="eastAsia"/>
          <w:sz w:val="32"/>
          <w:szCs w:val="32"/>
          <w:highlight w:val="auto"/>
        </w:rPr>
        <w:t>单价50万元以上通用设备0台（套），单价100万元以上专用设备0台（套）。</w:t>
      </w:r>
    </w:p>
    <w:p>
      <w:pPr>
        <w:pStyle w:val="18"/>
        <w:shd w:val="clear" w:color="auto" w:fill="FFFFFF"/>
      </w:pPr>
      <w:r>
        <w:rPr>
          <w:rStyle w:val="19"/>
        </w:rPr>
        <w:t>（注：数据来源于财决附03表，按部门决算报表填报数据罗列车辆情况。）</w:t>
      </w:r>
    </w:p>
    <w:p>
      <w:pPr>
        <w:pStyle w:val="18"/>
        <w:shd w:val="clear" w:color="auto" w:fill="FFFFFF"/>
        <w:outlineLvl w:val="2"/>
        <w:rPr>
          <w:sz w:val="32"/>
          <w:szCs w:val="32"/>
        </w:rPr>
      </w:pPr>
      <w:bookmarkStart w:id="30" w:name="_Toc72938316"/>
      <w:r>
        <w:rPr>
          <w:rStyle w:val="19"/>
          <w:sz w:val="32"/>
          <w:szCs w:val="32"/>
        </w:rPr>
        <w:t>（四）预算绩效管理情况</w:t>
      </w:r>
      <w:bookmarkEnd w:id="30"/>
    </w:p>
    <w:p>
      <w:pPr>
        <w:pStyle w:val="18"/>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根据预算绩效管理要求，本单位在2021年度预算编制阶段，组织对</w:t>
      </w:r>
      <w:r>
        <w:rPr>
          <w:rFonts w:ascii="仿宋_GB2312" w:eastAsia="仿宋_GB2312" w:hint="eastAsia"/>
          <w:sz w:val="32"/>
          <w:szCs w:val="32"/>
          <w:lang w:val="en-US" w:eastAsia="zh-CN"/>
          <w:highlight w:val="auto"/>
        </w:rPr>
        <w:t>州级应急物资采购</w:t>
      </w:r>
      <w:r>
        <w:rPr>
          <w:rFonts w:ascii="仿宋_GB2312" w:eastAsia="仿宋_GB2312" w:hint="eastAsia"/>
          <w:sz w:val="32"/>
          <w:szCs w:val="32"/>
          <w:highlight w:val="auto"/>
        </w:rPr>
        <w:t>项目（项目名称）等</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个项目开展了预算事前绩效评估，对</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个项目编制了绩效目标，预算执行过程中，选取</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个项目开展绩效监控，年终执行完毕后，对</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个项目开展了绩效自评，2021年特定目标类部门预算项目绩效目标自评表见附件（第四部分）。</w:t>
      </w:r>
    </w:p>
    <w:p>
      <w:pPr>
        <w:pStyle w:val="18"/>
        <w:shd w:val="clear" w:color="auto" w:fill="FFFFFF"/>
      </w:pPr>
      <w:r>
        <w:t> </w:t>
      </w:r>
    </w:p>
    <w:p>
      <w:pPr>
        <w:pStyle w:val="18"/>
        <w:shd w:val="clear" w:color="auto" w:fill="FFFFFF"/>
      </w:pPr>
      <w:r>
        <w:t> </w:t>
      </w:r>
    </w:p>
    <w:p>
      <w:pPr>
        <w:pStyle w:val="18"/>
        <w:shd w:val="clear" w:color="auto" w:fill="FFFFFF"/>
        <w:jc w:val="center"/>
        <w:outlineLvl w:val="0"/>
      </w:pPr>
      <w:bookmarkStart w:id="31" w:name="_Toc72938317"/>
      <w:r>
        <w:rPr>
          <w:rStyle w:val="19"/>
          <w:sz w:val="39"/>
          <w:szCs w:val="39"/>
        </w:rPr>
        <w:t>第三部分 名词解释</w:t>
      </w:r>
      <w:bookmarkEnd w:id="31"/>
    </w:p>
    <w:p>
      <w:pPr>
        <w:pStyle w:val="18"/>
        <w:shd w:val="clear" w:color="auto" w:fill="FFFFFF"/>
      </w:pPr>
      <w:r>
        <w:t> </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1"/>
        <w:rPr>
          <w:rFonts w:ascii="Times New Roman" w:eastAsia="仿宋_GB2312" w:cs="Times New Roman" w:hAnsi="Times New Roman"/>
          <w:sz w:val="32"/>
          <w:szCs w:val="32"/>
          <w:highlight w:val="auto"/>
        </w:rPr>
      </w:pPr>
      <w:bookmarkStart w:id="32" w:name="_Toc16605"/>
      <w:bookmarkStart w:id="33" w:name="_Toc72938318"/>
      <w:r>
        <w:rPr>
          <w:rFonts w:ascii="Times New Roman" w:eastAsia="仿宋_GB2312" w:cs="Times New Roman" w:hAnsi="Times New Roman"/>
          <w:sz w:val="32"/>
          <w:szCs w:val="32"/>
          <w:highlight w:val="auto"/>
        </w:rPr>
        <w:t>1.财政拨款收入：指单位从同级财政部门取得的财政预算资金。</w:t>
      </w:r>
      <w:bookmarkEnd w:id="32"/>
      <w:bookmarkEnd w:id="33"/>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2.事业收入：指事业单位开展专业业务活动及辅助活动取得的收入。</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3.经营收入：指事业单位在专业业务活动及其辅助活动之外开展非独立核算经营活动取得的收入。</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1"/>
        <w:rPr>
          <w:rFonts w:ascii="Times New Roman" w:eastAsia="仿宋_GB2312" w:cs="Times New Roman" w:hAnsi="Times New Roman"/>
          <w:sz w:val="32"/>
          <w:szCs w:val="32"/>
          <w:highlight w:val="auto"/>
        </w:rPr>
      </w:pPr>
      <w:bookmarkStart w:id="34" w:name="_Toc21752"/>
      <w:bookmarkStart w:id="35" w:name="_Toc72938319"/>
      <w:r>
        <w:rPr>
          <w:rFonts w:ascii="Times New Roman" w:eastAsia="仿宋_GB2312" w:cs="Times New Roman" w:hAnsi="Times New Roman"/>
          <w:sz w:val="32"/>
          <w:szCs w:val="32"/>
          <w:highlight w:val="auto"/>
        </w:rPr>
        <w:t>4.其他收入：指单位取得的除上述收入以外的各项收入。</w:t>
      </w:r>
      <w:bookmarkEnd w:id="34"/>
      <w:bookmarkEnd w:id="35"/>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6.年初结转和结余：指以前年度尚未完成、结转到本年按有关规定继续使用的资金。</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7.结余分配：指事业单位按照事业单位会计制度的规定从非财政补助结余中分配的事业基金和职工福利基金等。</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8、年末结转和结余：指单位按有关规定结转到下年或以后年度继续使用的资金。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9.一般公共服务支出（201）发展与改革事务（04）行政运行（01）：指反映行政单位（包括实行公务员管理的事业单位）的基本支出。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10.一般公共服务支出（201）发展与改革事务（04）一般行政管理事务（02）：指反映行政单位（包括实行公务员管理的事业单位）未单独设置项级科目的其他项目支出。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11.一般公共服务支出（201）发展与改革事务（04）物价管理（08）：指反映物价管理方面的支出。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12.一般公共服务支出（201）发展与改革事务（04）其他发展与改革事务支出（99）：指反映除战略规划与实施、日常经济运行调节、社会事业发展规划、经济体制改革研究、物价管理、应对气候变化管理事务、事业运行等项目以外的其他发展与改革事务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13. 社会保障和就业支出（208）行政事业单位离退休（05）机关事业单位基本养老保险缴费支出（05）：指反映机关事业单位实施养老保险制度由单位缴纳的基本养老保险费支出。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14.社会保障和就业支出（208）行政事业单位离退休（05）机关事业单位职业年金缴费支出（06）：指反映机关事业单位实施养老保险制度由单位实际缴纳的职业年金支出。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15.医疗卫生与计划生育支出（210）行政事业单位医疗（11）行政单位医疗（01）：指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16.农林水支出（213）扶贫（05）其他扶贫支出（99）：指反映除扶贫贷款奖补和贴息、“三西”农业建设专项补助、扶贫事业机构以外的其他用于扶贫方面的支出。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17.资源勘探信息等支出（215）安全生产监管（06）其他安全生产监管支出（99）：指反映除安全监管监察专项、应急救援支出、煤炭安全以外的其他用于安全生产监管方面的支出。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18.国土海洋气象支出（220）国土资源事务（01）地质灾害防治（11）：指反映地质灾害防治项目支出。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19.住房保障支出（221）住房改革支出（02）住房公积金（01）：指反映行政事业单位按人力资源和社会保障部、财政部规定的基本工资和津贴补贴以及规定比例为职工缴纳的住房公积金。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20.住房保障支出（221）住房改革支出（02）购房补贴（03）：指反映按房改政策规定，行政事业单位向符合条件职工（含离退休人员）、军队（含武警）向转役复员离退休人员发放的用于购买住房的补贴。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21.粮油物资储备支出（222）粮油事务（01）其他粮油事务支出（99）：指反映除粮食信息统计、粮食专项业务活动、国家粮油差价补贴、粮食财务挂账利息补贴、粮食财务挂账消化款、处理陈化粮补贴、粮食风险基金、粮油市场调控专项资金、事业运行等项目以外其他用于粮油事务方面的支出。</w:t>
      </w:r>
    </w:p>
    <w:p>
      <w:pPr>
        <w:keepNext w:val="0"/>
        <w:keepLines w:val="0"/>
        <w:pageBreakBefore w:val="0"/>
        <w:widowControl w:val="0"/>
        <w:kinsoku/>
        <w:wordWrap/>
        <w:overflowPunct/>
        <w:topLinePunct w:val="0"/>
        <w:bidi w:val="0"/>
        <w:snapToGrid/>
        <w:spacing w:line="520" w:lineRule="exact"/>
        <w:ind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22.粮油物资储备支出（222）粮油储备（04）储备粮（油）库建设（03）：指反映储备粮油仓储设施建设方面的支出。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23.基本支出：指为保障机构正常运转、完成日常工作任务而发生的人员支出和公用支出。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24.项目支出：指在基本支出之外为完成特定行政任务和事业发展目标所发生的支出。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25.经营支出：指事业单位在专业业务活动及其辅助活动之外开展非独立核算经营活动发生的支出。</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26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pPr>
      <w:r>
        <w:rPr>
          <w:rFonts w:ascii="Times New Roman" w:eastAsia="仿宋_GB2312" w:cs="Times New Roman" w:hAnsi="Times New Roman"/>
          <w:sz w:val="32"/>
          <w:szCs w:val="32"/>
          <w:highlight w:val="auto"/>
        </w:rPr>
        <w:t>27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pStyle w:val="18"/>
        <w:shd w:val="clear" w:color="auto" w:fill="FFFFFF"/>
      </w:pPr>
      <w:r>
        <w:rPr>
          <w:rStyle w:val="19"/>
        </w:rPr>
        <w:t>（名词解释部分请根据各部门实际列支情况罗列，并根据本部门职责职能增减名词解释内容。）</w:t>
      </w:r>
    </w:p>
    <w:p>
      <w:pPr>
        <w:pStyle w:val="18"/>
        <w:shd w:val="clear" w:color="auto" w:fill="FFFFFF"/>
      </w:pPr>
      <w:r>
        <w:t> </w:t>
      </w:r>
    </w:p>
    <w:p>
      <w:pPr>
        <w:pStyle w:val="18"/>
        <w:shd w:val="clear" w:color="auto" w:fill="FFFFFF"/>
      </w:pPr>
    </w:p>
    <w:p>
      <w:pPr>
        <w:pStyle w:val="18"/>
        <w:shd w:val="clear" w:color="auto" w:fill="FFFFFF"/>
      </w:pPr>
    </w:p>
    <w:p>
      <w:pPr>
        <w:pStyle w:val="18"/>
        <w:shd w:val="clear" w:color="auto" w:fill="FFFFFF"/>
      </w:pPr>
    </w:p>
    <w:p>
      <w:pPr>
        <w:pStyle w:val="18"/>
        <w:shd w:val="clear" w:color="auto" w:fill="FFFFFF"/>
      </w:pPr>
    </w:p>
    <w:p>
      <w:pPr>
        <w:pStyle w:val="18"/>
        <w:shd w:val="clear" w:color="auto" w:fill="FFFFFF"/>
      </w:pPr>
    </w:p>
    <w:p>
      <w:pPr>
        <w:pStyle w:val="18"/>
        <w:shd w:val="clear" w:color="auto" w:fill="FFFFFF"/>
      </w:pPr>
    </w:p>
    <w:p>
      <w:pPr>
        <w:pStyle w:val="18"/>
        <w:shd w:val="clear" w:color="auto" w:fill="FFFFFF"/>
      </w:pPr>
    </w:p>
    <w:p>
      <w:pPr>
        <w:pStyle w:val="18"/>
        <w:shd w:val="clear" w:color="auto" w:fill="FFFFFF"/>
      </w:pPr>
    </w:p>
    <w:p>
      <w:pPr>
        <w:pStyle w:val="18"/>
        <w:shd w:val="clear" w:color="auto" w:fill="FFFFFF"/>
      </w:pPr>
    </w:p>
    <w:p>
      <w:pPr>
        <w:pStyle w:val="18"/>
        <w:shd w:val="clear" w:color="auto" w:fill="FFFFFF"/>
        <w:jc w:val="center"/>
        <w:outlineLvl w:val="0"/>
      </w:pPr>
      <w:bookmarkStart w:id="36" w:name="_Toc72938320"/>
      <w:r>
        <w:rPr>
          <w:rStyle w:val="19"/>
          <w:sz w:val="39"/>
          <w:szCs w:val="39"/>
        </w:rPr>
        <w:t>第四部分 附件</w:t>
      </w:r>
      <w:bookmarkEnd w:id="36"/>
    </w:p>
    <w:p>
      <w:pPr>
        <w:pStyle w:val="18"/>
        <w:shd w:val="clear" w:color="auto" w:fill="FFFFFF"/>
        <w:outlineLvl w:val="1"/>
      </w:pPr>
      <w:bookmarkStart w:id="37" w:name="_Toc72938321"/>
      <w:r>
        <w:t>附件</w:t>
      </w:r>
      <w:bookmarkEnd w:id="37"/>
    </w:p>
    <w:p>
      <w:pPr>
        <w:pStyle w:val="18"/>
        <w:shd w:val="clear" w:color="auto" w:fill="FFFFFF"/>
        <w:jc w:val="center"/>
      </w:pPr>
      <w:r>
        <w:rPr>
          <w:sz w:val="39"/>
          <w:szCs w:val="39"/>
        </w:rPr>
        <w:t>2022年</w:t>
      </w:r>
      <w:r>
        <w:rPr>
          <w:rFonts w:hint="eastAsia"/>
          <w:sz w:val="39"/>
          <w:szCs w:val="39"/>
          <w:lang w:val="en-US" w:eastAsia="zh-CN"/>
        </w:rPr>
        <w:t>阿坝州发展和改革委员会</w:t>
      </w:r>
      <w:r>
        <w:rPr>
          <w:sz w:val="39"/>
          <w:szCs w:val="39"/>
        </w:rPr>
        <w:t>部门整体绩效评价报告</w:t>
      </w:r>
    </w:p>
    <w:p>
      <w:pPr>
        <w:pStyle w:val="18"/>
        <w:shd w:val="clear" w:color="auto" w:fill="FFFFFF"/>
        <w:jc w:val="center"/>
      </w:pPr>
      <w:r>
        <w:t>（报告范围包括</w:t>
      </w:r>
      <w:r>
        <w:rPr>
          <w:rFonts w:hint="eastAsia"/>
          <w:lang w:val="en-US" w:eastAsia="zh-CN"/>
        </w:rPr>
        <w:t>委</w:t>
      </w:r>
      <w:r>
        <w:t>机关</w:t>
      </w:r>
      <w:r>
        <w:rPr>
          <w:rFonts w:hint="eastAsia"/>
          <w:lang w:val="en-US" w:eastAsia="zh-CN"/>
        </w:rPr>
        <w:t>及下属事业单位</w:t>
      </w:r>
      <w:r>
        <w:t>）</w:t>
      </w:r>
    </w:p>
    <w:p>
      <w:pPr>
        <w:pStyle w:val="18"/>
        <w:shd w:val="clear" w:color="auto" w:fill="FFFFFF"/>
        <w:rPr>
          <w:rStyle w:val="2Char"/>
          <w:rFonts w:ascii="黑体" w:eastAsia="黑体"/>
          <w:highlight w:val="auto"/>
        </w:rPr>
      </w:pPr>
      <w:r>
        <w:t> </w:t>
      </w:r>
      <w:bookmarkStart w:id="38" w:name="_Toc72938322"/>
      <w:r>
        <w:rPr>
          <w:rStyle w:val="2Char"/>
          <w:rFonts w:ascii="黑体" w:eastAsia="黑体"/>
          <w:highlight w:val="auto"/>
        </w:rPr>
        <w:t>一、部门（单位）概况</w:t>
      </w:r>
      <w:bookmarkEnd w:id="38"/>
    </w:p>
    <w:p>
      <w:pPr>
        <w:pStyle w:val="18"/>
        <w:shd w:val="clear" w:color="auto" w:fill="FFFFFF"/>
        <w:outlineLvl w:val="2"/>
        <w:rPr>
          <w:sz w:val="32"/>
          <w:szCs w:val="32"/>
        </w:rPr>
      </w:pPr>
      <w:bookmarkStart w:id="39" w:name="_Toc72938323"/>
      <w:r>
        <w:rPr>
          <w:sz w:val="32"/>
          <w:szCs w:val="32"/>
        </w:rPr>
        <w:t>（一）机构组成。</w:t>
      </w:r>
      <w:bookmarkEnd w:id="39"/>
    </w:p>
    <w:p>
      <w:pPr>
        <w:keepNext w:val="0"/>
        <w:keepLines w:val="0"/>
        <w:pageBreakBefore w:val="0"/>
        <w:widowControl w:val="0"/>
        <w:tabs>
          <w:tab w:val="left" w:pos="949"/>
        </w:tabs>
        <w:kinsoku/>
        <w:wordWrap/>
        <w:overflowPunct/>
        <w:topLinePunct w:val="0"/>
        <w:autoSpaceDE/>
        <w:autoSpaceDN/>
        <w:bidi w:val="0"/>
        <w:adjustRightInd/>
        <w:snapToGrid/>
        <w:spacing w:line="560" w:lineRule="exact"/>
        <w:ind w:firstLineChars="200" w:firstLine="640"/>
        <w:textAlignment w:val="auto"/>
        <w:rPr>
          <w:rFonts w:ascii="仿宋_GB2312" w:cs="宋体" w:hAnsi="仿宋_GB2312" w:hint="eastAsia"/>
          <w:color w:val="000000"/>
          <w:kern w:val="0"/>
          <w:szCs w:val="32"/>
          <w:shd w:val="clear" w:color="auto" w:fill="FFFFFF"/>
          <w:lang w:val="zh-CN"/>
        </w:rPr>
      </w:pPr>
      <w:r>
        <w:rPr>
          <w:rFonts w:ascii="仿宋_GB2312" w:eastAsia="仿宋_GB2312" w:cs="仿宋_GB2312" w:hint="eastAsia"/>
          <w:sz w:val="32"/>
          <w:szCs w:val="32"/>
          <w:lang w:eastAsia="zh-CN"/>
        </w:rPr>
        <w:t>我委内</w:t>
      </w:r>
      <w:r>
        <w:rPr>
          <w:rFonts w:ascii="仿宋_GB2312" w:eastAsia="仿宋_GB2312" w:cs="仿宋_GB2312" w:hint="eastAsia"/>
          <w:color w:val="000000"/>
          <w:sz w:val="32"/>
          <w:szCs w:val="32"/>
        </w:rPr>
        <w:t>设2</w:t>
      </w: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个科室、局、中心（事业单位</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rPr>
        <w:t>个）</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有各类编制</w:t>
      </w:r>
      <w:r>
        <w:rPr>
          <w:rFonts w:ascii="仿宋_GB2312" w:eastAsia="仿宋_GB2312" w:cs="仿宋_GB2312" w:hint="eastAsia"/>
          <w:color w:val="000000"/>
          <w:sz w:val="32"/>
          <w:szCs w:val="32"/>
          <w:lang w:val="en-US" w:eastAsia="zh-CN"/>
        </w:rPr>
        <w:t>109</w:t>
      </w:r>
      <w:r>
        <w:rPr>
          <w:rFonts w:ascii="仿宋_GB2312" w:eastAsia="仿宋_GB2312" w:cs="仿宋_GB2312" w:hint="eastAsia"/>
          <w:color w:val="000000"/>
          <w:sz w:val="32"/>
          <w:szCs w:val="32"/>
        </w:rPr>
        <w:t>名，其中行政编制</w:t>
      </w:r>
      <w:r>
        <w:rPr>
          <w:rFonts w:ascii="仿宋_GB2312" w:eastAsia="仿宋_GB2312" w:cs="仿宋_GB2312" w:hint="eastAsia"/>
          <w:color w:val="000000"/>
          <w:sz w:val="32"/>
          <w:szCs w:val="32"/>
          <w:lang w:val="en-US" w:eastAsia="zh-CN"/>
        </w:rPr>
        <w:t>6</w:t>
      </w:r>
      <w:r>
        <w:rPr>
          <w:rFonts w:ascii="仿宋_GB2312" w:eastAsia="仿宋_GB2312" w:cs="仿宋_GB2312" w:hint="eastAsia"/>
          <w:color w:val="000000"/>
          <w:sz w:val="32"/>
          <w:szCs w:val="32"/>
        </w:rPr>
        <w:t>8名，事业编制2</w:t>
      </w:r>
      <w:r>
        <w:rPr>
          <w:rFonts w:ascii="仿宋_GB2312" w:eastAsia="仿宋_GB2312" w:cs="仿宋_GB2312" w:hint="eastAsia"/>
          <w:color w:val="000000"/>
          <w:sz w:val="32"/>
          <w:szCs w:val="32"/>
          <w:lang w:val="en-US" w:eastAsia="zh-CN"/>
        </w:rPr>
        <w:t>9</w:t>
      </w:r>
      <w:r>
        <w:rPr>
          <w:rFonts w:ascii="仿宋_GB2312" w:eastAsia="仿宋_GB2312" w:cs="仿宋_GB2312" w:hint="eastAsia"/>
          <w:color w:val="000000"/>
          <w:sz w:val="32"/>
          <w:szCs w:val="32"/>
        </w:rPr>
        <w:t>名，工勤编制1</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名。</w:t>
      </w:r>
    </w:p>
    <w:p>
      <w:pPr>
        <w:pStyle w:val="18"/>
        <w:numPr>
          <w:ilvl w:val="0"/>
          <w:numId w:val="2"/>
        </w:numPr>
        <w:shd w:val="clear" w:color="auto" w:fill="FFFFFF"/>
        <w:outlineLvl w:val="2"/>
        <w:rPr>
          <w:sz w:val="32"/>
          <w:szCs w:val="32"/>
        </w:rPr>
      </w:pPr>
      <w:bookmarkStart w:id="40" w:name="_Toc72938324"/>
      <w:r>
        <w:rPr>
          <w:sz w:val="32"/>
          <w:szCs w:val="32"/>
        </w:rPr>
        <w:t>机构职能。</w:t>
      </w:r>
      <w:bookmarkEnd w:id="40"/>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3.负责监测宏观经济和社会发展态势，承担预测预警和信息引导的责任，研究宏观调控重大问题并提出政策建议，搞好总量平衡，综合协调经济社会发展中的重大问题。负责州级以上开发区的指导、协调和宏观管理。</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4.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5.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6.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7.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8.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9.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10.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11.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12.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13.指导、协调并综合管理全州招标投标工作，对国家和州重大建设项目建设过程中的工程招标投标活动实施监督检查。</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14.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15.负责组织编制全州国民经济动员与装备动员规划、计划，研究国民经济动员与装备动员和国民经济、国防建设的关系，协调相关重大问题，组织实施国民经济动员与装备动员有关工作。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16.承担州实施西部大开发领导小组、州重点项目领导小组的具体工作。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17.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18.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19.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20.贯彻国家军粮供应政策，做好军供粮差价款的拨付工作，保障军队(含武警)政策性粮食供应。指导粮食系统对外经济技术合作与交流，指导全州粮食行业的职业教育培训工作。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21.承担州政府公布的有关行政审批事项。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22.承办州政府交办的其他事项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阿坝州发改委职责调整</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1.将原州粮食局、州物价局的职责和原州扶贫两资以工代赈办公室承担的以工代赈职责整合划入州发展和改革委员会。</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2.取消、下放已由州政府公布取消下放的行政审批事项。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3.加强发展战略规划研究，重点拟订和组织实施国民经济和社会发展战略、中长期规划、年度计划。</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4.加强宏观经济的预测预警，综合协调经济社会发展中的重大问题。</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5.加强投资宏观管理，搞好政府投资综合平衡，引导社会投资方向，协调推进重大项目建设，引导全州重大生产力布局。</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6.加强价格管理，做好价格总水平调控，加强反价格垄断执法力度，提供价格公共服务。</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7.加强重大政策和重大问题研究，推进可持续发展，提出保持经济社会与资源、环境协调发展的政策建议。</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8.推进统筹城乡、区域协调发展，促进城乡一体化，缩小地区发展差异。</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9.统筹协调和指导推进全州经济体制改革，协调推进专项经济体制改革，指导经济体制改革试点工作。</w:t>
      </w:r>
    </w:p>
    <w:p>
      <w:pPr>
        <w:pStyle w:val="18"/>
        <w:shd w:val="clear" w:color="auto" w:fill="FFFFFF"/>
        <w:outlineLvl w:val="2"/>
        <w:rPr>
          <w:rFonts w:ascii="仿宋_GB2312" w:eastAsia="仿宋_GB2312" w:cs="仿宋_GB2312"/>
          <w:sz w:val="32"/>
          <w:szCs w:val="32"/>
        </w:rPr>
      </w:pPr>
      <w:bookmarkStart w:id="41" w:name="_Toc72938325"/>
      <w:r>
        <w:rPr>
          <w:rFonts w:ascii="仿宋_GB2312" w:eastAsia="仿宋_GB2312" w:cs="仿宋_GB2312"/>
          <w:sz w:val="32"/>
          <w:szCs w:val="32"/>
        </w:rPr>
        <w:t>10.加强指导协调并综合管理全州招标投标工作。</w:t>
      </w:r>
      <w:bookmarkEnd w:id="41"/>
    </w:p>
    <w:p>
      <w:pPr>
        <w:pStyle w:val="18"/>
        <w:shd w:val="clear" w:color="auto" w:fill="FFFFFF"/>
        <w:outlineLvl w:val="2"/>
        <w:rPr>
          <w:b/>
          <w:bCs/>
          <w:sz w:val="32"/>
          <w:szCs w:val="32"/>
        </w:rPr>
      </w:pPr>
      <w:bookmarkStart w:id="42" w:name="_Toc72938326"/>
      <w:r>
        <w:rPr>
          <w:b/>
          <w:bCs/>
          <w:sz w:val="32"/>
          <w:szCs w:val="32"/>
        </w:rPr>
        <w:t>（三）人员概况。</w:t>
      </w:r>
      <w:bookmarkEnd w:id="42"/>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80" w:lineRule="exact"/>
        <w:ind w:firstLineChars="200" w:firstLine="640"/>
        <w:textAlignment w:val="auto"/>
        <w:rPr>
          <w:sz w:val="32"/>
          <w:szCs w:val="32"/>
        </w:rPr>
      </w:pPr>
      <w:r>
        <w:rPr>
          <w:rFonts w:ascii="仿宋_GB2312" w:eastAsia="仿宋_GB2312" w:cs="Times New Roman" w:hint="eastAsia"/>
          <w:kern w:val="2"/>
          <w:sz w:val="32"/>
          <w:szCs w:val="32"/>
          <w:lang w:val="zh-CN" w:eastAsia="zh-CN" w:bidi="ar-SA"/>
        </w:rPr>
        <w:t>我委现有在职在编人员</w:t>
      </w:r>
      <w:r>
        <w:rPr>
          <w:rFonts w:ascii="仿宋_GB2312" w:eastAsia="仿宋_GB2312" w:cs="Times New Roman" w:hint="eastAsia"/>
          <w:kern w:val="2"/>
          <w:sz w:val="32"/>
          <w:szCs w:val="32"/>
          <w:lang w:val="en-US" w:eastAsia="zh-CN" w:bidi="ar-SA"/>
        </w:rPr>
        <w:t>88</w:t>
      </w:r>
      <w:r>
        <w:rPr>
          <w:rFonts w:ascii="仿宋_GB2312" w:eastAsia="仿宋_GB2312" w:cs="Times New Roman" w:hint="eastAsia"/>
          <w:kern w:val="2"/>
          <w:sz w:val="32"/>
          <w:szCs w:val="32"/>
          <w:lang w:val="zh-CN" w:eastAsia="zh-CN" w:bidi="ar-SA"/>
        </w:rPr>
        <w:t>名，其中：行政人员及工勤共6</w:t>
      </w:r>
      <w:r>
        <w:rPr>
          <w:rFonts w:ascii="仿宋_GB2312" w:eastAsia="仿宋_GB2312" w:cs="Times New Roman" w:hint="eastAsia"/>
          <w:kern w:val="2"/>
          <w:sz w:val="32"/>
          <w:szCs w:val="32"/>
          <w:lang w:val="en-US" w:eastAsia="zh-CN" w:bidi="ar-SA"/>
        </w:rPr>
        <w:t>6</w:t>
      </w:r>
      <w:r>
        <w:rPr>
          <w:rFonts w:ascii="仿宋_GB2312" w:eastAsia="仿宋_GB2312" w:cs="Times New Roman" w:hint="eastAsia"/>
          <w:kern w:val="2"/>
          <w:sz w:val="32"/>
          <w:szCs w:val="32"/>
          <w:lang w:val="zh-CN" w:eastAsia="zh-CN" w:bidi="ar-SA"/>
        </w:rPr>
        <w:t>人，事业人员22人。离休人员2人，退休人员6</w:t>
      </w:r>
      <w:r>
        <w:rPr>
          <w:rFonts w:ascii="仿宋_GB2312" w:eastAsia="仿宋_GB2312" w:cs="Times New Roman" w:hint="eastAsia"/>
          <w:kern w:val="2"/>
          <w:sz w:val="32"/>
          <w:szCs w:val="32"/>
          <w:lang w:val="en-US" w:eastAsia="zh-CN" w:bidi="ar-SA"/>
        </w:rPr>
        <w:t>6</w:t>
      </w:r>
      <w:r>
        <w:rPr>
          <w:rFonts w:ascii="仿宋_GB2312" w:eastAsia="仿宋_GB2312" w:cs="Times New Roman" w:hint="eastAsia"/>
          <w:kern w:val="2"/>
          <w:sz w:val="32"/>
          <w:szCs w:val="32"/>
          <w:lang w:val="zh-CN" w:eastAsia="zh-CN" w:bidi="ar-SA"/>
        </w:rPr>
        <w:t>人。</w:t>
      </w:r>
    </w:p>
    <w:p>
      <w:pPr>
        <w:spacing w:line="600" w:lineRule="exact"/>
        <w:outlineLvl w:val="1"/>
        <w:rPr>
          <w:rStyle w:val="2Char"/>
          <w:rFonts w:ascii="黑体" w:eastAsia="黑体"/>
          <w:highlight w:val="auto"/>
        </w:rPr>
      </w:pPr>
      <w:bookmarkStart w:id="43" w:name="_Toc72938327"/>
      <w:r>
        <w:rPr>
          <w:rStyle w:val="2Char"/>
          <w:rFonts w:ascii="黑体" w:eastAsia="黑体"/>
          <w:highlight w:val="auto"/>
        </w:rPr>
        <w:t>二、部门财政资金收支情况</w:t>
      </w:r>
      <w:bookmarkEnd w:id="43"/>
    </w:p>
    <w:p>
      <w:pPr>
        <w:keepNext w:val="0"/>
        <w:keepLines w:val="0"/>
        <w:pageBreakBefore w:val="0"/>
        <w:widowControl/>
        <w:kinsoku/>
        <w:wordWrap/>
        <w:overflowPunct/>
        <w:topLinePunct w:val="0"/>
        <w:autoSpaceDE/>
        <w:autoSpaceDN/>
        <w:bidi w:val="0"/>
        <w:adjustRightInd w:val="0"/>
        <w:snapToGrid w:val="0"/>
        <w:spacing w:line="680" w:lineRule="exact"/>
        <w:ind w:firstLineChars="200" w:firstLine="640"/>
        <w:contextualSpacing/>
        <w:jc w:val="left"/>
        <w:textAlignment w:val="auto"/>
        <w:outlineLvl w:val="2"/>
        <w:rPr>
          <w:rFonts w:ascii="仿宋_GB2312" w:cs="宋体" w:hAnsi="仿宋_GB2312" w:hint="eastAsia"/>
          <w:b/>
          <w:bCs/>
          <w:color w:val="000000"/>
          <w:kern w:val="0"/>
          <w:sz w:val="32"/>
          <w:szCs w:val="32"/>
          <w:shd w:val="clear" w:color="auto" w:fill="FFFFFF"/>
          <w:lang w:val="zh-CN"/>
        </w:rPr>
      </w:pPr>
      <w:bookmarkStart w:id="44" w:name="_Toc72938328"/>
      <w:r>
        <w:rPr>
          <w:rFonts w:ascii="仿宋_GB2312" w:cs="宋体" w:hAnsi="仿宋_GB2312" w:hint="eastAsia"/>
          <w:b/>
          <w:bCs/>
          <w:color w:val="000000"/>
          <w:kern w:val="0"/>
          <w:sz w:val="32"/>
          <w:szCs w:val="32"/>
          <w:shd w:val="clear" w:color="auto" w:fill="FFFFFF"/>
          <w:lang w:val="zh-CN"/>
        </w:rPr>
        <w:t>（一）部门财政资金收入情况。</w:t>
      </w:r>
      <w:bookmarkEnd w:id="44"/>
    </w:p>
    <w:p>
      <w:pPr>
        <w:keepNext w:val="0"/>
        <w:keepLines w:val="0"/>
        <w:pageBreakBefore w:val="0"/>
        <w:widowControl w:val="0"/>
        <w:kinsoku/>
        <w:wordWrap/>
        <w:overflowPunct/>
        <w:topLinePunct w:val="0"/>
        <w:autoSpaceDE/>
        <w:autoSpaceDN/>
        <w:bidi w:val="0"/>
        <w:adjustRightInd/>
        <w:snapToGrid/>
        <w:spacing w:line="680" w:lineRule="exact"/>
        <w:ind w:firstLineChars="200" w:firstLine="640"/>
        <w:textAlignment w:val="auto"/>
        <w:rPr>
          <w:color w:val="auto"/>
          <w:lang w:val="zh-CN"/>
        </w:rPr>
      </w:pPr>
      <w:r>
        <w:rPr>
          <w:rFonts w:ascii="仿宋_GB2312" w:eastAsia="仿宋_GB2312" w:cs="仿宋_GB2312" w:hint="eastAsia"/>
          <w:color w:val="auto"/>
          <w:sz w:val="32"/>
          <w:szCs w:val="32"/>
          <w:lang w:val="en-US" w:eastAsia="zh-CN"/>
        </w:rPr>
        <w:t>202</w:t>
      </w:r>
      <w:r>
        <w:rPr>
          <w:rFonts w:ascii="仿宋_GB2312" w:cs="仿宋_GB2312" w:hAnsi="仿宋_GB2312"/>
          <w:color w:val="auto"/>
          <w:sz w:val="32"/>
          <w:szCs w:val="32"/>
          <w:lang w:val="en-US" w:eastAsia="zh-CN"/>
        </w:rPr>
        <w:t>2</w:t>
      </w:r>
      <w:r>
        <w:rPr>
          <w:rFonts w:ascii="仿宋_GB2312" w:eastAsia="仿宋_GB2312" w:cs="仿宋_GB2312" w:hint="eastAsia"/>
          <w:color w:val="auto"/>
          <w:sz w:val="32"/>
          <w:szCs w:val="32"/>
          <w:lang w:val="en-US" w:eastAsia="zh-CN"/>
        </w:rPr>
        <w:t>年部门预算收入总数</w:t>
      </w:r>
      <w:r>
        <w:rPr>
          <w:rFonts w:ascii="仿宋_GB2312" w:cs="仿宋_GB2312" w:hAnsi="仿宋_GB2312"/>
          <w:color w:val="auto"/>
          <w:sz w:val="32"/>
          <w:szCs w:val="32"/>
          <w:lang w:val="en-US" w:eastAsia="zh-CN"/>
        </w:rPr>
        <w:t>4,032.46</w:t>
      </w:r>
      <w:r>
        <w:rPr>
          <w:rFonts w:ascii="仿宋_GB2312" w:eastAsia="仿宋_GB2312" w:cs="仿宋_GB2312" w:hint="eastAsia"/>
          <w:color w:val="auto"/>
          <w:sz w:val="32"/>
          <w:szCs w:val="32"/>
          <w:lang w:val="en-US" w:eastAsia="zh-CN"/>
        </w:rPr>
        <w:t>万元，其中：一般公共预算财政拨款收入</w:t>
      </w:r>
      <w:r>
        <w:rPr>
          <w:rFonts w:ascii="仿宋_GB2312" w:cs="仿宋_GB2312" w:hAnsi="仿宋_GB2312"/>
          <w:color w:val="auto"/>
          <w:sz w:val="32"/>
          <w:szCs w:val="32"/>
          <w:lang w:val="en-US" w:eastAsia="zh-CN"/>
        </w:rPr>
        <w:t>4,001.70</w:t>
      </w:r>
      <w:r>
        <w:rPr>
          <w:rFonts w:ascii="仿宋_GB2312" w:eastAsia="仿宋_GB2312" w:cs="仿宋_GB2312" w:hint="eastAsia"/>
          <w:color w:val="auto"/>
          <w:sz w:val="32"/>
          <w:szCs w:val="32"/>
          <w:lang w:val="en-US" w:eastAsia="zh-CN"/>
        </w:rPr>
        <w:t>万元</w:t>
      </w:r>
      <w:r>
        <w:rPr>
          <w:rFonts w:ascii="仿宋_GB2312" w:cs="仿宋_GB2312" w:hAnsi="仿宋_GB2312" w:hint="eastAsia"/>
          <w:color w:val="auto"/>
          <w:sz w:val="32"/>
          <w:szCs w:val="32"/>
          <w:lang w:val="en-US" w:eastAsia="zh-CN"/>
        </w:rPr>
        <w:t>、其他收入</w:t>
      </w:r>
      <w:r>
        <w:rPr>
          <w:rFonts w:ascii="仿宋_GB2312" w:cs="仿宋_GB2312" w:hAnsi="仿宋_GB2312"/>
          <w:color w:val="auto"/>
          <w:sz w:val="32"/>
          <w:szCs w:val="32"/>
          <w:lang w:val="en-US" w:eastAsia="zh-CN"/>
        </w:rPr>
        <w:t>0</w:t>
      </w:r>
      <w:r>
        <w:rPr>
          <w:rFonts w:ascii="仿宋_GB2312" w:cs="仿宋_GB2312" w:hAnsi="仿宋_GB2312" w:hint="eastAsia"/>
          <w:color w:val="auto"/>
          <w:sz w:val="32"/>
          <w:szCs w:val="32"/>
          <w:lang w:val="en-US" w:eastAsia="zh-CN"/>
        </w:rPr>
        <w:t>万元</w:t>
      </w:r>
      <w:r>
        <w:rPr>
          <w:rFonts w:ascii="仿宋_GB2312" w:eastAsia="仿宋_GB2312" w:cs="仿宋_GB2312" w:hint="eastAsia"/>
          <w:color w:val="auto"/>
          <w:sz w:val="32"/>
          <w:szCs w:val="32"/>
          <w:lang w:val="en-US" w:eastAsia="zh-CN"/>
        </w:rPr>
        <w:t>；年初结转结余总额</w:t>
      </w:r>
      <w:r>
        <w:rPr>
          <w:rFonts w:ascii="仿宋_GB2312" w:cs="仿宋_GB2312" w:hAnsi="仿宋_GB2312"/>
          <w:color w:val="auto"/>
          <w:sz w:val="32"/>
          <w:szCs w:val="32"/>
          <w:lang w:val="en-US" w:eastAsia="zh-CN"/>
        </w:rPr>
        <w:t>30.76</w:t>
      </w:r>
      <w:r>
        <w:rPr>
          <w:rFonts w:ascii="仿宋_GB2312" w:eastAsia="仿宋_GB2312" w:cs="仿宋_GB2312" w:hint="eastAsia"/>
          <w:color w:val="auto"/>
          <w:sz w:val="32"/>
          <w:szCs w:val="32"/>
          <w:lang w:val="en-US" w:eastAsia="zh-CN"/>
        </w:rPr>
        <w:t>万元。</w:t>
      </w:r>
    </w:p>
    <w:p>
      <w:pPr>
        <w:keepNext w:val="0"/>
        <w:keepLines w:val="0"/>
        <w:pageBreakBefore w:val="0"/>
        <w:widowControl/>
        <w:kinsoku/>
        <w:wordWrap/>
        <w:overflowPunct/>
        <w:topLinePunct w:val="0"/>
        <w:autoSpaceDE/>
        <w:autoSpaceDN/>
        <w:bidi w:val="0"/>
        <w:adjustRightInd w:val="0"/>
        <w:snapToGrid w:val="0"/>
        <w:spacing w:line="680" w:lineRule="exact"/>
        <w:ind w:leftChars="200" w:left="480"/>
        <w:contextualSpacing/>
        <w:jc w:val="left"/>
        <w:textAlignment w:val="auto"/>
        <w:outlineLvl w:val="2"/>
        <w:rPr>
          <w:rFonts w:ascii="仿宋_GB2312" w:cs="宋体" w:hAnsi="仿宋_GB2312" w:hint="eastAsia"/>
          <w:b/>
          <w:bCs/>
          <w:color w:val="auto"/>
          <w:kern w:val="0"/>
          <w:sz w:val="32"/>
          <w:szCs w:val="32"/>
          <w:shd w:val="clear" w:color="auto" w:fill="FFFFFF"/>
          <w:lang w:val="zh-CN"/>
        </w:rPr>
      </w:pPr>
      <w:bookmarkStart w:id="45" w:name="_Toc72938329"/>
      <w:r>
        <w:rPr>
          <w:rFonts w:ascii="仿宋_GB2312" w:cs="宋体" w:hAnsi="仿宋_GB2312" w:hint="eastAsia"/>
          <w:b/>
          <w:bCs/>
          <w:color w:val="auto"/>
          <w:kern w:val="0"/>
          <w:sz w:val="32"/>
          <w:szCs w:val="32"/>
          <w:shd w:val="clear" w:color="auto" w:fill="FFFFFF"/>
          <w:lang w:val="zh-CN"/>
        </w:rPr>
        <w:t>（二）部门财政资金支出情况。</w:t>
      </w:r>
      <w:bookmarkEnd w:id="45"/>
    </w:p>
    <w:p>
      <w:pPr>
        <w:pStyle w:val="25"/>
        <w:keepNext w:val="0"/>
        <w:keepLines w:val="0"/>
        <w:pageBreakBefore w:val="0"/>
        <w:widowControl w:val="0"/>
        <w:kinsoku/>
        <w:wordWrap/>
        <w:overflowPunct/>
        <w:topLinePunct w:val="0"/>
        <w:autoSpaceDE/>
        <w:autoSpaceDN/>
        <w:bidi w:val="0"/>
        <w:adjustRightInd/>
        <w:snapToGrid/>
        <w:spacing w:before="0" w:line="680" w:lineRule="exact"/>
        <w:ind w:firstLineChars="200" w:firstLine="640"/>
        <w:textAlignment w:val="auto"/>
        <w:rPr>
          <w:rFonts w:ascii="仿宋_GB2312" w:eastAsia="仿宋_GB2312" w:cs="仿宋_GB2312" w:hint="eastAsia"/>
          <w:color w:val="auto"/>
          <w:kern w:val="0"/>
          <w:sz w:val="32"/>
          <w:szCs w:val="32"/>
          <w:lang w:val="en-US" w:eastAsia="zh-CN" w:bidi="ar-SA"/>
        </w:rPr>
      </w:pPr>
      <w:r>
        <w:rPr>
          <w:rFonts w:cs="仿宋_GB2312" w:hint="eastAsia"/>
          <w:color w:val="auto"/>
          <w:kern w:val="0"/>
          <w:sz w:val="32"/>
          <w:szCs w:val="32"/>
          <w:lang w:val="en-US" w:eastAsia="zh-CN" w:bidi="ar-SA"/>
        </w:rPr>
        <w:t>202</w:t>
      </w:r>
      <w:r>
        <w:rPr>
          <w:rFonts w:cs="仿宋_GB2312"/>
          <w:color w:val="auto"/>
          <w:kern w:val="0"/>
          <w:sz w:val="32"/>
          <w:szCs w:val="32"/>
          <w:lang w:val="en-US" w:eastAsia="zh-CN" w:bidi="ar-SA"/>
        </w:rPr>
        <w:t>2</w:t>
      </w:r>
      <w:r>
        <w:rPr>
          <w:rFonts w:ascii="仿宋_GB2312" w:eastAsia="仿宋_GB2312" w:cs="仿宋_GB2312" w:hint="eastAsia"/>
          <w:color w:val="auto"/>
          <w:kern w:val="0"/>
          <w:sz w:val="32"/>
          <w:szCs w:val="32"/>
          <w:lang w:val="en-US" w:eastAsia="zh-CN" w:bidi="ar-SA"/>
        </w:rPr>
        <w:t>年部门预算支出总数</w:t>
      </w:r>
      <w:r>
        <w:rPr>
          <w:rFonts w:ascii="仿宋" w:eastAsia="仿宋"/>
          <w:color w:val="auto"/>
          <w:szCs w:val="32"/>
          <w:lang w:val="en-US" w:eastAsia="zh-CN"/>
        </w:rPr>
        <w:t>4,032.46</w:t>
      </w:r>
      <w:r>
        <w:rPr>
          <w:rFonts w:ascii="仿宋_GB2312" w:eastAsia="仿宋_GB2312" w:cs="仿宋_GB2312" w:hint="eastAsia"/>
          <w:color w:val="auto"/>
          <w:kern w:val="0"/>
          <w:sz w:val="32"/>
          <w:szCs w:val="32"/>
          <w:lang w:val="en-US" w:eastAsia="zh-CN" w:bidi="ar-SA"/>
        </w:rPr>
        <w:t>万元，其中：基本支出总数</w:t>
      </w:r>
      <w:r>
        <w:rPr>
          <w:rFonts w:ascii="仿宋" w:eastAsia="仿宋"/>
          <w:color w:val="auto"/>
          <w:szCs w:val="32"/>
          <w:lang w:val="en-US" w:eastAsia="zh-CN"/>
        </w:rPr>
        <w:t>2,758.58</w:t>
      </w:r>
      <w:r>
        <w:rPr>
          <w:rFonts w:ascii="仿宋_GB2312" w:eastAsia="仿宋_GB2312" w:cs="仿宋_GB2312" w:hint="eastAsia"/>
          <w:color w:val="auto"/>
          <w:kern w:val="0"/>
          <w:sz w:val="32"/>
          <w:szCs w:val="32"/>
          <w:lang w:val="en-US" w:eastAsia="zh-CN" w:bidi="ar-SA"/>
        </w:rPr>
        <w:t>万元（人员经费支出：</w:t>
      </w:r>
      <w:r>
        <w:rPr>
          <w:rFonts w:cs="仿宋_GB2312" w:hint="eastAsia"/>
          <w:color w:val="auto"/>
          <w:kern w:val="0"/>
          <w:sz w:val="32"/>
          <w:szCs w:val="32"/>
          <w:lang w:val="en-US" w:eastAsia="zh-CN" w:bidi="ar-SA"/>
        </w:rPr>
        <w:t>2</w:t>
      </w:r>
      <w:r>
        <w:rPr>
          <w:rFonts w:cs="仿宋_GB2312"/>
          <w:color w:val="auto"/>
          <w:kern w:val="0"/>
          <w:sz w:val="32"/>
          <w:szCs w:val="32"/>
          <w:lang w:val="en-US" w:eastAsia="zh-CN" w:bidi="ar-SA"/>
        </w:rPr>
        <w:t>,366.74</w:t>
      </w:r>
      <w:r>
        <w:rPr>
          <w:rFonts w:ascii="仿宋_GB2312" w:eastAsia="仿宋_GB2312" w:cs="仿宋_GB2312" w:hint="eastAsia"/>
          <w:color w:val="auto"/>
          <w:kern w:val="0"/>
          <w:sz w:val="32"/>
          <w:szCs w:val="32"/>
          <w:lang w:val="en-US" w:eastAsia="zh-CN" w:bidi="ar-SA"/>
        </w:rPr>
        <w:t>万元，公用经费支出</w:t>
      </w:r>
      <w:r>
        <w:rPr>
          <w:rFonts w:cs="仿宋_GB2312"/>
          <w:color w:val="auto"/>
          <w:kern w:val="0"/>
          <w:sz w:val="32"/>
          <w:szCs w:val="32"/>
          <w:lang w:val="en-US" w:eastAsia="zh-CN" w:bidi="ar-SA"/>
        </w:rPr>
        <w:t>391.84万元</w:t>
      </w:r>
      <w:r>
        <w:rPr>
          <w:rFonts w:ascii="仿宋_GB2312" w:eastAsia="仿宋_GB2312" w:cs="仿宋_GB2312" w:hint="eastAsia"/>
          <w:color w:val="auto"/>
          <w:kern w:val="0"/>
          <w:sz w:val="32"/>
          <w:szCs w:val="32"/>
          <w:lang w:val="en-US" w:eastAsia="zh-CN" w:bidi="ar-SA"/>
        </w:rPr>
        <w:t>）；</w:t>
      </w:r>
      <w:r>
        <w:rPr>
          <w:rFonts w:cs="仿宋_GB2312" w:hint="eastAsia"/>
          <w:color w:val="auto"/>
          <w:kern w:val="0"/>
          <w:sz w:val="32"/>
          <w:szCs w:val="32"/>
          <w:lang w:val="en-US" w:eastAsia="zh-CN" w:bidi="ar-SA"/>
        </w:rPr>
        <w:t>项目</w:t>
      </w:r>
      <w:r>
        <w:rPr>
          <w:rFonts w:ascii="仿宋_GB2312" w:eastAsia="仿宋_GB2312" w:cs="仿宋_GB2312" w:hint="eastAsia"/>
          <w:color w:val="auto"/>
          <w:kern w:val="0"/>
          <w:sz w:val="32"/>
          <w:szCs w:val="32"/>
          <w:lang w:val="en-US" w:eastAsia="zh-CN" w:bidi="ar-SA"/>
        </w:rPr>
        <w:t>支出总额</w:t>
      </w:r>
      <w:r>
        <w:rPr>
          <w:rFonts w:ascii="仿宋" w:eastAsia="仿宋"/>
          <w:color w:val="auto"/>
          <w:szCs w:val="32"/>
          <w:lang w:val="en-US" w:eastAsia="zh-CN"/>
        </w:rPr>
        <w:t>1,273.87</w:t>
      </w:r>
      <w:r>
        <w:rPr>
          <w:rFonts w:ascii="仿宋_GB2312" w:eastAsia="仿宋_GB2312" w:cs="仿宋_GB2312" w:hint="eastAsia"/>
          <w:color w:val="auto"/>
          <w:kern w:val="0"/>
          <w:sz w:val="32"/>
          <w:szCs w:val="32"/>
          <w:lang w:val="en-US" w:eastAsia="zh-CN" w:bidi="ar-SA"/>
        </w:rPr>
        <w:t>万元</w:t>
      </w:r>
      <w:r>
        <w:rPr>
          <w:rFonts w:cs="仿宋_GB2312" w:hint="eastAsia"/>
          <w:color w:val="auto"/>
          <w:kern w:val="0"/>
          <w:sz w:val="32"/>
          <w:szCs w:val="32"/>
          <w:lang w:val="en-US" w:eastAsia="zh-CN" w:bidi="ar-SA"/>
        </w:rPr>
        <w:t>；年末结转结余0万元</w:t>
      </w:r>
      <w:r>
        <w:rPr>
          <w:rFonts w:ascii="仿宋_GB2312" w:eastAsia="仿宋_GB2312" w:cs="仿宋_GB2312" w:hint="eastAsia"/>
          <w:color w:val="auto"/>
          <w:kern w:val="0"/>
          <w:sz w:val="32"/>
          <w:szCs w:val="32"/>
          <w:lang w:val="en-US" w:eastAsia="zh-CN" w:bidi="ar-SA"/>
        </w:rPr>
        <w:t>。</w:t>
      </w:r>
    </w:p>
    <w:p>
      <w:pPr>
        <w:pStyle w:val="25"/>
        <w:keepNext w:val="0"/>
        <w:keepLines w:val="0"/>
        <w:pageBreakBefore w:val="0"/>
        <w:widowControl w:val="0"/>
        <w:kinsoku/>
        <w:wordWrap/>
        <w:overflowPunct/>
        <w:topLinePunct w:val="0"/>
        <w:autoSpaceDE/>
        <w:autoSpaceDN/>
        <w:bidi w:val="0"/>
        <w:adjustRightInd/>
        <w:snapToGrid/>
        <w:spacing w:before="0" w:line="680" w:lineRule="exact"/>
        <w:ind w:firstLineChars="200" w:firstLine="640"/>
        <w:textAlignment w:val="auto"/>
        <w:rPr>
          <w:rFonts w:hint="eastAsia"/>
          <w:color w:val="auto"/>
          <w:lang w:val="zh-CN"/>
          <w:highlight w:val="yellow"/>
        </w:rPr>
      </w:pPr>
      <w:r>
        <w:rPr>
          <w:rFonts w:cs="仿宋_GB2312" w:hint="eastAsia"/>
          <w:color w:val="auto"/>
          <w:kern w:val="0"/>
          <w:sz w:val="32"/>
          <w:szCs w:val="32"/>
          <w:lang w:val="en-US" w:eastAsia="zh-CN" w:bidi="ar-SA"/>
        </w:rPr>
        <w:t>按照经济分类支出</w:t>
      </w:r>
      <w:r>
        <w:rPr>
          <w:rFonts w:ascii="仿宋_GB2312" w:eastAsia="仿宋_GB2312" w:cs="仿宋_GB2312" w:hint="eastAsia"/>
          <w:color w:val="auto"/>
          <w:kern w:val="0"/>
          <w:sz w:val="32"/>
          <w:szCs w:val="32"/>
          <w:lang w:val="en-US" w:eastAsia="zh-CN" w:bidi="ar-SA"/>
        </w:rPr>
        <w:t>其中：</w:t>
      </w:r>
      <w:r>
        <w:rPr>
          <w:rFonts w:cs="仿宋_GB2312" w:hint="eastAsia"/>
          <w:color w:val="auto"/>
          <w:kern w:val="0"/>
          <w:sz w:val="32"/>
          <w:szCs w:val="32"/>
          <w:lang w:val="en-US" w:eastAsia="zh-CN" w:bidi="ar-SA"/>
        </w:rPr>
        <w:t>工资福利支出</w:t>
      </w:r>
      <w:r>
        <w:rPr>
          <w:rFonts w:cs="仿宋_GB2312"/>
          <w:color w:val="auto"/>
          <w:kern w:val="0"/>
          <w:sz w:val="32"/>
          <w:szCs w:val="32"/>
          <w:lang w:val="en-US" w:eastAsia="zh-CN" w:bidi="ar-SA"/>
        </w:rPr>
        <w:t>2,062.86</w:t>
      </w:r>
      <w:r>
        <w:rPr>
          <w:rFonts w:cs="仿宋_GB2312" w:hint="eastAsia"/>
          <w:color w:val="auto"/>
          <w:kern w:val="0"/>
          <w:sz w:val="32"/>
          <w:szCs w:val="32"/>
          <w:lang w:val="en-US" w:eastAsia="zh-CN" w:bidi="ar-SA"/>
        </w:rPr>
        <w:t>万元</w:t>
      </w:r>
      <w:r>
        <w:rPr>
          <w:rFonts w:cs="仿宋_GB2312" w:hint="eastAsia"/>
          <w:color w:val="auto"/>
          <w:kern w:val="0"/>
          <w:sz w:val="32"/>
          <w:szCs w:val="32"/>
          <w:lang w:val="en-US" w:eastAsia="zh-CN" w:bidi="ar-SA"/>
          <w:highlight w:val="yellow"/>
        </w:rPr>
        <w:t>、</w:t>
      </w:r>
      <w:r>
        <w:rPr>
          <w:rFonts w:cs="仿宋_GB2312" w:hint="eastAsia"/>
          <w:color w:val="auto"/>
          <w:kern w:val="0"/>
          <w:sz w:val="32"/>
          <w:szCs w:val="32"/>
          <w:lang w:val="en-US" w:eastAsia="zh-CN" w:bidi="ar-SA"/>
        </w:rPr>
        <w:t>商品和服务支出</w:t>
      </w:r>
      <w:r>
        <w:rPr>
          <w:rFonts w:cs="仿宋_GB2312"/>
          <w:color w:val="auto"/>
          <w:kern w:val="0"/>
          <w:sz w:val="32"/>
          <w:szCs w:val="32"/>
          <w:lang w:val="en-US" w:eastAsia="zh-CN" w:bidi="ar-SA"/>
        </w:rPr>
        <w:t>1,239.01</w:t>
      </w:r>
      <w:r>
        <w:rPr>
          <w:rFonts w:cs="仿宋_GB2312" w:hint="eastAsia"/>
          <w:color w:val="auto"/>
          <w:kern w:val="0"/>
          <w:sz w:val="32"/>
          <w:szCs w:val="32"/>
          <w:lang w:val="en-US" w:eastAsia="zh-CN" w:bidi="ar-SA"/>
        </w:rPr>
        <w:t>万元、对个人和家庭补助支出</w:t>
      </w:r>
      <w:r>
        <w:rPr>
          <w:rFonts w:cs="仿宋_GB2312"/>
          <w:color w:val="auto"/>
          <w:kern w:val="0"/>
          <w:sz w:val="32"/>
          <w:szCs w:val="32"/>
          <w:lang w:val="en-US" w:eastAsia="zh-CN" w:bidi="ar-SA"/>
        </w:rPr>
        <w:t>304.75</w:t>
      </w:r>
      <w:r>
        <w:rPr>
          <w:rFonts w:cs="仿宋_GB2312" w:hint="eastAsia"/>
          <w:color w:val="auto"/>
          <w:kern w:val="0"/>
          <w:sz w:val="32"/>
          <w:szCs w:val="32"/>
          <w:lang w:val="en-US" w:eastAsia="zh-CN" w:bidi="ar-SA"/>
        </w:rPr>
        <w:t>万元、资本性支出</w:t>
      </w:r>
      <w:r>
        <w:rPr>
          <w:rFonts w:cs="仿宋_GB2312"/>
          <w:color w:val="auto"/>
          <w:kern w:val="0"/>
          <w:sz w:val="32"/>
          <w:szCs w:val="32"/>
          <w:lang w:val="en-US" w:eastAsia="zh-CN" w:bidi="ar-SA"/>
        </w:rPr>
        <w:t>425.84</w:t>
      </w:r>
      <w:r>
        <w:rPr>
          <w:rFonts w:cs="仿宋_GB2312" w:hint="eastAsia"/>
          <w:color w:val="auto"/>
          <w:kern w:val="0"/>
          <w:sz w:val="32"/>
          <w:szCs w:val="32"/>
          <w:lang w:val="en-US" w:eastAsia="zh-CN" w:bidi="ar-SA"/>
        </w:rPr>
        <w:t>万元。</w:t>
      </w:r>
    </w:p>
    <w:p>
      <w:pPr>
        <w:pStyle w:val="18"/>
        <w:shd w:val="clear" w:color="auto" w:fill="FFFFFF"/>
        <w:outlineLvl w:val="1"/>
        <w:rPr>
          <w:rFonts w:ascii="黑体" w:eastAsia="黑体" w:cs="黑体" w:hint="eastAsia"/>
          <w:sz w:val="36"/>
          <w:szCs w:val="36"/>
        </w:rPr>
      </w:pPr>
      <w:bookmarkStart w:id="46" w:name="_Toc72938330"/>
      <w:r>
        <w:rPr>
          <w:rFonts w:ascii="黑体" w:eastAsia="黑体" w:cs="黑体" w:hint="eastAsia"/>
          <w:sz w:val="36"/>
          <w:szCs w:val="36"/>
        </w:rPr>
        <w:t>三、部门整体预算绩效管理情况</w:t>
      </w:r>
      <w:bookmarkEnd w:id="46"/>
    </w:p>
    <w:p>
      <w:pPr>
        <w:keepNext w:val="0"/>
        <w:keepLines w:val="0"/>
        <w:pageBreakBefore w:val="0"/>
        <w:widowControl/>
        <w:kinsoku/>
        <w:wordWrap/>
        <w:overflowPunct/>
        <w:topLinePunct w:val="0"/>
        <w:autoSpaceDE/>
        <w:autoSpaceDN/>
        <w:bidi w:val="0"/>
        <w:adjustRightInd w:val="0"/>
        <w:snapToGrid w:val="0"/>
        <w:spacing w:line="680" w:lineRule="exact"/>
        <w:ind w:left="0" w:firstLineChars="200" w:firstLine="640"/>
        <w:contextualSpacing/>
        <w:jc w:val="left"/>
        <w:textAlignment w:val="auto"/>
        <w:outlineLvl w:val="2"/>
        <w:rPr>
          <w:rFonts w:ascii="仿宋_GB2312" w:cs="宋体" w:hAnsi="仿宋_GB2312"/>
          <w:b/>
          <w:bCs/>
          <w:color w:val="000000"/>
          <w:kern w:val="0"/>
          <w:sz w:val="32"/>
          <w:szCs w:val="32"/>
          <w:shd w:val="clear" w:color="auto" w:fill="FFFFFF"/>
          <w:lang w:val="zh-CN"/>
        </w:rPr>
      </w:pPr>
      <w:bookmarkStart w:id="47" w:name="_Toc72938331"/>
      <w:r>
        <w:rPr>
          <w:rFonts w:ascii="仿宋_GB2312" w:cs="宋体" w:hAnsi="仿宋_GB2312" w:hint="eastAsia"/>
          <w:b/>
          <w:bCs/>
          <w:color w:val="000000"/>
          <w:kern w:val="0"/>
          <w:sz w:val="32"/>
          <w:szCs w:val="32"/>
          <w:shd w:val="clear" w:color="auto" w:fill="FFFFFF"/>
          <w:lang w:val="zh-CN"/>
        </w:rPr>
        <w:t>（一）部门预算管理。</w:t>
      </w:r>
      <w:bookmarkEnd w:id="47"/>
    </w:p>
    <w:p>
      <w:pPr>
        <w:keepNext w:val="0"/>
        <w:keepLines w:val="0"/>
        <w:pageBreakBefore w:val="0"/>
        <w:widowControl w:val="0"/>
        <w:tabs>
          <w:tab w:val="left" w:pos="662"/>
        </w:tabs>
        <w:kinsoku/>
        <w:wordWrap/>
        <w:overflowPunct/>
        <w:topLinePunct w:val="0"/>
        <w:autoSpaceDE/>
        <w:autoSpaceDN/>
        <w:bidi w:val="0"/>
        <w:adjustRightInd/>
        <w:snapToGrid/>
        <w:spacing w:line="680" w:lineRule="exact"/>
        <w:ind w:firstLineChars="300" w:firstLine="96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一是按照州财政局202</w:t>
      </w:r>
      <w:r>
        <w:rPr>
          <w:rFonts w:ascii="仿宋_GB2312" w:cs="仿宋_GB2312" w:hAnsi="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部门预算编制通知要求，按时完成部门年初预算编制工作。在编制过程中，认真核实单位实际财政供养人数和单位实有编制情况，正确编制人员经费和公用经费等，做到尽量细化项目资金支出预算范围和科目，及时上报财政审核；二是认真编制部门年度决算报表。为真实、准确反应部门年度财务收、支情况，根据州财政局编制决算报表的各项规定和要求，认真开展了部门年度决算报表编制。按照政府收支分类科目和财务报表支出情况分别按基本支出项目支出编制我委决算，报表编制无差错。</w:t>
      </w:r>
    </w:p>
    <w:p>
      <w:pPr>
        <w:keepNext w:val="0"/>
        <w:keepLines w:val="0"/>
        <w:pageBreakBefore w:val="0"/>
        <w:widowControl w:val="0"/>
        <w:tabs>
          <w:tab w:val="left" w:pos="867"/>
        </w:tabs>
        <w:kinsoku/>
        <w:wordWrap/>
        <w:overflowPunct/>
        <w:topLinePunct w:val="0"/>
        <w:autoSpaceDE/>
        <w:autoSpaceDN/>
        <w:bidi w:val="0"/>
        <w:adjustRightInd/>
        <w:snapToGrid/>
        <w:spacing w:line="680" w:lineRule="exact"/>
        <w:ind w:left="0"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按《预算法》和财政有关规定，职工工资等人员经费按月发放，公务费按季申报，项目支出按项目实施情况经单位和州财政审核无误后按项目进度拨付。我委在执行各项资金预算中，严格按照州财政局规定，管好、用好每笔资金。在专项项目资金使用过程中，严格按照项目资金管理办法的规定做好项目实施和监管，切实做到专款专用，从而发挥好项目资金对项目实施的促进作用。对涉及专项资金支出额度较大时，实行召开委务会或党组会议研究决定，杜绝违规违法事件的发生。在机关节能降耗：一是倡导机关工作人员节约办公用电用水，节约办公耗材；二是加强办公用品的使用管理，规范办公用品的采购，实行办公室集中统一购买；三是加强公务用车的使用和管理，严格执行机关车辆管理制度。</w:t>
      </w:r>
    </w:p>
    <w:p>
      <w:pPr>
        <w:keepNext w:val="0"/>
        <w:keepLines w:val="0"/>
        <w:pageBreakBefore w:val="0"/>
        <w:widowControl/>
        <w:kinsoku/>
        <w:wordWrap/>
        <w:overflowPunct/>
        <w:topLinePunct w:val="0"/>
        <w:autoSpaceDE/>
        <w:autoSpaceDN/>
        <w:bidi w:val="0"/>
        <w:adjustRightInd w:val="0"/>
        <w:snapToGrid w:val="0"/>
        <w:spacing w:line="680" w:lineRule="exact"/>
        <w:ind w:firstLineChars="200" w:firstLine="640"/>
        <w:contextualSpacing/>
        <w:jc w:val="left"/>
        <w:textAlignment w:val="auto"/>
        <w:outlineLvl w:val="2"/>
        <w:rPr>
          <w:rFonts w:ascii="仿宋_GB2312" w:cs="宋体" w:hAnsi="仿宋_GB2312"/>
          <w:b/>
          <w:bCs/>
          <w:color w:val="000000"/>
          <w:kern w:val="0"/>
          <w:sz w:val="32"/>
          <w:szCs w:val="32"/>
          <w:shd w:val="clear" w:color="auto" w:fill="FFFFFF"/>
          <w:lang w:val="zh-CN"/>
        </w:rPr>
      </w:pPr>
      <w:bookmarkStart w:id="48" w:name="_Toc72938332"/>
      <w:r>
        <w:rPr>
          <w:rFonts w:ascii="仿宋_GB2312" w:cs="宋体" w:hAnsi="仿宋_GB2312" w:hint="eastAsia"/>
          <w:b/>
          <w:bCs/>
          <w:color w:val="000000"/>
          <w:kern w:val="0"/>
          <w:sz w:val="32"/>
          <w:szCs w:val="32"/>
          <w:shd w:val="clear" w:color="auto" w:fill="FFFFFF"/>
          <w:lang w:val="zh-CN"/>
        </w:rPr>
        <w:t>（二）结果应用情况。</w:t>
      </w:r>
      <w:bookmarkEnd w:id="48"/>
    </w:p>
    <w:p>
      <w:pPr>
        <w:keepNext w:val="0"/>
        <w:keepLines w:val="0"/>
        <w:pageBreakBefore w:val="0"/>
        <w:widowControl w:val="0"/>
        <w:tabs>
          <w:tab w:val="left" w:pos="894"/>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highlight w:val="auto"/>
        </w:rPr>
      </w:pPr>
      <w:r>
        <w:rPr>
          <w:rFonts w:ascii="仿宋_GB2312" w:eastAsia="仿宋_GB2312" w:cs="仿宋_GB2312" w:hint="eastAsia"/>
          <w:color w:val="000000"/>
          <w:kern w:val="2"/>
          <w:sz w:val="32"/>
          <w:szCs w:val="32"/>
          <w:lang w:val="en-US" w:eastAsia="zh-CN" w:bidi="ar-SA"/>
          <w:highlight w:val="auto"/>
        </w:rPr>
        <w:t>一是严格执行政府采购制度，因工作需要购置办公室设备时，按照采购程序，编制采购计划，做到实施计划与政府采购预算的一致性;二是加强资产管理，按规定完成了单位国有资产录入系统管理，及时将变动资产录入系统；三是建立健全内控制度，未出现廉政风险重大责任事故。四是按时按要求</w:t>
      </w:r>
      <w:r>
        <w:rPr>
          <w:rFonts w:ascii="仿宋_GB2312" w:cs="仿宋_GB2312" w:hAnsi="仿宋_GB2312" w:hint="eastAsia"/>
          <w:color w:val="000000"/>
          <w:kern w:val="2"/>
          <w:sz w:val="32"/>
          <w:szCs w:val="32"/>
          <w:lang w:val="en-US" w:eastAsia="zh-CN" w:bidi="ar-SA"/>
          <w:highlight w:val="auto"/>
        </w:rPr>
        <w:t>对</w:t>
      </w:r>
      <w:r>
        <w:rPr>
          <w:rFonts w:ascii="仿宋_GB2312" w:eastAsia="仿宋_GB2312" w:cs="仿宋_GB2312" w:hint="eastAsia"/>
          <w:color w:val="000000"/>
          <w:kern w:val="2"/>
          <w:sz w:val="32"/>
          <w:szCs w:val="32"/>
          <w:lang w:val="en-US" w:eastAsia="zh-CN" w:bidi="ar-SA"/>
          <w:highlight w:val="auto"/>
        </w:rPr>
        <w:t>单位预决算</w:t>
      </w:r>
      <w:r>
        <w:rPr>
          <w:rFonts w:ascii="仿宋_GB2312" w:cs="仿宋_GB2312" w:hAnsi="仿宋_GB2312" w:hint="eastAsia"/>
          <w:color w:val="000000"/>
          <w:kern w:val="2"/>
          <w:sz w:val="32"/>
          <w:szCs w:val="32"/>
          <w:lang w:val="en-US" w:eastAsia="zh-CN" w:bidi="ar-SA"/>
          <w:highlight w:val="auto"/>
        </w:rPr>
        <w:t>进行了</w:t>
      </w:r>
      <w:r>
        <w:rPr>
          <w:rFonts w:ascii="仿宋_GB2312" w:eastAsia="仿宋_GB2312" w:cs="仿宋_GB2312" w:hint="eastAsia"/>
          <w:color w:val="000000"/>
          <w:kern w:val="2"/>
          <w:sz w:val="32"/>
          <w:szCs w:val="32"/>
          <w:lang w:val="en-US" w:eastAsia="zh-CN" w:bidi="ar-SA"/>
          <w:highlight w:val="auto"/>
        </w:rPr>
        <w:t>公开，单位运行经费使用情况每</w:t>
      </w:r>
      <w:r>
        <w:rPr>
          <w:rFonts w:ascii="仿宋_GB2312" w:cs="仿宋_GB2312" w:hAnsi="仿宋_GB2312" w:hint="eastAsia"/>
          <w:color w:val="000000"/>
          <w:kern w:val="2"/>
          <w:sz w:val="32"/>
          <w:szCs w:val="32"/>
          <w:lang w:val="en-US" w:eastAsia="zh-CN" w:bidi="ar-SA"/>
          <w:highlight w:val="auto"/>
        </w:rPr>
        <w:t>季度</w:t>
      </w:r>
      <w:r>
        <w:rPr>
          <w:rFonts w:ascii="仿宋_GB2312" w:eastAsia="仿宋_GB2312" w:cs="仿宋_GB2312" w:hint="eastAsia"/>
          <w:color w:val="000000"/>
          <w:kern w:val="2"/>
          <w:sz w:val="32"/>
          <w:szCs w:val="32"/>
          <w:lang w:val="en-US" w:eastAsia="zh-CN" w:bidi="ar-SA"/>
          <w:highlight w:val="auto"/>
        </w:rPr>
        <w:t>在</w:t>
      </w:r>
      <w:r>
        <w:rPr>
          <w:rFonts w:ascii="仿宋_GB2312" w:cs="仿宋_GB2312" w:hAnsi="仿宋_GB2312" w:hint="eastAsia"/>
          <w:color w:val="000000"/>
          <w:kern w:val="2"/>
          <w:sz w:val="32"/>
          <w:szCs w:val="32"/>
          <w:lang w:val="en-US" w:eastAsia="zh-CN" w:bidi="ar-SA"/>
          <w:highlight w:val="auto"/>
        </w:rPr>
        <w:t>党组会</w:t>
      </w:r>
      <w:r>
        <w:rPr>
          <w:rFonts w:ascii="仿宋_GB2312" w:eastAsia="仿宋_GB2312" w:cs="仿宋_GB2312" w:hint="eastAsia"/>
          <w:color w:val="000000"/>
          <w:kern w:val="2"/>
          <w:sz w:val="32"/>
          <w:szCs w:val="32"/>
          <w:lang w:val="en-US" w:eastAsia="zh-CN" w:bidi="ar-SA"/>
          <w:highlight w:val="auto"/>
        </w:rPr>
        <w:t>上</w:t>
      </w:r>
      <w:r>
        <w:rPr>
          <w:rFonts w:ascii="仿宋_GB2312" w:cs="仿宋_GB2312" w:hAnsi="仿宋_GB2312" w:hint="eastAsia"/>
          <w:color w:val="000000"/>
          <w:kern w:val="2"/>
          <w:sz w:val="32"/>
          <w:szCs w:val="32"/>
          <w:lang w:val="en-US" w:eastAsia="zh-CN" w:bidi="ar-SA"/>
          <w:highlight w:val="auto"/>
        </w:rPr>
        <w:t>公开通报</w:t>
      </w:r>
      <w:r>
        <w:rPr>
          <w:rFonts w:ascii="仿宋_GB2312" w:eastAsia="仿宋_GB2312" w:cs="仿宋_GB2312" w:hint="eastAsia"/>
          <w:color w:val="000000"/>
          <w:kern w:val="2"/>
          <w:sz w:val="32"/>
          <w:szCs w:val="32"/>
          <w:lang w:val="en-US" w:eastAsia="zh-CN" w:bidi="ar-SA"/>
          <w:highlight w:val="auto"/>
        </w:rPr>
        <w:t>。</w:t>
      </w:r>
    </w:p>
    <w:p>
      <w:pPr>
        <w:keepNext w:val="0"/>
        <w:keepLines w:val="0"/>
        <w:pageBreakBefore w:val="0"/>
        <w:widowControl w:val="0"/>
        <w:tabs>
          <w:tab w:val="left" w:pos="1263"/>
        </w:tabs>
        <w:kinsoku/>
        <w:wordWrap/>
        <w:overflowPunct/>
        <w:topLinePunct w:val="0"/>
        <w:autoSpaceDE/>
        <w:autoSpaceDN/>
        <w:bidi w:val="0"/>
        <w:adjustRightInd/>
        <w:snapToGrid/>
        <w:spacing w:line="680" w:lineRule="exact"/>
        <w:ind w:firstLineChars="200" w:firstLine="480"/>
        <w:jc w:val="left"/>
        <w:textAlignment w:val="auto"/>
        <w:rPr>
          <w:rFonts w:ascii="仿宋_GB2312" w:eastAsia="仿宋_GB2312" w:cs="仿宋_GB2312" w:hint="eastAsia"/>
          <w:color w:val="000000"/>
          <w:kern w:val="2"/>
          <w:sz w:val="32"/>
          <w:szCs w:val="32"/>
          <w:lang w:val="en-US" w:eastAsia="zh-CN" w:bidi="ar-SA"/>
        </w:rPr>
      </w:pPr>
      <w:r>
        <w:rPr>
          <w:rFonts w:hint="eastAsia"/>
          <w:lang w:val="en-US" w:eastAsia="zh-CN"/>
        </w:rPr>
        <w:t xml:space="preserve">  </w:t>
      </w:r>
      <w:r>
        <w:rPr>
          <w:rFonts w:ascii="仿宋_GB2312" w:eastAsia="仿宋_GB2312" w:cs="仿宋_GB2312" w:hint="eastAsia"/>
          <w:color w:val="000000"/>
          <w:kern w:val="2"/>
          <w:sz w:val="32"/>
          <w:szCs w:val="32"/>
          <w:lang w:val="en-US" w:eastAsia="zh-CN" w:bidi="ar-SA"/>
        </w:rPr>
        <w:t>我委严格执行《预算法》《会计法》《政府会计制度》等</w:t>
      </w:r>
      <w:r>
        <w:rPr>
          <w:rFonts w:ascii="仿宋_GB2312" w:cs="仿宋_GB2312" w:hAnsi="仿宋_GB2312" w:hint="eastAsia"/>
          <w:color w:val="000000"/>
          <w:kern w:val="2"/>
          <w:sz w:val="32"/>
          <w:szCs w:val="32"/>
          <w:lang w:val="en-US" w:eastAsia="zh-CN" w:bidi="ar-SA"/>
        </w:rPr>
        <w:t>相</w:t>
      </w:r>
      <w:r>
        <w:rPr>
          <w:rFonts w:ascii="仿宋_GB2312" w:eastAsia="仿宋_GB2312" w:cs="仿宋_GB2312" w:hint="eastAsia"/>
          <w:color w:val="000000"/>
          <w:kern w:val="2"/>
          <w:sz w:val="32"/>
          <w:szCs w:val="32"/>
          <w:lang w:val="en-US" w:eastAsia="zh-CN" w:bidi="ar-SA"/>
        </w:rPr>
        <w:t>关法律法规，强化项目资金管理和使用</w:t>
      </w:r>
      <w:r>
        <w:rPr>
          <w:rFonts w:ascii="仿宋_GB2312" w:cs="仿宋_GB2312" w:hAnsi="仿宋_GB2312" w:hint="eastAsia"/>
          <w:color w:val="000000"/>
          <w:kern w:val="2"/>
          <w:sz w:val="32"/>
          <w:szCs w:val="32"/>
          <w:lang w:val="en-US" w:eastAsia="zh-CN" w:bidi="ar-SA"/>
        </w:rPr>
        <w:t>，</w:t>
      </w:r>
      <w:r>
        <w:rPr>
          <w:rFonts w:ascii="仿宋_GB2312" w:eastAsia="仿宋_GB2312" w:cs="仿宋_GB2312" w:hint="eastAsia"/>
          <w:color w:val="000000"/>
          <w:kern w:val="2"/>
          <w:sz w:val="32"/>
          <w:szCs w:val="32"/>
          <w:lang w:val="en-US" w:eastAsia="zh-CN" w:bidi="ar-SA"/>
        </w:rPr>
        <w:t>加强项目资金的管理和监督，杜绝违规违法事件的发生。20</w:t>
      </w:r>
      <w:r>
        <w:rPr>
          <w:rFonts w:ascii="仿宋_GB2312" w:cs="仿宋_GB2312" w:hAnsi="仿宋_GB2312" w:hint="eastAsia"/>
          <w:color w:val="000000"/>
          <w:kern w:val="2"/>
          <w:sz w:val="32"/>
          <w:szCs w:val="32"/>
          <w:lang w:val="en-US" w:eastAsia="zh-CN" w:bidi="ar-SA"/>
        </w:rPr>
        <w:t>2</w:t>
      </w:r>
      <w:r>
        <w:rPr>
          <w:rFonts w:ascii="仿宋_GB2312" w:cs="仿宋_GB2312" w:hAnsi="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年预算支出保障了我委机关日常</w:t>
      </w:r>
      <w:r>
        <w:rPr>
          <w:rFonts w:ascii="仿宋_GB2312" w:cs="仿宋_GB2312" w:hAnsi="仿宋_GB2312" w:hint="eastAsia"/>
          <w:color w:val="000000"/>
          <w:kern w:val="2"/>
          <w:sz w:val="32"/>
          <w:szCs w:val="32"/>
          <w:lang w:val="en-US" w:eastAsia="zh-CN" w:bidi="ar-SA"/>
        </w:rPr>
        <w:t>工作</w:t>
      </w:r>
      <w:r>
        <w:rPr>
          <w:rFonts w:ascii="仿宋_GB2312" w:eastAsia="仿宋_GB2312" w:cs="仿宋_GB2312" w:hint="eastAsia"/>
          <w:color w:val="000000"/>
          <w:kern w:val="2"/>
          <w:sz w:val="32"/>
          <w:szCs w:val="32"/>
          <w:lang w:val="en-US" w:eastAsia="zh-CN" w:bidi="ar-SA"/>
        </w:rPr>
        <w:t>运转，认真履行了部门职能职责,完成了州委、州政府下达的各项业务目标任务。</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line="540" w:lineRule="exact"/>
        <w:ind w:right="0" w:firstLineChars="200" w:firstLine="640"/>
        <w:jc w:val="both"/>
        <w:textAlignment w:val="auto"/>
        <w:rPr>
          <w:rFonts w:ascii="Times New Roman" w:eastAsia="仿宋_GB2312" w:cs="Times New Roman" w:hAnsi="Times New Roman"/>
          <w:kern w:val="2"/>
          <w:sz w:val="32"/>
          <w:szCs w:val="32"/>
        </w:rPr>
      </w:pPr>
      <w:r>
        <w:rPr>
          <w:rFonts w:ascii="Times New Roman" w:eastAsia="楷体_GB2312" w:cs="Times New Roman" w:hAnsi="Times New Roman"/>
          <w:b/>
          <w:bCs/>
          <w:kern w:val="2"/>
          <w:sz w:val="32"/>
          <w:szCs w:val="32"/>
        </w:rPr>
        <w:t>1.国民经济发展稳定向好。强化经济分析。</w:t>
      </w:r>
      <w:r>
        <w:rPr>
          <w:rFonts w:ascii="Times New Roman" w:eastAsia="仿宋_GB2312" w:cs="Times New Roman" w:hAnsi="Times New Roman"/>
          <w:kern w:val="2"/>
          <w:sz w:val="32"/>
          <w:szCs w:val="32"/>
        </w:rPr>
        <w:t>筹备召开州委财经委员会、季度经济形势研判，定期调度经济运行，研制</w:t>
      </w:r>
      <w:r>
        <w:rPr>
          <w:rFonts w:ascii="Times New Roman" w:eastAsia="仿宋_GB2312" w:cs="Times New Roman" w:hAnsi="Times New Roman"/>
          <w:spacing w:val="0"/>
          <w:kern w:val="2"/>
          <w:sz w:val="32"/>
          <w:szCs w:val="32"/>
        </w:rPr>
        <w:t>出台州级稳增长措施25条、落实中央和省委经济工作会议重大政策政策措施、</w:t>
      </w:r>
      <w:r>
        <w:rPr>
          <w:rFonts w:ascii="Times New Roman" w:eastAsia="仿宋_GB2312" w:cs="Times New Roman" w:hAnsi="Times New Roman"/>
          <w:kern w:val="2"/>
          <w:sz w:val="32"/>
          <w:szCs w:val="32"/>
        </w:rPr>
        <w:t>“决战四季度、大干一百天”攻坚行动分工方案，形成经济运行分析9篇、主要经济指标预警3期，</w:t>
      </w:r>
      <w:r>
        <w:rPr>
          <w:rFonts w:ascii="Times New Roman" w:eastAsia="仿宋_GB2312" w:cs="Times New Roman" w:hAnsi="Times New Roman"/>
          <w:spacing w:val="0"/>
          <w:kern w:val="2"/>
          <w:sz w:val="32"/>
          <w:szCs w:val="32"/>
        </w:rPr>
        <w:t>2022年1-9月GDP同比增长0.5%，全州经济在新冠</w:t>
      </w:r>
      <w:r>
        <w:rPr>
          <w:rFonts w:ascii="Times New Roman" w:eastAsia="仿宋_GB2312" w:cs="Times New Roman" w:hAnsi="Times New Roman"/>
          <w:kern w:val="2"/>
          <w:sz w:val="32"/>
          <w:szCs w:val="32"/>
        </w:rPr>
        <w:t>疫情、地震灾情、夏季节能等叠加冲击下仍然保持一定“韧性”和“定力”。</w:t>
      </w:r>
      <w:r>
        <w:rPr>
          <w:rFonts w:ascii="Times New Roman" w:eastAsia="仿宋_GB2312" w:cs="Times New Roman" w:hAnsi="Times New Roman"/>
          <w:b/>
          <w:bCs/>
          <w:kern w:val="2"/>
          <w:sz w:val="32"/>
          <w:szCs w:val="32"/>
        </w:rPr>
        <w:t>抓实规划执行。</w:t>
      </w:r>
      <w:r>
        <w:rPr>
          <w:rFonts w:ascii="Times New Roman" w:eastAsia="仿宋_GB2312" w:cs="Times New Roman" w:hAnsi="Times New Roman"/>
          <w:kern w:val="2"/>
          <w:sz w:val="32"/>
          <w:szCs w:val="32"/>
        </w:rPr>
        <w:t>起草并报请州政府印发《〈阿坝州国民经济和社会发展第十四个五年规划和二〇三五年远景目标纲要〉目标任务推进实施方案》，建立“主要目标、重大任务、重点工程项目”三张清单，跟踪督促规划实施，形成年度推进情况报告，务实推动规划执行落地。</w:t>
      </w:r>
      <w:r>
        <w:rPr>
          <w:rFonts w:ascii="Times New Roman" w:eastAsia="仿宋_GB2312" w:cs="Times New Roman" w:hAnsi="Times New Roman"/>
          <w:b/>
          <w:bCs/>
          <w:kern w:val="2"/>
          <w:sz w:val="32"/>
          <w:szCs w:val="32"/>
        </w:rPr>
        <w:t>推动区域发展。</w:t>
      </w:r>
      <w:r>
        <w:rPr>
          <w:rFonts w:ascii="Times New Roman" w:eastAsia="仿宋_GB2312" w:cs="Times New Roman" w:hAnsi="Times New Roman"/>
          <w:kern w:val="2"/>
          <w:sz w:val="32"/>
          <w:szCs w:val="32"/>
        </w:rPr>
        <w:t>全面贯彻落实“一干多支、五区协同”发展战略</w:t>
      </w:r>
      <w:r>
        <w:rPr>
          <w:rFonts w:ascii="Times New Roman" w:eastAsia="仿宋_GB2312" w:cs="Times New Roman" w:hAnsi="Times New Roman"/>
          <w:kern w:val="0"/>
          <w:sz w:val="32"/>
          <w:szCs w:val="32"/>
        </w:rPr>
        <w:t>，完成与成都市协同推进绿色低碳优势产业高质量发展合作协议和与宜宾市跨区域协同发展战略合作框架协议签订工作</w:t>
      </w:r>
      <w:r>
        <w:rPr>
          <w:rFonts w:ascii="Times New Roman" w:eastAsia="仿宋_GB2312" w:cs="Times New Roman" w:hAnsi="Times New Roman"/>
          <w:kern w:val="2"/>
          <w:sz w:val="32"/>
          <w:szCs w:val="32"/>
        </w:rPr>
        <w:t>，</w:t>
      </w:r>
      <w:r>
        <w:rPr>
          <w:rFonts w:ascii="Times New Roman" w:eastAsia="仿宋_GB2312" w:cs="Times New Roman" w:hAnsi="Times New Roman"/>
          <w:kern w:val="0"/>
          <w:sz w:val="32"/>
          <w:szCs w:val="32"/>
        </w:rPr>
        <w:t>积极融入成渝地区双城经济圈建设步伐加快。</w:t>
      </w:r>
    </w:p>
    <w:p>
      <w:pPr>
        <w:pStyle w:val="29"/>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Chars="0" w:left="0" w:firstLineChars="200" w:firstLine="640"/>
        <w:textAlignment w:val="auto"/>
        <w:rPr>
          <w:rFonts w:ascii="Times New Roman" w:eastAsia="仿宋_GB2312" w:cs="Times New Roman" w:hAnsi="Times New Roman"/>
          <w:kern w:val="0"/>
          <w:sz w:val="32"/>
          <w:szCs w:val="32"/>
        </w:rPr>
      </w:pPr>
      <w:r>
        <w:rPr>
          <w:rFonts w:ascii="Times New Roman" w:eastAsia="楷体_GB2312" w:cs="Times New Roman" w:hAnsi="Times New Roman"/>
          <w:b/>
          <w:bCs/>
          <w:kern w:val="2"/>
          <w:sz w:val="32"/>
          <w:szCs w:val="32"/>
        </w:rPr>
        <w:t>2.投资项目建设有力有序。</w:t>
      </w:r>
      <w:r>
        <w:rPr>
          <w:rFonts w:ascii="Times New Roman" w:eastAsia="仿宋_GB2312" w:cs="Times New Roman" w:hAnsi="Times New Roman"/>
          <w:b/>
          <w:bCs/>
          <w:kern w:val="2"/>
          <w:sz w:val="32"/>
          <w:szCs w:val="32"/>
        </w:rPr>
        <w:t>抓实投资拉动。</w:t>
      </w:r>
      <w:r>
        <w:rPr>
          <w:rFonts w:ascii="Times New Roman" w:eastAsia="仿宋_GB2312" w:cs="Times New Roman" w:hAnsi="Times New Roman"/>
          <w:spacing w:val="0"/>
          <w:kern w:val="2"/>
          <w:sz w:val="32"/>
          <w:szCs w:val="32"/>
        </w:rPr>
        <w:t>坚持抓项目促投资稳增长，全面启动“项目建设攻坚年”，圆满完成项目集中开工和现场推进活动。持续深化“州领导联系重大项目”以及“按月进度通报、适时问题转办、专题协调解决、按季考核评价、定期约谈问责”项目工作机制，切实加强投资运行监测，督促项目建设进度，双九路、卓小路、巴拉水电站等6个省重点考核项目已提前完成全年目标任务，成兰铁路、都四轨道、夹金山隧道等20个续建项目超额完成年度计划目标，州避难广场、尘埃落定红色文化旅游城、移动5G基础设施建设等19个重大项目相继开工建设。新能源光伏项目进入法人优选、川汶高速工可已报交通部审查、通用机场（九寨沟、若尔盖、汶川）选址已报省审查，1000千伏特高压项目加快选址选线，九大攻坚项目前期工作进展明显。</w:t>
      </w:r>
      <w:r>
        <w:rPr>
          <w:rFonts w:ascii="Times New Roman" w:eastAsia="仿宋_GB2312" w:cs="Times New Roman" w:hAnsi="Times New Roman"/>
          <w:kern w:val="2"/>
          <w:sz w:val="32"/>
          <w:szCs w:val="32"/>
        </w:rPr>
        <w:t>1—9月，全州全社会固定资产投资增长5.9%，与全省持平。预计，全年全州全社会固定资产投资增长8%。</w:t>
      </w:r>
      <w:r>
        <w:rPr>
          <w:rFonts w:ascii="Times New Roman" w:eastAsia="仿宋_GB2312" w:cs="Times New Roman" w:hAnsi="Times New Roman"/>
          <w:b/>
          <w:bCs/>
          <w:kern w:val="2"/>
          <w:sz w:val="32"/>
          <w:szCs w:val="32"/>
        </w:rPr>
        <w:t>抓实资金筹措。</w:t>
      </w:r>
      <w:r>
        <w:rPr>
          <w:rFonts w:ascii="Times New Roman" w:eastAsia="仿宋_GB2312" w:cs="Times New Roman" w:hAnsi="Times New Roman"/>
          <w:kern w:val="2"/>
          <w:sz w:val="32"/>
          <w:szCs w:val="32"/>
        </w:rPr>
        <w:t>牵头做好州庆项目规划，清单内规划马尔康市及州本级项目35个、总投资45.75亿元。准备专项债项目37个，拟申请资金26.36亿元，已发行12.08亿元。九黄机场四期改扩建、西成铁路签约落实政策性开发性基金3.28亿元。积极争取项目资金，累计到位中省预算内投资20.32亿元。</w:t>
      </w:r>
      <w:r>
        <w:rPr>
          <w:rFonts w:ascii="Times New Roman" w:eastAsia="仿宋_GB2312" w:cs="Times New Roman" w:hAnsi="Times New Roman"/>
          <w:b/>
          <w:bCs/>
          <w:kern w:val="2"/>
          <w:sz w:val="32"/>
          <w:szCs w:val="32"/>
        </w:rPr>
        <w:t>抓实恢复</w:t>
      </w:r>
      <w:r>
        <w:rPr>
          <w:rFonts w:ascii="Times New Roman" w:eastAsia="仿宋_GB2312" w:cs="Times New Roman" w:hAnsi="Times New Roman"/>
          <w:b/>
          <w:spacing w:val="0"/>
          <w:kern w:val="0"/>
          <w:sz w:val="32"/>
          <w:szCs w:val="32"/>
        </w:rPr>
        <w:t>重建。</w:t>
      </w:r>
      <w:r>
        <w:rPr>
          <w:rFonts w:ascii="Times New Roman" w:eastAsia="仿宋_GB2312" w:cs="Times New Roman" w:hAnsi="Times New Roman"/>
          <w:spacing w:val="0"/>
          <w:kern w:val="2"/>
          <w:sz w:val="32"/>
          <w:szCs w:val="32"/>
        </w:rPr>
        <w:t>印发《</w:t>
      </w:r>
      <w:r>
        <w:rPr>
          <w:rFonts w:ascii="Times New Roman" w:eastAsia="仿宋_GB2312" w:cs="Times New Roman" w:hAnsi="Times New Roman"/>
          <w:kern w:val="0"/>
          <w:sz w:val="32"/>
          <w:szCs w:val="32"/>
        </w:rPr>
        <w:t>“6·10”马尔康地震灾后恢复重建实施规划》，实施谋划项目99个、估算投资21.49亿元。建成草登乡202林场过渡安置点，顺利完成“受灾群众9月20日前住进过渡性安置住房，撤除所有帐篷”目标任务。加快推进灾区房屋维修加固和恢复重建，农房维修加固开工6530户，农房重建开工547户，城镇住房维修加固开工11户。170处地灾治理加快推进，草登乡政府后山滑坡治理预计年内全面完成，210户避险搬迁完成159户选址。</w:t>
      </w:r>
    </w:p>
    <w:p>
      <w:pPr>
        <w:pStyle w:val="29"/>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Chars="0" w:left="0" w:firstLineChars="200" w:firstLine="640"/>
        <w:textAlignment w:val="auto"/>
        <w:rPr>
          <w:rFonts w:ascii="Times New Roman" w:eastAsia="仿宋_GB2312" w:cs="Times New Roman" w:hAnsi="Times New Roman"/>
          <w:kern w:val="0"/>
          <w:sz w:val="32"/>
          <w:szCs w:val="32"/>
        </w:rPr>
      </w:pPr>
      <w:r>
        <w:rPr>
          <w:rFonts w:ascii="Times New Roman" w:eastAsia="楷体_GB2312" w:cs="Times New Roman" w:hAnsi="Times New Roman"/>
          <w:b/>
          <w:bCs/>
          <w:kern w:val="2"/>
          <w:sz w:val="32"/>
          <w:szCs w:val="32"/>
        </w:rPr>
        <w:t>3.促进民生福祉有效提升。</w:t>
      </w:r>
      <w:r>
        <w:rPr>
          <w:rFonts w:ascii="Times New Roman" w:eastAsia="仿宋_GB2312" w:cs="Times New Roman" w:hAnsi="Times New Roman"/>
          <w:b/>
          <w:bCs/>
          <w:kern w:val="2"/>
          <w:sz w:val="32"/>
          <w:szCs w:val="32"/>
        </w:rPr>
        <w:t>聚力推动乡村振兴。</w:t>
      </w:r>
      <w:r>
        <w:rPr>
          <w:rFonts w:ascii="Times New Roman" w:eastAsia="仿宋_GB2312" w:cs="Times New Roman" w:hAnsi="Times New Roman"/>
          <w:kern w:val="2"/>
          <w:sz w:val="32"/>
          <w:szCs w:val="32"/>
        </w:rPr>
        <w:t>积极承接好对口支援，做好州党政代表团赴杭州、温州、嘉兴、湖州考察对接活动和高层联席会议筹备，有效承接6.5亿对口支援资金，实施项目188个，已完成投资6.23亿元，投资完成率达96%。扎实争取20个以工代赈项目、资金8294万元，在165个农业农村领域基础设施项目推广以工代赈方式，累计组织7600余人参与项目建设，发放劳务报酬2800余万元，有力助推乡村振兴步伐。积极争取大熊猫国家公园、黄河国家文化公园中央预算内资金3600万元。积极推进社会信用体系建设，出台《阿坝州深入推进农村信用体系建设助力乡村振兴实施方案》，持续优化信用评定体系、推动信用价值转换。</w:t>
      </w:r>
      <w:r>
        <w:rPr>
          <w:rFonts w:ascii="Times New Roman" w:eastAsia="仿宋_GB2312" w:cs="Times New Roman" w:hAnsi="Times New Roman"/>
          <w:b/>
          <w:bCs/>
          <w:kern w:val="2"/>
          <w:sz w:val="32"/>
          <w:szCs w:val="32"/>
        </w:rPr>
        <w:t>切实加强保供稳价。</w:t>
      </w:r>
      <w:r>
        <w:rPr>
          <w:rFonts w:ascii="Times New Roman" w:eastAsia="仿宋_GB2312" w:cs="Times New Roman" w:hAnsi="Times New Roman"/>
          <w:kern w:val="0"/>
          <w:sz w:val="32"/>
          <w:szCs w:val="32"/>
        </w:rPr>
        <w:t>加强储备粮油管理，及时下达州级储备粮油轮换计划，加强轮换销售指导和监督，截至10月底，全州储备粮（原粮）库存共35614.6吨，食用油1068.4吨。做好“6·10”马尔康地震期间物资保障，统筹全州调拨应急物资75261件。</w:t>
      </w:r>
      <w:r>
        <w:rPr>
          <w:rFonts w:ascii="Times New Roman" w:eastAsia="仿宋_GB2312" w:cs="Times New Roman" w:hAnsi="Times New Roman"/>
          <w:kern w:val="2"/>
          <w:sz w:val="32"/>
          <w:szCs w:val="32"/>
        </w:rPr>
        <w:t>9月启动价格联动补贴工作，预计向9.1万名困难群众发放价格临时补贴177.37万元。</w:t>
      </w:r>
      <w:r>
        <w:rPr>
          <w:rStyle w:val="30"/>
          <w:rFonts w:ascii="Times New Roman" w:eastAsia="仿宋_GB2312" w:cs="Times New Roman" w:hAnsi="Times New Roman"/>
          <w:spacing w:val="0"/>
          <w:kern w:val="2"/>
          <w:sz w:val="32"/>
          <w:szCs w:val="32"/>
        </w:rPr>
        <w:t>截至10月，会同州商务局投放政府储备冻猪肉25.6吨，努力稳定市场物价。依法开展价格认定，办理疑难价格认定咨询案件30件，指导全州办理价格认定案件223件，标的总金额1455.92万元。</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line="540" w:lineRule="exact"/>
        <w:ind w:right="0" w:firstLineChars="200" w:firstLine="640"/>
        <w:textAlignment w:val="auto"/>
        <w:outlineLvl w:val="2"/>
        <w:rPr>
          <w:rFonts w:ascii="Times New Roman" w:eastAsia="仿宋_GB2312" w:cs="Times New Roman" w:hAnsi="Times New Roman"/>
          <w:kern w:val="2"/>
          <w:sz w:val="32"/>
          <w:szCs w:val="32"/>
        </w:rPr>
      </w:pPr>
      <w:bookmarkStart w:id="49" w:name="_Toc72938333"/>
      <w:r>
        <w:rPr>
          <w:rFonts w:ascii="Times New Roman" w:eastAsia="楷体_GB2312" w:cs="Times New Roman" w:hAnsi="Times New Roman"/>
          <w:b/>
          <w:bCs/>
          <w:kern w:val="2"/>
          <w:sz w:val="32"/>
          <w:szCs w:val="32"/>
        </w:rPr>
        <w:t>4.</w:t>
      </w:r>
      <w:r>
        <w:rPr>
          <w:rFonts w:ascii="Times New Roman" w:eastAsia="楷体_GB2312" w:cs="Times New Roman" w:hAnsi="Times New Roman"/>
          <w:b/>
          <w:bCs/>
          <w:spacing w:val="-20"/>
          <w:kern w:val="2"/>
          <w:sz w:val="32"/>
          <w:szCs w:val="32"/>
        </w:rPr>
        <w:t>川西北生态示范区建设持续深化。</w:t>
      </w:r>
      <w:r>
        <w:rPr>
          <w:rFonts w:ascii="Times New Roman" w:eastAsia="仿宋_GB2312" w:cs="Times New Roman" w:hAnsi="Times New Roman"/>
          <w:spacing w:val="0"/>
          <w:kern w:val="2"/>
          <w:sz w:val="32"/>
          <w:szCs w:val="32"/>
        </w:rPr>
        <w:t>坚持生态优先，印发川西北阿坝生态示范区2022年重点任务清单，指导若尔盖、红原、汶川三县完成生态综合补偿试点实施方案编制工作，争取中小河流治理、生态保护与修复支撑体系专项、重点区域生态保护与修复专项等生态保护类中央预算内投资项目20个，总投资2.3亿元。制定《阿坝州推动黄河流域生态保护和高质量发展实施方案》及2022年重点任务，有序推进黄河专项2021年已下达的4个项目建设，实现项目全部开工，部分项目年内完工的目标任务，争取国家下达黄河专项2022年第二批项目2个，到位中央预算内投资1.35亿元。</w:t>
      </w:r>
      <w:r>
        <w:rPr>
          <w:rFonts w:ascii="Times New Roman" w:eastAsia="仿宋_GB2312" w:cs="Times New Roman" w:hAnsi="Times New Roman"/>
          <w:spacing w:val="0"/>
          <w:kern w:val="2"/>
          <w:sz w:val="32"/>
          <w:szCs w:val="32"/>
          <w:lang w:bidi="ar-SA"/>
        </w:rPr>
        <w:t>制</w:t>
      </w:r>
      <w:r>
        <w:rPr>
          <w:rFonts w:ascii="Times New Roman" w:eastAsia="仿宋_GB2312" w:cs="Times New Roman" w:hAnsi="Times New Roman"/>
          <w:kern w:val="2"/>
          <w:sz w:val="32"/>
          <w:szCs w:val="32"/>
          <w:lang w:bidi="ar-SA"/>
        </w:rPr>
        <w:t>发《2022年阿坝州推动长江经济带发展工作要点》，</w:t>
      </w:r>
      <w:r>
        <w:rPr>
          <w:rFonts w:ascii="Times New Roman" w:eastAsia="仿宋_GB2312" w:cs="Times New Roman" w:hAnsi="Times New Roman"/>
          <w:spacing w:val="0"/>
          <w:kern w:val="2"/>
          <w:sz w:val="32"/>
          <w:szCs w:val="32"/>
        </w:rPr>
        <w:t>紧盯2021年29项四川省长江经济带生态环境问题整改任务，已完成整改并销号17项，已完成整改正在销号4项，正在整改8项。印发《关于以实现“双碳”目标为引领推动绿色转型高质量发展的意见》，研究提出“1+N”政策体系编制工作方案，部分重点行业领域碳达峰方案已形成初步成果。扎实推进节能工作，上半年，全州单位GDP能耗下降10.2%，降幅居全省第一，比全省低8.8个百分点，预计年度单位GDP能耗下降5%，“十四五”节能工作取得阶段性成效。</w:t>
      </w:r>
      <w:bookmarkEnd w:id="49"/>
    </w:p>
    <w:p>
      <w:pPr>
        <w:pStyle w:val="18"/>
        <w:shd w:val="clear" w:color="auto" w:fill="FFFFFF"/>
        <w:outlineLvl w:val="1"/>
        <w:rPr>
          <w:rFonts w:ascii="Times New Roman" w:eastAsia="仿宋_GB2312" w:cs="Times New Roman" w:hAnsi="Times New Roman"/>
          <w:kern w:val="2"/>
          <w:sz w:val="32"/>
          <w:szCs w:val="32"/>
        </w:rPr>
      </w:pPr>
      <w:bookmarkStart w:id="50" w:name="_Toc72938334"/>
      <w:r>
        <w:rPr>
          <w:rFonts w:ascii="Times New Roman" w:eastAsia="楷体_GB2312" w:cs="Times New Roman" w:hAnsi="Times New Roman"/>
          <w:b/>
          <w:bCs/>
          <w:kern w:val="2"/>
          <w:sz w:val="32"/>
          <w:szCs w:val="32"/>
        </w:rPr>
        <w:t>5.重点领域改革扎实推进。</w:t>
      </w:r>
      <w:r>
        <w:rPr>
          <w:rFonts w:ascii="Times New Roman" w:eastAsia="仿宋_GB2312" w:cs="Times New Roman" w:hAnsi="Times New Roman"/>
          <w:b/>
          <w:bCs/>
          <w:kern w:val="2"/>
          <w:sz w:val="32"/>
          <w:szCs w:val="32"/>
        </w:rPr>
        <w:t>深入推进经济体制改革。</w:t>
      </w:r>
      <w:r>
        <w:rPr>
          <w:rFonts w:ascii="Times New Roman" w:eastAsia="仿宋_GB2312" w:cs="Times New Roman" w:hAnsi="Times New Roman"/>
          <w:kern w:val="2"/>
          <w:sz w:val="32"/>
          <w:szCs w:val="32"/>
        </w:rPr>
        <w:t>拟定2022年度经济体制改革任务16项，其中实施规划类改革任务已完成7项、专项改革方案上会已完成3项、重点专项改革方案落实已完成1项、重大改革试点已完成1项，其余改革任务持续推进中。</w:t>
      </w:r>
      <w:r>
        <w:rPr>
          <w:rFonts w:ascii="Times New Roman" w:eastAsia="楷体_GB2312" w:cs="Times New Roman" w:hAnsi="Times New Roman"/>
          <w:b/>
          <w:bCs/>
          <w:kern w:val="2"/>
          <w:sz w:val="32"/>
          <w:szCs w:val="32"/>
        </w:rPr>
        <w:t>持续</w:t>
      </w:r>
      <w:r>
        <w:rPr>
          <w:rFonts w:ascii="Times New Roman" w:eastAsia="仿宋_GB2312" w:cs="Times New Roman" w:hAnsi="Times New Roman"/>
          <w:b/>
          <w:bCs/>
          <w:kern w:val="2"/>
          <w:sz w:val="32"/>
          <w:szCs w:val="32"/>
        </w:rPr>
        <w:t>深化放管服改革。</w:t>
      </w:r>
      <w:r>
        <w:rPr>
          <w:rFonts w:ascii="Times New Roman" w:eastAsia="仿宋_GB2312" w:cs="Times New Roman" w:hAnsi="Times New Roman"/>
          <w:kern w:val="2"/>
          <w:sz w:val="32"/>
          <w:szCs w:val="32"/>
        </w:rPr>
        <w:t>优化项目审批流程，推行项目并联审批、靠前服务与容缺受理，落实企业投资项目告知承诺制，年内累计审批项目1859个，备案项目150个。</w:t>
      </w:r>
      <w:r>
        <w:rPr>
          <w:rFonts w:ascii="Times New Roman" w:eastAsia="仿宋_GB2312" w:cs="Times New Roman" w:hAnsi="Times New Roman"/>
          <w:b/>
          <w:bCs/>
          <w:kern w:val="2"/>
          <w:sz w:val="32"/>
          <w:szCs w:val="32"/>
        </w:rPr>
        <w:t>稳步推进重点领域事项。</w:t>
      </w:r>
      <w:r>
        <w:rPr>
          <w:rFonts w:ascii="Times New Roman" w:eastAsia="仿宋_GB2312" w:cs="Times New Roman" w:hAnsi="Times New Roman"/>
          <w:kern w:val="2"/>
          <w:sz w:val="32"/>
          <w:szCs w:val="32"/>
        </w:rPr>
        <w:t>积极争取留存电量26.6亿千瓦时，稳妥推进我州‘取消工商业目录电价’代理购电工作。深入开展涉企违规收费专项整治工作，指导、督促各县（市）发改局、住建局对本地供水供电供气供暖企业收费项目实行清单制管理。</w:t>
      </w:r>
      <w:r>
        <w:rPr>
          <w:rFonts w:ascii="Times New Roman" w:eastAsia="仿宋_GB2312" w:cs="Times New Roman" w:hAnsi="Times New Roman"/>
          <w:b/>
          <w:bCs/>
          <w:kern w:val="2"/>
          <w:sz w:val="32"/>
          <w:szCs w:val="32"/>
        </w:rPr>
        <w:t>持续深化招投标系统治理。</w:t>
      </w:r>
      <w:r>
        <w:rPr>
          <w:rFonts w:ascii="Times New Roman" w:eastAsia="仿宋_GB2312" w:cs="Times New Roman" w:hAnsi="Times New Roman"/>
          <w:kern w:val="2"/>
          <w:sz w:val="32"/>
          <w:szCs w:val="32"/>
        </w:rPr>
        <w:t>对36起违法违规线索立案查处，共处罚款145.03万元，对8个市场主体进行信用扣分，处理评标委员会成员5人，向行业主管部门移送违法违规线索3条。</w:t>
      </w:r>
      <w:bookmarkEnd w:id="50"/>
    </w:p>
    <w:p>
      <w:pPr>
        <w:pStyle w:val="18"/>
        <w:shd w:val="clear" w:color="auto" w:fill="FFFFFF"/>
        <w:outlineLvl w:val="1"/>
        <w:rPr>
          <w:rFonts w:ascii="黑体" w:eastAsia="黑体" w:cs="黑体" w:hint="eastAsia"/>
          <w:sz w:val="36"/>
          <w:szCs w:val="36"/>
        </w:rPr>
      </w:pPr>
      <w:bookmarkStart w:id="51" w:name="_Toc72938335"/>
      <w:r>
        <w:rPr>
          <w:rFonts w:ascii="黑体" w:eastAsia="黑体" w:cs="黑体" w:hint="eastAsia"/>
          <w:sz w:val="36"/>
          <w:szCs w:val="36"/>
        </w:rPr>
        <w:t>四、评价结论及建议</w:t>
      </w:r>
      <w:bookmarkEnd w:id="51"/>
    </w:p>
    <w:p>
      <w:pPr>
        <w:keepNext w:val="0"/>
        <w:keepLines w:val="0"/>
        <w:pageBreakBefore w:val="0"/>
        <w:widowControl/>
        <w:kinsoku/>
        <w:wordWrap/>
        <w:overflowPunct/>
        <w:topLinePunct w:val="0"/>
        <w:autoSpaceDE/>
        <w:autoSpaceDN/>
        <w:bidi w:val="0"/>
        <w:adjustRightInd w:val="0"/>
        <w:snapToGrid w:val="0"/>
        <w:spacing w:line="680" w:lineRule="exact"/>
        <w:ind w:firstLineChars="200" w:firstLine="640"/>
        <w:contextualSpacing/>
        <w:jc w:val="left"/>
        <w:textAlignment w:val="auto"/>
        <w:outlineLvl w:val="2"/>
        <w:rPr>
          <w:rFonts w:ascii="仿宋_GB2312" w:cs="宋体" w:hAnsi="仿宋_GB2312" w:hint="eastAsia"/>
          <w:b/>
          <w:bCs/>
          <w:color w:val="000000"/>
          <w:kern w:val="0"/>
          <w:sz w:val="32"/>
          <w:szCs w:val="32"/>
          <w:shd w:val="clear" w:color="auto" w:fill="FFFFFF"/>
          <w:lang w:val="zh-CN"/>
        </w:rPr>
      </w:pPr>
      <w:bookmarkStart w:id="52" w:name="_Toc72938336"/>
      <w:r>
        <w:rPr>
          <w:rFonts w:ascii="仿宋_GB2312" w:cs="宋体" w:hAnsi="仿宋_GB2312" w:hint="eastAsia"/>
          <w:b/>
          <w:bCs/>
          <w:color w:val="000000"/>
          <w:kern w:val="0"/>
          <w:sz w:val="32"/>
          <w:szCs w:val="32"/>
          <w:shd w:val="clear" w:color="auto" w:fill="FFFFFF"/>
          <w:lang w:val="zh-CN"/>
        </w:rPr>
        <w:t>（一）评价结论。</w:t>
      </w:r>
      <w:bookmarkEnd w:id="52"/>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通过对我委202</w:t>
      </w:r>
      <w:r>
        <w:rPr>
          <w:rFonts w:ascii="仿宋_GB2312" w:cs="仿宋_GB2312" w:hAnsi="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年度部门预算编制及执行等情况的细致梳理和分析，我委将全年工作情况总结如下：</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首先，在预算编制方面，我委能按照州、市相关部门的要求，准确、及时、合理的报送预算编制情况说明，同时，按照相关要求，我委按照要求及时的对202</w:t>
      </w:r>
      <w:r>
        <w:rPr>
          <w:rFonts w:ascii="仿宋_GB2312" w:cs="仿宋_GB2312" w:hAnsi="仿宋_GB2312" w:hint="eastAsia"/>
          <w:color w:val="000000"/>
          <w:kern w:val="2"/>
          <w:sz w:val="32"/>
          <w:szCs w:val="32"/>
          <w:lang w:val="en-US" w:eastAsia="zh-CN" w:bidi="ar-SA"/>
        </w:rPr>
        <w:t>1</w:t>
      </w:r>
      <w:r>
        <w:rPr>
          <w:rFonts w:ascii="仿宋_GB2312" w:eastAsia="仿宋_GB2312" w:cs="仿宋_GB2312" w:hint="eastAsia"/>
          <w:color w:val="000000"/>
          <w:kern w:val="2"/>
          <w:sz w:val="32"/>
          <w:szCs w:val="32"/>
          <w:lang w:val="en-US" w:eastAsia="zh-CN" w:bidi="ar-SA"/>
        </w:rPr>
        <w:t>年预算信息进行了公开公示。</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其次，在预算执行方面，我委严格按照资金支出管理要求，及时合理的支出相关资金。本年度，我委在节能降耗、廉洁行政方面较上年度有不小的进步。</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最后，在支出绩效方面，我委修订完善了财务管理制度，加强了对三公经费、政府采购、公务卡的使用和管理，在各项资金支付的过程中能按照相应开支标准认真审核报账资料、及时拨付相关资金并按时进行账务处理。能在财政的统一安排下，及时完成202</w:t>
      </w:r>
      <w:r>
        <w:rPr>
          <w:rFonts w:ascii="仿宋_GB2312" w:eastAsia="仿宋_GB2312" w:cs="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年度决算工作，并及时进行决算公开、三公经费公开。</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hint="eastAsia"/>
          <w:lang w:val="zh-CN"/>
        </w:rPr>
      </w:pPr>
      <w:r>
        <w:rPr>
          <w:rFonts w:ascii="仿宋_GB2312" w:eastAsia="仿宋_GB2312" w:cs="仿宋_GB2312" w:hint="eastAsia"/>
          <w:color w:val="000000"/>
          <w:kern w:val="2"/>
          <w:sz w:val="32"/>
          <w:szCs w:val="32"/>
          <w:lang w:val="en-US" w:eastAsia="zh-CN" w:bidi="ar-SA"/>
        </w:rPr>
        <w:t>我委认真履行好部门职能职责，圆满完成了州委、州政府下达的各项业务目标任务。</w:t>
      </w:r>
    </w:p>
    <w:p>
      <w:pPr>
        <w:keepNext w:val="0"/>
        <w:keepLines w:val="0"/>
        <w:pageBreakBefore w:val="0"/>
        <w:widowControl/>
        <w:numPr>
          <w:ilvl w:val="0"/>
          <w:numId w:val="3"/>
        </w:numPr>
        <w:kinsoku/>
        <w:wordWrap/>
        <w:overflowPunct/>
        <w:topLinePunct w:val="0"/>
        <w:autoSpaceDE/>
        <w:autoSpaceDN/>
        <w:bidi w:val="0"/>
        <w:adjustRightInd w:val="0"/>
        <w:snapToGrid w:val="0"/>
        <w:spacing w:line="680" w:lineRule="exact"/>
        <w:ind w:left="0" w:firstLineChars="200" w:firstLine="640"/>
        <w:contextualSpacing/>
        <w:jc w:val="left"/>
        <w:textAlignment w:val="auto"/>
        <w:outlineLvl w:val="2"/>
        <w:rPr>
          <w:b/>
          <w:bCs/>
          <w:sz w:val="32"/>
          <w:szCs w:val="32"/>
          <w:lang w:val="zh-CN"/>
        </w:rPr>
      </w:pPr>
      <w:bookmarkStart w:id="53" w:name="_Toc72938337"/>
      <w:r>
        <w:rPr>
          <w:rFonts w:ascii="仿宋_GB2312" w:cs="宋体" w:hAnsi="仿宋_GB2312" w:hint="eastAsia"/>
          <w:b/>
          <w:bCs/>
          <w:color w:val="000000"/>
          <w:kern w:val="0"/>
          <w:sz w:val="32"/>
          <w:szCs w:val="32"/>
          <w:shd w:val="clear" w:color="auto" w:fill="FFFFFF"/>
          <w:lang w:val="zh-CN"/>
        </w:rPr>
        <w:t>存在问题。</w:t>
      </w:r>
      <w:bookmarkEnd w:id="53"/>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1.预算编制质量较好但编制准确性有待提高。</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lang w:val="zh-CN"/>
        </w:rPr>
      </w:pPr>
      <w:r>
        <w:rPr>
          <w:rFonts w:ascii="仿宋_GB2312" w:eastAsia="仿宋_GB2312" w:cs="仿宋_GB2312" w:hint="eastAsia"/>
          <w:color w:val="000000"/>
          <w:kern w:val="2"/>
          <w:sz w:val="32"/>
          <w:szCs w:val="32"/>
          <w:lang w:val="en-US" w:eastAsia="zh-CN" w:bidi="ar-SA"/>
        </w:rPr>
        <w:t>2.项目推进较慢预算执行进度受到影响。</w:t>
      </w:r>
    </w:p>
    <w:p>
      <w:pPr>
        <w:keepNext w:val="0"/>
        <w:keepLines w:val="0"/>
        <w:pageBreakBefore w:val="0"/>
        <w:widowControl/>
        <w:numPr>
          <w:ilvl w:val="0"/>
          <w:numId w:val="3"/>
        </w:numPr>
        <w:kinsoku/>
        <w:wordWrap/>
        <w:overflowPunct/>
        <w:topLinePunct w:val="0"/>
        <w:autoSpaceDE/>
        <w:autoSpaceDN/>
        <w:bidi w:val="0"/>
        <w:adjustRightInd w:val="0"/>
        <w:snapToGrid w:val="0"/>
        <w:spacing w:line="680" w:lineRule="exact"/>
        <w:ind w:left="0" w:firstLineChars="200" w:firstLine="640"/>
        <w:contextualSpacing/>
        <w:jc w:val="left"/>
        <w:textAlignment w:val="auto"/>
        <w:outlineLvl w:val="2"/>
        <w:rPr>
          <w:rFonts w:ascii="仿宋_GB2312" w:cs="宋体" w:hAnsi="仿宋_GB2312" w:hint="eastAsia"/>
          <w:b/>
          <w:bCs/>
          <w:color w:val="000000"/>
          <w:kern w:val="0"/>
          <w:sz w:val="32"/>
          <w:szCs w:val="32"/>
          <w:shd w:val="clear" w:color="auto" w:fill="FFFFFF"/>
          <w:lang w:val="zh-CN"/>
        </w:rPr>
      </w:pPr>
      <w:bookmarkStart w:id="54" w:name="_Toc72938338"/>
      <w:r>
        <w:rPr>
          <w:rFonts w:ascii="仿宋_GB2312" w:cs="宋体" w:hAnsi="仿宋_GB2312" w:hint="eastAsia"/>
          <w:b/>
          <w:bCs/>
          <w:color w:val="000000"/>
          <w:kern w:val="0"/>
          <w:sz w:val="32"/>
          <w:szCs w:val="32"/>
          <w:shd w:val="clear" w:color="auto" w:fill="FFFFFF"/>
          <w:lang w:val="zh-CN"/>
        </w:rPr>
        <w:t>改进建议。</w:t>
      </w:r>
      <w:bookmarkEnd w:id="54"/>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1.细化预算编制工作，认真做好预算的编制。进一步加强委内各科室的预算管理意识，严格按照预算编制的相关制度和要求进行预算编制，进一步提高预算编制的科学性、严谨性和可控性。</w:t>
      </w:r>
    </w:p>
    <w:p>
      <w:pPr>
        <w:keepNext w:val="0"/>
        <w:keepLines w:val="0"/>
        <w:pageBreakBefore w:val="0"/>
        <w:widowControl w:val="0"/>
        <w:tabs>
          <w:tab w:val="left" w:pos="1194"/>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2.加强业务学习</w:t>
      </w:r>
      <w:r>
        <w:rPr>
          <w:rFonts w:ascii="仿宋_GB2312" w:cs="仿宋_GB2312" w:hAnsi="仿宋_GB2312" w:hint="eastAsia"/>
          <w:color w:val="000000"/>
          <w:kern w:val="2"/>
          <w:sz w:val="32"/>
          <w:szCs w:val="32"/>
          <w:lang w:val="en-US" w:eastAsia="zh-CN" w:bidi="ar-SA"/>
        </w:rPr>
        <w:t>，深化</w:t>
      </w:r>
      <w:r>
        <w:rPr>
          <w:rFonts w:ascii="仿宋_GB2312" w:eastAsia="仿宋_GB2312" w:cs="仿宋_GB2312" w:hint="eastAsia"/>
          <w:color w:val="000000"/>
          <w:kern w:val="2"/>
          <w:sz w:val="32"/>
          <w:szCs w:val="32"/>
          <w:lang w:val="en-US" w:eastAsia="zh-CN" w:bidi="ar-SA"/>
        </w:rPr>
        <w:t>财务管理，严格执行《政府会计制度》。在</w:t>
      </w:r>
      <w:r>
        <w:rPr>
          <w:rFonts w:ascii="仿宋_GB2312" w:cs="仿宋_GB2312" w:hAnsi="仿宋_GB2312" w:hint="eastAsia"/>
          <w:color w:val="000000"/>
          <w:kern w:val="2"/>
          <w:sz w:val="32"/>
          <w:szCs w:val="32"/>
          <w:lang w:val="en-US" w:eastAsia="zh-CN" w:bidi="ar-SA"/>
        </w:rPr>
        <w:t>各类经济事项审核报销费用</w:t>
      </w:r>
      <w:r>
        <w:rPr>
          <w:rFonts w:ascii="仿宋_GB2312" w:eastAsia="仿宋_GB2312" w:cs="仿宋_GB2312" w:hint="eastAsia"/>
          <w:color w:val="000000"/>
          <w:kern w:val="2"/>
          <w:sz w:val="32"/>
          <w:szCs w:val="32"/>
          <w:lang w:val="en-US" w:eastAsia="zh-CN" w:bidi="ar-SA"/>
        </w:rPr>
        <w:t>时，</w:t>
      </w:r>
      <w:r>
        <w:rPr>
          <w:rFonts w:ascii="仿宋_GB2312" w:cs="仿宋_GB2312" w:hAnsi="仿宋_GB2312" w:hint="eastAsia"/>
          <w:color w:val="000000"/>
          <w:kern w:val="2"/>
          <w:sz w:val="32"/>
          <w:szCs w:val="32"/>
          <w:lang w:val="en-US" w:eastAsia="zh-CN" w:bidi="ar-SA"/>
        </w:rPr>
        <w:t>严格</w:t>
      </w:r>
      <w:r>
        <w:rPr>
          <w:rFonts w:ascii="仿宋_GB2312" w:eastAsia="仿宋_GB2312" w:cs="仿宋_GB2312" w:hint="eastAsia"/>
          <w:color w:val="000000"/>
          <w:kern w:val="2"/>
          <w:sz w:val="32"/>
          <w:szCs w:val="32"/>
          <w:lang w:val="en-US" w:eastAsia="zh-CN" w:bidi="ar-SA"/>
        </w:rPr>
        <w:t>按照</w:t>
      </w:r>
      <w:r>
        <w:rPr>
          <w:rFonts w:ascii="仿宋_GB2312" w:cs="仿宋_GB2312" w:hAnsi="仿宋_GB2312" w:hint="eastAsia"/>
          <w:color w:val="000000"/>
          <w:kern w:val="2"/>
          <w:sz w:val="32"/>
          <w:szCs w:val="32"/>
          <w:lang w:val="en-US" w:eastAsia="zh-CN" w:bidi="ar-SA"/>
        </w:rPr>
        <w:t>编制</w:t>
      </w:r>
      <w:r>
        <w:rPr>
          <w:rFonts w:ascii="仿宋_GB2312" w:eastAsia="仿宋_GB2312" w:cs="仿宋_GB2312" w:hint="eastAsia"/>
          <w:color w:val="000000"/>
          <w:kern w:val="2"/>
          <w:sz w:val="32"/>
          <w:szCs w:val="32"/>
          <w:lang w:val="en-US" w:eastAsia="zh-CN" w:bidi="ar-SA"/>
        </w:rPr>
        <w:t>预算</w:t>
      </w:r>
      <w:r>
        <w:rPr>
          <w:rFonts w:ascii="仿宋_GB2312" w:cs="仿宋_GB2312" w:hAnsi="仿宋_GB2312" w:hint="eastAsia"/>
          <w:color w:val="000000"/>
          <w:kern w:val="2"/>
          <w:sz w:val="32"/>
          <w:szCs w:val="32"/>
          <w:lang w:val="en-US" w:eastAsia="zh-CN" w:bidi="ar-SA"/>
        </w:rPr>
        <w:t>对应项目及</w:t>
      </w:r>
      <w:r>
        <w:rPr>
          <w:rFonts w:ascii="仿宋_GB2312" w:eastAsia="仿宋_GB2312" w:cs="仿宋_GB2312" w:hint="eastAsia"/>
          <w:color w:val="000000"/>
          <w:kern w:val="2"/>
          <w:sz w:val="32"/>
          <w:szCs w:val="32"/>
          <w:lang w:val="en-US" w:eastAsia="zh-CN" w:bidi="ar-SA"/>
        </w:rPr>
        <w:t>对应用途进行资金使用审核、</w:t>
      </w:r>
      <w:r>
        <w:rPr>
          <w:rFonts w:ascii="仿宋_GB2312" w:cs="仿宋_GB2312" w:hAnsi="仿宋_GB2312" w:hint="eastAsia"/>
          <w:color w:val="000000"/>
          <w:kern w:val="2"/>
          <w:sz w:val="32"/>
          <w:szCs w:val="32"/>
          <w:lang w:val="en-US" w:eastAsia="zh-CN" w:bidi="ar-SA"/>
        </w:rPr>
        <w:t>票据</w:t>
      </w:r>
      <w:r>
        <w:rPr>
          <w:rFonts w:ascii="仿宋_GB2312" w:eastAsia="仿宋_GB2312" w:cs="仿宋_GB2312" w:hint="eastAsia"/>
          <w:color w:val="000000"/>
          <w:kern w:val="2"/>
          <w:sz w:val="32"/>
          <w:szCs w:val="32"/>
          <w:lang w:val="en-US" w:eastAsia="zh-CN" w:bidi="ar-SA"/>
        </w:rPr>
        <w:t>核算，杜绝超支现象的发生。</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left="0" w:right="0" w:firstLineChars="200" w:firstLine="640"/>
        <w:jc w:val="left"/>
        <w:textAlignment w:val="auto"/>
        <w:outlineLvl w:val="9"/>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3.持续抓好“三公”经费控制管理。严格控制“三公”经费的规模和比例，把关“三公”经费支出的审核、审批，杜绝挪用和挤占其他预算资金行为，进一步细化“三公”经费的管理，合理压缩“三公”经费支出。</w:t>
      </w:r>
    </w:p>
    <w:p>
      <w:pPr>
        <w:keepNext w:val="0"/>
        <w:keepLines w:val="0"/>
        <w:pageBreakBefore w:val="0"/>
        <w:widowControl w:val="0"/>
        <w:tabs>
          <w:tab w:val="left" w:pos="1194"/>
        </w:tabs>
        <w:kinsoku/>
        <w:wordWrap/>
        <w:overflowPunct/>
        <w:topLinePunct w:val="0"/>
        <w:autoSpaceDE/>
        <w:autoSpaceDN/>
        <w:bidi w:val="0"/>
        <w:adjustRightInd/>
        <w:snapToGrid/>
        <w:spacing w:line="680" w:lineRule="exact"/>
        <w:ind w:firstLineChars="200" w:firstLine="640"/>
        <w:jc w:val="left"/>
        <w:textAlignment w:val="auto"/>
        <w:rPr>
          <w:rFonts w:ascii="仿宋_GB2312" w:cs="仿宋_GB2312" w:hAnsi="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在以后的工作中，我们将严格按照相关法律法规及相关政策制度规定，定期全面检视，如若发现财务风险点位，立即针对性地细化工作措施，持续完善相关制度及办法，建立健全管理常态长效机制，并坚决维护制度权威，提高制度执行力，切实堵塞漏洞、防范风险，切实提高财政资金绩效管理水平。</w:t>
      </w:r>
    </w:p>
    <w:p>
      <w:pPr>
        <w:pStyle w:val="18"/>
        <w:shd w:val="clear" w:color="auto" w:fill="FFFFFF"/>
      </w:pPr>
      <w:r>
        <w:t> </w:t>
      </w:r>
    </w:p>
    <w:p>
      <w:pPr>
        <w:pStyle w:val="18"/>
        <w:shd w:val="clear" w:color="auto" w:fill="FFFFFF"/>
        <w:outlineLvl w:val="1"/>
      </w:pPr>
      <w:bookmarkStart w:id="55" w:name="_Toc5227"/>
      <w:bookmarkStart w:id="56" w:name="_Toc72938339"/>
      <w:r>
        <w:t>附件</w:t>
      </w:r>
      <w:bookmarkEnd w:id="55"/>
      <w:bookmarkEnd w:id="56"/>
    </w:p>
    <w:p>
      <w:pPr>
        <w:pStyle w:val="18"/>
        <w:shd w:val="clear" w:color="auto" w:fill="FFFFFF"/>
        <w:jc w:val="center"/>
      </w:pPr>
      <w:r>
        <w:rPr>
          <w:sz w:val="36"/>
          <w:szCs w:val="36"/>
        </w:rPr>
        <w:t>2022年专项预算项目支出绩效自评报告范本</w:t>
      </w:r>
    </w:p>
    <w:p>
      <w:pPr>
        <w:pStyle w:val="18"/>
        <w:shd w:val="clear" w:color="auto" w:fill="FFFFFF"/>
        <w:jc w:val="center"/>
      </w:pPr>
      <w:r>
        <w:t>（主管部门自评）</w:t>
      </w:r>
    </w:p>
    <w:p>
      <w:pPr>
        <w:pStyle w:val="18"/>
        <w:shd w:val="clear" w:color="auto" w:fill="FFFFFF"/>
        <w:jc w:val="center"/>
      </w:pPr>
      <w:r>
        <w:t> </w:t>
      </w:r>
    </w:p>
    <w:p>
      <w:pPr>
        <w:pStyle w:val="18"/>
        <w:shd w:val="clear" w:color="auto" w:fill="FFFFFF"/>
        <w:outlineLvl w:val="1"/>
        <w:rPr>
          <w:rFonts w:ascii="黑体" w:eastAsia="黑体" w:cs="黑体" w:hint="eastAsia"/>
          <w:sz w:val="36"/>
          <w:szCs w:val="36"/>
        </w:rPr>
      </w:pPr>
      <w:bookmarkStart w:id="57" w:name="_Toc72938340"/>
      <w:r>
        <w:rPr>
          <w:rFonts w:ascii="黑体" w:eastAsia="黑体" w:cs="黑体" w:hint="eastAsia"/>
          <w:sz w:val="36"/>
          <w:szCs w:val="36"/>
        </w:rPr>
        <w:t>一、项目概况</w:t>
      </w:r>
      <w:bookmarkEnd w:id="57"/>
    </w:p>
    <w:p>
      <w:pPr>
        <w:pStyle w:val="18"/>
        <w:shd w:val="clear" w:color="auto" w:fill="FFFFFF"/>
        <w:outlineLvl w:val="2"/>
        <w:rPr>
          <w:sz w:val="32"/>
          <w:szCs w:val="32"/>
        </w:rPr>
      </w:pPr>
      <w:bookmarkStart w:id="58" w:name="_Toc72938341"/>
      <w:r>
        <w:rPr>
          <w:rStyle w:val="19"/>
          <w:sz w:val="32"/>
          <w:szCs w:val="32"/>
        </w:rPr>
        <w:t>（一）项目基本情况。</w:t>
      </w:r>
      <w:bookmarkEnd w:id="58"/>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jc w:val="left"/>
        <w:textAlignment w:val="auto"/>
        <w:rPr>
          <w:rFonts w:ascii="仿宋" w:eastAsia="仿宋" w:hint="eastAsia"/>
          <w:sz w:val="32"/>
          <w:szCs w:val="32"/>
          <w:lang w:val="zh-CN"/>
        </w:rPr>
      </w:pPr>
      <w:r>
        <w:rPr>
          <w:rFonts w:ascii="仿宋" w:eastAsia="仿宋" w:hint="eastAsia"/>
          <w:sz w:val="32"/>
          <w:szCs w:val="32"/>
          <w:lang w:val="zh-CN"/>
        </w:rPr>
        <w:t>本项目为202</w:t>
      </w:r>
      <w:r>
        <w:rPr>
          <w:rFonts w:ascii="仿宋" w:eastAsia="仿宋"/>
          <w:sz w:val="32"/>
          <w:szCs w:val="32"/>
          <w:lang w:val="zh-CN"/>
        </w:rPr>
        <w:t>2</w:t>
      </w:r>
      <w:r>
        <w:rPr>
          <w:rFonts w:ascii="仿宋" w:eastAsia="仿宋" w:hint="eastAsia"/>
          <w:sz w:val="32"/>
          <w:szCs w:val="32"/>
          <w:lang w:val="zh-CN"/>
        </w:rPr>
        <w:t>年州级财政预算采购资金</w:t>
      </w:r>
      <w:r>
        <w:rPr>
          <w:rFonts w:ascii="仿宋" w:eastAsia="仿宋" w:hint="eastAsia"/>
          <w:sz w:val="32"/>
          <w:szCs w:val="32"/>
          <w:lang w:val="en-US" w:eastAsia="zh-CN"/>
        </w:rPr>
        <w:t>4</w:t>
      </w:r>
      <w:r>
        <w:rPr>
          <w:rFonts w:ascii="仿宋" w:eastAsia="仿宋"/>
          <w:sz w:val="32"/>
          <w:szCs w:val="32"/>
          <w:lang w:val="en-US" w:eastAsia="zh-CN"/>
        </w:rPr>
        <w:t>1</w:t>
      </w:r>
      <w:r>
        <w:rPr>
          <w:rFonts w:ascii="仿宋" w:eastAsia="仿宋" w:hint="eastAsia"/>
          <w:sz w:val="32"/>
          <w:szCs w:val="32"/>
          <w:lang w:val="en-US" w:eastAsia="zh-CN"/>
        </w:rPr>
        <w:t>0万元</w:t>
      </w:r>
      <w:r>
        <w:rPr>
          <w:rFonts w:ascii="仿宋" w:eastAsia="仿宋" w:hint="eastAsia"/>
          <w:sz w:val="32"/>
          <w:szCs w:val="32"/>
          <w:lang w:val="zh-CN"/>
        </w:rPr>
        <w:t>。项目内容为采购18类州级应急救灾物资，该项采购是通过第三方代理机构以公开招投标方式进行，项目经过严格评估论证、项目资金分配与计划实施等符合资金管理办法等相关规定。</w:t>
      </w:r>
    </w:p>
    <w:p>
      <w:pPr>
        <w:pStyle w:val="18"/>
        <w:shd w:val="clear" w:color="auto" w:fill="FFFFFF"/>
        <w:outlineLvl w:val="2"/>
        <w:rPr>
          <w:sz w:val="32"/>
          <w:szCs w:val="32"/>
        </w:rPr>
      </w:pPr>
      <w:bookmarkStart w:id="59" w:name="_Toc72938342"/>
      <w:r>
        <w:rPr>
          <w:rStyle w:val="19"/>
          <w:sz w:val="32"/>
          <w:szCs w:val="32"/>
        </w:rPr>
        <w:t>（二）项目绩效目标。</w:t>
      </w:r>
      <w:bookmarkEnd w:id="59"/>
    </w:p>
    <w:p>
      <w:pPr>
        <w:pStyle w:val="18"/>
        <w:shd w:val="clear" w:color="auto" w:fill="FFFFFF"/>
        <w:spacing w:before="0" w:beforeAutospacing="0" w:after="0" w:afterAutospacing="0" w:line="480" w:lineRule="auto"/>
        <w:ind w:firstLine="480"/>
        <w:jc w:val="both"/>
        <w:rPr>
          <w:rFonts w:ascii="仿宋" w:eastAsia="仿宋" w:cs="宋体" w:hint="eastAsia"/>
          <w:kern w:val="0"/>
          <w:sz w:val="32"/>
          <w:szCs w:val="32"/>
          <w:lang w:val="zh-CN" w:eastAsia="zh-CN" w:bidi="ar-SA"/>
        </w:rPr>
      </w:pPr>
      <w:r>
        <w:rPr>
          <w:rFonts w:ascii="仿宋" w:eastAsia="仿宋" w:cs="宋体" w:hint="eastAsia"/>
          <w:kern w:val="0"/>
          <w:sz w:val="32"/>
          <w:szCs w:val="32"/>
          <w:lang w:val="en-US" w:eastAsia="zh-CN" w:bidi="ar-SA"/>
        </w:rPr>
        <w:t>为了提高应急救灾能力，保障灾民基本生活，规范州级救灾储备物资管理。州级救灾储备物资的种类、数量由州应急局提供购买清单，救灾储备物资实行统一规格、统一标志</w:t>
      </w:r>
      <w:bookmarkStart w:id="60" w:name="sub2515981_3"/>
      <w:bookmarkStart w:id="61" w:name="3"/>
      <w:bookmarkStart w:id="62" w:name="购置储备管理"/>
      <w:bookmarkEnd w:id="60"/>
      <w:bookmarkEnd w:id="61"/>
      <w:bookmarkEnd w:id="62"/>
      <w:r>
        <w:rPr>
          <w:rFonts w:ascii="仿宋" w:eastAsia="仿宋" w:cs="宋体" w:hint="eastAsia"/>
          <w:kern w:val="0"/>
          <w:sz w:val="32"/>
          <w:szCs w:val="32"/>
          <w:lang w:val="en-US" w:eastAsia="zh-CN" w:bidi="ar-SA"/>
        </w:rPr>
        <w:t>，相关技术标准由州发改委负责编制。</w:t>
      </w:r>
      <w:r>
        <w:rPr>
          <w:rFonts w:ascii="仿宋" w:eastAsia="仿宋" w:cs="宋体" w:hint="eastAsia"/>
          <w:kern w:val="0"/>
          <w:sz w:val="32"/>
          <w:szCs w:val="32"/>
          <w:lang w:val="zh-CN" w:eastAsia="zh-CN" w:bidi="ar-SA"/>
        </w:rPr>
        <w:t>为进一步加强州级救灾物资储备能力，保障应急救灾物资 “拿得出、调得快、用得上”。确保完成18类物资的品质、参数符合高寒地区需要。</w:t>
      </w:r>
    </w:p>
    <w:p>
      <w:pPr>
        <w:pStyle w:val="18"/>
        <w:shd w:val="clear" w:color="auto" w:fill="FFFFFF"/>
        <w:outlineLvl w:val="2"/>
        <w:rPr>
          <w:sz w:val="32"/>
          <w:szCs w:val="32"/>
        </w:rPr>
      </w:pPr>
      <w:bookmarkStart w:id="63" w:name="_Toc72938343"/>
      <w:r>
        <w:rPr>
          <w:rStyle w:val="19"/>
          <w:sz w:val="32"/>
          <w:szCs w:val="32"/>
        </w:rPr>
        <w:t>（三）项目自评步骤及方法。</w:t>
      </w:r>
      <w:bookmarkEnd w:id="63"/>
    </w:p>
    <w:p>
      <w:pPr>
        <w:keepNext w:val="0"/>
        <w:keepLines w:val="0"/>
        <w:pageBreakBefore w:val="0"/>
        <w:widowControl w:val="0"/>
        <w:kinsoku/>
        <w:wordWrap/>
        <w:overflowPunct/>
        <w:topLinePunct w:val="0"/>
        <w:autoSpaceDE/>
        <w:autoSpaceDN/>
        <w:adjustRightInd w:val="0"/>
        <w:snapToGrid w:val="0"/>
        <w:spacing w:line="600" w:lineRule="exact"/>
        <w:ind w:left="0" w:firstLineChars="200" w:firstLine="640"/>
        <w:jc w:val="left"/>
        <w:rPr>
          <w:rFonts w:ascii="仿宋" w:eastAsia="仿宋" w:cs="宋体" w:hint="eastAsia"/>
          <w:kern w:val="0"/>
          <w:sz w:val="32"/>
          <w:szCs w:val="32"/>
          <w:lang w:val="zh-CN" w:eastAsia="zh-CN" w:bidi="ar-SA"/>
        </w:rPr>
      </w:pPr>
      <w:r>
        <w:rPr>
          <w:rFonts w:ascii="仿宋" w:eastAsia="仿宋" w:cs="宋体" w:hint="eastAsia"/>
          <w:kern w:val="0"/>
          <w:sz w:val="32"/>
          <w:szCs w:val="32"/>
          <w:lang w:val="zh-CN" w:eastAsia="zh-CN" w:bidi="ar-SA"/>
        </w:rPr>
        <w:t>财政批复4</w:t>
      </w:r>
      <w:r>
        <w:rPr>
          <w:rFonts w:ascii="仿宋" w:eastAsia="仿宋" w:cs="宋体"/>
          <w:kern w:val="0"/>
          <w:sz w:val="32"/>
          <w:szCs w:val="32"/>
          <w:lang w:val="zh-CN" w:eastAsia="zh-CN" w:bidi="ar-SA"/>
        </w:rPr>
        <w:t>1</w:t>
      </w:r>
      <w:r>
        <w:rPr>
          <w:rFonts w:ascii="仿宋" w:eastAsia="仿宋" w:cs="宋体" w:hint="eastAsia"/>
          <w:kern w:val="0"/>
          <w:sz w:val="32"/>
          <w:szCs w:val="32"/>
          <w:lang w:val="zh-CN" w:eastAsia="zh-CN" w:bidi="ar-SA"/>
        </w:rPr>
        <w:t>0万采购18类应急救灾物资，通过第三方代理机构以公开招投标方式进行采购的中标价</w:t>
      </w:r>
      <w:r>
        <w:rPr>
          <w:rFonts w:ascii="仿宋" w:eastAsia="仿宋" w:cs="宋体"/>
          <w:kern w:val="0"/>
          <w:sz w:val="32"/>
          <w:szCs w:val="32"/>
          <w:lang w:val="zh-CN" w:eastAsia="zh-CN" w:bidi="ar-SA"/>
        </w:rPr>
        <w:t>399.5</w:t>
      </w:r>
      <w:r>
        <w:rPr>
          <w:rFonts w:ascii="仿宋" w:eastAsia="仿宋" w:cs="宋体" w:hint="eastAsia"/>
          <w:kern w:val="0"/>
          <w:sz w:val="32"/>
          <w:szCs w:val="32"/>
          <w:lang w:val="zh-CN" w:eastAsia="zh-CN" w:bidi="ar-SA"/>
        </w:rPr>
        <w:t>万元。项目申报内容与具体实施内容相符。项目资金的分配、使用、执行、完成结果合规有效。</w:t>
      </w:r>
    </w:p>
    <w:p>
      <w:pPr>
        <w:pStyle w:val="18"/>
        <w:shd w:val="clear" w:color="auto" w:fill="FFFFFF"/>
        <w:outlineLvl w:val="1"/>
        <w:rPr>
          <w:rFonts w:ascii="黑体" w:eastAsia="黑体" w:cs="黑体" w:hint="eastAsia"/>
          <w:sz w:val="36"/>
          <w:szCs w:val="36"/>
        </w:rPr>
      </w:pPr>
      <w:bookmarkStart w:id="64" w:name="_Toc72938344"/>
      <w:r>
        <w:rPr>
          <w:rFonts w:ascii="黑体" w:eastAsia="黑体" w:cs="黑体" w:hint="eastAsia"/>
          <w:sz w:val="36"/>
          <w:szCs w:val="36"/>
        </w:rPr>
        <w:t>二、项目资金申报及使用情况</w:t>
      </w:r>
      <w:bookmarkEnd w:id="64"/>
    </w:p>
    <w:p>
      <w:pPr>
        <w:pStyle w:val="18"/>
        <w:shd w:val="clear" w:color="auto" w:fill="FFFFFF"/>
        <w:outlineLvl w:val="2"/>
        <w:rPr>
          <w:sz w:val="32"/>
          <w:szCs w:val="32"/>
        </w:rPr>
      </w:pPr>
      <w:bookmarkStart w:id="65" w:name="_Toc72938345"/>
      <w:r>
        <w:rPr>
          <w:rStyle w:val="19"/>
          <w:sz w:val="32"/>
          <w:szCs w:val="32"/>
        </w:rPr>
        <w:t>（一）项目资金申报及批复情况。</w:t>
      </w:r>
      <w:bookmarkEnd w:id="65"/>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jc w:val="left"/>
        <w:textAlignment w:val="auto"/>
        <w:rPr>
          <w:rFonts w:ascii="仿宋" w:eastAsia="仿宋" w:hint="eastAsia"/>
          <w:sz w:val="32"/>
          <w:szCs w:val="32"/>
          <w:lang w:val="zh-CN"/>
        </w:rPr>
      </w:pPr>
      <w:r>
        <w:rPr>
          <w:rFonts w:ascii="仿宋" w:eastAsia="仿宋" w:hint="eastAsia"/>
          <w:sz w:val="32"/>
          <w:szCs w:val="32"/>
          <w:lang w:val="zh-CN"/>
        </w:rPr>
        <w:t>本项目为202</w:t>
      </w:r>
      <w:r>
        <w:rPr>
          <w:rFonts w:ascii="仿宋" w:eastAsia="仿宋"/>
          <w:sz w:val="32"/>
          <w:szCs w:val="32"/>
          <w:lang w:val="zh-CN"/>
        </w:rPr>
        <w:t>2</w:t>
      </w:r>
      <w:r>
        <w:rPr>
          <w:rFonts w:ascii="仿宋" w:eastAsia="仿宋" w:hint="eastAsia"/>
          <w:sz w:val="32"/>
          <w:szCs w:val="32"/>
          <w:lang w:val="zh-CN"/>
        </w:rPr>
        <w:t>年州级财政预算采购资金</w:t>
      </w:r>
      <w:r>
        <w:rPr>
          <w:rFonts w:ascii="仿宋" w:eastAsia="仿宋" w:hint="eastAsia"/>
          <w:sz w:val="32"/>
          <w:szCs w:val="32"/>
          <w:lang w:val="en-US" w:eastAsia="zh-CN"/>
        </w:rPr>
        <w:t>4</w:t>
      </w:r>
      <w:r>
        <w:rPr>
          <w:rFonts w:ascii="仿宋" w:eastAsia="仿宋"/>
          <w:sz w:val="32"/>
          <w:szCs w:val="32"/>
          <w:lang w:val="en-US" w:eastAsia="zh-CN"/>
        </w:rPr>
        <w:t>1</w:t>
      </w:r>
      <w:r>
        <w:rPr>
          <w:rFonts w:ascii="仿宋" w:eastAsia="仿宋" w:hint="eastAsia"/>
          <w:sz w:val="32"/>
          <w:szCs w:val="32"/>
          <w:lang w:val="en-US" w:eastAsia="zh-CN"/>
        </w:rPr>
        <w:t>0万元</w:t>
      </w:r>
      <w:r>
        <w:rPr>
          <w:rFonts w:ascii="仿宋" w:eastAsia="仿宋" w:hint="eastAsia"/>
          <w:sz w:val="32"/>
          <w:szCs w:val="32"/>
          <w:lang w:val="zh-CN"/>
        </w:rPr>
        <w:t>。项目内容为采购18类州级应急救灾物资，该项采购是通过第三方代理机构以公开招投标方式进行，项目经过严格评估论证、项目资金分配与计划实施等符合资金管理办法等相关规定。</w:t>
      </w:r>
    </w:p>
    <w:p>
      <w:pPr>
        <w:pStyle w:val="18"/>
        <w:shd w:val="clear" w:color="auto" w:fill="FFFFFF"/>
        <w:outlineLvl w:val="2"/>
        <w:rPr>
          <w:sz w:val="32"/>
          <w:szCs w:val="32"/>
        </w:rPr>
      </w:pPr>
      <w:bookmarkStart w:id="66" w:name="_Toc72938346"/>
      <w:r>
        <w:rPr>
          <w:rStyle w:val="19"/>
          <w:sz w:val="32"/>
          <w:szCs w:val="32"/>
        </w:rPr>
        <w:t>（二）资金计划、到位及使用情况。</w:t>
      </w:r>
      <w:bookmarkEnd w:id="66"/>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 w:eastAsia="仿宋" w:hint="eastAsia"/>
          <w:sz w:val="32"/>
          <w:szCs w:val="32"/>
          <w:lang w:val="zh-CN"/>
        </w:rPr>
      </w:pPr>
      <w:r>
        <w:rPr>
          <w:rFonts w:ascii="仿宋" w:eastAsia="仿宋" w:hint="eastAsia"/>
          <w:sz w:val="32"/>
          <w:szCs w:val="32"/>
          <w:lang w:val="zh-CN"/>
        </w:rPr>
        <w:t>1．资金计划及到位。该项目各类资金计划及截止评价时点实际已全部给供应商支付到位（除质量保证金外）。资金到位率100%、到位及时性。</w:t>
      </w:r>
    </w:p>
    <w:p>
      <w:pPr>
        <w:pStyle w:val="18"/>
        <w:shd w:val="clear" w:color="auto" w:fill="FFFFFF"/>
        <w:spacing w:before="0" w:beforeAutospacing="0" w:after="0" w:afterAutospacing="0" w:line="480" w:lineRule="auto"/>
        <w:ind w:firstLine="480"/>
        <w:jc w:val="both"/>
        <w:rPr>
          <w:rFonts w:ascii="仿宋" w:eastAsia="仿宋" w:hint="eastAsia"/>
          <w:sz w:val="32"/>
          <w:szCs w:val="32"/>
          <w:lang w:val="zh-CN"/>
        </w:rPr>
      </w:pPr>
      <w:r>
        <w:rPr>
          <w:rFonts w:ascii="仿宋" w:eastAsia="仿宋" w:cs="Times New Roman" w:hint="eastAsia"/>
          <w:kern w:val="2"/>
          <w:sz w:val="32"/>
          <w:szCs w:val="32"/>
          <w:lang w:val="zh-CN" w:eastAsia="zh-CN" w:bidi="ar-SA"/>
        </w:rPr>
        <w:t>2．资金使用。截止评价时点项目资金的实际支出情况</w:t>
      </w:r>
      <w:r>
        <w:rPr>
          <w:rFonts w:ascii="仿宋" w:eastAsia="仿宋" w:cs="Times New Roman"/>
          <w:kern w:val="2"/>
          <w:sz w:val="32"/>
          <w:szCs w:val="32"/>
          <w:lang w:val="zh-CN" w:eastAsia="zh-CN" w:bidi="ar-SA"/>
        </w:rPr>
        <w:t>399.5</w:t>
      </w:r>
      <w:r>
        <w:rPr>
          <w:rFonts w:ascii="仿宋" w:eastAsia="仿宋" w:cs="Times New Roman" w:hint="eastAsia"/>
          <w:kern w:val="2"/>
          <w:sz w:val="32"/>
          <w:szCs w:val="32"/>
          <w:lang w:val="zh-CN" w:eastAsia="zh-CN" w:bidi="ar-SA"/>
        </w:rPr>
        <w:t>万元，资金开支范围、标准及支付进度严格按照双方合同约定，支付依据合规合法，资金支付与预算相符，并对相关问题进行说明。该项目已全面完成计划目标，于202</w:t>
      </w:r>
      <w:r>
        <w:rPr>
          <w:rFonts w:ascii="仿宋" w:eastAsia="仿宋" w:cs="Times New Roman"/>
          <w:kern w:val="2"/>
          <w:sz w:val="32"/>
          <w:szCs w:val="32"/>
          <w:lang w:val="zh-CN" w:eastAsia="zh-CN" w:bidi="ar-SA"/>
        </w:rPr>
        <w:t>2</w:t>
      </w:r>
      <w:r>
        <w:rPr>
          <w:rFonts w:ascii="仿宋" w:eastAsia="仿宋" w:cs="Times New Roman" w:hint="eastAsia"/>
          <w:kern w:val="2"/>
          <w:sz w:val="32"/>
          <w:szCs w:val="32"/>
          <w:lang w:val="zh-CN" w:eastAsia="zh-CN" w:bidi="ar-SA"/>
        </w:rPr>
        <w:t>年</w:t>
      </w:r>
      <w:r>
        <w:rPr>
          <w:rFonts w:ascii="仿宋" w:eastAsia="仿宋" w:cs="Times New Roman"/>
          <w:kern w:val="2"/>
          <w:sz w:val="32"/>
          <w:szCs w:val="32"/>
          <w:lang w:val="zh-CN" w:eastAsia="zh-CN" w:bidi="ar-SA"/>
        </w:rPr>
        <w:t>12</w:t>
      </w:r>
      <w:r>
        <w:rPr>
          <w:rFonts w:ascii="仿宋" w:eastAsia="仿宋" w:cs="Times New Roman" w:hint="eastAsia"/>
          <w:kern w:val="2"/>
          <w:sz w:val="32"/>
          <w:szCs w:val="32"/>
          <w:lang w:val="zh-CN" w:eastAsia="zh-CN" w:bidi="ar-SA"/>
        </w:rPr>
        <w:t>月已全面完成资金支付。</w:t>
      </w:r>
    </w:p>
    <w:p>
      <w:pPr>
        <w:pStyle w:val="18"/>
        <w:shd w:val="clear" w:color="auto" w:fill="FFFFFF"/>
        <w:outlineLvl w:val="2"/>
        <w:rPr>
          <w:sz w:val="32"/>
          <w:szCs w:val="32"/>
        </w:rPr>
      </w:pPr>
      <w:bookmarkStart w:id="67" w:name="_Toc72938347"/>
      <w:r>
        <w:rPr>
          <w:rStyle w:val="19"/>
          <w:sz w:val="32"/>
          <w:szCs w:val="32"/>
        </w:rPr>
        <w:t>（三）项目财务管理情况。</w:t>
      </w:r>
      <w:bookmarkEnd w:id="67"/>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 w:eastAsia="仿宋" w:hint="eastAsia"/>
          <w:sz w:val="32"/>
          <w:szCs w:val="32"/>
          <w:lang w:val="zh-CN"/>
        </w:rPr>
      </w:pPr>
      <w:r>
        <w:rPr>
          <w:rFonts w:ascii="仿宋" w:eastAsia="仿宋" w:hint="eastAsia"/>
          <w:sz w:val="32"/>
          <w:szCs w:val="32"/>
          <w:lang w:val="zh-CN"/>
        </w:rPr>
        <w:t>严格按照财务管理制度及项目资金管理要求进行该项目会计核算及账务处理。</w:t>
      </w:r>
    </w:p>
    <w:p>
      <w:pPr>
        <w:pStyle w:val="18"/>
        <w:shd w:val="clear" w:color="auto" w:fill="FFFFFF"/>
        <w:outlineLvl w:val="1"/>
        <w:rPr>
          <w:rFonts w:ascii="黑体" w:eastAsia="黑体" w:cs="黑体" w:hint="eastAsia"/>
          <w:sz w:val="36"/>
          <w:szCs w:val="36"/>
        </w:rPr>
      </w:pPr>
      <w:bookmarkStart w:id="68" w:name="_Toc72938348"/>
      <w:r>
        <w:rPr>
          <w:rFonts w:ascii="黑体" w:eastAsia="黑体" w:cs="黑体" w:hint="eastAsia"/>
          <w:sz w:val="36"/>
          <w:szCs w:val="36"/>
        </w:rPr>
        <w:t>三、项目实施及管理情况</w:t>
      </w:r>
      <w:bookmarkEnd w:id="68"/>
    </w:p>
    <w:p>
      <w:pPr>
        <w:pStyle w:val="18"/>
        <w:shd w:val="clear" w:color="auto" w:fill="FFFFFF"/>
        <w:ind w:firstLineChars="200" w:firstLine="640"/>
        <w:rPr>
          <w:rFonts w:ascii="仿宋" w:eastAsia="仿宋" w:cs="宋体" w:hint="eastAsia"/>
          <w:kern w:val="0"/>
          <w:sz w:val="32"/>
          <w:szCs w:val="32"/>
          <w:lang w:val="zh-CN" w:eastAsia="zh-CN" w:bidi="ar-SA"/>
        </w:rPr>
      </w:pPr>
      <w:r>
        <w:rPr>
          <w:rFonts w:ascii="仿宋" w:eastAsia="仿宋" w:cs="宋体" w:hint="eastAsia"/>
          <w:kern w:val="0"/>
          <w:sz w:val="32"/>
          <w:szCs w:val="32"/>
          <w:lang w:val="zh-CN" w:eastAsia="zh-CN" w:bidi="ar-SA"/>
        </w:rPr>
        <w:t>结合项目组织实施管理办法，重点围绕以下内容进行分析评价，并对自评中发现的问题分析说明。</w:t>
      </w:r>
    </w:p>
    <w:p>
      <w:pPr>
        <w:pStyle w:val="18"/>
        <w:numPr>
          <w:ilvl w:val="0"/>
          <w:numId w:val="4"/>
        </w:numPr>
        <w:shd w:val="clear" w:color="auto" w:fill="FFFFFF"/>
        <w:outlineLvl w:val="2"/>
        <w:rPr>
          <w:rStyle w:val="19"/>
          <w:sz w:val="32"/>
          <w:szCs w:val="32"/>
        </w:rPr>
      </w:pPr>
      <w:bookmarkStart w:id="69" w:name="_Toc72938349"/>
      <w:r>
        <w:rPr>
          <w:rStyle w:val="19"/>
          <w:sz w:val="32"/>
          <w:szCs w:val="32"/>
        </w:rPr>
        <w:t>项目组织架构及实施流程。</w:t>
      </w:r>
      <w:bookmarkEnd w:id="69"/>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Style w:val="19"/>
        </w:rPr>
      </w:pPr>
      <w:r>
        <w:rPr>
          <w:rFonts w:ascii="仿宋" w:eastAsia="仿宋" w:hint="eastAsia"/>
          <w:sz w:val="32"/>
          <w:szCs w:val="32"/>
          <w:lang w:val="zh-CN"/>
        </w:rPr>
        <w:t>项目组织管理架构及具体实施流程，主要包括成立202</w:t>
      </w:r>
      <w:r>
        <w:rPr>
          <w:rFonts w:ascii="仿宋" w:eastAsia="仿宋"/>
          <w:sz w:val="32"/>
          <w:szCs w:val="32"/>
          <w:lang w:val="zh-CN"/>
        </w:rPr>
        <w:t>2</w:t>
      </w:r>
      <w:r>
        <w:rPr>
          <w:rFonts w:ascii="仿宋" w:eastAsia="仿宋" w:hint="eastAsia"/>
          <w:sz w:val="32"/>
          <w:szCs w:val="32"/>
          <w:lang w:val="zh-CN"/>
        </w:rPr>
        <w:t>年应急救灾物资采购领导小组、由州发改委党办全程派员监督、按照政府采购相关管理制度发布采购公告从11家社会代理机构中选取1家代理机构。委托社会代理机构采取公开招投标方式选取供应商，按要求在采购网上进行了相关项目公开公示</w:t>
      </w:r>
      <w:r>
        <w:rPr>
          <w:rFonts w:ascii="仿宋" w:eastAsia="仿宋"/>
          <w:sz w:val="32"/>
          <w:szCs w:val="32"/>
          <w:lang w:val="zh-CN"/>
        </w:rPr>
        <w:t>，最</w:t>
      </w:r>
      <w:r>
        <w:rPr>
          <w:rFonts w:ascii="仿宋" w:eastAsia="仿宋" w:hint="eastAsia"/>
          <w:sz w:val="32"/>
          <w:szCs w:val="32"/>
          <w:lang w:val="zh-CN"/>
        </w:rPr>
        <w:t>后顺利完成本次采购任务。</w:t>
      </w:r>
    </w:p>
    <w:p>
      <w:pPr>
        <w:pStyle w:val="18"/>
        <w:shd w:val="clear" w:color="auto" w:fill="FFFFFF"/>
        <w:outlineLvl w:val="2"/>
        <w:rPr>
          <w:rStyle w:val="19"/>
          <w:sz w:val="32"/>
          <w:szCs w:val="32"/>
        </w:rPr>
      </w:pPr>
      <w:bookmarkStart w:id="70" w:name="_Toc72938350"/>
      <w:r>
        <w:rPr>
          <w:rStyle w:val="19"/>
          <w:sz w:val="32"/>
          <w:szCs w:val="32"/>
        </w:rPr>
        <w:t>（二）项目管理情况。</w:t>
      </w:r>
      <w:bookmarkEnd w:id="70"/>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 w:eastAsia="仿宋" w:hint="eastAsia"/>
          <w:sz w:val="32"/>
          <w:szCs w:val="32"/>
          <w:lang w:val="zh-CN"/>
        </w:rPr>
      </w:pPr>
      <w:r>
        <w:rPr>
          <w:rFonts w:ascii="仿宋" w:eastAsia="仿宋" w:hint="eastAsia"/>
          <w:sz w:val="32"/>
          <w:szCs w:val="32"/>
          <w:lang w:val="zh-CN"/>
        </w:rPr>
        <w:t>严格按照财务管理制度及项目资金管理要求进行该项目会计核算及账务处理。</w:t>
      </w:r>
    </w:p>
    <w:p>
      <w:pPr>
        <w:pStyle w:val="18"/>
        <w:numPr>
          <w:ilvl w:val="0"/>
          <w:numId w:val="2"/>
        </w:numPr>
        <w:shd w:val="clear" w:color="auto" w:fill="FFFFFF"/>
        <w:ind w:left="0" w:firstLine="0"/>
        <w:outlineLvl w:val="2"/>
        <w:rPr>
          <w:rStyle w:val="19"/>
          <w:sz w:val="32"/>
          <w:szCs w:val="32"/>
        </w:rPr>
      </w:pPr>
      <w:bookmarkStart w:id="71" w:name="_Toc72938351"/>
      <w:r>
        <w:rPr>
          <w:rStyle w:val="19"/>
          <w:sz w:val="32"/>
          <w:szCs w:val="32"/>
        </w:rPr>
        <w:t>项目监管情况。</w:t>
      </w:r>
      <w:bookmarkEnd w:id="71"/>
    </w:p>
    <w:p>
      <w:pPr>
        <w:pStyle w:val="18"/>
        <w:shd w:val="clear" w:color="auto" w:fill="FFFFFF"/>
        <w:ind w:left="0" w:firstLineChars="200" w:firstLine="640"/>
        <w:rPr>
          <w:rStyle w:val="19"/>
          <w:sz w:val="32"/>
          <w:szCs w:val="32"/>
        </w:rPr>
      </w:pPr>
      <w:r>
        <w:rPr>
          <w:rFonts w:ascii="仿宋" w:eastAsia="仿宋" w:hint="eastAsia"/>
          <w:sz w:val="32"/>
          <w:szCs w:val="32"/>
          <w:lang w:val="zh-CN"/>
        </w:rPr>
        <w:t>由州发改委党办全程派员监督、按照政府采购相关管理制度发布采购公告，从11家社会代理机构中选取1家代理机构。</w:t>
      </w:r>
    </w:p>
    <w:p>
      <w:pPr>
        <w:pStyle w:val="18"/>
        <w:shd w:val="clear" w:color="auto" w:fill="FFFFFF"/>
        <w:outlineLvl w:val="1"/>
        <w:rPr>
          <w:rFonts w:ascii="黑体" w:eastAsia="黑体" w:cs="黑体" w:hint="eastAsia"/>
          <w:sz w:val="36"/>
          <w:szCs w:val="36"/>
        </w:rPr>
      </w:pPr>
      <w:bookmarkStart w:id="72" w:name="_Toc72938352"/>
      <w:r>
        <w:rPr>
          <w:rFonts w:ascii="黑体" w:eastAsia="黑体" w:cs="黑体" w:hint="eastAsia"/>
          <w:sz w:val="36"/>
          <w:szCs w:val="36"/>
        </w:rPr>
        <w:t>四、项目绩效情况</w:t>
      </w:r>
      <w:bookmarkEnd w:id="72"/>
    </w:p>
    <w:p>
      <w:pPr>
        <w:pStyle w:val="18"/>
        <w:shd w:val="clear" w:color="auto" w:fill="FFFFFF"/>
        <w:outlineLvl w:val="2"/>
        <w:rPr>
          <w:sz w:val="32"/>
          <w:szCs w:val="32"/>
        </w:rPr>
      </w:pPr>
      <w:bookmarkStart w:id="73" w:name="_Toc72938353"/>
      <w:r>
        <w:rPr>
          <w:rStyle w:val="19"/>
          <w:sz w:val="32"/>
          <w:szCs w:val="32"/>
        </w:rPr>
        <w:t>（一）项目完成情况。</w:t>
      </w:r>
      <w:bookmarkEnd w:id="73"/>
    </w:p>
    <w:p>
      <w:pPr>
        <w:pStyle w:val="18"/>
        <w:shd w:val="clear" w:color="auto" w:fill="FFFFFF"/>
        <w:spacing w:before="0" w:beforeAutospacing="0" w:after="0" w:afterAutospacing="0" w:line="480" w:lineRule="auto"/>
        <w:ind w:firstLine="480"/>
        <w:jc w:val="both"/>
        <w:rPr>
          <w:rFonts w:ascii="仿宋" w:eastAsia="仿宋" w:hint="eastAsia"/>
          <w:color w:val="333333"/>
          <w:sz w:val="32"/>
          <w:szCs w:val="32"/>
        </w:rPr>
      </w:pPr>
      <w:r>
        <w:rPr>
          <w:rFonts w:ascii="仿宋" w:eastAsia="仿宋" w:hint="eastAsia"/>
          <w:sz w:val="32"/>
          <w:szCs w:val="32"/>
          <w:lang w:val="zh-CN"/>
        </w:rPr>
        <w:t>项目完成数量帐篷、棉被、棉大衣、折叠床、防潮垫、发电机、抽水泵等18类物资，所有物资都有专业检测报告，质量指标达到入库标准。</w:t>
      </w:r>
      <w:r>
        <w:rPr>
          <w:rFonts w:ascii="仿宋" w:eastAsia="仿宋" w:hint="eastAsia"/>
          <w:color w:val="333333"/>
          <w:sz w:val="32"/>
          <w:szCs w:val="32"/>
        </w:rPr>
        <w:t>按采购</w:t>
      </w:r>
      <w:r>
        <w:rPr>
          <w:rFonts w:ascii="仿宋" w:eastAsia="仿宋" w:hint="eastAsia"/>
          <w:color w:val="333333"/>
          <w:sz w:val="32"/>
          <w:szCs w:val="32"/>
          <w:lang w:eastAsia="zh-CN"/>
        </w:rPr>
        <w:t>流程序时完成</w:t>
      </w:r>
      <w:r>
        <w:rPr>
          <w:rFonts w:ascii="仿宋" w:eastAsia="仿宋" w:hint="eastAsia"/>
          <w:color w:val="333333"/>
          <w:sz w:val="32"/>
          <w:szCs w:val="32"/>
        </w:rPr>
        <w:t>采购</w:t>
      </w:r>
      <w:r>
        <w:rPr>
          <w:rFonts w:ascii="仿宋" w:eastAsia="仿宋" w:hint="eastAsia"/>
          <w:color w:val="333333"/>
          <w:sz w:val="32"/>
          <w:szCs w:val="32"/>
          <w:lang w:eastAsia="zh-CN"/>
        </w:rPr>
        <w:t>任务</w:t>
      </w:r>
      <w:r>
        <w:rPr>
          <w:rFonts w:ascii="仿宋" w:eastAsia="仿宋" w:hint="eastAsia"/>
          <w:color w:val="333333"/>
          <w:sz w:val="32"/>
          <w:szCs w:val="32"/>
        </w:rPr>
        <w:t>，</w:t>
      </w:r>
      <w:r>
        <w:rPr>
          <w:rFonts w:ascii="仿宋" w:eastAsia="仿宋" w:hint="eastAsia"/>
          <w:color w:val="333333"/>
          <w:sz w:val="32"/>
          <w:szCs w:val="32"/>
          <w:lang w:eastAsia="zh-CN"/>
        </w:rPr>
        <w:t>并</w:t>
      </w:r>
      <w:r>
        <w:rPr>
          <w:rFonts w:ascii="仿宋" w:eastAsia="仿宋" w:hint="eastAsia"/>
          <w:color w:val="333333"/>
          <w:sz w:val="32"/>
          <w:szCs w:val="32"/>
        </w:rPr>
        <w:t>保质保量完成</w:t>
      </w:r>
      <w:r>
        <w:rPr>
          <w:rFonts w:ascii="仿宋" w:eastAsia="仿宋" w:hint="eastAsia"/>
          <w:color w:val="333333"/>
          <w:sz w:val="32"/>
          <w:szCs w:val="32"/>
          <w:lang w:eastAsia="zh-CN"/>
        </w:rPr>
        <w:t>。</w:t>
      </w:r>
      <w:r>
        <w:rPr>
          <w:rFonts w:ascii="仿宋" w:eastAsia="仿宋" w:hint="eastAsia"/>
          <w:color w:val="333333"/>
          <w:sz w:val="32"/>
          <w:szCs w:val="32"/>
        </w:rPr>
        <w:t>采购资金</w:t>
      </w:r>
      <w:r>
        <w:rPr>
          <w:rFonts w:ascii="仿宋" w:eastAsia="仿宋" w:hint="eastAsia"/>
          <w:color w:val="333333"/>
          <w:sz w:val="32"/>
          <w:szCs w:val="32"/>
          <w:lang w:eastAsia="zh-CN"/>
        </w:rPr>
        <w:t>共计</w:t>
      </w:r>
      <w:r>
        <w:rPr>
          <w:rFonts w:ascii="仿宋" w:eastAsia="仿宋" w:hint="eastAsia"/>
          <w:color w:val="333333"/>
          <w:sz w:val="32"/>
          <w:szCs w:val="32"/>
        </w:rPr>
        <w:t>支出</w:t>
      </w:r>
      <w:r>
        <w:rPr>
          <w:rFonts w:ascii="仿宋" w:eastAsia="仿宋"/>
          <w:color w:val="333333"/>
          <w:sz w:val="32"/>
          <w:szCs w:val="32"/>
        </w:rPr>
        <w:t>399.5</w:t>
      </w:r>
      <w:r>
        <w:rPr>
          <w:rFonts w:ascii="仿宋" w:eastAsia="仿宋" w:hint="eastAsia"/>
          <w:color w:val="333333"/>
          <w:sz w:val="32"/>
          <w:szCs w:val="32"/>
        </w:rPr>
        <w:t>万元</w:t>
      </w:r>
      <w:r>
        <w:rPr>
          <w:rFonts w:ascii="仿宋" w:eastAsia="仿宋" w:hint="eastAsia"/>
          <w:color w:val="333333"/>
          <w:sz w:val="32"/>
          <w:szCs w:val="32"/>
          <w:lang w:eastAsia="zh-CN"/>
        </w:rPr>
        <w:t>，</w:t>
      </w:r>
      <w:r>
        <w:rPr>
          <w:rFonts w:ascii="仿宋" w:eastAsia="仿宋" w:hint="eastAsia"/>
          <w:color w:val="333333"/>
          <w:sz w:val="32"/>
          <w:szCs w:val="32"/>
        </w:rPr>
        <w:t>项目资金全部支付到位。</w:t>
      </w:r>
      <w:r>
        <w:rPr>
          <w:rFonts w:ascii="仿宋" w:eastAsia="仿宋" w:hint="eastAsia"/>
          <w:sz w:val="32"/>
          <w:szCs w:val="32"/>
        </w:rPr>
        <w:t>从</w:t>
      </w:r>
      <w:r>
        <w:rPr>
          <w:rFonts w:ascii="仿宋" w:eastAsia="仿宋" w:hint="eastAsia"/>
          <w:sz w:val="32"/>
          <w:szCs w:val="32"/>
          <w:lang w:val="zh-CN"/>
        </w:rPr>
        <w:t>时效、成本看全面完成了计划目标。</w:t>
      </w:r>
    </w:p>
    <w:p>
      <w:pPr>
        <w:pStyle w:val="18"/>
        <w:shd w:val="clear" w:color="auto" w:fill="FFFFFF"/>
        <w:outlineLvl w:val="2"/>
        <w:rPr>
          <w:sz w:val="32"/>
          <w:szCs w:val="32"/>
        </w:rPr>
      </w:pPr>
      <w:bookmarkStart w:id="74" w:name="_Toc72938354"/>
      <w:r>
        <w:rPr>
          <w:rStyle w:val="19"/>
          <w:sz w:val="32"/>
          <w:szCs w:val="32"/>
        </w:rPr>
        <w:t>（二）项目效益情况。</w:t>
      </w:r>
      <w:bookmarkEnd w:id="74"/>
    </w:p>
    <w:p>
      <w:pPr>
        <w:pStyle w:val="18"/>
        <w:shd w:val="clear" w:color="auto" w:fill="FFFFFF"/>
        <w:spacing w:before="0" w:beforeAutospacing="0" w:after="0" w:afterAutospacing="0" w:line="480" w:lineRule="auto"/>
        <w:ind w:left="0" w:firstLineChars="200" w:firstLine="640"/>
        <w:jc w:val="both"/>
        <w:rPr>
          <w:rFonts w:ascii="仿宋" w:eastAsia="仿宋" w:hint="eastAsia"/>
          <w:color w:val="333333"/>
          <w:sz w:val="32"/>
          <w:szCs w:val="32"/>
        </w:rPr>
      </w:pPr>
      <w:r>
        <w:rPr>
          <w:rFonts w:ascii="仿宋" w:eastAsia="仿宋" w:hint="eastAsia"/>
          <w:color w:val="333333"/>
          <w:sz w:val="32"/>
          <w:szCs w:val="32"/>
        </w:rPr>
        <w:t>该项采购项目做到</w:t>
      </w:r>
      <w:r>
        <w:rPr>
          <w:rFonts w:ascii="仿宋" w:eastAsia="仿宋"/>
          <w:color w:val="333333"/>
          <w:sz w:val="32"/>
          <w:szCs w:val="32"/>
        </w:rPr>
        <w:t>了</w:t>
      </w:r>
      <w:r>
        <w:rPr>
          <w:rFonts w:ascii="仿宋" w:eastAsia="仿宋" w:hint="eastAsia"/>
          <w:color w:val="333333"/>
          <w:sz w:val="32"/>
          <w:szCs w:val="32"/>
        </w:rPr>
        <w:t>管理规范，程序到位，群众满意，社会反响好。</w:t>
      </w:r>
      <w:r>
        <w:rPr>
          <w:rFonts w:ascii="仿宋" w:eastAsia="仿宋" w:cs="Times New Roman" w:hint="eastAsia"/>
          <w:kern w:val="2"/>
          <w:sz w:val="32"/>
          <w:szCs w:val="32"/>
          <w:lang w:val="en-US" w:eastAsia="zh-CN" w:bidi="ar-SA"/>
        </w:rPr>
        <w:t>提高了应急救灾能力，保障了灾民基本生活，规范了州级救灾储备物资管理。</w:t>
      </w:r>
      <w:r>
        <w:rPr>
          <w:rFonts w:ascii="仿宋" w:eastAsia="仿宋" w:cs="Times New Roman" w:hint="eastAsia"/>
          <w:kern w:val="2"/>
          <w:sz w:val="32"/>
          <w:szCs w:val="32"/>
          <w:lang w:val="zh-CN" w:eastAsia="zh-CN" w:bidi="ar-SA"/>
        </w:rPr>
        <w:t>进一步加强了州级救灾物资储备能力，保障了应急救灾物资 “拿得出、调得快、用得上”。</w:t>
      </w:r>
    </w:p>
    <w:p>
      <w:pPr>
        <w:pStyle w:val="18"/>
        <w:shd w:val="clear" w:color="auto" w:fill="FFFFFF"/>
        <w:outlineLvl w:val="1"/>
        <w:rPr>
          <w:rFonts w:ascii="黑体" w:eastAsia="黑体" w:cs="黑体" w:hint="eastAsia"/>
          <w:sz w:val="36"/>
          <w:szCs w:val="36"/>
        </w:rPr>
      </w:pPr>
      <w:bookmarkStart w:id="75" w:name="_Toc72938355"/>
      <w:r>
        <w:rPr>
          <w:rFonts w:ascii="黑体" w:eastAsia="黑体" w:cs="黑体" w:hint="eastAsia"/>
          <w:sz w:val="36"/>
          <w:szCs w:val="36"/>
        </w:rPr>
        <w:t>五、评价结论及建议</w:t>
      </w:r>
      <w:bookmarkEnd w:id="75"/>
    </w:p>
    <w:p>
      <w:pPr>
        <w:pStyle w:val="18"/>
        <w:shd w:val="clear" w:color="auto" w:fill="FFFFFF"/>
        <w:outlineLvl w:val="2"/>
        <w:rPr>
          <w:sz w:val="32"/>
          <w:szCs w:val="32"/>
        </w:rPr>
      </w:pPr>
      <w:bookmarkStart w:id="76" w:name="_Toc72938356"/>
      <w:r>
        <w:rPr>
          <w:rStyle w:val="19"/>
          <w:sz w:val="32"/>
          <w:szCs w:val="32"/>
        </w:rPr>
        <w:t>（一）评价结论。</w:t>
      </w:r>
      <w:bookmarkEnd w:id="76"/>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通过对我委202</w:t>
      </w:r>
      <w:r>
        <w:rPr>
          <w:rFonts w:ascii="仿宋_GB2312" w:cs="仿宋_GB2312" w:hAnsi="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年度部门预算编制及执行等情况的细致梳理和分析，我委将全年工作情况总结如下：</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首先，在预算编制方面，我委能按照州、市相关部门的要求，准确、及时、合理的报送预算编制情况说明，同时，按照相关要求，我委按照要求及时的对202</w:t>
      </w:r>
      <w:r>
        <w:rPr>
          <w:rFonts w:ascii="仿宋_GB2312" w:cs="仿宋_GB2312" w:hAnsi="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年预算信息进行了公开公示。</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其次，在预算执行方面，我委严格按照资金支出管理要求，及时合理的支出相关资金。本年度，我委在节能降耗、廉洁行政方面较上年度有不小的进步。</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最后，在支出绩效方面，我委修订完善了财务管理制度，加强了对三公经费、政府采购、公务卡的使用和管理，在各项资金支付的过程中能按照相应开支标准认真审核报账资料、及时拨付相关资金并按时进行账务处理。能在财政的统一安排下，及时完成202</w:t>
      </w:r>
      <w:r>
        <w:rPr>
          <w:rFonts w:ascii="仿宋_GB2312" w:eastAsia="仿宋_GB2312" w:cs="仿宋_GB2312"/>
          <w:color w:val="000000"/>
          <w:kern w:val="2"/>
          <w:sz w:val="32"/>
          <w:szCs w:val="32"/>
          <w:lang w:val="en-US" w:eastAsia="zh-CN" w:bidi="ar-SA"/>
        </w:rPr>
        <w:t>2</w:t>
      </w:r>
      <w:r>
        <w:rPr>
          <w:rFonts w:ascii="仿宋_GB2312" w:eastAsia="仿宋_GB2312" w:cs="仿宋_GB2312" w:hint="eastAsia"/>
          <w:color w:val="000000"/>
          <w:kern w:val="2"/>
          <w:sz w:val="32"/>
          <w:szCs w:val="32"/>
          <w:lang w:val="en-US" w:eastAsia="zh-CN" w:bidi="ar-SA"/>
        </w:rPr>
        <w:t>年度决算工作，并及时进行决算公开、三公经费公开。</w:t>
      </w:r>
    </w:p>
    <w:p>
      <w:pPr>
        <w:keepNext w:val="0"/>
        <w:keepLines w:val="0"/>
        <w:pageBreakBefore w:val="0"/>
        <w:widowControl w:val="0"/>
        <w:kinsoku/>
        <w:wordWrap/>
        <w:overflowPunct/>
        <w:topLinePunct w:val="0"/>
        <w:autoSpaceDE/>
        <w:autoSpaceDN/>
        <w:bidi w:val="0"/>
        <w:adjustRightInd/>
        <w:snapToGrid/>
        <w:spacing w:line="680" w:lineRule="exact"/>
        <w:ind w:left="0" w:right="0" w:firstLineChars="200" w:firstLine="640"/>
        <w:textAlignment w:val="auto"/>
        <w:rPr>
          <w:rFonts w:hint="eastAsia"/>
          <w:lang w:val="zh-CN"/>
        </w:rPr>
      </w:pPr>
      <w:r>
        <w:rPr>
          <w:rFonts w:ascii="仿宋_GB2312" w:eastAsia="仿宋_GB2312" w:cs="仿宋_GB2312" w:hint="eastAsia"/>
          <w:color w:val="000000"/>
          <w:kern w:val="2"/>
          <w:sz w:val="32"/>
          <w:szCs w:val="32"/>
          <w:lang w:val="en-US" w:eastAsia="zh-CN" w:bidi="ar-SA"/>
        </w:rPr>
        <w:t>我委认真履行好部门职能职责，圆满完成了州委、州政府下达的各项业务目标任务。</w:t>
      </w:r>
    </w:p>
    <w:p>
      <w:pPr>
        <w:pStyle w:val="18"/>
        <w:shd w:val="clear" w:color="auto" w:fill="FFFFFF"/>
        <w:outlineLvl w:val="2"/>
        <w:rPr>
          <w:sz w:val="32"/>
          <w:szCs w:val="32"/>
        </w:rPr>
      </w:pPr>
      <w:bookmarkStart w:id="77" w:name="_Toc72938357"/>
      <w:r>
        <w:rPr>
          <w:rStyle w:val="19"/>
          <w:sz w:val="32"/>
          <w:szCs w:val="32"/>
        </w:rPr>
        <w:t>（二）存在的问题。</w:t>
      </w:r>
      <w:bookmarkEnd w:id="77"/>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1.预算编制质量较好但编制准确性有待提高。</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lang w:val="zh-CN"/>
        </w:rPr>
      </w:pPr>
      <w:r>
        <w:rPr>
          <w:rFonts w:ascii="仿宋_GB2312" w:eastAsia="仿宋_GB2312" w:cs="仿宋_GB2312" w:hint="eastAsia"/>
          <w:color w:val="000000"/>
          <w:kern w:val="2"/>
          <w:sz w:val="32"/>
          <w:szCs w:val="32"/>
          <w:lang w:val="en-US" w:eastAsia="zh-CN" w:bidi="ar-SA"/>
        </w:rPr>
        <w:t>2.项目推进较慢预算执行进度受到影响。</w:t>
      </w:r>
    </w:p>
    <w:p>
      <w:pPr>
        <w:pStyle w:val="18"/>
        <w:shd w:val="clear" w:color="auto" w:fill="FFFFFF"/>
        <w:outlineLvl w:val="2"/>
        <w:rPr>
          <w:sz w:val="32"/>
          <w:szCs w:val="32"/>
        </w:rPr>
      </w:pPr>
      <w:bookmarkStart w:id="78" w:name="_Toc72938358"/>
      <w:r>
        <w:rPr>
          <w:rStyle w:val="19"/>
          <w:sz w:val="32"/>
          <w:szCs w:val="32"/>
        </w:rPr>
        <w:t>（三）相关建议。</w:t>
      </w:r>
      <w:bookmarkEnd w:id="78"/>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1.细化预算编制工作，认真做好预算的编制。进一步加强委内各科室的预算管理意识，严格按照预算编制的相关制度和要求进行预算编制，进一步提高预算编制的科学性、严谨性和可控性。</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2.加强业务学习，深化财务管理，严格执行《政府会计制度》。在各类经济事项审核报销费用时，严格按照编制预算对应项目及对应用途进行资金使用审核、票据核算，杜绝超支现象的发生。</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3.持续抓好“三公”经费控制管理。严格控制“三公”经费的规模和比例，把关“三公”经费支出的审核、审批，杜绝挪用和挤占其他预算资金行为，进一步细化“三公”经费的管理，合理压缩“三公”经费支出。</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Chars="200" w:firstLine="640"/>
        <w:jc w:val="left"/>
        <w:textAlignment w:val="auto"/>
      </w:pPr>
      <w:r>
        <w:rPr>
          <w:rFonts w:ascii="仿宋_GB2312" w:eastAsia="仿宋_GB2312" w:cs="仿宋_GB2312" w:hint="eastAsia"/>
          <w:color w:val="000000"/>
          <w:kern w:val="2"/>
          <w:sz w:val="32"/>
          <w:szCs w:val="32"/>
          <w:lang w:val="en-US" w:eastAsia="zh-CN" w:bidi="ar-SA"/>
        </w:rPr>
        <w:t>在以后的工作中，我们将严格按照相关法律法规及相关政策制度规定，定期全面检视，如若发现财务风险点位，立即针对性地细化工作措施，持续完善相关制度及办法，建立健全管理常态长效机制，并坚决维护制度权威，提高制度执行力，切实堵塞漏洞、防范风险，切实提高财政资金绩效管理水平。</w:t>
      </w:r>
      <w:r>
        <w:t> </w:t>
      </w:r>
    </w:p>
    <w:p>
      <w:pPr>
        <w:pStyle w:val="18"/>
        <w:shd w:val="clear" w:color="auto" w:fill="FFFFFF"/>
      </w:pPr>
      <w:r>
        <w:t>附表</w:t>
      </w:r>
    </w:p>
    <w:tbl>
      <w:tblPr>
        <w:jc w:val="left"/>
        <w:tblInd w:w="0" w:type="dxa"/>
        <w:tblW w:w="8517" w:type="dxa"/>
        <w:tblCellSpacing w:w="0" w:type="dxa"/>
        <w:tblBorders>
          <w:top w:val="outset" w:sz="6" w:space="0" w:color="auto"/>
          <w:left w:val="outset" w:sz="6" w:space="0" w:color="auto"/>
          <w:bottom w:val="outset" w:sz="6" w:space="0" w:color="auto"/>
          <w:right w:val="outset" w:sz="6" w:space="0" w:color="auto"/>
        </w:tblBorders>
        <w:tblLayout w:type="fixed"/>
        <w:tblCellMar>
          <w:top w:w="0" w:type="dxa"/>
          <w:left w:w="0" w:type="dxa"/>
          <w:bottom w:w="0" w:type="dxa"/>
          <w:right w:w="0" w:type="dxa"/>
        </w:tblCellMar>
      </w:tblPr>
      <w:tblGrid>
        <w:gridCol w:w="1745"/>
        <w:gridCol w:w="1030"/>
        <w:gridCol w:w="1451"/>
        <w:gridCol w:w="1068"/>
        <w:gridCol w:w="1340"/>
        <w:gridCol w:w="1883"/>
      </w:tblGrid>
      <w:tr>
        <w:trPr>
          <w:trHeight w:val="675"/>
        </w:trPr>
        <w:tc>
          <w:tcPr>
            <w:tcW w:w="8517" w:type="dxa"/>
            <w:gridSpan w:val="6"/>
            <w:tcBorders>
              <w:top w:val="outset" w:sz="6" w:space="0" w:color="auto"/>
              <w:left w:val="outset" w:sz="6" w:space="0" w:color="auto"/>
              <w:bottom w:val="outset" w:sz="6" w:space="0" w:color="auto"/>
              <w:right w:val="outset" w:sz="6" w:space="0" w:color="auto"/>
            </w:tcBorders>
            <w:noWrap/>
            <w:vAlign w:val="center"/>
          </w:tcPr>
          <w:p>
            <w:pPr>
              <w:pStyle w:val="18"/>
              <w:jc w:val="center"/>
            </w:pPr>
            <w:r>
              <w:rPr>
                <w:rStyle w:val="19"/>
              </w:rPr>
              <w:t>2022年100万元以上（含）特定目标类部门预算项目绩效目标自评</w:t>
            </w:r>
          </w:p>
        </w:tc>
      </w:tr>
      <w:tr>
        <w:trPr>
          <w:trHeight w:val="255"/>
        </w:trPr>
        <w:tc>
          <w:tcPr>
            <w:tcW w:w="2775" w:type="dxa"/>
            <w:gridSpan w:val="2"/>
            <w:tcBorders>
              <w:top w:val="outset" w:sz="6" w:space="0" w:color="auto"/>
              <w:left w:val="outset" w:sz="6" w:space="0" w:color="auto"/>
              <w:bottom w:val="outset" w:sz="6" w:space="0" w:color="auto"/>
              <w:right w:val="outset" w:sz="6" w:space="0" w:color="auto"/>
            </w:tcBorders>
            <w:noWrap/>
            <w:vAlign w:val="center"/>
          </w:tcPr>
          <w:p>
            <w:pPr>
              <w:pStyle w:val="18"/>
              <w:jc w:val="center"/>
            </w:pPr>
            <w:r>
              <w:t>主管部门及代码</w:t>
            </w:r>
          </w:p>
        </w:tc>
        <w:tc>
          <w:tcPr>
            <w:tcW w:w="2519" w:type="dxa"/>
            <w:gridSpan w:val="2"/>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hint="eastAsia"/>
                <w:lang w:val="en-US" w:eastAsia="zh-CN"/>
              </w:rPr>
              <w:t>303001</w:t>
            </w: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实施单位</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hint="eastAsia"/>
                <w:lang w:val="en-US" w:eastAsia="zh-CN"/>
              </w:rPr>
              <w:t>州发改委</w:t>
            </w:r>
            <w:r>
              <w:t> </w:t>
            </w:r>
          </w:p>
        </w:tc>
      </w:tr>
      <w:tr>
        <w:trPr>
          <w:trHeight w:val="345"/>
        </w:trPr>
        <w:tc>
          <w:tcPr>
            <w:tcW w:w="2775" w:type="dxa"/>
            <w:gridSpan w:val="2"/>
            <w:vMerge w:val="restart"/>
            <w:tcBorders>
              <w:top w:val="outset" w:sz="6" w:space="0" w:color="auto"/>
              <w:left w:val="outset" w:sz="6" w:space="0" w:color="auto"/>
              <w:bottom w:val="outset" w:sz="6" w:space="0" w:color="auto"/>
              <w:right w:val="outset" w:sz="6" w:space="0" w:color="auto"/>
            </w:tcBorders>
            <w:noWrap/>
            <w:vAlign w:val="center"/>
          </w:tcPr>
          <w:p>
            <w:pPr>
              <w:pStyle w:val="18"/>
              <w:jc w:val="center"/>
            </w:pPr>
            <w:r>
              <w:t>项目预算</w:t>
            </w:r>
          </w:p>
          <w:p>
            <w:pPr>
              <w:pStyle w:val="18"/>
              <w:jc w:val="center"/>
            </w:pPr>
            <w:r>
              <w:t>执行情况</w:t>
            </w:r>
          </w:p>
          <w:p>
            <w:pPr>
              <w:pStyle w:val="18"/>
              <w:jc w:val="center"/>
            </w:pPr>
            <w:r>
              <w:t>（万元）</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预算数：</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宋体"/>
                <w:lang w:val="en-US" w:eastAsia="zh-CN"/>
              </w:rPr>
            </w:pPr>
            <w:r>
              <w:t> </w:t>
            </w:r>
            <w:r>
              <w:rPr>
                <w:rFonts w:hint="eastAsia"/>
                <w:lang w:val="en-US" w:eastAsia="zh-CN"/>
              </w:rPr>
              <w:t>4</w:t>
            </w:r>
            <w:r>
              <w:rPr>
                <w:lang w:val="en-US" w:eastAsia="zh-CN"/>
              </w:rPr>
              <w:t>1</w:t>
            </w:r>
            <w:r>
              <w:rPr>
                <w:rFonts w:hint="eastAsia"/>
                <w:lang w:val="en-US" w:eastAsia="zh-CN"/>
              </w:rPr>
              <w:t>0</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执行数：</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rPr>
                <w:lang w:val="en-US"/>
              </w:rPr>
            </w:pPr>
            <w:r>
              <w:rPr>
                <w:lang w:val="en-US" w:eastAsia="zh-CN"/>
              </w:rPr>
              <w:t>399.5</w:t>
            </w:r>
          </w:p>
        </w:tc>
      </w:tr>
      <w:tr>
        <w:trPr>
          <w:trHeight w:val="555"/>
        </w:trPr>
        <w:tc>
          <w:tcPr>
            <w:tcW w:w="2775"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其中：</w:t>
            </w:r>
          </w:p>
          <w:p>
            <w:pPr>
              <w:pStyle w:val="18"/>
              <w:jc w:val="center"/>
            </w:pPr>
            <w:r>
              <w:t>财政拨款</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hint="eastAsia"/>
                <w:lang w:val="en-US" w:eastAsia="zh-CN"/>
              </w:rPr>
              <w:t>4</w:t>
            </w:r>
            <w:r>
              <w:rPr>
                <w:lang w:val="en-US" w:eastAsia="zh-CN"/>
              </w:rPr>
              <w:t>1</w:t>
            </w:r>
            <w:r>
              <w:rPr>
                <w:rFonts w:hint="eastAsia"/>
                <w:lang w:val="en-US" w:eastAsia="zh-CN"/>
              </w:rPr>
              <w:t>0</w:t>
            </w: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其中：</w:t>
            </w:r>
          </w:p>
          <w:p>
            <w:pPr>
              <w:pStyle w:val="18"/>
              <w:jc w:val="center"/>
            </w:pPr>
            <w:r>
              <w:t>财政拨款</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lang w:val="en-US" w:eastAsia="zh-CN"/>
              </w:rPr>
              <w:t>399.5</w:t>
            </w:r>
            <w:r>
              <w:t> </w:t>
            </w:r>
          </w:p>
        </w:tc>
      </w:tr>
      <w:tr>
        <w:trPr>
          <w:trHeight w:val="345"/>
        </w:trPr>
        <w:tc>
          <w:tcPr>
            <w:tcW w:w="2775"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其他资金</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其他资金</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r>
      <w:tr>
        <w:trPr>
          <w:trHeight w:val="210"/>
        </w:trPr>
        <w:tc>
          <w:tcPr>
            <w:tcW w:w="1745" w:type="dxa"/>
            <w:vMerge w:val="restart"/>
            <w:tcBorders>
              <w:top w:val="outset" w:sz="6" w:space="0" w:color="auto"/>
              <w:left w:val="outset" w:sz="6" w:space="0" w:color="auto"/>
              <w:bottom w:val="outset" w:sz="6" w:space="0" w:color="auto"/>
              <w:right w:val="outset" w:sz="6" w:space="0" w:color="auto"/>
            </w:tcBorders>
            <w:noWrap/>
            <w:vAlign w:val="center"/>
          </w:tcPr>
          <w:p>
            <w:pPr>
              <w:pStyle w:val="18"/>
              <w:jc w:val="center"/>
            </w:pPr>
            <w:r>
              <w:t>年度总体目标</w:t>
            </w:r>
          </w:p>
          <w:p>
            <w:pPr>
              <w:pStyle w:val="18"/>
              <w:jc w:val="center"/>
            </w:pPr>
            <w:r>
              <w:t>完成情况</w:t>
            </w:r>
          </w:p>
        </w:tc>
        <w:tc>
          <w:tcPr>
            <w:tcW w:w="3549" w:type="dxa"/>
            <w:gridSpan w:val="3"/>
            <w:tcBorders>
              <w:top w:val="outset" w:sz="6" w:space="0" w:color="auto"/>
              <w:left w:val="outset" w:sz="6" w:space="0" w:color="auto"/>
              <w:bottom w:val="outset" w:sz="6" w:space="0" w:color="auto"/>
              <w:right w:val="outset" w:sz="6" w:space="0" w:color="auto"/>
            </w:tcBorders>
            <w:noWrap/>
            <w:vAlign w:val="center"/>
          </w:tcPr>
          <w:p>
            <w:pPr>
              <w:pStyle w:val="18"/>
              <w:jc w:val="center"/>
            </w:pPr>
            <w:r>
              <w:t>预期目标</w:t>
            </w:r>
          </w:p>
        </w:tc>
        <w:tc>
          <w:tcPr>
            <w:tcW w:w="3223" w:type="dxa"/>
            <w:gridSpan w:val="2"/>
            <w:tcBorders>
              <w:top w:val="outset" w:sz="6" w:space="0" w:color="auto"/>
              <w:left w:val="outset" w:sz="6" w:space="0" w:color="auto"/>
              <w:bottom w:val="outset" w:sz="6" w:space="0" w:color="auto"/>
              <w:right w:val="outset" w:sz="6" w:space="0" w:color="auto"/>
            </w:tcBorders>
            <w:noWrap/>
            <w:vAlign w:val="center"/>
          </w:tcPr>
          <w:p>
            <w:pPr>
              <w:pStyle w:val="18"/>
              <w:jc w:val="center"/>
            </w:pPr>
            <w:r>
              <w:t>目标实际完成情况</w:t>
            </w:r>
          </w:p>
        </w:tc>
      </w:tr>
      <w:tr>
        <w:trPr>
          <w:trHeight w:val="795"/>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3549" w:type="dxa"/>
            <w:gridSpan w:val="3"/>
            <w:tcBorders>
              <w:top w:val="outset" w:sz="6" w:space="0" w:color="auto"/>
              <w:left w:val="outset" w:sz="6" w:space="0" w:color="auto"/>
              <w:bottom w:val="outset" w:sz="6" w:space="0" w:color="auto"/>
              <w:right w:val="outset" w:sz="6" w:space="0" w:color="auto"/>
            </w:tcBorders>
            <w:noWrap/>
            <w:vAlign w:val="center"/>
          </w:tcPr>
          <w:p>
            <w:pPr>
              <w:pStyle w:val="18"/>
              <w:jc w:val="center"/>
              <w:rPr>
                <w:sz w:val="18"/>
                <w:szCs w:val="18"/>
              </w:rPr>
            </w:pPr>
            <w:r>
              <w:rPr>
                <w:rFonts w:ascii="宋体" w:eastAsia="宋体" w:cs="宋体" w:hint="eastAsia"/>
                <w:kern w:val="2"/>
                <w:sz w:val="18"/>
                <w:szCs w:val="18"/>
                <w:lang w:val="en-US" w:eastAsia="zh-CN" w:bidi="ar-SA"/>
              </w:rPr>
              <w:t>为了提高应急救灾能力，保障灾民基本生活，规范州级救灾储备物资管理。州级救灾储备物资的种类、数量由州应急局提供购买清单，救灾储备物资实行统一规格、统一标志，相关技术标准由州发改委负责编制。</w:t>
            </w:r>
            <w:r>
              <w:rPr>
                <w:rFonts w:ascii="宋体" w:eastAsia="宋体" w:cs="宋体" w:hint="eastAsia"/>
                <w:kern w:val="2"/>
                <w:sz w:val="18"/>
                <w:szCs w:val="18"/>
                <w:lang w:val="zh-CN" w:eastAsia="zh-CN" w:bidi="ar-SA"/>
              </w:rPr>
              <w:t>为进一步加强州级救灾物资储备能力，保障应急救灾物资 “拿得出、调得快、用得上”。</w:t>
            </w:r>
            <w:r>
              <w:rPr>
                <w:rFonts w:ascii="宋体" w:eastAsia="宋体" w:cs="宋体" w:hint="eastAsia"/>
                <w:color w:val="333333"/>
                <w:sz w:val="18"/>
                <w:szCs w:val="18"/>
              </w:rPr>
              <w:t>确保完成18类物资的品质、参数符合高寒地区需要</w:t>
            </w:r>
            <w:r>
              <w:rPr>
                <w:rFonts w:ascii="宋体" w:eastAsia="宋体" w:cs="宋体" w:hint="eastAsia"/>
                <w:color w:val="333333"/>
                <w:sz w:val="18"/>
                <w:szCs w:val="18"/>
                <w:lang w:eastAsia="zh-CN"/>
              </w:rPr>
              <w:t>。</w:t>
            </w:r>
            <w:r>
              <w:rPr>
                <w:rFonts w:ascii="宋体" w:eastAsia="宋体" w:cs="宋体" w:hint="eastAsia"/>
                <w:sz w:val="18"/>
                <w:szCs w:val="18"/>
              </w:rPr>
              <w:t> </w:t>
            </w:r>
          </w:p>
        </w:tc>
        <w:tc>
          <w:tcPr>
            <w:tcW w:w="3223" w:type="dxa"/>
            <w:gridSpan w:val="2"/>
            <w:tcBorders>
              <w:top w:val="outset" w:sz="6" w:space="0" w:color="auto"/>
              <w:left w:val="outset" w:sz="6" w:space="0" w:color="auto"/>
              <w:bottom w:val="outset" w:sz="6" w:space="0" w:color="auto"/>
              <w:right w:val="outset" w:sz="6" w:space="0" w:color="auto"/>
            </w:tcBorders>
            <w:noWrap/>
            <w:vAlign w:val="center"/>
          </w:tcPr>
          <w:p>
            <w:pPr>
              <w:pStyle w:val="18"/>
              <w:jc w:val="center"/>
            </w:pPr>
            <w:r>
              <w:t> </w:t>
            </w:r>
            <w:r>
              <w:rPr>
                <w:rFonts w:ascii="宋体" w:eastAsia="宋体" w:cs="宋体" w:hint="eastAsia"/>
                <w:kern w:val="2"/>
                <w:sz w:val="18"/>
                <w:szCs w:val="18"/>
                <w:lang w:val="en-US" w:eastAsia="zh-CN" w:bidi="ar-SA"/>
              </w:rPr>
              <w:t>为了提高应急救灾能力，保障灾民基本生活，规范州级救灾储备物资管理。州级救灾储备物资的种类、数量由州应急局提供购买清单，救灾储备物资实行统一规格、统一标志，相关技术标准由州发改委负责编制。</w:t>
            </w:r>
            <w:r>
              <w:rPr>
                <w:rFonts w:ascii="宋体" w:eastAsia="宋体" w:cs="宋体" w:hint="eastAsia"/>
                <w:kern w:val="2"/>
                <w:sz w:val="18"/>
                <w:szCs w:val="18"/>
                <w:lang w:val="zh-CN" w:eastAsia="zh-CN" w:bidi="ar-SA"/>
              </w:rPr>
              <w:t>为进一步加强州级救灾物资储备能力，保障应急救灾物资 “拿得出、调得快、用得上”。</w:t>
            </w:r>
            <w:r>
              <w:rPr>
                <w:rFonts w:ascii="宋体" w:eastAsia="宋体" w:cs="宋体" w:hint="eastAsia"/>
                <w:color w:val="333333"/>
                <w:sz w:val="18"/>
                <w:szCs w:val="18"/>
              </w:rPr>
              <w:t>确保完成18类物资的品质、参数符合高寒地区需要</w:t>
            </w:r>
            <w:r>
              <w:rPr>
                <w:rFonts w:ascii="宋体" w:eastAsia="宋体" w:cs="宋体" w:hint="eastAsia"/>
                <w:color w:val="333333"/>
                <w:sz w:val="18"/>
                <w:szCs w:val="18"/>
                <w:lang w:eastAsia="zh-CN"/>
              </w:rPr>
              <w:t>。</w:t>
            </w:r>
            <w:r>
              <w:rPr>
                <w:rFonts w:ascii="宋体" w:eastAsia="宋体" w:cs="宋体" w:hint="eastAsia"/>
                <w:sz w:val="18"/>
                <w:szCs w:val="18"/>
              </w:rPr>
              <w:t> </w:t>
            </w:r>
          </w:p>
        </w:tc>
      </w:tr>
      <w:tr>
        <w:trPr>
          <w:trHeight w:val="690"/>
        </w:trPr>
        <w:tc>
          <w:tcPr>
            <w:tcW w:w="1745" w:type="dxa"/>
            <w:vMerge w:val="restart"/>
            <w:tcBorders>
              <w:top w:val="outset" w:sz="6" w:space="0" w:color="auto"/>
              <w:left w:val="outset" w:sz="6" w:space="0" w:color="auto"/>
              <w:bottom w:val="outset" w:sz="6" w:space="0" w:color="auto"/>
              <w:right w:val="outset" w:sz="6" w:space="0" w:color="auto"/>
            </w:tcBorders>
            <w:noWrap/>
            <w:vAlign w:val="center"/>
          </w:tcPr>
          <w:p>
            <w:pPr>
              <w:pStyle w:val="18"/>
              <w:jc w:val="center"/>
            </w:pPr>
            <w:r>
              <w:t>年度绩效指标完成情况</w:t>
            </w:r>
          </w:p>
        </w:tc>
        <w:tc>
          <w:tcPr>
            <w:tcW w:w="103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一级</w:t>
            </w:r>
          </w:p>
          <w:p>
            <w:pPr>
              <w:pStyle w:val="18"/>
              <w:jc w:val="center"/>
            </w:pPr>
            <w:r>
              <w:t>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二级</w:t>
            </w:r>
          </w:p>
          <w:p>
            <w:pPr>
              <w:pStyle w:val="18"/>
              <w:jc w:val="center"/>
            </w:pPr>
            <w:r>
              <w:t>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t>三级</w:t>
            </w:r>
          </w:p>
          <w:p>
            <w:pPr>
              <w:pStyle w:val="18"/>
              <w:jc w:val="center"/>
            </w:pPr>
            <w:r>
              <w:t>指标</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预期指标值</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实际完成指标值</w:t>
            </w:r>
          </w:p>
        </w:tc>
      </w:tr>
      <w:tr>
        <w:trPr>
          <w:trHeight w:val="42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val="restart"/>
            <w:tcBorders>
              <w:top w:val="outset" w:sz="6" w:space="0" w:color="auto"/>
              <w:left w:val="outset" w:sz="6" w:space="0" w:color="auto"/>
              <w:bottom w:val="outset" w:sz="6" w:space="0" w:color="auto"/>
              <w:right w:val="outset" w:sz="6" w:space="0" w:color="auto"/>
            </w:tcBorders>
            <w:noWrap/>
            <w:vAlign w:val="center"/>
          </w:tcPr>
          <w:p>
            <w:pPr>
              <w:pStyle w:val="18"/>
              <w:jc w:val="center"/>
            </w:pPr>
            <w:r>
              <w:t>完成</w:t>
            </w:r>
          </w:p>
          <w:p>
            <w:pPr>
              <w:pStyle w:val="18"/>
              <w:jc w:val="center"/>
            </w:pPr>
            <w:r>
              <w:t>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数量指标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宋体"/>
                <w:lang w:val="en-US" w:eastAsia="zh-CN"/>
              </w:rPr>
            </w:pPr>
            <w:r>
              <w:t> </w:t>
            </w:r>
            <w:r>
              <w:rPr>
                <w:rFonts w:hint="eastAsia"/>
                <w:lang w:val="en-US" w:eastAsia="zh-CN"/>
              </w:rPr>
              <w:t>采购种类</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hint="eastAsia"/>
                <w:lang w:val="en-US" w:eastAsia="zh-CN"/>
              </w:rPr>
              <w:t>18类</w:t>
            </w:r>
            <w: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r>
              <w:rPr>
                <w:rFonts w:hint="eastAsia"/>
                <w:lang w:val="en-US" w:eastAsia="zh-CN"/>
              </w:rPr>
              <w:t>18类</w:t>
            </w:r>
            <w:r>
              <w:t> </w:t>
            </w:r>
          </w:p>
        </w:tc>
      </w:tr>
      <w:tr>
        <w:trPr>
          <w:trHeight w:val="42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质量指标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color w:val="333333"/>
                <w:sz w:val="18"/>
                <w:szCs w:val="18"/>
              </w:rPr>
              <w:t>参数符合高寒地区需要</w:t>
            </w: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color w:val="333333"/>
                <w:sz w:val="18"/>
                <w:szCs w:val="18"/>
              </w:rPr>
              <w:t>参数符合高寒地区需要</w:t>
            </w:r>
            <w: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r>
              <w:rPr>
                <w:rFonts w:ascii="宋体" w:eastAsia="宋体" w:cs="宋体" w:hint="eastAsia"/>
                <w:color w:val="333333"/>
                <w:sz w:val="18"/>
                <w:szCs w:val="18"/>
              </w:rPr>
              <w:t>参数符合高寒地区需要</w:t>
            </w:r>
          </w:p>
        </w:tc>
      </w:tr>
      <w:tr>
        <w:trPr>
          <w:trHeight w:val="42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时效指标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hint="eastAsia"/>
                <w:lang w:val="en-US" w:eastAsia="zh-CN"/>
              </w:rPr>
              <w:t>完成时间</w:t>
            </w: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宋体"/>
                <w:lang w:val="en-US" w:eastAsia="zh-CN"/>
              </w:rPr>
            </w:pPr>
            <w:r>
              <w:t> </w:t>
            </w:r>
            <w:r>
              <w:rPr>
                <w:rFonts w:hint="eastAsia"/>
                <w:lang w:val="en-US" w:eastAsia="zh-CN"/>
              </w:rPr>
              <w:t>202</w:t>
            </w:r>
            <w:r>
              <w:rPr>
                <w:lang w:val="en-US" w:eastAsia="zh-CN"/>
              </w:rPr>
              <w:t>2</w:t>
            </w:r>
            <w:r>
              <w:rPr>
                <w:rFonts w:hint="eastAsia"/>
                <w:lang w:val="en-US" w:eastAsia="zh-CN"/>
              </w:rPr>
              <w:t>年12月前</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hint="eastAsia"/>
                <w:lang w:val="en-US" w:eastAsia="zh-CN"/>
              </w:rPr>
              <w:t>202</w:t>
            </w:r>
            <w:r>
              <w:rPr>
                <w:lang w:val="en-US" w:eastAsia="zh-CN"/>
              </w:rPr>
              <w:t>2</w:t>
            </w:r>
            <w:r>
              <w:rPr>
                <w:rFonts w:hint="eastAsia"/>
                <w:lang w:val="en-US" w:eastAsia="zh-CN"/>
              </w:rPr>
              <w:t>年</w:t>
            </w:r>
            <w:r>
              <w:rPr>
                <w:lang w:val="en-US" w:eastAsia="zh-CN"/>
              </w:rPr>
              <w:t>12</w:t>
            </w:r>
            <w:r>
              <w:rPr>
                <w:rFonts w:hint="eastAsia"/>
                <w:lang w:val="en-US" w:eastAsia="zh-CN"/>
              </w:rPr>
              <w:t>月</w:t>
            </w:r>
            <w:r>
              <w:t> </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成本指标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rPr>
                <w:sz w:val="18"/>
                <w:szCs w:val="18"/>
              </w:rPr>
            </w:pPr>
            <w:r>
              <w:rPr>
                <w:sz w:val="18"/>
                <w:szCs w:val="18"/>
              </w:rPr>
              <w:t> </w:t>
            </w:r>
            <w:r>
              <w:rPr>
                <w:rFonts w:ascii="宋体" w:hint="eastAsia"/>
                <w:sz w:val="18"/>
                <w:szCs w:val="18"/>
              </w:rPr>
              <w:t>采购成本</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rPr>
                <w:sz w:val="18"/>
                <w:szCs w:val="18"/>
              </w:rPr>
            </w:pPr>
            <w:r>
              <w:rPr>
                <w:rFonts w:hint="eastAsia"/>
                <w:sz w:val="18"/>
                <w:szCs w:val="18"/>
                <w:lang w:val="en-US" w:eastAsia="zh-CN"/>
              </w:rPr>
              <w:t>4</w:t>
            </w:r>
            <w:r>
              <w:rPr>
                <w:sz w:val="18"/>
                <w:szCs w:val="18"/>
                <w:lang w:val="en-US" w:eastAsia="zh-CN"/>
              </w:rPr>
              <w:t>1</w:t>
            </w:r>
            <w:r>
              <w:rPr>
                <w:rFonts w:hint="eastAsia"/>
                <w:sz w:val="18"/>
                <w:szCs w:val="18"/>
                <w:lang w:val="en-US" w:eastAsia="zh-CN"/>
              </w:rPr>
              <w:t>0万元以内</w:t>
            </w:r>
            <w:r>
              <w:rPr>
                <w:sz w:val="18"/>
                <w:szCs w:val="18"/>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宋体" w:hint="eastAsia"/>
                <w:lang w:val="en-US" w:eastAsia="zh-CN"/>
              </w:rPr>
            </w:pPr>
            <w:r>
              <w:rPr>
                <w:rFonts w:hint="eastAsia"/>
                <w:lang w:val="en-US" w:eastAsia="zh-CN"/>
              </w:rPr>
              <w:t>合同价</w:t>
            </w:r>
            <w:r>
              <w:rPr>
                <w:lang w:val="en-US" w:eastAsia="zh-CN"/>
              </w:rPr>
              <w:t>399.5</w:t>
            </w:r>
            <w:r>
              <w:rPr>
                <w:rFonts w:hint="eastAsia"/>
                <w:lang w:val="en-US" w:eastAsia="zh-CN"/>
              </w:rPr>
              <w:t>万</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val="restart"/>
            <w:tcBorders>
              <w:top w:val="outset" w:sz="6" w:space="0" w:color="auto"/>
              <w:left w:val="outset" w:sz="6" w:space="0" w:color="auto"/>
              <w:bottom w:val="outset" w:sz="6" w:space="0" w:color="auto"/>
              <w:right w:val="outset" w:sz="6" w:space="0" w:color="auto"/>
            </w:tcBorders>
            <w:noWrap/>
            <w:vAlign w:val="center"/>
          </w:tcPr>
          <w:p>
            <w:pPr>
              <w:pStyle w:val="18"/>
              <w:jc w:val="center"/>
            </w:pPr>
            <w:r>
              <w:t>效益</w:t>
            </w:r>
          </w:p>
          <w:p>
            <w:pPr>
              <w:pStyle w:val="18"/>
              <w:jc w:val="center"/>
            </w:pPr>
            <w:r>
              <w:t>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经济效益指标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社会效益指标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sz w:val="18"/>
                <w:szCs w:val="18"/>
              </w:rPr>
              <w:t> </w:t>
            </w:r>
            <w:r>
              <w:rPr>
                <w:rFonts w:cs="宋体" w:hint="eastAsia"/>
                <w:kern w:val="2"/>
                <w:sz w:val="18"/>
                <w:szCs w:val="18"/>
                <w:lang w:val="en-US" w:eastAsia="zh-CN" w:bidi="ar-SA"/>
              </w:rPr>
              <w:t>社会效益</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kern w:val="2"/>
                <w:sz w:val="18"/>
                <w:szCs w:val="18"/>
                <w:lang w:val="en-US" w:eastAsia="zh-CN" w:bidi="ar-SA"/>
              </w:rPr>
              <w:t>提高了应急救灾能力，保障了灾民基本生活</w:t>
            </w:r>
            <w:r>
              <w:rPr>
                <w:rFonts w:cs="宋体" w:hint="eastAsia"/>
                <w:kern w:val="2"/>
                <w:sz w:val="18"/>
                <w:szCs w:val="18"/>
                <w:lang w:val="en-US" w:eastAsia="zh-CN" w:bidi="ar-SA"/>
              </w:rPr>
              <w:t>。</w:t>
            </w:r>
            <w: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kern w:val="2"/>
                <w:sz w:val="18"/>
                <w:szCs w:val="18"/>
                <w:lang w:val="en-US" w:eastAsia="zh-CN" w:bidi="ar-SA"/>
              </w:rPr>
              <w:t>提高了应急救灾能力，保障了灾民基本生活</w:t>
            </w:r>
            <w:r>
              <w:rPr>
                <w:rFonts w:cs="宋体" w:hint="eastAsia"/>
                <w:kern w:val="2"/>
                <w:sz w:val="18"/>
                <w:szCs w:val="18"/>
                <w:lang w:val="en-US" w:eastAsia="zh-CN" w:bidi="ar-SA"/>
              </w:rPr>
              <w:t>。</w:t>
            </w:r>
            <w:r>
              <w:t> </w:t>
            </w:r>
          </w:p>
        </w:tc>
      </w:tr>
      <w:tr>
        <w:trPr>
          <w:trHeight w:val="57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ind w:left="423"/>
            </w:pPr>
            <w:r>
              <w:t>生态效益指标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pPr>
            <w: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可持续影响指标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宋体"/>
                <w:lang w:val="en-US" w:eastAsia="zh-CN"/>
              </w:rPr>
            </w:pPr>
            <w:r>
              <w:t> </w:t>
            </w:r>
            <w:r>
              <w:rPr>
                <w:rFonts w:hint="eastAsia"/>
                <w:lang w:val="en-US" w:eastAsia="zh-CN"/>
              </w:rPr>
              <w:t>可持续影响</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kern w:val="2"/>
                <w:sz w:val="18"/>
                <w:szCs w:val="18"/>
                <w:lang w:val="en-US" w:eastAsia="zh-CN" w:bidi="ar-SA"/>
              </w:rPr>
              <w:t>规范了州级救灾储备物资管理</w:t>
            </w:r>
            <w:r>
              <w:rPr>
                <w:rFonts w:cs="宋体" w:hint="eastAsia"/>
                <w:kern w:val="2"/>
                <w:sz w:val="18"/>
                <w:szCs w:val="18"/>
                <w:lang w:val="en-US" w:eastAsia="zh-CN" w:bidi="ar-SA"/>
              </w:rPr>
              <w:t>。</w:t>
            </w:r>
            <w: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rPr>
                <w:rFonts w:ascii="宋体" w:eastAsia="宋体" w:cs="宋体" w:hint="eastAsia"/>
                <w:kern w:val="2"/>
                <w:sz w:val="18"/>
                <w:szCs w:val="18"/>
                <w:lang w:val="en-US" w:eastAsia="zh-CN" w:bidi="ar-SA"/>
              </w:rPr>
              <w:t>规范了州级救灾储备物资管理</w:t>
            </w:r>
            <w:r>
              <w:rPr>
                <w:rFonts w:cs="宋体" w:hint="eastAsia"/>
                <w:kern w:val="2"/>
                <w:sz w:val="18"/>
                <w:szCs w:val="18"/>
                <w:lang w:val="en-US" w:eastAsia="zh-CN" w:bidi="ar-SA"/>
              </w:rPr>
              <w:t>。</w:t>
            </w:r>
            <w:r>
              <w:t> </w:t>
            </w:r>
          </w:p>
        </w:tc>
      </w:tr>
      <w:tr>
        <w:trPr>
          <w:trHeight w:val="525"/>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tcBorders>
              <w:top w:val="outset" w:sz="6" w:space="0" w:color="auto"/>
              <w:left w:val="outset" w:sz="6" w:space="0" w:color="auto"/>
              <w:bottom w:val="outset" w:sz="6" w:space="0" w:color="auto"/>
              <w:right w:val="outset" w:sz="6" w:space="0" w:color="auto"/>
            </w:tcBorders>
            <w:noWrap/>
            <w:vAlign w:val="center"/>
          </w:tcPr>
          <w:p>
            <w:pPr>
              <w:pStyle w:val="18"/>
              <w:jc w:val="center"/>
            </w:pPr>
            <w:r>
              <w:t>满意</w:t>
            </w:r>
          </w:p>
          <w:p>
            <w:pPr>
              <w:pStyle w:val="18"/>
              <w:jc w:val="center"/>
            </w:pPr>
            <w:r>
              <w:t>度指标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18"/>
              <w:jc w:val="center"/>
            </w:pPr>
            <w:r>
              <w:t>满意度</w:t>
            </w:r>
          </w:p>
          <w:p>
            <w:pPr>
              <w:pStyle w:val="18"/>
              <w:jc w:val="center"/>
            </w:pPr>
            <w:r>
              <w:t>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仿宋" w:hint="eastAsia"/>
                <w:lang w:val="en-US" w:eastAsia="zh-CN"/>
              </w:rPr>
            </w:pPr>
            <w:r>
              <w:t> </w:t>
            </w:r>
            <w:r>
              <w:rPr>
                <w:rFonts w:ascii="宋体" w:eastAsia="宋体" w:cs="宋体" w:hint="eastAsia"/>
                <w:color w:val="333333"/>
                <w:sz w:val="24"/>
                <w:szCs w:val="24"/>
              </w:rPr>
              <w:t>群众满意</w:t>
            </w:r>
            <w:r>
              <w:rPr>
                <w:rFonts w:ascii="宋体" w:eastAsia="宋体" w:cs="宋体" w:hint="eastAsia"/>
                <w:color w:val="333333"/>
                <w:sz w:val="24"/>
                <w:szCs w:val="24"/>
                <w:lang w:val="en-US" w:eastAsia="zh-CN"/>
              </w:rPr>
              <w:t>度</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18"/>
              <w:jc w:val="center"/>
              <w:rPr>
                <w:rFonts w:eastAsia="宋体"/>
                <w:lang w:val="en-US" w:eastAsia="zh-CN"/>
              </w:rPr>
            </w:pPr>
            <w:r>
              <w:t> </w:t>
            </w:r>
            <w:r>
              <w:rPr>
                <w:rFonts w:ascii="Arial" w:cs="Arial" w:hAnsi="Arial"/>
              </w:rPr>
              <w:t>≥</w:t>
            </w:r>
            <w:r>
              <w:rPr>
                <w:rFonts w:hint="eastAsia"/>
                <w:lang w:val="en-US" w:eastAsia="zh-CN"/>
              </w:rPr>
              <w:t>95%</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18"/>
              <w:jc w:val="center"/>
            </w:pPr>
            <w:r>
              <w:t>  </w:t>
            </w:r>
            <w:r>
              <w:rPr>
                <w:rFonts w:ascii="Arial" w:cs="Arial" w:hAnsi="Arial"/>
              </w:rPr>
              <w:t>≥</w:t>
            </w:r>
            <w:r>
              <w:rPr>
                <w:rFonts w:hint="eastAsia"/>
                <w:lang w:val="en-US" w:eastAsia="zh-CN"/>
              </w:rPr>
              <w:t>95%</w:t>
            </w:r>
          </w:p>
        </w:tc>
      </w:tr>
    </w:tbl>
    <w:p>
      <w:pPr>
        <w:pStyle w:val="18"/>
        <w:shd w:val="clear" w:color="auto" w:fill="FFFFFF"/>
      </w:pPr>
      <w:r>
        <w:t>（注：有两个及以上100万元以上（含）特定目标类部门预算项目的，需分别开展绩效目标自评并填写附表）</w:t>
      </w:r>
    </w:p>
    <w:p>
      <w:pPr>
        <w:pStyle w:val="18"/>
        <w:shd w:val="clear" w:color="auto" w:fill="FFFFFF"/>
      </w:pPr>
      <w:r>
        <w:t> </w:t>
      </w:r>
    </w:p>
    <w:p>
      <w:pPr>
        <w:pStyle w:val="18"/>
        <w:shd w:val="clear" w:color="auto" w:fill="FFFFFF"/>
      </w:pPr>
      <w:r>
        <w:t> </w:t>
      </w:r>
    </w:p>
    <w:p>
      <w:pPr>
        <w:pStyle w:val="18"/>
        <w:shd w:val="clear" w:color="auto" w:fill="FFFFFF"/>
      </w:pPr>
      <w:r>
        <w:t> </w:t>
      </w:r>
    </w:p>
    <w:p>
      <w:pPr>
        <w:pStyle w:val="2"/>
        <w:shd w:val="clear" w:color="auto" w:fill="FFFFFF"/>
        <w:jc w:val="center"/>
        <w:rPr>
          <w:rStyle w:val="19"/>
          <w:sz w:val="39"/>
          <w:szCs w:val="39"/>
        </w:rPr>
      </w:pPr>
      <w:bookmarkStart w:id="79" w:name="_Toc72938359"/>
      <w:r>
        <w:rPr>
          <w:rStyle w:val="19"/>
          <w:sz w:val="39"/>
          <w:szCs w:val="39"/>
        </w:rPr>
        <w:t>第五部分 附表</w:t>
      </w:r>
      <w:bookmarkStart w:id="80" w:name="_Toc75728746"/>
      <w:bookmarkEnd w:id="79"/>
    </w:p>
    <w:p>
      <w:pPr>
        <w:pStyle w:val="2"/>
        <w:shd w:val="clear" w:color="auto" w:fill="FFFFFF"/>
        <w:rPr>
          <w:sz w:val="32"/>
          <w:szCs w:val="32"/>
          <w:highlight w:val="auto"/>
        </w:rPr>
      </w:pPr>
      <w:bookmarkStart w:id="81" w:name="_Toc72938360"/>
      <w:r>
        <w:rPr>
          <w:sz w:val="32"/>
          <w:szCs w:val="32"/>
          <w:highlight w:val="auto"/>
        </w:rPr>
        <w:t>一、收入支出决算总表</w:t>
      </w:r>
      <w:bookmarkEnd w:id="80"/>
      <w:bookmarkEnd w:id="81"/>
    </w:p>
    <w:p>
      <w:pPr>
        <w:pStyle w:val="2"/>
        <w:shd w:val="clear" w:color="auto" w:fill="FFFFFF"/>
        <w:rPr>
          <w:sz w:val="32"/>
          <w:szCs w:val="32"/>
          <w:highlight w:val="auto"/>
        </w:rPr>
      </w:pPr>
      <w:bookmarkStart w:id="82" w:name="_Toc75728747"/>
      <w:bookmarkStart w:id="83" w:name="_Toc72938361"/>
      <w:r>
        <w:rPr>
          <w:sz w:val="32"/>
          <w:szCs w:val="32"/>
          <w:highlight w:val="auto"/>
        </w:rPr>
        <w:t>二、收入决算表</w:t>
      </w:r>
      <w:bookmarkEnd w:id="82"/>
      <w:bookmarkEnd w:id="83"/>
    </w:p>
    <w:p>
      <w:pPr>
        <w:pStyle w:val="2"/>
        <w:shd w:val="clear" w:color="auto" w:fill="FFFFFF"/>
        <w:rPr>
          <w:sz w:val="32"/>
          <w:szCs w:val="32"/>
          <w:highlight w:val="auto"/>
        </w:rPr>
      </w:pPr>
      <w:bookmarkStart w:id="84" w:name="_Toc75728748"/>
      <w:bookmarkStart w:id="85" w:name="_Toc72938362"/>
      <w:r>
        <w:rPr>
          <w:sz w:val="32"/>
          <w:szCs w:val="32"/>
          <w:highlight w:val="auto"/>
        </w:rPr>
        <w:t>三、支出决算表</w:t>
      </w:r>
      <w:bookmarkEnd w:id="84"/>
      <w:bookmarkEnd w:id="85"/>
    </w:p>
    <w:p>
      <w:pPr>
        <w:pStyle w:val="2"/>
        <w:shd w:val="clear" w:color="auto" w:fill="FFFFFF"/>
        <w:rPr>
          <w:sz w:val="32"/>
          <w:szCs w:val="32"/>
          <w:highlight w:val="auto"/>
        </w:rPr>
      </w:pPr>
      <w:bookmarkStart w:id="86" w:name="_Toc75728749"/>
      <w:bookmarkStart w:id="87" w:name="_Toc72938363"/>
      <w:r>
        <w:rPr>
          <w:sz w:val="32"/>
          <w:szCs w:val="32"/>
          <w:highlight w:val="auto"/>
        </w:rPr>
        <w:t>四、财政拨款收入支出决算总表</w:t>
      </w:r>
      <w:bookmarkEnd w:id="86"/>
      <w:bookmarkEnd w:id="87"/>
    </w:p>
    <w:p>
      <w:pPr>
        <w:pStyle w:val="2"/>
        <w:shd w:val="clear" w:color="auto" w:fill="FFFFFF"/>
        <w:rPr>
          <w:sz w:val="32"/>
          <w:szCs w:val="32"/>
          <w:highlight w:val="auto"/>
        </w:rPr>
      </w:pPr>
      <w:bookmarkStart w:id="88" w:name="_Toc75728750"/>
      <w:bookmarkStart w:id="89" w:name="_Toc72938364"/>
      <w:r>
        <w:rPr>
          <w:sz w:val="32"/>
          <w:szCs w:val="32"/>
          <w:highlight w:val="auto"/>
        </w:rPr>
        <w:t>五、财政拨款支出决算明细表</w:t>
      </w:r>
      <w:bookmarkEnd w:id="88"/>
      <w:bookmarkEnd w:id="89"/>
    </w:p>
    <w:p>
      <w:pPr>
        <w:pStyle w:val="2"/>
        <w:shd w:val="clear" w:color="auto" w:fill="FFFFFF"/>
        <w:rPr>
          <w:sz w:val="32"/>
          <w:szCs w:val="32"/>
          <w:highlight w:val="auto"/>
        </w:rPr>
      </w:pPr>
      <w:bookmarkStart w:id="90" w:name="_Toc75728751"/>
      <w:bookmarkStart w:id="91" w:name="_Toc72938365"/>
      <w:r>
        <w:rPr>
          <w:sz w:val="32"/>
          <w:szCs w:val="32"/>
          <w:highlight w:val="auto"/>
        </w:rPr>
        <w:t>六、一般公共预算财政拨款支出决算表</w:t>
      </w:r>
      <w:bookmarkEnd w:id="90"/>
      <w:bookmarkEnd w:id="91"/>
    </w:p>
    <w:p>
      <w:pPr>
        <w:pStyle w:val="2"/>
        <w:shd w:val="clear" w:color="auto" w:fill="FFFFFF"/>
        <w:rPr>
          <w:sz w:val="32"/>
          <w:szCs w:val="32"/>
          <w:highlight w:val="auto"/>
        </w:rPr>
      </w:pPr>
      <w:bookmarkStart w:id="92" w:name="_Toc75728752"/>
      <w:bookmarkStart w:id="93" w:name="_Toc72938366"/>
      <w:r>
        <w:rPr>
          <w:sz w:val="32"/>
          <w:szCs w:val="32"/>
          <w:highlight w:val="auto"/>
        </w:rPr>
        <w:t>七、一般公共预算财政拨款支出决算明细表</w:t>
      </w:r>
      <w:bookmarkEnd w:id="92"/>
      <w:bookmarkEnd w:id="93"/>
    </w:p>
    <w:p>
      <w:pPr>
        <w:pStyle w:val="2"/>
        <w:shd w:val="clear" w:color="auto" w:fill="FFFFFF"/>
        <w:rPr>
          <w:sz w:val="32"/>
          <w:szCs w:val="32"/>
          <w:highlight w:val="auto"/>
        </w:rPr>
      </w:pPr>
      <w:bookmarkStart w:id="94" w:name="_Toc75728753"/>
      <w:bookmarkStart w:id="95" w:name="_Toc72938367"/>
      <w:r>
        <w:rPr>
          <w:sz w:val="32"/>
          <w:szCs w:val="32"/>
          <w:highlight w:val="auto"/>
        </w:rPr>
        <w:t>八、一般公共预算财政拨款基本支出决算表</w:t>
      </w:r>
      <w:bookmarkEnd w:id="94"/>
      <w:bookmarkEnd w:id="95"/>
    </w:p>
    <w:p>
      <w:pPr>
        <w:pStyle w:val="2"/>
        <w:shd w:val="clear" w:color="auto" w:fill="FFFFFF"/>
        <w:rPr>
          <w:sz w:val="32"/>
          <w:szCs w:val="32"/>
          <w:highlight w:val="auto"/>
        </w:rPr>
      </w:pPr>
      <w:bookmarkStart w:id="96" w:name="_Toc75728754"/>
      <w:bookmarkStart w:id="97" w:name="_Toc72938368"/>
      <w:r>
        <w:rPr>
          <w:sz w:val="32"/>
          <w:szCs w:val="32"/>
          <w:highlight w:val="auto"/>
        </w:rPr>
        <w:t>九、一般公共预算财政拨款项目支出决算表</w:t>
      </w:r>
      <w:bookmarkEnd w:id="96"/>
      <w:bookmarkEnd w:id="97"/>
    </w:p>
    <w:p>
      <w:pPr>
        <w:pStyle w:val="2"/>
        <w:shd w:val="clear" w:color="auto" w:fill="FFFFFF"/>
        <w:rPr>
          <w:sz w:val="32"/>
          <w:szCs w:val="32"/>
          <w:highlight w:val="auto"/>
        </w:rPr>
      </w:pPr>
      <w:bookmarkStart w:id="98" w:name="_Toc75728755"/>
      <w:bookmarkStart w:id="99" w:name="_Toc72938369"/>
      <w:r>
        <w:rPr>
          <w:sz w:val="32"/>
          <w:szCs w:val="32"/>
          <w:highlight w:val="auto"/>
        </w:rPr>
        <w:t>十、政府性基金预算财政拨款收入支出决算表</w:t>
      </w:r>
      <w:bookmarkEnd w:id="98"/>
      <w:bookmarkEnd w:id="99"/>
    </w:p>
    <w:p>
      <w:pPr>
        <w:pStyle w:val="2"/>
        <w:shd w:val="clear" w:color="auto" w:fill="FFFFFF"/>
        <w:rPr>
          <w:sz w:val="32"/>
          <w:szCs w:val="32"/>
          <w:highlight w:val="auto"/>
        </w:rPr>
      </w:pPr>
      <w:bookmarkStart w:id="100" w:name="_Toc75728756"/>
      <w:bookmarkStart w:id="101" w:name="_Toc72938370"/>
      <w:r>
        <w:rPr>
          <w:sz w:val="32"/>
          <w:szCs w:val="32"/>
          <w:highlight w:val="auto"/>
        </w:rPr>
        <w:t>十一、国有资本经营预算财政拨款收入支出决算表</w:t>
      </w:r>
      <w:bookmarkEnd w:id="100"/>
      <w:bookmarkEnd w:id="101"/>
    </w:p>
    <w:p>
      <w:pPr>
        <w:pStyle w:val="2"/>
        <w:shd w:val="clear" w:color="auto" w:fill="FFFFFF"/>
        <w:rPr>
          <w:sz w:val="32"/>
          <w:szCs w:val="32"/>
          <w:highlight w:val="auto"/>
        </w:rPr>
      </w:pPr>
      <w:bookmarkStart w:id="102" w:name="_Toc75728757"/>
      <w:bookmarkStart w:id="103" w:name="_Toc72938371"/>
      <w:r>
        <w:rPr>
          <w:sz w:val="32"/>
          <w:szCs w:val="32"/>
          <w:highlight w:val="auto"/>
        </w:rPr>
        <w:t>十二、国有资本经营预算财政拨款支出决算表</w:t>
      </w:r>
      <w:bookmarkEnd w:id="102"/>
      <w:bookmarkEnd w:id="103"/>
    </w:p>
    <w:p>
      <w:pPr>
        <w:pStyle w:val="2"/>
        <w:shd w:val="clear" w:color="auto" w:fill="FFFFFF"/>
        <w:rPr>
          <w:sz w:val="32"/>
          <w:szCs w:val="32"/>
          <w:highlight w:val="auto"/>
        </w:rPr>
      </w:pPr>
      <w:bookmarkStart w:id="104" w:name="_Toc75728758"/>
      <w:bookmarkStart w:id="105" w:name="_Toc72938372"/>
      <w:r>
        <w:rPr>
          <w:sz w:val="32"/>
          <w:szCs w:val="32"/>
          <w:highlight w:val="auto"/>
        </w:rPr>
        <w:t>十三、财政拨款</w:t>
      </w:r>
      <w:r>
        <w:rPr>
          <w:rFonts w:hint="eastAsia"/>
          <w:sz w:val="32"/>
          <w:szCs w:val="32"/>
          <w:highlight w:val="auto"/>
        </w:rPr>
        <w:t>“三公”经费</w:t>
      </w:r>
      <w:r>
        <w:rPr>
          <w:sz w:val="32"/>
          <w:szCs w:val="32"/>
          <w:highlight w:val="auto"/>
        </w:rPr>
        <w:t>支出决算表</w:t>
      </w:r>
      <w:bookmarkEnd w:id="104"/>
      <w:bookmarkEnd w:id="105"/>
    </w:p>
    <w:p>
      <w:pPr>
        <w:rPr>
          <w:highlight w:val="auto"/>
        </w:rPr>
      </w:pPr>
    </w:p>
    <w:p>
      <w:pPr>
        <w:pStyle w:val="18"/>
        <w:shd w:val="clear" w:color="auto" w:fill="FFFFFF"/>
        <w:jc w:val="center"/>
        <w:outlineLvl w:val="0"/>
      </w:pPr>
    </w:p>
    <w:sectPr>
      <w:footerReference w:type="default" r:id="rId2"/>
      <w:pgSz w:w="11907" w:h="16840"/>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auto"/>
    <w:pitch w:val="variable"/>
    <w:sig w:usb0="00000000" w:usb1="0000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楷体_GB2312">
    <w:altName w:val="楷体"/>
    <w:panose1 w:val="02010609030101010101"/>
    <w:charset w:val="86"/>
    <w:family w:val="auto"/>
    <w:pitch w:val="variable"/>
    <w:sig w:usb0="00000000" w:usb1="0000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0</wp:posOffset>
              </wp:positionV>
              <wp:extent cx="114300" cy="148018"/>
              <wp:effectExtent l="0" t="0" r="0" b="0"/>
              <wp:wrapNone/>
              <wp:docPr id="1" name="_x0000_s3074"/>
              <wp:cNvGraphicFramePr>
                <a:graphicFrameLocks noChangeAspect="0"/>
              </wp:cNvGraphicFramePr>
              <a:graphic>
                <a:graphicData uri="http://schemas.microsoft.com/office/word/2010/wordprocessingShape">
                  <wps:wsp>
                    <wps:cNvSpPr/>
                    <wps:spPr>
                      <a:xfrm rot="0">
                        <a:off x="0" y="0"/>
                        <a:ext cx="114300" cy="148018"/>
                      </a:xfrm>
                      <a:prstGeom prst="rect"/>
                      <a:noFill/>
                      <a:ln w="9525" cmpd="sng" cap="flat">
                        <a:noFill/>
                        <a:prstDash val="solid"/>
                        <a:miter/>
                      </a:ln>
                    </wps:spPr>
                    <wps:txbx id="2">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_x0000_s3074 3" o:spid="_x0000_s3" filled="f" stroked="f" style="position:absolute;margin-left:0.0pt;margin-top:0.0pt;width:9.0pt;height:11.655035pt;z-index:3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D9BDA82"/>
    <w:multiLevelType w:val="hybridMultilevel"/>
    <w:tmpl w:val="00000000"/>
    <w:lvl w:ilvl="0">
      <w:start w:val="1"/>
      <w:numFmt w:val="chineseCountingThousand"/>
      <w:lvlRestart w:val="0"/>
      <w:isLgl/>
      <w:lvlText w:val="%1、"/>
      <w:legacy w:legacy="1" w:legacySpace="0" w:legacyIndent="715"/>
      <w:lvlJc w:val="left"/>
      <w:pPr>
        <w:ind w:left="715" w:hanging="715"/>
      </w:pPr>
    </w:lvl>
    <w:lvl w:ilvl="1">
      <w:start w:val="1"/>
      <w:numFmt w:val="lowerLetter"/>
      <w:isLgl/>
      <w:lvlText w:val="%2)"/>
      <w:legacy w:legacy="1" w:legacySpace="0" w:legacyIndent="420"/>
      <w:lvlJc w:val="left"/>
      <w:pPr>
        <w:ind w:left="840" w:hanging="420"/>
      </w:pPr>
    </w:lvl>
    <w:lvl w:ilvl="2">
      <w:start w:val="1"/>
      <w:numFmt w:val="lowerRoman"/>
      <w:isLgl/>
      <w:lvlText w:val="%3."/>
      <w:legacy w:legacy="1" w:legacySpace="0" w:legacyIndent="420"/>
      <w:lvlJc w:val="right"/>
      <w:pPr>
        <w:ind w:left="1260" w:hanging="420"/>
      </w:pPr>
    </w:lvl>
    <w:lvl w:ilvl="3">
      <w:start w:val="1"/>
      <w:numFmt w:val="decimal"/>
      <w:isLgl/>
      <w:lvlText w:val="%4."/>
      <w:legacy w:legacy="1" w:legacySpace="0" w:legacyIndent="420"/>
      <w:lvlJc w:val="left"/>
      <w:pPr>
        <w:ind w:left="1680" w:hanging="420"/>
      </w:pPr>
    </w:lvl>
    <w:lvl w:ilvl="4">
      <w:start w:val="1"/>
      <w:numFmt w:val="lowerLetter"/>
      <w:isLgl/>
      <w:lvlText w:val="%5)"/>
      <w:legacy w:legacy="1" w:legacySpace="0" w:legacyIndent="420"/>
      <w:lvlJc w:val="left"/>
      <w:pPr>
        <w:ind w:left="2100" w:hanging="420"/>
      </w:pPr>
    </w:lvl>
    <w:lvl w:ilvl="5">
      <w:start w:val="1"/>
      <w:numFmt w:val="lowerRoman"/>
      <w:isLgl/>
      <w:lvlText w:val="%6."/>
      <w:legacy w:legacy="1" w:legacySpace="0" w:legacyIndent="420"/>
      <w:lvlJc w:val="right"/>
      <w:pPr>
        <w:ind w:left="2520" w:hanging="420"/>
      </w:pPr>
    </w:lvl>
    <w:lvl w:ilvl="6">
      <w:start w:val="1"/>
      <w:numFmt w:val="decimal"/>
      <w:isLgl/>
      <w:lvlText w:val="%7."/>
      <w:legacy w:legacy="1" w:legacySpace="0" w:legacyIndent="420"/>
      <w:lvlJc w:val="left"/>
      <w:pPr>
        <w:ind w:left="2940" w:hanging="420"/>
      </w:pPr>
    </w:lvl>
    <w:lvl w:ilvl="7">
      <w:start w:val="1"/>
      <w:numFmt w:val="lowerLetter"/>
      <w:isLgl/>
      <w:lvlText w:val="%8)"/>
      <w:legacy w:legacy="1" w:legacySpace="0" w:legacyIndent="420"/>
      <w:lvlJc w:val="left"/>
      <w:pPr>
        <w:ind w:left="3360" w:hanging="420"/>
      </w:pPr>
    </w:lvl>
    <w:lvl w:ilvl="8">
      <w:start w:val="1"/>
      <w:numFmt w:val="lowerRoman"/>
      <w:isLgl/>
      <w:lvlText w:val="%9."/>
      <w:legacy w:legacy="1" w:legacySpace="0" w:legacyIndent="420"/>
      <w:lvlJc w:val="right"/>
      <w:pPr>
        <w:ind w:left="3780" w:hanging="420"/>
      </w:pPr>
    </w:lvl>
  </w:abstractNum>
  <w:abstractNum w:abstractNumId="1">
    <w:nsid w:val="F25F04F4"/>
    <w:multiLevelType w:val="singleLevel"/>
    <w:tmpl w:val="F25F04F4"/>
    <w:lvl w:ilvl="0">
      <w:start w:val="2"/>
      <w:numFmt w:val="chineseCounting"/>
      <w:lvlRestart w:val="0"/>
      <w:suff w:val="nothing"/>
      <w:lvlText w:val="（%1）"/>
      <w:lvlJc w:val="left"/>
      <w:pPr>
        <w:tabs>
          <w:tab w:val="num" w:pos="0"/>
        </w:tabs>
        <w:ind w:left="0" w:hanging="0"/>
      </w:pPr>
      <w:rPr>
        <w:rFonts w:hint="eastAsia"/>
      </w:rPr>
    </w:lvl>
  </w:abstractNum>
  <w:abstractNum w:abstractNumId="2">
    <w:nsid w:val="BFF96996"/>
    <w:multiLevelType w:val="singleLevel"/>
    <w:tmpl w:val="BFF96996"/>
    <w:lvl w:ilvl="0">
      <w:start w:val="2"/>
      <w:numFmt w:val="chineseCounting"/>
      <w:lvlRestart w:val="0"/>
      <w:suff w:val="nothing"/>
      <w:lvlText w:val="（%1）"/>
      <w:lvlJc w:val="left"/>
      <w:pPr>
        <w:tabs>
          <w:tab w:val="num" w:pos="0"/>
        </w:tabs>
        <w:ind w:left="0" w:hanging="0"/>
      </w:pPr>
      <w:rPr>
        <w:rFonts w:hint="eastAsia"/>
      </w:rPr>
    </w:lvl>
  </w:abstractNum>
  <w:abstractNum w:abstractNumId="3">
    <w:nsid w:val="BF500995"/>
    <w:multiLevelType w:val="singleLevel"/>
    <w:tmpl w:val="BF500995"/>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MWY3MzdiMTVkZDY5YjY3OGFlOGFlMTVkZmJkZjVhNz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rPr>
      <w:rFonts w:ascii="宋体" w:eastAsia="宋体" w:cs="宋体"/>
      <w:kern w:val="0"/>
      <w:sz w:val="24"/>
      <w:szCs w:val="24"/>
      <w:lang w:val="en-US" w:eastAsia="zh-CN" w:bidi="ar-SA"/>
    </w:rPr>
  </w:style>
  <w:style w:type="paragraph" w:styleId="1">
    <w:name w:val="heading 1"/>
    <w:basedOn w:val="0"/>
    <w:next w:val="0"/>
    <w:pPr>
      <w:spacing w:before="100" w:beforeAutospacing="1" w:after="100" w:afterAutospacing="1"/>
      <w:outlineLvl w:val="0"/>
    </w:pPr>
    <w:rPr>
      <w:b/>
      <w:bCs/>
      <w:kern w:val="36"/>
      <w:sz w:val="48"/>
      <w:szCs w:val="48"/>
    </w:rPr>
  </w:style>
  <w:style w:type="paragraph" w:styleId="2">
    <w:name w:val="heading 2"/>
    <w:basedOn w:val="0"/>
    <w:next w:val="0"/>
    <w:link w:val="2Char"/>
    <w:pPr>
      <w:spacing w:before="100" w:beforeAutospacing="1" w:after="100" w:afterAutospacing="1"/>
      <w:outlineLvl w:val="1"/>
    </w:pPr>
    <w:rPr>
      <w:b/>
      <w:bCs/>
      <w:sz w:val="36"/>
      <w:szCs w:val="36"/>
    </w:rPr>
  </w:style>
  <w:style w:type="character" w:customStyle="1" w:styleId="2Char">
    <w:name w:val="heading 2 Char"/>
    <w:basedOn w:val="10"/>
    <w:link w:val="2"/>
    <w:rPr>
      <w:rFonts w:ascii="宋体" w:eastAsia="宋体" w:cs="宋体"/>
      <w:b/>
      <w:bCs/>
      <w:kern w:val="0"/>
      <w:sz w:val="36"/>
      <w:szCs w:val="36"/>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next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toc 4"/>
    <w:basedOn w:val="0"/>
    <w:next w:val="0"/>
    <w:pPr>
      <w:ind w:left="1260"/>
    </w:pPr>
  </w:style>
  <w:style w:type="paragraph" w:styleId="18">
    <w:name w:val="Normal (Web)"/>
    <w:basedOn w:val="0"/>
    <w:pPr>
      <w:spacing w:before="100" w:beforeAutospacing="1" w:after="100" w:afterAutospacing="1"/>
    </w:pPr>
  </w:style>
  <w:style w:type="character" w:styleId="19">
    <w:name w:val="Strong"/>
    <w:basedOn w:val="10"/>
    <w:rPr>
      <w:b/>
      <w:bCs/>
    </w:rPr>
  </w:style>
  <w:style w:type="paragraph" w:customStyle="1" w:styleId="20">
    <w:name w:val="WPSOffice手动目录 1"/>
    <w:rPr>
      <w:rFonts w:ascii="Calibri" w:eastAsia="宋体" w:cs="Arial" w:hAnsi="Calibri"/>
      <w:sz w:val="20"/>
      <w:szCs w:val="20"/>
      <w:lang w:val="en-US" w:eastAsia="zh-CN" w:bidi="ar-SA"/>
    </w:rPr>
  </w:style>
  <w:style w:type="paragraph" w:customStyle="1" w:styleId="21">
    <w:name w:val="WPSOffice手动目录 2"/>
    <w:pPr>
      <w:ind w:leftChars="200" w:left="200"/>
    </w:pPr>
    <w:rPr>
      <w:rFonts w:ascii="Calibri" w:eastAsia="宋体" w:cs="Arial" w:hAnsi="Calibri"/>
      <w:sz w:val="20"/>
      <w:szCs w:val="20"/>
      <w:lang w:val="en-US" w:eastAsia="zh-CN" w:bidi="ar-SA"/>
    </w:rPr>
  </w:style>
  <w:style w:type="paragraph" w:customStyle="1" w:styleId="22">
    <w:name w:val="WPSOffice手动目录 3"/>
    <w:pPr>
      <w:ind w:leftChars="400" w:left="400"/>
    </w:pPr>
    <w:rPr>
      <w:rFonts w:ascii="Calibri" w:eastAsia="宋体" w:cs="Arial" w:hAnsi="Calibri"/>
      <w:sz w:val="20"/>
      <w:szCs w:val="20"/>
      <w:lang w:val="en-US" w:eastAsia="zh-CN" w:bidi="ar-SA"/>
    </w:rPr>
  </w:style>
  <w:style w:type="paragraph" w:customStyle="1" w:styleId="23">
    <w:name w:val="Default"/>
    <w:next w:val="17"/>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4">
    <w:name w:val="正文1"/>
    <w:pPr>
      <w:widowControl w:val="0"/>
      <w:jc w:val="both"/>
    </w:pPr>
    <w:rPr>
      <w:rFonts w:ascii="Calibri" w:eastAsia="宋体" w:cs="Arial" w:hAnsi="Calibri"/>
      <w:sz w:val="21"/>
      <w:szCs w:val="22"/>
      <w:lang w:val="en-US" w:eastAsia="zh-CN" w:bidi="ar-SA"/>
    </w:rPr>
  </w:style>
  <w:style w:type="paragraph" w:customStyle="1" w:styleId="25">
    <w:name w:val="正文文本1"/>
    <w:basedOn w:val="24"/>
    <w:pPr>
      <w:spacing w:before="93"/>
    </w:pPr>
    <w:rPr>
      <w:rFonts w:ascii="仿宋_GB2312" w:eastAsia="仿宋_GB2312" w:cs="Times New Roman"/>
      <w:kern w:val="0"/>
      <w:sz w:val="30"/>
      <w:szCs w:val="20"/>
    </w:rPr>
  </w:style>
  <w:style w:type="paragraph" w:styleId="26">
    <w:name w:val="toc 1"/>
    <w:basedOn w:val="0"/>
    <w:autoRedefine/>
    <w:next w:val="0"/>
  </w:style>
  <w:style w:type="paragraph" w:styleId="27">
    <w:name w:val="toc 2"/>
    <w:basedOn w:val="0"/>
    <w:autoRedefine/>
    <w:next w:val="0"/>
    <w:pPr>
      <w:ind w:left="420"/>
    </w:pPr>
  </w:style>
  <w:style w:type="paragraph" w:styleId="28">
    <w:name w:val="toc 3"/>
    <w:basedOn w:val="0"/>
    <w:autoRedefine/>
    <w:next w:val="0"/>
    <w:pPr>
      <w:ind w:left="840"/>
    </w:pPr>
  </w:style>
  <w:style w:type="paragraph" w:styleId="29">
    <w:name w:val="table of figures"/>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em w:val="none"/>
      <w:lang w:val="en-US" w:eastAsia="zh-CN" w:bidi="ar-SA"/>
    </w:rPr>
  </w:style>
  <w:style w:type="character" w:customStyle="1" w:styleId="30">
    <w:name w:val="15"/>
    <w:rPr>
      <w:rFonts w:ascii="Calibri" w:eastAsia="宋体" w:cs="Times New Roman" w:hAnsi="Calibri"/>
      <w:kern w:val="2"/>
      <w:sz w:val="21"/>
      <w:szCs w:val="21"/>
      <w:lang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image" Target="media/8.bmp"/><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image" Target="media/23.png"/><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999</TotalTime>
  <Application>Yozo_Office27021597764231179</Application>
  <Pages>54</Pages>
  <Words>23772</Words>
  <Characters>25355</Characters>
  <Lines>1244</Lines>
  <Paragraphs>391</Paragraphs>
  <CharactersWithSpaces>25485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PC</dc:creator>
  <cp:lastModifiedBy>user</cp:lastModifiedBy>
  <cp:revision>2</cp:revision>
  <dcterms:created xsi:type="dcterms:W3CDTF">2022-09-27T03:19:00Z</dcterms:created>
  <dcterms:modified xsi:type="dcterms:W3CDTF">2023-09-25T03:07:38Z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E3343385FE6140409E32D63D8D59B76B</vt:lpwstr>
  </property>
</Properties>
</file>