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仿宋_GB2312" w:eastAsia="仿宋_GB2312"/>
          <w:sz w:val="32"/>
          <w:szCs w:val="32"/>
        </w:rPr>
      </w:pPr>
      <w:bookmarkStart w:id="0" w:name="_Toc15396475"/>
      <w:bookmarkStart w:id="1" w:name="_Toc15378441"/>
      <w:bookmarkStart w:id="2" w:name="_Toc15396597"/>
      <w:bookmarkStart w:id="3" w:name="_Toc15377425"/>
      <w:bookmarkStart w:id="4" w:name="_Toc15377193"/>
      <w:bookmarkStart w:id="5" w:name="_Toc15306267"/>
      <w:bookmarkStart w:id="6" w:name="_GoBack"/>
      <w:bookmarkEnd w:id="6"/>
      <w:r>
        <w:rPr>
          <w:rFonts w:ascii="仿宋_GB2312" w:eastAsia="仿宋_GB2312" w:hint="eastAsia"/>
          <w:sz w:val="32"/>
          <w:szCs w:val="32"/>
        </w:rPr>
        <w:t>附件</w:t>
      </w:r>
      <w:r>
        <w:rPr>
          <w:rFonts w:ascii="仿宋_GB2312" w:eastAsia="仿宋_GB2312"/>
          <w:sz w:val="32"/>
          <w:szCs w:val="32"/>
        </w:rPr>
        <w:t>2</w:t>
      </w:r>
    </w:p>
    <w:p>
      <w:pPr>
        <w:spacing w:line="600" w:lineRule="exact"/>
        <w:jc w:val="center"/>
        <w:outlineLvl w:val="0"/>
        <w:rPr>
          <w:rFonts w:ascii="方正小标宋简体" w:eastAsia="方正小标宋简体"/>
          <w:sz w:val="72"/>
          <w:szCs w:val="72"/>
        </w:rPr>
      </w:pPr>
    </w:p>
    <w:p>
      <w:pPr>
        <w:spacing w:line="600" w:lineRule="exact"/>
        <w:jc w:val="center"/>
        <w:outlineLvl w:val="0"/>
        <w:rPr>
          <w:rFonts w:ascii="方正小标宋简体" w:eastAsia="方正小标宋简体"/>
          <w:sz w:val="72"/>
          <w:szCs w:val="72"/>
        </w:rPr>
      </w:pPr>
    </w:p>
    <w:p>
      <w:pPr>
        <w:spacing w:line="600" w:lineRule="exact"/>
        <w:jc w:val="center"/>
        <w:outlineLvl w:val="0"/>
        <w:rPr>
          <w:rFonts w:ascii="方正小标宋简体" w:eastAsia="方正小标宋简体"/>
          <w:sz w:val="72"/>
          <w:szCs w:val="72"/>
        </w:rPr>
      </w:pPr>
    </w:p>
    <w:p>
      <w:pPr>
        <w:adjustRightInd w:val="0"/>
        <w:snapToGrid w:val="0"/>
        <w:spacing w:line="360" w:lineRule="auto"/>
        <w:jc w:val="center"/>
        <w:outlineLvl w:val="0"/>
        <w:rPr>
          <w:rFonts w:ascii="方正小标宋简体" w:eastAsia="方正小标宋简体" w:cs="方正小标宋简体"/>
          <w:sz w:val="72"/>
          <w:szCs w:val="72"/>
        </w:rPr>
      </w:pPr>
      <w:bookmarkStart w:id="7" w:name="_Toc6382"/>
      <w:r>
        <w:rPr>
          <w:rFonts w:ascii="方正小标宋简体" w:eastAsia="方正小标宋简体" w:cs="方正小标宋简体" w:hint="eastAsia"/>
          <w:sz w:val="72"/>
          <w:szCs w:val="72"/>
        </w:rPr>
        <w:t>2022年度</w:t>
      </w:r>
      <w:bookmarkEnd w:id="0"/>
      <w:bookmarkEnd w:id="1"/>
      <w:bookmarkEnd w:id="2"/>
      <w:bookmarkEnd w:id="3"/>
      <w:bookmarkEnd w:id="4"/>
      <w:bookmarkEnd w:id="7"/>
    </w:p>
    <w:p>
      <w:pPr>
        <w:adjustRightInd w:val="0"/>
        <w:snapToGrid w:val="0"/>
        <w:spacing w:line="360" w:lineRule="auto"/>
        <w:jc w:val="center"/>
        <w:outlineLvl w:val="0"/>
        <w:rPr>
          <w:rFonts w:ascii="方正小标宋简体" w:eastAsia="方正小标宋简体" w:cs="方正小标宋简体"/>
          <w:sz w:val="72"/>
          <w:szCs w:val="72"/>
        </w:rPr>
      </w:pPr>
      <w:bookmarkStart w:id="8" w:name="_Toc15378442"/>
      <w:bookmarkStart w:id="9" w:name="_Toc15707"/>
      <w:bookmarkStart w:id="10" w:name="_Toc15396476"/>
      <w:bookmarkStart w:id="11" w:name="_Toc15396598"/>
      <w:bookmarkStart w:id="12" w:name="_Toc15377194"/>
      <w:bookmarkStart w:id="13" w:name="_Toc15377426"/>
      <w:r>
        <w:rPr>
          <w:rFonts w:ascii="方正小标宋简体" w:eastAsia="方正小标宋简体" w:cs="方正小标宋简体"/>
          <w:sz w:val="72"/>
          <w:szCs w:val="72"/>
        </w:rPr>
        <w:t>阿坝州</w:t>
      </w:r>
      <w:bookmarkStart w:id="14" w:name="_Toc15306268"/>
      <w:bookmarkEnd w:id="5"/>
      <w:r>
        <w:rPr>
          <w:rFonts w:ascii="方正小标宋简体" w:eastAsia="方正小标宋简体" w:cs="方正小标宋简体" w:hint="eastAsia"/>
          <w:sz w:val="72"/>
          <w:szCs w:val="72"/>
        </w:rPr>
        <w:t>项目推进服务中心部门决算</w:t>
      </w:r>
      <w:bookmarkEnd w:id="8"/>
      <w:bookmarkEnd w:id="9"/>
      <w:bookmarkEnd w:id="10"/>
      <w:bookmarkEnd w:id="11"/>
      <w:bookmarkEnd w:id="12"/>
      <w:bookmarkEnd w:id="13"/>
      <w:bookmarkEnd w:id="14"/>
    </w:p>
    <w:p>
      <w:pPr>
        <w:pStyle w:val="16"/>
        <w:spacing w:beforeLines="0" w:before="93"/>
      </w:pPr>
    </w:p>
    <w:p>
      <w:pPr>
        <w:pStyle w:val="16"/>
        <w:spacing w:beforeLines="0" w:before="93"/>
      </w:pPr>
    </w:p>
    <w:p>
      <w:pPr>
        <w:pStyle w:val="16"/>
        <w:spacing w:beforeLines="0" w:before="93"/>
      </w:pPr>
    </w:p>
    <w:p>
      <w:pPr>
        <w:pStyle w:val="16"/>
        <w:spacing w:beforeLines="0" w:before="93"/>
      </w:pPr>
    </w:p>
    <w:p>
      <w:pPr>
        <w:pStyle w:val="16"/>
        <w:spacing w:beforeLines="0" w:before="93"/>
      </w:pPr>
    </w:p>
    <w:p>
      <w:pPr>
        <w:pStyle w:val="16"/>
        <w:spacing w:beforeLines="0" w:before="93"/>
      </w:pPr>
    </w:p>
    <w:p>
      <w:pPr>
        <w:widowControl/>
        <w:jc w:val="center"/>
        <w:rPr>
          <w:rFonts w:ascii="黑体" w:eastAsia="黑体"/>
          <w:sz w:val="48"/>
          <w:szCs w:val="48"/>
        </w:rPr>
      </w:pPr>
      <w:r>
        <w:rPr>
          <w:rFonts w:ascii="仿宋_GB2312" w:eastAsia="仿宋_GB2312" w:cs="仿宋_GB2312" w:hint="eastAsia"/>
          <w:sz w:val="32"/>
          <w:szCs w:val="32"/>
        </w:rPr>
        <w:t>已经保密审查、内容审定，同意对外公开</w:t>
      </w:r>
      <w:r>
        <w:rPr>
          <w:rFonts w:ascii="方正小标宋简体" w:eastAsia="方正小标宋简体"/>
          <w:sz w:val="36"/>
          <w:szCs w:val="36"/>
        </w:rPr>
        <w:br w:type="page"/>
      </w:r>
      <w:r>
        <w:rPr>
          <w:rFonts w:ascii="黑体" w:eastAsia="黑体" w:hint="eastAsia"/>
          <w:sz w:val="48"/>
          <w:szCs w:val="48"/>
        </w:rPr>
        <w:t>目录</w:t>
      </w:r>
    </w:p>
    <w:p>
      <w:pPr>
        <w:widowControl/>
        <w:jc w:val="center"/>
        <w:rPr>
          <w:rFonts w:ascii="黑体" w:eastAsia="黑体" w:cs="Arial"/>
          <w:sz w:val="28"/>
          <w:szCs w:val="28"/>
        </w:rPr>
      </w:pPr>
    </w:p>
    <w:p>
      <w:pPr>
        <w:pStyle w:val="21"/>
        <w:tabs>
          <w:tab w:val="right" w:leader="dot" w:pos="8296"/>
        </w:tabs>
      </w:pPr>
      <w:r>
        <w:rPr>
          <w:rFonts w:hint="eastAsia"/>
        </w:rPr>
        <w:t>公开时间：2023年</w:t>
      </w:r>
      <w:r>
        <w:t>9</w:t>
      </w:r>
      <w:r>
        <w:rPr>
          <w:rFonts w:hint="eastAsia"/>
        </w:rPr>
        <w:t>月25日</w:t>
      </w:r>
    </w:p>
    <w:p/>
    <w:p>
      <w:pPr>
        <w:pStyle w:val="21"/>
        <w:tabs>
          <w:tab w:val="clear" w:pos="8296"/>
          <w:tab w:val="right" w:leader="dot" w:pos="8306"/>
        </w:tabs>
      </w:pPr>
      <w:bookmarkStart w:id="15" w:name="_Toc15377196"/>
      <w:bookmarkStart w:id="16" w:name="_Toc15396599"/>
      <w:r>
        <w:rPr>
          <w:caps w:val="0"/>
          <w:smallCaps/>
        </w:rPr>
        <w:fldChar w:fldCharType="begin"/>
      </w:r>
      <w:r>
        <w:rPr>
          <w:caps w:val="0"/>
          <w:smallCaps/>
        </w:rPr>
        <w:instrText xml:space="preserve"> TOC \o \u </w:instrText>
      </w:r>
      <w:r>
        <w:rPr>
          <w:caps w:val="0"/>
          <w:smallCaps/>
        </w:rPr>
        <w:fldChar w:fldCharType="separate"/>
      </w:r>
    </w:p>
    <w:p>
      <w:pPr>
        <w:pStyle w:val="21"/>
        <w:tabs>
          <w:tab w:val="clear" w:pos="8296"/>
          <w:tab w:val="right" w:leader="dot" w:pos="8306"/>
        </w:tabs>
      </w:pPr>
      <w:r>
        <w:rPr>
          <w:rFonts w:ascii="黑体" w:eastAsia="黑体" w:hint="eastAsia"/>
        </w:rPr>
        <w:t>第一部分 部门概况</w:t>
      </w:r>
      <w:r>
        <w:tab/>
      </w:r>
      <w:r>
        <w:fldChar w:fldCharType="begin"/>
      </w:r>
      <w:r>
        <w:instrText xml:space="preserve"> PAGEREF _Toc17459 \h </w:instrText>
      </w:r>
      <w:r>
        <w:fldChar w:fldCharType="separate"/>
      </w:r>
      <w:r>
        <w:t>4</w:t>
      </w:r>
      <w:r>
        <w:fldChar w:fldCharType="end"/>
      </w:r>
    </w:p>
    <w:p>
      <w:pPr>
        <w:pStyle w:val="22"/>
        <w:tabs>
          <w:tab w:val="clear" w:pos="8296"/>
          <w:tab w:val="right" w:leader="dot" w:pos="8306"/>
        </w:tabs>
      </w:pPr>
      <w:r>
        <w:rPr>
          <w:rFonts w:ascii="黑体" w:eastAsia="黑体" w:hint="eastAsia"/>
        </w:rPr>
        <w:t>一、基本职能及主要工作</w:t>
      </w:r>
      <w:r>
        <w:tab/>
      </w:r>
      <w:r>
        <w:fldChar w:fldCharType="begin"/>
      </w:r>
      <w:r>
        <w:instrText xml:space="preserve"> PAGEREF _Toc9922 \h </w:instrText>
      </w:r>
      <w:r>
        <w:fldChar w:fldCharType="separate"/>
      </w:r>
      <w:r>
        <w:t>4</w:t>
      </w:r>
      <w:r>
        <w:fldChar w:fldCharType="end"/>
      </w:r>
    </w:p>
    <w:p>
      <w:pPr>
        <w:pStyle w:val="17"/>
        <w:tabs>
          <w:tab w:val="clear" w:pos="8296"/>
          <w:tab w:val="right" w:leader="dot" w:pos="8306"/>
        </w:tabs>
      </w:pPr>
      <w:r>
        <w:rPr>
          <w:rFonts w:ascii="仿宋" w:eastAsia="仿宋" w:hint="eastAsia"/>
          <w:szCs w:val="32"/>
        </w:rPr>
        <w:t>（一）主要职能</w:t>
      </w:r>
      <w:r>
        <w:tab/>
      </w:r>
      <w:r>
        <w:fldChar w:fldCharType="begin"/>
      </w:r>
      <w:r>
        <w:instrText xml:space="preserve"> PAGEREF _Toc24452 \h </w:instrText>
      </w:r>
      <w:r>
        <w:fldChar w:fldCharType="separate"/>
      </w:r>
      <w:r>
        <w:t>4</w:t>
      </w:r>
      <w:r>
        <w:fldChar w:fldCharType="end"/>
      </w:r>
    </w:p>
    <w:p>
      <w:pPr>
        <w:pStyle w:val="17"/>
        <w:tabs>
          <w:tab w:val="clear" w:pos="8296"/>
          <w:tab w:val="right" w:leader="dot" w:pos="8306"/>
        </w:tabs>
      </w:pPr>
      <w:r>
        <w:rPr>
          <w:rFonts w:ascii="仿宋" w:eastAsia="仿宋" w:hint="eastAsia"/>
          <w:szCs w:val="32"/>
        </w:rPr>
        <w:t>（二）2022年重点工作完成情况</w:t>
      </w:r>
      <w:r>
        <w:tab/>
      </w:r>
      <w:r>
        <w:fldChar w:fldCharType="begin"/>
      </w:r>
      <w:r>
        <w:instrText xml:space="preserve"> PAGEREF _Toc737 \h </w:instrText>
      </w:r>
      <w:r>
        <w:fldChar w:fldCharType="separate"/>
      </w:r>
      <w:r>
        <w:t>4</w:t>
      </w:r>
      <w:r>
        <w:fldChar w:fldCharType="end"/>
      </w:r>
    </w:p>
    <w:p>
      <w:pPr>
        <w:pStyle w:val="22"/>
        <w:tabs>
          <w:tab w:val="clear" w:pos="8296"/>
          <w:tab w:val="right" w:leader="dot" w:pos="8306"/>
        </w:tabs>
      </w:pPr>
      <w:r>
        <w:rPr>
          <w:rFonts w:ascii="黑体" w:eastAsia="黑体" w:hint="eastAsia"/>
        </w:rPr>
        <w:t>二、机构设置</w:t>
      </w:r>
      <w:r>
        <w:tab/>
      </w:r>
      <w:r>
        <w:fldChar w:fldCharType="begin"/>
      </w:r>
      <w:r>
        <w:instrText xml:space="preserve"> PAGEREF _Toc8977 \h </w:instrText>
      </w:r>
      <w:r>
        <w:fldChar w:fldCharType="separate"/>
      </w:r>
      <w:r>
        <w:t>5</w:t>
      </w:r>
      <w:r>
        <w:fldChar w:fldCharType="end"/>
      </w:r>
    </w:p>
    <w:p>
      <w:pPr>
        <w:pStyle w:val="21"/>
        <w:tabs>
          <w:tab w:val="clear" w:pos="8296"/>
          <w:tab w:val="right" w:leader="dot" w:pos="8306"/>
        </w:tabs>
      </w:pPr>
      <w:r>
        <w:rPr>
          <w:rFonts w:ascii="黑体" w:eastAsia="黑体" w:hint="eastAsia"/>
        </w:rPr>
        <w:t>第二部分 2022年度</w:t>
      </w:r>
      <w:r>
        <w:rPr>
          <w:rFonts w:ascii="黑体" w:eastAsia="黑体" w:hint="eastAsia"/>
          <w:bCs/>
        </w:rPr>
        <w:t>部门决算情况说明</w:t>
      </w:r>
      <w:r>
        <w:tab/>
      </w:r>
      <w:r>
        <w:fldChar w:fldCharType="begin"/>
      </w:r>
      <w:r>
        <w:instrText xml:space="preserve"> PAGEREF _Toc2587 \h </w:instrText>
      </w:r>
      <w:r>
        <w:fldChar w:fldCharType="separate"/>
      </w:r>
      <w:r>
        <w:t>6</w:t>
      </w:r>
      <w:r>
        <w:fldChar w:fldCharType="end"/>
      </w:r>
    </w:p>
    <w:p>
      <w:pPr>
        <w:pStyle w:val="22"/>
        <w:tabs>
          <w:tab w:val="clear" w:pos="8296"/>
          <w:tab w:val="right" w:leader="dot" w:pos="8306"/>
        </w:tabs>
      </w:pPr>
      <w:r>
        <w:rPr>
          <w:rFonts w:ascii="黑体" w:eastAsia="黑体"/>
        </w:rPr>
        <w:t xml:space="preserve">一、 </w:t>
      </w:r>
      <w:r>
        <w:rPr>
          <w:rFonts w:ascii="黑体" w:eastAsia="黑体" w:hint="eastAsia"/>
          <w:szCs w:val="32"/>
        </w:rPr>
        <w:t>收</w:t>
      </w:r>
      <w:r>
        <w:rPr>
          <w:rFonts w:ascii="黑体" w:eastAsia="黑体" w:hint="eastAsia"/>
        </w:rPr>
        <w:t>入支出决算总体情况说明</w:t>
      </w:r>
      <w:r>
        <w:tab/>
      </w:r>
      <w:r>
        <w:fldChar w:fldCharType="begin"/>
      </w:r>
      <w:r>
        <w:instrText xml:space="preserve"> PAGEREF _Toc2779 \h </w:instrText>
      </w:r>
      <w:r>
        <w:fldChar w:fldCharType="separate"/>
      </w:r>
      <w:r>
        <w:t>6</w:t>
      </w:r>
      <w:r>
        <w:fldChar w:fldCharType="end"/>
      </w:r>
    </w:p>
    <w:p>
      <w:pPr>
        <w:pStyle w:val="22"/>
        <w:tabs>
          <w:tab w:val="clear" w:pos="8296"/>
          <w:tab w:val="right" w:leader="dot" w:pos="8306"/>
        </w:tabs>
      </w:pPr>
      <w:r>
        <w:rPr>
          <w:rFonts w:ascii="黑体" w:eastAsia="黑体"/>
        </w:rPr>
        <w:t xml:space="preserve">二、 </w:t>
      </w:r>
      <w:r>
        <w:rPr>
          <w:rFonts w:ascii="黑体" w:eastAsia="黑体" w:hint="eastAsia"/>
          <w:szCs w:val="32"/>
        </w:rPr>
        <w:t>收</w:t>
      </w:r>
      <w:r>
        <w:rPr>
          <w:rFonts w:ascii="黑体" w:eastAsia="黑体" w:hint="eastAsia"/>
        </w:rPr>
        <w:t>入决算情况说明</w:t>
      </w:r>
      <w:r>
        <w:tab/>
      </w:r>
      <w:r>
        <w:fldChar w:fldCharType="begin"/>
      </w:r>
      <w:r>
        <w:instrText xml:space="preserve"> PAGEREF _Toc243 \h </w:instrText>
      </w:r>
      <w:r>
        <w:fldChar w:fldCharType="separate"/>
      </w:r>
      <w:r>
        <w:t>6</w:t>
      </w:r>
      <w:r>
        <w:fldChar w:fldCharType="end"/>
      </w:r>
    </w:p>
    <w:p>
      <w:pPr>
        <w:pStyle w:val="22"/>
        <w:tabs>
          <w:tab w:val="clear" w:pos="8296"/>
          <w:tab w:val="right" w:leader="dot" w:pos="8306"/>
        </w:tabs>
      </w:pPr>
      <w:r>
        <w:rPr>
          <w:rFonts w:ascii="黑体" w:eastAsia="黑体"/>
        </w:rPr>
        <w:t xml:space="preserve">三、 </w:t>
      </w:r>
      <w:r>
        <w:rPr>
          <w:rFonts w:ascii="黑体" w:eastAsia="黑体" w:hint="eastAsia"/>
          <w:szCs w:val="32"/>
        </w:rPr>
        <w:t>支</w:t>
      </w:r>
      <w:r>
        <w:rPr>
          <w:rFonts w:ascii="黑体" w:eastAsia="黑体" w:hint="eastAsia"/>
        </w:rPr>
        <w:t>出决算情况说明</w:t>
      </w:r>
      <w:r>
        <w:tab/>
      </w:r>
      <w:r>
        <w:fldChar w:fldCharType="begin"/>
      </w:r>
      <w:r>
        <w:instrText xml:space="preserve"> PAGEREF _Toc279 \h </w:instrText>
      </w:r>
      <w:r>
        <w:fldChar w:fldCharType="separate"/>
      </w:r>
      <w:r>
        <w:t>6</w:t>
      </w:r>
      <w:r>
        <w:fldChar w:fldCharType="end"/>
      </w:r>
    </w:p>
    <w:p>
      <w:pPr>
        <w:pStyle w:val="22"/>
        <w:tabs>
          <w:tab w:val="clear" w:pos="8296"/>
          <w:tab w:val="right" w:leader="dot" w:pos="8306"/>
        </w:tabs>
      </w:pPr>
      <w:r>
        <w:rPr>
          <w:rFonts w:ascii="黑体" w:eastAsia="黑体" w:hint="eastAsia"/>
          <w:szCs w:val="32"/>
        </w:rPr>
        <w:t>四、财</w:t>
      </w:r>
      <w:r>
        <w:rPr>
          <w:rFonts w:ascii="黑体" w:eastAsia="黑体" w:hint="eastAsia"/>
        </w:rPr>
        <w:t>政拨款收入支出决算总体情况说明</w:t>
      </w:r>
      <w:r>
        <w:tab/>
      </w:r>
      <w:r>
        <w:fldChar w:fldCharType="begin"/>
      </w:r>
      <w:r>
        <w:instrText xml:space="preserve"> PAGEREF _Toc3903 \h </w:instrText>
      </w:r>
      <w:r>
        <w:fldChar w:fldCharType="separate"/>
      </w:r>
      <w:r>
        <w:t>7</w:t>
      </w:r>
      <w:r>
        <w:fldChar w:fldCharType="end"/>
      </w:r>
    </w:p>
    <w:p>
      <w:pPr>
        <w:pStyle w:val="22"/>
        <w:tabs>
          <w:tab w:val="clear" w:pos="8296"/>
          <w:tab w:val="right" w:leader="dot" w:pos="8306"/>
        </w:tabs>
      </w:pPr>
      <w:r>
        <w:rPr>
          <w:rFonts w:ascii="黑体" w:eastAsia="黑体" w:hint="eastAsia"/>
          <w:szCs w:val="32"/>
        </w:rPr>
        <w:t>五、一</w:t>
      </w:r>
      <w:r>
        <w:rPr>
          <w:rFonts w:ascii="黑体" w:eastAsia="黑体" w:hint="eastAsia"/>
        </w:rPr>
        <w:t>般公共预算财政拨款支出决算情况说明</w:t>
      </w:r>
      <w:r>
        <w:tab/>
      </w:r>
      <w:r>
        <w:fldChar w:fldCharType="begin"/>
      </w:r>
      <w:r>
        <w:instrText xml:space="preserve"> PAGEREF _Toc19453 \h </w:instrText>
      </w:r>
      <w:r>
        <w:fldChar w:fldCharType="separate"/>
      </w:r>
      <w:r>
        <w:t>8</w:t>
      </w:r>
      <w:r>
        <w:fldChar w:fldCharType="end"/>
      </w:r>
    </w:p>
    <w:p>
      <w:pPr>
        <w:pStyle w:val="17"/>
        <w:tabs>
          <w:tab w:val="clear" w:pos="8296"/>
          <w:tab w:val="right" w:leader="dot" w:pos="8306"/>
        </w:tabs>
      </w:pPr>
      <w:r>
        <w:rPr>
          <w:rFonts w:ascii="仿宋" w:eastAsia="仿宋" w:hint="eastAsia"/>
          <w:szCs w:val="32"/>
        </w:rPr>
        <w:t>（一）一般公共预算财政拨款支出决算总体情况</w:t>
      </w:r>
      <w:r>
        <w:tab/>
      </w:r>
      <w:r>
        <w:fldChar w:fldCharType="begin"/>
      </w:r>
      <w:r>
        <w:instrText xml:space="preserve"> PAGEREF _Toc337 \h </w:instrText>
      </w:r>
      <w:r>
        <w:fldChar w:fldCharType="separate"/>
      </w:r>
      <w:r>
        <w:t>8</w:t>
      </w:r>
      <w:r>
        <w:fldChar w:fldCharType="end"/>
      </w:r>
    </w:p>
    <w:p>
      <w:pPr>
        <w:pStyle w:val="17"/>
        <w:tabs>
          <w:tab w:val="clear" w:pos="8296"/>
          <w:tab w:val="right" w:leader="dot" w:pos="8306"/>
        </w:tabs>
      </w:pPr>
      <w:r>
        <w:rPr>
          <w:rFonts w:ascii="仿宋" w:eastAsia="仿宋" w:hint="eastAsia"/>
          <w:szCs w:val="32"/>
        </w:rPr>
        <w:t>（二）一般公共预算财政拨款支出决算结构情况</w:t>
      </w:r>
      <w:r>
        <w:tab/>
      </w:r>
      <w:r>
        <w:fldChar w:fldCharType="begin"/>
      </w:r>
      <w:r>
        <w:instrText xml:space="preserve"> PAGEREF _Toc31519 \h </w:instrText>
      </w:r>
      <w:r>
        <w:fldChar w:fldCharType="separate"/>
      </w:r>
      <w:r>
        <w:t>9</w:t>
      </w:r>
      <w:r>
        <w:fldChar w:fldCharType="end"/>
      </w:r>
    </w:p>
    <w:p>
      <w:pPr>
        <w:pStyle w:val="17"/>
        <w:tabs>
          <w:tab w:val="clear" w:pos="8296"/>
          <w:tab w:val="right" w:leader="dot" w:pos="8306"/>
        </w:tabs>
      </w:pPr>
      <w:r>
        <w:rPr>
          <w:rFonts w:ascii="仿宋" w:eastAsia="仿宋" w:hint="eastAsia"/>
          <w:szCs w:val="32"/>
        </w:rPr>
        <w:t>（三）一般公共预算财政拨款支出决算具体情况</w:t>
      </w:r>
      <w:r>
        <w:tab/>
      </w:r>
      <w:r>
        <w:fldChar w:fldCharType="begin"/>
      </w:r>
      <w:r>
        <w:instrText xml:space="preserve"> PAGEREF _Toc27396 \h </w:instrText>
      </w:r>
      <w:r>
        <w:fldChar w:fldCharType="separate"/>
      </w:r>
      <w:r>
        <w:t>10</w:t>
      </w:r>
      <w:r>
        <w:fldChar w:fldCharType="end"/>
      </w:r>
    </w:p>
    <w:p>
      <w:pPr>
        <w:pStyle w:val="22"/>
        <w:tabs>
          <w:tab w:val="clear" w:pos="8296"/>
          <w:tab w:val="right" w:leader="dot" w:pos="8306"/>
        </w:tabs>
      </w:pPr>
      <w:r>
        <w:rPr>
          <w:rFonts w:ascii="黑体" w:eastAsia="黑体" w:hint="eastAsia"/>
          <w:szCs w:val="32"/>
        </w:rPr>
        <w:t>六、一</w:t>
      </w:r>
      <w:r>
        <w:rPr>
          <w:rFonts w:ascii="黑体" w:eastAsia="黑体" w:hint="eastAsia"/>
        </w:rPr>
        <w:t>般公共预算财政拨款基本支出决算情况说明</w:t>
      </w:r>
      <w:r>
        <w:tab/>
      </w:r>
      <w:r>
        <w:fldChar w:fldCharType="begin"/>
      </w:r>
      <w:r>
        <w:instrText xml:space="preserve"> PAGEREF _Toc17240 \h </w:instrText>
      </w:r>
      <w:r>
        <w:fldChar w:fldCharType="separate"/>
      </w:r>
      <w:r>
        <w:t>10</w:t>
      </w:r>
      <w:r>
        <w:fldChar w:fldCharType="end"/>
      </w:r>
    </w:p>
    <w:p>
      <w:pPr>
        <w:pStyle w:val="22"/>
        <w:tabs>
          <w:tab w:val="clear" w:pos="8296"/>
          <w:tab w:val="right" w:leader="dot" w:pos="8306"/>
        </w:tabs>
      </w:pPr>
      <w:r>
        <w:rPr>
          <w:rFonts w:ascii="黑体" w:eastAsia="黑体" w:hint="eastAsia"/>
          <w:szCs w:val="32"/>
        </w:rPr>
        <w:t>七、</w:t>
      </w:r>
      <w:r>
        <w:rPr>
          <w:rFonts w:ascii="黑体" w:eastAsia="黑体" w:hint="eastAsia"/>
        </w:rPr>
        <w:t>“三公”经费财政拨款支出决算情况说明</w:t>
      </w:r>
      <w:r>
        <w:tab/>
      </w:r>
      <w:r>
        <w:fldChar w:fldCharType="begin"/>
      </w:r>
      <w:r>
        <w:instrText xml:space="preserve"> PAGEREF _Toc17028 \h </w:instrText>
      </w:r>
      <w:r>
        <w:fldChar w:fldCharType="separate"/>
      </w:r>
      <w:r>
        <w:t>11</w:t>
      </w:r>
      <w:r>
        <w:fldChar w:fldCharType="end"/>
      </w:r>
    </w:p>
    <w:p>
      <w:pPr>
        <w:pStyle w:val="17"/>
        <w:tabs>
          <w:tab w:val="clear" w:pos="8296"/>
          <w:tab w:val="right" w:leader="dot" w:pos="8306"/>
        </w:tabs>
      </w:pPr>
      <w:r>
        <w:rPr>
          <w:rFonts w:ascii="仿宋" w:eastAsia="仿宋" w:hint="eastAsia"/>
          <w:szCs w:val="32"/>
        </w:rPr>
        <w:t>（一）“三公”经费财政拨款支出决算总体情况说明</w:t>
      </w:r>
      <w:r>
        <w:tab/>
      </w:r>
      <w:r>
        <w:fldChar w:fldCharType="begin"/>
      </w:r>
      <w:r>
        <w:instrText xml:space="preserve"> PAGEREF _Toc27637 \h </w:instrText>
      </w:r>
      <w:r>
        <w:fldChar w:fldCharType="separate"/>
      </w:r>
      <w:r>
        <w:t>11</w:t>
      </w:r>
      <w:r>
        <w:fldChar w:fldCharType="end"/>
      </w:r>
    </w:p>
    <w:p>
      <w:pPr>
        <w:pStyle w:val="17"/>
        <w:tabs>
          <w:tab w:val="clear" w:pos="8296"/>
          <w:tab w:val="right" w:leader="dot" w:pos="8306"/>
        </w:tabs>
      </w:pPr>
      <w:r>
        <w:rPr>
          <w:rFonts w:ascii="仿宋" w:eastAsia="仿宋" w:hint="eastAsia"/>
          <w:szCs w:val="32"/>
        </w:rPr>
        <w:t>（二）“三公”经费财政拨款支出决算具体情况说明</w:t>
      </w:r>
      <w:r>
        <w:tab/>
      </w:r>
      <w:r>
        <w:fldChar w:fldCharType="begin"/>
      </w:r>
      <w:r>
        <w:instrText xml:space="preserve"> PAGEREF _Toc31861 \h </w:instrText>
      </w:r>
      <w:r>
        <w:fldChar w:fldCharType="separate"/>
      </w:r>
      <w:r>
        <w:t>11</w:t>
      </w:r>
      <w:r>
        <w:fldChar w:fldCharType="end"/>
      </w:r>
    </w:p>
    <w:p>
      <w:pPr>
        <w:pStyle w:val="22"/>
        <w:tabs>
          <w:tab w:val="clear" w:pos="8296"/>
          <w:tab w:val="right" w:leader="dot" w:pos="8306"/>
        </w:tabs>
      </w:pPr>
      <w:r>
        <w:rPr>
          <w:rFonts w:ascii="黑体" w:eastAsia="黑体" w:hint="eastAsia"/>
          <w:szCs w:val="32"/>
        </w:rPr>
        <w:t>八、</w:t>
      </w:r>
      <w:r>
        <w:rPr>
          <w:rFonts w:ascii="黑体" w:eastAsia="黑体" w:hint="eastAsia"/>
        </w:rPr>
        <w:t>政府性基金预算支出决算情况说明</w:t>
      </w:r>
      <w:r>
        <w:tab/>
      </w:r>
      <w:r>
        <w:fldChar w:fldCharType="begin"/>
      </w:r>
      <w:r>
        <w:instrText xml:space="preserve"> PAGEREF _Toc24431 \h </w:instrText>
      </w:r>
      <w:r>
        <w:fldChar w:fldCharType="separate"/>
      </w:r>
      <w:r>
        <w:t>12</w:t>
      </w:r>
      <w:r>
        <w:fldChar w:fldCharType="end"/>
      </w:r>
    </w:p>
    <w:p>
      <w:pPr>
        <w:pStyle w:val="22"/>
        <w:tabs>
          <w:tab w:val="clear" w:pos="8296"/>
          <w:tab w:val="right" w:leader="dot" w:pos="8306"/>
        </w:tabs>
      </w:pPr>
      <w:r>
        <w:rPr>
          <w:rFonts w:ascii="黑体" w:eastAsia="黑体" w:hint="eastAsia"/>
        </w:rPr>
        <w:t>九、 国有资本经营预算支出决算情况说明</w:t>
      </w:r>
      <w:r>
        <w:tab/>
      </w:r>
      <w:r>
        <w:fldChar w:fldCharType="begin"/>
      </w:r>
      <w:r>
        <w:instrText xml:space="preserve"> PAGEREF _Toc2114 \h </w:instrText>
      </w:r>
      <w:r>
        <w:fldChar w:fldCharType="separate"/>
      </w:r>
      <w:r>
        <w:t>12</w:t>
      </w:r>
      <w:r>
        <w:fldChar w:fldCharType="end"/>
      </w:r>
    </w:p>
    <w:p>
      <w:pPr>
        <w:pStyle w:val="22"/>
        <w:tabs>
          <w:tab w:val="clear" w:pos="8296"/>
          <w:tab w:val="right" w:leader="dot" w:pos="8306"/>
        </w:tabs>
      </w:pPr>
      <w:r>
        <w:rPr>
          <w:rFonts w:ascii="黑体" w:eastAsia="黑体" w:hint="eastAsia"/>
        </w:rPr>
        <w:t>十、 其他重要事项的情况说明</w:t>
      </w:r>
      <w:r>
        <w:tab/>
      </w:r>
      <w:r>
        <w:fldChar w:fldCharType="begin"/>
      </w:r>
      <w:r>
        <w:instrText xml:space="preserve"> PAGEREF _Toc10996 \h </w:instrText>
      </w:r>
      <w:r>
        <w:fldChar w:fldCharType="separate"/>
      </w:r>
      <w:r>
        <w:t>12</w:t>
      </w:r>
      <w:r>
        <w:fldChar w:fldCharType="end"/>
      </w:r>
    </w:p>
    <w:p>
      <w:pPr>
        <w:pStyle w:val="17"/>
        <w:tabs>
          <w:tab w:val="clear" w:pos="8296"/>
          <w:tab w:val="right" w:leader="dot" w:pos="8306"/>
        </w:tabs>
      </w:pPr>
      <w:r>
        <w:rPr>
          <w:rFonts w:ascii="仿宋" w:eastAsia="仿宋" w:hint="eastAsia"/>
          <w:szCs w:val="32"/>
        </w:rPr>
        <w:t>（一）机关运行经费支出情况</w:t>
      </w:r>
      <w:r>
        <w:tab/>
      </w:r>
      <w:r>
        <w:fldChar w:fldCharType="begin"/>
      </w:r>
      <w:r>
        <w:instrText xml:space="preserve"> PAGEREF _Toc29709 \h </w:instrText>
      </w:r>
      <w:r>
        <w:fldChar w:fldCharType="separate"/>
      </w:r>
      <w:r>
        <w:t>12</w:t>
      </w:r>
      <w:r>
        <w:fldChar w:fldCharType="end"/>
      </w:r>
    </w:p>
    <w:p>
      <w:pPr>
        <w:pStyle w:val="17"/>
        <w:tabs>
          <w:tab w:val="clear" w:pos="8296"/>
          <w:tab w:val="right" w:leader="dot" w:pos="8306"/>
        </w:tabs>
      </w:pPr>
      <w:r>
        <w:rPr>
          <w:rFonts w:ascii="仿宋" w:eastAsia="仿宋" w:hint="eastAsia"/>
          <w:szCs w:val="32"/>
        </w:rPr>
        <w:t>（二）政府采购支出情况</w:t>
      </w:r>
      <w:r>
        <w:tab/>
      </w:r>
      <w:r>
        <w:fldChar w:fldCharType="begin"/>
      </w:r>
      <w:r>
        <w:instrText xml:space="preserve"> PAGEREF _Toc11041 \h </w:instrText>
      </w:r>
      <w:r>
        <w:fldChar w:fldCharType="separate"/>
      </w:r>
      <w:r>
        <w:t>12</w:t>
      </w:r>
      <w:r>
        <w:fldChar w:fldCharType="end"/>
      </w:r>
    </w:p>
    <w:p>
      <w:pPr>
        <w:pStyle w:val="17"/>
        <w:tabs>
          <w:tab w:val="clear" w:pos="8296"/>
          <w:tab w:val="right" w:leader="dot" w:pos="8306"/>
        </w:tabs>
      </w:pPr>
      <w:r>
        <w:rPr>
          <w:rFonts w:ascii="仿宋" w:eastAsia="仿宋" w:hint="eastAsia"/>
          <w:szCs w:val="32"/>
        </w:rPr>
        <w:t>（三）国有资产占有使用情况</w:t>
      </w:r>
      <w:r>
        <w:tab/>
      </w:r>
      <w:r>
        <w:fldChar w:fldCharType="begin"/>
      </w:r>
      <w:r>
        <w:instrText xml:space="preserve"> PAGEREF _Toc7419 \h </w:instrText>
      </w:r>
      <w:r>
        <w:fldChar w:fldCharType="separate"/>
      </w:r>
      <w:r>
        <w:t>13</w:t>
      </w:r>
      <w:r>
        <w:fldChar w:fldCharType="end"/>
      </w:r>
    </w:p>
    <w:p>
      <w:pPr>
        <w:pStyle w:val="17"/>
        <w:tabs>
          <w:tab w:val="clear" w:pos="8296"/>
          <w:tab w:val="right" w:leader="dot" w:pos="8306"/>
        </w:tabs>
      </w:pPr>
      <w:r>
        <w:rPr>
          <w:rFonts w:ascii="仿宋" w:eastAsia="仿宋" w:hint="eastAsia"/>
          <w:szCs w:val="32"/>
        </w:rPr>
        <w:t>（四）预算绩效管理情况</w:t>
      </w:r>
      <w:r>
        <w:tab/>
      </w:r>
      <w:r>
        <w:fldChar w:fldCharType="begin"/>
      </w:r>
      <w:r>
        <w:instrText xml:space="preserve"> PAGEREF _Toc22426 \h </w:instrText>
      </w:r>
      <w:r>
        <w:fldChar w:fldCharType="separate"/>
      </w:r>
      <w:r>
        <w:t>13</w:t>
      </w:r>
      <w:r>
        <w:fldChar w:fldCharType="end"/>
      </w:r>
    </w:p>
    <w:p>
      <w:pPr>
        <w:pStyle w:val="21"/>
        <w:tabs>
          <w:tab w:val="clear" w:pos="8296"/>
          <w:tab w:val="right" w:leader="dot" w:pos="8306"/>
        </w:tabs>
      </w:pPr>
      <w:r>
        <w:rPr>
          <w:rFonts w:ascii="黑体" w:eastAsia="黑体" w:hint="eastAsia"/>
        </w:rPr>
        <w:t xml:space="preserve">第三部分 </w:t>
      </w:r>
      <w:r>
        <w:rPr>
          <w:rFonts w:ascii="黑体" w:eastAsia="黑体" w:hint="eastAsia"/>
          <w:szCs w:val="44"/>
        </w:rPr>
        <w:t>名</w:t>
      </w:r>
      <w:r>
        <w:rPr>
          <w:rFonts w:ascii="黑体" w:eastAsia="黑体" w:hint="eastAsia"/>
        </w:rPr>
        <w:t>词解释</w:t>
      </w:r>
      <w:r>
        <w:tab/>
      </w:r>
      <w:r>
        <w:fldChar w:fldCharType="begin"/>
      </w:r>
      <w:r>
        <w:instrText xml:space="preserve"> PAGEREF _Toc14058 \h </w:instrText>
      </w:r>
      <w:r>
        <w:fldChar w:fldCharType="separate"/>
      </w:r>
      <w:r>
        <w:t>14</w:t>
      </w:r>
      <w:r>
        <w:fldChar w:fldCharType="end"/>
      </w:r>
    </w:p>
    <w:p>
      <w:pPr>
        <w:pStyle w:val="21"/>
        <w:tabs>
          <w:tab w:val="clear" w:pos="8296"/>
          <w:tab w:val="right" w:leader="dot" w:pos="8306"/>
        </w:tabs>
      </w:pPr>
      <w:r>
        <w:rPr>
          <w:rFonts w:ascii="黑体" w:eastAsia="黑体" w:hint="eastAsia"/>
          <w:szCs w:val="44"/>
        </w:rPr>
        <w:t>第</w:t>
      </w:r>
      <w:r>
        <w:rPr>
          <w:rFonts w:ascii="黑体" w:eastAsia="黑体" w:hint="eastAsia"/>
        </w:rPr>
        <w:t>四部分 附件</w:t>
      </w:r>
      <w:r>
        <w:tab/>
      </w:r>
      <w:r>
        <w:fldChar w:fldCharType="begin"/>
      </w:r>
      <w:r>
        <w:instrText xml:space="preserve"> PAGEREF _Toc27751 \h </w:instrText>
      </w:r>
      <w:r>
        <w:fldChar w:fldCharType="separate"/>
      </w:r>
      <w:r>
        <w:t>16</w:t>
      </w:r>
      <w:r>
        <w:fldChar w:fldCharType="end"/>
      </w:r>
    </w:p>
    <w:p>
      <w:pPr>
        <w:pStyle w:val="21"/>
        <w:tabs>
          <w:tab w:val="clear" w:pos="8296"/>
          <w:tab w:val="right" w:leader="dot" w:pos="8306"/>
        </w:tabs>
      </w:pPr>
      <w:r>
        <w:rPr>
          <w:rFonts w:ascii="黑体" w:eastAsia="黑体" w:cs="黑体" w:hint="eastAsia"/>
          <w:szCs w:val="32"/>
        </w:rPr>
        <w:t>附件</w:t>
      </w:r>
      <w:r>
        <w:tab/>
      </w:r>
      <w:r>
        <w:fldChar w:fldCharType="begin"/>
      </w:r>
      <w:r>
        <w:instrText xml:space="preserve"> PAGEREF _Toc3798 \h </w:instrText>
      </w:r>
      <w:r>
        <w:fldChar w:fldCharType="separate"/>
      </w:r>
      <w:r>
        <w:t>16</w:t>
      </w:r>
      <w:r>
        <w:fldChar w:fldCharType="end"/>
      </w:r>
    </w:p>
    <w:p>
      <w:pPr>
        <w:pStyle w:val="21"/>
        <w:tabs>
          <w:tab w:val="clear" w:pos="8296"/>
          <w:tab w:val="right" w:leader="dot" w:pos="8306"/>
        </w:tabs>
      </w:pPr>
      <w:r>
        <w:rPr>
          <w:rFonts w:ascii="黑体" w:eastAsia="黑体" w:hint="eastAsia"/>
          <w:szCs w:val="44"/>
        </w:rPr>
        <w:t>第</w:t>
      </w:r>
      <w:r>
        <w:rPr>
          <w:rFonts w:ascii="黑体" w:eastAsia="黑体" w:hint="eastAsia"/>
        </w:rPr>
        <w:t>五部分 附表</w:t>
      </w:r>
      <w:r>
        <w:tab/>
      </w:r>
      <w:r>
        <w:fldChar w:fldCharType="begin"/>
      </w:r>
      <w:r>
        <w:instrText xml:space="preserve"> PAGEREF _Toc26435 \h </w:instrText>
      </w:r>
      <w:r>
        <w:fldChar w:fldCharType="separate"/>
      </w:r>
      <w:r>
        <w:t>22</w:t>
      </w:r>
      <w:r>
        <w:fldChar w:fldCharType="end"/>
      </w:r>
    </w:p>
    <w:p>
      <w:pPr>
        <w:pStyle w:val="22"/>
        <w:tabs>
          <w:tab w:val="clear" w:pos="8296"/>
          <w:tab w:val="right" w:leader="dot" w:pos="8306"/>
        </w:tabs>
      </w:pPr>
      <w:r>
        <w:rPr>
          <w:rFonts w:ascii="仿宋" w:eastAsia="仿宋" w:hint="eastAsia"/>
        </w:rPr>
        <w:t>一、收入支出决算总表</w:t>
      </w:r>
      <w:r>
        <w:tab/>
      </w:r>
      <w:r>
        <w:fldChar w:fldCharType="begin"/>
      </w:r>
      <w:r>
        <w:instrText xml:space="preserve"> PAGEREF _Toc17790 \h </w:instrText>
      </w:r>
      <w:r>
        <w:fldChar w:fldCharType="separate"/>
      </w:r>
      <w:r>
        <w:t>22</w:t>
      </w:r>
      <w:r>
        <w:fldChar w:fldCharType="end"/>
      </w:r>
    </w:p>
    <w:p>
      <w:pPr>
        <w:pStyle w:val="22"/>
        <w:tabs>
          <w:tab w:val="clear" w:pos="8296"/>
          <w:tab w:val="right" w:leader="dot" w:pos="8306"/>
        </w:tabs>
      </w:pPr>
      <w:r>
        <w:rPr>
          <w:rFonts w:ascii="仿宋" w:eastAsia="仿宋" w:hint="eastAsia"/>
        </w:rPr>
        <w:t>二、收入决算表</w:t>
      </w:r>
      <w:r>
        <w:tab/>
      </w:r>
      <w:r>
        <w:fldChar w:fldCharType="begin"/>
      </w:r>
      <w:r>
        <w:instrText xml:space="preserve"> PAGEREF _Toc16439 \h </w:instrText>
      </w:r>
      <w:r>
        <w:fldChar w:fldCharType="separate"/>
      </w:r>
      <w:r>
        <w:t>22</w:t>
      </w:r>
      <w:r>
        <w:fldChar w:fldCharType="end"/>
      </w:r>
    </w:p>
    <w:p>
      <w:pPr>
        <w:pStyle w:val="22"/>
        <w:tabs>
          <w:tab w:val="clear" w:pos="8296"/>
          <w:tab w:val="right" w:leader="dot" w:pos="8306"/>
        </w:tabs>
      </w:pPr>
      <w:r>
        <w:rPr>
          <w:rFonts w:ascii="仿宋" w:eastAsia="仿宋" w:hint="eastAsia"/>
        </w:rPr>
        <w:t>三、支出决算表</w:t>
      </w:r>
      <w:r>
        <w:tab/>
      </w:r>
      <w:r>
        <w:fldChar w:fldCharType="begin"/>
      </w:r>
      <w:r>
        <w:instrText xml:space="preserve"> PAGEREF _Toc27648 \h </w:instrText>
      </w:r>
      <w:r>
        <w:fldChar w:fldCharType="separate"/>
      </w:r>
      <w:r>
        <w:t>22</w:t>
      </w:r>
      <w:r>
        <w:fldChar w:fldCharType="end"/>
      </w:r>
    </w:p>
    <w:p>
      <w:pPr>
        <w:pStyle w:val="22"/>
        <w:tabs>
          <w:tab w:val="clear" w:pos="8296"/>
          <w:tab w:val="right" w:leader="dot" w:pos="8306"/>
        </w:tabs>
      </w:pPr>
      <w:r>
        <w:rPr>
          <w:rFonts w:ascii="仿宋" w:eastAsia="仿宋" w:hint="eastAsia"/>
        </w:rPr>
        <w:t>四、财政拨款收入支出决算总表</w:t>
      </w:r>
      <w:r>
        <w:tab/>
      </w:r>
      <w:r>
        <w:fldChar w:fldCharType="begin"/>
      </w:r>
      <w:r>
        <w:instrText xml:space="preserve"> PAGEREF _Toc31368 \h </w:instrText>
      </w:r>
      <w:r>
        <w:fldChar w:fldCharType="separate"/>
      </w:r>
      <w:r>
        <w:t>22</w:t>
      </w:r>
      <w:r>
        <w:fldChar w:fldCharType="end"/>
      </w:r>
    </w:p>
    <w:p>
      <w:pPr>
        <w:pStyle w:val="22"/>
        <w:tabs>
          <w:tab w:val="clear" w:pos="8296"/>
          <w:tab w:val="right" w:leader="dot" w:pos="8306"/>
        </w:tabs>
      </w:pPr>
      <w:r>
        <w:rPr>
          <w:rFonts w:ascii="仿宋" w:eastAsia="仿宋" w:hint="eastAsia"/>
        </w:rPr>
        <w:t>五、财政拨款支出决算明细表</w:t>
      </w:r>
      <w:r>
        <w:tab/>
      </w:r>
      <w:r>
        <w:fldChar w:fldCharType="begin"/>
      </w:r>
      <w:r>
        <w:instrText xml:space="preserve"> PAGEREF _Toc11688 \h </w:instrText>
      </w:r>
      <w:r>
        <w:fldChar w:fldCharType="separate"/>
      </w:r>
      <w:r>
        <w:t>22</w:t>
      </w:r>
      <w:r>
        <w:fldChar w:fldCharType="end"/>
      </w:r>
    </w:p>
    <w:p>
      <w:pPr>
        <w:pStyle w:val="22"/>
        <w:tabs>
          <w:tab w:val="clear" w:pos="8296"/>
          <w:tab w:val="right" w:leader="dot" w:pos="8306"/>
        </w:tabs>
      </w:pPr>
      <w:r>
        <w:rPr>
          <w:rFonts w:ascii="仿宋" w:eastAsia="仿宋" w:hint="eastAsia"/>
        </w:rPr>
        <w:t>六、一般公共预算财政拨款支出决算表</w:t>
      </w:r>
      <w:r>
        <w:tab/>
      </w:r>
      <w:r>
        <w:fldChar w:fldCharType="begin"/>
      </w:r>
      <w:r>
        <w:instrText xml:space="preserve"> PAGEREF _Toc6468 \h </w:instrText>
      </w:r>
      <w:r>
        <w:fldChar w:fldCharType="separate"/>
      </w:r>
      <w:r>
        <w:t>22</w:t>
      </w:r>
      <w:r>
        <w:fldChar w:fldCharType="end"/>
      </w:r>
    </w:p>
    <w:p>
      <w:pPr>
        <w:pStyle w:val="22"/>
        <w:tabs>
          <w:tab w:val="clear" w:pos="8296"/>
          <w:tab w:val="right" w:leader="dot" w:pos="8306"/>
        </w:tabs>
      </w:pPr>
      <w:r>
        <w:rPr>
          <w:rFonts w:ascii="仿宋" w:eastAsia="仿宋" w:hint="eastAsia"/>
        </w:rPr>
        <w:t>七、一般公共预算财政拨款支出决算明细表</w:t>
      </w:r>
      <w:r>
        <w:tab/>
      </w:r>
      <w:r>
        <w:fldChar w:fldCharType="begin"/>
      </w:r>
      <w:r>
        <w:instrText xml:space="preserve"> PAGEREF _Toc1511 \h </w:instrText>
      </w:r>
      <w:r>
        <w:fldChar w:fldCharType="separate"/>
      </w:r>
      <w:r>
        <w:t>22</w:t>
      </w:r>
      <w:r>
        <w:fldChar w:fldCharType="end"/>
      </w:r>
    </w:p>
    <w:p>
      <w:pPr>
        <w:pStyle w:val="22"/>
        <w:tabs>
          <w:tab w:val="clear" w:pos="8296"/>
          <w:tab w:val="right" w:leader="dot" w:pos="8306"/>
        </w:tabs>
      </w:pPr>
      <w:r>
        <w:rPr>
          <w:rFonts w:ascii="仿宋" w:eastAsia="仿宋" w:hint="eastAsia"/>
        </w:rPr>
        <w:t>八、一般公共预算财政拨款基本支出决算表</w:t>
      </w:r>
      <w:r>
        <w:tab/>
      </w:r>
      <w:r>
        <w:fldChar w:fldCharType="begin"/>
      </w:r>
      <w:r>
        <w:instrText xml:space="preserve"> PAGEREF _Toc13890 \h </w:instrText>
      </w:r>
      <w:r>
        <w:fldChar w:fldCharType="separate"/>
      </w:r>
      <w:r>
        <w:t>22</w:t>
      </w:r>
      <w:r>
        <w:fldChar w:fldCharType="end"/>
      </w:r>
    </w:p>
    <w:p>
      <w:pPr>
        <w:pStyle w:val="22"/>
        <w:tabs>
          <w:tab w:val="clear" w:pos="8296"/>
          <w:tab w:val="right" w:leader="dot" w:pos="8306"/>
        </w:tabs>
      </w:pPr>
      <w:r>
        <w:rPr>
          <w:rFonts w:ascii="仿宋" w:eastAsia="仿宋" w:hint="eastAsia"/>
        </w:rPr>
        <w:t>九、一般公共预算财政拨款项目支出决算表</w:t>
      </w:r>
      <w:r>
        <w:tab/>
      </w:r>
      <w:r>
        <w:fldChar w:fldCharType="begin"/>
      </w:r>
      <w:r>
        <w:instrText xml:space="preserve"> PAGEREF _Toc29782 \h </w:instrText>
      </w:r>
      <w:r>
        <w:fldChar w:fldCharType="separate"/>
      </w:r>
      <w:r>
        <w:t>22</w:t>
      </w:r>
      <w:r>
        <w:fldChar w:fldCharType="end"/>
      </w:r>
    </w:p>
    <w:p>
      <w:pPr>
        <w:pStyle w:val="22"/>
        <w:tabs>
          <w:tab w:val="clear" w:pos="8296"/>
          <w:tab w:val="right" w:leader="dot" w:pos="8306"/>
        </w:tabs>
      </w:pPr>
      <w:r>
        <w:rPr>
          <w:rFonts w:ascii="仿宋" w:eastAsia="仿宋" w:hint="eastAsia"/>
        </w:rPr>
        <w:t>十、一般公共预算财政拨款“三公”经费支出决算表</w:t>
      </w:r>
      <w:r>
        <w:tab/>
      </w:r>
      <w:r>
        <w:fldChar w:fldCharType="begin"/>
      </w:r>
      <w:r>
        <w:instrText xml:space="preserve"> PAGEREF _Toc30429 \h </w:instrText>
      </w:r>
      <w:r>
        <w:fldChar w:fldCharType="separate"/>
      </w:r>
      <w:r>
        <w:t>22</w:t>
      </w:r>
      <w:r>
        <w:fldChar w:fldCharType="end"/>
      </w:r>
    </w:p>
    <w:p>
      <w:pPr>
        <w:pStyle w:val="22"/>
        <w:tabs>
          <w:tab w:val="clear" w:pos="8296"/>
          <w:tab w:val="right" w:leader="dot" w:pos="8306"/>
        </w:tabs>
      </w:pPr>
      <w:r>
        <w:rPr>
          <w:rFonts w:ascii="仿宋" w:eastAsia="仿宋" w:hint="eastAsia"/>
        </w:rPr>
        <w:t>十一、政府性基金预算财政拨款收入支出决算表</w:t>
      </w:r>
      <w:r>
        <w:tab/>
      </w:r>
      <w:r>
        <w:fldChar w:fldCharType="begin"/>
      </w:r>
      <w:r>
        <w:instrText xml:space="preserve"> PAGEREF _Toc31348 \h </w:instrText>
      </w:r>
      <w:r>
        <w:fldChar w:fldCharType="separate"/>
      </w:r>
      <w:r>
        <w:t>22</w:t>
      </w:r>
      <w:r>
        <w:fldChar w:fldCharType="end"/>
      </w:r>
    </w:p>
    <w:p>
      <w:pPr>
        <w:pStyle w:val="22"/>
        <w:tabs>
          <w:tab w:val="clear" w:pos="8296"/>
          <w:tab w:val="right" w:leader="dot" w:pos="8306"/>
        </w:tabs>
      </w:pPr>
      <w:r>
        <w:rPr>
          <w:rFonts w:ascii="仿宋" w:eastAsia="仿宋" w:hint="eastAsia"/>
        </w:rPr>
        <w:t>十二、政府性基金预算财政拨款“三公”经费支出决算表</w:t>
      </w:r>
      <w:r>
        <w:tab/>
      </w:r>
      <w:r>
        <w:fldChar w:fldCharType="begin"/>
      </w:r>
      <w:r>
        <w:instrText xml:space="preserve"> PAGEREF _Toc18908 \h </w:instrText>
      </w:r>
      <w:r>
        <w:fldChar w:fldCharType="separate"/>
      </w:r>
      <w:r>
        <w:t>22</w:t>
      </w:r>
      <w:r>
        <w:fldChar w:fldCharType="end"/>
      </w:r>
    </w:p>
    <w:p>
      <w:pPr>
        <w:pStyle w:val="22"/>
        <w:tabs>
          <w:tab w:val="clear" w:pos="8296"/>
          <w:tab w:val="right" w:leader="dot" w:pos="8306"/>
        </w:tabs>
      </w:pPr>
      <w:r>
        <w:rPr>
          <w:rFonts w:ascii="仿宋" w:eastAsia="仿宋" w:hint="eastAsia"/>
        </w:rPr>
        <w:t>十三、国有资本经营预算财政拨款收入支出决算表</w:t>
      </w:r>
      <w:r>
        <w:tab/>
      </w:r>
      <w:r>
        <w:fldChar w:fldCharType="begin"/>
      </w:r>
      <w:r>
        <w:instrText xml:space="preserve"> PAGEREF _Toc6664 \h </w:instrText>
      </w:r>
      <w:r>
        <w:fldChar w:fldCharType="separate"/>
      </w:r>
      <w:r>
        <w:t>22</w:t>
      </w:r>
      <w:r>
        <w:fldChar w:fldCharType="end"/>
      </w:r>
    </w:p>
    <w:p>
      <w:pPr>
        <w:pStyle w:val="22"/>
        <w:tabs>
          <w:tab w:val="clear" w:pos="8296"/>
          <w:tab w:val="right" w:leader="dot" w:pos="8306"/>
        </w:tabs>
      </w:pPr>
      <w:r>
        <w:rPr>
          <w:rFonts w:ascii="仿宋" w:eastAsia="仿宋" w:hint="eastAsia"/>
        </w:rPr>
        <w:t>十四、国有资本经营预算财政拨款支出决算表</w:t>
      </w:r>
      <w:r>
        <w:tab/>
      </w:r>
      <w:r>
        <w:fldChar w:fldCharType="begin"/>
      </w:r>
      <w:r>
        <w:instrText xml:space="preserve"> PAGEREF _Toc18312 \h </w:instrText>
      </w:r>
      <w:r>
        <w:fldChar w:fldCharType="separate"/>
      </w:r>
      <w:r>
        <w:t>22</w:t>
      </w:r>
      <w:r>
        <w:fldChar w:fldCharType="end"/>
      </w:r>
    </w:p>
    <w:p>
      <w:pPr>
        <w:pStyle w:val="1"/>
        <w:jc w:val="center"/>
        <w:rPr>
          <w:rFonts w:ascii="仿宋" w:eastAsia="仿宋"/>
          <w:caps w:val="0"/>
          <w:smallCaps/>
          <w:szCs w:val="20"/>
        </w:rPr>
      </w:pPr>
      <w:r>
        <w:rPr>
          <w:rFonts w:ascii="仿宋" w:eastAsia="仿宋"/>
          <w:caps w:val="0"/>
          <w:smallCaps/>
          <w:szCs w:val="20"/>
        </w:rPr>
        <w:fldChar w:fldCharType="end"/>
      </w:r>
    </w:p>
    <w:p>
      <w:pPr>
        <w:pStyle w:val="1"/>
        <w:spacing w:before="0" w:after="0" w:line="240" w:lineRule="auto"/>
        <w:rPr>
          <w:rFonts w:ascii="黑体" w:eastAsia="黑体"/>
          <w:b w:val="0"/>
        </w:rPr>
      </w:pPr>
    </w:p>
    <w:p>
      <w:pPr>
        <w:pStyle w:val="1"/>
        <w:spacing w:before="0" w:after="0" w:line="240" w:lineRule="auto"/>
        <w:rPr>
          <w:rFonts w:ascii="黑体" w:eastAsia="黑体"/>
          <w:b w:val="0"/>
        </w:rPr>
      </w:pPr>
    </w:p>
    <w:p>
      <w:pPr>
        <w:pStyle w:val="1"/>
        <w:spacing w:before="0" w:after="0" w:line="240" w:lineRule="auto"/>
        <w:rPr>
          <w:rFonts w:ascii="黑体" w:eastAsia="黑体"/>
          <w:b w:val="0"/>
        </w:rPr>
      </w:pPr>
    </w:p>
    <w:p>
      <w:pPr>
        <w:pStyle w:val="1"/>
        <w:spacing w:before="0" w:after="0" w:line="240" w:lineRule="auto"/>
        <w:rPr>
          <w:rFonts w:ascii="黑体" w:eastAsia="黑体"/>
          <w:b w:val="0"/>
        </w:rPr>
      </w:pPr>
    </w:p>
    <w:p>
      <w:pPr>
        <w:pStyle w:val="1"/>
        <w:rPr>
          <w:rFonts w:ascii="黑体" w:eastAsia="黑体"/>
          <w:b w:val="0"/>
        </w:rPr>
      </w:pPr>
    </w:p>
    <w:p>
      <w:pPr>
        <w:pStyle w:val="1"/>
        <w:rPr>
          <w:rFonts w:ascii="黑体" w:eastAsia="黑体"/>
          <w:b w:val="0"/>
        </w:rPr>
      </w:pPr>
    </w:p>
    <w:p>
      <w:pPr>
        <w:pStyle w:val="1"/>
        <w:rPr>
          <w:rFonts w:ascii="黑体" w:eastAsia="黑体"/>
          <w:b w:val="0"/>
        </w:rPr>
      </w:pPr>
    </w:p>
    <w:p>
      <w:pPr>
        <w:widowControl/>
        <w:jc w:val="left"/>
        <w:rPr>
          <w:rFonts w:ascii="黑体" w:eastAsia="黑体"/>
          <w:sz w:val="32"/>
          <w:szCs w:val="32"/>
        </w:rPr>
      </w:pPr>
      <w:bookmarkEnd w:id="15"/>
      <w:bookmarkEnd w:id="16"/>
    </w:p>
    <w:p>
      <w:pPr>
        <w:pStyle w:val="15"/>
        <w:rPr>
          <w:rFonts w:ascii="黑体" w:eastAsia="黑体"/>
          <w:sz w:val="32"/>
          <w:szCs w:val="32"/>
        </w:rPr>
      </w:pPr>
    </w:p>
    <w:p/>
    <w:p>
      <w:pPr>
        <w:pStyle w:val="1"/>
        <w:ind w:firstLineChars="500" w:firstLine="2200"/>
        <w:rPr>
          <w:rStyle w:val="1Char"/>
          <w:rFonts w:ascii="黑体" w:eastAsia="黑体"/>
          <w:b/>
        </w:rPr>
      </w:pPr>
      <w:bookmarkStart w:id="17" w:name="_Toc17459"/>
      <w:bookmarkStart w:id="18" w:name="_Toc15396600"/>
      <w:bookmarkStart w:id="19" w:name="_Toc15377197"/>
      <w:r>
        <w:rPr>
          <w:rFonts w:ascii="黑体" w:eastAsia="黑体" w:hint="eastAsia"/>
          <w:b w:val="0"/>
        </w:rPr>
        <w:t xml:space="preserve">第一部分 </w:t>
      </w:r>
      <w:r>
        <w:rPr>
          <w:rStyle w:val="1Char"/>
          <w:rFonts w:ascii="黑体" w:eastAsia="黑体" w:hint="eastAsia"/>
        </w:rPr>
        <w:t>部门概况</w:t>
      </w:r>
      <w:bookmarkEnd w:id="17"/>
    </w:p>
    <w:p>
      <w:pPr>
        <w:pStyle w:val="2"/>
        <w:rPr>
          <w:rFonts w:ascii="黑体" w:eastAsia="黑体"/>
          <w:b w:val="0"/>
        </w:rPr>
      </w:pPr>
    </w:p>
    <w:p>
      <w:pPr>
        <w:pStyle w:val="2"/>
        <w:rPr>
          <w:rStyle w:val="2Char"/>
          <w:rFonts w:ascii="仿宋" w:eastAsia="仿宋"/>
        </w:rPr>
      </w:pPr>
      <w:bookmarkStart w:id="20" w:name="_Toc9922"/>
      <w:r>
        <w:rPr>
          <w:rFonts w:ascii="黑体" w:eastAsia="黑体" w:hint="eastAsia"/>
          <w:b w:val="0"/>
        </w:rPr>
        <w:t>一、基</w:t>
      </w:r>
      <w:r>
        <w:rPr>
          <w:rStyle w:val="2Char"/>
          <w:rFonts w:ascii="黑体" w:eastAsia="黑体" w:hint="eastAsia"/>
        </w:rPr>
        <w:t>本职能及主要工作</w:t>
      </w:r>
      <w:bookmarkEnd w:id="18"/>
      <w:bookmarkEnd w:id="19"/>
      <w:bookmarkEnd w:id="20"/>
    </w:p>
    <w:p>
      <w:pPr>
        <w:pStyle w:val="16"/>
        <w:adjustRightInd w:val="0"/>
        <w:snapToGrid w:val="0"/>
        <w:spacing w:beforeLines="0" w:before="30" w:line="600" w:lineRule="exact"/>
        <w:ind w:firstLineChars="100" w:firstLine="320"/>
        <w:outlineLvl w:val="2"/>
        <w:rPr>
          <w:rFonts w:ascii="仿宋" w:eastAsia="仿宋"/>
          <w:b/>
          <w:sz w:val="32"/>
          <w:szCs w:val="32"/>
        </w:rPr>
      </w:pPr>
      <w:bookmarkStart w:id="21" w:name="_Toc24452"/>
      <w:bookmarkStart w:id="22" w:name="_Toc15377198"/>
      <w:bookmarkStart w:id="23" w:name="_Toc15378445"/>
      <w:r>
        <w:rPr>
          <w:rFonts w:ascii="仿宋" w:eastAsia="仿宋" w:hint="eastAsia"/>
          <w:b/>
          <w:sz w:val="32"/>
          <w:szCs w:val="32"/>
        </w:rPr>
        <w:t>（一）主要职能</w:t>
      </w:r>
      <w:bookmarkEnd w:id="21"/>
      <w:bookmarkEnd w:id="22"/>
      <w:bookmarkEnd w:id="23"/>
    </w:p>
    <w:p>
      <w:pPr>
        <w:spacing w:line="600" w:lineRule="exact"/>
        <w:ind w:firstLineChars="200" w:firstLine="640"/>
        <w:rPr>
          <w:rFonts w:ascii="仿宋_GB2312" w:eastAsia="仿宋_GB2312"/>
          <w:sz w:val="32"/>
          <w:szCs w:val="32"/>
          <w:lang w:val="zh-CN"/>
        </w:rPr>
      </w:pPr>
      <w:r>
        <w:rPr>
          <w:rFonts w:ascii="仿宋_GB2312" w:eastAsia="仿宋_GB2312" w:hint="eastAsia"/>
          <w:sz w:val="32"/>
          <w:szCs w:val="32"/>
        </w:rPr>
        <w:t xml:space="preserve"> </w:t>
      </w:r>
      <w:r>
        <w:rPr>
          <w:rFonts w:ascii="仿宋_GB2312" w:eastAsia="仿宋_GB2312" w:hint="eastAsia"/>
          <w:sz w:val="32"/>
          <w:szCs w:val="32"/>
          <w:lang w:val="zh-CN"/>
        </w:rPr>
        <w:t>我中心主要承担全州项目管理推进中的辅助服务职能，具体包括：1、协助开展中央、省预算内项目，其他重点领域的投资项目及重点项目的推进工作。负责中央、省预算内项目，其他重点领域的投资项目及重点项目推进情况进行收集、整理，掌握项目推进进度，对项目推进过程中遇到困难问题，提出建议意见。2、协助收集国家和省重点支持方向等方面的政策规定，根据省州战略目标，结合我州实际，协助开展中央、省预算内项目、其他重点领域的投资项目及重点项目的谋划生成、储备包装等工作。3、协助发改委机关各项目科室做好投资与项目管理信息系统的运行管理。4、完成委党组交办的其他工作任务。</w:t>
      </w:r>
    </w:p>
    <w:p>
      <w:pPr>
        <w:pStyle w:val="16"/>
        <w:adjustRightInd w:val="0"/>
        <w:snapToGrid w:val="0"/>
        <w:spacing w:beforeLines="0" w:before="30" w:line="600" w:lineRule="exact"/>
        <w:ind w:firstLineChars="100" w:firstLine="320"/>
        <w:outlineLvl w:val="2"/>
        <w:rPr>
          <w:rFonts w:ascii="仿宋" w:eastAsia="仿宋"/>
          <w:b/>
          <w:sz w:val="32"/>
          <w:szCs w:val="32"/>
        </w:rPr>
      </w:pPr>
      <w:bookmarkStart w:id="24" w:name="_Toc15377199"/>
      <w:bookmarkStart w:id="25" w:name="_Toc737"/>
      <w:bookmarkStart w:id="26" w:name="_Toc15378446"/>
      <w:r>
        <w:rPr>
          <w:rFonts w:ascii="仿宋" w:eastAsia="仿宋" w:hint="eastAsia"/>
          <w:b/>
          <w:sz w:val="32"/>
          <w:szCs w:val="32"/>
        </w:rPr>
        <w:t>（二）2022年重点工作完成情况</w:t>
      </w:r>
      <w:bookmarkEnd w:id="24"/>
      <w:bookmarkEnd w:id="25"/>
      <w:bookmarkEnd w:id="26"/>
    </w:p>
    <w:p>
      <w:pPr>
        <w:spacing w:line="600" w:lineRule="exact"/>
        <w:ind w:firstLineChars="200" w:firstLine="640"/>
        <w:rPr>
          <w:rFonts w:ascii="仿宋_GB2312" w:eastAsia="仿宋_GB2312"/>
          <w:sz w:val="32"/>
          <w:szCs w:val="32"/>
          <w:lang w:val="zh-CN"/>
        </w:rPr>
      </w:pPr>
      <w:r>
        <w:rPr>
          <w:rFonts w:ascii="仿宋_GB2312" w:eastAsia="仿宋_GB2312" w:hint="eastAsia"/>
          <w:sz w:val="32"/>
          <w:szCs w:val="32"/>
          <w:lang w:val="zh-CN"/>
        </w:rPr>
        <w:t>2022年主要工作任务是：（1）开展预算内重点领域的投资项目及重点项目的推进工作。负责重点领域的投资项目及重点项目推进情况进行收集、整理，掌握项目推进进度。（2）开展预算内项目、其他重点领域的投资项目及重点项目的谋划生成、储备包装等工作。（3）协助委内各项科室做好投资与项目管理信息系统的运行管理。（4）完成委党组交办的其他工作任务。</w:t>
      </w:r>
    </w:p>
    <w:p>
      <w:pPr>
        <w:pStyle w:val="16"/>
        <w:adjustRightInd w:val="0"/>
        <w:snapToGrid w:val="0"/>
        <w:spacing w:beforeLines="0" w:before="30" w:line="600" w:lineRule="exact"/>
        <w:ind w:firstLineChars="208" w:firstLine="666"/>
        <w:outlineLvl w:val="2"/>
        <w:rPr>
          <w:rFonts w:ascii="仿宋" w:eastAsia="仿宋"/>
          <w:bCs/>
          <w:sz w:val="32"/>
          <w:szCs w:val="32"/>
        </w:rPr>
      </w:pPr>
    </w:p>
    <w:p>
      <w:pPr>
        <w:pStyle w:val="2"/>
        <w:rPr>
          <w:rStyle w:val="2Char"/>
        </w:rPr>
      </w:pPr>
      <w:bookmarkStart w:id="27" w:name="_Toc15377200"/>
      <w:bookmarkStart w:id="28" w:name="_Toc8977"/>
      <w:bookmarkStart w:id="29" w:name="_Toc15396601"/>
      <w:r>
        <w:rPr>
          <w:rFonts w:ascii="黑体" w:eastAsia="黑体" w:hint="eastAsia"/>
          <w:b w:val="0"/>
        </w:rPr>
        <w:t>二、机</w:t>
      </w:r>
      <w:r>
        <w:rPr>
          <w:rStyle w:val="2Char"/>
          <w:rFonts w:ascii="黑体" w:eastAsia="黑体" w:hint="eastAsia"/>
        </w:rPr>
        <w:t>构设置</w:t>
      </w:r>
      <w:bookmarkEnd w:id="27"/>
      <w:bookmarkEnd w:id="28"/>
      <w:bookmarkEnd w:id="29"/>
    </w:p>
    <w:p>
      <w:pPr>
        <w:spacing w:line="600" w:lineRule="exact"/>
        <w:ind w:firstLineChars="200" w:firstLine="640"/>
        <w:rPr>
          <w:rFonts w:ascii="仿宋_GB2312" w:eastAsia="仿宋_GB2312"/>
          <w:sz w:val="32"/>
          <w:szCs w:val="32"/>
        </w:rPr>
      </w:pPr>
      <w:r>
        <w:rPr>
          <w:rFonts w:ascii="仿宋_GB2312" w:eastAsia="仿宋_GB2312" w:hint="eastAsia"/>
          <w:sz w:val="32"/>
          <w:szCs w:val="32"/>
          <w:lang w:val="zh-CN"/>
        </w:rPr>
        <w:t>我中心为州发展和改革委员会所属正科级公益一类事业单位，保留参公管理。核定参公事业编制38名，正科级领导职数1名，副科级领导职数3名。截至</w:t>
      </w:r>
      <w:r>
        <w:rPr>
          <w:rFonts w:ascii="仿宋_GB2312" w:eastAsia="仿宋_GB2312" w:hint="eastAsia"/>
          <w:sz w:val="32"/>
          <w:szCs w:val="32"/>
        </w:rPr>
        <w:t>2022年12月，中心在职职工共计31人，其中，乡科级副职1人、一级主任科员1人、三级主任科员1人、四级主任科员6人、一级科员11人、试用期1人、技师8人、高级工2人、中级工2人；离退休人员共计38人，其中，离休1人、退休37人。</w:t>
      </w:r>
    </w:p>
    <w:p>
      <w:pPr>
        <w:widowControl/>
        <w:jc w:val="left"/>
        <w:rPr>
          <w:rFonts w:ascii="仿宋" w:eastAsia="仿宋"/>
          <w:kern w:val="0"/>
          <w:sz w:val="32"/>
          <w:szCs w:val="32"/>
        </w:rPr>
      </w:pPr>
      <w:r>
        <w:rPr>
          <w:rFonts w:ascii="仿宋" w:eastAsia="仿宋"/>
          <w:sz w:val="32"/>
          <w:szCs w:val="32"/>
        </w:rPr>
        <w:br w:type="page"/>
      </w:r>
    </w:p>
    <w:p>
      <w:pPr>
        <w:pStyle w:val="1"/>
        <w:ind w:right="440"/>
        <w:jc w:val="center"/>
        <w:rPr>
          <w:rStyle w:val="1Char"/>
          <w:rFonts w:ascii="黑体" w:eastAsia="黑体"/>
          <w:bCs/>
        </w:rPr>
      </w:pPr>
      <w:bookmarkStart w:id="30" w:name="_Toc15396602"/>
      <w:bookmarkStart w:id="31" w:name="_Toc15377204"/>
      <w:bookmarkStart w:id="32" w:name="_Toc2587"/>
      <w:r>
        <w:rPr>
          <w:rFonts w:ascii="黑体" w:eastAsia="黑体" w:hint="eastAsia"/>
          <w:b w:val="0"/>
        </w:rPr>
        <w:t>第二部分 2022年度</w:t>
      </w:r>
      <w:r>
        <w:rPr>
          <w:rStyle w:val="1Char"/>
          <w:rFonts w:ascii="黑体" w:eastAsia="黑体" w:hint="eastAsia"/>
          <w:bCs/>
        </w:rPr>
        <w:t>部门决算情况说明</w:t>
      </w:r>
      <w:bookmarkEnd w:id="30"/>
      <w:bookmarkEnd w:id="31"/>
      <w:bookmarkEnd w:id="32"/>
    </w:p>
    <w:p/>
    <w:p>
      <w:pPr>
        <w:pStyle w:val="30"/>
        <w:numPr>
          <w:ilvl w:val="0"/>
          <w:numId w:val="1"/>
        </w:numPr>
        <w:spacing w:line="600" w:lineRule="exact"/>
        <w:ind w:firstLineChars="0"/>
        <w:outlineLvl w:val="1"/>
        <w:rPr>
          <w:rStyle w:val="2Char"/>
          <w:rFonts w:ascii="黑体" w:eastAsia="黑体"/>
          <w:b w:val="0"/>
        </w:rPr>
      </w:pPr>
      <w:bookmarkStart w:id="33" w:name="_Toc15396603"/>
      <w:bookmarkStart w:id="34" w:name="_Toc2779"/>
      <w:bookmarkStart w:id="35" w:name="_Toc15377205"/>
      <w:r>
        <w:rPr>
          <w:rFonts w:ascii="黑体" w:eastAsia="黑体" w:hint="eastAsia"/>
          <w:sz w:val="32"/>
          <w:szCs w:val="32"/>
        </w:rPr>
        <w:t>收</w:t>
      </w:r>
      <w:r>
        <w:rPr>
          <w:rStyle w:val="2Char"/>
          <w:rFonts w:ascii="黑体" w:eastAsia="黑体" w:hint="eastAsia"/>
          <w:b w:val="0"/>
        </w:rPr>
        <w:t>入支出决算总体情况说明</w:t>
      </w:r>
      <w:bookmarkEnd w:id="33"/>
      <w:bookmarkEnd w:id="34"/>
      <w:bookmarkEnd w:id="35"/>
    </w:p>
    <w:p>
      <w:pPr>
        <w:widowControl/>
        <w:adjustRightInd w:val="0"/>
        <w:snapToGrid w:val="0"/>
        <w:spacing w:line="580" w:lineRule="exact"/>
        <w:ind w:firstLineChars="200" w:firstLine="640"/>
        <w:contextualSpacing/>
        <w:jc w:val="left"/>
        <w:rPr>
          <w:rFonts w:ascii="仿宋_GB2312" w:cs="宋体" w:hAnsi="仿宋_GB2312"/>
          <w:kern w:val="0"/>
          <w:szCs w:val="32"/>
          <w:shd w:val="clear" w:color="auto" w:fill="FFFFFF"/>
        </w:rPr>
      </w:pPr>
      <w:r>
        <w:rPr>
          <w:rFonts w:ascii="仿宋_GB2312" w:eastAsia="仿宋_GB2312" w:hint="eastAsia"/>
          <w:sz w:val="32"/>
          <w:szCs w:val="32"/>
        </w:rPr>
        <w:t>2022年我中心财政拨款总收入决算数 771.44万元。与2021年相比，收、支总计各增加119.13万元，。主要原因是</w:t>
      </w:r>
      <w:r>
        <w:rPr>
          <w:rFonts w:ascii="仿宋_GB2312" w:cs="宋体" w:hAnsi="仿宋_GB2312" w:hint="eastAsia"/>
          <w:kern w:val="0"/>
          <w:sz w:val="32"/>
          <w:szCs w:val="32"/>
          <w:shd w:val="clear" w:color="auto" w:fill="FFFFFF"/>
          <w:lang w:val="zh-CN"/>
        </w:rPr>
        <w:t>人员</w:t>
      </w:r>
      <w:r>
        <w:rPr>
          <w:rFonts w:ascii="仿宋" w:eastAsia="仿宋" w:cs="宋体" w:hint="eastAsia"/>
          <w:kern w:val="0"/>
          <w:sz w:val="32"/>
          <w:szCs w:val="32"/>
          <w:shd w:val="clear" w:color="auto" w:fill="FFFFFF"/>
          <w:lang w:val="zh-CN"/>
        </w:rPr>
        <w:t>工资、目标绩效及社保缴费基数的增长，</w:t>
      </w:r>
      <w:r>
        <w:rPr>
          <w:rFonts w:ascii="仿宋_GB2312" w:eastAsia="仿宋_GB2312" w:hint="eastAsia"/>
          <w:sz w:val="32"/>
          <w:szCs w:val="32"/>
        </w:rPr>
        <w:t>增加相应的基本工资及津贴补贴，以及离休人员工资增长及补发工资等人员经费的增加。</w:t>
      </w:r>
    </w:p>
    <w:p>
      <w:pPr>
        <w:pStyle w:val="5"/>
      </w:pPr>
      <w:r>
        <w:rPr>
          <w:rFonts w:hint="eastAsia"/>
        </w:rPr>
        <w:drawing>
          <wp:anchor distT="0" distB="0" distL="114300" distR="114300" simplePos="0" relativeHeight="17" behindDoc="0" locked="0" layoutInCell="1" hidden="0" allowOverlap="1">
            <wp:simplePos x="0" y="0"/>
            <wp:positionH relativeFrom="column">
              <wp:posOffset>241934</wp:posOffset>
            </wp:positionH>
            <wp:positionV relativeFrom="paragraph">
              <wp:posOffset>195580</wp:posOffset>
            </wp:positionV>
            <wp:extent cx="4981575" cy="2495550"/>
            <wp:effectExtent l="0" t="0" r="0" b="0"/>
            <wp:wrapTopAndBottom/>
            <wp:docPr id="1" name="图表 1" descr="2021&#10;"/>
            <wp:cNvGraphicFramePr>
              <a:graphicFrameLocks noChangeAspect="0"/>
            </wp:cNvGraphicFramePr>
            <a:graphic>
              <a:graphicData uri="http://schemas.openxmlformats.org/drawingml/2006/chart">
                <c:chart xmlns:c="http://schemas.openxmlformats.org/drawingml/2006/chart" r:id="rId4"/>
              </a:graphicData>
            </a:graphic>
          </wp:anchor>
        </w:drawing>
      </w:r>
    </w:p>
    <w:p>
      <w:pPr>
        <w:pStyle w:val="30"/>
        <w:numPr>
          <w:ilvl w:val="0"/>
          <w:numId w:val="1"/>
        </w:numPr>
        <w:spacing w:line="600" w:lineRule="exact"/>
        <w:ind w:firstLineChars="0"/>
        <w:outlineLvl w:val="1"/>
        <w:rPr>
          <w:rStyle w:val="2Char"/>
          <w:rFonts w:ascii="黑体" w:eastAsia="黑体"/>
          <w:b w:val="0"/>
        </w:rPr>
      </w:pPr>
      <w:bookmarkStart w:id="36" w:name="_Toc15377206"/>
      <w:bookmarkStart w:id="37" w:name="_Toc243"/>
      <w:bookmarkStart w:id="38" w:name="_Toc15396604"/>
      <w:r>
        <w:rPr>
          <w:rFonts w:ascii="黑体" w:eastAsia="黑体" w:hint="eastAsia"/>
          <w:sz w:val="32"/>
          <w:szCs w:val="32"/>
        </w:rPr>
        <w:t>收</w:t>
      </w:r>
      <w:r>
        <w:rPr>
          <w:rStyle w:val="2Char"/>
          <w:rFonts w:ascii="黑体" w:eastAsia="黑体" w:hint="eastAsia"/>
          <w:b w:val="0"/>
        </w:rPr>
        <w:t>入决算情况说明</w:t>
      </w:r>
      <w:bookmarkEnd w:id="36"/>
      <w:bookmarkEnd w:id="37"/>
      <w:bookmarkEnd w:id="38"/>
    </w:p>
    <w:p>
      <w:pPr>
        <w:spacing w:line="600" w:lineRule="exact"/>
        <w:ind w:firstLineChars="200" w:firstLine="640"/>
        <w:rPr>
          <w:rFonts w:ascii="仿宋_GB2312" w:eastAsia="仿宋_GB2312"/>
          <w:sz w:val="32"/>
          <w:szCs w:val="32"/>
        </w:rPr>
      </w:pPr>
      <w:bookmarkStart w:id="39" w:name="_Toc15396605"/>
      <w:bookmarkStart w:id="40" w:name="_Toc279"/>
      <w:bookmarkStart w:id="41" w:name="_Toc15377207"/>
      <w:r>
        <w:rPr>
          <w:rFonts w:ascii="仿宋_GB2312" w:eastAsia="仿宋_GB2312" w:hint="eastAsia"/>
          <w:sz w:val="32"/>
          <w:szCs w:val="32"/>
        </w:rPr>
        <w:t>2022年本年收入合计771.44万元，其中：一般公共预算财政拨款收入771.44万元，占100%；政府性基金预算财政拨款收入0万元，占0%；上级补助收入0万元，占0%；事业收入0万元，占0%；经营收入0万元，占0%；附属单位上缴收入0万元，占0%；其他收入0万元，占0%；年初结转和结余0万元，占0%。</w:t>
      </w:r>
    </w:p>
    <w:p>
      <w:pPr>
        <w:pStyle w:val="15"/>
        <w:ind w:leftChars="0" w:left="0" w:firstLineChars="0" w:firstLine="0"/>
      </w:pPr>
    </w:p>
    <w:p/>
    <w:p>
      <w:pPr>
        <w:pStyle w:val="15"/>
      </w:pPr>
      <w:r>
        <w:rPr>
          <w:rFonts w:ascii="仿宋_GB2312" w:eastAsia="仿宋_GB2312" w:cs="仿宋_GB2312" w:hint="eastAsia"/>
          <w:color w:val="000000"/>
          <w:sz w:val="32"/>
          <w:szCs w:val="32"/>
        </w:rPr>
        <w:drawing>
          <wp:anchor distT="0" distB="0" distL="114300" distR="114300" simplePos="0" relativeHeight="19" behindDoc="0" locked="0" layoutInCell="1" hidden="0" allowOverlap="1">
            <wp:simplePos x="0" y="0"/>
            <wp:positionH relativeFrom="column">
              <wp:posOffset>210184</wp:posOffset>
            </wp:positionH>
            <wp:positionV relativeFrom="paragraph">
              <wp:posOffset>60960</wp:posOffset>
            </wp:positionV>
            <wp:extent cx="4790440" cy="2225039"/>
            <wp:effectExtent l="0" t="0" r="0" b="0"/>
            <wp:wrapTopAndBottom/>
            <wp:docPr id="2" name="图表 2"/>
            <wp:cNvGraphicFramePr>
              <a:graphicFrameLocks noChangeAspect="0"/>
            </wp:cNvGraphicFramePr>
            <a:graphic>
              <a:graphicData uri="http://schemas.openxmlformats.org/drawingml/2006/chart">
                <c:chart xmlns:c="http://schemas.openxmlformats.org/drawingml/2006/chart" r:id="rId5"/>
              </a:graphicData>
            </a:graphic>
          </wp:anchor>
        </w:drawing>
      </w:r>
    </w:p>
    <w:p/>
    <w:p>
      <w:pPr>
        <w:pStyle w:val="30"/>
        <w:numPr>
          <w:ilvl w:val="0"/>
          <w:numId w:val="1"/>
        </w:numPr>
        <w:spacing w:line="600" w:lineRule="exact"/>
        <w:ind w:firstLineChars="0"/>
        <w:outlineLvl w:val="1"/>
        <w:rPr>
          <w:rStyle w:val="2Char"/>
          <w:rFonts w:ascii="黑体" w:eastAsia="黑体"/>
          <w:b w:val="0"/>
        </w:rPr>
      </w:pPr>
      <w:r>
        <w:rPr>
          <w:rFonts w:ascii="黑体" w:eastAsia="黑体" w:hint="eastAsia"/>
          <w:sz w:val="32"/>
          <w:szCs w:val="32"/>
        </w:rPr>
        <w:t>支</w:t>
      </w:r>
      <w:r>
        <w:rPr>
          <w:rStyle w:val="2Char"/>
          <w:rFonts w:ascii="黑体" w:eastAsia="黑体" w:hint="eastAsia"/>
          <w:b w:val="0"/>
        </w:rPr>
        <w:t>出决算情况说明</w:t>
      </w:r>
      <w:bookmarkEnd w:id="39"/>
      <w:bookmarkEnd w:id="40"/>
      <w:bookmarkEnd w:id="41"/>
    </w:p>
    <w:p>
      <w:pPr>
        <w:spacing w:line="600" w:lineRule="exact"/>
        <w:ind w:firstLineChars="200" w:firstLine="640"/>
        <w:rPr>
          <w:rFonts w:ascii="仿宋" w:eastAsia="仿宋"/>
          <w:color w:val="000000"/>
          <w:sz w:val="32"/>
          <w:szCs w:val="32"/>
          <w:shd w:val="pct10" w:color="auto" w:fill="FFFFFF"/>
        </w:rPr>
      </w:pPr>
      <w:bookmarkStart w:id="42" w:name="_Toc3903"/>
      <w:bookmarkStart w:id="43" w:name="_Toc15396606"/>
      <w:bookmarkStart w:id="44" w:name="_Toc15377208"/>
      <w:r>
        <w:rPr>
          <w:rFonts w:ascii="仿宋_GB2312" w:eastAsia="仿宋_GB2312" w:hint="eastAsia"/>
          <w:sz w:val="32"/>
          <w:szCs w:val="32"/>
        </w:rPr>
        <w:t>2022年本年支出合计771.44万元，其中：基本支出763.75万元，占99</w:t>
      </w:r>
      <w:r>
        <w:rPr>
          <w:rFonts w:ascii="仿宋_GB2312" w:eastAsia="仿宋_GB2312"/>
          <w:sz w:val="32"/>
          <w:szCs w:val="32"/>
        </w:rPr>
        <w:t>%</w:t>
      </w:r>
      <w:r>
        <w:rPr>
          <w:rFonts w:ascii="仿宋_GB2312" w:eastAsia="仿宋_GB2312" w:hint="eastAsia"/>
          <w:sz w:val="32"/>
          <w:szCs w:val="32"/>
        </w:rPr>
        <w:t>；项目支出7.69万元，占1</w:t>
      </w:r>
      <w:r>
        <w:rPr>
          <w:rFonts w:ascii="仿宋_GB2312" w:eastAsia="仿宋_GB2312"/>
          <w:sz w:val="32"/>
          <w:szCs w:val="32"/>
        </w:rPr>
        <w:t>%</w:t>
      </w:r>
      <w:r>
        <w:rPr>
          <w:rFonts w:ascii="仿宋_GB2312" w:eastAsia="仿宋_GB2312" w:hint="eastAsia"/>
          <w:sz w:val="32"/>
          <w:szCs w:val="32"/>
        </w:rPr>
        <w:t>；上缴上级支出0万元，占0</w:t>
      </w:r>
      <w:r>
        <w:rPr>
          <w:rFonts w:ascii="仿宋_GB2312" w:eastAsia="仿宋_GB2312"/>
          <w:sz w:val="32"/>
          <w:szCs w:val="32"/>
        </w:rPr>
        <w:t>%</w:t>
      </w:r>
      <w:r>
        <w:rPr>
          <w:rFonts w:ascii="仿宋_GB2312" w:eastAsia="仿宋_GB2312" w:hint="eastAsia"/>
          <w:sz w:val="32"/>
          <w:szCs w:val="32"/>
        </w:rPr>
        <w:t>；经营支出0万元，占0</w:t>
      </w:r>
      <w:r>
        <w:rPr>
          <w:rFonts w:ascii="仿宋_GB2312" w:eastAsia="仿宋_GB2312"/>
          <w:sz w:val="32"/>
          <w:szCs w:val="32"/>
        </w:rPr>
        <w:t>%</w:t>
      </w:r>
      <w:r>
        <w:rPr>
          <w:rFonts w:ascii="仿宋_GB2312" w:eastAsia="仿宋_GB2312" w:hint="eastAsia"/>
          <w:sz w:val="32"/>
          <w:szCs w:val="32"/>
        </w:rPr>
        <w:t>；对附属单位补助支出0万元，占0</w:t>
      </w:r>
      <w:r>
        <w:rPr>
          <w:rFonts w:ascii="仿宋_GB2312" w:eastAsia="仿宋_GB2312"/>
          <w:sz w:val="32"/>
          <w:szCs w:val="32"/>
        </w:rPr>
        <w:t>%</w:t>
      </w:r>
      <w:r>
        <w:rPr>
          <w:rFonts w:ascii="仿宋_GB2312" w:eastAsia="仿宋_GB2312" w:hint="eastAsia"/>
          <w:sz w:val="32"/>
          <w:szCs w:val="32"/>
        </w:rPr>
        <w:t>。</w:t>
      </w:r>
    </w:p>
    <w:p>
      <w:pPr>
        <w:spacing w:line="600" w:lineRule="exact"/>
        <w:jc w:val="center"/>
        <w:rPr>
          <w:rFonts w:ascii="黑体" w:eastAsia="黑体"/>
          <w:sz w:val="32"/>
          <w:szCs w:val="32"/>
        </w:rPr>
      </w:pPr>
      <w:r>
        <w:rPr>
          <w:rFonts w:ascii="仿宋_GB2312" w:eastAsia="仿宋_GB2312" w:cs="仿宋_GB2312"/>
          <w:sz w:val="32"/>
          <w:szCs w:val="32"/>
        </w:rPr>
        <w:drawing>
          <wp:anchor distT="0" distB="0" distL="114300" distR="114300" simplePos="0" relativeHeight="21" behindDoc="0" locked="0" layoutInCell="1" hidden="0" allowOverlap="1">
            <wp:simplePos x="0" y="0"/>
            <wp:positionH relativeFrom="column">
              <wp:posOffset>413385</wp:posOffset>
            </wp:positionH>
            <wp:positionV relativeFrom="paragraph">
              <wp:posOffset>181610</wp:posOffset>
            </wp:positionV>
            <wp:extent cx="4495800" cy="2124710"/>
            <wp:effectExtent l="0" t="0" r="0" b="0"/>
            <wp:wrapTopAndBottom/>
            <wp:docPr id="3" name="图表 7"/>
            <wp:cNvGraphicFramePr>
              <a:graphicFrameLocks noChangeAspect="0"/>
            </wp:cNvGraphicFramePr>
            <a:graphic>
              <a:graphicData uri="http://schemas.openxmlformats.org/drawingml/2006/chart">
                <c:chart xmlns:c="http://schemas.openxmlformats.org/drawingml/2006/chart" r:id="rId6"/>
              </a:graphicData>
            </a:graphic>
          </wp:anchor>
        </w:drawing>
      </w:r>
    </w:p>
    <w:p>
      <w:pPr>
        <w:spacing w:line="600" w:lineRule="exact"/>
        <w:ind w:firstLineChars="200" w:firstLine="640"/>
        <w:outlineLvl w:val="1"/>
        <w:rPr>
          <w:rStyle w:val="2Char"/>
          <w:rFonts w:ascii="黑体" w:eastAsia="黑体"/>
          <w:b w:val="0"/>
        </w:rPr>
      </w:pPr>
      <w:r>
        <w:rPr>
          <w:rFonts w:ascii="黑体" w:eastAsia="黑体" w:hint="eastAsia"/>
          <w:sz w:val="32"/>
          <w:szCs w:val="32"/>
        </w:rPr>
        <w:t>四、财</w:t>
      </w:r>
      <w:r>
        <w:rPr>
          <w:rStyle w:val="2Char"/>
          <w:rFonts w:ascii="黑体" w:eastAsia="黑体" w:hint="eastAsia"/>
          <w:b w:val="0"/>
        </w:rPr>
        <w:t>政拨款收入支出决算总体情况说明</w:t>
      </w:r>
      <w:bookmarkEnd w:id="42"/>
      <w:bookmarkEnd w:id="43"/>
      <w:bookmarkEnd w:id="44"/>
    </w:p>
    <w:p>
      <w:pPr>
        <w:widowControl/>
        <w:adjustRightInd w:val="0"/>
        <w:snapToGrid w:val="0"/>
        <w:spacing w:line="580" w:lineRule="exact"/>
        <w:ind w:firstLineChars="200" w:firstLine="640"/>
        <w:contextualSpacing/>
        <w:jc w:val="left"/>
        <w:rPr>
          <w:rFonts w:ascii="仿宋_GB2312" w:cs="宋体" w:hAnsi="仿宋_GB2312"/>
          <w:kern w:val="0"/>
          <w:szCs w:val="32"/>
          <w:shd w:val="clear" w:color="auto" w:fill="FFFFFF"/>
        </w:rPr>
      </w:pPr>
      <w:r>
        <w:rPr>
          <w:rFonts w:ascii="仿宋_GB2312" w:eastAsia="仿宋_GB2312" w:hint="eastAsia"/>
          <w:sz w:val="32"/>
          <w:szCs w:val="32"/>
        </w:rPr>
        <w:t>2022年财政拨款收、支总计771.44万元。与2021年相比，财政拨款收、支总计各增加119.13万元，增长18.26%，主要变动原因是</w:t>
      </w:r>
      <w:r>
        <w:rPr>
          <w:rFonts w:ascii="仿宋_GB2312" w:cs="宋体" w:hAnsi="仿宋_GB2312" w:hint="eastAsia"/>
          <w:kern w:val="0"/>
          <w:sz w:val="32"/>
          <w:szCs w:val="32"/>
          <w:shd w:val="clear" w:color="auto" w:fill="FFFFFF"/>
          <w:lang w:val="zh-CN"/>
        </w:rPr>
        <w:t>人员</w:t>
      </w:r>
      <w:r>
        <w:rPr>
          <w:rFonts w:ascii="仿宋" w:eastAsia="仿宋" w:cs="宋体" w:hint="eastAsia"/>
          <w:kern w:val="0"/>
          <w:sz w:val="32"/>
          <w:szCs w:val="32"/>
          <w:shd w:val="clear" w:color="auto" w:fill="FFFFFF"/>
          <w:lang w:val="zh-CN"/>
        </w:rPr>
        <w:t>工资、目标绩效及社保缴费基数的增长，</w:t>
      </w:r>
      <w:r>
        <w:rPr>
          <w:rFonts w:ascii="仿宋_GB2312" w:eastAsia="仿宋_GB2312" w:hint="eastAsia"/>
          <w:sz w:val="32"/>
          <w:szCs w:val="32"/>
        </w:rPr>
        <w:t>增加相应的基本工资及津贴补贴，以及离休人员工资增长及补发工资等人员经费的增加。</w:t>
      </w:r>
    </w:p>
    <w:p>
      <w:pPr>
        <w:pStyle w:val="15"/>
        <w:rPr>
          <w:rFonts w:ascii="仿宋_GB2312" w:eastAsia="仿宋_GB2312"/>
          <w:sz w:val="32"/>
          <w:szCs w:val="32"/>
        </w:rPr>
      </w:pPr>
      <w:r>
        <w:rPr>
          <w:rFonts w:ascii="仿宋" w:eastAsia="仿宋" w:hint="eastAsia"/>
          <w:color w:val="000000"/>
          <w:sz w:val="32"/>
          <w:szCs w:val="32"/>
        </w:rPr>
        <w:drawing>
          <wp:anchor distT="0" distB="0" distL="114300" distR="114300" simplePos="0" relativeHeight="23" behindDoc="0" locked="0" layoutInCell="1" hidden="0" allowOverlap="1">
            <wp:simplePos x="0" y="0"/>
            <wp:positionH relativeFrom="column">
              <wp:posOffset>310515</wp:posOffset>
            </wp:positionH>
            <wp:positionV relativeFrom="paragraph">
              <wp:posOffset>143510</wp:posOffset>
            </wp:positionV>
            <wp:extent cx="4981575" cy="2495550"/>
            <wp:effectExtent l="0" t="0" r="0" b="0"/>
            <wp:wrapTopAndBottom/>
            <wp:docPr id="4" name="图表 4"/>
            <wp:cNvGraphicFramePr>
              <a:graphicFrameLocks noChangeAspect="0"/>
            </wp:cNvGraphicFramePr>
            <a:graphic>
              <a:graphicData uri="http://schemas.openxmlformats.org/drawingml/2006/chart">
                <c:chart xmlns:c="http://schemas.openxmlformats.org/drawingml/2006/chart" r:id="rId7"/>
              </a:graphicData>
            </a:graphic>
          </wp:anchor>
        </w:drawing>
      </w:r>
    </w:p>
    <w:p/>
    <w:p>
      <w:pPr>
        <w:pStyle w:val="15"/>
      </w:pPr>
    </w:p>
    <w:p>
      <w:pPr>
        <w:spacing w:line="600" w:lineRule="exact"/>
        <w:ind w:firstLineChars="200" w:firstLine="640"/>
        <w:outlineLvl w:val="1"/>
        <w:rPr>
          <w:rStyle w:val="2Char"/>
          <w:rFonts w:ascii="黑体" w:eastAsia="黑体"/>
          <w:b w:val="0"/>
        </w:rPr>
      </w:pPr>
      <w:bookmarkStart w:id="45" w:name="_Toc15396607"/>
      <w:bookmarkStart w:id="46" w:name="_Toc19453"/>
      <w:bookmarkStart w:id="47" w:name="_Toc15377209"/>
      <w:r>
        <w:rPr>
          <w:rFonts w:ascii="黑体" w:eastAsia="黑体" w:hint="eastAsia"/>
          <w:sz w:val="32"/>
          <w:szCs w:val="32"/>
        </w:rPr>
        <w:t>五、</w:t>
      </w:r>
      <w:r>
        <w:rPr>
          <w:rFonts w:ascii="黑体" w:eastAsia="黑体" w:hint="eastAsia"/>
          <w:b/>
          <w:sz w:val="32"/>
          <w:szCs w:val="32"/>
        </w:rPr>
        <w:t>一</w:t>
      </w:r>
      <w:r>
        <w:rPr>
          <w:rStyle w:val="2Char"/>
          <w:rFonts w:ascii="黑体" w:eastAsia="黑体" w:hint="eastAsia"/>
          <w:b w:val="0"/>
        </w:rPr>
        <w:t>般公共预算财政拨款支出决算情况说明</w:t>
      </w:r>
      <w:bookmarkEnd w:id="45"/>
      <w:bookmarkEnd w:id="46"/>
      <w:bookmarkEnd w:id="47"/>
    </w:p>
    <w:p>
      <w:pPr>
        <w:spacing w:line="600" w:lineRule="exact"/>
        <w:ind w:firstLineChars="200" w:firstLine="640"/>
        <w:outlineLvl w:val="2"/>
        <w:rPr>
          <w:rFonts w:ascii="仿宋" w:eastAsia="仿宋"/>
          <w:b/>
          <w:sz w:val="32"/>
          <w:szCs w:val="32"/>
        </w:rPr>
      </w:pPr>
      <w:bookmarkStart w:id="48" w:name="_Toc15377210"/>
      <w:bookmarkStart w:id="49" w:name="_Toc337"/>
      <w:r>
        <w:rPr>
          <w:rFonts w:ascii="仿宋" w:eastAsia="仿宋" w:hint="eastAsia"/>
          <w:b/>
          <w:sz w:val="32"/>
          <w:szCs w:val="32"/>
        </w:rPr>
        <w:t>（一）一般公共预算财政拨款支出决算总体情况</w:t>
      </w:r>
      <w:bookmarkEnd w:id="48"/>
      <w:bookmarkEnd w:id="49"/>
    </w:p>
    <w:p>
      <w:pPr>
        <w:widowControl/>
        <w:adjustRightInd w:val="0"/>
        <w:snapToGrid w:val="0"/>
        <w:spacing w:line="580" w:lineRule="exact"/>
        <w:ind w:firstLineChars="200" w:firstLine="640"/>
        <w:contextualSpacing/>
        <w:jc w:val="left"/>
        <w:rPr>
          <w:rFonts w:ascii="仿宋_GB2312" w:cs="宋体" w:hAnsi="仿宋_GB2312"/>
          <w:kern w:val="0"/>
          <w:szCs w:val="32"/>
          <w:shd w:val="clear" w:color="auto" w:fill="FFFFFF"/>
        </w:rPr>
      </w:pPr>
      <w:r>
        <w:rPr>
          <w:rFonts w:ascii="仿宋_GB2312" w:eastAsia="仿宋_GB2312" w:hint="eastAsia"/>
          <w:sz w:val="32"/>
          <w:szCs w:val="32"/>
        </w:rPr>
        <w:t>2022年一般公共预算财政拨款支出771.44万元，占本年支出合计的100%。与2021年相比，一般公共预算财政拨款支出增加119.13万元。主要变动原因是</w:t>
      </w:r>
      <w:r>
        <w:rPr>
          <w:rFonts w:ascii="仿宋_GB2312" w:cs="宋体" w:hAnsi="仿宋_GB2312" w:hint="eastAsia"/>
          <w:kern w:val="0"/>
          <w:sz w:val="32"/>
          <w:szCs w:val="32"/>
          <w:shd w:val="clear" w:color="auto" w:fill="FFFFFF"/>
          <w:lang w:val="zh-CN"/>
        </w:rPr>
        <w:t>人员</w:t>
      </w:r>
      <w:r>
        <w:rPr>
          <w:rFonts w:ascii="仿宋" w:eastAsia="仿宋" w:cs="宋体" w:hint="eastAsia"/>
          <w:kern w:val="0"/>
          <w:sz w:val="32"/>
          <w:szCs w:val="32"/>
          <w:shd w:val="clear" w:color="auto" w:fill="FFFFFF"/>
          <w:lang w:val="zh-CN"/>
        </w:rPr>
        <w:t>工资、目标绩效及社保缴费基数的增长，</w:t>
      </w:r>
      <w:r>
        <w:rPr>
          <w:rFonts w:ascii="仿宋_GB2312" w:eastAsia="仿宋_GB2312" w:hint="eastAsia"/>
          <w:sz w:val="32"/>
          <w:szCs w:val="32"/>
        </w:rPr>
        <w:t>增加相应的基本工资及津贴补贴，以及离休人员工资增长及补发工资等人员经费的增加。</w:t>
      </w:r>
    </w:p>
    <w:p>
      <w:pPr>
        <w:spacing w:line="600" w:lineRule="exact"/>
        <w:ind w:firstLineChars="200" w:firstLine="640"/>
        <w:rPr>
          <w:rFonts w:ascii="仿宋_GB2312" w:eastAsia="仿宋_GB2312"/>
          <w:sz w:val="32"/>
          <w:szCs w:val="32"/>
        </w:rPr>
      </w:pPr>
    </w:p>
    <w:p>
      <w:pPr>
        <w:pStyle w:val="15"/>
        <w:rPr>
          <w:rFonts w:ascii="仿宋_GB2312" w:eastAsia="仿宋_GB2312"/>
          <w:sz w:val="32"/>
          <w:szCs w:val="32"/>
        </w:rPr>
      </w:pPr>
    </w:p>
    <w:p>
      <w:pPr>
        <w:rPr>
          <w:rFonts w:ascii="仿宋_GB2312" w:eastAsia="仿宋_GB2312"/>
          <w:sz w:val="32"/>
          <w:szCs w:val="32"/>
        </w:rPr>
      </w:pPr>
      <w:r>
        <w:rPr>
          <w:rFonts w:ascii="仿宋" w:eastAsia="仿宋" w:hint="eastAsia"/>
          <w:color w:val="000000"/>
          <w:sz w:val="32"/>
          <w:szCs w:val="32"/>
        </w:rPr>
        <w:drawing>
          <wp:anchor distT="0" distB="0" distL="114300" distR="114300" simplePos="0" relativeHeight="25" behindDoc="0" locked="0" layoutInCell="1" hidden="0" allowOverlap="1">
            <wp:simplePos x="0" y="0"/>
            <wp:positionH relativeFrom="column">
              <wp:posOffset>226695</wp:posOffset>
            </wp:positionH>
            <wp:positionV relativeFrom="paragraph">
              <wp:posOffset>400685</wp:posOffset>
            </wp:positionV>
            <wp:extent cx="4876800" cy="2266950"/>
            <wp:effectExtent l="0" t="0" r="0" b="0"/>
            <wp:wrapTopAndBottom/>
            <wp:docPr id="5" name="图表 2"/>
            <wp:cNvGraphicFramePr>
              <a:graphicFrameLocks noChangeAspect="0"/>
            </wp:cNvGraphicFramePr>
            <a:graphic>
              <a:graphicData uri="http://schemas.openxmlformats.org/drawingml/2006/chart">
                <c:chart xmlns:c="http://schemas.openxmlformats.org/drawingml/2006/chart" r:id="rId8"/>
              </a:graphicData>
            </a:graphic>
          </wp:anchor>
        </w:drawing>
      </w:r>
    </w:p>
    <w:p>
      <w:pPr>
        <w:pStyle w:val="15"/>
        <w:ind w:leftChars="0" w:left="0" w:firstLineChars="0" w:firstLine="0"/>
        <w:rPr>
          <w:rFonts w:ascii="仿宋_GB2312" w:eastAsia="仿宋_GB2312"/>
          <w:sz w:val="32"/>
          <w:szCs w:val="32"/>
        </w:rPr>
      </w:pPr>
    </w:p>
    <w:p/>
    <w:p>
      <w:pPr>
        <w:spacing w:line="600" w:lineRule="exact"/>
        <w:ind w:firstLineChars="200" w:firstLine="640"/>
        <w:outlineLvl w:val="2"/>
        <w:rPr>
          <w:rFonts w:ascii="仿宋" w:eastAsia="仿宋"/>
          <w:b/>
          <w:sz w:val="32"/>
          <w:szCs w:val="32"/>
        </w:rPr>
      </w:pPr>
      <w:bookmarkStart w:id="50" w:name="_Toc31519"/>
      <w:bookmarkStart w:id="51" w:name="_Toc15377211"/>
      <w:r>
        <w:rPr>
          <w:rFonts w:ascii="仿宋" w:eastAsia="仿宋" w:hint="eastAsia"/>
          <w:b/>
          <w:sz w:val="32"/>
          <w:szCs w:val="32"/>
        </w:rPr>
        <w:t>（二）一般公共预算财政拨款支出决算结构情况</w:t>
      </w:r>
      <w:bookmarkEnd w:id="50"/>
      <w:bookmarkEnd w:id="51"/>
    </w:p>
    <w:p>
      <w:pPr>
        <w:spacing w:line="600" w:lineRule="exact"/>
        <w:ind w:firstLineChars="200" w:firstLine="640"/>
        <w:rPr>
          <w:rFonts w:ascii="仿宋_GB2312" w:eastAsia="仿宋_GB2312"/>
          <w:sz w:val="32"/>
          <w:szCs w:val="32"/>
        </w:rPr>
      </w:pPr>
      <w:r>
        <w:rPr>
          <w:rFonts w:ascii="仿宋_GB2312" w:eastAsia="仿宋_GB2312" w:hint="eastAsia"/>
          <w:sz w:val="32"/>
          <w:szCs w:val="32"/>
        </w:rPr>
        <w:t>2022年一般公共预算财政拨款支出771.44万元，主要用于以下方面:一般公共服务（类）支出635.99万元，占82.44%；社会保障和就业（类）支出78.34万元，占10.16%；卫生健康支出12.63万元，占1.64%；住房保障支出44.48万元，占5.77%。</w:t>
      </w:r>
    </w:p>
    <w:p>
      <w:pPr>
        <w:pStyle w:val="15"/>
        <w:rPr>
          <w:rFonts w:ascii="仿宋_GB2312" w:eastAsia="仿宋_GB2312"/>
          <w:sz w:val="32"/>
          <w:szCs w:val="32"/>
        </w:rPr>
      </w:pPr>
      <w:r>
        <w:rPr>
          <w:rFonts w:ascii="仿宋" w:eastAsia="仿宋" w:hint="eastAsia"/>
          <w:color w:val="000000"/>
          <w:sz w:val="32"/>
          <w:szCs w:val="32"/>
        </w:rPr>
        <w:drawing>
          <wp:anchor distT="0" distB="0" distL="114300" distR="114300" simplePos="0" relativeHeight="27" behindDoc="0" locked="0" layoutInCell="1" hidden="0" allowOverlap="1">
            <wp:simplePos x="0" y="0"/>
            <wp:positionH relativeFrom="column">
              <wp:posOffset>188595</wp:posOffset>
            </wp:positionH>
            <wp:positionV relativeFrom="paragraph">
              <wp:posOffset>548005</wp:posOffset>
            </wp:positionV>
            <wp:extent cx="5206365" cy="2826385"/>
            <wp:effectExtent l="0" t="0" r="0" b="0"/>
            <wp:wrapTopAndBottom/>
            <wp:docPr id="6" name="图表 4"/>
            <wp:cNvGraphicFramePr>
              <a:graphicFrameLocks noChangeAspect="0"/>
            </wp:cNvGraphicFramePr>
            <a:graphic>
              <a:graphicData uri="http://schemas.openxmlformats.org/drawingml/2006/chart">
                <c:chart xmlns:c="http://schemas.openxmlformats.org/drawingml/2006/chart" r:id="rId9"/>
              </a:graphicData>
            </a:graphic>
          </wp:anchor>
        </w:drawing>
      </w:r>
    </w:p>
    <w:p>
      <w:pPr>
        <w:pStyle w:val="15"/>
        <w:ind w:leftChars="0" w:left="0" w:firstLineChars="0" w:firstLine="0"/>
      </w:pPr>
    </w:p>
    <w:p/>
    <w:p>
      <w:pPr>
        <w:spacing w:line="600" w:lineRule="exact"/>
        <w:ind w:firstLineChars="200" w:firstLine="640"/>
        <w:outlineLvl w:val="2"/>
        <w:rPr>
          <w:rFonts w:ascii="仿宋" w:eastAsia="仿宋"/>
          <w:b/>
          <w:sz w:val="32"/>
          <w:szCs w:val="32"/>
        </w:rPr>
      </w:pPr>
      <w:bookmarkStart w:id="52" w:name="_Toc27396"/>
      <w:bookmarkStart w:id="53" w:name="_Toc15377212"/>
      <w:r>
        <w:rPr>
          <w:rFonts w:ascii="仿宋" w:eastAsia="仿宋" w:hint="eastAsia"/>
          <w:b/>
          <w:sz w:val="32"/>
          <w:szCs w:val="32"/>
        </w:rPr>
        <w:t>（三）一般公共预算财政拨款支出决算具体情况</w:t>
      </w:r>
      <w:bookmarkEnd w:id="52"/>
      <w:bookmarkEnd w:id="53"/>
    </w:p>
    <w:p>
      <w:pPr>
        <w:spacing w:line="600" w:lineRule="exact"/>
        <w:ind w:firstLineChars="200" w:firstLine="640"/>
        <w:rPr>
          <w:rFonts w:ascii="仿宋_GB2312" w:eastAsia="仿宋_GB2312"/>
          <w:sz w:val="32"/>
          <w:szCs w:val="32"/>
        </w:rPr>
      </w:pPr>
      <w:bookmarkStart w:id="54" w:name="_Toc15378460"/>
      <w:bookmarkStart w:id="55" w:name="_Toc15377213"/>
      <w:bookmarkStart w:id="56" w:name="_Toc15377444"/>
      <w:r>
        <w:rPr>
          <w:rFonts w:ascii="仿宋_GB2312" w:eastAsia="仿宋_GB2312" w:hint="eastAsia"/>
          <w:sz w:val="32"/>
          <w:szCs w:val="32"/>
        </w:rPr>
        <w:t>2022年一般公共预算支出决算数为771.44，完成预算100%。其中：</w:t>
      </w:r>
      <w:bookmarkEnd w:id="54"/>
      <w:bookmarkEnd w:id="55"/>
      <w:bookmarkEnd w:id="56"/>
    </w:p>
    <w:p>
      <w:pPr>
        <w:spacing w:line="600" w:lineRule="exact"/>
        <w:ind w:firstLineChars="200" w:firstLine="640"/>
        <w:rPr>
          <w:rFonts w:ascii="仿宋_GB2312" w:eastAsia="仿宋_GB2312"/>
          <w:sz w:val="32"/>
          <w:szCs w:val="32"/>
        </w:rPr>
      </w:pPr>
      <w:r>
        <w:rPr>
          <w:rFonts w:ascii="仿宋_GB2312" w:eastAsia="仿宋_GB2312" w:hint="eastAsia"/>
          <w:sz w:val="32"/>
          <w:szCs w:val="32"/>
        </w:rPr>
        <w:t>1.一般公共服务支出2010401决算为635.99万元，完成预算100%，无差异。</w:t>
      </w:r>
    </w:p>
    <w:p>
      <w:pPr>
        <w:spacing w:line="600" w:lineRule="exact"/>
        <w:ind w:firstLineChars="200" w:firstLine="640"/>
        <w:rPr>
          <w:rFonts w:ascii="仿宋_GB2312" w:eastAsia="仿宋_GB2312"/>
          <w:sz w:val="32"/>
          <w:szCs w:val="32"/>
        </w:rPr>
      </w:pPr>
      <w:r>
        <w:rPr>
          <w:rFonts w:ascii="仿宋_GB2312" w:eastAsia="仿宋_GB2312" w:hint="eastAsia"/>
          <w:sz w:val="32"/>
          <w:szCs w:val="32"/>
        </w:rPr>
        <w:t>2.社会保障和就业支出2080505及2080506，决算为78.33万元，完成预算100%，无差异。</w:t>
      </w:r>
    </w:p>
    <w:p>
      <w:pPr>
        <w:spacing w:line="600" w:lineRule="exact"/>
        <w:ind w:firstLineChars="200" w:firstLine="640"/>
        <w:rPr>
          <w:rFonts w:ascii="仿宋_GB2312" w:eastAsia="仿宋_GB2312"/>
          <w:sz w:val="32"/>
          <w:szCs w:val="32"/>
        </w:rPr>
      </w:pPr>
      <w:r>
        <w:rPr>
          <w:rFonts w:ascii="仿宋_GB2312" w:eastAsia="仿宋_GB2312" w:hint="eastAsia"/>
          <w:sz w:val="32"/>
          <w:szCs w:val="32"/>
        </w:rPr>
        <w:t>3.医疗卫生与计划生育支出2101101决算为12.62万元，完成预算100%，无差异。</w:t>
      </w:r>
    </w:p>
    <w:p>
      <w:pPr>
        <w:spacing w:line="600" w:lineRule="exact"/>
        <w:ind w:firstLineChars="200" w:firstLine="640"/>
        <w:rPr>
          <w:rFonts w:ascii="仿宋_GB2312" w:eastAsia="仿宋_GB2312"/>
          <w:sz w:val="32"/>
          <w:szCs w:val="32"/>
        </w:rPr>
      </w:pPr>
      <w:r>
        <w:rPr>
          <w:rFonts w:ascii="仿宋_GB2312" w:eastAsia="仿宋_GB2312" w:hint="eastAsia"/>
          <w:sz w:val="32"/>
          <w:szCs w:val="32"/>
        </w:rPr>
        <w:t>4.住房保障支出2210201决算为 44.48万元，完成预算100%，无差异。</w:t>
      </w:r>
    </w:p>
    <w:p>
      <w:pPr>
        <w:tabs>
          <w:tab w:val="right" w:pos="8306"/>
        </w:tabs>
        <w:spacing w:line="600" w:lineRule="exact"/>
        <w:ind w:firstLine="640"/>
        <w:outlineLvl w:val="1"/>
        <w:rPr>
          <w:rStyle w:val="2Char"/>
        </w:rPr>
      </w:pPr>
      <w:bookmarkStart w:id="57" w:name="_Toc15377214"/>
      <w:bookmarkStart w:id="58" w:name="_Toc15396608"/>
      <w:bookmarkStart w:id="59" w:name="_Toc17240"/>
      <w:r>
        <w:rPr>
          <w:rFonts w:ascii="黑体" w:eastAsia="黑体" w:hint="eastAsia"/>
          <w:sz w:val="32"/>
          <w:szCs w:val="32"/>
        </w:rPr>
        <w:t>六</w:t>
      </w:r>
      <w:r>
        <w:rPr>
          <w:rFonts w:ascii="黑体" w:eastAsia="黑体" w:hint="eastAsia"/>
          <w:b/>
          <w:sz w:val="32"/>
          <w:szCs w:val="32"/>
        </w:rPr>
        <w:t>、一</w:t>
      </w:r>
      <w:r>
        <w:rPr>
          <w:rStyle w:val="2Char"/>
          <w:rFonts w:ascii="黑体" w:eastAsia="黑体" w:hint="eastAsia"/>
          <w:b w:val="0"/>
        </w:rPr>
        <w:t>般公共预算财政拨款基本支出决算情况说明</w:t>
      </w:r>
      <w:bookmarkEnd w:id="57"/>
      <w:bookmarkEnd w:id="58"/>
      <w:bookmarkEnd w:id="59"/>
      <w:r>
        <w:rPr>
          <w:rStyle w:val="2Char"/>
          <w:rFonts w:ascii="黑体" w:eastAsia="黑体"/>
          <w:b w:val="0"/>
        </w:rPr>
        <w:tab/>
      </w:r>
    </w:p>
    <w:p>
      <w:pPr>
        <w:widowControl/>
        <w:adjustRightInd w:val="0"/>
        <w:snapToGrid w:val="0"/>
        <w:spacing w:line="580" w:lineRule="exact"/>
        <w:ind w:firstLineChars="200" w:firstLine="640"/>
        <w:contextualSpacing/>
        <w:rPr>
          <w:rFonts w:ascii="仿宋_GB2312" w:cs="宋体" w:hAnsi="仿宋_GB2312"/>
          <w:color w:val="000000"/>
          <w:kern w:val="0"/>
          <w:szCs w:val="32"/>
          <w:shd w:val="clear" w:color="auto" w:fill="FFFFFF"/>
        </w:rPr>
      </w:pPr>
      <w:r>
        <w:rPr>
          <w:rFonts w:ascii="仿宋_GB2312" w:eastAsia="仿宋_GB2312" w:hint="eastAsia"/>
          <w:sz w:val="32"/>
          <w:szCs w:val="32"/>
        </w:rPr>
        <w:t>2022年度我中心基本支出为763.75万元，其中：工资福利支出618.23万元，主要包括（基本工资 138.92万元、津贴补贴300.04万元、奖金34.57万元、伙食补助费5万元、机关事业单位基本养老保险缴费52.23万元、职业年金缴费26.11万元、职工基本医疗保险缴费12.63万元、住房公积金44.48万元、其他工资福利支出4.25万元）；商品和服务支出40.35万元，主要包括（办公费3.24万元、电费3.66万元、水费0.12万元、邮电费7.76万元、差旅费7.26万元、维修（护）费0.38万元、培训费1.27万元、劳务费0.81万元、委托业务费3.92万元、福利费7.44万元、公务用车运行维护费4.49万元）；对个人和家庭的补助105.18万元，主要包括（离休费16.55万元、生活补助88.61万元、奖励金0.02万元）；资本性支出</w:t>
      </w:r>
      <w:r>
        <w:rPr>
          <w:rFonts w:ascii="仿宋_GB2312" w:cs="宋体" w:hAnsi="仿宋_GB2312" w:hint="eastAsia"/>
          <w:color w:val="000000"/>
          <w:kern w:val="0"/>
          <w:sz w:val="32"/>
          <w:szCs w:val="32"/>
          <w:shd w:val="clear" w:color="auto" w:fill="FFFFFF"/>
        </w:rPr>
        <w:t>7.69万元。其中6.38万元用于购买国产电脑及配套打印设备，1.31万元用于办公室维修费。</w:t>
      </w:r>
      <w:r>
        <w:rPr>
          <w:rFonts w:ascii="仿宋_GB2312" w:eastAsia="仿宋_GB2312" w:hint="eastAsia"/>
          <w:sz w:val="32"/>
          <w:szCs w:val="32"/>
        </w:rPr>
        <w:t>我中心严格执行部门正常运行经费保障机制的相关规定，编足、编实基本支出年度预算，人员经费按编制内实有人数规定的政策标准进行编制，足额编制人员经费预算，公用经费本着“勤俭节约、保障运转”的原则，根据公用经费定额标准及单位实际开支足额编制。在年度预算执行中，全年无超范围、超标准发放津补贴、奖金的现象，未以任何名义违规发放个人补助，全年支出基本保障了中心的正常运转。</w:t>
      </w:r>
    </w:p>
    <w:p>
      <w:pPr>
        <w:spacing w:line="600" w:lineRule="exact"/>
        <w:ind w:firstLine="640"/>
        <w:rPr>
          <w:rFonts w:ascii="仿宋" w:eastAsia="仿宋"/>
          <w:b/>
          <w:sz w:val="32"/>
          <w:szCs w:val="32"/>
        </w:rPr>
      </w:pPr>
    </w:p>
    <w:p>
      <w:pPr>
        <w:spacing w:line="600" w:lineRule="exact"/>
        <w:ind w:firstLine="640"/>
        <w:outlineLvl w:val="1"/>
        <w:rPr>
          <w:rStyle w:val="2Char"/>
          <w:rFonts w:ascii="黑体" w:eastAsia="黑体"/>
          <w:b w:val="0"/>
        </w:rPr>
      </w:pPr>
      <w:bookmarkStart w:id="60" w:name="_Toc17028"/>
      <w:bookmarkStart w:id="61" w:name="_Toc15396609"/>
      <w:bookmarkStart w:id="62" w:name="_Toc15377215"/>
      <w:r>
        <w:rPr>
          <w:rFonts w:ascii="黑体" w:eastAsia="黑体" w:hint="eastAsia"/>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60"/>
      <w:bookmarkEnd w:id="61"/>
      <w:bookmarkEnd w:id="62"/>
    </w:p>
    <w:p>
      <w:pPr>
        <w:spacing w:line="600" w:lineRule="exact"/>
        <w:ind w:firstLine="640"/>
        <w:outlineLvl w:val="2"/>
        <w:rPr>
          <w:rFonts w:ascii="仿宋" w:eastAsia="仿宋"/>
          <w:b/>
          <w:sz w:val="32"/>
          <w:szCs w:val="32"/>
        </w:rPr>
      </w:pPr>
      <w:bookmarkStart w:id="63" w:name="_Toc15377216"/>
      <w:bookmarkStart w:id="64" w:name="_Toc27637"/>
      <w:r>
        <w:rPr>
          <w:rFonts w:ascii="仿宋" w:eastAsia="仿宋" w:hint="eastAsia"/>
          <w:b/>
          <w:sz w:val="32"/>
          <w:szCs w:val="32"/>
        </w:rPr>
        <w:t>（一）“三公”经费财政拨款支出决算总体情况说明</w:t>
      </w:r>
      <w:bookmarkEnd w:id="63"/>
      <w:bookmarkEnd w:id="64"/>
    </w:p>
    <w:p>
      <w:pPr>
        <w:spacing w:line="600" w:lineRule="exact"/>
        <w:ind w:firstLineChars="200" w:firstLine="640"/>
        <w:rPr>
          <w:rFonts w:ascii="仿宋_GB2312" w:eastAsia="仿宋_GB2312"/>
          <w:sz w:val="32"/>
          <w:szCs w:val="32"/>
        </w:rPr>
      </w:pPr>
      <w:r>
        <w:rPr>
          <w:rFonts w:ascii="仿宋_GB2312" w:eastAsia="仿宋_GB2312" w:hint="eastAsia"/>
          <w:sz w:val="32"/>
          <w:szCs w:val="32"/>
        </w:rPr>
        <w:t>2022年度我中心三公经费共支出4.49万元，主要用于公务用车运行及维护费4.49万元，无公务接待费及因公出国费支出。公务用车运行维护费同比上年支出减少1.11万元，主要原因是今年单位职工出差次数少于去年,减少相应公务用车运行维护费。</w:t>
      </w:r>
    </w:p>
    <w:p>
      <w:pPr>
        <w:spacing w:line="600" w:lineRule="exact"/>
        <w:ind w:firstLine="640"/>
        <w:outlineLvl w:val="2"/>
        <w:rPr>
          <w:rFonts w:ascii="仿宋" w:eastAsia="仿宋"/>
          <w:b/>
          <w:sz w:val="32"/>
          <w:szCs w:val="32"/>
        </w:rPr>
      </w:pPr>
      <w:bookmarkStart w:id="65" w:name="_Toc15377217"/>
      <w:bookmarkStart w:id="66" w:name="_Toc31861"/>
      <w:r>
        <w:rPr>
          <w:rFonts w:ascii="仿宋" w:eastAsia="仿宋" w:hint="eastAsia"/>
          <w:b/>
          <w:sz w:val="32"/>
          <w:szCs w:val="32"/>
        </w:rPr>
        <w:t>（二）“三公”经费财政拨款支出决算具体情况说明</w:t>
      </w:r>
      <w:bookmarkEnd w:id="65"/>
      <w:bookmarkEnd w:id="66"/>
    </w:p>
    <w:p>
      <w:pPr>
        <w:widowControl/>
        <w:adjustRightInd w:val="0"/>
        <w:snapToGrid w:val="0"/>
        <w:spacing w:line="580" w:lineRule="exact"/>
        <w:ind w:firstLineChars="200" w:firstLine="640"/>
        <w:contextualSpacing/>
        <w:rPr>
          <w:rFonts w:ascii="仿宋_GB2312" w:cs="宋体" w:hAnsi="仿宋_GB2312"/>
          <w:color w:val="000000"/>
          <w:kern w:val="0"/>
          <w:szCs w:val="32"/>
          <w:shd w:val="clear" w:color="auto" w:fill="FFFFFF"/>
        </w:rPr>
      </w:pPr>
      <w:r>
        <w:rPr>
          <w:rFonts w:ascii="仿宋_GB2312" w:eastAsia="仿宋_GB2312" w:hint="eastAsia"/>
          <w:sz w:val="32"/>
          <w:szCs w:val="32"/>
        </w:rPr>
        <w:t>2022年“三公”经费财政拨款支出决算中，因公出国（境）费支出决算0万元，占0%；公务用车购置及运行维护费支出决算4.49万元，占100%；公务接待费支出决算0万元，占0%。具体情况如下：</w:t>
      </w:r>
    </w:p>
    <w:p>
      <w:pPr>
        <w:widowControl/>
        <w:adjustRightInd w:val="0"/>
        <w:snapToGrid w:val="0"/>
        <w:spacing w:line="580" w:lineRule="exact"/>
        <w:ind w:firstLineChars="200" w:firstLine="640"/>
        <w:contextualSpacing/>
        <w:rPr>
          <w:rFonts w:ascii="仿宋_GB2312" w:eastAsia="仿宋_GB2312"/>
          <w:sz w:val="32"/>
          <w:szCs w:val="32"/>
        </w:rPr>
      </w:pPr>
      <w:r>
        <w:rPr>
          <w:rFonts w:ascii="仿宋_GB2312" w:eastAsia="仿宋_GB2312" w:hint="eastAsia"/>
          <w:sz w:val="32"/>
          <w:szCs w:val="32"/>
        </w:rPr>
        <w:t>1.因公出国（境）经费支出0万元，完成预算0%。全年安排因公出国（境）团组0次，出国（境）0人。（无）</w:t>
      </w:r>
    </w:p>
    <w:p>
      <w:pPr>
        <w:widowControl/>
        <w:adjustRightInd w:val="0"/>
        <w:snapToGrid w:val="0"/>
        <w:spacing w:line="580" w:lineRule="exact"/>
        <w:ind w:firstLineChars="200" w:firstLine="640"/>
        <w:contextualSpacing/>
        <w:rPr>
          <w:rFonts w:ascii="仿宋_GB2312" w:eastAsia="仿宋_GB2312"/>
          <w:sz w:val="32"/>
          <w:szCs w:val="32"/>
        </w:rPr>
      </w:pPr>
      <w:r>
        <w:rPr>
          <w:rFonts w:ascii="仿宋_GB2312" w:eastAsia="仿宋_GB2312" w:hint="eastAsia"/>
          <w:sz w:val="32"/>
          <w:szCs w:val="32"/>
        </w:rPr>
        <w:t>2.公务用车购置及运行维护费支出4.49万元,完成预算100%。公务用车购置及运行维护费支出决算比2021年减少1.11万元。主要原因是今年单位职工出差次数少于去年,减少相应公务用车运行维护费。</w:t>
      </w:r>
    </w:p>
    <w:p>
      <w:pPr>
        <w:widowControl/>
        <w:adjustRightInd w:val="0"/>
        <w:snapToGrid w:val="0"/>
        <w:spacing w:line="580" w:lineRule="exact"/>
        <w:ind w:firstLineChars="200" w:firstLine="640"/>
        <w:contextualSpacing/>
        <w:rPr>
          <w:rFonts w:ascii="仿宋_GB2312" w:eastAsia="仿宋_GB2312"/>
          <w:sz w:val="32"/>
          <w:szCs w:val="32"/>
        </w:rPr>
      </w:pPr>
      <w:r>
        <w:rPr>
          <w:rFonts w:ascii="仿宋_GB2312" w:eastAsia="仿宋_GB2312" w:hint="eastAsia"/>
          <w:sz w:val="32"/>
          <w:szCs w:val="32"/>
        </w:rPr>
        <w:t>3.公务接待费支出0万元，完成预算0%。（无）</w:t>
      </w:r>
      <w:bookmarkStart w:id="67" w:name="_Toc15396610"/>
      <w:bookmarkStart w:id="68" w:name="_Toc15377218"/>
    </w:p>
    <w:p>
      <w:pPr>
        <w:spacing w:line="600" w:lineRule="exact"/>
        <w:outlineLvl w:val="1"/>
        <w:rPr>
          <w:rFonts w:ascii="黑体" w:eastAsia="黑体"/>
          <w:sz w:val="32"/>
          <w:szCs w:val="32"/>
        </w:rPr>
      </w:pPr>
    </w:p>
    <w:p>
      <w:pPr>
        <w:spacing w:line="600" w:lineRule="exact"/>
        <w:ind w:firstLineChars="200" w:firstLine="640"/>
        <w:outlineLvl w:val="1"/>
        <w:rPr>
          <w:rStyle w:val="2Char"/>
          <w:rFonts w:ascii="黑体" w:eastAsia="黑体"/>
        </w:rPr>
      </w:pPr>
      <w:bookmarkStart w:id="69" w:name="_Toc24431"/>
      <w:r>
        <w:rPr>
          <w:rFonts w:ascii="黑体" w:eastAsia="黑体" w:hint="eastAsia"/>
          <w:sz w:val="32"/>
          <w:szCs w:val="32"/>
        </w:rPr>
        <w:t>八、</w:t>
      </w:r>
      <w:r>
        <w:rPr>
          <w:rStyle w:val="2Char"/>
          <w:rFonts w:ascii="黑体" w:eastAsia="黑体" w:hint="eastAsia"/>
          <w:b w:val="0"/>
        </w:rPr>
        <w:t>政府性基金预算支出决算情况说明</w:t>
      </w:r>
      <w:bookmarkEnd w:id="67"/>
      <w:bookmarkEnd w:id="68"/>
      <w:bookmarkEnd w:id="69"/>
    </w:p>
    <w:p>
      <w:pPr>
        <w:spacing w:line="600" w:lineRule="exact"/>
        <w:ind w:firstLineChars="100" w:firstLine="320"/>
        <w:rPr>
          <w:rFonts w:ascii="仿宋_GB2312" w:eastAsia="仿宋_GB2312"/>
          <w:sz w:val="32"/>
          <w:szCs w:val="32"/>
        </w:rPr>
      </w:pPr>
    </w:p>
    <w:p>
      <w:pPr>
        <w:widowControl/>
        <w:adjustRightInd w:val="0"/>
        <w:snapToGrid w:val="0"/>
        <w:spacing w:line="580" w:lineRule="exact"/>
        <w:ind w:firstLineChars="200" w:firstLine="640"/>
        <w:contextualSpacing/>
        <w:rPr>
          <w:rFonts w:ascii="仿宋_GB2312" w:eastAsia="仿宋_GB2312"/>
          <w:sz w:val="32"/>
          <w:szCs w:val="32"/>
        </w:rPr>
      </w:pPr>
      <w:r>
        <w:rPr>
          <w:rFonts w:ascii="仿宋_GB2312" w:eastAsia="仿宋_GB2312" w:hint="eastAsia"/>
          <w:sz w:val="32"/>
          <w:szCs w:val="32"/>
        </w:rPr>
        <w:t>2022年政府性基金预算财政拨款支出0万元。（无）</w:t>
      </w:r>
    </w:p>
    <w:p>
      <w:pPr>
        <w:spacing w:line="600" w:lineRule="exact"/>
        <w:ind w:firstLine="640"/>
        <w:rPr>
          <w:rFonts w:ascii="仿宋_GB2312" w:eastAsia="仿宋_GB2312"/>
          <w:sz w:val="32"/>
          <w:szCs w:val="32"/>
        </w:rPr>
      </w:pPr>
    </w:p>
    <w:p>
      <w:pPr>
        <w:numPr>
          <w:ilvl w:val="0"/>
          <w:numId w:val="2"/>
        </w:numPr>
        <w:spacing w:line="600" w:lineRule="exact"/>
        <w:ind w:left="0" w:firstLine="640"/>
        <w:outlineLvl w:val="1"/>
        <w:rPr>
          <w:rStyle w:val="2Char"/>
          <w:rFonts w:ascii="黑体" w:eastAsia="黑体"/>
          <w:b w:val="0"/>
        </w:rPr>
      </w:pPr>
      <w:bookmarkStart w:id="70" w:name="_Toc15377219"/>
      <w:bookmarkStart w:id="71" w:name="_Toc2114"/>
      <w:bookmarkStart w:id="72" w:name="_Toc15396611"/>
      <w:r>
        <w:rPr>
          <w:rStyle w:val="2Char"/>
          <w:rFonts w:ascii="黑体" w:eastAsia="黑体" w:hint="eastAsia"/>
          <w:b w:val="0"/>
        </w:rPr>
        <w:t>国有资本经营预算支出决算情况说明</w:t>
      </w:r>
      <w:bookmarkEnd w:id="70"/>
      <w:bookmarkEnd w:id="71"/>
      <w:bookmarkEnd w:id="72"/>
    </w:p>
    <w:p>
      <w:pPr>
        <w:widowControl/>
        <w:adjustRightInd w:val="0"/>
        <w:snapToGrid w:val="0"/>
        <w:spacing w:line="580" w:lineRule="exact"/>
        <w:ind w:firstLineChars="200" w:firstLine="420"/>
        <w:contextualSpacing/>
        <w:rPr>
          <w:rFonts w:ascii="仿宋_GB2312" w:cs="宋体" w:hAnsi="仿宋_GB2312"/>
          <w:color w:val="000000"/>
          <w:kern w:val="0"/>
          <w:szCs w:val="32"/>
          <w:shd w:val="clear" w:color="auto" w:fill="FFFFFF"/>
        </w:rPr>
      </w:pPr>
    </w:p>
    <w:p>
      <w:pPr>
        <w:widowControl/>
        <w:adjustRightInd w:val="0"/>
        <w:snapToGrid w:val="0"/>
        <w:spacing w:line="580" w:lineRule="exact"/>
        <w:ind w:firstLineChars="200" w:firstLine="640"/>
        <w:contextualSpacing/>
        <w:rPr>
          <w:rFonts w:ascii="仿宋_GB2312" w:eastAsia="仿宋_GB2312"/>
          <w:sz w:val="32"/>
          <w:szCs w:val="32"/>
        </w:rPr>
      </w:pPr>
      <w:r>
        <w:rPr>
          <w:rFonts w:ascii="仿宋_GB2312" w:eastAsia="仿宋_GB2312" w:hint="eastAsia"/>
          <w:sz w:val="32"/>
          <w:szCs w:val="32"/>
        </w:rPr>
        <w:t>2022年国有资本经营预算财政拨款支出0万元。（无）</w:t>
      </w:r>
    </w:p>
    <w:p>
      <w:pPr>
        <w:spacing w:line="580" w:lineRule="exact"/>
        <w:jc w:val="center"/>
        <w:rPr>
          <w:rFonts w:ascii="方正小标宋简体" w:eastAsia="方正小标宋简体" w:cs="方正小标宋简体"/>
          <w:sz w:val="44"/>
          <w:szCs w:val="44"/>
        </w:rPr>
      </w:pPr>
    </w:p>
    <w:p>
      <w:pPr>
        <w:numPr>
          <w:ilvl w:val="0"/>
          <w:numId w:val="2"/>
        </w:numPr>
        <w:spacing w:line="600" w:lineRule="exact"/>
        <w:ind w:left="0" w:firstLine="640"/>
        <w:outlineLvl w:val="1"/>
        <w:rPr>
          <w:rStyle w:val="2Char"/>
          <w:rFonts w:ascii="黑体" w:eastAsia="黑体"/>
          <w:b w:val="0"/>
        </w:rPr>
      </w:pPr>
      <w:bookmarkStart w:id="73" w:name="_Toc15396612"/>
      <w:bookmarkStart w:id="74" w:name="_Toc10996"/>
      <w:bookmarkStart w:id="75" w:name="_Toc15377221"/>
      <w:r>
        <w:rPr>
          <w:rStyle w:val="2Char"/>
          <w:rFonts w:ascii="黑体" w:eastAsia="黑体" w:hint="eastAsia"/>
          <w:b w:val="0"/>
        </w:rPr>
        <w:t>其他重要事项的情况说明</w:t>
      </w:r>
      <w:bookmarkEnd w:id="73"/>
      <w:bookmarkEnd w:id="74"/>
      <w:bookmarkEnd w:id="75"/>
    </w:p>
    <w:p>
      <w:pPr>
        <w:spacing w:line="600" w:lineRule="exact"/>
        <w:ind w:firstLineChars="200" w:firstLine="640"/>
        <w:outlineLvl w:val="2"/>
        <w:rPr>
          <w:rFonts w:ascii="仿宋" w:eastAsia="仿宋"/>
          <w:sz w:val="32"/>
          <w:szCs w:val="32"/>
        </w:rPr>
      </w:pPr>
      <w:bookmarkStart w:id="76" w:name="_Toc15377222"/>
      <w:bookmarkStart w:id="77" w:name="_Toc29709"/>
      <w:r>
        <w:rPr>
          <w:rFonts w:ascii="仿宋" w:eastAsia="仿宋" w:hint="eastAsia"/>
          <w:b/>
          <w:sz w:val="32"/>
          <w:szCs w:val="32"/>
        </w:rPr>
        <w:t>（一）机关运行经费支出情况</w:t>
      </w:r>
      <w:bookmarkEnd w:id="76"/>
      <w:bookmarkEnd w:id="77"/>
    </w:p>
    <w:p>
      <w:pPr>
        <w:widowControl/>
        <w:adjustRightInd w:val="0"/>
        <w:snapToGrid w:val="0"/>
        <w:spacing w:line="580" w:lineRule="exact"/>
        <w:ind w:firstLineChars="200" w:firstLine="640"/>
        <w:contextualSpacing/>
        <w:rPr>
          <w:rFonts w:ascii="仿宋_GB2312" w:eastAsia="仿宋_GB2312"/>
          <w:sz w:val="32"/>
          <w:szCs w:val="32"/>
        </w:rPr>
      </w:pPr>
      <w:r>
        <w:rPr>
          <w:rFonts w:ascii="仿宋_GB2312" w:eastAsia="仿宋_GB2312" w:hint="eastAsia"/>
          <w:sz w:val="32"/>
          <w:szCs w:val="32"/>
        </w:rPr>
        <w:t>2022年，项目中心机关运行经费支出40.35万元，比2021年增加5.09万元，增长14.44%。主要变动原因是办公费、维修费、电费、差旅费等机关运行经费较去年有所增加。</w:t>
      </w:r>
    </w:p>
    <w:p>
      <w:pPr>
        <w:autoSpaceDE w:val="0"/>
        <w:autoSpaceDN w:val="0"/>
        <w:adjustRightInd w:val="0"/>
        <w:spacing w:line="600" w:lineRule="exact"/>
        <w:ind w:firstLineChars="200" w:firstLine="640"/>
        <w:jc w:val="left"/>
        <w:outlineLvl w:val="2"/>
        <w:rPr>
          <w:rFonts w:ascii="仿宋" w:eastAsia="仿宋"/>
          <w:b/>
          <w:sz w:val="32"/>
          <w:szCs w:val="32"/>
        </w:rPr>
      </w:pPr>
      <w:bookmarkStart w:id="78" w:name="_Toc15377223"/>
      <w:bookmarkStart w:id="79" w:name="_Toc11041"/>
      <w:r>
        <w:rPr>
          <w:rFonts w:ascii="仿宋" w:eastAsia="仿宋" w:hint="eastAsia"/>
          <w:b/>
          <w:sz w:val="32"/>
          <w:szCs w:val="32"/>
        </w:rPr>
        <w:t>（二）政府采购支出情况</w:t>
      </w:r>
      <w:bookmarkEnd w:id="78"/>
      <w:bookmarkEnd w:id="79"/>
    </w:p>
    <w:p>
      <w:pPr>
        <w:widowControl/>
        <w:adjustRightInd w:val="0"/>
        <w:snapToGrid w:val="0"/>
        <w:spacing w:line="580" w:lineRule="exact"/>
        <w:ind w:firstLineChars="200" w:firstLine="640"/>
        <w:contextualSpacing/>
        <w:rPr>
          <w:rFonts w:ascii="仿宋_GB2312" w:eastAsia="仿宋_GB2312"/>
          <w:sz w:val="32"/>
          <w:szCs w:val="32"/>
        </w:rPr>
      </w:pPr>
      <w:r>
        <w:rPr>
          <w:rFonts w:ascii="仿宋_GB2312" w:eastAsia="仿宋_GB2312" w:hint="eastAsia"/>
          <w:sz w:val="32"/>
          <w:szCs w:val="32"/>
        </w:rPr>
        <w:t>2022年，我中心政府采购支出总额6.38万元，其中：政府采购货物支出6.38万元，占政府采购支出总额的100%。</w:t>
      </w:r>
    </w:p>
    <w:p>
      <w:pPr>
        <w:autoSpaceDE w:val="0"/>
        <w:autoSpaceDN w:val="0"/>
        <w:adjustRightInd w:val="0"/>
        <w:spacing w:line="600" w:lineRule="exact"/>
        <w:ind w:firstLineChars="200" w:firstLine="640"/>
        <w:jc w:val="left"/>
        <w:outlineLvl w:val="2"/>
        <w:rPr>
          <w:rFonts w:ascii="仿宋" w:eastAsia="仿宋"/>
          <w:b/>
          <w:sz w:val="32"/>
          <w:szCs w:val="32"/>
        </w:rPr>
      </w:pPr>
      <w:bookmarkStart w:id="80" w:name="_Toc15377224"/>
      <w:bookmarkStart w:id="81" w:name="_Toc7419"/>
      <w:r>
        <w:rPr>
          <w:rFonts w:ascii="仿宋" w:eastAsia="仿宋" w:hint="eastAsia"/>
          <w:b/>
          <w:sz w:val="32"/>
          <w:szCs w:val="32"/>
        </w:rPr>
        <w:t>（三）国有资产占有使用情况</w:t>
      </w:r>
      <w:bookmarkEnd w:id="80"/>
      <w:bookmarkEnd w:id="81"/>
    </w:p>
    <w:p>
      <w:pPr>
        <w:widowControl/>
        <w:adjustRightInd w:val="0"/>
        <w:snapToGrid w:val="0"/>
        <w:spacing w:line="580" w:lineRule="exact"/>
        <w:ind w:firstLineChars="200" w:firstLine="640"/>
        <w:contextualSpacing/>
        <w:rPr>
          <w:rFonts w:ascii="仿宋_GB2312" w:eastAsia="仿宋_GB2312"/>
          <w:sz w:val="32"/>
          <w:szCs w:val="32"/>
        </w:rPr>
      </w:pPr>
      <w:r>
        <w:rPr>
          <w:rFonts w:ascii="仿宋_GB2312" w:eastAsia="仿宋_GB2312" w:hint="eastAsia"/>
          <w:sz w:val="32"/>
          <w:szCs w:val="32"/>
        </w:rPr>
        <w:t>截至2022年12月31日，我中心共有车辆1辆，其中：其他用车1辆，其他用车主要是用于日常公务用车。</w:t>
      </w:r>
    </w:p>
    <w:p>
      <w:pPr>
        <w:autoSpaceDE w:val="0"/>
        <w:autoSpaceDN w:val="0"/>
        <w:adjustRightInd w:val="0"/>
        <w:spacing w:line="600" w:lineRule="exact"/>
        <w:ind w:firstLineChars="200" w:firstLine="640"/>
        <w:jc w:val="left"/>
        <w:outlineLvl w:val="2"/>
        <w:rPr>
          <w:rFonts w:ascii="仿宋" w:eastAsia="仿宋"/>
          <w:b/>
          <w:sz w:val="32"/>
          <w:szCs w:val="32"/>
        </w:rPr>
      </w:pPr>
      <w:bookmarkStart w:id="82" w:name="_Toc22426"/>
      <w:r>
        <w:rPr>
          <w:rFonts w:ascii="仿宋" w:eastAsia="仿宋" w:hint="eastAsia"/>
          <w:b/>
          <w:sz w:val="32"/>
          <w:szCs w:val="32"/>
        </w:rPr>
        <w:t>（四）预算绩效管理情况</w:t>
      </w:r>
      <w:bookmarkEnd w:id="82"/>
    </w:p>
    <w:p>
      <w:pPr>
        <w:widowControl/>
        <w:adjustRightInd w:val="0"/>
        <w:snapToGrid w:val="0"/>
        <w:spacing w:line="580" w:lineRule="exact"/>
        <w:ind w:firstLineChars="200" w:firstLine="640"/>
        <w:contextualSpacing/>
        <w:rPr>
          <w:rFonts w:ascii="仿宋_GB2312" w:eastAsia="仿宋_GB2312"/>
          <w:sz w:val="32"/>
          <w:szCs w:val="32"/>
        </w:rPr>
      </w:pPr>
      <w:r>
        <w:rPr>
          <w:rFonts w:ascii="仿宋_GB2312" w:eastAsia="仿宋_GB2312" w:hint="eastAsia"/>
          <w:sz w:val="32"/>
          <w:szCs w:val="32"/>
        </w:rPr>
        <w:t>本部门对2022年部门整体开展绩效自评，《2022年项目中心部门整体绩效评价报告》见附件（第四部分）。</w:t>
      </w:r>
    </w:p>
    <w:p>
      <w:pPr>
        <w:widowControl/>
        <w:jc w:val="left"/>
        <w:rPr>
          <w:rFonts w:ascii="仿宋_GB2312" w:eastAsia="仿宋_GB2312"/>
          <w:b/>
          <w:sz w:val="32"/>
          <w:szCs w:val="32"/>
        </w:rPr>
      </w:pPr>
      <w:r>
        <w:rPr>
          <w:rFonts w:ascii="仿宋_GB2312" w:eastAsia="仿宋_GB2312"/>
          <w:b/>
          <w:sz w:val="32"/>
          <w:szCs w:val="32"/>
        </w:rPr>
        <w:br w:type="page"/>
      </w:r>
    </w:p>
    <w:p>
      <w:pPr>
        <w:numPr>
          <w:ilvl w:val="0"/>
          <w:numId w:val="3"/>
        </w:numPr>
        <w:spacing w:line="600" w:lineRule="exact"/>
        <w:ind w:left="0" w:firstLineChars="150" w:firstLine="660"/>
        <w:jc w:val="center"/>
        <w:outlineLvl w:val="0"/>
        <w:rPr>
          <w:rStyle w:val="1Char"/>
          <w:rFonts w:ascii="黑体" w:eastAsia="黑体"/>
          <w:b w:val="0"/>
        </w:rPr>
      </w:pPr>
      <w:bookmarkStart w:id="83" w:name="_Toc15396613"/>
      <w:bookmarkStart w:id="84" w:name="_Toc14058"/>
      <w:bookmarkStart w:id="85" w:name="_Toc15377225"/>
      <w:r>
        <w:rPr>
          <w:rFonts w:ascii="黑体" w:eastAsia="黑体" w:hint="eastAsia"/>
          <w:sz w:val="44"/>
          <w:szCs w:val="44"/>
        </w:rPr>
        <w:t>名</w:t>
      </w:r>
      <w:r>
        <w:rPr>
          <w:rStyle w:val="1Char"/>
          <w:rFonts w:ascii="黑体" w:eastAsia="黑体" w:hint="eastAsia"/>
          <w:b w:val="0"/>
        </w:rPr>
        <w:t>词解释</w:t>
      </w:r>
      <w:bookmarkEnd w:id="83"/>
      <w:bookmarkEnd w:id="84"/>
      <w:bookmarkEnd w:id="85"/>
    </w:p>
    <w:p>
      <w:pPr>
        <w:spacing w:line="600" w:lineRule="exact"/>
        <w:jc w:val="left"/>
        <w:rPr>
          <w:rFonts w:ascii="宋体"/>
          <w:b/>
          <w:sz w:val="44"/>
          <w:szCs w:val="44"/>
        </w:rPr>
      </w:pPr>
    </w:p>
    <w:p>
      <w:pPr>
        <w:pStyle w:val="29"/>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1.</w:t>
      </w:r>
      <w:r>
        <w:rPr>
          <w:rFonts w:ascii="仿宋_GB2312" w:eastAsia="仿宋_GB2312" w:hint="eastAsia"/>
          <w:color w:val="auto"/>
          <w:sz w:val="32"/>
          <w:szCs w:val="32"/>
        </w:rPr>
        <w:t>财政拨款收入：指单位从同级财政部门取得的财政预算资金。</w:t>
      </w:r>
    </w:p>
    <w:p>
      <w:pPr>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w:t>
      </w:r>
      <w:r>
        <w:rPr>
          <w:rFonts w:ascii="仿宋_GB2312" w:eastAsia="仿宋_GB2312" w:hint="eastAsia"/>
          <w:sz w:val="32"/>
          <w:szCs w:val="32"/>
        </w:rPr>
        <w:t>一般公共服务类：指保障机关事业单位正常运转，支持各机关单位履行职能，保障各机关部门的项目的支出。</w:t>
      </w:r>
    </w:p>
    <w:p>
      <w:pPr>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sz w:val="32"/>
          <w:szCs w:val="32"/>
        </w:rPr>
        <w:t>.</w:t>
      </w:r>
      <w:r>
        <w:rPr>
          <w:rFonts w:ascii="仿宋_GB2312" w:eastAsia="仿宋_GB2312" w:hint="eastAsia"/>
          <w:sz w:val="32"/>
          <w:szCs w:val="32"/>
        </w:rPr>
        <w:t>社会保障和就业类：</w:t>
      </w:r>
      <w:r>
        <w:rPr>
          <w:rFonts w:ascii="仿宋_GB2312" w:eastAsia="仿宋_GB2312" w:cs="仿宋" w:hint="eastAsia"/>
          <w:color w:val="000000"/>
          <w:sz w:val="32"/>
          <w:szCs w:val="32"/>
        </w:rPr>
        <w:t>指部门实施养老保险机制由单位给职工缴纳的养老保险费、职业年金支出。</w:t>
      </w:r>
    </w:p>
    <w:p>
      <w:pPr>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sz w:val="32"/>
          <w:szCs w:val="32"/>
        </w:rPr>
        <w:t>.</w:t>
      </w:r>
      <w:r>
        <w:rPr>
          <w:rFonts w:ascii="仿宋_GB2312" w:eastAsia="仿宋_GB2312" w:hint="eastAsia"/>
          <w:sz w:val="32"/>
          <w:szCs w:val="32"/>
        </w:rPr>
        <w:t>医疗卫生与计划生育类：</w:t>
      </w:r>
      <w:r>
        <w:rPr>
          <w:rFonts w:ascii="仿宋_GB2312" w:eastAsia="仿宋_GB2312" w:cs="仿宋" w:hint="eastAsia"/>
          <w:color w:val="000000"/>
          <w:sz w:val="32"/>
          <w:szCs w:val="32"/>
        </w:rPr>
        <w:t>指中心用于缴纳单位基本医疗保险支出。</w:t>
      </w:r>
    </w:p>
    <w:p>
      <w:pPr>
        <w:ind w:firstLineChars="200" w:firstLine="640"/>
        <w:rPr>
          <w:rFonts w:ascii="仿宋_GB2312" w:eastAsia="仿宋_GB2312"/>
          <w:sz w:val="32"/>
          <w:szCs w:val="32"/>
        </w:rPr>
      </w:pPr>
      <w:r>
        <w:rPr>
          <w:rFonts w:ascii="仿宋_GB2312" w:eastAsia="仿宋_GB2312" w:hint="eastAsia"/>
          <w:sz w:val="32"/>
          <w:szCs w:val="32"/>
        </w:rPr>
        <w:t>5</w:t>
      </w:r>
      <w:r>
        <w:rPr>
          <w:rFonts w:ascii="仿宋_GB2312" w:eastAsia="仿宋_GB2312"/>
          <w:sz w:val="32"/>
          <w:szCs w:val="32"/>
        </w:rPr>
        <w:t>.</w:t>
      </w:r>
      <w:r>
        <w:rPr>
          <w:rFonts w:ascii="仿宋_GB2312" w:eastAsia="仿宋_GB2312" w:hint="eastAsia"/>
          <w:sz w:val="32"/>
          <w:szCs w:val="32"/>
        </w:rPr>
        <w:t>基本支出：指为保障机构正常运转、完成日常工作任务而发生的人员支出和公用支出。</w:t>
      </w:r>
    </w:p>
    <w:p>
      <w:pPr>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sz w:val="32"/>
          <w:szCs w:val="32"/>
        </w:rPr>
        <w:t>.</w:t>
      </w:r>
      <w:r>
        <w:rPr>
          <w:rFonts w:ascii="仿宋_GB2312" w:eastAsia="仿宋_GB2312" w:hint="eastAsia"/>
          <w:sz w:val="32"/>
          <w:szCs w:val="32"/>
        </w:rPr>
        <w:t>项目支出：指在基本支出之外为完成特定行政任务和事业发展目标所发生的支出。</w:t>
      </w:r>
      <w:r>
        <w:rPr>
          <w:rFonts w:ascii="仿宋_GB2312" w:eastAsia="仿宋_GB2312"/>
          <w:sz w:val="32"/>
          <w:szCs w:val="32"/>
        </w:rPr>
        <w:t xml:space="preserve"> </w:t>
      </w:r>
    </w:p>
    <w:p>
      <w:pPr>
        <w:ind w:firstLineChars="200" w:firstLine="640"/>
        <w:rPr>
          <w:rFonts w:ascii="仿宋_GB2312" w:eastAsia="仿宋_GB2312"/>
          <w:sz w:val="32"/>
          <w:szCs w:val="32"/>
        </w:rPr>
      </w:pPr>
      <w:r>
        <w:rPr>
          <w:rFonts w:ascii="仿宋_GB2312" w:eastAsia="仿宋_GB2312" w:hint="eastAsia"/>
          <w:sz w:val="32"/>
          <w:szCs w:val="32"/>
        </w:rPr>
        <w:t>7</w:t>
      </w:r>
      <w:r>
        <w:rPr>
          <w:rFonts w:ascii="仿宋_GB2312" w:eastAsia="仿宋_GB2312"/>
          <w:sz w:val="32"/>
          <w:szCs w:val="32"/>
        </w:rPr>
        <w:t>.</w:t>
      </w:r>
      <w:r>
        <w:rPr>
          <w:rFonts w:ascii="仿宋_GB2312" w:eastAsia="仿宋_GB2312" w:hint="eastAsia"/>
          <w:sz w:val="32"/>
          <w:szCs w:val="32"/>
        </w:rPr>
        <w:t>经营支出：指事业单位在专业业务活动及其辅助活动之外开展非独立核算经营活动发生的支出。</w:t>
      </w:r>
    </w:p>
    <w:p>
      <w:pPr>
        <w:pStyle w:val="29"/>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8</w:t>
      </w:r>
      <w:r>
        <w:rPr>
          <w:rFonts w:ascii="仿宋_GB2312" w:eastAsia="仿宋_GB2312"/>
          <w:color w:val="auto"/>
          <w:sz w:val="32"/>
          <w:szCs w:val="32"/>
        </w:rPr>
        <w:t>.</w:t>
      </w:r>
      <w:r>
        <w:rPr>
          <w:rFonts w:ascii="仿宋_GB2312" w:eastAsia="仿宋_GB2312" w:hint="eastAsia"/>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9"/>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9</w:t>
      </w:r>
      <w:r>
        <w:rPr>
          <w:rFonts w:ascii="仿宋_GB2312" w:eastAsia="仿宋_GB2312"/>
          <w:color w:val="auto"/>
          <w:sz w:val="32"/>
          <w:szCs w:val="32"/>
        </w:rPr>
        <w:t>.</w:t>
      </w:r>
      <w:r>
        <w:rPr>
          <w:rFonts w:ascii="仿宋_GB2312" w:eastAsia="仿宋_GB2312" w:hint="eastAsia"/>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1Char"/>
          <w:rFonts w:ascii="黑体" w:eastAsia="黑体"/>
          <w:b w:val="0"/>
        </w:rPr>
      </w:pPr>
      <w:bookmarkStart w:id="86" w:name="_Toc15377226"/>
      <w:r>
        <w:rPr>
          <w:rFonts w:ascii="宋体"/>
          <w:b/>
          <w:sz w:val="44"/>
          <w:szCs w:val="44"/>
        </w:rPr>
        <w:br w:type="page"/>
      </w:r>
      <w:bookmarkStart w:id="87" w:name="_Toc15396614"/>
      <w:bookmarkStart w:id="88" w:name="_Toc27751"/>
      <w:r>
        <w:rPr>
          <w:rFonts w:ascii="黑体" w:eastAsia="黑体" w:hint="eastAsia"/>
          <w:sz w:val="44"/>
          <w:szCs w:val="44"/>
        </w:rPr>
        <w:t>第</w:t>
      </w:r>
      <w:r>
        <w:rPr>
          <w:rStyle w:val="1Char"/>
          <w:rFonts w:ascii="黑体" w:eastAsia="黑体" w:hint="eastAsia"/>
          <w:b w:val="0"/>
        </w:rPr>
        <w:t>四部分 附件</w:t>
      </w:r>
      <w:bookmarkEnd w:id="87"/>
      <w:bookmarkEnd w:id="88"/>
    </w:p>
    <w:p>
      <w:pPr>
        <w:spacing w:line="572" w:lineRule="exact"/>
        <w:jc w:val="left"/>
        <w:outlineLvl w:val="0"/>
        <w:rPr>
          <w:rFonts w:ascii="方正小标宋简体" w:eastAsia="方正小标宋简体" w:cs="方正小标宋简体"/>
          <w:sz w:val="44"/>
          <w:szCs w:val="44"/>
        </w:rPr>
      </w:pPr>
      <w:bookmarkStart w:id="89" w:name="_Toc3798"/>
      <w:r>
        <w:rPr>
          <w:rFonts w:ascii="黑体" w:eastAsia="黑体" w:cs="黑体" w:hint="eastAsia"/>
          <w:sz w:val="32"/>
          <w:szCs w:val="32"/>
        </w:rPr>
        <w:t>附件</w:t>
      </w:r>
      <w:bookmarkEnd w:id="89"/>
    </w:p>
    <w:p>
      <w:pPr>
        <w:widowControl/>
        <w:spacing w:line="580" w:lineRule="exact"/>
        <w:contextualSpacing/>
        <w:jc w:val="center"/>
        <w:rPr>
          <w:rFonts w:ascii="方正小标宋_GBK" w:eastAsia="方正小标宋_GBK" w:cs="方正小标宋_GBK"/>
          <w:bCs/>
          <w:sz w:val="44"/>
          <w:szCs w:val="44"/>
          <w:shd w:val="clear" w:color="auto" w:fill="FFFFFF"/>
        </w:rPr>
      </w:pPr>
      <w:r>
        <w:rPr>
          <w:rFonts w:ascii="方正小标宋_GBK" w:eastAsia="方正小标宋_GBK" w:cs="方正小标宋_GBK" w:hint="eastAsia"/>
          <w:bCs/>
          <w:sz w:val="44"/>
          <w:szCs w:val="44"/>
          <w:shd w:val="clear" w:color="auto" w:fill="FFFFFF"/>
        </w:rPr>
        <w:t>阿坝州项目推进服务中心</w:t>
      </w:r>
    </w:p>
    <w:p>
      <w:pPr>
        <w:widowControl/>
        <w:spacing w:line="580" w:lineRule="exact"/>
        <w:contextualSpacing/>
        <w:jc w:val="center"/>
        <w:rPr>
          <w:rFonts w:ascii="宋体"/>
          <w:b/>
          <w:sz w:val="44"/>
          <w:szCs w:val="44"/>
          <w:shd w:val="clear" w:color="auto" w:fill="FFFFFF"/>
        </w:rPr>
      </w:pPr>
      <w:r>
        <w:rPr>
          <w:rFonts w:ascii="方正小标宋_GBK" w:eastAsia="方正小标宋_GBK" w:cs="方正小标宋_GBK" w:hint="eastAsia"/>
          <w:bCs/>
          <w:sz w:val="44"/>
          <w:szCs w:val="44"/>
          <w:shd w:val="clear" w:color="auto" w:fill="FFFFFF"/>
        </w:rPr>
        <w:t>2022年部门整体支出绩效评价报告</w:t>
      </w:r>
    </w:p>
    <w:p>
      <w:pPr>
        <w:widowControl/>
        <w:adjustRightInd w:val="0"/>
        <w:snapToGrid w:val="0"/>
        <w:spacing w:line="580" w:lineRule="exact"/>
        <w:contextualSpacing/>
        <w:jc w:val="left"/>
        <w:rPr>
          <w:rFonts w:ascii="黑体" w:eastAsia="黑体" w:cs="宋体"/>
          <w:color w:val="000000"/>
          <w:kern w:val="0"/>
          <w:sz w:val="24"/>
          <w:szCs w:val="32"/>
          <w:shd w:val="clear" w:color="auto" w:fill="FFFFFF"/>
        </w:rPr>
      </w:pPr>
    </w:p>
    <w:p>
      <w:pPr>
        <w:widowControl/>
        <w:adjustRightInd w:val="0"/>
        <w:snapToGrid w:val="0"/>
        <w:spacing w:line="580" w:lineRule="exact"/>
        <w:ind w:firstLineChars="200" w:firstLine="420"/>
        <w:contextualSpacing/>
        <w:jc w:val="left"/>
        <w:rPr>
          <w:rFonts w:ascii="黑体" w:eastAsia="黑体" w:cs="宋体"/>
          <w:color w:val="000000"/>
          <w:kern w:val="0"/>
          <w:szCs w:val="32"/>
          <w:shd w:val="clear" w:color="auto" w:fill="FFFFFF"/>
          <w:lang w:val="zh-CN"/>
        </w:rPr>
      </w:pPr>
      <w:r>
        <w:rPr>
          <w:rFonts w:ascii="黑体" w:eastAsia="黑体" w:cs="宋体" w:hint="eastAsia"/>
          <w:color w:val="000000"/>
          <w:kern w:val="0"/>
          <w:szCs w:val="32"/>
          <w:shd w:val="clear" w:color="auto" w:fill="FFFFFF"/>
        </w:rPr>
        <w:t>一、</w:t>
      </w:r>
      <w:r>
        <w:rPr>
          <w:rFonts w:ascii="黑体" w:eastAsia="黑体" w:cs="宋体" w:hint="eastAsia"/>
          <w:color w:val="000000"/>
          <w:kern w:val="0"/>
          <w:szCs w:val="32"/>
          <w:shd w:val="clear" w:color="auto" w:fill="FFFFFF"/>
          <w:lang w:val="zh-CN"/>
        </w:rPr>
        <w:t>部门（单位）概况</w:t>
      </w:r>
    </w:p>
    <w:p>
      <w:pPr>
        <w:widowControl/>
        <w:adjustRightInd w:val="0"/>
        <w:snapToGrid w:val="0"/>
        <w:spacing w:line="580" w:lineRule="exact"/>
        <w:ind w:firstLineChars="200" w:firstLine="420"/>
        <w:contextualSpacing/>
        <w:jc w:val="left"/>
        <w:rPr>
          <w:rFonts w:ascii="楷体_GB2312" w:eastAsia="楷体_GB2312" w:cs="楷体_GB2312"/>
          <w:b/>
          <w:bCs/>
          <w:color w:val="000000"/>
          <w:kern w:val="0"/>
          <w:szCs w:val="32"/>
          <w:shd w:val="clear" w:color="auto" w:fill="FFFFFF"/>
          <w:lang w:val="zh-CN"/>
        </w:rPr>
      </w:pPr>
      <w:r>
        <w:rPr>
          <w:rFonts w:ascii="楷体_GB2312" w:eastAsia="楷体_GB2312" w:cs="楷体_GB2312" w:hint="eastAsia"/>
          <w:b/>
          <w:bCs/>
          <w:color w:val="000000"/>
          <w:kern w:val="0"/>
          <w:szCs w:val="32"/>
          <w:shd w:val="clear" w:color="auto" w:fill="FFFFFF"/>
          <w:lang w:val="zh-CN"/>
        </w:rPr>
        <w:t>（一）机构组成</w:t>
      </w:r>
    </w:p>
    <w:p>
      <w:pPr>
        <w:widowControl/>
        <w:adjustRightInd w:val="0"/>
        <w:snapToGrid w:val="0"/>
        <w:spacing w:line="580" w:lineRule="exact"/>
        <w:ind w:firstLineChars="200" w:firstLine="420"/>
        <w:contextualSpacing/>
        <w:jc w:val="left"/>
        <w:rPr>
          <w:rFonts w:ascii="仿宋_GB2312" w:cs="宋体" w:hAnsi="仿宋_GB2312"/>
          <w:color w:val="000000"/>
          <w:kern w:val="0"/>
          <w:szCs w:val="32"/>
          <w:shd w:val="clear" w:color="auto" w:fill="FFFFFF"/>
          <w:lang w:val="zh-CN"/>
        </w:rPr>
      </w:pPr>
      <w:r>
        <w:rPr>
          <w:rFonts w:ascii="仿宋_GB2312" w:cs="宋体" w:hAnsi="仿宋_GB2312" w:hint="eastAsia"/>
          <w:color w:val="000000"/>
          <w:kern w:val="0"/>
          <w:szCs w:val="32"/>
          <w:shd w:val="clear" w:color="auto" w:fill="FFFFFF"/>
          <w:lang w:val="zh-CN"/>
        </w:rPr>
        <w:t>按照《中共阿坝州委机构编制委员会关于调整州发展和改革委员会所属事业单位有关机构编制事项的批复》（阿编发〔2019〕43 号）规定，州项目推进服务中心（州铁路机场建设项目推进服务中心）为州发展和改革委员会所属正科级公益一类事业单位，保留参公管理。内设综合股、铁路机场建设股、项目推进服务股，各股室在委党组和机关各项目科室的指导下，围绕职能职责开展工作，各股室协同配合、形成合力，共同推进工作落实。</w:t>
      </w:r>
    </w:p>
    <w:p>
      <w:pPr>
        <w:widowControl/>
        <w:numPr>
          <w:ilvl w:val="0"/>
          <w:numId w:val="4"/>
        </w:numPr>
        <w:adjustRightInd w:val="0"/>
        <w:snapToGrid w:val="0"/>
        <w:spacing w:line="580" w:lineRule="exact"/>
        <w:ind w:left="0" w:firstLineChars="200" w:firstLine="420"/>
        <w:contextualSpacing/>
        <w:jc w:val="left"/>
        <w:rPr>
          <w:rFonts w:ascii="楷体_GB2312" w:eastAsia="楷体_GB2312" w:cs="楷体_GB2312"/>
          <w:b/>
          <w:bCs/>
          <w:color w:val="000000"/>
          <w:kern w:val="0"/>
          <w:szCs w:val="32"/>
          <w:shd w:val="clear" w:color="auto" w:fill="FFFFFF"/>
          <w:lang w:val="zh-CN"/>
        </w:rPr>
      </w:pPr>
      <w:r>
        <w:rPr>
          <w:rFonts w:ascii="楷体_GB2312" w:eastAsia="楷体_GB2312" w:cs="楷体_GB2312" w:hint="eastAsia"/>
          <w:b/>
          <w:bCs/>
          <w:color w:val="000000"/>
          <w:kern w:val="0"/>
          <w:szCs w:val="32"/>
          <w:shd w:val="clear" w:color="auto" w:fill="FFFFFF"/>
          <w:lang w:val="zh-CN"/>
        </w:rPr>
        <w:t>机构职能</w:t>
      </w:r>
    </w:p>
    <w:p>
      <w:pPr>
        <w:widowControl/>
        <w:adjustRightInd w:val="0"/>
        <w:snapToGrid w:val="0"/>
        <w:spacing w:line="580" w:lineRule="exact"/>
        <w:ind w:firstLineChars="200" w:firstLine="420"/>
        <w:contextualSpacing/>
        <w:jc w:val="left"/>
        <w:rPr>
          <w:rFonts w:ascii="仿宋_GB2312" w:cs="宋体" w:hAnsi="仿宋_GB2312"/>
          <w:color w:val="000000"/>
          <w:kern w:val="0"/>
          <w:szCs w:val="32"/>
          <w:shd w:val="clear" w:color="auto" w:fill="FFFFFF"/>
        </w:rPr>
      </w:pPr>
      <w:r>
        <w:rPr>
          <w:rFonts w:ascii="仿宋_GB2312" w:cs="宋体" w:hAnsi="仿宋_GB2312" w:hint="eastAsia"/>
          <w:color w:val="000000"/>
          <w:kern w:val="0"/>
          <w:szCs w:val="32"/>
          <w:shd w:val="clear" w:color="auto" w:fill="FFFFFF"/>
          <w:lang w:val="zh-CN"/>
        </w:rPr>
        <w:t>我中心主要承担全州项目管理推进中的辅助服务职能，具体包括：</w:t>
      </w:r>
      <w:r>
        <w:rPr>
          <w:rFonts w:ascii="仿宋_GB2312" w:cs="宋体" w:hAnsi="仿宋_GB2312" w:hint="eastAsia"/>
          <w:color w:val="000000"/>
          <w:kern w:val="0"/>
          <w:szCs w:val="32"/>
          <w:shd w:val="clear" w:color="auto" w:fill="FFFFFF"/>
        </w:rPr>
        <w:t>1、协助开展中央、省预算内项目，其他重点领域的投资项目及重点项目的推进工作。负责中央、省预算内项目，其他重点领域的投资项目及重点项目推进情况进行收集、整理，掌握项目推进进度，对项目推进过程中遇到困难问题，提出建议意见。2、协助收集国家和省重点支持方向等方面的政策规定，根据省州战略目标，结合我州实际，协助开展中央、省预算内项目、其他重点领域的投资项目及重点项目的谋划生成、储备包装等工作。3、协助发改委机关各项目科室做好投资与项目管理信息系统的运行管理。4、完成委党组交办的其他工作任务。</w:t>
      </w:r>
    </w:p>
    <w:p>
      <w:pPr>
        <w:widowControl/>
        <w:numPr>
          <w:ilvl w:val="0"/>
          <w:numId w:val="4"/>
        </w:numPr>
        <w:adjustRightInd w:val="0"/>
        <w:snapToGrid w:val="0"/>
        <w:spacing w:line="580" w:lineRule="exact"/>
        <w:ind w:left="0" w:firstLineChars="200" w:firstLine="420"/>
        <w:contextualSpacing/>
        <w:jc w:val="left"/>
        <w:rPr>
          <w:rFonts w:ascii="楷体_GB2312" w:eastAsia="楷体_GB2312" w:cs="楷体_GB2312"/>
          <w:b/>
          <w:bCs/>
          <w:color w:val="000000"/>
          <w:kern w:val="0"/>
          <w:szCs w:val="32"/>
          <w:shd w:val="clear" w:color="auto" w:fill="FFFFFF"/>
          <w:lang w:val="zh-CN"/>
        </w:rPr>
      </w:pPr>
      <w:r>
        <w:rPr>
          <w:rFonts w:ascii="楷体_GB2312" w:eastAsia="楷体_GB2312" w:cs="楷体_GB2312" w:hint="eastAsia"/>
          <w:b/>
          <w:bCs/>
          <w:color w:val="000000"/>
          <w:kern w:val="0"/>
          <w:szCs w:val="32"/>
          <w:shd w:val="clear" w:color="auto" w:fill="FFFFFF"/>
          <w:lang w:val="zh-CN"/>
        </w:rPr>
        <w:t>人员概况</w:t>
      </w:r>
    </w:p>
    <w:p>
      <w:pPr>
        <w:widowControl/>
        <w:adjustRightInd w:val="0"/>
        <w:snapToGrid w:val="0"/>
        <w:spacing w:line="580" w:lineRule="exact"/>
        <w:ind w:firstLineChars="200" w:firstLine="420"/>
        <w:contextualSpacing/>
        <w:jc w:val="left"/>
        <w:rPr>
          <w:rFonts w:ascii="仿宋_GB2312" w:cs="宋体" w:hAnsi="仿宋_GB2312"/>
          <w:color w:val="000000"/>
          <w:kern w:val="0"/>
          <w:szCs w:val="32"/>
          <w:shd w:val="clear" w:color="auto" w:fill="FFFFFF"/>
        </w:rPr>
      </w:pPr>
      <w:r>
        <w:rPr>
          <w:rFonts w:ascii="仿宋_GB2312" w:cs="宋体" w:hAnsi="仿宋_GB2312" w:hint="eastAsia"/>
          <w:color w:val="000000"/>
          <w:kern w:val="0"/>
          <w:szCs w:val="32"/>
          <w:shd w:val="clear" w:color="auto" w:fill="FFFFFF"/>
          <w:lang w:val="zh-CN"/>
        </w:rPr>
        <w:t>我中心为州发展和改革委员会所属正科级公益一类事业单位，保留参公管理。核定参公事业编制38名，正科级领导职数1名，副科级领导职数3名。截至</w:t>
      </w:r>
      <w:r>
        <w:rPr>
          <w:rFonts w:ascii="仿宋_GB2312" w:cs="宋体" w:hAnsi="仿宋_GB2312" w:hint="eastAsia"/>
          <w:color w:val="000000"/>
          <w:kern w:val="0"/>
          <w:szCs w:val="32"/>
          <w:shd w:val="clear" w:color="auto" w:fill="FFFFFF"/>
        </w:rPr>
        <w:t>2022年12月，中心在职职工共计31人，其中，乡科级副职1人、三级主任科员1人、四级主任科员6人、一级科员12人、技师7人、高级工2人、中级工2人；离退休人员共计38人，其中，离休1人、退休37人。一般公务用车1辆。</w:t>
      </w:r>
    </w:p>
    <w:p>
      <w:pPr>
        <w:widowControl/>
        <w:adjustRightInd w:val="0"/>
        <w:snapToGrid w:val="0"/>
        <w:spacing w:line="580" w:lineRule="exact"/>
        <w:ind w:firstLineChars="200" w:firstLine="420"/>
        <w:contextualSpacing/>
        <w:jc w:val="left"/>
        <w:rPr>
          <w:rFonts w:ascii="黑体" w:eastAsia="黑体" w:cs="宋体"/>
          <w:color w:val="000000"/>
          <w:kern w:val="0"/>
          <w:szCs w:val="32"/>
          <w:shd w:val="clear" w:color="auto" w:fill="FFFFFF"/>
        </w:rPr>
      </w:pPr>
      <w:r>
        <w:rPr>
          <w:rFonts w:ascii="黑体" w:eastAsia="黑体" w:cs="宋体" w:hint="eastAsia"/>
          <w:color w:val="000000"/>
          <w:kern w:val="0"/>
          <w:szCs w:val="32"/>
          <w:shd w:val="clear" w:color="auto" w:fill="FFFFFF"/>
        </w:rPr>
        <w:t>二、部门财政资金收支情况</w:t>
      </w:r>
    </w:p>
    <w:p>
      <w:pPr>
        <w:widowControl/>
        <w:adjustRightInd w:val="0"/>
        <w:snapToGrid w:val="0"/>
        <w:spacing w:line="580" w:lineRule="exact"/>
        <w:ind w:firstLineChars="200" w:firstLine="420"/>
        <w:contextualSpacing/>
        <w:jc w:val="left"/>
        <w:rPr>
          <w:rFonts w:ascii="仿宋_GB2312" w:cs="宋体" w:hAnsi="仿宋_GB2312"/>
          <w:kern w:val="0"/>
          <w:szCs w:val="32"/>
          <w:shd w:val="clear" w:color="auto" w:fill="FFFFFF"/>
          <w:lang w:val="zh-CN"/>
        </w:rPr>
      </w:pPr>
      <w:r>
        <w:rPr>
          <w:rFonts w:ascii="楷体_GB2312" w:eastAsia="楷体_GB2312" w:cs="楷体_GB2312" w:hint="eastAsia"/>
          <w:b/>
          <w:bCs/>
          <w:kern w:val="0"/>
          <w:szCs w:val="32"/>
          <w:shd w:val="clear" w:color="auto" w:fill="FFFFFF"/>
          <w:lang w:val="zh-CN"/>
        </w:rPr>
        <w:t>（一）部门财政资金收入情况</w:t>
      </w:r>
    </w:p>
    <w:p>
      <w:pPr>
        <w:widowControl/>
        <w:adjustRightInd w:val="0"/>
        <w:snapToGrid w:val="0"/>
        <w:spacing w:line="580" w:lineRule="exact"/>
        <w:ind w:firstLineChars="200" w:firstLine="420"/>
        <w:contextualSpacing/>
        <w:jc w:val="left"/>
        <w:rPr>
          <w:rFonts w:ascii="仿宋_GB2312" w:cs="宋体" w:hAnsi="仿宋_GB2312"/>
          <w:kern w:val="0"/>
          <w:szCs w:val="32"/>
          <w:shd w:val="clear" w:color="auto" w:fill="FFFFFF"/>
        </w:rPr>
      </w:pPr>
      <w:r>
        <w:rPr>
          <w:rFonts w:ascii="仿宋_GB2312" w:cs="宋体" w:hAnsi="仿宋_GB2312" w:hint="eastAsia"/>
          <w:kern w:val="0"/>
          <w:szCs w:val="32"/>
          <w:shd w:val="clear" w:color="auto" w:fill="FFFFFF"/>
          <w:lang w:val="zh-CN"/>
        </w:rPr>
        <w:t>2022年我中心财政拨款总收入决算数 771.44万元（包括：一般公共服务支出科目535.81万元、社会保障和就业支出78.33万元、医疗卫生与计划生育支出12.62万元、住房保障支出 44.48万元）。本年收入771.44万元，年初结转结余0万元。本年收入771.44万元较上年增长119.13万元，主要原因是人员工资、目标绩效及社保缴费基数的增加。</w:t>
      </w:r>
    </w:p>
    <w:p>
      <w:pPr>
        <w:widowControl/>
        <w:numPr>
          <w:ilvl w:val="0"/>
          <w:numId w:val="5"/>
        </w:numPr>
        <w:adjustRightInd w:val="0"/>
        <w:snapToGrid w:val="0"/>
        <w:spacing w:line="580" w:lineRule="exact"/>
        <w:ind w:left="0" w:firstLineChars="200" w:firstLine="420"/>
        <w:contextualSpacing/>
        <w:jc w:val="left"/>
        <w:rPr>
          <w:rFonts w:ascii="楷体_GB2312" w:eastAsia="楷体_GB2312" w:cs="楷体_GB2312"/>
          <w:b/>
          <w:bCs/>
          <w:kern w:val="0"/>
          <w:szCs w:val="32"/>
          <w:shd w:val="clear" w:color="auto" w:fill="FFFFFF"/>
          <w:lang w:val="zh-CN"/>
        </w:rPr>
      </w:pPr>
      <w:r>
        <w:rPr>
          <w:rFonts w:ascii="楷体_GB2312" w:eastAsia="楷体_GB2312" w:cs="楷体_GB2312" w:hint="eastAsia"/>
          <w:b/>
          <w:bCs/>
          <w:kern w:val="0"/>
          <w:szCs w:val="32"/>
          <w:shd w:val="clear" w:color="auto" w:fill="FFFFFF"/>
          <w:lang w:val="zh-CN"/>
        </w:rPr>
        <w:t>部门财政资金支出情况</w:t>
      </w:r>
    </w:p>
    <w:p>
      <w:pPr>
        <w:widowControl/>
        <w:adjustRightInd w:val="0"/>
        <w:snapToGrid w:val="0"/>
        <w:spacing w:line="580" w:lineRule="exact"/>
        <w:ind w:firstLineChars="200" w:firstLine="420"/>
        <w:contextualSpacing/>
        <w:jc w:val="left"/>
        <w:rPr>
          <w:rFonts w:ascii="仿宋_GB2312" w:cs="仿宋_GB2312" w:hAnsi="仿宋_GB2312"/>
          <w:kern w:val="0"/>
          <w:szCs w:val="32"/>
          <w:shd w:val="clear" w:color="auto" w:fill="FFFFFF"/>
          <w:lang w:val="zh-CN"/>
        </w:rPr>
      </w:pPr>
      <w:r>
        <w:rPr>
          <w:rFonts w:ascii="仿宋_GB2312" w:cs="仿宋_GB2312" w:hAnsi="仿宋_GB2312" w:hint="eastAsia"/>
          <w:kern w:val="0"/>
          <w:szCs w:val="32"/>
          <w:shd w:val="clear" w:color="auto" w:fill="FFFFFF"/>
          <w:lang w:val="zh-CN"/>
        </w:rPr>
        <w:t>2022年我中心财政拨款总支出决算数771.44万元，其中基本支出763.75万元（包括人员经费723.41万元，日常公用经费40.34万元），行政事业项目支出7.69万元。</w:t>
      </w:r>
    </w:p>
    <w:p>
      <w:pPr>
        <w:widowControl/>
        <w:numPr>
          <w:ilvl w:val="0"/>
          <w:numId w:val="6"/>
        </w:numPr>
        <w:adjustRightInd w:val="0"/>
        <w:snapToGrid w:val="0"/>
        <w:spacing w:line="580" w:lineRule="exact"/>
        <w:ind w:left="0" w:firstLineChars="200" w:firstLine="420"/>
        <w:contextualSpacing/>
        <w:jc w:val="left"/>
        <w:rPr>
          <w:rFonts w:ascii="仿宋_GB2312" w:cs="宋体" w:hAnsi="仿宋_GB2312"/>
          <w:b/>
          <w:bCs/>
          <w:color w:val="000000"/>
          <w:kern w:val="0"/>
          <w:szCs w:val="32"/>
          <w:shd w:val="clear" w:color="auto" w:fill="FFFFFF"/>
        </w:rPr>
      </w:pPr>
      <w:r>
        <w:rPr>
          <w:rFonts w:ascii="仿宋_GB2312" w:cs="宋体" w:hAnsi="仿宋_GB2312" w:hint="eastAsia"/>
          <w:b/>
          <w:bCs/>
          <w:color w:val="000000"/>
          <w:kern w:val="0"/>
          <w:szCs w:val="32"/>
          <w:shd w:val="clear" w:color="auto" w:fill="FFFFFF"/>
        </w:rPr>
        <w:t>基本支出</w:t>
      </w:r>
    </w:p>
    <w:p>
      <w:pPr>
        <w:widowControl/>
        <w:adjustRightInd w:val="0"/>
        <w:snapToGrid w:val="0"/>
        <w:spacing w:line="580" w:lineRule="exact"/>
        <w:ind w:firstLineChars="200" w:firstLine="420"/>
        <w:contextualSpacing/>
        <w:jc w:val="left"/>
        <w:rPr>
          <w:rFonts w:ascii="仿宋_GB2312" w:cs="宋体" w:hAnsi="仿宋_GB2312"/>
          <w:color w:val="000000"/>
          <w:kern w:val="0"/>
          <w:szCs w:val="32"/>
          <w:shd w:val="clear" w:color="auto" w:fill="FFFFFF"/>
        </w:rPr>
      </w:pPr>
      <w:r>
        <w:rPr>
          <w:rFonts w:ascii="仿宋_GB2312" w:cs="宋体" w:hAnsi="仿宋_GB2312" w:hint="eastAsia"/>
          <w:color w:val="000000"/>
          <w:kern w:val="0"/>
          <w:szCs w:val="32"/>
          <w:shd w:val="clear" w:color="auto" w:fill="FFFFFF"/>
        </w:rPr>
        <w:t>我中心2022年度基本支出：763.75万元。其中：工资福利支出618.23万元，商品和服务支出40.34万元，对个人和家庭的补助105.18万元。</w:t>
      </w:r>
    </w:p>
    <w:p>
      <w:pPr>
        <w:pStyle w:val="33"/>
        <w:widowControl/>
        <w:spacing w:line="560" w:lineRule="exact"/>
        <w:ind w:firstLineChars="500" w:firstLine="1600"/>
        <w:jc w:val="both"/>
        <w:rPr>
          <w:rFonts w:ascii="仿宋_GB2312" w:eastAsia="仿宋_GB2312" w:cs="仿宋_GB2312"/>
          <w:color w:val="000000"/>
          <w:sz w:val="32"/>
          <w:szCs w:val="32"/>
        </w:rPr>
      </w:pPr>
      <w:r>
        <w:rPr>
          <w:rFonts w:ascii="仿宋_GB2312" w:eastAsia="仿宋_GB2312" w:cs="仿宋_GB2312" w:hint="eastAsia"/>
          <w:color w:val="000000"/>
          <w:sz w:val="32"/>
          <w:szCs w:val="32"/>
          <w:shd w:val="clear" w:color="auto" w:fill="FFFFFF"/>
        </w:rPr>
        <w:t>本年度预算指标可用情况表（单位：万元）</w:t>
      </w:r>
    </w:p>
    <w:tbl>
      <w:tblPr>
        <w:jc w:val="center"/>
        <w:tblW w:w="784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0" w:type="dxa"/>
          <w:bottom w:w="0" w:type="dxa"/>
          <w:right w:w="0" w:type="dxa"/>
        </w:tblCellMar>
      </w:tblPr>
      <w:tblGrid>
        <w:gridCol w:w="4168"/>
        <w:gridCol w:w="3683"/>
      </w:tblGrid>
      <w:tr>
        <w:trPr>
          <w:tblHeader/>
        </w:trPr>
        <w:tc>
          <w:tcPr>
            <w:tcW w:w="41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pPr>
              <w:pStyle w:val="33"/>
              <w:widowControl/>
              <w:spacing w:line="560" w:lineRule="exact"/>
              <w:jc w:val="center"/>
              <w:rPr>
                <w:rFonts w:ascii="仿宋_GB2312" w:eastAsia="仿宋_GB2312" w:cs="仿宋_GB2312"/>
                <w:color w:val="000000"/>
                <w:sz w:val="32"/>
                <w:szCs w:val="32"/>
              </w:rPr>
            </w:pPr>
            <w:r>
              <w:rPr>
                <w:rFonts w:ascii="仿宋_GB2312" w:eastAsia="仿宋_GB2312" w:cs="仿宋_GB2312" w:hint="eastAsia"/>
                <w:color w:val="000000"/>
                <w:sz w:val="32"/>
                <w:szCs w:val="32"/>
              </w:rPr>
              <w:t>预算项目</w:t>
            </w:r>
          </w:p>
        </w:tc>
        <w:tc>
          <w:tcPr>
            <w:tcW w:w="368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pPr>
              <w:pStyle w:val="33"/>
              <w:widowControl/>
              <w:spacing w:line="560" w:lineRule="exact"/>
              <w:jc w:val="center"/>
              <w:rPr>
                <w:rFonts w:ascii="仿宋_GB2312" w:eastAsia="仿宋_GB2312" w:cs="仿宋_GB2312"/>
                <w:color w:val="000000"/>
                <w:sz w:val="32"/>
                <w:szCs w:val="32"/>
              </w:rPr>
            </w:pPr>
            <w:r>
              <w:rPr>
                <w:rFonts w:ascii="仿宋_GB2312" w:eastAsia="仿宋_GB2312" w:cs="仿宋_GB2312" w:hint="eastAsia"/>
                <w:color w:val="000000"/>
                <w:sz w:val="32"/>
                <w:szCs w:val="32"/>
              </w:rPr>
              <w:t>本年可用指标</w:t>
            </w:r>
          </w:p>
        </w:tc>
      </w:tr>
      <w:tr>
        <w:tc>
          <w:tcPr>
            <w:tcW w:w="41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pPr>
              <w:pStyle w:val="33"/>
              <w:widowControl/>
              <w:spacing w:line="560" w:lineRule="exact"/>
              <w:jc w:val="center"/>
              <w:rPr>
                <w:rFonts w:ascii="仿宋_GB2312" w:eastAsia="仿宋_GB2312" w:cs="仿宋_GB2312"/>
                <w:color w:val="000000"/>
                <w:sz w:val="32"/>
                <w:szCs w:val="32"/>
              </w:rPr>
            </w:pPr>
            <w:r>
              <w:rPr>
                <w:rFonts w:ascii="仿宋_GB2312" w:eastAsia="仿宋_GB2312" w:cs="仿宋_GB2312" w:hint="eastAsia"/>
                <w:color w:val="000000"/>
                <w:sz w:val="32"/>
                <w:szCs w:val="32"/>
              </w:rPr>
              <w:t>工资福利支出</w:t>
            </w:r>
          </w:p>
        </w:tc>
        <w:tc>
          <w:tcPr>
            <w:tcW w:w="368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pPr>
              <w:pStyle w:val="33"/>
              <w:widowControl/>
              <w:spacing w:line="560" w:lineRule="exact"/>
              <w:jc w:val="center"/>
              <w:rPr>
                <w:rFonts w:ascii="仿宋_GB2312" w:eastAsia="仿宋_GB2312" w:cs="仿宋_GB2312"/>
                <w:color w:val="000000"/>
                <w:sz w:val="32"/>
                <w:szCs w:val="32"/>
              </w:rPr>
            </w:pPr>
            <w:r>
              <w:rPr>
                <w:rFonts w:ascii="仿宋_GB2312" w:eastAsia="仿宋_GB2312" w:cs="仿宋_GB2312" w:hint="eastAsia"/>
                <w:color w:val="000000"/>
                <w:sz w:val="32"/>
                <w:szCs w:val="32"/>
              </w:rPr>
              <w:t>618.23</w:t>
            </w:r>
          </w:p>
        </w:tc>
      </w:tr>
      <w:tr>
        <w:tc>
          <w:tcPr>
            <w:tcW w:w="41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pPr>
              <w:pStyle w:val="33"/>
              <w:widowControl/>
              <w:spacing w:line="560" w:lineRule="exact"/>
              <w:jc w:val="center"/>
              <w:rPr>
                <w:rFonts w:ascii="仿宋_GB2312" w:eastAsia="仿宋_GB2312" w:cs="仿宋_GB2312"/>
                <w:color w:val="000000"/>
                <w:sz w:val="32"/>
                <w:szCs w:val="32"/>
              </w:rPr>
            </w:pPr>
            <w:r>
              <w:rPr>
                <w:rFonts w:ascii="仿宋_GB2312" w:eastAsia="仿宋_GB2312" w:cs="仿宋_GB2312" w:hint="eastAsia"/>
                <w:color w:val="000000"/>
                <w:sz w:val="32"/>
                <w:szCs w:val="32"/>
              </w:rPr>
              <w:t>商品和服务支出</w:t>
            </w:r>
          </w:p>
        </w:tc>
        <w:tc>
          <w:tcPr>
            <w:tcW w:w="368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pPr>
              <w:pStyle w:val="33"/>
              <w:widowControl/>
              <w:spacing w:line="560" w:lineRule="exact"/>
              <w:jc w:val="center"/>
              <w:rPr>
                <w:rFonts w:ascii="仿宋_GB2312" w:eastAsia="仿宋_GB2312" w:cs="仿宋_GB2312"/>
                <w:color w:val="000000"/>
                <w:sz w:val="32"/>
                <w:szCs w:val="32"/>
              </w:rPr>
            </w:pPr>
            <w:r>
              <w:rPr>
                <w:rFonts w:ascii="仿宋_GB2312" w:eastAsia="仿宋_GB2312" w:cs="仿宋_GB2312" w:hint="eastAsia"/>
                <w:color w:val="000000"/>
                <w:sz w:val="32"/>
                <w:szCs w:val="32"/>
              </w:rPr>
              <w:t>40.34</w:t>
            </w:r>
          </w:p>
        </w:tc>
      </w:tr>
      <w:tr>
        <w:tc>
          <w:tcPr>
            <w:tcW w:w="41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pPr>
              <w:pStyle w:val="33"/>
              <w:widowControl/>
              <w:spacing w:line="560" w:lineRule="exact"/>
              <w:jc w:val="center"/>
              <w:rPr>
                <w:rFonts w:ascii="仿宋_GB2312" w:eastAsia="仿宋_GB2312" w:cs="仿宋_GB2312"/>
                <w:color w:val="000000"/>
                <w:sz w:val="32"/>
                <w:szCs w:val="32"/>
              </w:rPr>
            </w:pPr>
            <w:r>
              <w:rPr>
                <w:rFonts w:ascii="仿宋_GB2312" w:eastAsia="仿宋_GB2312" w:cs="仿宋_GB2312" w:hint="eastAsia"/>
                <w:color w:val="000000"/>
                <w:sz w:val="32"/>
                <w:szCs w:val="32"/>
              </w:rPr>
              <w:t>对个人和家庭补助</w:t>
            </w:r>
          </w:p>
        </w:tc>
        <w:tc>
          <w:tcPr>
            <w:tcW w:w="368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pPr>
              <w:pStyle w:val="33"/>
              <w:widowControl/>
              <w:spacing w:line="560" w:lineRule="exact"/>
              <w:jc w:val="center"/>
              <w:rPr>
                <w:rFonts w:ascii="仿宋_GB2312" w:eastAsia="仿宋_GB2312" w:cs="仿宋_GB2312"/>
                <w:color w:val="000000"/>
                <w:sz w:val="32"/>
                <w:szCs w:val="32"/>
              </w:rPr>
            </w:pPr>
            <w:r>
              <w:rPr>
                <w:rFonts w:ascii="仿宋_GB2312" w:eastAsia="仿宋_GB2312" w:cs="仿宋_GB2312" w:hint="eastAsia"/>
                <w:color w:val="000000"/>
                <w:sz w:val="32"/>
                <w:szCs w:val="32"/>
              </w:rPr>
              <w:t>105.18</w:t>
            </w:r>
          </w:p>
        </w:tc>
      </w:tr>
      <w:tr>
        <w:tc>
          <w:tcPr>
            <w:tcW w:w="41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pPr>
              <w:pStyle w:val="33"/>
              <w:widowControl/>
              <w:spacing w:line="560" w:lineRule="exact"/>
              <w:jc w:val="center"/>
              <w:rPr>
                <w:rFonts w:ascii="仿宋_GB2312" w:eastAsia="仿宋_GB2312" w:cs="仿宋_GB2312"/>
                <w:color w:val="000000"/>
                <w:sz w:val="32"/>
                <w:szCs w:val="32"/>
              </w:rPr>
            </w:pPr>
            <w:r>
              <w:rPr>
                <w:rFonts w:ascii="仿宋_GB2312" w:eastAsia="仿宋_GB2312" w:cs="仿宋_GB2312" w:hint="eastAsia"/>
                <w:color w:val="000000"/>
                <w:sz w:val="32"/>
                <w:szCs w:val="32"/>
              </w:rPr>
              <w:t>其他</w:t>
            </w:r>
          </w:p>
        </w:tc>
        <w:tc>
          <w:tcPr>
            <w:tcW w:w="368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pPr>
              <w:pStyle w:val="33"/>
              <w:widowControl/>
              <w:spacing w:line="560" w:lineRule="exact"/>
              <w:jc w:val="center"/>
              <w:rPr>
                <w:rFonts w:ascii="仿宋_GB2312" w:eastAsia="仿宋_GB2312" w:cs="仿宋_GB2312"/>
                <w:color w:val="000000"/>
                <w:sz w:val="32"/>
                <w:szCs w:val="32"/>
              </w:rPr>
            </w:pPr>
            <w:r>
              <w:rPr>
                <w:rFonts w:ascii="仿宋_GB2312" w:eastAsia="仿宋_GB2312" w:cs="仿宋_GB2312" w:hint="eastAsia"/>
                <w:color w:val="000000"/>
                <w:sz w:val="32"/>
                <w:szCs w:val="32"/>
              </w:rPr>
              <w:t>0</w:t>
            </w:r>
          </w:p>
        </w:tc>
      </w:tr>
      <w:tr>
        <w:tc>
          <w:tcPr>
            <w:tcW w:w="41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pPr>
              <w:pStyle w:val="33"/>
              <w:widowControl/>
              <w:spacing w:line="560" w:lineRule="exact"/>
              <w:jc w:val="center"/>
              <w:rPr>
                <w:rFonts w:ascii="仿宋_GB2312" w:eastAsia="仿宋_GB2312" w:cs="仿宋_GB2312"/>
                <w:color w:val="000000"/>
                <w:sz w:val="32"/>
                <w:szCs w:val="32"/>
              </w:rPr>
            </w:pPr>
            <w:r>
              <w:rPr>
                <w:rFonts w:ascii="仿宋_GB2312" w:eastAsia="仿宋_GB2312" w:cs="仿宋_GB2312" w:hint="eastAsia"/>
                <w:color w:val="000000"/>
                <w:sz w:val="32"/>
                <w:szCs w:val="32"/>
              </w:rPr>
              <w:t>合 计</w:t>
            </w:r>
          </w:p>
        </w:tc>
        <w:tc>
          <w:tcPr>
            <w:tcW w:w="368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pPr>
              <w:pStyle w:val="33"/>
              <w:widowControl/>
              <w:spacing w:line="560" w:lineRule="exact"/>
              <w:jc w:val="center"/>
              <w:rPr>
                <w:rFonts w:ascii="仿宋_GB2312" w:eastAsia="仿宋_GB2312" w:cs="仿宋_GB2312"/>
                <w:color w:val="000000"/>
                <w:sz w:val="32"/>
                <w:szCs w:val="32"/>
              </w:rPr>
            </w:pPr>
            <w:r>
              <w:rPr>
                <w:rFonts w:ascii="仿宋_GB2312" w:eastAsia="仿宋_GB2312" w:cs="仿宋_GB2312" w:hint="eastAsia"/>
                <w:color w:val="000000"/>
                <w:sz w:val="32"/>
                <w:szCs w:val="32"/>
              </w:rPr>
              <w:t>763.25</w:t>
            </w:r>
          </w:p>
        </w:tc>
      </w:tr>
    </w:tbl>
    <w:p>
      <w:pPr>
        <w:widowControl/>
        <w:adjustRightInd w:val="0"/>
        <w:snapToGrid w:val="0"/>
        <w:spacing w:line="580" w:lineRule="exact"/>
        <w:ind w:firstLineChars="200" w:firstLine="420"/>
        <w:contextualSpacing/>
        <w:jc w:val="left"/>
        <w:rPr>
          <w:rFonts w:ascii="仿宋_GB2312" w:cs="宋体" w:hAnsi="仿宋_GB2312"/>
          <w:color w:val="000000"/>
          <w:kern w:val="0"/>
          <w:szCs w:val="32"/>
          <w:shd w:val="clear" w:color="auto" w:fill="FFFFFF"/>
        </w:rPr>
      </w:pPr>
    </w:p>
    <w:p>
      <w:pPr>
        <w:widowControl/>
        <w:adjustRightInd w:val="0"/>
        <w:snapToGrid w:val="0"/>
        <w:spacing w:line="580" w:lineRule="exact"/>
        <w:ind w:firstLineChars="200" w:firstLine="420"/>
        <w:contextualSpacing/>
        <w:jc w:val="left"/>
        <w:rPr>
          <w:rFonts w:ascii="仿宋_GB2312" w:cs="宋体" w:hAnsi="仿宋_GB2312"/>
          <w:color w:val="000000"/>
          <w:kern w:val="0"/>
          <w:szCs w:val="32"/>
          <w:shd w:val="clear" w:color="auto" w:fill="FFFFFF"/>
        </w:rPr>
      </w:pPr>
      <w:r>
        <w:rPr>
          <w:rFonts w:ascii="仿宋_GB2312" w:cs="宋体" w:hAnsi="仿宋_GB2312" w:hint="eastAsia"/>
          <w:color w:val="000000"/>
          <w:kern w:val="0"/>
          <w:szCs w:val="32"/>
          <w:shd w:val="clear" w:color="auto" w:fill="FFFFFF"/>
        </w:rPr>
        <w:t>我中心严格执行部门正常运行经费保障机制的相关规定，编足、编实基本支出年度预算，人员经费按编制内实有人数规定的政策标准进行编制，足额编制人员经费预算，公用经费本着“勤俭节约、保障运转”的原则，根据公用经费定额标准及单位实际开支足额编制。在年度预算执行中，全年无超范围、超标准发放津补贴、奖金的现象，未以任何名义违规发放个人补助，全年支出基本保障了中心的正常运转。</w:t>
      </w:r>
    </w:p>
    <w:p>
      <w:pPr>
        <w:widowControl/>
        <w:numPr>
          <w:ilvl w:val="0"/>
          <w:numId w:val="6"/>
        </w:numPr>
        <w:adjustRightInd w:val="0"/>
        <w:snapToGrid w:val="0"/>
        <w:spacing w:line="580" w:lineRule="exact"/>
        <w:ind w:left="0" w:firstLineChars="200" w:firstLine="420"/>
        <w:contextualSpacing/>
        <w:jc w:val="left"/>
        <w:rPr>
          <w:rFonts w:ascii="仿宋_GB2312" w:cs="宋体" w:hAnsi="仿宋_GB2312"/>
          <w:b/>
          <w:bCs/>
          <w:color w:val="000000"/>
          <w:kern w:val="0"/>
          <w:szCs w:val="32"/>
          <w:shd w:val="clear" w:color="auto" w:fill="FFFFFF"/>
        </w:rPr>
      </w:pPr>
      <w:r>
        <w:rPr>
          <w:rFonts w:ascii="仿宋_GB2312" w:cs="宋体" w:hAnsi="仿宋_GB2312" w:hint="eastAsia"/>
          <w:b/>
          <w:bCs/>
          <w:color w:val="000000"/>
          <w:kern w:val="0"/>
          <w:szCs w:val="32"/>
          <w:shd w:val="clear" w:color="auto" w:fill="FFFFFF"/>
        </w:rPr>
        <w:t>项目支出</w:t>
      </w:r>
    </w:p>
    <w:p>
      <w:pPr>
        <w:widowControl/>
        <w:adjustRightInd w:val="0"/>
        <w:snapToGrid w:val="0"/>
        <w:spacing w:line="580" w:lineRule="exact"/>
        <w:ind w:firstLineChars="200" w:firstLine="420"/>
        <w:contextualSpacing/>
        <w:rPr>
          <w:rFonts w:ascii="仿宋_GB2312" w:cs="宋体" w:hAnsi="仿宋_GB2312"/>
          <w:color w:val="000000"/>
          <w:kern w:val="0"/>
          <w:szCs w:val="32"/>
          <w:shd w:val="clear" w:color="auto" w:fill="FFFFFF"/>
        </w:rPr>
      </w:pPr>
      <w:r>
        <w:rPr>
          <w:rFonts w:ascii="仿宋_GB2312" w:cs="宋体" w:hAnsi="仿宋_GB2312" w:hint="eastAsia"/>
          <w:color w:val="000000"/>
          <w:kern w:val="0"/>
          <w:szCs w:val="32"/>
          <w:shd w:val="clear" w:color="auto" w:fill="FFFFFF"/>
        </w:rPr>
        <w:t>2022年度我中心项目支出7.69万元。其中6.38万元用于购买国产电脑及配套打印设备，1.31万元用于办公室维修费。</w:t>
      </w:r>
    </w:p>
    <w:p>
      <w:pPr>
        <w:widowControl/>
        <w:numPr>
          <w:ilvl w:val="0"/>
          <w:numId w:val="6"/>
        </w:numPr>
        <w:adjustRightInd w:val="0"/>
        <w:snapToGrid w:val="0"/>
        <w:spacing w:line="580" w:lineRule="exact"/>
        <w:ind w:left="0" w:firstLineChars="200" w:firstLine="420"/>
        <w:contextualSpacing/>
        <w:rPr>
          <w:rFonts w:ascii="仿宋_GB2312" w:cs="宋体" w:hAnsi="仿宋_GB2312"/>
          <w:b/>
          <w:bCs/>
          <w:color w:val="000000"/>
          <w:kern w:val="0"/>
          <w:szCs w:val="32"/>
          <w:shd w:val="clear" w:color="auto" w:fill="FFFFFF"/>
        </w:rPr>
      </w:pPr>
      <w:r>
        <w:rPr>
          <w:rFonts w:ascii="仿宋_GB2312" w:cs="宋体" w:hAnsi="仿宋_GB2312" w:hint="eastAsia"/>
          <w:b/>
          <w:bCs/>
          <w:color w:val="000000"/>
          <w:kern w:val="0"/>
          <w:szCs w:val="32"/>
          <w:shd w:val="clear" w:color="auto" w:fill="FFFFFF"/>
        </w:rPr>
        <w:t>“三公”经费使用情况</w:t>
      </w:r>
    </w:p>
    <w:p>
      <w:pPr>
        <w:widowControl/>
        <w:adjustRightInd w:val="0"/>
        <w:snapToGrid w:val="0"/>
        <w:spacing w:line="580" w:lineRule="exact"/>
        <w:ind w:firstLineChars="200" w:firstLine="420"/>
        <w:contextualSpacing/>
        <w:rPr>
          <w:rFonts w:ascii="仿宋_GB2312" w:cs="宋体" w:hAnsi="仿宋_GB2312"/>
          <w:color w:val="000000"/>
          <w:kern w:val="0"/>
          <w:szCs w:val="32"/>
          <w:shd w:val="clear" w:color="auto" w:fill="FFFFFF"/>
        </w:rPr>
      </w:pPr>
      <w:r>
        <w:rPr>
          <w:rFonts w:ascii="仿宋_GB2312" w:cs="宋体" w:hAnsi="仿宋_GB2312" w:hint="eastAsia"/>
          <w:color w:val="000000"/>
          <w:kern w:val="0"/>
          <w:szCs w:val="32"/>
          <w:shd w:val="clear" w:color="auto" w:fill="FFFFFF"/>
        </w:rPr>
        <w:t>2022年度我中心三公经费共支出4.49万元，主要用于公务用车运行维护费，无公务接待费及出国经费相关支出。公务用车运行维护费较年初预算数减少1.21万元，主要原因是因为今年单位职工出差次数少于去年，相应减少公务用车运行维护费。我中心贯彻落实党政机关过紧日子要求，艰苦奋斗、厉行节约，严格控制会议、培训、差旅等其他支出。不断加强“三公”经费等预算管理，加快预算执行进度，提高资金使用绩效。</w:t>
      </w:r>
    </w:p>
    <w:p>
      <w:pPr>
        <w:pStyle w:val="33"/>
        <w:widowControl/>
        <w:shd w:val="clear" w:color="auto" w:fill="FFFFFF"/>
        <w:spacing w:line="560" w:lineRule="exact"/>
        <w:ind w:firstLine="450"/>
        <w:rPr>
          <w:rFonts w:ascii="仿宋_GB2312" w:eastAsia="仿宋_GB2312" w:cs="仿宋_GB2312"/>
          <w:color w:val="000000"/>
          <w:sz w:val="32"/>
          <w:szCs w:val="32"/>
        </w:rPr>
      </w:pPr>
      <w:r>
        <w:rPr>
          <w:rFonts w:ascii="仿宋_GB2312" w:eastAsia="仿宋_GB2312" w:cs="仿宋_GB2312" w:hint="eastAsia"/>
          <w:color w:val="000000"/>
          <w:sz w:val="32"/>
          <w:szCs w:val="32"/>
          <w:shd w:val="clear" w:color="auto" w:fill="FFFFFF"/>
        </w:rPr>
        <w:t>（1）“三公”经费预算情况（单位：万元）：</w:t>
      </w:r>
    </w:p>
    <w:tbl>
      <w:tblPr>
        <w:jc w:val="center"/>
        <w:tblW w:w="799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0" w:type="dxa"/>
          <w:bottom w:w="0" w:type="dxa"/>
          <w:right w:w="0" w:type="dxa"/>
        </w:tblCellMar>
      </w:tblPr>
      <w:tblGrid>
        <w:gridCol w:w="3567"/>
        <w:gridCol w:w="2326"/>
        <w:gridCol w:w="2103"/>
      </w:tblGrid>
      <w:tr>
        <w:trPr>
          <w:trHeight w:val="423"/>
          <w:tblHeader/>
        </w:trPr>
        <w:tc>
          <w:tcPr>
            <w:tcW w:w="356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pPr>
              <w:pStyle w:val="33"/>
              <w:widowControl/>
              <w:spacing w:line="560" w:lineRule="exact"/>
              <w:jc w:val="center"/>
              <w:rPr>
                <w:rFonts w:ascii="仿宋_GB2312" w:eastAsia="仿宋_GB2312" w:cs="仿宋_GB2312"/>
                <w:color w:val="000000"/>
                <w:sz w:val="32"/>
                <w:szCs w:val="32"/>
              </w:rPr>
            </w:pPr>
            <w:r>
              <w:rPr>
                <w:rFonts w:ascii="仿宋_GB2312" w:eastAsia="仿宋_GB2312" w:cs="仿宋_GB2312" w:hint="eastAsia"/>
                <w:color w:val="000000"/>
                <w:sz w:val="32"/>
                <w:szCs w:val="32"/>
              </w:rPr>
              <w:t>费用项目</w:t>
            </w:r>
          </w:p>
        </w:tc>
        <w:tc>
          <w:tcPr>
            <w:tcW w:w="23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pPr>
              <w:pStyle w:val="33"/>
              <w:widowControl/>
              <w:spacing w:line="560" w:lineRule="exact"/>
              <w:jc w:val="center"/>
              <w:rPr>
                <w:rFonts w:ascii="仿宋_GB2312" w:eastAsia="仿宋_GB2312" w:cs="仿宋_GB2312"/>
                <w:color w:val="000000"/>
                <w:sz w:val="32"/>
                <w:szCs w:val="32"/>
              </w:rPr>
            </w:pPr>
            <w:r>
              <w:rPr>
                <w:rFonts w:ascii="仿宋_GB2312" w:eastAsia="仿宋_GB2312" w:cs="仿宋_GB2312" w:hint="eastAsia"/>
                <w:color w:val="000000"/>
                <w:sz w:val="32"/>
                <w:szCs w:val="32"/>
              </w:rPr>
              <w:t>基本支出</w:t>
            </w:r>
          </w:p>
        </w:tc>
        <w:tc>
          <w:tcPr>
            <w:tcW w:w="210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pPr>
              <w:pStyle w:val="33"/>
              <w:widowControl/>
              <w:spacing w:line="560" w:lineRule="exact"/>
              <w:jc w:val="center"/>
              <w:rPr>
                <w:rFonts w:ascii="仿宋_GB2312" w:eastAsia="仿宋_GB2312" w:cs="仿宋_GB2312"/>
                <w:color w:val="000000"/>
                <w:sz w:val="32"/>
                <w:szCs w:val="32"/>
              </w:rPr>
            </w:pPr>
            <w:r>
              <w:rPr>
                <w:rFonts w:ascii="仿宋_GB2312" w:eastAsia="仿宋_GB2312" w:cs="仿宋_GB2312" w:hint="eastAsia"/>
                <w:color w:val="000000"/>
                <w:sz w:val="32"/>
                <w:szCs w:val="32"/>
              </w:rPr>
              <w:t>合 计</w:t>
            </w:r>
          </w:p>
        </w:tc>
      </w:tr>
      <w:tr>
        <w:trPr>
          <w:trHeight w:val="712"/>
        </w:trPr>
        <w:tc>
          <w:tcPr>
            <w:tcW w:w="356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pPr>
              <w:pStyle w:val="33"/>
              <w:widowControl/>
              <w:spacing w:line="560" w:lineRule="exact"/>
              <w:jc w:val="center"/>
              <w:rPr>
                <w:rFonts w:ascii="仿宋_GB2312" w:eastAsia="仿宋_GB2312" w:cs="仿宋_GB2312"/>
                <w:color w:val="000000"/>
                <w:sz w:val="32"/>
                <w:szCs w:val="32"/>
              </w:rPr>
            </w:pPr>
            <w:r>
              <w:rPr>
                <w:rFonts w:ascii="仿宋_GB2312" w:eastAsia="仿宋_GB2312" w:cs="仿宋_GB2312" w:hint="eastAsia"/>
                <w:color w:val="000000"/>
                <w:sz w:val="32"/>
                <w:szCs w:val="32"/>
              </w:rPr>
              <w:t>公务接待费</w:t>
            </w:r>
          </w:p>
        </w:tc>
        <w:tc>
          <w:tcPr>
            <w:tcW w:w="23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pPr>
              <w:pStyle w:val="33"/>
              <w:widowControl/>
              <w:spacing w:line="560" w:lineRule="exact"/>
              <w:jc w:val="right"/>
              <w:rPr>
                <w:rFonts w:ascii="仿宋_GB2312" w:eastAsia="仿宋_GB2312" w:cs="仿宋_GB2312"/>
                <w:color w:val="000000"/>
                <w:sz w:val="32"/>
                <w:szCs w:val="32"/>
              </w:rPr>
            </w:pPr>
            <w:r>
              <w:rPr>
                <w:rFonts w:ascii="仿宋_GB2312" w:eastAsia="仿宋_GB2312" w:cs="仿宋_GB2312" w:hint="eastAsia"/>
                <w:color w:val="000000"/>
                <w:sz w:val="32"/>
                <w:szCs w:val="32"/>
              </w:rPr>
              <w:t>0</w:t>
            </w:r>
          </w:p>
        </w:tc>
        <w:tc>
          <w:tcPr>
            <w:tcW w:w="210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pPr>
              <w:pStyle w:val="33"/>
              <w:widowControl/>
              <w:spacing w:line="560" w:lineRule="exact"/>
              <w:jc w:val="right"/>
              <w:rPr>
                <w:rFonts w:ascii="仿宋_GB2312" w:eastAsia="仿宋_GB2312" w:cs="仿宋_GB2312"/>
                <w:color w:val="000000"/>
                <w:sz w:val="32"/>
                <w:szCs w:val="32"/>
              </w:rPr>
            </w:pPr>
            <w:r>
              <w:rPr>
                <w:rFonts w:ascii="仿宋_GB2312" w:eastAsia="仿宋_GB2312" w:cs="仿宋_GB2312" w:hint="eastAsia"/>
                <w:color w:val="000000"/>
                <w:sz w:val="32"/>
                <w:szCs w:val="32"/>
              </w:rPr>
              <w:t>0</w:t>
            </w:r>
          </w:p>
        </w:tc>
      </w:tr>
      <w:tr>
        <w:trPr>
          <w:trHeight w:val="457"/>
        </w:trPr>
        <w:tc>
          <w:tcPr>
            <w:tcW w:w="356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pPr>
              <w:pStyle w:val="33"/>
              <w:widowControl/>
              <w:spacing w:line="560" w:lineRule="exact"/>
              <w:jc w:val="center"/>
              <w:rPr>
                <w:rFonts w:ascii="仿宋_GB2312" w:eastAsia="仿宋_GB2312" w:cs="仿宋_GB2312"/>
                <w:color w:val="000000"/>
                <w:sz w:val="32"/>
                <w:szCs w:val="32"/>
              </w:rPr>
            </w:pPr>
            <w:r>
              <w:rPr>
                <w:rFonts w:ascii="仿宋_GB2312" w:eastAsia="仿宋_GB2312" w:cs="仿宋_GB2312" w:hint="eastAsia"/>
                <w:color w:val="000000"/>
                <w:sz w:val="32"/>
                <w:szCs w:val="32"/>
              </w:rPr>
              <w:t>公车运行维护费</w:t>
            </w:r>
          </w:p>
        </w:tc>
        <w:tc>
          <w:tcPr>
            <w:tcW w:w="23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pPr>
              <w:pStyle w:val="33"/>
              <w:widowControl/>
              <w:spacing w:line="560" w:lineRule="exact"/>
              <w:jc w:val="right"/>
              <w:rPr>
                <w:rFonts w:ascii="仿宋_GB2312" w:eastAsia="仿宋_GB2312" w:cs="仿宋_GB2312"/>
                <w:color w:val="000000"/>
                <w:sz w:val="32"/>
                <w:szCs w:val="32"/>
              </w:rPr>
            </w:pPr>
            <w:r>
              <w:rPr>
                <w:rFonts w:ascii="仿宋_GB2312" w:eastAsia="仿宋_GB2312" w:cs="仿宋_GB2312" w:hint="eastAsia"/>
                <w:color w:val="000000"/>
                <w:sz w:val="32"/>
                <w:szCs w:val="32"/>
              </w:rPr>
              <w:t>4.49</w:t>
            </w:r>
          </w:p>
        </w:tc>
        <w:tc>
          <w:tcPr>
            <w:tcW w:w="210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pPr>
              <w:pStyle w:val="33"/>
              <w:widowControl/>
              <w:spacing w:line="560" w:lineRule="exact"/>
              <w:jc w:val="right"/>
              <w:rPr>
                <w:rFonts w:ascii="仿宋_GB2312" w:eastAsia="仿宋_GB2312" w:cs="仿宋_GB2312"/>
                <w:color w:val="000000"/>
                <w:sz w:val="32"/>
                <w:szCs w:val="32"/>
              </w:rPr>
            </w:pPr>
            <w:r>
              <w:rPr>
                <w:rFonts w:ascii="仿宋_GB2312" w:eastAsia="仿宋_GB2312" w:cs="仿宋_GB2312" w:hint="eastAsia"/>
                <w:color w:val="000000"/>
                <w:sz w:val="32"/>
                <w:szCs w:val="32"/>
              </w:rPr>
              <w:t>4.49</w:t>
            </w:r>
          </w:p>
        </w:tc>
      </w:tr>
      <w:tr>
        <w:trPr>
          <w:trHeight w:val="408"/>
        </w:trPr>
        <w:tc>
          <w:tcPr>
            <w:tcW w:w="356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pPr>
              <w:pStyle w:val="33"/>
              <w:widowControl/>
              <w:spacing w:line="560" w:lineRule="exact"/>
              <w:jc w:val="center"/>
              <w:rPr>
                <w:rFonts w:ascii="仿宋_GB2312" w:eastAsia="仿宋_GB2312" w:cs="仿宋_GB2312"/>
                <w:color w:val="000000"/>
                <w:sz w:val="32"/>
                <w:szCs w:val="32"/>
              </w:rPr>
            </w:pPr>
            <w:r>
              <w:rPr>
                <w:rFonts w:ascii="仿宋_GB2312" w:eastAsia="仿宋_GB2312" w:cs="仿宋_GB2312" w:hint="eastAsia"/>
                <w:color w:val="000000"/>
                <w:sz w:val="32"/>
                <w:szCs w:val="32"/>
              </w:rPr>
              <w:t>因公出国费用</w:t>
            </w:r>
          </w:p>
        </w:tc>
        <w:tc>
          <w:tcPr>
            <w:tcW w:w="23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pPr>
              <w:pStyle w:val="33"/>
              <w:widowControl/>
              <w:spacing w:line="560" w:lineRule="exact"/>
              <w:jc w:val="right"/>
              <w:rPr>
                <w:rFonts w:ascii="仿宋_GB2312" w:eastAsia="仿宋_GB2312" w:cs="仿宋_GB2312"/>
                <w:color w:val="000000"/>
                <w:sz w:val="32"/>
                <w:szCs w:val="32"/>
              </w:rPr>
            </w:pPr>
            <w:r>
              <w:rPr>
                <w:rFonts w:ascii="仿宋_GB2312" w:eastAsia="仿宋_GB2312" w:cs="仿宋_GB2312" w:hint="eastAsia"/>
                <w:color w:val="000000"/>
                <w:sz w:val="32"/>
                <w:szCs w:val="32"/>
              </w:rPr>
              <w:t>0</w:t>
            </w:r>
          </w:p>
        </w:tc>
        <w:tc>
          <w:tcPr>
            <w:tcW w:w="210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pPr>
              <w:pStyle w:val="33"/>
              <w:widowControl/>
              <w:spacing w:line="560" w:lineRule="exact"/>
              <w:jc w:val="right"/>
              <w:rPr>
                <w:rFonts w:ascii="仿宋_GB2312" w:eastAsia="仿宋_GB2312" w:cs="仿宋_GB2312"/>
                <w:color w:val="000000"/>
                <w:sz w:val="32"/>
                <w:szCs w:val="32"/>
              </w:rPr>
            </w:pPr>
            <w:r>
              <w:rPr>
                <w:rFonts w:ascii="仿宋_GB2312" w:eastAsia="仿宋_GB2312" w:cs="仿宋_GB2312" w:hint="eastAsia"/>
                <w:color w:val="000000"/>
                <w:sz w:val="32"/>
                <w:szCs w:val="32"/>
              </w:rPr>
              <w:t>0</w:t>
            </w:r>
          </w:p>
        </w:tc>
      </w:tr>
      <w:tr>
        <w:trPr>
          <w:trHeight w:val="408"/>
        </w:trPr>
        <w:tc>
          <w:tcPr>
            <w:tcW w:w="356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pPr>
              <w:pStyle w:val="33"/>
              <w:widowControl/>
              <w:spacing w:line="560" w:lineRule="exact"/>
              <w:jc w:val="center"/>
              <w:rPr>
                <w:rFonts w:ascii="仿宋_GB2312" w:eastAsia="仿宋_GB2312" w:cs="仿宋_GB2312"/>
                <w:color w:val="000000"/>
                <w:sz w:val="32"/>
                <w:szCs w:val="32"/>
              </w:rPr>
            </w:pPr>
            <w:r>
              <w:rPr>
                <w:rFonts w:ascii="仿宋_GB2312" w:eastAsia="仿宋_GB2312" w:cs="仿宋_GB2312" w:hint="eastAsia"/>
                <w:color w:val="000000"/>
                <w:sz w:val="32"/>
                <w:szCs w:val="32"/>
              </w:rPr>
              <w:t>公务车购置费</w:t>
            </w:r>
          </w:p>
        </w:tc>
        <w:tc>
          <w:tcPr>
            <w:tcW w:w="23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pPr>
              <w:pStyle w:val="33"/>
              <w:widowControl/>
              <w:spacing w:line="560" w:lineRule="exact"/>
              <w:jc w:val="right"/>
              <w:rPr>
                <w:rFonts w:ascii="仿宋_GB2312" w:eastAsia="仿宋_GB2312" w:cs="仿宋_GB2312"/>
                <w:color w:val="000000"/>
                <w:sz w:val="32"/>
                <w:szCs w:val="32"/>
              </w:rPr>
            </w:pPr>
            <w:r>
              <w:rPr>
                <w:rFonts w:ascii="仿宋_GB2312" w:eastAsia="仿宋_GB2312" w:cs="仿宋_GB2312" w:hint="eastAsia"/>
                <w:color w:val="000000"/>
                <w:sz w:val="32"/>
                <w:szCs w:val="32"/>
              </w:rPr>
              <w:t>0</w:t>
            </w:r>
          </w:p>
        </w:tc>
        <w:tc>
          <w:tcPr>
            <w:tcW w:w="210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pPr>
              <w:pStyle w:val="33"/>
              <w:widowControl/>
              <w:spacing w:line="560" w:lineRule="exact"/>
              <w:jc w:val="right"/>
              <w:rPr>
                <w:rFonts w:ascii="仿宋_GB2312" w:eastAsia="仿宋_GB2312" w:cs="仿宋_GB2312"/>
                <w:color w:val="000000"/>
                <w:sz w:val="32"/>
                <w:szCs w:val="32"/>
              </w:rPr>
            </w:pPr>
            <w:r>
              <w:rPr>
                <w:rFonts w:ascii="仿宋_GB2312" w:eastAsia="仿宋_GB2312" w:cs="仿宋_GB2312" w:hint="eastAsia"/>
                <w:color w:val="000000"/>
                <w:sz w:val="32"/>
                <w:szCs w:val="32"/>
              </w:rPr>
              <w:t>0</w:t>
            </w:r>
          </w:p>
        </w:tc>
      </w:tr>
      <w:tr>
        <w:trPr>
          <w:trHeight w:val="423"/>
        </w:trPr>
        <w:tc>
          <w:tcPr>
            <w:tcW w:w="356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pPr>
              <w:pStyle w:val="33"/>
              <w:widowControl/>
              <w:spacing w:line="560" w:lineRule="exact"/>
              <w:jc w:val="center"/>
              <w:rPr>
                <w:rFonts w:ascii="仿宋_GB2312" w:eastAsia="仿宋_GB2312" w:cs="仿宋_GB2312"/>
                <w:color w:val="000000"/>
                <w:sz w:val="32"/>
                <w:szCs w:val="32"/>
              </w:rPr>
            </w:pPr>
            <w:r>
              <w:rPr>
                <w:rFonts w:ascii="仿宋_GB2312" w:eastAsia="仿宋_GB2312" w:cs="仿宋_GB2312" w:hint="eastAsia"/>
                <w:color w:val="000000"/>
                <w:sz w:val="32"/>
                <w:szCs w:val="32"/>
              </w:rPr>
              <w:t>合 计</w:t>
            </w:r>
          </w:p>
        </w:tc>
        <w:tc>
          <w:tcPr>
            <w:tcW w:w="23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pPr>
              <w:pStyle w:val="33"/>
              <w:widowControl/>
              <w:spacing w:line="560" w:lineRule="exact"/>
              <w:jc w:val="right"/>
              <w:rPr>
                <w:rFonts w:ascii="仿宋_GB2312" w:eastAsia="仿宋_GB2312" w:cs="仿宋_GB2312"/>
                <w:color w:val="000000"/>
                <w:sz w:val="32"/>
                <w:szCs w:val="32"/>
              </w:rPr>
            </w:pPr>
            <w:r>
              <w:rPr>
                <w:rFonts w:ascii="仿宋_GB2312" w:eastAsia="仿宋_GB2312" w:cs="仿宋_GB2312" w:hint="eastAsia"/>
                <w:color w:val="000000"/>
                <w:sz w:val="32"/>
                <w:szCs w:val="32"/>
              </w:rPr>
              <w:t>4.49</w:t>
            </w:r>
          </w:p>
        </w:tc>
        <w:tc>
          <w:tcPr>
            <w:tcW w:w="210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pPr>
              <w:pStyle w:val="33"/>
              <w:widowControl/>
              <w:spacing w:line="560" w:lineRule="exact"/>
              <w:jc w:val="right"/>
              <w:rPr>
                <w:rFonts w:ascii="仿宋_GB2312" w:eastAsia="仿宋_GB2312" w:cs="仿宋_GB2312"/>
                <w:color w:val="000000"/>
                <w:sz w:val="32"/>
                <w:szCs w:val="32"/>
              </w:rPr>
            </w:pPr>
            <w:r>
              <w:rPr>
                <w:rFonts w:ascii="仿宋_GB2312" w:eastAsia="仿宋_GB2312" w:cs="仿宋_GB2312" w:hint="eastAsia"/>
                <w:color w:val="000000"/>
                <w:sz w:val="32"/>
                <w:szCs w:val="32"/>
              </w:rPr>
              <w:t>4.49</w:t>
            </w:r>
          </w:p>
        </w:tc>
      </w:tr>
    </w:tbl>
    <w:p>
      <w:pPr>
        <w:pStyle w:val="33"/>
        <w:widowControl/>
        <w:shd w:val="clear" w:color="auto" w:fill="FFFFFF"/>
        <w:spacing w:line="560" w:lineRule="exact"/>
        <w:ind w:firstLine="420"/>
        <w:rPr>
          <w:rFonts w:ascii="仿宋_GB2312" w:eastAsia="仿宋_GB2312" w:cs="仿宋_GB2312"/>
          <w:color w:val="000000"/>
          <w:sz w:val="32"/>
          <w:szCs w:val="32"/>
        </w:rPr>
      </w:pPr>
      <w:r>
        <w:rPr>
          <w:rFonts w:ascii="仿宋_GB2312" w:eastAsia="仿宋_GB2312" w:cs="仿宋_GB2312" w:hint="eastAsia"/>
          <w:color w:val="000000"/>
          <w:sz w:val="32"/>
          <w:szCs w:val="32"/>
          <w:shd w:val="clear" w:color="auto" w:fill="FFFFFF"/>
        </w:rPr>
        <w:t>（2）“三公”经费预算执行比较情况（单位：万元）：</w:t>
      </w:r>
    </w:p>
    <w:tbl>
      <w:tblPr>
        <w:jc w:val="center"/>
        <w:tblW w:w="849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0" w:type="dxa"/>
          <w:bottom w:w="0" w:type="dxa"/>
          <w:right w:w="0" w:type="dxa"/>
        </w:tblCellMar>
      </w:tblPr>
      <w:tblGrid>
        <w:gridCol w:w="3042"/>
        <w:gridCol w:w="1738"/>
        <w:gridCol w:w="1645"/>
        <w:gridCol w:w="2065"/>
      </w:tblGrid>
      <w:tr>
        <w:trPr>
          <w:trHeight w:val="454"/>
          <w:tblHeader/>
        </w:trPr>
        <w:tc>
          <w:tcPr>
            <w:tcW w:w="3042" w:type="dxa"/>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pPr>
              <w:pStyle w:val="33"/>
              <w:widowControl/>
              <w:spacing w:line="560" w:lineRule="exact"/>
              <w:jc w:val="center"/>
              <w:rPr>
                <w:rFonts w:ascii="仿宋_GB2312" w:eastAsia="仿宋_GB2312" w:cs="仿宋_GB2312"/>
                <w:color w:val="000000"/>
                <w:sz w:val="32"/>
                <w:szCs w:val="32"/>
              </w:rPr>
            </w:pPr>
            <w:r>
              <w:rPr>
                <w:rFonts w:ascii="仿宋_GB2312" w:eastAsia="仿宋_GB2312" w:cs="仿宋_GB2312" w:hint="eastAsia"/>
                <w:color w:val="000000"/>
                <w:sz w:val="32"/>
                <w:szCs w:val="32"/>
              </w:rPr>
              <w:t>费用项目</w:t>
            </w:r>
          </w:p>
        </w:tc>
        <w:tc>
          <w:tcPr>
            <w:tcW w:w="173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pPr>
              <w:pStyle w:val="33"/>
              <w:widowControl/>
              <w:spacing w:line="560" w:lineRule="exact"/>
              <w:jc w:val="center"/>
              <w:rPr>
                <w:rFonts w:ascii="仿宋_GB2312" w:eastAsia="仿宋_GB2312" w:cs="仿宋_GB2312"/>
                <w:color w:val="000000"/>
                <w:sz w:val="32"/>
                <w:szCs w:val="32"/>
              </w:rPr>
            </w:pPr>
            <w:r>
              <w:rPr>
                <w:rFonts w:ascii="仿宋_GB2312" w:eastAsia="仿宋_GB2312" w:cs="仿宋_GB2312" w:hint="eastAsia"/>
                <w:color w:val="000000"/>
                <w:sz w:val="32"/>
                <w:szCs w:val="32"/>
              </w:rPr>
              <w:t>预算金额</w:t>
            </w:r>
          </w:p>
        </w:tc>
        <w:tc>
          <w:tcPr>
            <w:tcW w:w="16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pPr>
              <w:pStyle w:val="33"/>
              <w:widowControl/>
              <w:spacing w:line="560" w:lineRule="exact"/>
              <w:jc w:val="center"/>
              <w:rPr>
                <w:rFonts w:ascii="仿宋_GB2312" w:eastAsia="仿宋_GB2312" w:cs="仿宋_GB2312"/>
                <w:color w:val="000000"/>
                <w:sz w:val="32"/>
                <w:szCs w:val="32"/>
              </w:rPr>
            </w:pPr>
            <w:r>
              <w:rPr>
                <w:rFonts w:ascii="仿宋_GB2312" w:eastAsia="仿宋_GB2312" w:cs="仿宋_GB2312" w:hint="eastAsia"/>
                <w:color w:val="000000"/>
                <w:sz w:val="32"/>
                <w:szCs w:val="32"/>
              </w:rPr>
              <w:t>决算金额</w:t>
            </w:r>
          </w:p>
        </w:tc>
        <w:tc>
          <w:tcPr>
            <w:tcW w:w="20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pPr>
              <w:pStyle w:val="33"/>
              <w:widowControl/>
              <w:spacing w:line="560" w:lineRule="exact"/>
              <w:jc w:val="center"/>
              <w:rPr>
                <w:rFonts w:ascii="仿宋_GB2312" w:eastAsia="仿宋_GB2312" w:cs="仿宋_GB2312"/>
                <w:color w:val="000000"/>
                <w:sz w:val="32"/>
                <w:szCs w:val="32"/>
              </w:rPr>
            </w:pPr>
            <w:r>
              <w:rPr>
                <w:rFonts w:ascii="仿宋_GB2312" w:eastAsia="仿宋_GB2312" w:cs="仿宋_GB2312" w:hint="eastAsia"/>
                <w:color w:val="000000"/>
                <w:sz w:val="32"/>
                <w:szCs w:val="32"/>
              </w:rPr>
              <w:t>差额（预-决）</w:t>
            </w:r>
          </w:p>
        </w:tc>
      </w:tr>
      <w:tr>
        <w:trPr>
          <w:trHeight w:val="150"/>
          <w:tblHeader/>
        </w:trPr>
        <w:tc>
          <w:tcPr>
            <w:tcW w:w="3042" w:type="dxa"/>
            <w:vMerge/>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tc>
        <w:tc>
          <w:tcPr>
            <w:tcW w:w="173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pPr>
              <w:pStyle w:val="33"/>
              <w:widowControl/>
              <w:spacing w:line="560" w:lineRule="exact"/>
              <w:jc w:val="center"/>
              <w:rPr>
                <w:rFonts w:ascii="仿宋_GB2312" w:eastAsia="仿宋_GB2312" w:cs="仿宋_GB2312"/>
                <w:color w:val="000000"/>
                <w:sz w:val="32"/>
                <w:szCs w:val="32"/>
              </w:rPr>
            </w:pPr>
            <w:r>
              <w:rPr>
                <w:rFonts w:ascii="仿宋_GB2312" w:eastAsia="仿宋_GB2312" w:cs="仿宋_GB2312" w:hint="eastAsia"/>
                <w:color w:val="000000"/>
                <w:sz w:val="32"/>
                <w:szCs w:val="32"/>
              </w:rPr>
              <w:t>基本支出</w:t>
            </w:r>
          </w:p>
        </w:tc>
        <w:tc>
          <w:tcPr>
            <w:tcW w:w="16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pPr>
              <w:pStyle w:val="33"/>
              <w:widowControl/>
              <w:spacing w:line="560" w:lineRule="exact"/>
              <w:jc w:val="center"/>
              <w:rPr>
                <w:rFonts w:ascii="仿宋_GB2312" w:eastAsia="仿宋_GB2312" w:cs="仿宋_GB2312"/>
                <w:color w:val="000000"/>
                <w:sz w:val="32"/>
                <w:szCs w:val="32"/>
              </w:rPr>
            </w:pPr>
            <w:r>
              <w:rPr>
                <w:rFonts w:ascii="仿宋_GB2312" w:eastAsia="仿宋_GB2312" w:cs="仿宋_GB2312" w:hint="eastAsia"/>
                <w:color w:val="000000"/>
                <w:sz w:val="32"/>
                <w:szCs w:val="32"/>
              </w:rPr>
              <w:t>基本支出</w:t>
            </w:r>
          </w:p>
        </w:tc>
        <w:tc>
          <w:tcPr>
            <w:tcW w:w="20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pPr>
              <w:pStyle w:val="33"/>
              <w:widowControl/>
              <w:spacing w:line="560" w:lineRule="exact"/>
              <w:jc w:val="center"/>
              <w:rPr>
                <w:rFonts w:ascii="仿宋_GB2312" w:eastAsia="仿宋_GB2312" w:cs="仿宋_GB2312"/>
                <w:color w:val="000000"/>
                <w:sz w:val="32"/>
                <w:szCs w:val="32"/>
              </w:rPr>
            </w:pPr>
            <w:r>
              <w:rPr>
                <w:rFonts w:ascii="仿宋_GB2312" w:eastAsia="仿宋_GB2312" w:cs="仿宋_GB2312" w:hint="eastAsia"/>
                <w:color w:val="000000"/>
                <w:sz w:val="32"/>
                <w:szCs w:val="32"/>
              </w:rPr>
              <w:t>基本支出</w:t>
            </w:r>
          </w:p>
        </w:tc>
      </w:tr>
      <w:tr>
        <w:trPr>
          <w:trHeight w:val="407"/>
        </w:trPr>
        <w:tc>
          <w:tcPr>
            <w:tcW w:w="304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pPr>
              <w:pStyle w:val="33"/>
              <w:widowControl/>
              <w:spacing w:line="560" w:lineRule="exact"/>
              <w:jc w:val="center"/>
              <w:rPr>
                <w:rFonts w:ascii="仿宋_GB2312" w:eastAsia="仿宋_GB2312" w:cs="仿宋_GB2312"/>
                <w:color w:val="000000"/>
                <w:sz w:val="32"/>
                <w:szCs w:val="32"/>
              </w:rPr>
            </w:pPr>
            <w:r>
              <w:rPr>
                <w:rFonts w:ascii="仿宋_GB2312" w:eastAsia="仿宋_GB2312" w:cs="仿宋_GB2312" w:hint="eastAsia"/>
                <w:color w:val="000000"/>
                <w:sz w:val="32"/>
                <w:szCs w:val="32"/>
              </w:rPr>
              <w:t>公务接待费</w:t>
            </w:r>
          </w:p>
        </w:tc>
        <w:tc>
          <w:tcPr>
            <w:tcW w:w="173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pPr>
              <w:pStyle w:val="33"/>
              <w:widowControl/>
              <w:spacing w:line="560" w:lineRule="exact"/>
              <w:jc w:val="right"/>
              <w:rPr>
                <w:rFonts w:ascii="仿宋_GB2312" w:eastAsia="仿宋_GB2312" w:cs="仿宋_GB2312"/>
                <w:color w:val="000000"/>
                <w:sz w:val="32"/>
                <w:szCs w:val="32"/>
              </w:rPr>
            </w:pPr>
          </w:p>
        </w:tc>
        <w:tc>
          <w:tcPr>
            <w:tcW w:w="16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pPr>
              <w:pStyle w:val="33"/>
              <w:widowControl/>
              <w:spacing w:line="560" w:lineRule="exact"/>
              <w:jc w:val="center"/>
              <w:rPr>
                <w:rFonts w:ascii="仿宋_GB2312" w:eastAsia="仿宋_GB2312" w:cs="仿宋_GB2312"/>
                <w:color w:val="000000"/>
                <w:sz w:val="32"/>
                <w:szCs w:val="32"/>
              </w:rPr>
            </w:pPr>
            <w:r>
              <w:rPr>
                <w:rFonts w:ascii="仿宋_GB2312" w:eastAsia="仿宋_GB2312" w:cs="仿宋_GB2312" w:hint="eastAsia"/>
                <w:color w:val="000000"/>
                <w:sz w:val="32"/>
                <w:szCs w:val="32"/>
              </w:rPr>
              <w:t>0</w:t>
            </w:r>
          </w:p>
        </w:tc>
        <w:tc>
          <w:tcPr>
            <w:tcW w:w="20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pPr>
              <w:pStyle w:val="33"/>
              <w:widowControl/>
              <w:spacing w:line="560" w:lineRule="exact"/>
              <w:jc w:val="center"/>
              <w:rPr>
                <w:rFonts w:ascii="仿宋_GB2312" w:eastAsia="仿宋_GB2312" w:cs="仿宋_GB2312"/>
                <w:color w:val="000000"/>
                <w:sz w:val="32"/>
                <w:szCs w:val="32"/>
              </w:rPr>
            </w:pPr>
            <w:r>
              <w:rPr>
                <w:rFonts w:ascii="仿宋_GB2312" w:eastAsia="仿宋_GB2312" w:cs="仿宋_GB2312" w:hint="eastAsia"/>
                <w:color w:val="000000"/>
                <w:sz w:val="32"/>
                <w:szCs w:val="32"/>
              </w:rPr>
              <w:t>0</w:t>
            </w:r>
          </w:p>
        </w:tc>
      </w:tr>
      <w:tr>
        <w:trPr>
          <w:trHeight w:val="407"/>
        </w:trPr>
        <w:tc>
          <w:tcPr>
            <w:tcW w:w="304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pPr>
              <w:pStyle w:val="33"/>
              <w:widowControl/>
              <w:spacing w:line="560" w:lineRule="exact"/>
              <w:jc w:val="center"/>
              <w:rPr>
                <w:rFonts w:ascii="仿宋_GB2312" w:eastAsia="仿宋_GB2312" w:cs="仿宋_GB2312"/>
                <w:color w:val="000000"/>
                <w:sz w:val="32"/>
                <w:szCs w:val="32"/>
              </w:rPr>
            </w:pPr>
            <w:r>
              <w:rPr>
                <w:rFonts w:ascii="仿宋_GB2312" w:eastAsia="仿宋_GB2312" w:cs="仿宋_GB2312" w:hint="eastAsia"/>
                <w:color w:val="000000"/>
                <w:sz w:val="32"/>
                <w:szCs w:val="32"/>
              </w:rPr>
              <w:t>公车运行维护费</w:t>
            </w:r>
          </w:p>
        </w:tc>
        <w:tc>
          <w:tcPr>
            <w:tcW w:w="173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pPr>
              <w:pStyle w:val="33"/>
              <w:widowControl/>
              <w:spacing w:line="560" w:lineRule="exact"/>
              <w:jc w:val="right"/>
              <w:rPr>
                <w:rFonts w:ascii="仿宋_GB2312" w:eastAsia="仿宋_GB2312" w:cs="仿宋_GB2312"/>
                <w:color w:val="000000"/>
                <w:sz w:val="32"/>
                <w:szCs w:val="32"/>
              </w:rPr>
            </w:pPr>
            <w:r>
              <w:rPr>
                <w:rFonts w:ascii="仿宋_GB2312" w:eastAsia="仿宋_GB2312" w:cs="仿宋_GB2312" w:hint="eastAsia"/>
                <w:color w:val="000000"/>
                <w:sz w:val="32"/>
                <w:szCs w:val="32"/>
              </w:rPr>
              <w:t>5.60</w:t>
            </w:r>
          </w:p>
        </w:tc>
        <w:tc>
          <w:tcPr>
            <w:tcW w:w="16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pPr>
              <w:pStyle w:val="33"/>
              <w:widowControl/>
              <w:spacing w:line="560" w:lineRule="exact"/>
              <w:jc w:val="center"/>
              <w:rPr>
                <w:rFonts w:ascii="仿宋_GB2312" w:eastAsia="仿宋_GB2312" w:cs="仿宋_GB2312"/>
                <w:color w:val="000000"/>
                <w:sz w:val="32"/>
                <w:szCs w:val="32"/>
              </w:rPr>
            </w:pPr>
            <w:r>
              <w:rPr>
                <w:rFonts w:ascii="仿宋_GB2312" w:eastAsia="仿宋_GB2312" w:cs="仿宋_GB2312" w:hint="eastAsia"/>
                <w:color w:val="000000"/>
                <w:sz w:val="32"/>
                <w:szCs w:val="32"/>
              </w:rPr>
              <w:t>4.49</w:t>
            </w:r>
          </w:p>
        </w:tc>
        <w:tc>
          <w:tcPr>
            <w:tcW w:w="20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pPr>
              <w:pStyle w:val="33"/>
              <w:widowControl/>
              <w:spacing w:line="560" w:lineRule="exact"/>
              <w:jc w:val="center"/>
              <w:rPr>
                <w:rFonts w:ascii="仿宋_GB2312" w:eastAsia="仿宋_GB2312" w:cs="仿宋_GB2312"/>
                <w:color w:val="000000"/>
                <w:sz w:val="32"/>
                <w:szCs w:val="32"/>
              </w:rPr>
            </w:pPr>
            <w:r>
              <w:rPr>
                <w:rFonts w:ascii="仿宋_GB2312" w:eastAsia="仿宋_GB2312" w:cs="仿宋_GB2312" w:hint="eastAsia"/>
                <w:color w:val="000000"/>
                <w:sz w:val="32"/>
                <w:szCs w:val="32"/>
              </w:rPr>
              <w:t>1.11</w:t>
            </w:r>
          </w:p>
        </w:tc>
      </w:tr>
      <w:tr>
        <w:trPr>
          <w:trHeight w:val="423"/>
        </w:trPr>
        <w:tc>
          <w:tcPr>
            <w:tcW w:w="304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pPr>
              <w:pStyle w:val="33"/>
              <w:widowControl/>
              <w:spacing w:line="560" w:lineRule="exact"/>
              <w:jc w:val="center"/>
              <w:rPr>
                <w:rFonts w:ascii="仿宋_GB2312" w:eastAsia="仿宋_GB2312" w:cs="仿宋_GB2312"/>
                <w:color w:val="000000"/>
                <w:sz w:val="32"/>
                <w:szCs w:val="32"/>
              </w:rPr>
            </w:pPr>
            <w:r>
              <w:rPr>
                <w:rFonts w:ascii="仿宋_GB2312" w:eastAsia="仿宋_GB2312" w:cs="仿宋_GB2312" w:hint="eastAsia"/>
                <w:color w:val="000000"/>
                <w:sz w:val="32"/>
                <w:szCs w:val="32"/>
              </w:rPr>
              <w:t>因公出国费用</w:t>
            </w:r>
          </w:p>
        </w:tc>
        <w:tc>
          <w:tcPr>
            <w:tcW w:w="173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pPr>
              <w:pStyle w:val="33"/>
              <w:widowControl/>
              <w:spacing w:line="560" w:lineRule="exact"/>
              <w:jc w:val="right"/>
              <w:rPr>
                <w:rFonts w:ascii="仿宋_GB2312" w:eastAsia="仿宋_GB2312" w:cs="仿宋_GB2312"/>
                <w:color w:val="000000"/>
                <w:sz w:val="32"/>
                <w:szCs w:val="32"/>
              </w:rPr>
            </w:pPr>
            <w:r>
              <w:rPr>
                <w:rFonts w:ascii="仿宋_GB2312" w:eastAsia="仿宋_GB2312" w:cs="仿宋_GB2312" w:hint="eastAsia"/>
                <w:color w:val="000000"/>
                <w:sz w:val="32"/>
                <w:szCs w:val="32"/>
              </w:rPr>
              <w:t>0</w:t>
            </w:r>
          </w:p>
        </w:tc>
        <w:tc>
          <w:tcPr>
            <w:tcW w:w="16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pPr>
              <w:pStyle w:val="33"/>
              <w:widowControl/>
              <w:spacing w:line="560" w:lineRule="exact"/>
              <w:jc w:val="center"/>
              <w:rPr>
                <w:rFonts w:ascii="仿宋_GB2312" w:eastAsia="仿宋_GB2312" w:cs="仿宋_GB2312"/>
                <w:color w:val="000000"/>
                <w:sz w:val="32"/>
                <w:szCs w:val="32"/>
              </w:rPr>
            </w:pPr>
            <w:r>
              <w:rPr>
                <w:rFonts w:ascii="仿宋_GB2312" w:eastAsia="仿宋_GB2312" w:cs="仿宋_GB2312" w:hint="eastAsia"/>
                <w:color w:val="000000"/>
                <w:sz w:val="32"/>
                <w:szCs w:val="32"/>
              </w:rPr>
              <w:t>0</w:t>
            </w:r>
          </w:p>
        </w:tc>
        <w:tc>
          <w:tcPr>
            <w:tcW w:w="20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pPr>
              <w:pStyle w:val="33"/>
              <w:widowControl/>
              <w:spacing w:line="560" w:lineRule="exact"/>
              <w:jc w:val="center"/>
              <w:rPr>
                <w:rFonts w:ascii="仿宋_GB2312" w:eastAsia="仿宋_GB2312" w:cs="仿宋_GB2312"/>
                <w:color w:val="000000"/>
                <w:sz w:val="32"/>
                <w:szCs w:val="32"/>
              </w:rPr>
            </w:pPr>
            <w:r>
              <w:rPr>
                <w:rFonts w:ascii="仿宋_GB2312" w:eastAsia="仿宋_GB2312" w:cs="仿宋_GB2312" w:hint="eastAsia"/>
                <w:color w:val="000000"/>
                <w:sz w:val="32"/>
                <w:szCs w:val="32"/>
              </w:rPr>
              <w:t>0</w:t>
            </w:r>
          </w:p>
        </w:tc>
      </w:tr>
      <w:tr>
        <w:trPr>
          <w:trHeight w:val="423"/>
        </w:trPr>
        <w:tc>
          <w:tcPr>
            <w:tcW w:w="304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pPr>
              <w:pStyle w:val="33"/>
              <w:widowControl/>
              <w:spacing w:line="560" w:lineRule="exact"/>
              <w:jc w:val="center"/>
              <w:rPr>
                <w:rFonts w:ascii="仿宋_GB2312" w:eastAsia="仿宋_GB2312" w:cs="仿宋_GB2312"/>
                <w:color w:val="000000"/>
                <w:sz w:val="32"/>
                <w:szCs w:val="32"/>
              </w:rPr>
            </w:pPr>
            <w:r>
              <w:rPr>
                <w:rFonts w:ascii="仿宋_GB2312" w:eastAsia="仿宋_GB2312" w:cs="仿宋_GB2312" w:hint="eastAsia"/>
                <w:color w:val="000000"/>
                <w:sz w:val="32"/>
                <w:szCs w:val="32"/>
              </w:rPr>
              <w:t>公务车购置费</w:t>
            </w:r>
          </w:p>
        </w:tc>
        <w:tc>
          <w:tcPr>
            <w:tcW w:w="173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pPr>
              <w:pStyle w:val="33"/>
              <w:widowControl/>
              <w:spacing w:line="560" w:lineRule="exact"/>
              <w:jc w:val="right"/>
              <w:rPr>
                <w:rFonts w:ascii="仿宋_GB2312" w:eastAsia="仿宋_GB2312" w:cs="仿宋_GB2312"/>
                <w:color w:val="000000"/>
                <w:sz w:val="32"/>
                <w:szCs w:val="32"/>
              </w:rPr>
            </w:pPr>
            <w:r>
              <w:rPr>
                <w:rFonts w:ascii="仿宋_GB2312" w:eastAsia="仿宋_GB2312" w:cs="仿宋_GB2312" w:hint="eastAsia"/>
                <w:color w:val="000000"/>
                <w:sz w:val="32"/>
                <w:szCs w:val="32"/>
              </w:rPr>
              <w:t>0</w:t>
            </w:r>
          </w:p>
        </w:tc>
        <w:tc>
          <w:tcPr>
            <w:tcW w:w="16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pPr>
              <w:pStyle w:val="33"/>
              <w:widowControl/>
              <w:spacing w:line="560" w:lineRule="exact"/>
              <w:jc w:val="center"/>
              <w:rPr>
                <w:rFonts w:ascii="仿宋_GB2312" w:eastAsia="仿宋_GB2312" w:cs="仿宋_GB2312"/>
                <w:color w:val="000000"/>
                <w:sz w:val="32"/>
                <w:szCs w:val="32"/>
              </w:rPr>
            </w:pPr>
            <w:r>
              <w:rPr>
                <w:rFonts w:ascii="仿宋_GB2312" w:eastAsia="仿宋_GB2312" w:cs="仿宋_GB2312" w:hint="eastAsia"/>
                <w:color w:val="000000"/>
                <w:sz w:val="32"/>
                <w:szCs w:val="32"/>
              </w:rPr>
              <w:t>0</w:t>
            </w:r>
          </w:p>
        </w:tc>
        <w:tc>
          <w:tcPr>
            <w:tcW w:w="20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pPr>
              <w:pStyle w:val="33"/>
              <w:widowControl/>
              <w:spacing w:line="560" w:lineRule="exact"/>
              <w:jc w:val="center"/>
              <w:rPr>
                <w:rFonts w:ascii="仿宋_GB2312" w:eastAsia="仿宋_GB2312" w:cs="仿宋_GB2312"/>
                <w:color w:val="000000"/>
                <w:sz w:val="32"/>
                <w:szCs w:val="32"/>
              </w:rPr>
            </w:pPr>
            <w:r>
              <w:rPr>
                <w:rFonts w:ascii="仿宋_GB2312" w:eastAsia="仿宋_GB2312" w:cs="仿宋_GB2312" w:hint="eastAsia"/>
                <w:color w:val="000000"/>
                <w:sz w:val="32"/>
                <w:szCs w:val="32"/>
              </w:rPr>
              <w:t>0</w:t>
            </w:r>
          </w:p>
        </w:tc>
      </w:tr>
      <w:tr>
        <w:trPr>
          <w:trHeight w:val="423"/>
        </w:trPr>
        <w:tc>
          <w:tcPr>
            <w:tcW w:w="304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pPr>
              <w:pStyle w:val="33"/>
              <w:widowControl/>
              <w:spacing w:line="560" w:lineRule="exact"/>
              <w:jc w:val="center"/>
              <w:rPr>
                <w:rFonts w:ascii="仿宋_GB2312" w:eastAsia="仿宋_GB2312" w:cs="仿宋_GB2312"/>
                <w:color w:val="000000"/>
                <w:sz w:val="32"/>
                <w:szCs w:val="32"/>
              </w:rPr>
            </w:pPr>
            <w:r>
              <w:rPr>
                <w:rFonts w:ascii="仿宋_GB2312" w:eastAsia="仿宋_GB2312" w:cs="仿宋_GB2312" w:hint="eastAsia"/>
                <w:color w:val="000000"/>
                <w:sz w:val="32"/>
                <w:szCs w:val="32"/>
              </w:rPr>
              <w:t>合 计</w:t>
            </w:r>
          </w:p>
        </w:tc>
        <w:tc>
          <w:tcPr>
            <w:tcW w:w="173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pPr>
              <w:pStyle w:val="33"/>
              <w:widowControl/>
              <w:spacing w:line="560" w:lineRule="exact"/>
              <w:jc w:val="right"/>
              <w:rPr>
                <w:rFonts w:ascii="仿宋_GB2312" w:eastAsia="仿宋_GB2312" w:cs="仿宋_GB2312"/>
                <w:color w:val="000000"/>
                <w:sz w:val="32"/>
                <w:szCs w:val="32"/>
              </w:rPr>
            </w:pPr>
            <w:r>
              <w:rPr>
                <w:rFonts w:ascii="仿宋_GB2312" w:eastAsia="仿宋_GB2312" w:cs="仿宋_GB2312" w:hint="eastAsia"/>
                <w:color w:val="000000"/>
                <w:sz w:val="32"/>
                <w:szCs w:val="32"/>
              </w:rPr>
              <w:t>5.60</w:t>
            </w:r>
          </w:p>
        </w:tc>
        <w:tc>
          <w:tcPr>
            <w:tcW w:w="16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pPr>
              <w:pStyle w:val="33"/>
              <w:widowControl/>
              <w:spacing w:line="560" w:lineRule="exact"/>
              <w:jc w:val="center"/>
              <w:rPr>
                <w:rFonts w:ascii="仿宋_GB2312" w:eastAsia="仿宋_GB2312" w:cs="仿宋_GB2312"/>
                <w:color w:val="000000"/>
                <w:sz w:val="32"/>
                <w:szCs w:val="32"/>
              </w:rPr>
            </w:pPr>
            <w:r>
              <w:rPr>
                <w:rFonts w:ascii="仿宋_GB2312" w:eastAsia="仿宋_GB2312" w:cs="仿宋_GB2312" w:hint="eastAsia"/>
                <w:color w:val="000000"/>
                <w:sz w:val="32"/>
                <w:szCs w:val="32"/>
              </w:rPr>
              <w:t>4.49</w:t>
            </w:r>
          </w:p>
        </w:tc>
        <w:tc>
          <w:tcPr>
            <w:tcW w:w="20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pPr>
              <w:pStyle w:val="33"/>
              <w:widowControl/>
              <w:spacing w:line="560" w:lineRule="exact"/>
              <w:jc w:val="center"/>
              <w:rPr>
                <w:rFonts w:ascii="仿宋_GB2312" w:eastAsia="仿宋_GB2312" w:cs="仿宋_GB2312"/>
                <w:color w:val="000000"/>
                <w:sz w:val="32"/>
                <w:szCs w:val="32"/>
              </w:rPr>
            </w:pPr>
            <w:r>
              <w:rPr>
                <w:rFonts w:ascii="仿宋_GB2312" w:eastAsia="仿宋_GB2312" w:cs="仿宋_GB2312" w:hint="eastAsia"/>
                <w:color w:val="000000"/>
                <w:sz w:val="32"/>
                <w:szCs w:val="32"/>
              </w:rPr>
              <w:t>1.11</w:t>
            </w:r>
          </w:p>
        </w:tc>
      </w:tr>
    </w:tbl>
    <w:p>
      <w:pPr>
        <w:widowControl/>
        <w:adjustRightInd w:val="0"/>
        <w:snapToGrid w:val="0"/>
        <w:spacing w:line="580" w:lineRule="exact"/>
        <w:ind w:firstLineChars="200" w:firstLine="420"/>
        <w:contextualSpacing/>
        <w:rPr>
          <w:rFonts w:ascii="仿宋_GB2312" w:cs="宋体" w:hAnsi="仿宋_GB2312"/>
          <w:color w:val="000000"/>
          <w:kern w:val="0"/>
          <w:szCs w:val="32"/>
          <w:shd w:val="clear" w:color="auto" w:fill="FFFFFF"/>
        </w:rPr>
      </w:pPr>
    </w:p>
    <w:p>
      <w:pPr>
        <w:widowControl/>
        <w:adjustRightInd w:val="0"/>
        <w:snapToGrid w:val="0"/>
        <w:spacing w:line="580" w:lineRule="exact"/>
        <w:ind w:firstLineChars="200" w:firstLine="420"/>
        <w:contextualSpacing/>
        <w:jc w:val="left"/>
        <w:rPr>
          <w:rFonts w:ascii="黑体" w:eastAsia="黑体" w:cs="宋体"/>
          <w:color w:val="000000"/>
          <w:kern w:val="0"/>
          <w:szCs w:val="32"/>
          <w:shd w:val="clear" w:color="auto" w:fill="FFFFFF"/>
        </w:rPr>
      </w:pPr>
      <w:r>
        <w:rPr>
          <w:rFonts w:ascii="黑体" w:eastAsia="黑体" w:cs="宋体" w:hint="eastAsia"/>
          <w:color w:val="000000"/>
          <w:kern w:val="0"/>
          <w:szCs w:val="32"/>
          <w:shd w:val="clear" w:color="auto" w:fill="FFFFFF"/>
        </w:rPr>
        <w:t>三、部门整体预算绩效管理情况</w:t>
      </w:r>
    </w:p>
    <w:p>
      <w:pPr>
        <w:widowControl/>
        <w:adjustRightInd w:val="0"/>
        <w:snapToGrid w:val="0"/>
        <w:spacing w:line="580" w:lineRule="exact"/>
        <w:ind w:firstLineChars="200" w:firstLine="420"/>
        <w:contextualSpacing/>
        <w:jc w:val="left"/>
        <w:rPr>
          <w:rFonts w:ascii="楷体_GB2312" w:eastAsia="楷体_GB2312" w:cs="楷体_GB2312"/>
          <w:b/>
          <w:bCs/>
          <w:color w:val="000000"/>
          <w:kern w:val="0"/>
          <w:szCs w:val="32"/>
          <w:shd w:val="clear" w:color="auto" w:fill="FFFFFF"/>
          <w:lang w:val="zh-CN"/>
        </w:rPr>
      </w:pPr>
      <w:r>
        <w:rPr>
          <w:rFonts w:ascii="楷体_GB2312" w:eastAsia="楷体_GB2312" w:cs="楷体_GB2312" w:hint="eastAsia"/>
          <w:b/>
          <w:bCs/>
          <w:color w:val="000000"/>
          <w:kern w:val="0"/>
          <w:szCs w:val="32"/>
          <w:shd w:val="clear" w:color="auto" w:fill="FFFFFF"/>
          <w:lang w:val="zh-CN"/>
        </w:rPr>
        <w:t>（一）部门预算管理</w:t>
      </w:r>
    </w:p>
    <w:p>
      <w:pPr>
        <w:widowControl/>
        <w:adjustRightInd w:val="0"/>
        <w:snapToGrid w:val="0"/>
        <w:spacing w:line="580" w:lineRule="exact"/>
        <w:ind w:firstLineChars="200" w:firstLine="420"/>
        <w:contextualSpacing/>
        <w:jc w:val="left"/>
        <w:rPr>
          <w:rFonts w:ascii="仿宋_GB2312" w:cs="宋体" w:hAnsi="仿宋_GB2312"/>
          <w:b/>
          <w:bCs/>
          <w:color w:val="000000"/>
          <w:kern w:val="0"/>
          <w:szCs w:val="32"/>
          <w:shd w:val="clear" w:color="auto" w:fill="FFFFFF"/>
        </w:rPr>
      </w:pPr>
      <w:r>
        <w:rPr>
          <w:rFonts w:ascii="仿宋_GB2312" w:cs="宋体" w:hAnsi="仿宋_GB2312"/>
          <w:b/>
          <w:bCs/>
          <w:color w:val="000000"/>
          <w:kern w:val="0"/>
          <w:szCs w:val="32"/>
          <w:shd w:val="clear" w:color="auto" w:fill="FFFFFF"/>
        </w:rPr>
        <w:t>1</w:t>
      </w:r>
      <w:r>
        <w:rPr>
          <w:rFonts w:ascii="仿宋_GB2312" w:cs="宋体" w:hAnsi="仿宋_GB2312" w:hint="eastAsia"/>
          <w:b/>
          <w:bCs/>
          <w:color w:val="000000"/>
          <w:kern w:val="0"/>
          <w:szCs w:val="32"/>
          <w:shd w:val="clear" w:color="auto" w:fill="FFFFFF"/>
        </w:rPr>
        <w:t>、单位预算管理</w:t>
      </w:r>
    </w:p>
    <w:p>
      <w:pPr>
        <w:widowControl/>
        <w:adjustRightInd w:val="0"/>
        <w:snapToGrid w:val="0"/>
        <w:spacing w:line="580" w:lineRule="exact"/>
        <w:ind w:firstLineChars="200" w:firstLine="420"/>
        <w:contextualSpacing/>
        <w:jc w:val="left"/>
        <w:rPr>
          <w:rFonts w:ascii="仿宋_GB2312" w:cs="宋体" w:hAnsi="仿宋_GB2312"/>
          <w:color w:val="000000"/>
          <w:kern w:val="0"/>
          <w:szCs w:val="32"/>
          <w:shd w:val="clear" w:color="auto" w:fill="FFFFFF"/>
        </w:rPr>
      </w:pPr>
      <w:r>
        <w:rPr>
          <w:rFonts w:ascii="仿宋_GB2312" w:cs="宋体" w:hAnsi="仿宋_GB2312" w:hint="eastAsia"/>
          <w:color w:val="000000"/>
          <w:kern w:val="0"/>
          <w:szCs w:val="32"/>
          <w:shd w:val="clear" w:color="auto" w:fill="FFFFFF"/>
          <w:lang w:val="zh-CN"/>
        </w:rPr>
        <w:t>为确保年度预算编制更加科学、精确、完善，我中心严格依照“统筹兼顾、厉行节约、保障重点、注重绩效”的原则，结合重点工作需要，规范编制部门预算，切实提高预算编制质量。</w:t>
      </w:r>
      <w:r>
        <w:rPr>
          <w:rFonts w:ascii="仿宋_GB2312" w:cs="宋体" w:hAnsi="仿宋_GB2312" w:hint="eastAsia"/>
          <w:b/>
          <w:bCs/>
          <w:color w:val="000000"/>
          <w:kern w:val="0"/>
          <w:szCs w:val="32"/>
          <w:shd w:val="clear" w:color="auto" w:fill="FFFFFF"/>
          <w:lang w:val="zh-CN"/>
        </w:rPr>
        <w:t>一是</w:t>
      </w:r>
      <w:r>
        <w:rPr>
          <w:rFonts w:ascii="仿宋_GB2312" w:cs="宋体" w:hAnsi="仿宋_GB2312" w:hint="eastAsia"/>
          <w:color w:val="000000"/>
          <w:kern w:val="0"/>
          <w:szCs w:val="32"/>
          <w:shd w:val="clear" w:color="auto" w:fill="FFFFFF"/>
          <w:lang w:val="zh-CN"/>
        </w:rPr>
        <w:t>夯实预算编制基础。认真核实中心人员编制、车辆编制，准确掌握中心实有在职、离退休人员人数及各职级情况，公务用车实有数量，据此测算出</w:t>
      </w:r>
      <w:r>
        <w:rPr>
          <w:rFonts w:ascii="仿宋_GB2312" w:cs="宋体" w:hAnsi="仿宋_GB2312" w:hint="eastAsia"/>
          <w:color w:val="000000"/>
          <w:kern w:val="0"/>
          <w:szCs w:val="32"/>
          <w:shd w:val="clear" w:color="auto" w:fill="FFFFFF"/>
        </w:rPr>
        <w:t>2022年度人员经费、公用经费、公务用车运行及维护费的需求量。</w:t>
      </w:r>
      <w:r>
        <w:rPr>
          <w:rFonts w:ascii="仿宋_GB2312" w:cs="宋体" w:hAnsi="仿宋_GB2312" w:hint="eastAsia"/>
          <w:b/>
          <w:bCs/>
          <w:color w:val="000000"/>
          <w:kern w:val="0"/>
          <w:szCs w:val="32"/>
          <w:shd w:val="clear" w:color="auto" w:fill="FFFFFF"/>
        </w:rPr>
        <w:t>二是</w:t>
      </w:r>
      <w:r>
        <w:rPr>
          <w:rFonts w:ascii="仿宋_GB2312" w:cs="宋体" w:hAnsi="仿宋_GB2312" w:hint="eastAsia"/>
          <w:color w:val="000000"/>
          <w:kern w:val="0"/>
          <w:szCs w:val="32"/>
          <w:shd w:val="clear" w:color="auto" w:fill="FFFFFF"/>
        </w:rPr>
        <w:t>切实做好预算编制工作。一方面做好基本支出预算编制，确保人员经费和日常办公经费编制科学准确。另一方面认真梳理、汇总项目经费需求。</w:t>
      </w:r>
      <w:r>
        <w:rPr>
          <w:rFonts w:ascii="仿宋_GB2312" w:cs="宋体" w:hAnsi="仿宋_GB2312" w:hint="eastAsia"/>
          <w:b/>
          <w:bCs/>
          <w:color w:val="000000"/>
          <w:kern w:val="0"/>
          <w:szCs w:val="32"/>
          <w:shd w:val="clear" w:color="auto" w:fill="FFFFFF"/>
        </w:rPr>
        <w:t>三是</w:t>
      </w:r>
      <w:r>
        <w:rPr>
          <w:rFonts w:ascii="仿宋_GB2312" w:cs="宋体" w:hAnsi="仿宋_GB2312" w:hint="eastAsia"/>
          <w:color w:val="000000"/>
          <w:kern w:val="0"/>
          <w:szCs w:val="32"/>
          <w:shd w:val="clear" w:color="auto" w:fill="FFFFFF"/>
        </w:rPr>
        <w:t>做好绩效目标管理工作。从时间要求、质量、规模等方面加强目标绩效管理，绩效目标指向明确，从数量、质量、成本、时效等方面细化量化绩效目标。</w:t>
      </w:r>
    </w:p>
    <w:p>
      <w:pPr>
        <w:widowControl/>
        <w:numPr>
          <w:ilvl w:val="0"/>
          <w:numId w:val="7"/>
        </w:numPr>
        <w:adjustRightInd w:val="0"/>
        <w:snapToGrid w:val="0"/>
        <w:spacing w:line="580" w:lineRule="exact"/>
        <w:ind w:left="0" w:firstLineChars="200" w:firstLine="420"/>
        <w:contextualSpacing/>
        <w:jc w:val="left"/>
        <w:rPr>
          <w:rFonts w:ascii="仿宋_GB2312" w:cs="宋体" w:hAnsi="仿宋_GB2312"/>
          <w:b/>
          <w:bCs/>
          <w:color w:val="000000"/>
          <w:kern w:val="0"/>
          <w:szCs w:val="32"/>
          <w:shd w:val="clear" w:color="auto" w:fill="FFFFFF"/>
        </w:rPr>
      </w:pPr>
      <w:r>
        <w:rPr>
          <w:rFonts w:ascii="仿宋_GB2312" w:cs="宋体" w:hAnsi="仿宋_GB2312" w:hint="eastAsia"/>
          <w:b/>
          <w:bCs/>
          <w:color w:val="000000"/>
          <w:kern w:val="0"/>
          <w:szCs w:val="32"/>
          <w:shd w:val="clear" w:color="auto" w:fill="FFFFFF"/>
        </w:rPr>
        <w:t>预算执行情况</w:t>
      </w:r>
    </w:p>
    <w:p>
      <w:pPr>
        <w:widowControl/>
        <w:adjustRightInd w:val="0"/>
        <w:snapToGrid w:val="0"/>
        <w:spacing w:line="580" w:lineRule="exact"/>
        <w:ind w:firstLineChars="200" w:firstLine="420"/>
        <w:contextualSpacing/>
        <w:jc w:val="left"/>
        <w:rPr>
          <w:rFonts w:ascii="仿宋_GB2312" w:cs="宋体" w:hAnsi="仿宋_GB2312"/>
          <w:color w:val="000000"/>
          <w:kern w:val="0"/>
          <w:szCs w:val="32"/>
          <w:shd w:val="clear" w:color="auto" w:fill="FFFFFF"/>
        </w:rPr>
      </w:pPr>
      <w:r>
        <w:rPr>
          <w:rFonts w:ascii="仿宋_GB2312" w:cs="宋体" w:hAnsi="仿宋_GB2312" w:hint="eastAsia"/>
          <w:color w:val="000000"/>
          <w:kern w:val="0"/>
          <w:szCs w:val="32"/>
          <w:shd w:val="clear" w:color="auto" w:fill="FFFFFF"/>
        </w:rPr>
        <w:t>2022年我中心部门预算收入总额771.44万元（其中：基本支出763.75万元，项目支出7.69万元）；部门支出预算总额771.44万元，本年度决算数771.44万元，预算数和决算数一致，预算完成度100%。</w:t>
      </w:r>
    </w:p>
    <w:p>
      <w:pPr>
        <w:widowControl/>
        <w:adjustRightInd w:val="0"/>
        <w:snapToGrid w:val="0"/>
        <w:spacing w:line="580" w:lineRule="exact"/>
        <w:ind w:firstLineChars="200" w:firstLine="420"/>
        <w:contextualSpacing/>
        <w:jc w:val="left"/>
        <w:rPr>
          <w:rFonts w:ascii="仿宋_GB2312" w:cs="宋体" w:hAnsi="仿宋_GB2312"/>
          <w:color w:val="000000"/>
          <w:kern w:val="0"/>
          <w:szCs w:val="32"/>
          <w:shd w:val="clear" w:color="auto" w:fill="FFFFFF"/>
        </w:rPr>
      </w:pPr>
    </w:p>
    <w:p>
      <w:pPr>
        <w:widowControl/>
        <w:adjustRightInd w:val="0"/>
        <w:snapToGrid w:val="0"/>
        <w:spacing w:line="580" w:lineRule="exact"/>
        <w:ind w:firstLineChars="200" w:firstLine="420"/>
        <w:contextualSpacing/>
        <w:jc w:val="left"/>
        <w:rPr>
          <w:rFonts w:ascii="仿宋_GB2312" w:cs="宋体" w:hAnsi="仿宋_GB2312"/>
          <w:b/>
          <w:bCs/>
          <w:color w:val="000000"/>
          <w:kern w:val="0"/>
          <w:szCs w:val="32"/>
          <w:shd w:val="clear" w:color="auto" w:fill="FFFFFF"/>
        </w:rPr>
      </w:pPr>
    </w:p>
    <w:p>
      <w:pPr>
        <w:widowControl/>
        <w:adjustRightInd w:val="0"/>
        <w:snapToGrid w:val="0"/>
        <w:spacing w:line="580" w:lineRule="exact"/>
        <w:contextualSpacing/>
        <w:jc w:val="right"/>
        <w:rPr>
          <w:rFonts w:ascii="仿宋_GB2312" w:cs="宋体" w:hAnsi="仿宋_GB2312"/>
          <w:b/>
          <w:bCs/>
          <w:color w:val="000000"/>
          <w:kern w:val="0"/>
          <w:szCs w:val="32"/>
          <w:shd w:val="clear" w:color="auto" w:fill="FFFFFF"/>
        </w:rPr>
      </w:pPr>
      <w:r>
        <w:rPr>
          <w:rFonts w:ascii="等线 Light" w:eastAsia="等线 Light" w:cs="等线 Light" w:hint="eastAsia"/>
          <w:color w:val="000000"/>
          <w:kern w:val="0"/>
          <w:sz w:val="28"/>
          <w:szCs w:val="28"/>
          <w:shd w:val="clear" w:color="auto" w:fill="FFFFFF"/>
        </w:rPr>
        <w:t>表1.2022年度预算执行情况表        单位：万元</w:t>
      </w:r>
    </w:p>
    <w:tbl>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3378"/>
        <w:gridCol w:w="1697"/>
        <w:gridCol w:w="1646"/>
        <w:gridCol w:w="1687"/>
      </w:tblGrid>
      <w:tr>
        <w:tc>
          <w:tcPr>
            <w:tcW w:w="3624" w:type="dxa"/>
          </w:tcPr>
          <w:p>
            <w:pPr>
              <w:widowControl/>
              <w:adjustRightInd w:val="0"/>
              <w:snapToGrid w:val="0"/>
              <w:spacing w:line="400" w:lineRule="exact"/>
              <w:contextualSpacing/>
              <w:jc w:val="left"/>
              <w:rPr>
                <w:rFonts w:ascii="等线" w:eastAsia="等线" w:cs="等线"/>
                <w:color w:val="000000"/>
                <w:kern w:val="0"/>
                <w:sz w:val="24"/>
                <w:shd w:val="clear" w:color="auto" w:fill="FFFFFF"/>
              </w:rPr>
            </w:pPr>
            <w:r>
              <w:rPr>
                <w:rFonts w:ascii="等线" w:eastAsia="等线" w:cs="等线" w:hint="eastAsia"/>
                <w:color w:val="000000"/>
                <w:kern w:val="0"/>
                <w:sz w:val="24"/>
                <w:shd w:val="clear" w:color="auto" w:fill="FFFFFF"/>
              </w:rPr>
              <w:t>项目（按经济支出性质和经济分类）</w:t>
            </w:r>
          </w:p>
        </w:tc>
        <w:tc>
          <w:tcPr>
            <w:tcW w:w="1821" w:type="dxa"/>
            <w:vAlign w:val="center"/>
          </w:tcPr>
          <w:p>
            <w:pPr>
              <w:widowControl/>
              <w:adjustRightInd w:val="0"/>
              <w:snapToGrid w:val="0"/>
              <w:spacing w:line="400" w:lineRule="exact"/>
              <w:contextualSpacing/>
              <w:jc w:val="center"/>
              <w:rPr>
                <w:rFonts w:ascii="等线" w:eastAsia="等线" w:cs="等线"/>
                <w:color w:val="000000"/>
                <w:kern w:val="0"/>
                <w:sz w:val="24"/>
                <w:shd w:val="clear" w:color="auto" w:fill="FFFFFF"/>
              </w:rPr>
            </w:pPr>
            <w:r>
              <w:rPr>
                <w:rFonts w:ascii="等线" w:eastAsia="等线" w:cs="等线" w:hint="eastAsia"/>
                <w:color w:val="000000"/>
                <w:kern w:val="0"/>
                <w:sz w:val="24"/>
                <w:shd w:val="clear" w:color="auto" w:fill="FFFFFF"/>
              </w:rPr>
              <w:t>调整预算数</w:t>
            </w:r>
          </w:p>
        </w:tc>
        <w:tc>
          <w:tcPr>
            <w:tcW w:w="1766" w:type="dxa"/>
            <w:vAlign w:val="center"/>
          </w:tcPr>
          <w:p>
            <w:pPr>
              <w:widowControl/>
              <w:adjustRightInd w:val="0"/>
              <w:snapToGrid w:val="0"/>
              <w:spacing w:line="400" w:lineRule="exact"/>
              <w:contextualSpacing/>
              <w:jc w:val="center"/>
              <w:rPr>
                <w:rFonts w:ascii="等线" w:eastAsia="等线" w:cs="等线"/>
                <w:color w:val="000000"/>
                <w:kern w:val="0"/>
                <w:sz w:val="24"/>
                <w:shd w:val="clear" w:color="auto" w:fill="FFFFFF"/>
              </w:rPr>
            </w:pPr>
            <w:r>
              <w:rPr>
                <w:rFonts w:ascii="等线" w:eastAsia="等线" w:cs="等线" w:hint="eastAsia"/>
                <w:color w:val="000000"/>
                <w:kern w:val="0"/>
                <w:sz w:val="24"/>
                <w:shd w:val="clear" w:color="auto" w:fill="FFFFFF"/>
              </w:rPr>
              <w:t>决算数</w:t>
            </w:r>
          </w:p>
        </w:tc>
        <w:tc>
          <w:tcPr>
            <w:tcW w:w="1810" w:type="dxa"/>
            <w:vAlign w:val="center"/>
          </w:tcPr>
          <w:p>
            <w:pPr>
              <w:widowControl/>
              <w:adjustRightInd w:val="0"/>
              <w:snapToGrid w:val="0"/>
              <w:spacing w:line="400" w:lineRule="exact"/>
              <w:contextualSpacing/>
              <w:jc w:val="center"/>
              <w:rPr>
                <w:rFonts w:ascii="等线" w:eastAsia="等线" w:cs="等线"/>
                <w:color w:val="000000"/>
                <w:kern w:val="0"/>
                <w:sz w:val="24"/>
                <w:shd w:val="clear" w:color="auto" w:fill="FFFFFF"/>
              </w:rPr>
            </w:pPr>
            <w:r>
              <w:rPr>
                <w:rFonts w:ascii="等线" w:eastAsia="等线" w:cs="等线" w:hint="eastAsia"/>
                <w:color w:val="000000"/>
                <w:kern w:val="0"/>
                <w:sz w:val="24"/>
                <w:shd w:val="clear" w:color="auto" w:fill="FFFFFF"/>
              </w:rPr>
              <w:t>预算完成度（%）</w:t>
            </w:r>
          </w:p>
        </w:tc>
      </w:tr>
      <w:tr>
        <w:trPr>
          <w:trHeight w:val="494"/>
        </w:trPr>
        <w:tc>
          <w:tcPr>
            <w:tcW w:w="3624" w:type="dxa"/>
          </w:tcPr>
          <w:p>
            <w:pPr>
              <w:widowControl/>
              <w:adjustRightInd w:val="0"/>
              <w:snapToGrid w:val="0"/>
              <w:spacing w:line="400" w:lineRule="exact"/>
              <w:contextualSpacing/>
              <w:jc w:val="left"/>
              <w:rPr>
                <w:rFonts w:ascii="等线" w:eastAsia="等线" w:cs="等线"/>
                <w:color w:val="000000"/>
                <w:kern w:val="0"/>
                <w:sz w:val="24"/>
                <w:shd w:val="clear" w:color="auto" w:fill="FFFFFF"/>
              </w:rPr>
            </w:pPr>
            <w:r>
              <w:rPr>
                <w:rFonts w:ascii="等线" w:eastAsia="等线" w:cs="等线" w:hint="eastAsia"/>
                <w:color w:val="000000"/>
                <w:kern w:val="0"/>
                <w:sz w:val="24"/>
                <w:shd w:val="clear" w:color="auto" w:fill="FFFFFF"/>
              </w:rPr>
              <w:t>一、基本支出</w:t>
            </w:r>
          </w:p>
        </w:tc>
        <w:tc>
          <w:tcPr>
            <w:tcW w:w="1821" w:type="dxa"/>
          </w:tcPr>
          <w:p>
            <w:pPr>
              <w:widowControl/>
              <w:adjustRightInd w:val="0"/>
              <w:snapToGrid w:val="0"/>
              <w:spacing w:line="400" w:lineRule="exact"/>
              <w:contextualSpacing/>
              <w:jc w:val="center"/>
              <w:rPr>
                <w:rFonts w:ascii="等线" w:eastAsia="等线" w:cs="等线"/>
                <w:color w:val="000000"/>
                <w:kern w:val="0"/>
                <w:sz w:val="24"/>
                <w:shd w:val="clear" w:color="auto" w:fill="FFFFFF"/>
              </w:rPr>
            </w:pPr>
            <w:r>
              <w:rPr>
                <w:rFonts w:ascii="等线" w:eastAsia="等线" w:cs="等线" w:hint="eastAsia"/>
                <w:color w:val="000000"/>
                <w:kern w:val="0"/>
                <w:sz w:val="24"/>
                <w:shd w:val="clear" w:color="auto" w:fill="FFFFFF"/>
              </w:rPr>
              <w:t>763.75</w:t>
            </w:r>
          </w:p>
        </w:tc>
        <w:tc>
          <w:tcPr>
            <w:tcW w:w="1766" w:type="dxa"/>
          </w:tcPr>
          <w:p>
            <w:pPr>
              <w:widowControl/>
              <w:adjustRightInd w:val="0"/>
              <w:snapToGrid w:val="0"/>
              <w:spacing w:line="400" w:lineRule="exact"/>
              <w:contextualSpacing/>
              <w:jc w:val="center"/>
              <w:rPr>
                <w:rFonts w:ascii="等线" w:eastAsia="等线" w:cs="等线"/>
                <w:color w:val="000000"/>
                <w:kern w:val="0"/>
                <w:sz w:val="24"/>
                <w:shd w:val="clear" w:color="auto" w:fill="FFFFFF"/>
              </w:rPr>
            </w:pPr>
            <w:r>
              <w:rPr>
                <w:rFonts w:ascii="等线" w:eastAsia="等线" w:cs="等线" w:hint="eastAsia"/>
                <w:color w:val="000000"/>
                <w:kern w:val="0"/>
                <w:sz w:val="24"/>
                <w:shd w:val="clear" w:color="auto" w:fill="FFFFFF"/>
              </w:rPr>
              <w:t>763.75</w:t>
            </w:r>
          </w:p>
        </w:tc>
        <w:tc>
          <w:tcPr>
            <w:tcW w:w="1810" w:type="dxa"/>
          </w:tcPr>
          <w:p>
            <w:pPr>
              <w:widowControl/>
              <w:adjustRightInd w:val="0"/>
              <w:snapToGrid w:val="0"/>
              <w:spacing w:line="400" w:lineRule="exact"/>
              <w:contextualSpacing/>
              <w:jc w:val="center"/>
              <w:rPr>
                <w:rFonts w:ascii="等线" w:eastAsia="等线" w:cs="等线"/>
                <w:color w:val="000000"/>
                <w:kern w:val="0"/>
                <w:sz w:val="24"/>
                <w:shd w:val="clear" w:color="auto" w:fill="FFFFFF"/>
              </w:rPr>
            </w:pPr>
            <w:r>
              <w:rPr>
                <w:rFonts w:ascii="等线" w:eastAsia="等线" w:cs="等线" w:hint="eastAsia"/>
                <w:color w:val="000000"/>
                <w:kern w:val="0"/>
                <w:sz w:val="24"/>
                <w:shd w:val="clear" w:color="auto" w:fill="FFFFFF"/>
              </w:rPr>
              <w:t>100</w:t>
            </w:r>
          </w:p>
        </w:tc>
      </w:tr>
      <w:tr>
        <w:tc>
          <w:tcPr>
            <w:tcW w:w="3624" w:type="dxa"/>
          </w:tcPr>
          <w:p>
            <w:pPr>
              <w:widowControl/>
              <w:adjustRightInd w:val="0"/>
              <w:snapToGrid w:val="0"/>
              <w:spacing w:line="400" w:lineRule="exact"/>
              <w:contextualSpacing/>
              <w:jc w:val="left"/>
              <w:rPr>
                <w:rFonts w:ascii="等线" w:eastAsia="等线" w:cs="等线"/>
                <w:color w:val="000000"/>
                <w:kern w:val="0"/>
                <w:sz w:val="24"/>
                <w:shd w:val="clear" w:color="auto" w:fill="FFFFFF"/>
              </w:rPr>
            </w:pPr>
            <w:r>
              <w:rPr>
                <w:rFonts w:ascii="等线" w:eastAsia="等线" w:cs="等线" w:hint="eastAsia"/>
                <w:color w:val="000000"/>
                <w:kern w:val="0"/>
                <w:sz w:val="24"/>
                <w:shd w:val="clear" w:color="auto" w:fill="FFFFFF"/>
              </w:rPr>
              <w:t xml:space="preserve">  工资和福利支出</w:t>
            </w:r>
          </w:p>
        </w:tc>
        <w:tc>
          <w:tcPr>
            <w:tcW w:w="1821" w:type="dxa"/>
          </w:tcPr>
          <w:p>
            <w:pPr>
              <w:widowControl/>
              <w:adjustRightInd w:val="0"/>
              <w:snapToGrid w:val="0"/>
              <w:spacing w:line="400" w:lineRule="exact"/>
              <w:contextualSpacing/>
              <w:jc w:val="center"/>
              <w:rPr>
                <w:rFonts w:ascii="等线" w:eastAsia="等线" w:cs="等线"/>
                <w:color w:val="000000"/>
                <w:kern w:val="0"/>
                <w:sz w:val="24"/>
                <w:shd w:val="clear" w:color="auto" w:fill="FFFFFF"/>
              </w:rPr>
            </w:pPr>
            <w:r>
              <w:rPr>
                <w:rFonts w:ascii="等线" w:eastAsia="等线" w:cs="等线" w:hint="eastAsia"/>
                <w:color w:val="000000"/>
                <w:kern w:val="0"/>
                <w:sz w:val="24"/>
                <w:shd w:val="clear" w:color="auto" w:fill="FFFFFF"/>
              </w:rPr>
              <w:t>618.23</w:t>
            </w:r>
          </w:p>
        </w:tc>
        <w:tc>
          <w:tcPr>
            <w:tcW w:w="1766" w:type="dxa"/>
          </w:tcPr>
          <w:p>
            <w:pPr>
              <w:widowControl/>
              <w:adjustRightInd w:val="0"/>
              <w:snapToGrid w:val="0"/>
              <w:spacing w:line="400" w:lineRule="exact"/>
              <w:contextualSpacing/>
              <w:jc w:val="center"/>
              <w:rPr>
                <w:rFonts w:ascii="等线" w:eastAsia="等线" w:cs="等线"/>
                <w:color w:val="000000"/>
                <w:kern w:val="0"/>
                <w:sz w:val="24"/>
                <w:shd w:val="clear" w:color="auto" w:fill="FFFFFF"/>
              </w:rPr>
            </w:pPr>
            <w:r>
              <w:rPr>
                <w:rFonts w:ascii="等线" w:eastAsia="等线" w:cs="等线" w:hint="eastAsia"/>
                <w:color w:val="000000"/>
                <w:kern w:val="0"/>
                <w:sz w:val="24"/>
                <w:shd w:val="clear" w:color="auto" w:fill="FFFFFF"/>
              </w:rPr>
              <w:t>618.23</w:t>
            </w:r>
          </w:p>
        </w:tc>
        <w:tc>
          <w:tcPr>
            <w:tcW w:w="1810" w:type="dxa"/>
          </w:tcPr>
          <w:p>
            <w:pPr>
              <w:widowControl/>
              <w:adjustRightInd w:val="0"/>
              <w:snapToGrid w:val="0"/>
              <w:spacing w:line="400" w:lineRule="exact"/>
              <w:contextualSpacing/>
              <w:jc w:val="center"/>
              <w:rPr>
                <w:rFonts w:ascii="等线" w:eastAsia="等线" w:cs="等线"/>
                <w:color w:val="000000"/>
                <w:kern w:val="0"/>
                <w:sz w:val="24"/>
                <w:shd w:val="clear" w:color="auto" w:fill="FFFFFF"/>
              </w:rPr>
            </w:pPr>
            <w:r>
              <w:rPr>
                <w:rFonts w:ascii="等线" w:eastAsia="等线" w:cs="等线" w:hint="eastAsia"/>
                <w:color w:val="000000"/>
                <w:kern w:val="0"/>
                <w:sz w:val="24"/>
                <w:shd w:val="clear" w:color="auto" w:fill="FFFFFF"/>
              </w:rPr>
              <w:t>100</w:t>
            </w:r>
          </w:p>
        </w:tc>
      </w:tr>
      <w:tr>
        <w:tc>
          <w:tcPr>
            <w:tcW w:w="3624" w:type="dxa"/>
          </w:tcPr>
          <w:p>
            <w:pPr>
              <w:widowControl/>
              <w:adjustRightInd w:val="0"/>
              <w:snapToGrid w:val="0"/>
              <w:spacing w:line="400" w:lineRule="exact"/>
              <w:contextualSpacing/>
              <w:jc w:val="left"/>
              <w:rPr>
                <w:rFonts w:ascii="等线" w:eastAsia="等线" w:cs="等线"/>
                <w:color w:val="000000"/>
                <w:kern w:val="0"/>
                <w:sz w:val="24"/>
                <w:shd w:val="clear" w:color="auto" w:fill="FFFFFF"/>
              </w:rPr>
            </w:pPr>
            <w:r>
              <w:rPr>
                <w:rFonts w:ascii="等线" w:eastAsia="等线" w:cs="等线" w:hint="eastAsia"/>
                <w:color w:val="000000"/>
                <w:kern w:val="0"/>
                <w:sz w:val="24"/>
                <w:shd w:val="clear" w:color="auto" w:fill="FFFFFF"/>
              </w:rPr>
              <w:t xml:space="preserve">  商品和服务支出</w:t>
            </w:r>
          </w:p>
        </w:tc>
        <w:tc>
          <w:tcPr>
            <w:tcW w:w="1821" w:type="dxa"/>
          </w:tcPr>
          <w:p>
            <w:pPr>
              <w:widowControl/>
              <w:adjustRightInd w:val="0"/>
              <w:snapToGrid w:val="0"/>
              <w:spacing w:line="400" w:lineRule="exact"/>
              <w:contextualSpacing/>
              <w:jc w:val="center"/>
              <w:rPr>
                <w:rFonts w:ascii="等线" w:eastAsia="等线" w:cs="等线"/>
                <w:color w:val="000000"/>
                <w:kern w:val="0"/>
                <w:sz w:val="24"/>
                <w:shd w:val="clear" w:color="auto" w:fill="FFFFFF"/>
              </w:rPr>
            </w:pPr>
            <w:r>
              <w:rPr>
                <w:rFonts w:ascii="等线" w:eastAsia="等线" w:cs="等线" w:hint="eastAsia"/>
                <w:color w:val="000000"/>
                <w:kern w:val="0"/>
                <w:sz w:val="24"/>
                <w:shd w:val="clear" w:color="auto" w:fill="FFFFFF"/>
              </w:rPr>
              <w:t>40.34</w:t>
            </w:r>
          </w:p>
        </w:tc>
        <w:tc>
          <w:tcPr>
            <w:tcW w:w="1766" w:type="dxa"/>
          </w:tcPr>
          <w:p>
            <w:pPr>
              <w:widowControl/>
              <w:adjustRightInd w:val="0"/>
              <w:snapToGrid w:val="0"/>
              <w:spacing w:line="400" w:lineRule="exact"/>
              <w:contextualSpacing/>
              <w:jc w:val="center"/>
              <w:rPr>
                <w:rFonts w:ascii="等线" w:eastAsia="等线" w:cs="等线"/>
                <w:color w:val="000000"/>
                <w:kern w:val="0"/>
                <w:sz w:val="24"/>
                <w:shd w:val="clear" w:color="auto" w:fill="FFFFFF"/>
              </w:rPr>
            </w:pPr>
            <w:r>
              <w:rPr>
                <w:rFonts w:ascii="等线" w:eastAsia="等线" w:cs="等线" w:hint="eastAsia"/>
                <w:color w:val="000000"/>
                <w:kern w:val="0"/>
                <w:sz w:val="24"/>
                <w:shd w:val="clear" w:color="auto" w:fill="FFFFFF"/>
              </w:rPr>
              <w:t>40.34</w:t>
            </w:r>
          </w:p>
        </w:tc>
        <w:tc>
          <w:tcPr>
            <w:tcW w:w="1810" w:type="dxa"/>
          </w:tcPr>
          <w:p>
            <w:pPr>
              <w:widowControl/>
              <w:adjustRightInd w:val="0"/>
              <w:snapToGrid w:val="0"/>
              <w:spacing w:line="400" w:lineRule="exact"/>
              <w:contextualSpacing/>
              <w:jc w:val="center"/>
              <w:rPr>
                <w:rFonts w:ascii="等线" w:eastAsia="等线" w:cs="等线"/>
                <w:color w:val="000000"/>
                <w:kern w:val="0"/>
                <w:sz w:val="24"/>
                <w:shd w:val="clear" w:color="auto" w:fill="FFFFFF"/>
              </w:rPr>
            </w:pPr>
            <w:r>
              <w:rPr>
                <w:rFonts w:ascii="等线" w:eastAsia="等线" w:cs="等线" w:hint="eastAsia"/>
                <w:color w:val="000000"/>
                <w:kern w:val="0"/>
                <w:sz w:val="24"/>
                <w:shd w:val="clear" w:color="auto" w:fill="FFFFFF"/>
              </w:rPr>
              <w:t>100</w:t>
            </w:r>
          </w:p>
        </w:tc>
      </w:tr>
      <w:tr>
        <w:tc>
          <w:tcPr>
            <w:tcW w:w="3624" w:type="dxa"/>
          </w:tcPr>
          <w:p>
            <w:pPr>
              <w:widowControl/>
              <w:adjustRightInd w:val="0"/>
              <w:snapToGrid w:val="0"/>
              <w:spacing w:line="400" w:lineRule="exact"/>
              <w:contextualSpacing/>
              <w:jc w:val="left"/>
              <w:rPr>
                <w:rFonts w:ascii="等线" w:eastAsia="等线" w:cs="等线"/>
                <w:color w:val="000000"/>
                <w:kern w:val="0"/>
                <w:sz w:val="24"/>
                <w:shd w:val="clear" w:color="auto" w:fill="FFFFFF"/>
              </w:rPr>
            </w:pPr>
            <w:r>
              <w:rPr>
                <w:rFonts w:ascii="等线" w:eastAsia="等线" w:cs="等线" w:hint="eastAsia"/>
                <w:color w:val="000000"/>
                <w:kern w:val="0"/>
                <w:sz w:val="24"/>
                <w:shd w:val="clear" w:color="auto" w:fill="FFFFFF"/>
              </w:rPr>
              <w:t xml:space="preserve">  对个人和家庭的补助支出</w:t>
            </w:r>
          </w:p>
        </w:tc>
        <w:tc>
          <w:tcPr>
            <w:tcW w:w="1821" w:type="dxa"/>
          </w:tcPr>
          <w:p>
            <w:pPr>
              <w:widowControl/>
              <w:adjustRightInd w:val="0"/>
              <w:snapToGrid w:val="0"/>
              <w:spacing w:line="400" w:lineRule="exact"/>
              <w:contextualSpacing/>
              <w:jc w:val="center"/>
              <w:rPr>
                <w:rFonts w:ascii="等线" w:eastAsia="等线" w:cs="等线"/>
                <w:color w:val="000000"/>
                <w:kern w:val="0"/>
                <w:sz w:val="24"/>
                <w:shd w:val="clear" w:color="auto" w:fill="FFFFFF"/>
              </w:rPr>
            </w:pPr>
            <w:r>
              <w:rPr>
                <w:rFonts w:ascii="等线" w:eastAsia="等线" w:cs="等线" w:hint="eastAsia"/>
                <w:color w:val="000000"/>
                <w:kern w:val="0"/>
                <w:sz w:val="24"/>
                <w:shd w:val="clear" w:color="auto" w:fill="FFFFFF"/>
              </w:rPr>
              <w:t>105.18</w:t>
            </w:r>
          </w:p>
        </w:tc>
        <w:tc>
          <w:tcPr>
            <w:tcW w:w="1766" w:type="dxa"/>
          </w:tcPr>
          <w:p>
            <w:pPr>
              <w:widowControl/>
              <w:adjustRightInd w:val="0"/>
              <w:snapToGrid w:val="0"/>
              <w:spacing w:line="400" w:lineRule="exact"/>
              <w:contextualSpacing/>
              <w:jc w:val="center"/>
              <w:rPr>
                <w:rFonts w:ascii="等线" w:eastAsia="等线" w:cs="等线"/>
                <w:color w:val="000000"/>
                <w:kern w:val="0"/>
                <w:sz w:val="24"/>
                <w:shd w:val="clear" w:color="auto" w:fill="FFFFFF"/>
              </w:rPr>
            </w:pPr>
            <w:r>
              <w:rPr>
                <w:rFonts w:ascii="等线" w:eastAsia="等线" w:cs="等线" w:hint="eastAsia"/>
                <w:color w:val="000000"/>
                <w:kern w:val="0"/>
                <w:sz w:val="24"/>
                <w:shd w:val="clear" w:color="auto" w:fill="FFFFFF"/>
              </w:rPr>
              <w:t>105.18</w:t>
            </w:r>
          </w:p>
        </w:tc>
        <w:tc>
          <w:tcPr>
            <w:tcW w:w="1810" w:type="dxa"/>
          </w:tcPr>
          <w:p>
            <w:pPr>
              <w:widowControl/>
              <w:adjustRightInd w:val="0"/>
              <w:snapToGrid w:val="0"/>
              <w:spacing w:line="400" w:lineRule="exact"/>
              <w:contextualSpacing/>
              <w:jc w:val="center"/>
              <w:rPr>
                <w:rFonts w:ascii="等线" w:eastAsia="等线" w:cs="等线"/>
                <w:color w:val="000000"/>
                <w:kern w:val="0"/>
                <w:sz w:val="24"/>
                <w:shd w:val="clear" w:color="auto" w:fill="FFFFFF"/>
              </w:rPr>
            </w:pPr>
            <w:r>
              <w:rPr>
                <w:rFonts w:ascii="等线" w:eastAsia="等线" w:cs="等线" w:hint="eastAsia"/>
                <w:color w:val="000000"/>
                <w:kern w:val="0"/>
                <w:sz w:val="24"/>
                <w:shd w:val="clear" w:color="auto" w:fill="FFFFFF"/>
              </w:rPr>
              <w:t>100</w:t>
            </w:r>
          </w:p>
        </w:tc>
      </w:tr>
      <w:tr>
        <w:tc>
          <w:tcPr>
            <w:tcW w:w="3624" w:type="dxa"/>
          </w:tcPr>
          <w:p>
            <w:pPr>
              <w:widowControl/>
              <w:adjustRightInd w:val="0"/>
              <w:snapToGrid w:val="0"/>
              <w:spacing w:line="400" w:lineRule="exact"/>
              <w:ind w:firstLineChars="100" w:firstLine="240"/>
              <w:contextualSpacing/>
              <w:jc w:val="left"/>
              <w:rPr>
                <w:rFonts w:ascii="等线" w:eastAsia="等线" w:cs="等线"/>
                <w:color w:val="000000"/>
                <w:kern w:val="0"/>
                <w:sz w:val="24"/>
                <w:shd w:val="clear" w:color="auto" w:fill="FFFFFF"/>
              </w:rPr>
            </w:pPr>
            <w:r>
              <w:rPr>
                <w:rFonts w:ascii="等线" w:eastAsia="等线" w:cs="等线" w:hint="eastAsia"/>
                <w:color w:val="000000"/>
                <w:kern w:val="0"/>
                <w:sz w:val="24"/>
                <w:shd w:val="clear" w:color="auto" w:fill="FFFFFF"/>
              </w:rPr>
              <w:t>资本性支出</w:t>
            </w:r>
          </w:p>
        </w:tc>
        <w:tc>
          <w:tcPr>
            <w:tcW w:w="1821" w:type="dxa"/>
          </w:tcPr>
          <w:p>
            <w:pPr>
              <w:widowControl/>
              <w:adjustRightInd w:val="0"/>
              <w:snapToGrid w:val="0"/>
              <w:spacing w:line="400" w:lineRule="exact"/>
              <w:contextualSpacing/>
              <w:jc w:val="center"/>
              <w:rPr>
                <w:rFonts w:ascii="等线" w:eastAsia="等线" w:cs="等线"/>
                <w:color w:val="000000"/>
                <w:kern w:val="0"/>
                <w:sz w:val="24"/>
                <w:shd w:val="clear" w:color="auto" w:fill="FFFFFF"/>
              </w:rPr>
            </w:pPr>
            <w:r>
              <w:rPr>
                <w:rFonts w:ascii="等线" w:eastAsia="等线" w:cs="等线" w:hint="eastAsia"/>
                <w:color w:val="000000"/>
                <w:kern w:val="0"/>
                <w:sz w:val="24"/>
                <w:shd w:val="clear" w:color="auto" w:fill="FFFFFF"/>
              </w:rPr>
              <w:t>0</w:t>
            </w:r>
          </w:p>
        </w:tc>
        <w:tc>
          <w:tcPr>
            <w:tcW w:w="1766" w:type="dxa"/>
          </w:tcPr>
          <w:p>
            <w:pPr>
              <w:widowControl/>
              <w:adjustRightInd w:val="0"/>
              <w:snapToGrid w:val="0"/>
              <w:spacing w:line="400" w:lineRule="exact"/>
              <w:contextualSpacing/>
              <w:jc w:val="center"/>
              <w:rPr>
                <w:rFonts w:ascii="等线" w:eastAsia="等线" w:cs="等线"/>
                <w:color w:val="000000"/>
                <w:kern w:val="0"/>
                <w:sz w:val="24"/>
                <w:shd w:val="clear" w:color="auto" w:fill="FFFFFF"/>
              </w:rPr>
            </w:pPr>
            <w:r>
              <w:rPr>
                <w:rFonts w:ascii="等线" w:eastAsia="等线" w:cs="等线" w:hint="eastAsia"/>
                <w:color w:val="000000"/>
                <w:kern w:val="0"/>
                <w:sz w:val="24"/>
                <w:shd w:val="clear" w:color="auto" w:fill="FFFFFF"/>
              </w:rPr>
              <w:t>0</w:t>
            </w:r>
          </w:p>
        </w:tc>
        <w:tc>
          <w:tcPr>
            <w:tcW w:w="1810" w:type="dxa"/>
          </w:tcPr>
          <w:p>
            <w:pPr>
              <w:widowControl/>
              <w:adjustRightInd w:val="0"/>
              <w:snapToGrid w:val="0"/>
              <w:spacing w:line="400" w:lineRule="exact"/>
              <w:contextualSpacing/>
              <w:jc w:val="center"/>
              <w:rPr>
                <w:rFonts w:ascii="等线" w:eastAsia="等线" w:cs="等线"/>
                <w:color w:val="000000"/>
                <w:kern w:val="0"/>
                <w:sz w:val="24"/>
                <w:shd w:val="clear" w:color="auto" w:fill="FFFFFF"/>
              </w:rPr>
            </w:pPr>
            <w:r>
              <w:rPr>
                <w:rFonts w:ascii="等线" w:eastAsia="等线" w:cs="等线" w:hint="eastAsia"/>
                <w:color w:val="000000"/>
                <w:kern w:val="0"/>
                <w:sz w:val="24"/>
                <w:shd w:val="clear" w:color="auto" w:fill="FFFFFF"/>
              </w:rPr>
              <w:t>100</w:t>
            </w:r>
          </w:p>
        </w:tc>
      </w:tr>
      <w:tr>
        <w:tc>
          <w:tcPr>
            <w:tcW w:w="3624" w:type="dxa"/>
          </w:tcPr>
          <w:p>
            <w:pPr>
              <w:widowControl/>
              <w:adjustRightInd w:val="0"/>
              <w:snapToGrid w:val="0"/>
              <w:spacing w:line="400" w:lineRule="exact"/>
              <w:contextualSpacing/>
              <w:jc w:val="left"/>
              <w:rPr>
                <w:rFonts w:ascii="等线" w:eastAsia="等线" w:cs="等线"/>
                <w:color w:val="000000"/>
                <w:kern w:val="0"/>
                <w:sz w:val="24"/>
                <w:shd w:val="clear" w:color="auto" w:fill="FFFFFF"/>
              </w:rPr>
            </w:pPr>
            <w:r>
              <w:rPr>
                <w:rFonts w:ascii="等线" w:eastAsia="等线" w:cs="等线" w:hint="eastAsia"/>
                <w:color w:val="000000"/>
                <w:kern w:val="0"/>
                <w:sz w:val="24"/>
                <w:shd w:val="clear" w:color="auto" w:fill="FFFFFF"/>
              </w:rPr>
              <w:t>二、项目支出</w:t>
            </w:r>
          </w:p>
        </w:tc>
        <w:tc>
          <w:tcPr>
            <w:tcW w:w="1821" w:type="dxa"/>
          </w:tcPr>
          <w:p>
            <w:pPr>
              <w:widowControl/>
              <w:adjustRightInd w:val="0"/>
              <w:snapToGrid w:val="0"/>
              <w:spacing w:line="400" w:lineRule="exact"/>
              <w:contextualSpacing/>
              <w:jc w:val="center"/>
              <w:rPr>
                <w:rFonts w:ascii="等线" w:eastAsia="等线" w:cs="等线"/>
                <w:color w:val="000000"/>
                <w:kern w:val="0"/>
                <w:sz w:val="24"/>
                <w:shd w:val="clear" w:color="auto" w:fill="FFFFFF"/>
              </w:rPr>
            </w:pPr>
            <w:r>
              <w:rPr>
                <w:rFonts w:ascii="等线" w:eastAsia="等线" w:cs="等线" w:hint="eastAsia"/>
                <w:color w:val="000000"/>
                <w:kern w:val="0"/>
                <w:sz w:val="24"/>
                <w:shd w:val="clear" w:color="auto" w:fill="FFFFFF"/>
              </w:rPr>
              <w:t>7.69</w:t>
            </w:r>
          </w:p>
        </w:tc>
        <w:tc>
          <w:tcPr>
            <w:tcW w:w="1766" w:type="dxa"/>
          </w:tcPr>
          <w:p>
            <w:pPr>
              <w:widowControl/>
              <w:adjustRightInd w:val="0"/>
              <w:snapToGrid w:val="0"/>
              <w:spacing w:line="400" w:lineRule="exact"/>
              <w:contextualSpacing/>
              <w:jc w:val="center"/>
              <w:rPr>
                <w:rFonts w:ascii="等线" w:eastAsia="等线" w:cs="等线"/>
                <w:color w:val="000000"/>
                <w:kern w:val="0"/>
                <w:sz w:val="24"/>
                <w:shd w:val="clear" w:color="auto" w:fill="FFFFFF"/>
              </w:rPr>
            </w:pPr>
            <w:r>
              <w:rPr>
                <w:rFonts w:ascii="等线" w:eastAsia="等线" w:cs="等线" w:hint="eastAsia"/>
                <w:color w:val="000000"/>
                <w:kern w:val="0"/>
                <w:sz w:val="24"/>
                <w:shd w:val="clear" w:color="auto" w:fill="FFFFFF"/>
              </w:rPr>
              <w:t>7.69</w:t>
            </w:r>
          </w:p>
        </w:tc>
        <w:tc>
          <w:tcPr>
            <w:tcW w:w="1810" w:type="dxa"/>
          </w:tcPr>
          <w:p>
            <w:pPr>
              <w:widowControl/>
              <w:adjustRightInd w:val="0"/>
              <w:snapToGrid w:val="0"/>
              <w:spacing w:line="400" w:lineRule="exact"/>
              <w:contextualSpacing/>
              <w:jc w:val="center"/>
              <w:rPr>
                <w:rFonts w:ascii="等线" w:eastAsia="等线" w:cs="等线"/>
                <w:color w:val="000000"/>
                <w:kern w:val="0"/>
                <w:sz w:val="24"/>
                <w:shd w:val="clear" w:color="auto" w:fill="FFFFFF"/>
              </w:rPr>
            </w:pPr>
            <w:r>
              <w:rPr>
                <w:rFonts w:ascii="等线" w:eastAsia="等线" w:cs="等线" w:hint="eastAsia"/>
                <w:color w:val="000000"/>
                <w:kern w:val="0"/>
                <w:sz w:val="24"/>
                <w:shd w:val="clear" w:color="auto" w:fill="FFFFFF"/>
              </w:rPr>
              <w:t>100</w:t>
            </w:r>
          </w:p>
        </w:tc>
      </w:tr>
      <w:tr>
        <w:tc>
          <w:tcPr>
            <w:tcW w:w="3624" w:type="dxa"/>
          </w:tcPr>
          <w:p>
            <w:pPr>
              <w:widowControl/>
              <w:adjustRightInd w:val="0"/>
              <w:snapToGrid w:val="0"/>
              <w:spacing w:line="400" w:lineRule="exact"/>
              <w:contextualSpacing/>
              <w:jc w:val="left"/>
              <w:rPr>
                <w:rFonts w:ascii="等线" w:eastAsia="等线" w:cs="等线"/>
                <w:color w:val="000000"/>
                <w:kern w:val="0"/>
                <w:sz w:val="24"/>
                <w:shd w:val="clear" w:color="auto" w:fill="FFFFFF"/>
              </w:rPr>
            </w:pPr>
            <w:r>
              <w:rPr>
                <w:rFonts w:ascii="等线" w:eastAsia="等线" w:cs="等线" w:hint="eastAsia"/>
                <w:color w:val="000000"/>
                <w:kern w:val="0"/>
                <w:sz w:val="24"/>
                <w:shd w:val="clear" w:color="auto" w:fill="FFFFFF"/>
              </w:rPr>
              <w:t>本年支出合计</w:t>
            </w:r>
          </w:p>
        </w:tc>
        <w:tc>
          <w:tcPr>
            <w:tcW w:w="1821" w:type="dxa"/>
          </w:tcPr>
          <w:p>
            <w:pPr>
              <w:widowControl/>
              <w:adjustRightInd w:val="0"/>
              <w:snapToGrid w:val="0"/>
              <w:spacing w:line="400" w:lineRule="exact"/>
              <w:contextualSpacing/>
              <w:jc w:val="center"/>
              <w:rPr>
                <w:rFonts w:ascii="等线" w:eastAsia="等线" w:cs="等线"/>
                <w:color w:val="000000"/>
                <w:kern w:val="0"/>
                <w:sz w:val="24"/>
                <w:shd w:val="clear" w:color="auto" w:fill="FFFFFF"/>
              </w:rPr>
            </w:pPr>
            <w:r>
              <w:rPr>
                <w:rFonts w:ascii="等线" w:eastAsia="等线" w:cs="等线" w:hint="eastAsia"/>
                <w:color w:val="000000"/>
                <w:kern w:val="0"/>
                <w:sz w:val="24"/>
                <w:shd w:val="clear" w:color="auto" w:fill="FFFFFF"/>
              </w:rPr>
              <w:t>771.44</w:t>
            </w:r>
          </w:p>
        </w:tc>
        <w:tc>
          <w:tcPr>
            <w:tcW w:w="1766" w:type="dxa"/>
          </w:tcPr>
          <w:p>
            <w:pPr>
              <w:widowControl/>
              <w:adjustRightInd w:val="0"/>
              <w:snapToGrid w:val="0"/>
              <w:spacing w:line="400" w:lineRule="exact"/>
              <w:contextualSpacing/>
              <w:jc w:val="center"/>
              <w:rPr>
                <w:rFonts w:ascii="等线" w:eastAsia="等线" w:cs="等线"/>
                <w:color w:val="000000"/>
                <w:kern w:val="0"/>
                <w:sz w:val="24"/>
                <w:shd w:val="clear" w:color="auto" w:fill="FFFFFF"/>
              </w:rPr>
            </w:pPr>
            <w:r>
              <w:rPr>
                <w:rFonts w:ascii="等线" w:eastAsia="等线" w:cs="等线" w:hint="eastAsia"/>
                <w:color w:val="000000"/>
                <w:kern w:val="0"/>
                <w:sz w:val="24"/>
                <w:shd w:val="clear" w:color="auto" w:fill="FFFFFF"/>
              </w:rPr>
              <w:t>771.44</w:t>
            </w:r>
          </w:p>
        </w:tc>
        <w:tc>
          <w:tcPr>
            <w:tcW w:w="1810" w:type="dxa"/>
          </w:tcPr>
          <w:p>
            <w:pPr>
              <w:widowControl/>
              <w:adjustRightInd w:val="0"/>
              <w:snapToGrid w:val="0"/>
              <w:spacing w:line="400" w:lineRule="exact"/>
              <w:contextualSpacing/>
              <w:jc w:val="center"/>
              <w:rPr>
                <w:rFonts w:ascii="等线" w:eastAsia="等线" w:cs="等线"/>
                <w:color w:val="000000"/>
                <w:kern w:val="0"/>
                <w:sz w:val="24"/>
                <w:shd w:val="clear" w:color="auto" w:fill="FFFFFF"/>
              </w:rPr>
            </w:pPr>
            <w:r>
              <w:rPr>
                <w:rFonts w:ascii="等线" w:eastAsia="等线" w:cs="等线" w:hint="eastAsia"/>
                <w:color w:val="000000"/>
                <w:kern w:val="0"/>
                <w:sz w:val="24"/>
                <w:shd w:val="clear" w:color="auto" w:fill="FFFFFF"/>
              </w:rPr>
              <w:t>100</w:t>
            </w:r>
          </w:p>
        </w:tc>
      </w:tr>
    </w:tbl>
    <w:p>
      <w:pPr>
        <w:widowControl/>
        <w:adjustRightInd w:val="0"/>
        <w:snapToGrid w:val="0"/>
        <w:spacing w:line="580" w:lineRule="exact"/>
        <w:ind w:firstLineChars="200" w:firstLine="420"/>
        <w:contextualSpacing/>
        <w:rPr>
          <w:rFonts w:ascii="仿宋_GB2312" w:cs="宋体" w:hAnsi="仿宋_GB2312"/>
          <w:color w:val="000000"/>
          <w:kern w:val="0"/>
          <w:szCs w:val="32"/>
          <w:shd w:val="clear" w:color="auto" w:fill="FFFFFF"/>
        </w:rPr>
      </w:pPr>
      <w:r>
        <w:rPr>
          <w:rFonts w:ascii="仿宋_GB2312" w:cs="宋体" w:hAnsi="仿宋_GB2312" w:hint="eastAsia"/>
          <w:color w:val="000000"/>
          <w:kern w:val="0"/>
          <w:szCs w:val="32"/>
          <w:shd w:val="clear" w:color="auto" w:fill="FFFFFF"/>
        </w:rPr>
        <w:t>其中，</w:t>
      </w:r>
      <w:r>
        <w:rPr>
          <w:rFonts w:ascii="仿宋_GB2312" w:cs="宋体" w:hAnsi="仿宋_GB2312"/>
          <w:color w:val="000000"/>
          <w:kern w:val="0"/>
          <w:szCs w:val="32"/>
          <w:shd w:val="clear" w:color="auto" w:fill="FFFFFF"/>
        </w:rPr>
        <w:t>办公设备购置专用项目按要求实行绩效目标管理，涉及一般公共预算当年拨款</w:t>
      </w:r>
      <w:r>
        <w:rPr>
          <w:rFonts w:ascii="仿宋_GB2312" w:cs="宋体" w:hAnsi="仿宋_GB2312" w:hint="eastAsia"/>
          <w:color w:val="000000"/>
          <w:kern w:val="0"/>
          <w:szCs w:val="32"/>
          <w:shd w:val="clear" w:color="auto" w:fill="FFFFFF"/>
        </w:rPr>
        <w:t>7.69</w:t>
      </w:r>
      <w:r>
        <w:rPr>
          <w:rFonts w:ascii="仿宋_GB2312" w:cs="宋体" w:hAnsi="仿宋_GB2312"/>
          <w:color w:val="000000"/>
          <w:kern w:val="0"/>
          <w:szCs w:val="32"/>
          <w:shd w:val="clear" w:color="auto" w:fill="FFFFFF"/>
        </w:rPr>
        <w:t>万元。具体说明内容包括：</w:t>
      </w:r>
    </w:p>
    <w:p>
      <w:pPr>
        <w:widowControl/>
        <w:adjustRightInd w:val="0"/>
        <w:snapToGrid w:val="0"/>
        <w:spacing w:line="580" w:lineRule="exact"/>
        <w:ind w:firstLineChars="200" w:firstLine="420"/>
        <w:contextualSpacing/>
        <w:rPr>
          <w:rFonts w:ascii="仿宋_GB2312" w:cs="宋体" w:hAnsi="仿宋_GB2312"/>
          <w:color w:val="000000"/>
          <w:kern w:val="0"/>
          <w:szCs w:val="32"/>
          <w:shd w:val="clear" w:color="auto" w:fill="FFFFFF"/>
        </w:rPr>
      </w:pPr>
      <w:r>
        <w:rPr>
          <w:rFonts w:ascii="仿宋_GB2312" w:cs="宋体" w:hAnsi="仿宋_GB2312"/>
          <w:color w:val="000000"/>
          <w:kern w:val="0"/>
          <w:szCs w:val="32"/>
          <w:shd w:val="clear" w:color="auto" w:fill="FFFFFF"/>
        </w:rPr>
        <w:t>项目立项依据：</w:t>
      </w:r>
      <w:r>
        <w:rPr>
          <w:rFonts w:ascii="仿宋_GB2312" w:cs="宋体" w:hAnsi="仿宋_GB2312" w:hint="eastAsia"/>
          <w:color w:val="000000"/>
          <w:kern w:val="0"/>
          <w:szCs w:val="32"/>
          <w:shd w:val="clear" w:color="auto" w:fill="FFFFFF"/>
        </w:rPr>
        <w:t>1、</w:t>
      </w:r>
      <w:r>
        <w:rPr>
          <w:rFonts w:ascii="仿宋_GB2312" w:cs="宋体" w:hAnsi="仿宋_GB2312"/>
          <w:color w:val="000000"/>
          <w:kern w:val="0"/>
          <w:szCs w:val="32"/>
          <w:shd w:val="clear" w:color="auto" w:fill="FFFFFF"/>
        </w:rPr>
        <w:t>由于全州政务工作的相关要求，需要将计算机设备更换为国产电脑</w:t>
      </w:r>
      <w:r>
        <w:rPr>
          <w:rFonts w:ascii="仿宋_GB2312" w:cs="宋体" w:hAnsi="仿宋_GB2312" w:hint="eastAsia"/>
          <w:color w:val="000000"/>
          <w:kern w:val="0"/>
          <w:szCs w:val="32"/>
          <w:shd w:val="clear" w:color="auto" w:fill="FFFFFF"/>
        </w:rPr>
        <w:t>以</w:t>
      </w:r>
      <w:r>
        <w:rPr>
          <w:rFonts w:ascii="仿宋_GB2312" w:cs="宋体" w:hAnsi="仿宋_GB2312"/>
          <w:color w:val="000000"/>
          <w:kern w:val="0"/>
          <w:szCs w:val="32"/>
          <w:shd w:val="clear" w:color="auto" w:fill="FFFFFF"/>
        </w:rPr>
        <w:t>保障我中心工作正常运行，需购置</w:t>
      </w:r>
      <w:r>
        <w:rPr>
          <w:rFonts w:ascii="仿宋_GB2312" w:cs="宋体" w:hAnsi="仿宋_GB2312" w:hint="eastAsia"/>
          <w:color w:val="000000"/>
          <w:kern w:val="0"/>
          <w:szCs w:val="32"/>
          <w:shd w:val="clear" w:color="auto" w:fill="FFFFFF"/>
        </w:rPr>
        <w:t>国产安可电脑及配套打印机等</w:t>
      </w:r>
      <w:r>
        <w:rPr>
          <w:rFonts w:ascii="仿宋_GB2312" w:cs="宋体" w:hAnsi="仿宋_GB2312"/>
          <w:color w:val="000000"/>
          <w:kern w:val="0"/>
          <w:szCs w:val="32"/>
          <w:shd w:val="clear" w:color="auto" w:fill="FFFFFF"/>
        </w:rPr>
        <w:t>办公设备</w:t>
      </w:r>
      <w:r>
        <w:rPr>
          <w:rFonts w:ascii="仿宋_GB2312" w:cs="宋体" w:hAnsi="仿宋_GB2312" w:hint="eastAsia"/>
          <w:color w:val="000000"/>
          <w:kern w:val="0"/>
          <w:szCs w:val="32"/>
          <w:shd w:val="clear" w:color="auto" w:fill="FFFFFF"/>
        </w:rPr>
        <w:t>；2、完成办公室维修，保证办公区安全舒适性，提升职工满意度，提升办公效率。</w:t>
      </w:r>
    </w:p>
    <w:p>
      <w:pPr>
        <w:widowControl/>
        <w:adjustRightInd w:val="0"/>
        <w:snapToGrid w:val="0"/>
        <w:spacing w:line="580" w:lineRule="exact"/>
        <w:ind w:firstLineChars="200" w:firstLine="420"/>
        <w:contextualSpacing/>
        <w:rPr>
          <w:rFonts w:ascii="仿宋_GB2312" w:cs="宋体" w:hAnsi="仿宋_GB2312"/>
          <w:color w:val="000000"/>
          <w:kern w:val="0"/>
          <w:szCs w:val="32"/>
          <w:shd w:val="clear" w:color="auto" w:fill="FFFFFF"/>
        </w:rPr>
      </w:pPr>
      <w:r>
        <w:rPr>
          <w:rFonts w:ascii="仿宋_GB2312" w:cs="宋体" w:hAnsi="仿宋_GB2312"/>
          <w:color w:val="000000"/>
          <w:kern w:val="0"/>
          <w:szCs w:val="32"/>
          <w:shd w:val="clear" w:color="auto" w:fill="FFFFFF"/>
        </w:rPr>
        <w:t>项目内容：</w:t>
      </w:r>
      <w:r>
        <w:rPr>
          <w:rFonts w:ascii="仿宋_GB2312" w:cs="宋体" w:hAnsi="仿宋_GB2312" w:hint="eastAsia"/>
          <w:color w:val="000000"/>
          <w:kern w:val="0"/>
          <w:szCs w:val="32"/>
          <w:shd w:val="clear" w:color="auto" w:fill="FFFFFF"/>
        </w:rPr>
        <w:t>1、</w:t>
      </w:r>
      <w:r>
        <w:rPr>
          <w:rFonts w:ascii="仿宋_GB2312" w:cs="宋体" w:hAnsi="仿宋_GB2312"/>
          <w:color w:val="000000"/>
          <w:kern w:val="0"/>
          <w:szCs w:val="32"/>
          <w:shd w:val="clear" w:color="auto" w:fill="FFFFFF"/>
        </w:rPr>
        <w:t>台式计算机</w:t>
      </w:r>
      <w:r>
        <w:rPr>
          <w:rFonts w:ascii="仿宋_GB2312" w:cs="宋体" w:hAnsi="仿宋_GB2312" w:hint="eastAsia"/>
          <w:color w:val="000000"/>
          <w:kern w:val="0"/>
          <w:szCs w:val="32"/>
          <w:shd w:val="clear" w:color="auto" w:fill="FFFFFF"/>
        </w:rPr>
        <w:t>3台、打印设备4台及笔记本电脑3台共6.38万</w:t>
      </w:r>
      <w:r>
        <w:rPr>
          <w:rFonts w:ascii="仿宋_GB2312" w:cs="宋体" w:hAnsi="仿宋_GB2312"/>
          <w:color w:val="000000"/>
          <w:kern w:val="0"/>
          <w:szCs w:val="32"/>
          <w:shd w:val="clear" w:color="auto" w:fill="FFFFFF"/>
        </w:rPr>
        <w:t>元</w:t>
      </w:r>
      <w:r>
        <w:rPr>
          <w:rFonts w:ascii="仿宋_GB2312" w:cs="宋体" w:hAnsi="仿宋_GB2312" w:hint="eastAsia"/>
          <w:color w:val="000000"/>
          <w:kern w:val="0"/>
          <w:szCs w:val="32"/>
          <w:shd w:val="clear" w:color="auto" w:fill="FFFFFF"/>
        </w:rPr>
        <w:t>；2、办公室维修费1.31万元。</w:t>
      </w:r>
    </w:p>
    <w:p>
      <w:pPr>
        <w:widowControl/>
        <w:adjustRightInd w:val="0"/>
        <w:snapToGrid w:val="0"/>
        <w:spacing w:line="580" w:lineRule="exact"/>
        <w:ind w:firstLineChars="200" w:firstLine="420"/>
        <w:contextualSpacing/>
        <w:rPr>
          <w:rFonts w:ascii="仿宋_GB2312" w:cs="宋体" w:hAnsi="仿宋_GB2312"/>
          <w:color w:val="000000"/>
          <w:kern w:val="0"/>
          <w:szCs w:val="32"/>
          <w:shd w:val="clear" w:color="auto" w:fill="FFFFFF"/>
        </w:rPr>
      </w:pPr>
      <w:r>
        <w:rPr>
          <w:rFonts w:ascii="仿宋_GB2312" w:cs="宋体" w:hAnsi="仿宋_GB2312"/>
          <w:color w:val="000000"/>
          <w:kern w:val="0"/>
          <w:szCs w:val="32"/>
          <w:shd w:val="clear" w:color="auto" w:fill="FFFFFF"/>
        </w:rPr>
        <w:t>项目执行进度及预算完成情况：</w:t>
      </w:r>
      <w:r>
        <w:rPr>
          <w:rFonts w:ascii="仿宋_GB2312" w:cs="宋体" w:hAnsi="仿宋_GB2312" w:hint="eastAsia"/>
          <w:color w:val="000000"/>
          <w:kern w:val="0"/>
          <w:szCs w:val="32"/>
          <w:shd w:val="clear" w:color="auto" w:fill="FFFFFF"/>
        </w:rPr>
        <w:t>采购国产安可电脑及配套打印设备等合计6.38万元；办公室维修费1.31万元，均已完成支付。</w:t>
      </w:r>
    </w:p>
    <w:p>
      <w:pPr>
        <w:widowControl/>
        <w:adjustRightInd w:val="0"/>
        <w:snapToGrid w:val="0"/>
        <w:spacing w:line="580" w:lineRule="exact"/>
        <w:ind w:firstLineChars="200" w:firstLine="420"/>
        <w:contextualSpacing/>
        <w:jc w:val="left"/>
        <w:rPr>
          <w:rFonts w:ascii="楷体_GB2312" w:eastAsia="楷体_GB2312" w:cs="楷体_GB2312"/>
          <w:b/>
          <w:bCs/>
          <w:color w:val="000000"/>
          <w:kern w:val="0"/>
          <w:szCs w:val="32"/>
          <w:shd w:val="clear" w:color="auto" w:fill="FFFFFF"/>
          <w:lang w:val="zh-CN"/>
        </w:rPr>
      </w:pPr>
      <w:r>
        <w:rPr>
          <w:rFonts w:ascii="楷体_GB2312" w:eastAsia="楷体_GB2312" w:cs="楷体_GB2312" w:hint="eastAsia"/>
          <w:b/>
          <w:bCs/>
          <w:color w:val="000000"/>
          <w:kern w:val="0"/>
          <w:szCs w:val="32"/>
          <w:shd w:val="clear" w:color="auto" w:fill="FFFFFF"/>
          <w:lang w:val="zh-CN"/>
        </w:rPr>
        <w:t>（二）结果应用情况</w:t>
      </w:r>
    </w:p>
    <w:p>
      <w:pPr>
        <w:widowControl/>
        <w:adjustRightInd w:val="0"/>
        <w:snapToGrid w:val="0"/>
        <w:spacing w:line="580" w:lineRule="exact"/>
        <w:ind w:firstLineChars="200" w:firstLine="420"/>
        <w:contextualSpacing/>
        <w:jc w:val="left"/>
        <w:rPr>
          <w:rFonts w:ascii="仿宋_GB2312" w:cs="宋体" w:hAnsi="仿宋_GB2312"/>
          <w:color w:val="000000"/>
          <w:kern w:val="0"/>
          <w:szCs w:val="32"/>
          <w:shd w:val="clear" w:color="auto" w:fill="FFFFFF"/>
        </w:rPr>
      </w:pPr>
      <w:r>
        <w:rPr>
          <w:rFonts w:ascii="仿宋_GB2312" w:cs="宋体" w:hAnsi="仿宋_GB2312" w:hint="eastAsia"/>
          <w:color w:val="000000"/>
          <w:kern w:val="0"/>
          <w:szCs w:val="32"/>
          <w:shd w:val="clear" w:color="auto" w:fill="FFFFFF"/>
          <w:lang w:val="zh-CN"/>
        </w:rPr>
        <w:t>根据省财政厅统一安排，我中心在规定时间内按照统一格式、内容、口径及时在州政府网站及单位门户网站公开了</w:t>
      </w:r>
      <w:r>
        <w:rPr>
          <w:rFonts w:ascii="仿宋_GB2312" w:cs="宋体" w:hAnsi="仿宋_GB2312" w:hint="eastAsia"/>
          <w:color w:val="000000"/>
          <w:kern w:val="0"/>
          <w:szCs w:val="32"/>
          <w:shd w:val="clear" w:color="auto" w:fill="FFFFFF"/>
        </w:rPr>
        <w:t>2021年部门决算、2022年部门预算信息，做到基础数据真实、准确、完整，并在财务工作中取得了实效。</w:t>
      </w:r>
      <w:r>
        <w:rPr>
          <w:rFonts w:ascii="仿宋_GB2312" w:cs="宋体" w:hAnsi="仿宋_GB2312" w:hint="eastAsia"/>
          <w:b/>
          <w:bCs/>
          <w:color w:val="000000"/>
          <w:kern w:val="0"/>
          <w:szCs w:val="32"/>
          <w:shd w:val="clear" w:color="auto" w:fill="FFFFFF"/>
        </w:rPr>
        <w:t>一是</w:t>
      </w:r>
      <w:r>
        <w:rPr>
          <w:rFonts w:ascii="仿宋_GB2312" w:cs="宋体" w:hAnsi="仿宋_GB2312" w:hint="eastAsia"/>
          <w:color w:val="000000"/>
          <w:kern w:val="0"/>
          <w:szCs w:val="32"/>
          <w:shd w:val="clear" w:color="auto" w:fill="FFFFFF"/>
        </w:rPr>
        <w:t>认真执行收支两条线，将收入全额纳入预算管理，并将收入及时解缴入库；</w:t>
      </w:r>
      <w:r>
        <w:rPr>
          <w:rFonts w:ascii="仿宋_GB2312" w:cs="宋体" w:hAnsi="仿宋_GB2312" w:hint="eastAsia"/>
          <w:b/>
          <w:bCs/>
          <w:color w:val="000000"/>
          <w:kern w:val="0"/>
          <w:szCs w:val="32"/>
          <w:shd w:val="clear" w:color="auto" w:fill="FFFFFF"/>
        </w:rPr>
        <w:t>二是</w:t>
      </w:r>
      <w:r>
        <w:rPr>
          <w:rFonts w:ascii="仿宋_GB2312" w:cs="宋体" w:hAnsi="仿宋_GB2312" w:hint="eastAsia"/>
          <w:color w:val="000000"/>
          <w:kern w:val="0"/>
          <w:szCs w:val="32"/>
          <w:shd w:val="clear" w:color="auto" w:fill="FFFFFF"/>
        </w:rPr>
        <w:t>严格按照八项规定控制支出，降低运行费用；</w:t>
      </w:r>
      <w:r>
        <w:rPr>
          <w:rFonts w:ascii="仿宋_GB2312" w:cs="宋体" w:hAnsi="仿宋_GB2312" w:hint="eastAsia"/>
          <w:b/>
          <w:bCs/>
          <w:color w:val="000000"/>
          <w:kern w:val="0"/>
          <w:szCs w:val="32"/>
          <w:shd w:val="clear" w:color="auto" w:fill="FFFFFF"/>
        </w:rPr>
        <w:t>三是</w:t>
      </w:r>
      <w:r>
        <w:rPr>
          <w:rFonts w:ascii="仿宋_GB2312" w:cs="宋体" w:hAnsi="仿宋_GB2312" w:hint="eastAsia"/>
          <w:color w:val="000000"/>
          <w:kern w:val="0"/>
          <w:szCs w:val="32"/>
          <w:shd w:val="clear" w:color="auto" w:fill="FFFFFF"/>
        </w:rPr>
        <w:t>不断提高会计核算的水平和质量，推进财务工作规范化，科学化；</w:t>
      </w:r>
      <w:r>
        <w:rPr>
          <w:rFonts w:ascii="仿宋_GB2312" w:cs="宋体" w:hAnsi="仿宋_GB2312" w:hint="eastAsia"/>
          <w:b/>
          <w:bCs/>
          <w:color w:val="000000"/>
          <w:kern w:val="0"/>
          <w:szCs w:val="32"/>
          <w:shd w:val="clear" w:color="auto" w:fill="FFFFFF"/>
        </w:rPr>
        <w:t>四是</w:t>
      </w:r>
      <w:r>
        <w:rPr>
          <w:rFonts w:ascii="仿宋_GB2312" w:cs="宋体" w:hAnsi="仿宋_GB2312" w:hint="eastAsia"/>
          <w:color w:val="000000"/>
          <w:kern w:val="0"/>
          <w:szCs w:val="32"/>
          <w:shd w:val="clear" w:color="auto" w:fill="FFFFFF"/>
        </w:rPr>
        <w:t>在内控建设实施工作中，不断加强制度建立、制度执行、档案管理；</w:t>
      </w:r>
      <w:r>
        <w:rPr>
          <w:rFonts w:ascii="仿宋_GB2312" w:cs="宋体" w:hAnsi="仿宋_GB2312" w:hint="eastAsia"/>
          <w:b/>
          <w:bCs/>
          <w:color w:val="000000"/>
          <w:kern w:val="0"/>
          <w:szCs w:val="32"/>
          <w:shd w:val="clear" w:color="auto" w:fill="FFFFFF"/>
        </w:rPr>
        <w:t>五是</w:t>
      </w:r>
      <w:r>
        <w:rPr>
          <w:rFonts w:ascii="仿宋_GB2312" w:cs="宋体" w:hAnsi="仿宋_GB2312" w:hint="eastAsia"/>
          <w:color w:val="000000"/>
          <w:kern w:val="0"/>
          <w:szCs w:val="32"/>
          <w:shd w:val="clear" w:color="auto" w:fill="FFFFFF"/>
        </w:rPr>
        <w:t>严格执行固定资产管理规定，确保中心固定资产管理规范。</w:t>
      </w:r>
    </w:p>
    <w:p>
      <w:pPr>
        <w:widowControl/>
        <w:adjustRightInd w:val="0"/>
        <w:snapToGrid w:val="0"/>
        <w:spacing w:line="580" w:lineRule="exact"/>
        <w:ind w:firstLineChars="200" w:firstLine="420"/>
        <w:contextualSpacing/>
        <w:jc w:val="left"/>
        <w:rPr>
          <w:rFonts w:ascii="仿宋_GB2312" w:cs="宋体" w:hAnsi="仿宋_GB2312"/>
          <w:color w:val="000000"/>
          <w:kern w:val="0"/>
          <w:szCs w:val="32"/>
          <w:shd w:val="clear" w:color="auto" w:fill="FFFFFF"/>
        </w:rPr>
      </w:pPr>
      <w:r>
        <w:rPr>
          <w:rFonts w:ascii="仿宋_GB2312" w:cs="宋体" w:hAnsi="仿宋_GB2312" w:hint="eastAsia"/>
          <w:color w:val="000000"/>
          <w:kern w:val="0"/>
          <w:szCs w:val="32"/>
          <w:shd w:val="clear" w:color="auto" w:fill="FFFFFF"/>
        </w:rPr>
        <w:t>本单位此次整体支出绩效自评分数为89分，在目标制定、目标实现、预算编制准确等方面完成度较好，扣分项主要是在部门预算执行进度方面。今后将加强预算执行进度及动态调整方面的力度，务求全年合理安排预算执行进度，将绩效监控结果应用到预算调整中。</w:t>
      </w:r>
    </w:p>
    <w:p>
      <w:pPr>
        <w:widowControl/>
        <w:adjustRightInd w:val="0"/>
        <w:snapToGrid w:val="0"/>
        <w:spacing w:line="580" w:lineRule="exact"/>
        <w:ind w:firstLineChars="200" w:firstLine="420"/>
        <w:contextualSpacing/>
        <w:jc w:val="left"/>
        <w:rPr>
          <w:rFonts w:ascii="黑体" w:eastAsia="黑体" w:cs="宋体"/>
          <w:color w:val="000000"/>
          <w:kern w:val="0"/>
          <w:szCs w:val="32"/>
          <w:shd w:val="clear" w:color="auto" w:fill="FFFFFF"/>
        </w:rPr>
      </w:pPr>
      <w:r>
        <w:rPr>
          <w:rFonts w:ascii="黑体" w:eastAsia="黑体" w:cs="宋体" w:hint="eastAsia"/>
          <w:color w:val="000000"/>
          <w:kern w:val="0"/>
          <w:szCs w:val="32"/>
          <w:shd w:val="clear" w:color="auto" w:fill="FFFFFF"/>
        </w:rPr>
        <w:t>四、评价结论及建议</w:t>
      </w:r>
    </w:p>
    <w:p>
      <w:pPr>
        <w:widowControl/>
        <w:adjustRightInd w:val="0"/>
        <w:snapToGrid w:val="0"/>
        <w:spacing w:line="580" w:lineRule="exact"/>
        <w:ind w:firstLineChars="200" w:firstLine="420"/>
        <w:contextualSpacing/>
        <w:jc w:val="left"/>
        <w:rPr>
          <w:rFonts w:ascii="楷体_GB2312" w:eastAsia="楷体_GB2312" w:cs="楷体_GB2312"/>
          <w:b/>
          <w:bCs/>
          <w:color w:val="000000"/>
          <w:kern w:val="0"/>
          <w:szCs w:val="32"/>
          <w:shd w:val="clear" w:color="auto" w:fill="FFFFFF"/>
          <w:lang w:val="zh-CN"/>
        </w:rPr>
      </w:pPr>
      <w:r>
        <w:rPr>
          <w:rFonts w:ascii="楷体_GB2312" w:eastAsia="楷体_GB2312" w:cs="楷体_GB2312" w:hint="eastAsia"/>
          <w:b/>
          <w:bCs/>
          <w:color w:val="000000"/>
          <w:kern w:val="0"/>
          <w:szCs w:val="32"/>
          <w:shd w:val="clear" w:color="auto" w:fill="FFFFFF"/>
          <w:lang w:val="zh-CN"/>
        </w:rPr>
        <w:t>（一）评价结论</w:t>
      </w:r>
    </w:p>
    <w:p>
      <w:pPr>
        <w:widowControl/>
        <w:adjustRightInd w:val="0"/>
        <w:snapToGrid w:val="0"/>
        <w:spacing w:line="580" w:lineRule="exact"/>
        <w:ind w:firstLineChars="200" w:firstLine="420"/>
        <w:contextualSpacing/>
        <w:jc w:val="left"/>
        <w:rPr>
          <w:rFonts w:ascii="仿宋_GB2312" w:cs="宋体" w:hAnsi="仿宋_GB2312"/>
          <w:color w:val="000000"/>
          <w:kern w:val="0"/>
          <w:szCs w:val="32"/>
          <w:shd w:val="clear" w:color="auto" w:fill="FFFFFF"/>
        </w:rPr>
      </w:pPr>
      <w:r>
        <w:rPr>
          <w:rFonts w:ascii="仿宋_GB2312" w:cs="宋体" w:hAnsi="仿宋_GB2312" w:hint="eastAsia"/>
          <w:color w:val="000000"/>
          <w:kern w:val="0"/>
          <w:szCs w:val="32"/>
          <w:shd w:val="clear" w:color="auto" w:fill="FFFFFF"/>
          <w:lang w:val="zh-CN"/>
        </w:rPr>
        <w:t>通过绩效评价，我中心</w:t>
      </w:r>
      <w:r>
        <w:rPr>
          <w:rFonts w:ascii="仿宋_GB2312" w:cs="宋体" w:hAnsi="仿宋_GB2312" w:hint="eastAsia"/>
          <w:color w:val="000000"/>
          <w:kern w:val="0"/>
          <w:szCs w:val="32"/>
          <w:shd w:val="clear" w:color="auto" w:fill="FFFFFF"/>
        </w:rPr>
        <w:t>2022年度部门预算具有明确的用途和目标，制定了详细的执行计划，资金到位及时并严格按照财政有关规定使用。预算决策、管理、执行等日益规范，能较好地满足工作需要，取得了良好效益。</w:t>
      </w:r>
    </w:p>
    <w:p>
      <w:pPr>
        <w:widowControl/>
        <w:adjustRightInd w:val="0"/>
        <w:snapToGrid w:val="0"/>
        <w:spacing w:line="580" w:lineRule="exact"/>
        <w:ind w:leftChars="200" w:left="420"/>
        <w:contextualSpacing/>
        <w:jc w:val="left"/>
        <w:rPr>
          <w:rFonts w:ascii="楷体_GB2312" w:eastAsia="楷体_GB2312" w:cs="楷体_GB2312"/>
          <w:b/>
          <w:bCs/>
          <w:color w:val="000000"/>
          <w:kern w:val="0"/>
          <w:szCs w:val="32"/>
          <w:shd w:val="clear" w:color="auto" w:fill="FFFFFF"/>
          <w:lang w:val="zh-CN"/>
        </w:rPr>
      </w:pPr>
      <w:r>
        <w:rPr>
          <w:rFonts w:ascii="楷体_GB2312" w:eastAsia="楷体_GB2312" w:cs="楷体_GB2312" w:hint="eastAsia"/>
          <w:b/>
          <w:bCs/>
          <w:color w:val="000000"/>
          <w:kern w:val="0"/>
          <w:szCs w:val="32"/>
          <w:shd w:val="clear" w:color="auto" w:fill="FFFFFF"/>
          <w:lang w:val="zh-CN"/>
        </w:rPr>
        <w:t>（二）存在问题</w:t>
      </w:r>
    </w:p>
    <w:p>
      <w:pPr>
        <w:widowControl/>
        <w:adjustRightInd w:val="0"/>
        <w:snapToGrid w:val="0"/>
        <w:spacing w:line="580" w:lineRule="exact"/>
        <w:ind w:firstLineChars="200" w:firstLine="420"/>
        <w:contextualSpacing/>
        <w:jc w:val="left"/>
        <w:rPr>
          <w:rFonts w:ascii="仿宋_GB2312" w:cs="宋体" w:hAnsi="仿宋_GB2312"/>
          <w:color w:val="000000"/>
          <w:kern w:val="0"/>
          <w:szCs w:val="32"/>
          <w:shd w:val="clear" w:color="auto" w:fill="FFFFFF"/>
        </w:rPr>
      </w:pPr>
      <w:r>
        <w:rPr>
          <w:rFonts w:ascii="仿宋_GB2312" w:cs="宋体" w:hAnsi="仿宋_GB2312" w:hint="eastAsia"/>
          <w:b/>
          <w:bCs/>
          <w:color w:val="000000"/>
          <w:kern w:val="0"/>
          <w:szCs w:val="32"/>
          <w:shd w:val="clear" w:color="auto" w:fill="FFFFFF"/>
        </w:rPr>
        <w:t>一是</w:t>
      </w:r>
      <w:r>
        <w:rPr>
          <w:rFonts w:ascii="仿宋_GB2312" w:cs="宋体" w:hAnsi="仿宋_GB2312" w:hint="eastAsia"/>
          <w:color w:val="000000"/>
          <w:kern w:val="0"/>
          <w:szCs w:val="32"/>
          <w:shd w:val="clear" w:color="auto" w:fill="FFFFFF"/>
        </w:rPr>
        <w:t>前期绩效目标编制不够细致，最终达到的成效与目标还存在一定差距；</w:t>
      </w:r>
      <w:r>
        <w:rPr>
          <w:rFonts w:ascii="仿宋_GB2312" w:cs="宋体" w:hAnsi="仿宋_GB2312" w:hint="eastAsia"/>
          <w:b/>
          <w:bCs/>
          <w:color w:val="000000"/>
          <w:kern w:val="0"/>
          <w:szCs w:val="32"/>
          <w:shd w:val="clear" w:color="auto" w:fill="FFFFFF"/>
        </w:rPr>
        <w:t>二是</w:t>
      </w:r>
      <w:r>
        <w:rPr>
          <w:rFonts w:ascii="仿宋_GB2312" w:cs="宋体" w:hAnsi="仿宋_GB2312" w:hint="eastAsia"/>
          <w:color w:val="000000"/>
          <w:kern w:val="0"/>
          <w:szCs w:val="32"/>
          <w:shd w:val="clear" w:color="auto" w:fill="FFFFFF"/>
        </w:rPr>
        <w:t>由于工作安排的原因，项目支出进度缓慢，存在部门预算执行进度不均衡，项目资金使用“前松后紧”现象。</w:t>
      </w:r>
    </w:p>
    <w:p>
      <w:pPr>
        <w:widowControl/>
        <w:adjustRightInd w:val="0"/>
        <w:snapToGrid w:val="0"/>
        <w:spacing w:line="580" w:lineRule="exact"/>
        <w:ind w:leftChars="200" w:left="420"/>
        <w:contextualSpacing/>
        <w:jc w:val="left"/>
        <w:rPr>
          <w:rFonts w:ascii="仿宋_GB2312" w:cs="宋体" w:hAnsi="仿宋_GB2312"/>
          <w:color w:val="000000"/>
          <w:kern w:val="0"/>
          <w:szCs w:val="32"/>
          <w:shd w:val="clear" w:color="auto" w:fill="FFFFFF"/>
          <w:lang w:val="zh-CN"/>
        </w:rPr>
      </w:pPr>
      <w:r>
        <w:rPr>
          <w:rFonts w:ascii="楷体_GB2312" w:eastAsia="楷体_GB2312" w:cs="楷体_GB2312" w:hint="eastAsia"/>
          <w:b/>
          <w:bCs/>
          <w:color w:val="000000"/>
          <w:kern w:val="0"/>
          <w:szCs w:val="32"/>
          <w:shd w:val="clear" w:color="auto" w:fill="FFFFFF"/>
          <w:lang w:val="zh-CN"/>
        </w:rPr>
        <w:t>（三）改进建议</w:t>
      </w:r>
    </w:p>
    <w:p>
      <w:pPr>
        <w:widowControl/>
        <w:adjustRightInd w:val="0"/>
        <w:snapToGrid w:val="0"/>
        <w:spacing w:line="580" w:lineRule="exact"/>
        <w:ind w:firstLineChars="200" w:firstLine="420"/>
        <w:contextualSpacing/>
        <w:jc w:val="left"/>
        <w:rPr>
          <w:rFonts w:ascii="仿宋_GB2312" w:cs="宋体" w:hAnsi="仿宋_GB2312"/>
          <w:color w:val="000000"/>
          <w:kern w:val="0"/>
          <w:szCs w:val="32"/>
          <w:shd w:val="clear" w:color="auto" w:fill="FFFFFF"/>
          <w:lang w:val="zh-CN"/>
        </w:rPr>
      </w:pPr>
      <w:r>
        <w:rPr>
          <w:rFonts w:ascii="仿宋_GB2312" w:cs="宋体" w:hAnsi="仿宋_GB2312" w:hint="eastAsia"/>
          <w:color w:val="000000"/>
          <w:kern w:val="0"/>
          <w:szCs w:val="32"/>
          <w:shd w:val="clear" w:color="auto" w:fill="FFFFFF"/>
          <w:lang w:val="zh-CN"/>
        </w:rPr>
        <w:t>针对这些存在的问题，在今后的项目绩效工作中首先要遵循先有预算、后有支出的原则，做到要素完整、细化量化，加强财务管理和内部控制监督制度，并严格监控项目进度；同时严禁超预算和无预算安排支出，严格开支范围和标准，严格支出报销审核，不报销任何超范围、超标准的费用。紧紧围绕中心的总体工作部署，进一步拓宽思路，做好资金收支两方面工作，最终实现项目绩效管理水平和服务质量的提高。</w:t>
      </w:r>
    </w:p>
    <w:p>
      <w:pPr>
        <w:widowControl/>
        <w:autoSpaceDN w:val="0"/>
        <w:adjustRightInd w:val="0"/>
        <w:snapToGrid w:val="0"/>
        <w:spacing w:line="580" w:lineRule="exact"/>
        <w:ind w:firstLineChars="200" w:firstLine="420"/>
        <w:jc w:val="left"/>
        <w:rPr>
          <w:rFonts w:ascii="仿宋_GB2312" w:cs="宋体" w:hAnsi="仿宋_GB2312"/>
          <w:color w:val="000000"/>
          <w:kern w:val="0"/>
          <w:szCs w:val="32"/>
          <w:shd w:val="clear" w:color="auto" w:fill="FFFFFF"/>
          <w:lang w:val="zh-CN"/>
        </w:rPr>
      </w:pPr>
    </w:p>
    <w:p>
      <w:pPr>
        <w:widowControl/>
        <w:autoSpaceDN w:val="0"/>
        <w:adjustRightInd w:val="0"/>
        <w:snapToGrid w:val="0"/>
        <w:spacing w:line="580" w:lineRule="exact"/>
        <w:ind w:firstLineChars="200" w:firstLine="420"/>
        <w:jc w:val="left"/>
        <w:rPr>
          <w:rFonts w:ascii="仿宋_GB2312" w:cs="宋体" w:hAnsi="仿宋_GB2312"/>
          <w:color w:val="000000"/>
          <w:kern w:val="0"/>
          <w:szCs w:val="32"/>
          <w:shd w:val="clear" w:color="auto" w:fill="FFFFFF"/>
          <w:lang w:val="zh-CN"/>
        </w:rPr>
      </w:pPr>
    </w:p>
    <w:p>
      <w:pPr>
        <w:widowControl/>
        <w:adjustRightInd w:val="0"/>
        <w:snapToGrid w:val="0"/>
        <w:spacing w:line="580" w:lineRule="exact"/>
        <w:ind w:firstLineChars="200" w:firstLine="420"/>
        <w:contextualSpacing/>
        <w:jc w:val="left"/>
        <w:rPr>
          <w:rFonts w:ascii="仿宋_GB2312" w:cs="宋体" w:hAnsi="仿宋_GB2312"/>
          <w:color w:val="000000"/>
          <w:kern w:val="0"/>
          <w:szCs w:val="32"/>
          <w:shd w:val="clear" w:color="auto" w:fill="FFFFFF"/>
          <w:lang w:val="zh-CN"/>
        </w:rPr>
      </w:pPr>
    </w:p>
    <w:p>
      <w:pPr>
        <w:widowControl/>
        <w:adjustRightInd w:val="0"/>
        <w:snapToGrid w:val="0"/>
        <w:spacing w:line="580" w:lineRule="exact"/>
        <w:ind w:firstLineChars="200" w:firstLine="420"/>
        <w:contextualSpacing/>
        <w:jc w:val="left"/>
        <w:rPr>
          <w:rFonts w:ascii="仿宋_GB2312" w:cs="宋体" w:hAnsi="仿宋_GB2312"/>
          <w:color w:val="000000"/>
          <w:kern w:val="0"/>
          <w:szCs w:val="32"/>
          <w:shd w:val="clear" w:color="auto" w:fill="FFFFFF"/>
          <w:lang w:val="zh-CN"/>
        </w:rPr>
      </w:pPr>
    </w:p>
    <w:p>
      <w:pPr>
        <w:spacing w:line="600" w:lineRule="exact"/>
        <w:outlineLvl w:val="0"/>
        <w:rPr>
          <w:rFonts w:ascii="黑体" w:eastAsia="黑体"/>
          <w:sz w:val="44"/>
          <w:szCs w:val="44"/>
        </w:rPr>
      </w:pPr>
      <w:bookmarkStart w:id="90" w:name="_Toc26435"/>
      <w:bookmarkStart w:id="91" w:name="_Toc15396618"/>
    </w:p>
    <w:p>
      <w:pPr>
        <w:spacing w:line="600" w:lineRule="exact"/>
        <w:jc w:val="center"/>
        <w:outlineLvl w:val="0"/>
        <w:rPr>
          <w:rFonts w:ascii="仿宋" w:eastAsia="仿宋"/>
        </w:rPr>
      </w:pPr>
      <w:r>
        <w:rPr>
          <w:rFonts w:ascii="黑体" w:eastAsia="黑体" w:hint="eastAsia"/>
          <w:sz w:val="44"/>
          <w:szCs w:val="44"/>
        </w:rPr>
        <w:t>第</w:t>
      </w:r>
      <w:r>
        <w:rPr>
          <w:rStyle w:val="1Char"/>
          <w:rFonts w:ascii="黑体" w:eastAsia="黑体" w:hint="eastAsia"/>
          <w:b w:val="0"/>
        </w:rPr>
        <w:t>五部分 附表</w:t>
      </w:r>
      <w:bookmarkStart w:id="92" w:name="_Toc15396619"/>
      <w:bookmarkEnd w:id="86"/>
      <w:bookmarkEnd w:id="90"/>
      <w:bookmarkEnd w:id="91"/>
    </w:p>
    <w:p>
      <w:pPr>
        <w:pStyle w:val="2"/>
        <w:rPr>
          <w:rFonts w:ascii="仿宋" w:eastAsia="仿宋"/>
        </w:rPr>
      </w:pPr>
      <w:bookmarkStart w:id="93" w:name="_Toc17790"/>
      <w:r>
        <w:rPr>
          <w:rFonts w:ascii="仿宋" w:eastAsia="仿宋" w:hint="eastAsia"/>
          <w:b w:val="0"/>
        </w:rPr>
        <w:t>一、收</w:t>
      </w:r>
      <w:r>
        <w:rPr>
          <w:rStyle w:val="2Char"/>
          <w:rFonts w:ascii="仿宋" w:eastAsia="仿宋" w:hint="eastAsia"/>
        </w:rPr>
        <w:t>入支出决算总表</w:t>
      </w:r>
      <w:bookmarkEnd w:id="92"/>
      <w:bookmarkEnd w:id="93"/>
    </w:p>
    <w:p>
      <w:pPr>
        <w:pStyle w:val="2"/>
        <w:rPr>
          <w:rFonts w:ascii="仿宋" w:eastAsia="仿宋"/>
        </w:rPr>
      </w:pPr>
      <w:bookmarkStart w:id="94" w:name="_Toc15396620"/>
      <w:bookmarkStart w:id="95" w:name="_Toc16439"/>
      <w:r>
        <w:rPr>
          <w:rFonts w:ascii="仿宋" w:eastAsia="仿宋" w:hint="eastAsia"/>
          <w:b w:val="0"/>
        </w:rPr>
        <w:t>二、收</w:t>
      </w:r>
      <w:r>
        <w:rPr>
          <w:rStyle w:val="2Char"/>
          <w:rFonts w:ascii="仿宋" w:eastAsia="仿宋" w:hint="eastAsia"/>
        </w:rPr>
        <w:t>入决算表</w:t>
      </w:r>
      <w:bookmarkEnd w:id="94"/>
      <w:bookmarkEnd w:id="95"/>
    </w:p>
    <w:p>
      <w:pPr>
        <w:pStyle w:val="2"/>
        <w:rPr>
          <w:rFonts w:ascii="仿宋" w:eastAsia="仿宋"/>
        </w:rPr>
      </w:pPr>
      <w:bookmarkStart w:id="96" w:name="_Toc27648"/>
      <w:bookmarkStart w:id="97" w:name="_Toc15396621"/>
      <w:r>
        <w:rPr>
          <w:rStyle w:val="2Char"/>
          <w:rFonts w:ascii="仿宋" w:eastAsia="仿宋" w:hint="eastAsia"/>
        </w:rPr>
        <w:t>三、</w:t>
      </w:r>
      <w:r>
        <w:rPr>
          <w:rFonts w:ascii="仿宋" w:eastAsia="仿宋" w:hint="eastAsia"/>
          <w:b w:val="0"/>
        </w:rPr>
        <w:t>支</w:t>
      </w:r>
      <w:r>
        <w:rPr>
          <w:rStyle w:val="2Char"/>
          <w:rFonts w:ascii="仿宋" w:eastAsia="仿宋" w:hint="eastAsia"/>
        </w:rPr>
        <w:t>出决算表</w:t>
      </w:r>
      <w:bookmarkEnd w:id="96"/>
      <w:bookmarkEnd w:id="97"/>
    </w:p>
    <w:p>
      <w:pPr>
        <w:pStyle w:val="2"/>
        <w:rPr>
          <w:rFonts w:ascii="仿宋" w:eastAsia="仿宋"/>
          <w:b w:val="0"/>
        </w:rPr>
      </w:pPr>
      <w:bookmarkStart w:id="98" w:name="_Toc31368"/>
      <w:bookmarkStart w:id="99" w:name="_Toc15396622"/>
      <w:r>
        <w:rPr>
          <w:rStyle w:val="2Char"/>
          <w:rFonts w:ascii="仿宋" w:eastAsia="仿宋" w:hint="eastAsia"/>
        </w:rPr>
        <w:t>四、</w:t>
      </w:r>
      <w:r>
        <w:rPr>
          <w:rFonts w:ascii="仿宋" w:eastAsia="仿宋" w:hint="eastAsia"/>
          <w:b w:val="0"/>
        </w:rPr>
        <w:t>财</w:t>
      </w:r>
      <w:r>
        <w:rPr>
          <w:rStyle w:val="2Char"/>
          <w:rFonts w:ascii="仿宋" w:eastAsia="仿宋" w:hint="eastAsia"/>
        </w:rPr>
        <w:t>政拨款收入支出决算总表</w:t>
      </w:r>
      <w:bookmarkEnd w:id="98"/>
      <w:bookmarkEnd w:id="99"/>
    </w:p>
    <w:p>
      <w:pPr>
        <w:pStyle w:val="2"/>
        <w:rPr>
          <w:rStyle w:val="2Char"/>
          <w:rFonts w:ascii="仿宋" w:eastAsia="仿宋"/>
        </w:rPr>
      </w:pPr>
      <w:bookmarkStart w:id="100" w:name="_Toc15396623"/>
      <w:bookmarkStart w:id="101" w:name="_Toc11688"/>
      <w:r>
        <w:rPr>
          <w:rStyle w:val="2Char"/>
          <w:rFonts w:ascii="仿宋" w:eastAsia="仿宋" w:hint="eastAsia"/>
        </w:rPr>
        <w:t>五、</w:t>
      </w:r>
      <w:r>
        <w:rPr>
          <w:rFonts w:ascii="仿宋" w:eastAsia="仿宋" w:hint="eastAsia"/>
          <w:b w:val="0"/>
        </w:rPr>
        <w:t>财</w:t>
      </w:r>
      <w:r>
        <w:rPr>
          <w:rStyle w:val="2Char"/>
          <w:rFonts w:ascii="仿宋" w:eastAsia="仿宋" w:hint="eastAsia"/>
        </w:rPr>
        <w:t>政拨款支出决算明细表</w:t>
      </w:r>
      <w:bookmarkStart w:id="102" w:name="_Toc15396624"/>
      <w:bookmarkEnd w:id="100"/>
      <w:bookmarkEnd w:id="101"/>
    </w:p>
    <w:p>
      <w:pPr>
        <w:pStyle w:val="2"/>
        <w:rPr>
          <w:rFonts w:ascii="仿宋" w:eastAsia="仿宋"/>
        </w:rPr>
      </w:pPr>
      <w:bookmarkStart w:id="103" w:name="_Toc6468"/>
      <w:r>
        <w:rPr>
          <w:rStyle w:val="2Char"/>
          <w:rFonts w:ascii="仿宋" w:eastAsia="仿宋" w:hint="eastAsia"/>
        </w:rPr>
        <w:t>六、</w:t>
      </w:r>
      <w:r>
        <w:rPr>
          <w:rFonts w:ascii="仿宋" w:eastAsia="仿宋" w:hint="eastAsia"/>
          <w:b w:val="0"/>
        </w:rPr>
        <w:t>一</w:t>
      </w:r>
      <w:r>
        <w:rPr>
          <w:rStyle w:val="2Char"/>
          <w:rFonts w:ascii="仿宋" w:eastAsia="仿宋" w:hint="eastAsia"/>
        </w:rPr>
        <w:t>般公共预算财政拨款支出决算表</w:t>
      </w:r>
      <w:bookmarkEnd w:id="102"/>
      <w:bookmarkEnd w:id="103"/>
    </w:p>
    <w:p>
      <w:pPr>
        <w:pStyle w:val="2"/>
        <w:rPr>
          <w:rFonts w:ascii="仿宋" w:eastAsia="仿宋"/>
        </w:rPr>
      </w:pPr>
      <w:bookmarkStart w:id="104" w:name="_Toc15396625"/>
      <w:bookmarkStart w:id="105" w:name="_Toc1511"/>
      <w:r>
        <w:rPr>
          <w:rStyle w:val="2Char"/>
          <w:rFonts w:ascii="仿宋" w:eastAsia="仿宋" w:hint="eastAsia"/>
        </w:rPr>
        <w:t>七、</w:t>
      </w:r>
      <w:r>
        <w:rPr>
          <w:rFonts w:ascii="仿宋" w:eastAsia="仿宋" w:hint="eastAsia"/>
          <w:b w:val="0"/>
        </w:rPr>
        <w:t>一</w:t>
      </w:r>
      <w:r>
        <w:rPr>
          <w:rStyle w:val="2Char"/>
          <w:rFonts w:ascii="仿宋" w:eastAsia="仿宋" w:hint="eastAsia"/>
        </w:rPr>
        <w:t>般公共预算财政拨款支出决算明细表</w:t>
      </w:r>
      <w:bookmarkEnd w:id="104"/>
      <w:bookmarkEnd w:id="105"/>
    </w:p>
    <w:p>
      <w:pPr>
        <w:pStyle w:val="2"/>
        <w:rPr>
          <w:rFonts w:ascii="仿宋" w:eastAsia="仿宋"/>
        </w:rPr>
      </w:pPr>
      <w:bookmarkStart w:id="106" w:name="_Toc15396626"/>
      <w:bookmarkStart w:id="107" w:name="_Toc13890"/>
      <w:r>
        <w:rPr>
          <w:rStyle w:val="2Char"/>
          <w:rFonts w:ascii="仿宋" w:eastAsia="仿宋" w:hint="eastAsia"/>
        </w:rPr>
        <w:t>八、</w:t>
      </w:r>
      <w:r>
        <w:rPr>
          <w:rFonts w:ascii="仿宋" w:eastAsia="仿宋" w:hint="eastAsia"/>
          <w:b w:val="0"/>
        </w:rPr>
        <w:t>一</w:t>
      </w:r>
      <w:r>
        <w:rPr>
          <w:rStyle w:val="2Char"/>
          <w:rFonts w:ascii="仿宋" w:eastAsia="仿宋" w:hint="eastAsia"/>
        </w:rPr>
        <w:t>般公共预算财政拨款基本支出决算表</w:t>
      </w:r>
      <w:bookmarkEnd w:id="106"/>
      <w:bookmarkEnd w:id="107"/>
    </w:p>
    <w:p>
      <w:pPr>
        <w:pStyle w:val="2"/>
        <w:rPr>
          <w:rFonts w:ascii="仿宋" w:eastAsia="仿宋"/>
        </w:rPr>
      </w:pPr>
      <w:bookmarkStart w:id="108" w:name="_Toc29782"/>
      <w:bookmarkStart w:id="109" w:name="_Toc15396627"/>
      <w:r>
        <w:rPr>
          <w:rStyle w:val="2Char"/>
          <w:rFonts w:ascii="仿宋" w:eastAsia="仿宋" w:hint="eastAsia"/>
        </w:rPr>
        <w:t>九、</w:t>
      </w:r>
      <w:r>
        <w:rPr>
          <w:rFonts w:ascii="仿宋" w:eastAsia="仿宋" w:hint="eastAsia"/>
          <w:b w:val="0"/>
        </w:rPr>
        <w:t>一</w:t>
      </w:r>
      <w:r>
        <w:rPr>
          <w:rStyle w:val="2Char"/>
          <w:rFonts w:ascii="仿宋" w:eastAsia="仿宋" w:hint="eastAsia"/>
        </w:rPr>
        <w:t>般公共预算财政拨款项目支出决算表</w:t>
      </w:r>
      <w:bookmarkEnd w:id="108"/>
      <w:bookmarkEnd w:id="109"/>
    </w:p>
    <w:p>
      <w:pPr>
        <w:pStyle w:val="2"/>
        <w:rPr>
          <w:rFonts w:ascii="仿宋" w:eastAsia="仿宋"/>
        </w:rPr>
      </w:pPr>
      <w:bookmarkStart w:id="110" w:name="_Toc15396628"/>
      <w:bookmarkStart w:id="111" w:name="_Toc30429"/>
      <w:r>
        <w:rPr>
          <w:rStyle w:val="2Char"/>
          <w:rFonts w:ascii="仿宋" w:eastAsia="仿宋" w:hint="eastAsia"/>
        </w:rPr>
        <w:t>十、</w:t>
      </w:r>
      <w:r>
        <w:rPr>
          <w:rFonts w:ascii="仿宋" w:eastAsia="仿宋" w:hint="eastAsia"/>
          <w:b w:val="0"/>
        </w:rPr>
        <w:t>一</w:t>
      </w:r>
      <w:r>
        <w:rPr>
          <w:rStyle w:val="2Char"/>
          <w:rFonts w:ascii="仿宋" w:eastAsia="仿宋" w:hint="eastAsia"/>
        </w:rPr>
        <w:t>般公共预算财政拨款“三公”经费支出决算表</w:t>
      </w:r>
      <w:bookmarkEnd w:id="110"/>
      <w:bookmarkEnd w:id="111"/>
    </w:p>
    <w:p>
      <w:pPr>
        <w:pStyle w:val="2"/>
        <w:rPr>
          <w:rFonts w:ascii="仿宋" w:eastAsia="仿宋"/>
        </w:rPr>
      </w:pPr>
      <w:bookmarkStart w:id="112" w:name="_Toc31348"/>
      <w:bookmarkStart w:id="113" w:name="_Toc15396629"/>
      <w:r>
        <w:rPr>
          <w:rStyle w:val="2Char"/>
          <w:rFonts w:ascii="仿宋" w:eastAsia="仿宋" w:hint="eastAsia"/>
        </w:rPr>
        <w:t>十一、</w:t>
      </w:r>
      <w:r>
        <w:rPr>
          <w:rFonts w:ascii="仿宋" w:eastAsia="仿宋" w:hint="eastAsia"/>
          <w:b w:val="0"/>
        </w:rPr>
        <w:t>政</w:t>
      </w:r>
      <w:r>
        <w:rPr>
          <w:rStyle w:val="2Char"/>
          <w:rFonts w:ascii="仿宋" w:eastAsia="仿宋" w:hint="eastAsia"/>
        </w:rPr>
        <w:t>府性基金预算财政拨款收入支出决算表</w:t>
      </w:r>
      <w:bookmarkEnd w:id="112"/>
      <w:bookmarkEnd w:id="113"/>
    </w:p>
    <w:p>
      <w:pPr>
        <w:pStyle w:val="2"/>
        <w:rPr>
          <w:rFonts w:ascii="仿宋" w:eastAsia="仿宋"/>
        </w:rPr>
      </w:pPr>
      <w:bookmarkStart w:id="114" w:name="_Toc18908"/>
      <w:bookmarkStart w:id="115" w:name="_Toc15396630"/>
      <w:r>
        <w:rPr>
          <w:rStyle w:val="2Char"/>
          <w:rFonts w:ascii="仿宋" w:eastAsia="仿宋" w:hint="eastAsia"/>
        </w:rPr>
        <w:t>十二、</w:t>
      </w:r>
      <w:r>
        <w:rPr>
          <w:rFonts w:ascii="仿宋" w:eastAsia="仿宋" w:hint="eastAsia"/>
          <w:b w:val="0"/>
        </w:rPr>
        <w:t>政</w:t>
      </w:r>
      <w:r>
        <w:rPr>
          <w:rStyle w:val="2Char"/>
          <w:rFonts w:ascii="仿宋" w:eastAsia="仿宋" w:hint="eastAsia"/>
        </w:rPr>
        <w:t>府性基金预算财政拨款“三公”经费支出决算表</w:t>
      </w:r>
      <w:bookmarkEnd w:id="114"/>
      <w:bookmarkEnd w:id="115"/>
    </w:p>
    <w:p>
      <w:pPr>
        <w:pStyle w:val="2"/>
        <w:rPr>
          <w:rStyle w:val="2Char"/>
          <w:rFonts w:ascii="仿宋" w:eastAsia="仿宋"/>
        </w:rPr>
      </w:pPr>
      <w:bookmarkStart w:id="116" w:name="_Toc6664"/>
      <w:bookmarkStart w:id="117" w:name="_Toc15396631"/>
      <w:r>
        <w:rPr>
          <w:rStyle w:val="2Char"/>
          <w:rFonts w:ascii="仿宋" w:eastAsia="仿宋" w:hint="eastAsia"/>
        </w:rPr>
        <w:t>十三、</w:t>
      </w:r>
      <w:r>
        <w:rPr>
          <w:rFonts w:ascii="仿宋" w:eastAsia="仿宋" w:hint="eastAsia"/>
          <w:b w:val="0"/>
        </w:rPr>
        <w:t>国</w:t>
      </w:r>
      <w:r>
        <w:rPr>
          <w:rStyle w:val="2Char"/>
          <w:rFonts w:ascii="仿宋" w:eastAsia="仿宋" w:hint="eastAsia"/>
        </w:rPr>
        <w:t>有资本经营预算财政拨款收入支出决算表</w:t>
      </w:r>
      <w:bookmarkEnd w:id="116"/>
      <w:bookmarkEnd w:id="117"/>
    </w:p>
    <w:p>
      <w:pPr>
        <w:rPr>
          <w:rFonts w:eastAsia="仿宋"/>
        </w:rPr>
      </w:pPr>
      <w:bookmarkStart w:id="118" w:name="_Toc18312"/>
      <w:r>
        <w:rPr>
          <w:rStyle w:val="2Char"/>
          <w:rFonts w:ascii="仿宋" w:eastAsia="仿宋" w:hint="eastAsia"/>
          <w:b w:val="0"/>
          <w:bCs w:val="0"/>
        </w:rPr>
        <w:t>十四、国有资本经营预算财政拨款支出决算表</w:t>
      </w:r>
      <w:bookmarkEnd w:id="118"/>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仿宋_GB2312">
    <w:altName w:val="微软雅黑"/>
    <w:panose1 w:val="00000000000000000000"/>
    <w:charset w:val="86"/>
    <w:family w:val="modern"/>
    <w:pitch w:val="variable"/>
    <w:sig w:usb0="00000000" w:usb1="080E0000" w:usb2="00000000" w:usb3="00000000" w:csb0="00040000" w:csb1="00000000"/>
  </w:font>
  <w:font w:name="方正小标宋简体">
    <w:altName w:val="黑体"/>
    <w:panose1 w:val="00000000000000000000"/>
    <w:charset w:val="86"/>
    <w:family w:val="auto"/>
    <w:pitch w:val="variable"/>
    <w:sig w:usb0="00000000" w:usb1="00000000" w:usb2="00000010" w:usb3="00000000" w:csb0="00040000" w:csb1="00000000"/>
  </w:font>
  <w:font w:name="黑体">
    <w:altName w:val="SimHei"/>
    <w:panose1 w:val="02010609060101010101"/>
    <w:charset w:val="86"/>
    <w:family w:val="modern"/>
    <w:pitch w:val="variable"/>
    <w:sig w:usb0="800002BF" w:usb1="38CF7CFA" w:usb2="00000016" w:usb3="00000000" w:csb0="00040001" w:csb1="00000000"/>
  </w:font>
  <w:font w:name="Arial">
    <w:altName w:val="DejaVu Sans"/>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variable"/>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微软雅黑"/>
    <w:panose1 w:val="00000000000000000000"/>
    <w:charset w:val="86"/>
    <w:family w:val="auto"/>
    <w:pitch w:val="variable"/>
    <w:sig w:usb0="00000000" w:usb1="080E0000" w:usb2="00000000" w:usb3="00000000" w:csb0="00040000" w:csb1="00000000"/>
  </w:font>
  <w:font w:name="楷体_GB2312">
    <w:altName w:val="微软雅黑"/>
    <w:panose1 w:val="00000000000000000000"/>
    <w:charset w:val="86"/>
    <w:family w:val="modern"/>
    <w:pitch w:val="variable"/>
    <w:sig w:usb0="00000000" w:usb1="080E0000" w:usb2="00000000" w:usb3="00000000" w:csb0="00040000" w:csb1="00000000"/>
  </w:font>
  <w:font w:name="等线 Light">
    <w:altName w:val="宋体"/>
    <w:panose1 w:val="00000000000000000000"/>
    <w:charset w:val="86"/>
    <w:family w:val="auto"/>
    <w:pitch w:val="variable"/>
    <w:sig w:usb0="00000000" w:usb1="38CF7CFA" w:usb2="00000016" w:usb3="00000000" w:csb0="0004000F" w:csb1="00000000"/>
  </w:font>
  <w:font w:name="等线">
    <w:altName w:val="宋体"/>
    <w:panose1 w:val="00000000000000000000"/>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mbria">
    <w:altName w:val="DejaVu Sans"/>
    <w:panose1 w:val="02040503050406030204"/>
    <w:charset w:val="00"/>
    <w:family w:val="roman"/>
    <w:pitch w:val="variable"/>
    <w:sig w:usb0="E00002FF" w:usb1="400004FF" w:usb2="00000000" w:usb3="00000000" w:csb0="0000019F" w:csb1="00000000"/>
  </w:font>
  <w:font w:name="Calibri">
    <w:altName w:val="Times New Roman"/>
    <w:panose1 w:val="020F0502020204030204"/>
    <w:charset w:val="00"/>
    <w:family w:val="swiss"/>
    <w:pitch w:val="variable"/>
    <w:sig w:usb0="E00002FF" w:usb1="4000ACFF" w:usb2="00000001" w:usb3="00000000" w:csb0="0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312587928"/>
    </w:sdtPr>
    <w:sdtContent>
      <w:p>
        <w:pPr>
          <w:pStyle w:val="19"/>
          <w:tabs>
            <w:tab w:val="center" w:pos="4153"/>
            <w:tab w:val="right" w:pos="8306"/>
          </w:tabs>
          <w:jc w:val="center"/>
        </w:pPr>
        <w:r>
          <w:fldChar w:fldCharType="begin"/>
        </w:r>
        <w:r>
          <w:instrText>PAGE   \* MERGEFORMAT</w:instrText>
        </w:r>
        <w:r>
          <w:fldChar w:fldCharType="separate"/>
        </w:r>
        <w:r>
          <w:rPr>
            <w:lang w:val="zh-CN"/>
          </w:rPr>
          <w:t>14</w:t>
        </w:r>
        <w:r>
          <w:fldChar w:fldCharType="end"/>
        </w:r>
      </w:p>
    </w:sdtContent>
  </w:sdt>
  <w:p>
    <w:pPr>
      <w:pStyle w:val="19"/>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tabs>
          <w:tab w:val="num" w:pos="0"/>
        </w:tabs>
        <w:ind w:left="1360" w:hanging="720"/>
      </w:pPr>
      <w:rPr>
        <w:rFonts w:hint="default"/>
        <w:b w:val="0"/>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abstractNum w:abstractNumId="1">
    <w:nsid w:val="CF652CEC"/>
    <w:multiLevelType w:val="singleLevel"/>
    <w:tmpl w:val="CF652CEC"/>
    <w:lvl w:ilvl="0">
      <w:start w:val="9"/>
      <w:numFmt w:val="chineseCounting"/>
      <w:lvlRestart w:val="0"/>
      <w:suff w:val="nothing"/>
      <w:lvlText w:val="%1、"/>
      <w:lvlJc w:val="left"/>
      <w:pPr>
        <w:tabs>
          <w:tab w:val="num" w:pos="0"/>
        </w:tabs>
        <w:ind w:left="0" w:hanging="0"/>
      </w:pPr>
      <w:rPr>
        <w:rFonts w:hint="eastAsia"/>
      </w:rPr>
    </w:lvl>
  </w:abstractNum>
  <w:abstractNum w:abstractNumId="2">
    <w:nsid w:val="E2FA047D"/>
    <w:multiLevelType w:val="singleLevel"/>
    <w:tmpl w:val="E2FA047D"/>
    <w:lvl w:ilvl="0">
      <w:start w:val="3"/>
      <w:numFmt w:val="chineseCounting"/>
      <w:lvlRestart w:val="0"/>
      <w:suff w:val="space"/>
      <w:lvlText w:val="第%1部分"/>
      <w:lvlJc w:val="left"/>
      <w:pPr>
        <w:tabs>
          <w:tab w:val="num" w:pos="0"/>
        </w:tabs>
        <w:ind w:left="0" w:hanging="0"/>
      </w:pPr>
      <w:rPr>
        <w:rFonts w:hint="eastAsia"/>
      </w:rPr>
    </w:lvl>
  </w:abstractNum>
  <w:abstractNum w:abstractNumId="3">
    <w:nsid w:val="3FF7223A"/>
    <w:multiLevelType w:val="singleLevel"/>
    <w:tmpl w:val="3FF7223A"/>
    <w:lvl w:ilvl="0">
      <w:start w:val="2"/>
      <w:numFmt w:val="chineseCounting"/>
      <w:lvlRestart w:val="0"/>
      <w:suff w:val="nothing"/>
      <w:lvlText w:val="（%1）"/>
      <w:lvlJc w:val="left"/>
      <w:pPr>
        <w:tabs>
          <w:tab w:val="num" w:pos="0"/>
        </w:tabs>
        <w:ind w:left="0" w:hanging="0"/>
      </w:pPr>
      <w:rPr>
        <w:rFonts w:hint="eastAsia"/>
      </w:rPr>
    </w:lvl>
  </w:abstractNum>
  <w:abstractNum w:abstractNumId="4">
    <w:nsid w:val="FA7B8589"/>
    <w:multiLevelType w:val="singleLevel"/>
    <w:tmpl w:val="FA7B8589"/>
    <w:lvl w:ilvl="0">
      <w:start w:val="2"/>
      <w:numFmt w:val="chineseCounting"/>
      <w:lvlRestart w:val="0"/>
      <w:suff w:val="nothing"/>
      <w:lvlText w:val="（%1）"/>
      <w:lvlJc w:val="left"/>
      <w:pPr>
        <w:tabs>
          <w:tab w:val="num" w:pos="0"/>
        </w:tabs>
        <w:ind w:left="0" w:hanging="0"/>
      </w:pPr>
      <w:rPr>
        <w:rFonts w:hint="eastAsia"/>
      </w:rPr>
    </w:lvl>
  </w:abstractNum>
  <w:abstractNum w:abstractNumId="5">
    <w:nsid w:val="90F661A6"/>
    <w:multiLevelType w:val="singleLevel"/>
    <w:tmpl w:val="90F661A6"/>
    <w:lvl w:ilvl="0">
      <w:start w:val="1"/>
      <w:numFmt w:val="decimal"/>
      <w:lvlRestart w:val="0"/>
      <w:suff w:val="nothing"/>
      <w:lvlText w:val="%1、"/>
      <w:lvlJc w:val="left"/>
      <w:pPr>
        <w:tabs>
          <w:tab w:val="num" w:pos="0"/>
        </w:tabs>
        <w:ind w:left="0" w:hanging="0"/>
      </w:pPr>
    </w:lvl>
  </w:abstractNum>
  <w:abstractNum w:abstractNumId="6">
    <w:nsid w:val="FE27AEA3"/>
    <w:multiLevelType w:val="singleLevel"/>
    <w:tmpl w:val="FE27AEA3"/>
    <w:lvl w:ilvl="0">
      <w:start w:val="2"/>
      <w:numFmt w:val="decimal"/>
      <w:lvlRestart w:val="0"/>
      <w:suff w:val="nothing"/>
      <w:lvlText w:val="%1、"/>
      <w:lvlJc w:val="left"/>
      <w:pPr>
        <w:tabs>
          <w:tab w:val="num" w:pos="0"/>
        </w:tabs>
        <w:ind w:left="0" w:hanging="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2"/>
  </w:compat>
  <w:docVars>
    <w:docVar w:name="commondata" w:val="eyJoZGlkIjoiMzBjNzA2Y2NiZmQ5OWYxNTU4ODdkZTU1YThjN2VlNWI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paragraph" w:styleId="4">
    <w:name w:val="heading 4"/>
    <w:basedOn w:val="0"/>
    <w:next w:val="0"/>
    <w:pPr>
      <w:keepNext/>
      <w:keepLines/>
      <w:widowControl w:val="0"/>
      <w:spacing w:line="372" w:lineRule="auto"/>
      <w:outlineLvl w:val="3"/>
    </w:pPr>
    <w:rPr>
      <w:rFonts w:ascii="Arial" w:eastAsia="黑体" w:hAnsi="Arial"/>
      <w:b/>
      <w:sz w:val="28"/>
    </w:rPr>
  </w:style>
  <w:style w:type="paragraph" w:styleId="5">
    <w:name w:val="heading 5"/>
    <w:basedOn w:val="0"/>
    <w:next w:val="0"/>
    <w:pPr>
      <w:keepNext/>
      <w:keepLines/>
      <w:widowControl w:val="0"/>
      <w:spacing w:line="372" w:lineRule="auto"/>
      <w:outlineLvl w:val="4"/>
    </w:pPr>
    <w:rPr>
      <w:b/>
      <w:sz w:val="28"/>
    </w:rPr>
  </w:style>
  <w:style w:type="character" w:default="1" w:styleId="10">
    <w:name w:val="Default Paragraph Font"/>
  </w:style>
  <w:style w:type="paragraph" w:customStyle="1" w:styleId="15">
    <w:name w:val="图表目录1"/>
    <w:basedOn w:val="0"/>
    <w:next w:val="0"/>
    <w:pPr>
      <w:ind w:leftChars="200" w:left="400" w:hangingChars="200" w:hanging="200"/>
    </w:pPr>
  </w:style>
  <w:style w:type="paragraph" w:styleId="16">
    <w:name w:val="Body Text"/>
    <w:basedOn w:val="0"/>
    <w:pPr>
      <w:spacing w:beforeLines="30" w:before="30"/>
    </w:pPr>
    <w:rPr>
      <w:rFonts w:ascii="仿宋_GB2312" w:eastAsia="仿宋_GB2312"/>
      <w:kern w:val="0"/>
      <w:sz w:val="30"/>
    </w:rPr>
  </w:style>
  <w:style w:type="paragraph" w:styleId="17">
    <w:name w:val="toc 3"/>
    <w:basedOn w:val="0"/>
    <w:next w:val="0"/>
    <w:pPr>
      <w:tabs>
        <w:tab w:val="right" w:leader="dot" w:pos="8296"/>
      </w:tabs>
      <w:ind w:leftChars="400" w:left="400"/>
    </w:pPr>
  </w:style>
  <w:style w:type="paragraph" w:styleId="18">
    <w:name w:val="Balloon Text"/>
    <w:basedOn w:val="0"/>
    <w:rPr>
      <w:sz w:val="18"/>
      <w:szCs w:val="18"/>
    </w:rPr>
  </w:style>
  <w:style w:type="paragraph" w:styleId="19">
    <w:name w:val="footer"/>
    <w:basedOn w:val="0"/>
    <w:pPr>
      <w:tabs>
        <w:tab w:val="center" w:pos="4153"/>
        <w:tab w:val="right" w:pos="8306"/>
      </w:tabs>
      <w:snapToGrid w:val="0"/>
      <w:jc w:val="left"/>
    </w:pPr>
    <w:rPr>
      <w:rFonts w:ascii="Calibri" w:hAnsi="Calibri"/>
      <w:kern w:val="0"/>
      <w:sz w:val="18"/>
      <w:szCs w:val="18"/>
    </w:rPr>
  </w:style>
  <w:style w:type="paragraph" w:styleId="20">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1">
    <w:name w:val="toc 1"/>
    <w:basedOn w:val="0"/>
    <w:next w:val="0"/>
    <w:pPr>
      <w:tabs>
        <w:tab w:val="right" w:leader="dot" w:pos="8296"/>
      </w:tabs>
      <w:spacing w:before="93"/>
      <w:jc w:val="center"/>
    </w:pPr>
    <w:rPr>
      <w:rFonts w:ascii="仿宋" w:eastAsia="仿宋"/>
      <w:sz w:val="28"/>
      <w:szCs w:val="28"/>
    </w:rPr>
  </w:style>
  <w:style w:type="paragraph" w:styleId="22">
    <w:name w:val="toc 2"/>
    <w:basedOn w:val="0"/>
    <w:next w:val="0"/>
    <w:pPr>
      <w:tabs>
        <w:tab w:val="right" w:leader="dot" w:pos="8296"/>
      </w:tabs>
      <w:ind w:leftChars="200" w:left="200"/>
    </w:pPr>
  </w:style>
  <w:style w:type="character" w:styleId="23">
    <w:name w:val="Strong"/>
    <w:basedOn w:val="10"/>
    <w:rPr>
      <w:b/>
    </w:rPr>
  </w:style>
  <w:style w:type="character" w:styleId="24">
    <w:name w:val="Emphasis"/>
    <w:basedOn w:val="10"/>
    <w:rPr>
      <w:i/>
    </w:rPr>
  </w:style>
  <w:style w:type="character" w:styleId="25">
    <w:name w:val="Hyperlink"/>
    <w:basedOn w:val="10"/>
    <w:rPr>
      <w:color w:val="0000FF"/>
      <w:u w:val="single"/>
    </w:rPr>
  </w:style>
  <w:style w:type="character" w:customStyle="1" w:styleId="26">
    <w:name w:val="Header Char"/>
    <w:basedOn w:val="10"/>
    <w:rPr>
      <w:rFonts w:ascii="Times New Roman" w:hAnsi="Times New Roman"/>
      <w:sz w:val="18"/>
      <w:szCs w:val="18"/>
    </w:rPr>
  </w:style>
  <w:style w:type="character" w:customStyle="1" w:styleId="27">
    <w:name w:val="Footer Char"/>
    <w:basedOn w:val="10"/>
    <w:rPr>
      <w:rFonts w:ascii="Times New Roman" w:hAnsi="Times New Roman"/>
      <w:sz w:val="18"/>
      <w:szCs w:val="18"/>
    </w:rPr>
  </w:style>
  <w:style w:type="character" w:customStyle="1" w:styleId="28">
    <w:name w:val="Body Text Char"/>
    <w:basedOn w:val="10"/>
    <w:rPr>
      <w:rFonts w:ascii="Times New Roman" w:hAnsi="Times New Roman"/>
      <w:szCs w:val="24"/>
    </w:rPr>
  </w:style>
  <w:style w:type="paragraph" w:customStyle="1" w:styleId="29">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30">
    <w:name w:val="List Paragraph"/>
    <w:basedOn w:val="0"/>
    <w:pPr>
      <w:ind w:firstLineChars="200" w:firstLine="200"/>
    </w:pPr>
  </w:style>
  <w:style w:type="paragraph" w:customStyle="1" w:styleId="31">
    <w:name w:val="TOC 标题1"/>
    <w:basedOn w:val="1"/>
    <w:next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32">
    <w:name w:val="TOC 标题2"/>
    <w:basedOn w:val="1"/>
    <w:next w:val="0"/>
    <w:pPr>
      <w:keepNext/>
      <w:keepLines/>
      <w:widowControl/>
      <w:spacing w:before="480" w:after="0" w:line="276" w:lineRule="auto"/>
      <w:jc w:val="left"/>
      <w:outlineLvl w:val="9"/>
    </w:pPr>
    <w:rPr>
      <w:rFonts w:ascii="Cambria" w:hAnsi="Cambria"/>
      <w:color w:val="376092"/>
      <w:kern w:val="0"/>
      <w:sz w:val="28"/>
      <w:szCs w:val="28"/>
    </w:rPr>
  </w:style>
  <w:style w:type="paragraph" w:styleId="33">
    <w:name w:val="Normal (Web)"/>
    <w:basedOn w:val="0"/>
    <w:pPr>
      <w:jc w:val="left"/>
    </w:pPr>
    <w:rPr>
      <w:rFonts w:ascii="Calibri" w:hAnsi="Calibri"/>
      <w:kern w:val="0"/>
      <w:sz w:val="24"/>
      <w:szCs w:val="22"/>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styles" Target="styles.xml"/><Relationship Id="rId11" Type="http://schemas.openxmlformats.org/officeDocument/2006/relationships/numbering" Target="numbering.xml"/><Relationship Id="rId1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0" i="0" u="none" strike="noStrike" baseline="0">
                <a:solidFill>
                  <a:srgbClr val="595959"/>
                </a:solidFill>
                <a:latin typeface="Times New Roman"/>
                <a:ea typeface="宋体"/>
                <a:cs typeface="Lucida Sans"/>
              </a:defRPr>
            </a:pPr>
            <a:r>
              <a:rPr lang="zh-CN"/>
              <a:t>收支总计（万元）</a:t>
            </a:r>
          </a:p>
        </c:rich>
      </c:tx>
      <c:layout/>
      <c:overlay val="0"/>
      <c:spPr>
        <a:noFill/>
        <a:ln>
          <a:noFill/>
        </a:ln>
      </c:spPr>
    </c:title>
    <c:autoTitleDeleted val="1"/>
    <c:plotArea>
      <c:layout>
        <c:manualLayout>
          <c:layoutTarget val="inner"/>
          <c:xMode val="edge"/>
          <c:yMode val="edge"/>
          <c:x val="0.021414913"/>
          <c:y val="0.33340558"/>
          <c:w val="0.94391334"/>
          <c:h val="0.49448237"/>
        </c:manualLayout>
      </c:layout>
      <c:barChart>
        <c:barDir val="col"/>
        <c:grouping val="clustered"/>
        <c:varyColors val="0"/>
        <c:ser>
          <c:idx val="0"/>
          <c:order val="0"/>
          <c:tx>
            <c:strRef>
              <c:f>'Sheet1'!$B$1</c:f>
              <c:strCache>
                <c:ptCount val="1"/>
                <c:pt idx="0">
                  <c:v>收支总计（万元）</c:v>
                </c:pt>
              </c:strCache>
            </c:strRef>
          </c:tx>
          <c:spPr>
            <a:gradFill rotWithShape="1">
              <a:gsLst>
                <a:gs pos="0">
                  <a:srgbClr val="4472C4">
                    <a:alpha val="100000"/>
                  </a:srgbClr>
                </a:gs>
                <a:gs pos="100000">
                  <a:srgbClr val="355FA9">
                    <a:alpha val="100000"/>
                  </a:srgbClr>
                </a:gs>
              </a:gsLst>
              <a:lin ang="5400000" scaled="1"/>
            </a:gradFill>
            <a:ln>
              <a:noFill/>
            </a:ln>
            <a:effectLst>
              <a:outerShdw dist="35921" dir="2700000" algn="br">
                <a:srgbClr val="000000"/>
              </a:outerShdw>
            </a:effectLst>
          </c:spPr>
          <c:invertIfNegative val="0"/>
          <c:dLbls>
            <c:spPr>
              <a:noFill/>
              <a:ln>
                <a:noFill/>
              </a:ln>
            </c:spPr>
            <c:txPr>
              <a:bodyPr vert="horz"/>
              <a:lstStyle/>
              <a:p>
                <a:pPr>
                  <a:defRPr sz="1000" b="1" i="0" u="none" strike="noStrike" baseline="0">
                    <a:solidFill>
                      <a:srgbClr val="FFFFFF"/>
                    </a:solidFill>
                    <a:latin typeface="Times New Roman"/>
                    <a:ea typeface="宋体"/>
                    <a:cs typeface="Lucida Sans"/>
                  </a:defRPr>
                </a:pPr>
                <a:endParaRPr lang="zh-CN"/>
              </a:p>
            </c:txPr>
            <c:numFmt formatCode="General" sourceLinked="1"/>
            <c:dLbl>
              <c:idx val="0"/>
              <c:spPr>
                <a:noFill/>
                <a:ln>
                  <a:noFill/>
                </a:ln>
              </c:spPr>
              <c:txPr>
                <a:bodyPr vert="horz"/>
                <a:lstStyle/>
                <a:p>
                  <a:pPr>
                    <a:defRPr sz="1000" b="1" i="0" u="none" strike="noStrike" baseline="0">
                      <a:solidFill>
                        <a:srgbClr val="FFFFFF"/>
                      </a:solidFill>
                      <a:latin typeface="Times New Roman"/>
                      <a:ea typeface="宋体"/>
                      <a:cs typeface="Lucida Sans"/>
                    </a:defRPr>
                  </a:pPr>
                  <a:endParaRPr lang="zh-CN"/>
                </a:p>
              </c:txPr>
              <c:dLblPos val="inEnd"/>
              <c:tx>
                <c:rich>
                  <a:bodyPr vert="horz"/>
                  <a:lstStyle/>
                  <a:p>
                    <a:pPr>
                      <a:defRPr sz="1000" b="1" i="0" u="none" strike="noStrike" baseline="0">
                        <a:solidFill>
                          <a:srgbClr val="FFFFFF"/>
                        </a:solidFill>
                        <a:latin typeface="Times New Roman"/>
                        <a:ea typeface="宋体"/>
                        <a:cs typeface="Lucida Sans"/>
                      </a:defRPr>
                    </a:pPr>
                    <a:r>
                      <a:rPr lang="zh-CN"/>
                      <a:t>771.44</a:t>
                    </a:r>
                  </a:p>
                </c:rich>
              </c:tx>
              <c:showLegendKey val="0"/>
              <c:showVal val="1"/>
              <c:showCatName val="0"/>
              <c:showSerName val="0"/>
              <c:showPercent val="0"/>
              <c:showBubbleSize val="0"/>
            </c:dLbl>
            <c:dLblPos val="inEnd"/>
            <c:showLegendKey val="0"/>
            <c:showVal val="1"/>
            <c:showCatName val="0"/>
            <c:showSerName val="0"/>
            <c:showPercent val="0"/>
            <c:showBubbleSize val="0"/>
            <c:showLeaderLines val="0"/>
          </c:dLbls>
          <c:cat>
            <c:strRef>
              <c:f>'Sheet1'!$A$2:$A$3</c:f>
              <c:strCache>
                <c:ptCount val="2"/>
                <c:pt idx="0">
                  <c:v>2022年</c:v>
                </c:pt>
                <c:pt idx="1">
                  <c:v>2021年</c:v>
                </c:pt>
              </c:strCache>
            </c:strRef>
          </c:cat>
          <c:val>
            <c:numRef>
              <c:f>'Sheet1'!$B$2:$B$3</c:f>
              <c:numCache>
                <c:formatCode>General</c:formatCode>
                <c:ptCount val="2"/>
                <c:pt idx="0">
                  <c:v>771.44</c:v>
                </c:pt>
                <c:pt idx="1">
                  <c:v>652.31</c:v>
                </c:pt>
              </c:numCache>
            </c:numRef>
          </c:val>
        </c:ser>
        <c:gapWidth val="41"/>
        <c:axId val="0"/>
        <c:axId val="1"/>
      </c:barChart>
      <c:catAx>
        <c:axId val="0"/>
        <c:scaling>
          <c:orientation val="minMax"/>
        </c:scaling>
        <c:delete val="0"/>
        <c:axPos val="b"/>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1"/>
        <c:axPos val="l"/>
        <c:numFmt formatCode="General" sourceLinked="1"/>
        <c:majorTickMark val="none"/>
        <c:minorTickMark val="none"/>
        <c:tickLblPos val="none"/>
        <c:txPr>
          <a:bodyPr/>
          <a:lstStyle/>
          <a:p>
            <a:pPr>
              <a:defRPr sz="1000" b="0" i="0" u="none" strike="noStrike" baseline="0">
                <a:solidFill>
                  <a:srgbClr val="000000"/>
                </a:solidFill>
                <a:latin typeface="Times New Roman"/>
                <a:ea typeface="宋体"/>
                <a:cs typeface="Lucida Sans"/>
              </a:defRPr>
            </a:pPr>
            <a:endParaRPr lang="zh-CN"/>
          </a:p>
        </c:txPr>
        <c:crossesAt val="1.0"/>
        <c:crossBetween val="between"/>
        <c:crossAx val="0"/>
      </c:valAx>
      <c:spPr>
        <a:noFill/>
        <a:ln>
          <a:noFill/>
        </a:ln>
      </c:spPr>
    </c:plotArea>
    <c:legend>
      <c:legendPos val="t"/>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gradFill rotWithShape="1">
      <a:gsLst>
        <a:gs pos="0">
          <a:srgbClr val="FFFFFF">
            <a:alpha val="100000"/>
          </a:srgbClr>
        </a:gs>
        <a:gs pos="68000">
          <a:srgbClr val="D9D9D9">
            <a:alpha val="100000"/>
          </a:srgbClr>
        </a:gs>
        <a:gs pos="100000">
          <a:srgbClr val="FFFFFF">
            <a:alpha val="100000"/>
          </a:srgbClr>
        </a:gs>
      </a:gsLst>
      <a:lin ang="5400000" scaled="1"/>
    </a:gra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404040"/>
                </a:solidFill>
                <a:latin typeface="Times New Roman"/>
                <a:ea typeface="宋体"/>
                <a:cs typeface="Lucida Sans"/>
              </a:defRPr>
            </a:pPr>
            <a:r>
              <a:rPr lang="zh-CN"/>
              <a:t>收入（万元）</a:t>
            </a:r>
          </a:p>
        </c:rich>
      </c:tx>
      <c:layout/>
      <c:overlay val="0"/>
      <c:spPr>
        <a:noFill/>
        <a:ln>
          <a:noFill/>
        </a:ln>
      </c:spPr>
    </c:title>
    <c:autoTitleDeleted val="1"/>
    <c:plotArea>
      <c:layout/>
      <c:pieChart>
        <c:varyColors val="1"/>
        <c:ser>
          <c:idx val="0"/>
          <c:order val="0"/>
          <c:tx>
            <c:strRef>
              <c:f>'Sheet1 (2)'!$B$1</c:f>
              <c:strCache>
                <c:ptCount val="1"/>
                <c:pt idx="0">
                  <c:v>收入（万元）</c:v>
                </c:pt>
              </c:strCache>
            </c:strRef>
          </c:tx>
          <c:spPr>
            <a:solidFill>
              <a:srgbClr val="4F81BD"/>
            </a:solidFill>
            <a:ln>
              <a:noFill/>
            </a:ln>
          </c:spPr>
          <c:dPt>
            <c:idx val="0"/>
            <c:bubble3D val="0"/>
            <c:spPr>
              <a:solidFill>
                <a:srgbClr val="4472C4"/>
              </a:solidFill>
              <a:ln>
                <a:noFill/>
              </a:ln>
              <a:effectLst>
                <a:outerShdw dist="35921" dir="2700000" algn="br">
                  <a:srgbClr val="000000"/>
                </a:outerShdw>
              </a:effectLst>
            </c:spPr>
          </c:dPt>
          <c:dLbls>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Lucida Sans"/>
                  </a:defRPr>
                </a:pPr>
                <a:endParaRPr lang="zh-CN"/>
              </a:p>
            </c:txPr>
            <c:numFmt formatCode="0%" sourceLinked="0"/>
            <c:dLbl>
              <c:idx val="0"/>
              <c:layout>
                <c:manualLayout>
                  <c:x val="0.004771464"/>
                  <c:y val="-0.27696916"/>
                </c:manualLayout>
              </c:layout>
              <c:numFmt formatCode="0%" sourceLinked="0"/>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Lucida Sans"/>
                    </a:defRPr>
                  </a:pPr>
                  <a:endParaRPr lang="zh-CN"/>
                </a:p>
              </c:txPr>
              <c:dLblPos val="bestFit"/>
              <c:tx>
                <c:rich>
                  <a:bodyPr vert="horz"/>
                  <a:lstStyle/>
                  <a:p>
                    <a:pPr>
                      <a:defRPr sz="1000" b="1" i="0" u="none" strike="noStrike" baseline="0">
                        <a:solidFill>
                          <a:srgbClr val="FFFFFF"/>
                        </a:solidFill>
                        <a:latin typeface="Times New Roman"/>
                        <a:ea typeface="宋体"/>
                        <a:cs typeface="Lucida Sans"/>
                      </a:defRPr>
                    </a:pPr>
                    <a:r>
                      <a:rPr lang="zh-CN" sz="1000" b="1" i="0" u="none" strike="noStrike" baseline="0">
                        <a:solidFill>
                          <a:srgbClr val="FFFFFF"/>
                        </a:solidFill>
                        <a:latin typeface="Times New Roman"/>
                        <a:ea typeface="宋体"/>
                        <a:cs typeface="Lucida Sans"/>
                      </a:rPr>
                      <a:t>一般公共预算财政收入, </a:t>
                    </a:r>
                    <a:r>
                      <a:rPr lang="zh-CN" sz="1000" b="1" i="0" u="none" strike="noStrike" baseline="0">
                        <a:solidFill>
                          <a:srgbClr val="FFFFFF"/>
                        </a:solidFill>
                        <a:latin typeface="Times New Roman"/>
                        <a:ea typeface="宋体"/>
                        <a:cs typeface="Lucida Sans"/>
                      </a:rPr>
                      <a:t>771.44</a:t>
                    </a:r>
                    <a:r>
                      <a:rPr lang="zh-CN" sz="1000" b="1" i="0" u="none" strike="noStrike" baseline="0">
                        <a:solidFill>
                          <a:srgbClr val="FFFFFF"/>
                        </a:solidFill>
                        <a:latin typeface="Times New Roman"/>
                        <a:ea typeface="宋体"/>
                        <a:cs typeface="Lucida Sans"/>
                      </a:rPr>
                      <a:t>万元</a:t>
                    </a:r>
                    <a:r>
                      <a:rPr lang="zh-CN" sz="1000" b="1" i="0" u="none" strike="noStrike" baseline="0">
                        <a:solidFill>
                          <a:srgbClr val="FFFFFF"/>
                        </a:solidFill>
                        <a:latin typeface="Times New Roman"/>
                        <a:ea typeface="宋体"/>
                        <a:cs typeface="Lucida Sans"/>
                      </a:rPr>
                      <a:t>, 100%</a:t>
                    </a:r>
                  </a:p>
                </c:rich>
              </c:tx>
              <c:showLegendKey val="0"/>
              <c:showVal val="1"/>
              <c:showCatName val="1"/>
              <c:showSerName val="0"/>
              <c:showPercent val="1"/>
              <c:showBubbleSize val="0"/>
            </c:dLbl>
            <c:dLblPos val="ctr"/>
            <c:showLegendKey val="0"/>
            <c:showVal val="1"/>
            <c:showCatName val="1"/>
            <c:showSerName val="0"/>
            <c:showPercent val="1"/>
            <c:showBubbleSize val="0"/>
            <c:showLeaderLines val="1"/>
          </c:dLbls>
          <c:cat>
            <c:strRef>
              <c:f>'Sheet1 (2)'!$A$2</c:f>
              <c:strCache>
                <c:ptCount val="1"/>
                <c:pt idx="0">
                  <c:v>一般公共预算财政收入</c:v>
                </c:pt>
              </c:strCache>
            </c:strRef>
          </c:cat>
          <c:val>
            <c:numRef>
              <c:f>Sheet1 (2)!$B$2</c:f>
              <c:numCache>
                <c:formatCode>General</c:formatCode>
                <c:ptCount val="1"/>
                <c:pt idx="0">
                  <c:v>621.31</c:v>
                </c:pt>
              </c:numCache>
            </c:numRef>
          </c:val>
        </c:ser>
        <c:firstSliceAng val="0"/>
      </c:pieChart>
      <c:spPr>
        <a:noFill/>
        <a:ln>
          <a:noFill/>
        </a:ln>
      </c:spPr>
    </c:plotArea>
    <c:legend>
      <c:legendPos val="r"/>
      <c:layout/>
      <c:overlay val="0"/>
      <c:spPr>
        <a:solidFill>
          <a:srgbClr val="F2F2F2">
            <a:alpha val="39000"/>
          </a:srgbClr>
        </a:solidFill>
        <a:ln>
          <a:noFill/>
        </a:ln>
      </c:spPr>
      <c:txPr>
        <a:bodyPr/>
        <a:lstStyle/>
        <a:p>
          <a:pPr>
            <a:defRPr sz="900" b="0" i="0" u="none" strike="noStrike" baseline="0">
              <a:solidFill>
                <a:srgbClr val="404040"/>
              </a:solidFill>
              <a:latin typeface="Times New Roman"/>
              <a:ea typeface="宋体"/>
              <a:cs typeface="Lucida Sans"/>
            </a:defRPr>
          </a:pPr>
          <a:endParaRPr lang="zh-CN"/>
        </a:p>
      </c:txPr>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404040"/>
                </a:solidFill>
                <a:latin typeface="Times New Roman"/>
                <a:ea typeface="宋体"/>
                <a:cs typeface="Lucida Sans"/>
              </a:defRPr>
            </a:pPr>
            <a:r>
              <a:rPr lang="zh-CN"/>
              <a:t>支出（万元）</a:t>
            </a:r>
          </a:p>
        </c:rich>
      </c:tx>
      <c:layout>
        <c:manualLayout>
          <c:xMode val="edge"/>
          <c:yMode val="edge"/>
          <c:x val="0.28465667"/>
          <c:y val="0.044101432"/>
        </c:manualLayout>
      </c:layout>
      <c:overlay val="0"/>
      <c:spPr>
        <a:noFill/>
        <a:ln>
          <a:noFill/>
        </a:ln>
      </c:spPr>
    </c:title>
    <c:autoTitleDeleted val="1"/>
    <c:plotArea>
      <c:layout/>
      <c:pieChart>
        <c:varyColors val="1"/>
        <c:ser>
          <c:idx val="0"/>
          <c:order val="0"/>
          <c:tx>
            <c:strRef>
              <c:f>'Sheet1 (3)'!$B$1</c:f>
              <c:strCache>
                <c:ptCount val="1"/>
                <c:pt idx="0">
                  <c:v>支出（万元）</c:v>
                </c:pt>
              </c:strCache>
            </c:strRef>
          </c:tx>
          <c:spPr>
            <a:solidFill>
              <a:srgbClr val="4F81BD"/>
            </a:solidFill>
            <a:ln>
              <a:noFill/>
            </a:ln>
          </c:spPr>
          <c:dPt>
            <c:idx val="0"/>
            <c:bubble3D val="0"/>
            <c:spPr>
              <a:solidFill>
                <a:srgbClr val="4472C4"/>
              </a:solidFill>
              <a:ln>
                <a:noFill/>
              </a:ln>
              <a:effectLst>
                <a:outerShdw dist="35921" dir="2700000" algn="br">
                  <a:srgbClr val="000000"/>
                </a:outerShdw>
              </a:effectLst>
            </c:spPr>
          </c:dPt>
          <c:dPt>
            <c:idx val="1"/>
            <c:bubble3D val="0"/>
            <c:spPr>
              <a:solidFill>
                <a:srgbClr val="ED7D31"/>
              </a:solidFill>
              <a:ln>
                <a:noFill/>
              </a:ln>
              <a:effectLst>
                <a:outerShdw dist="35921" dir="2700000" algn="br">
                  <a:srgbClr val="000000"/>
                </a:outerShdw>
              </a:effectLst>
            </c:spPr>
          </c:dPt>
          <c:dLbls>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Lucida Sans"/>
                  </a:defRPr>
                </a:pPr>
                <a:endParaRPr lang="zh-CN"/>
              </a:p>
            </c:txPr>
            <c:numFmt formatCode="0%" sourceLinked="0"/>
            <c:dLbl>
              <c:idx val="1"/>
              <c:layout>
                <c:manualLayout>
                  <c:x val="-0.19861141"/>
                  <c:y val="0.08440578"/>
                </c:manualLayout>
              </c:layout>
              <c:numFmt formatCode="0%" sourceLinked="0"/>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Lucida Sans"/>
                    </a:defRPr>
                  </a:pPr>
                  <a:endParaRPr lang="zh-CN"/>
                </a:p>
              </c:txPr>
              <c:dLblPos val="bestFit"/>
              <c:showLegendKey val="0"/>
              <c:showVal val="0"/>
              <c:showCatName val="1"/>
              <c:showSerName val="0"/>
              <c:showPercent val="1"/>
              <c:showBubbleSize val="0"/>
              <c:separator>
</c:separator>
            </c:dLbl>
            <c:dLblPos val="ctr"/>
            <c:showLegendKey val="0"/>
            <c:showVal val="0"/>
            <c:showCatName val="1"/>
            <c:showSerName val="0"/>
            <c:showPercent val="1"/>
            <c:showBubbleSize val="0"/>
            <c:showLeaderLines val="1"/>
          </c:dLbls>
          <c:cat>
            <c:strRef>
              <c:f>'Sheet1 (3)'!$A$2:$A$3</c:f>
              <c:strCache>
                <c:ptCount val="2"/>
                <c:pt idx="0">
                  <c:v>基本支出</c:v>
                </c:pt>
                <c:pt idx="1">
                  <c:v>项目支出</c:v>
                </c:pt>
              </c:strCache>
            </c:strRef>
          </c:cat>
          <c:val>
            <c:numRef>
              <c:f>'Sheet1 (3)'!$B$2:$B$3</c:f>
              <c:numCache>
                <c:formatCode>General</c:formatCode>
                <c:ptCount val="2"/>
                <c:pt idx="0">
                  <c:v>464.0</c:v>
                </c:pt>
                <c:pt idx="1">
                  <c:v>6.2</c:v>
                </c:pt>
              </c:numCache>
            </c:numRef>
          </c:val>
        </c:ser>
        <c:firstSliceAng val="0"/>
      </c:pieChart>
      <c:spPr>
        <a:noFill/>
        <a:ln>
          <a:noFill/>
        </a:ln>
      </c:spPr>
    </c:plotArea>
    <c:legend>
      <c:legendPos val="r"/>
      <c:layout/>
      <c:overlay val="0"/>
      <c:spPr>
        <a:solidFill>
          <a:srgbClr val="F2F2F2">
            <a:alpha val="39000"/>
          </a:srgbClr>
        </a:solidFill>
        <a:ln>
          <a:noFill/>
        </a:ln>
      </c:spPr>
      <c:txPr>
        <a:bodyPr/>
        <a:lstStyle/>
        <a:p>
          <a:pPr>
            <a:defRPr sz="900" b="0" i="0" u="none" strike="noStrike" baseline="0">
              <a:solidFill>
                <a:srgbClr val="404040"/>
              </a:solidFill>
              <a:latin typeface="Times New Roman"/>
              <a:ea typeface="宋体"/>
              <a:cs typeface="Lucida Sans"/>
            </a:defRPr>
          </a:pPr>
          <a:endParaRPr lang="zh-CN"/>
        </a:p>
      </c:txPr>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0" i="0" u="none" strike="noStrike" baseline="0">
                <a:solidFill>
                  <a:srgbClr val="595959"/>
                </a:solidFill>
                <a:latin typeface="Times New Roman"/>
                <a:ea typeface="宋体"/>
                <a:cs typeface="Lucida Sans"/>
              </a:defRPr>
            </a:pPr>
            <a:r>
              <a:rPr lang="zh-CN"/>
              <a:t>财政拨款收支总计（万元）</a:t>
            </a:r>
          </a:p>
        </c:rich>
      </c:tx>
      <c:layout/>
      <c:overlay val="0"/>
      <c:spPr>
        <a:noFill/>
        <a:ln>
          <a:noFill/>
        </a:ln>
      </c:spPr>
    </c:title>
    <c:autoTitleDeleted val="1"/>
    <c:plotArea>
      <c:layout>
        <c:manualLayout>
          <c:layoutTarget val="inner"/>
          <c:xMode val="edge"/>
          <c:yMode val="edge"/>
          <c:x val="0.021414913"/>
          <c:y val="0.34129363"/>
          <c:w val="0.94391334"/>
          <c:h val="0.49448237"/>
        </c:manualLayout>
      </c:layout>
      <c:barChart>
        <c:barDir val="col"/>
        <c:grouping val="clustered"/>
        <c:varyColors val="0"/>
        <c:ser>
          <c:idx val="0"/>
          <c:order val="0"/>
          <c:tx>
            <c:strRef>
              <c:f>'Sheet1 (4)'!$B$1</c:f>
              <c:strCache>
                <c:ptCount val="1"/>
                <c:pt idx="0">
                  <c:v>财政拨款收支总计（万元）</c:v>
                </c:pt>
              </c:strCache>
            </c:strRef>
          </c:tx>
          <c:spPr>
            <a:gradFill rotWithShape="1">
              <a:gsLst>
                <a:gs pos="0">
                  <a:srgbClr val="4472C4">
                    <a:alpha val="100000"/>
                  </a:srgbClr>
                </a:gs>
                <a:gs pos="100000">
                  <a:srgbClr val="355FA9">
                    <a:alpha val="100000"/>
                  </a:srgbClr>
                </a:gs>
              </a:gsLst>
              <a:lin ang="5400000" scaled="1"/>
            </a:gradFill>
            <a:ln>
              <a:noFill/>
            </a:ln>
            <a:effectLst>
              <a:outerShdw dist="35921" dir="2700000" algn="br">
                <a:srgbClr val="000000"/>
              </a:outerShdw>
            </a:effectLst>
          </c:spPr>
          <c:invertIfNegative val="0"/>
          <c:dLbls>
            <c:spPr>
              <a:noFill/>
              <a:ln>
                <a:noFill/>
              </a:ln>
            </c:spPr>
            <c:txPr>
              <a:bodyPr vert="horz"/>
              <a:lstStyle/>
              <a:p>
                <a:pPr>
                  <a:defRPr sz="1000" b="1" i="0" u="none" strike="noStrike" baseline="0">
                    <a:solidFill>
                      <a:srgbClr val="FFFFFF"/>
                    </a:solidFill>
                    <a:latin typeface="Times New Roman"/>
                    <a:ea typeface="宋体"/>
                    <a:cs typeface="Lucida Sans"/>
                  </a:defRPr>
                </a:pPr>
                <a:endParaRPr lang="zh-CN"/>
              </a:p>
            </c:txPr>
            <c:numFmt formatCode="General" sourceLinked="1"/>
            <c:dLblPos val="inEnd"/>
            <c:showLegendKey val="0"/>
            <c:showVal val="1"/>
            <c:showCatName val="0"/>
            <c:showSerName val="0"/>
            <c:showPercent val="0"/>
            <c:showBubbleSize val="0"/>
            <c:showLeaderLines val="0"/>
          </c:dLbls>
          <c:cat>
            <c:strRef>
              <c:f>'Sheet1 (4)'!$A$2:$A$3</c:f>
              <c:strCache>
                <c:ptCount val="2"/>
                <c:pt idx="0">
                  <c:v>2022年</c:v>
                </c:pt>
                <c:pt idx="1">
                  <c:v>2021年</c:v>
                </c:pt>
              </c:strCache>
            </c:strRef>
          </c:cat>
          <c:val>
            <c:numRef>
              <c:f>'Sheet1 (4)'!$B$2:$B$3</c:f>
              <c:numCache>
                <c:formatCode>General</c:formatCode>
                <c:ptCount val="2"/>
                <c:pt idx="0">
                  <c:v>771.44</c:v>
                </c:pt>
                <c:pt idx="1">
                  <c:v>652.31</c:v>
                </c:pt>
              </c:numCache>
            </c:numRef>
          </c:val>
        </c:ser>
        <c:gapWidth val="41"/>
        <c:axId val="0"/>
        <c:axId val="1"/>
      </c:barChart>
      <c:catAx>
        <c:axId val="0"/>
        <c:scaling>
          <c:orientation val="minMax"/>
        </c:scaling>
        <c:delete val="0"/>
        <c:axPos val="b"/>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1"/>
        <c:axPos val="l"/>
        <c:numFmt formatCode="General" sourceLinked="1"/>
        <c:majorTickMark val="none"/>
        <c:minorTickMark val="none"/>
        <c:tickLblPos val="none"/>
        <c:txPr>
          <a:bodyPr/>
          <a:lstStyle/>
          <a:p>
            <a:pPr>
              <a:defRPr sz="1000" b="0" i="0" u="none" strike="noStrike" baseline="0">
                <a:solidFill>
                  <a:srgbClr val="000000"/>
                </a:solidFill>
                <a:latin typeface="Times New Roman"/>
                <a:ea typeface="宋体"/>
                <a:cs typeface="Lucida Sans"/>
              </a:defRPr>
            </a:pPr>
            <a:endParaRPr lang="zh-CN"/>
          </a:p>
        </c:txPr>
        <c:crossesAt val="1.0"/>
        <c:crossBetween val="between"/>
        <c:crossAx val="0"/>
      </c:valAx>
      <c:spPr>
        <a:noFill/>
        <a:ln>
          <a:noFill/>
        </a:ln>
      </c:spPr>
    </c:plotArea>
    <c:legend>
      <c:legendPos val="t"/>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gradFill rotWithShape="1">
      <a:gsLst>
        <a:gs pos="0">
          <a:srgbClr val="FFFFFF">
            <a:alpha val="100000"/>
          </a:srgbClr>
        </a:gs>
        <a:gs pos="68000">
          <a:srgbClr val="D9D9D9">
            <a:alpha val="100000"/>
          </a:srgbClr>
        </a:gs>
        <a:gs pos="100000">
          <a:srgbClr val="FFFFFF">
            <a:alpha val="100000"/>
          </a:srgbClr>
        </a:gs>
      </a:gsLst>
      <a:lin ang="5400000" scaled="1"/>
    </a:gra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0" i="0" u="none" strike="noStrike" baseline="0">
                <a:solidFill>
                  <a:srgbClr val="595959"/>
                </a:solidFill>
                <a:latin typeface="Times New Roman"/>
                <a:ea typeface="宋体"/>
                <a:cs typeface="Lucida Sans"/>
              </a:defRPr>
            </a:pPr>
            <a:r>
              <a:rPr lang="zh-CN"/>
              <a:t>一般公共预算财政拨款支出（万元）</a:t>
            </a:r>
          </a:p>
        </c:rich>
      </c:tx>
      <c:layout/>
      <c:overlay val="0"/>
      <c:spPr>
        <a:noFill/>
        <a:ln>
          <a:noFill/>
        </a:ln>
      </c:spPr>
    </c:title>
    <c:autoTitleDeleted val="1"/>
    <c:plotArea>
      <c:layout/>
      <c:barChart>
        <c:barDir val="col"/>
        <c:grouping val="clustered"/>
        <c:varyColors val="0"/>
        <c:ser>
          <c:idx val="0"/>
          <c:order val="0"/>
          <c:tx>
            <c:strRef>
              <c:f>'Sheet1 (5)'!$B$1</c:f>
              <c:strCache>
                <c:ptCount val="1"/>
                <c:pt idx="0">
                  <c:v>一般公共预算财政拨款支出（万元）</c:v>
                </c:pt>
              </c:strCache>
            </c:strRef>
          </c:tx>
          <c:spPr>
            <a:gradFill rotWithShape="1">
              <a:gsLst>
                <a:gs pos="0">
                  <a:srgbClr val="4472C4">
                    <a:alpha val="100000"/>
                  </a:srgbClr>
                </a:gs>
                <a:gs pos="100000">
                  <a:srgbClr val="355FA9">
                    <a:alpha val="100000"/>
                  </a:srgbClr>
                </a:gs>
              </a:gsLst>
              <a:lin ang="5400000" scaled="1"/>
            </a:gradFill>
            <a:ln>
              <a:noFill/>
            </a:ln>
            <a:effectLst>
              <a:outerShdw dist="35921" dir="2700000" algn="br">
                <a:srgbClr val="000000"/>
              </a:outerShdw>
            </a:effectLst>
          </c:spPr>
          <c:invertIfNegative val="0"/>
          <c:dLbls>
            <c:spPr>
              <a:noFill/>
              <a:ln>
                <a:noFill/>
              </a:ln>
            </c:spPr>
            <c:txPr>
              <a:bodyPr vert="horz"/>
              <a:lstStyle/>
              <a:p>
                <a:pPr>
                  <a:defRPr sz="1000" b="1" i="0" u="none" strike="noStrike" baseline="0">
                    <a:solidFill>
                      <a:srgbClr val="FFFFFF"/>
                    </a:solidFill>
                    <a:latin typeface="Times New Roman"/>
                    <a:ea typeface="宋体"/>
                    <a:cs typeface="Lucida Sans"/>
                  </a:defRPr>
                </a:pPr>
                <a:endParaRPr lang="zh-CN"/>
              </a:p>
            </c:txPr>
            <c:numFmt formatCode="General" sourceLinked="1"/>
            <c:dLblPos val="inEnd"/>
            <c:showLegendKey val="0"/>
            <c:showVal val="1"/>
            <c:showCatName val="0"/>
            <c:showSerName val="0"/>
            <c:showPercent val="0"/>
            <c:showBubbleSize val="0"/>
            <c:showLeaderLines val="0"/>
          </c:dLbls>
          <c:cat>
            <c:numRef>
              <c:f>'Sheet1 (5)'!$A$2:$A$3</c:f>
              <c:numCache>
                <c:ptCount val="2"/>
                <c:pt idx="0">
                  <c:v>2022</c:v>
                </c:pt>
                <c:pt idx="1">
                  <c:v>2021</c:v>
                </c:pt>
              </c:numCache>
            </c:numRef>
          </c:cat>
          <c:val>
            <c:numRef>
              <c:f>'Sheet1 (5)'!$B$2:$B$3</c:f>
              <c:numCache>
                <c:formatCode>General</c:formatCode>
                <c:ptCount val="2"/>
                <c:pt idx="0">
                  <c:v>771.44</c:v>
                </c:pt>
                <c:pt idx="1">
                  <c:v>652.31</c:v>
                </c:pt>
              </c:numCache>
            </c:numRef>
          </c:val>
        </c:ser>
        <c:gapWidth val="41"/>
        <c:axId val="0"/>
        <c:axId val="1"/>
      </c:barChart>
      <c:catAx>
        <c:axId val="0"/>
        <c:scaling>
          <c:orientation val="minMax"/>
        </c:scaling>
        <c:delete val="0"/>
        <c:axPos val="b"/>
        <c:numFmt formatCode="General" sourceLinked="1"/>
        <c:majorTickMark val="out"/>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1"/>
        <c:axPos val="l"/>
        <c:numFmt formatCode="General" sourceLinked="1"/>
        <c:majorTickMark val="out"/>
        <c:minorTickMark val="none"/>
        <c:tickLblPos val="none"/>
        <c:txPr>
          <a:bodyPr/>
          <a:lstStyle/>
          <a:p>
            <a:pPr>
              <a:defRPr sz="1000" b="0" i="0" u="none" strike="noStrike" baseline="0">
                <a:solidFill>
                  <a:srgbClr val="000000"/>
                </a:solidFill>
                <a:latin typeface="Times New Roman"/>
                <a:ea typeface="宋体"/>
                <a:cs typeface="Lucida Sans"/>
              </a:defRPr>
            </a:pPr>
            <a:endParaRPr lang="zh-CN"/>
          </a:p>
        </c:txPr>
        <c:crossesAt val="1.0"/>
        <c:crossBetween val="between"/>
        <c:crossAx val="0"/>
      </c:valAx>
      <c:spPr>
        <a:noFill/>
        <a:ln>
          <a:noFill/>
        </a:ln>
      </c:spPr>
    </c:plotArea>
    <c:legend>
      <c:legendPos val="t"/>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gradFill rotWithShape="1">
      <a:gsLst>
        <a:gs pos="0">
          <a:srgbClr val="FFFFFF">
            <a:alpha val="100000"/>
          </a:srgbClr>
        </a:gs>
        <a:gs pos="68000">
          <a:srgbClr val="D9D9D9">
            <a:alpha val="100000"/>
          </a:srgbClr>
        </a:gs>
        <a:gs pos="100000">
          <a:srgbClr val="FFFFFF">
            <a:alpha val="100000"/>
          </a:srgbClr>
        </a:gs>
      </a:gsLst>
      <a:lin ang="5400000" scaled="1"/>
    </a:gra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404040"/>
                </a:solidFill>
                <a:latin typeface="Times New Roman"/>
                <a:ea typeface="宋体"/>
                <a:cs typeface="Lucida Sans"/>
              </a:defRPr>
            </a:pPr>
            <a:r>
              <a:rPr lang="zh-CN"/>
              <a:t>一般公共预算财政拨款支出（万元）</a:t>
            </a:r>
          </a:p>
        </c:rich>
      </c:tx>
      <c:layout/>
      <c:overlay val="0"/>
      <c:spPr>
        <a:noFill/>
        <a:ln>
          <a:noFill/>
        </a:ln>
      </c:spPr>
    </c:title>
    <c:autoTitleDeleted val="1"/>
    <c:plotArea>
      <c:layout>
        <c:manualLayout>
          <c:layoutTarget val="inner"/>
          <c:xMode val="edge"/>
          <c:yMode val="edge"/>
          <c:x val="0.26245102"/>
          <c:y val="0.288332"/>
          <c:w val="0.38841364"/>
          <c:h val="0.6658749"/>
        </c:manualLayout>
      </c:layout>
      <c:pieChart>
        <c:varyColors val="1"/>
        <c:ser>
          <c:idx val="0"/>
          <c:order val="0"/>
          <c:tx>
            <c:strRef>
              <c:f>'Sheet1 (6)'!$B$1</c:f>
              <c:strCache>
                <c:ptCount val="1"/>
                <c:pt idx="0">
                  <c:v>一般公共预算财政拨款支出（万元）</c:v>
                </c:pt>
              </c:strCache>
            </c:strRef>
          </c:tx>
          <c:spPr>
            <a:solidFill>
              <a:srgbClr val="4F81BD"/>
            </a:solidFill>
            <a:ln>
              <a:noFill/>
            </a:ln>
          </c:spPr>
          <c:dPt>
            <c:idx val="0"/>
            <c:bubble3D val="0"/>
            <c:spPr>
              <a:solidFill>
                <a:srgbClr val="4472C4"/>
              </a:solidFill>
              <a:ln>
                <a:noFill/>
              </a:ln>
              <a:effectLst>
                <a:outerShdw dist="35921" dir="2700000" algn="br">
                  <a:srgbClr val="000000"/>
                </a:outerShdw>
              </a:effectLst>
            </c:spPr>
          </c:dPt>
          <c:dPt>
            <c:idx val="1"/>
            <c:bubble3D val="0"/>
            <c:spPr>
              <a:solidFill>
                <a:srgbClr val="ED7D31"/>
              </a:solidFill>
              <a:ln>
                <a:noFill/>
              </a:ln>
              <a:effectLst>
                <a:outerShdw dist="35921" dir="2700000" algn="br">
                  <a:srgbClr val="000000"/>
                </a:outerShdw>
              </a:effectLst>
            </c:spPr>
          </c:dPt>
          <c:dPt>
            <c:idx val="2"/>
            <c:bubble3D val="0"/>
            <c:spPr>
              <a:solidFill>
                <a:srgbClr val="A5A5A5"/>
              </a:solidFill>
              <a:ln>
                <a:noFill/>
              </a:ln>
              <a:effectLst>
                <a:outerShdw dist="35921" dir="2700000" algn="br">
                  <a:srgbClr val="000000"/>
                </a:outerShdw>
              </a:effectLst>
            </c:spPr>
          </c:dPt>
          <c:dPt>
            <c:idx val="3"/>
            <c:bubble3D val="0"/>
            <c:spPr>
              <a:solidFill>
                <a:srgbClr val="FFC000"/>
              </a:solidFill>
              <a:ln>
                <a:noFill/>
              </a:ln>
              <a:effectLst>
                <a:outerShdw dist="35921" dir="2700000" algn="br">
                  <a:srgbClr val="000000"/>
                </a:outerShdw>
              </a:effectLst>
            </c:spPr>
          </c:dPt>
          <c:dLbls>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Lucida Sans"/>
                  </a:defRPr>
                </a:pPr>
                <a:endParaRPr lang="zh-CN"/>
              </a:p>
            </c:txPr>
            <c:numFmt formatCode="0%" sourceLinked="0"/>
            <c:dLbl>
              <c:idx val="0"/>
              <c:layout>
                <c:manualLayout>
                  <c:x val="-0.03488334"/>
                  <c:y val="-0.031606615"/>
                </c:manualLayout>
              </c:layout>
              <c:numFmt formatCode="0%" sourceLinked="0"/>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Lucida Sans"/>
                    </a:defRPr>
                  </a:pPr>
                  <a:endParaRPr lang="zh-CN"/>
                </a:p>
              </c:txPr>
              <c:dLblPos val="bestFit"/>
              <c:showLegendKey val="0"/>
              <c:showVal val="1"/>
              <c:showCatName val="1"/>
              <c:showSerName val="0"/>
              <c:showPercent val="1"/>
              <c:showBubbleSize val="0"/>
            </c:dLbl>
            <c:dLbl>
              <c:idx val="1"/>
              <c:layout>
                <c:manualLayout>
                  <c:x val="0.059790343"/>
                  <c:y val="0.010423388"/>
                </c:manualLayout>
              </c:layout>
              <c:numFmt formatCode="0%" sourceLinked="0"/>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Lucida Sans"/>
                    </a:defRPr>
                  </a:pPr>
                  <a:endParaRPr lang="zh-CN"/>
                </a:p>
              </c:txPr>
              <c:dLblPos val="bestFit"/>
              <c:showLegendKey val="0"/>
              <c:showVal val="1"/>
              <c:showCatName val="1"/>
              <c:showSerName val="0"/>
              <c:showPercent val="1"/>
              <c:showBubbleSize val="0"/>
            </c:dLbl>
            <c:dLbl>
              <c:idx val="2"/>
              <c:layout>
                <c:manualLayout>
                  <c:x val="0.047407985"/>
                  <c:y val="-0.1388946"/>
                </c:manualLayout>
              </c:layout>
              <c:numFmt formatCode="0%" sourceLinked="0"/>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Lucida Sans"/>
                    </a:defRPr>
                  </a:pPr>
                  <a:endParaRPr lang="zh-CN"/>
                </a:p>
              </c:txPr>
              <c:dLblPos val="bestFit"/>
              <c:showLegendKey val="0"/>
              <c:showVal val="1"/>
              <c:showCatName val="1"/>
              <c:showSerName val="0"/>
              <c:showPercent val="1"/>
              <c:showBubbleSize val="0"/>
            </c:dLbl>
            <c:dLbl>
              <c:idx val="3"/>
              <c:layout>
                <c:manualLayout>
                  <c:x val="-0.11915252"/>
                  <c:y val="-0.006225334"/>
                </c:manualLayout>
              </c:layout>
              <c:numFmt formatCode="0%" sourceLinked="0"/>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Lucida Sans"/>
                    </a:defRPr>
                  </a:pPr>
                  <a:endParaRPr lang="zh-CN"/>
                </a:p>
              </c:txPr>
              <c:dLblPos val="bestFit"/>
              <c:showLegendKey val="0"/>
              <c:showVal val="1"/>
              <c:showCatName val="1"/>
              <c:showSerName val="0"/>
              <c:showPercent val="1"/>
              <c:showBubbleSize val="0"/>
            </c:dLbl>
            <c:dLblPos val="ctr"/>
            <c:showLegendKey val="0"/>
            <c:showVal val="1"/>
            <c:showCatName val="1"/>
            <c:showSerName val="0"/>
            <c:showPercent val="1"/>
            <c:showBubbleSize val="0"/>
            <c:showLeaderLines val="1"/>
          </c:dLbls>
          <c:cat>
            <c:strRef>
              <c:f>'Sheet1 (6)'!$A$2:$A$5</c:f>
              <c:strCache>
                <c:ptCount val="4"/>
                <c:pt idx="0">
                  <c:v>社会保障和就业支出</c:v>
                </c:pt>
                <c:pt idx="1">
                  <c:v>卫生健康支出</c:v>
                </c:pt>
                <c:pt idx="2">
                  <c:v>一般公共服务类支出</c:v>
                </c:pt>
                <c:pt idx="3">
                  <c:v>住房保障支出</c:v>
                </c:pt>
              </c:strCache>
            </c:strRef>
          </c:cat>
          <c:val>
            <c:numRef>
              <c:f>'Sheet1 (6)'!$B$2:$B$5</c:f>
              <c:numCache>
                <c:formatCode>General</c:formatCode>
                <c:ptCount val="4"/>
                <c:pt idx="0">
                  <c:v>78.33</c:v>
                </c:pt>
                <c:pt idx="1">
                  <c:v>12.62</c:v>
                </c:pt>
                <c:pt idx="2">
                  <c:v>635.99</c:v>
                </c:pt>
                <c:pt idx="3">
                  <c:v>44.48</c:v>
                </c:pt>
              </c:numCache>
            </c:numRef>
          </c:val>
        </c:ser>
        <c:firstSliceAng val="0"/>
      </c:pieChart>
      <c:spPr>
        <a:noFill/>
        <a:ln>
          <a:noFill/>
        </a:ln>
      </c:spPr>
    </c:plotArea>
    <c:legend>
      <c:legendPos val="r"/>
      <c:layout/>
      <c:overlay val="0"/>
      <c:spPr>
        <a:solidFill>
          <a:srgbClr val="F2F2F2">
            <a:alpha val="39000"/>
          </a:srgbClr>
        </a:solidFill>
        <a:ln>
          <a:noFill/>
        </a:ln>
      </c:spPr>
      <c:txPr>
        <a:bodyPr/>
        <a:lstStyle/>
        <a:p>
          <a:pPr>
            <a:defRPr sz="900" b="0" i="0" u="none" strike="noStrike" baseline="0">
              <a:solidFill>
                <a:srgbClr val="404040"/>
              </a:solidFill>
              <a:latin typeface="Times New Roman"/>
              <a:ea typeface="宋体"/>
              <a:cs typeface="Lucida Sans"/>
            </a:defRPr>
          </a:pPr>
          <a:endParaRPr lang="zh-CN"/>
        </a:p>
      </c:txPr>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76</TotalTime>
  <Application>Yozo_Office27021597764231179</Application>
  <Pages>22</Pages>
  <Words>7605</Words>
  <Characters>8391</Characters>
  <Lines>490</Lines>
  <Paragraphs>259</Paragraphs>
  <CharactersWithSpaces>8479</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曹颖</dc:creator>
  <cp:lastModifiedBy>user</cp:lastModifiedBy>
  <cp:revision>20</cp:revision>
  <cp:lastPrinted>2022-09-14T08:43:00Z</cp:lastPrinted>
  <dcterms:created xsi:type="dcterms:W3CDTF">2023-09-25T07:39:00Z</dcterms:created>
  <dcterms:modified xsi:type="dcterms:W3CDTF">2023-09-27T07:58:40Z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2052-12.1.0.15374</vt:lpwstr>
  </property>
  <property fmtid="{D5CDD505-2E9C-101B-9397-08002B2CF9AE}" pid="3" name="ICV">
    <vt:lpwstr>976E5247BF37475B831ED74F55FB2BE8_13</vt:lpwstr>
  </property>
</Properties>
</file>