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77425"/>
      <w:bookmarkStart w:id="2" w:name="_Toc15306267"/>
      <w:bookmarkStart w:id="3" w:name="_Toc15377193"/>
      <w:bookmarkStart w:id="4" w:name="_Toc15396475"/>
      <w:bookmarkStart w:id="5" w:name="_Toc15396597"/>
    </w:p>
    <w:p w14:paraId="2B81399B">
      <w:pPr>
        <w:pStyle w:val="2"/>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2"/>
        <w:rPr>
          <w:rFonts w:hint="eastAsia" w:ascii="Times New Roman" w:hAnsi="Times New Roman" w:eastAsia="方正小标宋简体" w:cs="Times New Roman"/>
          <w:color w:val="auto"/>
          <w:kern w:val="2"/>
          <w:sz w:val="72"/>
          <w:szCs w:val="72"/>
          <w:highlight w:val="none"/>
          <w:lang w:val="en-US" w:eastAsia="zh-CN" w:bidi="ar-SA"/>
        </w:rPr>
      </w:pPr>
    </w:p>
    <w:p w14:paraId="3E179DAE">
      <w:pPr>
        <w:pStyle w:val="2"/>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Times New Roman" w:eastAsia="方正小标宋简体" w:cs="Times New Roman"/>
          <w:color w:val="auto"/>
          <w:kern w:val="2"/>
          <w:sz w:val="44"/>
          <w:szCs w:val="44"/>
          <w:highlight w:val="none"/>
          <w:lang w:val="en-US" w:eastAsia="zh-CN" w:bidi="ar-SA"/>
        </w:rPr>
        <w:t>阿坝藏族羌族自治州人力资源和社会保障局信息中心</w:t>
      </w:r>
      <w:r>
        <w:rPr>
          <w:rFonts w:hint="eastAsia" w:ascii="Times New Roman" w:hAnsi="Times New Roman" w:eastAsia="方正小标宋简体" w:cs="Times New Roman"/>
          <w:color w:val="auto"/>
          <w:kern w:val="2"/>
          <w:sz w:val="44"/>
          <w:szCs w:val="44"/>
          <w:highlight w:val="none"/>
          <w:lang w:val="en-US" w:eastAsia="zh-CN" w:bidi="ar-SA"/>
        </w:rPr>
        <w:t>单位决算公开</w:t>
      </w:r>
    </w:p>
    <w:p w14:paraId="4C9B97CC">
      <w:pPr>
        <w:spacing w:line="600" w:lineRule="exact"/>
        <w:jc w:val="center"/>
        <w:outlineLvl w:val="0"/>
        <w:rPr>
          <w:rFonts w:ascii="Times New Roman" w:hAnsi="Times New Roman" w:eastAsia="方正小标宋简体"/>
          <w:color w:val="auto"/>
          <w:sz w:val="72"/>
          <w:szCs w:val="72"/>
          <w:highlight w:val="none"/>
        </w:rPr>
      </w:pPr>
    </w:p>
    <w:p w14:paraId="2201A393">
      <w:pPr>
        <w:pStyle w:val="21"/>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8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26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317749BC">
          <w:pPr>
            <w:pStyle w:val="14"/>
            <w:tabs>
              <w:tab w:val="right" w:leader="dot" w:pos="8306"/>
              <w:tab w:val="clear" w:pos="8296"/>
            </w:tabs>
            <w:jc w:val="both"/>
            <w:rPr>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_Toc1108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_Toc1108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98AC64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_Toc13880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_Toc13880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12E37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_Toc1296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_Toc1296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DA2360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_Toc19438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_Toc19438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A10BC3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_Toc31314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_Toc31314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CC131C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_Toc20121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_Toc20121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81A39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_Toc14877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_Toc14877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7E9AE4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_Toc27251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_Toc27251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4987E0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180EA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_Toc9770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98928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_Toc26098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_Toc26098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BBD2C7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_Toc7073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_Toc7073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289E0B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_Toc9897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_Toc9897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38767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_Toc8130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_Toc8130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B1181B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_Toc19091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_Toc19091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BA4C22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_Toc6590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_Toc6590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22</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829052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_Toc18328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_Toc18328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25</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980F6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_Toc3436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FA5E7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_Toc10614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E0465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_Toc14774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_Toc14774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69ED75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_Toc5392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_Toc5392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97D48B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_Toc29475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_Toc29475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EA6C73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_Toc2870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71C2F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_Toc25605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_Toc25605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37E43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_Toc3760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八、一般公共预算财政拨款基本支出决算表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_Toc3760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EE3167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_Toc26330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_Toc26330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FAF1CF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_Toc12171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_Toc12171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B5B1C0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_Toc5335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99EDF0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_Toc19972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_Toc19972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9D3AC4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_Toc12736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_Toc12736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667E591">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15"/>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47360B2C">
      <w:pPr>
        <w:pStyle w:val="4"/>
        <w:jc w:val="center"/>
        <w:outlineLvl w:val="0"/>
        <w:rPr>
          <w:rFonts w:ascii="Times New Roman" w:hAnsi="Times New Roman" w:eastAsia="黑体"/>
          <w:color w:val="auto"/>
          <w:sz w:val="32"/>
          <w:szCs w:val="32"/>
          <w:highlight w:val="none"/>
        </w:rPr>
      </w:pPr>
      <w:bookmarkStart w:id="8" w:name="_Toc110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eastAsia="方正小标宋简体" w:cs="方正小标宋简体"/>
          <w:b w:val="0"/>
          <w:bCs w:val="0"/>
          <w:color w:val="auto"/>
          <w:highlight w:val="none"/>
          <w:lang w:val="en-US" w:eastAsia="zh-CN"/>
        </w:rPr>
        <w:t>单位</w:t>
      </w:r>
      <w:r>
        <w:rPr>
          <w:rStyle w:val="30"/>
          <w:rFonts w:hint="eastAsia" w:ascii="Times New Roman" w:hAnsi="Times New Roman" w:eastAsia="方正小标宋简体" w:cs="方正小标宋简体"/>
          <w:b w:val="0"/>
          <w:bCs w:val="0"/>
          <w:color w:val="auto"/>
          <w:highlight w:val="none"/>
        </w:rPr>
        <w:t>概况</w:t>
      </w:r>
      <w:bookmarkEnd w:id="6"/>
      <w:bookmarkEnd w:id="7"/>
      <w:bookmarkEnd w:id="8"/>
    </w:p>
    <w:p w14:paraId="71FFFD2B">
      <w:pPr>
        <w:pStyle w:val="5"/>
        <w:outlineLvl w:val="1"/>
        <w:rPr>
          <w:rFonts w:hint="eastAsia" w:ascii="Times New Roman" w:hAnsi="Times New Roman" w:eastAsia="黑体"/>
          <w:b w:val="0"/>
          <w:color w:val="auto"/>
          <w:highlight w:val="none"/>
          <w:lang w:eastAsia="zh-CN"/>
        </w:rPr>
      </w:pPr>
      <w:bookmarkStart w:id="9" w:name="_Toc15396600"/>
      <w:bookmarkStart w:id="10" w:name="_Toc15377197"/>
      <w:bookmarkStart w:id="11" w:name="_Toc13880"/>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val="en-US" w:eastAsia="zh-CN"/>
        </w:rPr>
        <w:t>单位</w:t>
      </w:r>
      <w:r>
        <w:rPr>
          <w:rFonts w:hint="eastAsia" w:ascii="Times New Roman" w:hAnsi="Times New Roman" w:eastAsia="黑体"/>
          <w:b w:val="0"/>
          <w:color w:val="auto"/>
          <w:highlight w:val="none"/>
          <w:lang w:eastAsia="zh-CN"/>
        </w:rPr>
        <w:t>职责</w:t>
      </w:r>
      <w:bookmarkEnd w:id="11"/>
    </w:p>
    <w:p w14:paraId="0CD60CC7">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1、拟订人力资源和社会保障事业发展政策、规划，起草相关民族自治法规和规范性文件草案。</w:t>
      </w:r>
    </w:p>
    <w:p w14:paraId="6A618B4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2、拟订人力资源市场发展规划和人力资源服务业发展、人力资源流动政策，促进人力资源合理流动、有效配置。</w:t>
      </w:r>
    </w:p>
    <w:p w14:paraId="7E3E5990">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3、负责促进就业工作，拟订统筹城乡的就业发展规划和政策，完善公共就业创业服务体系，统筹建立面向城乡劳动者的职业技能培训制度，拟订并组织落实创业、就业援助制度，牵头拟订高校毕业生就业政策。</w:t>
      </w:r>
    </w:p>
    <w:p w14:paraId="1463170D">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统筹推进建立覆盖城乡的多层次社会保障体系。拟订养老、失业、工伤等社会保险及其补充保险政策和标准。贯彻落实养老保险全国统筹办法和全国统一的养老、失业、工伤保险关系转续办法。组织拟订养老、失业、工伤等社会保险及其补充保险基金管理和监督办法，编制相关社会保险基金预决算草案，参与拟订相关社会保障基金投资政策。会同有关部门实施全民参保计划并参与建立全国统一的社会保险公共服务平台。拟订人力资源和社会保障信息化建设总体规划、年度计划，制定相关制度、标准和规范并组织实施。指导、督促企业参加工伤保险。</w:t>
      </w:r>
    </w:p>
    <w:p w14:paraId="09858F3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5、负责就业、失业和相关社会保险基金预测预警和信息引导，拟订应对预案，实施预防、调节和控制，保持就业形势稳定和相关社会保险基金总体收支平衡。</w:t>
      </w:r>
    </w:p>
    <w:p w14:paraId="20FA245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统筹拟订劳动人事争议调解仲裁制度和劳动关系政策，完善劳动关系协商协调机制，贯彻职工工作时间、休息休假和假期制度，落实消除非法使用童工政策和女工、未成年工特殊劳动保护政策。依法督促用人单位在劳动用工、合同签订与履约时，载明劳动保护、劳动条件和职业危害防护等条款。组织实施劳动保障监察，协调劳动者维权工作，依法查处重大案件。</w:t>
      </w:r>
    </w:p>
    <w:p w14:paraId="018DD75E">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牵头推进深化职称制度改革，拟订专业技术人员管理、继续教育和博士后管理等政策，负责高层次专业技术人才选拔和培养工作，贯彻落实吸引留学人员来州（回州）工作或定居政策。组织拟订技能人才培养、评价、使用和激励制度。贯彻落实职业资格制度，健全职业技能多元化评价政策。指导、监督各级各类技工学校、民办职业培训机构按国家和省、州有关规定履行安全管理责任。</w:t>
      </w:r>
    </w:p>
    <w:p w14:paraId="3041649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8、会同有关部门指导事业单位人事制度改革，按照管理权限负责规范事业单位岗位设置、公开招聘、聘用合同等人事综合管理工作，落实规范事业单位工作人员和机关工勤人员管理政策，将安全生产及生态环境保护责任履行情况作为事业单位工作人员奖惩、考核的重要内容。</w:t>
      </w:r>
    </w:p>
    <w:p w14:paraId="18D8061E">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9、组织实施国家表彰奖励制度，综合管理政府表彰奖励工作，承担评比达标表彰等工作，根据授权承办以州委、州政府名义开展的表彰奖励活动。承办提请州人大常委会和州政府决定的人事任免事项。</w:t>
      </w:r>
    </w:p>
    <w:p w14:paraId="315125E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10、会同有关部门拟订事业单位人员工资收入分配政策，建立企事业单位人员工资决定、正常增长和支付保障机制。拟订企事业单位人员福利和离退休政策。</w:t>
      </w:r>
    </w:p>
    <w:p w14:paraId="1302FDAF">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11、会同有关部门拟订农民工工作的综合性政策和规划，推动相关政策落实，协调解决重点难点问题，维护农民工合法权益。负责将安全生产纳入农民工技能培训内容。</w:t>
      </w:r>
    </w:p>
    <w:p w14:paraId="013636A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12、负责人力资源和社会保障领域内的对外交流与合作工作。</w:t>
      </w:r>
    </w:p>
    <w:p w14:paraId="3E3C6BE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13、承担职责范围内的安全生产和职业健康、生态环境保护、审批服务便民化等工作。</w:t>
      </w:r>
    </w:p>
    <w:p w14:paraId="6C3C2122">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14.统筹拟订劳动、人事争议调解仲裁制度和劳动关系政策并组织和监督实施，完善劳动关系协调机制，贯彻企业职工工作时间、休息休假制度、消除非法使用童工政策和女工、未成年工的特殊劳动保护政策，组织实施劳动监察，协调劳动者维权工作，依法查处重大案件。</w:t>
      </w:r>
    </w:p>
    <w:p w14:paraId="4026D979">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15、完成州委、州政府交办的其他任务。</w:t>
      </w:r>
    </w:p>
    <w:p w14:paraId="4D096983">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16、职能转变。深入推进简政放权、放管结合、优化服务改革，进一步减少行政审批事项，规范和优化对外办理事项，减少职业资格许可和认定等审批事项，实行职业资格目录清单管理，加强事中事后监管，创新就业和社会保障等公共服务方式，加强信息共享，提高公共服务水平。</w:t>
      </w:r>
    </w:p>
    <w:p w14:paraId="57C1DF9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17、有关职责分工。与州教育局的有关职责分工。高校毕业生就业政策由州人力资源社会保障局牵头，会同州教育局等部门拟订。高校毕业生离校前的就业指导和服务工作，由州教育局负责；高校毕业生离校后的就业指导和服务工作，由州人力资源社会保障局负责。</w:t>
      </w:r>
    </w:p>
    <w:p w14:paraId="3FAD9DC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18、负责阿坝州劳动人事争议仲裁委员会的日常工作； 依法处理州本级管理范围内的劳动争议案件及上级交办、外地委托的案件;根据阿坝州劳动人事争议仲裁委员会授权，负责仲裁员的培训、考核、聘任工作,并对全州仲裁员调解员进行管理；参与调解和仲裁涉及劳动人事突发事件、群体、疑难及重大案件; 承担本行政区域内企业及职工开展劳动人事争议预防工作和处理程序方面的法律、法规、政策知识宣传和培训工作。</w:t>
      </w:r>
    </w:p>
    <w:p w14:paraId="4759A039">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19、负责宣传人力资源和社会保障政策、法规、 规章、制度；受理人力资源和社会保障举报、投诉；负责完善人力资源和社会保障政策法规知识库，并提供咨询服务；负责收集人力资源和社会保障业务办理流程并录入系统，引导群众按流程办理相关人社业务；负责有关人事招录方面的咨询服务；负责养老、失业、工伤保险和职业年金的参保缴费和待遇领取等信息的电话查询服务，负责个人社保权益的电话查询服务；负责惠民惠农财政补贴资金社会保障卡“一卡通”和社会保障卡业务办理查询服务。</w:t>
      </w:r>
    </w:p>
    <w:p w14:paraId="20BD5FA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贯彻执行国家和人力资源社会保障部信息化建设有关法律、法规和技术规范，严格执行数据的定义、标准和分类，确保人力资源和社会保障信息化建设和数据符合国家统一要求；建立健全各项规章制度和应急预案；负责全州人力资源社会保障信息系统建设和业务数据管理维护；负责信息化建设硬件设备预算采购、配备等工作；负责人力资源社会保障公共服务系统建设；负责社会保障卡跨地区、跨部门推广应用和数据交换；负责社会保障卡“一卡通”信息系统运行、管理、维护；负责社会保障卡的信息采集、制作、发放、密码重置、密码修改、激活等业务；推进社会保障卡功能拓展应 用；组织开展社会保障卡宣传和业务培训；承担局信息化领导小组办公室的日常工作；指导各县（市）完成信息化建设、信息系统应用和相关业务工作。</w:t>
      </w:r>
    </w:p>
    <w:p w14:paraId="4C81B60A">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21、承担各类执业（职业）资格考试、专业技术资格考试、事业单位公开招聘考试、社会化考试的组织实施工作，协助做好公务员录用、公开遴选、公开选调等考试的考务组织工作。</w:t>
      </w:r>
    </w:p>
    <w:p w14:paraId="718C8465">
      <w:pPr>
        <w:ind w:firstLine="420"/>
        <w:rPr>
          <w:rFonts w:hint="eastAsia"/>
          <w:highlight w:val="none"/>
          <w:lang w:eastAsia="zh-CN"/>
        </w:rPr>
      </w:pPr>
      <w:r>
        <w:rPr>
          <w:rFonts w:hint="eastAsia" w:ascii="仿宋_GB2312" w:eastAsia="仿宋_GB2312"/>
          <w:sz w:val="32"/>
          <w:szCs w:val="32"/>
          <w:highlight w:val="none"/>
          <w:lang w:val="en-US" w:eastAsia="zh-CN"/>
        </w:rPr>
        <w:t>22、贯彻执行《中华人民共和国档案法》等档案法律法 规，向社会各界和群众无偿提供档案查阅利用服务；建立健全局机关档案工作规章制度；负责局机关档案收集、整理、保管、统计、利用服务和期满档案移交工作；统一代管局属各事业单位和经办机构档案。</w:t>
      </w:r>
    </w:p>
    <w:p w14:paraId="25D58AC6">
      <w:pPr>
        <w:pStyle w:val="5"/>
        <w:outlineLvl w:val="1"/>
        <w:rPr>
          <w:rStyle w:val="31"/>
          <w:rFonts w:ascii="Times New Roman" w:hAnsi="Times New Roman"/>
          <w:b w:val="0"/>
          <w:bCs w:val="0"/>
          <w:color w:val="auto"/>
          <w:highlight w:val="none"/>
        </w:rPr>
      </w:pPr>
      <w:bookmarkStart w:id="12" w:name="_Toc15396601"/>
      <w:bookmarkStart w:id="13" w:name="_Toc1296"/>
      <w:bookmarkStart w:id="14" w:name="_Toc15377200"/>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2"/>
      <w:bookmarkEnd w:id="13"/>
      <w:bookmarkEnd w:id="14"/>
    </w:p>
    <w:p w14:paraId="3DE87EA1">
      <w:pPr>
        <w:ind w:firstLine="800" w:firstLineChars="25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阿坝藏族羌族自治州人力资源和社会保障局信息中心下属二级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49CDDB14">
      <w:pPr>
        <w:pStyle w:val="2"/>
        <w:adjustRightInd w:val="0"/>
        <w:snapToGrid w:val="0"/>
        <w:spacing w:before="93" w:line="600" w:lineRule="exact"/>
        <w:ind w:firstLine="672" w:firstLineChars="21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纳入阿坝藏族羌族自治州人力资源和社会保障局信息中心</w:t>
      </w:r>
      <w:r>
        <w:rPr>
          <w:rFonts w:hint="eastAsia" w:ascii="Times New Roman"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426D8746">
      <w:pPr>
        <w:widowControl/>
        <w:ind w:firstLine="640" w:firstLineChars="200"/>
        <w:jc w:val="left"/>
        <w:rPr>
          <w:rFonts w:ascii="Times New Roman" w:hAnsi="Times New Roman" w:eastAsia="仿宋"/>
          <w:color w:val="auto"/>
          <w:kern w:val="0"/>
          <w:sz w:val="32"/>
          <w:szCs w:val="32"/>
          <w:highlight w:val="none"/>
        </w:rPr>
      </w:pPr>
      <w:r>
        <w:rPr>
          <w:rFonts w:hint="eastAsia" w:eastAsia="仿宋_GB2312" w:cs="仿宋_GB2312"/>
          <w:color w:val="auto"/>
          <w:sz w:val="32"/>
          <w:szCs w:val="32"/>
          <w:highlight w:val="none"/>
          <w:lang w:val="en-US" w:eastAsia="zh-CN"/>
        </w:rPr>
        <w:t>无</w:t>
      </w:r>
      <w:r>
        <w:rPr>
          <w:rFonts w:ascii="Times New Roman" w:hAnsi="Times New Roman" w:eastAsia="仿宋"/>
          <w:color w:val="auto"/>
          <w:sz w:val="32"/>
          <w:szCs w:val="32"/>
          <w:highlight w:val="none"/>
        </w:rPr>
        <w:br w:type="page"/>
      </w:r>
    </w:p>
    <w:p w14:paraId="232534A1">
      <w:pPr>
        <w:pStyle w:val="4"/>
        <w:jc w:val="center"/>
        <w:outlineLvl w:val="0"/>
        <w:rPr>
          <w:rFonts w:hint="eastAsia" w:ascii="Times New Roman" w:hAnsi="Times New Roman" w:eastAsia="方正小标宋简体" w:cs="方正小标宋简体"/>
          <w:b w:val="0"/>
          <w:color w:val="auto"/>
          <w:highlight w:val="none"/>
        </w:rPr>
      </w:pPr>
      <w:bookmarkStart w:id="15" w:name="_Toc15396602"/>
      <w:bookmarkStart w:id="16" w:name="_Toc19438"/>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val="en-US" w:eastAsia="zh-CN"/>
        </w:rPr>
        <w:t>单位</w:t>
      </w:r>
      <w:r>
        <w:rPr>
          <w:rFonts w:hint="eastAsia" w:ascii="Times New Roman" w:hAnsi="Times New Roman" w:eastAsia="方正小标宋简体" w:cs="方正小标宋简体"/>
          <w:b w:val="0"/>
          <w:color w:val="auto"/>
          <w:highlight w:val="none"/>
        </w:rPr>
        <w:t>决算情况说明</w:t>
      </w:r>
      <w:bookmarkEnd w:id="15"/>
      <w:bookmarkEnd w:id="16"/>
      <w:bookmarkEnd w:id="17"/>
    </w:p>
    <w:p w14:paraId="7545F8D8">
      <w:pPr>
        <w:rPr>
          <w:rFonts w:ascii="Times New Roman" w:hAnsi="Times New Roman"/>
          <w:color w:val="auto"/>
          <w:highlight w:val="none"/>
        </w:rPr>
      </w:pPr>
    </w:p>
    <w:p w14:paraId="08D37E5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8" w:name="_Toc15377205"/>
      <w:bookmarkStart w:id="19" w:name="_Toc15396603"/>
      <w:bookmarkStart w:id="20" w:name="_Toc31314"/>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bookmarkEnd w:id="20"/>
    </w:p>
    <w:p w14:paraId="0047674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41275</wp:posOffset>
            </wp:positionH>
            <wp:positionV relativeFrom="paragraph">
              <wp:posOffset>1624965</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1285.41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sz w:val="32"/>
          <w:szCs w:val="32"/>
          <w:highlight w:val="none"/>
          <w:lang w:val="en-US" w:eastAsia="zh-CN"/>
        </w:rPr>
        <w:t>207.57</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sz w:val="32"/>
          <w:szCs w:val="32"/>
          <w:highlight w:val="none"/>
          <w:lang w:val="en-US" w:eastAsia="zh-CN"/>
        </w:rPr>
        <w:t>19.26</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highlight w:val="none"/>
          <w:lang w:val="en-US" w:eastAsia="zh-CN"/>
        </w:rPr>
        <w:t>单位无项目，主要变动原因为新增3人，人员经费及公用经费增加。</w:t>
      </w:r>
    </w:p>
    <w:p w14:paraId="4A78A499">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506EA6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96604"/>
      <w:bookmarkStart w:id="22" w:name="_Toc15377206"/>
      <w:bookmarkStart w:id="23" w:name="_Toc20121"/>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911322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1285.41</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1285.41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BC7893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620BA40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9AFF39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4" w:name="_Toc15396605"/>
      <w:bookmarkStart w:id="25" w:name="_Toc15377207"/>
      <w:bookmarkStart w:id="26" w:name="_Toc1487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4"/>
      <w:bookmarkEnd w:id="25"/>
      <w:bookmarkEnd w:id="26"/>
    </w:p>
    <w:p w14:paraId="265AC5D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1285.41</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1285.41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21FFD143">
      <w:pPr>
        <w:jc w:val="center"/>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A01262A">
      <w:pPr>
        <w:spacing w:line="600" w:lineRule="exact"/>
        <w:ind w:firstLine="640" w:firstLineChars="200"/>
        <w:outlineLvl w:val="1"/>
        <w:rPr>
          <w:rStyle w:val="31"/>
          <w:rFonts w:ascii="Times New Roman" w:hAnsi="Times New Roman" w:eastAsia="黑体"/>
          <w:b w:val="0"/>
          <w:color w:val="auto"/>
          <w:highlight w:val="none"/>
        </w:rPr>
      </w:pPr>
      <w:bookmarkStart w:id="27" w:name="_Toc27251"/>
      <w:bookmarkStart w:id="28" w:name="_Toc15377208"/>
      <w:bookmarkStart w:id="29"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7"/>
      <w:bookmarkEnd w:id="28"/>
      <w:bookmarkEnd w:id="29"/>
    </w:p>
    <w:p w14:paraId="06E577E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1285.41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sz w:val="32"/>
          <w:szCs w:val="32"/>
          <w:highlight w:val="none"/>
          <w:lang w:val="en-US" w:eastAsia="zh-CN"/>
        </w:rPr>
        <w:t>207.57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19.26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单位无项目，主要变动原因为新增3人，人员经费及公用经费增加。</w:t>
      </w:r>
    </w:p>
    <w:p w14:paraId="47B10279">
      <w:pPr>
        <w:pStyle w:val="15"/>
        <w:outlineLvl w:val="9"/>
        <w:rPr>
          <w:rFonts w:hint="eastAsia"/>
          <w:highlight w:val="none"/>
          <w:lang w:val="en-US" w:eastAsia="zh-CN"/>
        </w:rPr>
      </w:pPr>
    </w:p>
    <w:p w14:paraId="5774FC8E">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DC149D">
      <w:pPr>
        <w:spacing w:line="600" w:lineRule="exact"/>
        <w:ind w:firstLine="640" w:firstLineChars="200"/>
        <w:outlineLvl w:val="1"/>
        <w:rPr>
          <w:rStyle w:val="31"/>
          <w:rFonts w:ascii="Times New Roman" w:hAnsi="Times New Roman" w:eastAsia="黑体"/>
          <w:b w:val="0"/>
          <w:color w:val="auto"/>
          <w:highlight w:val="none"/>
        </w:rPr>
      </w:pPr>
      <w:bookmarkStart w:id="30" w:name="_Toc15377209"/>
      <w:bookmarkStart w:id="31" w:name="_Toc15614"/>
      <w:bookmarkStart w:id="3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0"/>
      <w:bookmarkEnd w:id="31"/>
      <w:bookmarkEnd w:id="32"/>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2B99C60C">
      <w:pP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1285.41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sz w:val="32"/>
          <w:szCs w:val="32"/>
          <w:highlight w:val="none"/>
          <w:lang w:val="en-US" w:eastAsia="zh-CN"/>
        </w:rPr>
        <w:t>207.57</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19.26</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单位无项目，主要变动原因为新增3人，人员经费及公用经费增加。</w:t>
      </w:r>
    </w:p>
    <w:p w14:paraId="0911C3F2">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33DBE715">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6AE4BCB4">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5EA93293">
      <w:pPr>
        <w:spacing w:line="600" w:lineRule="exact"/>
        <w:jc w:val="both"/>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61595</wp:posOffset>
            </wp:positionH>
            <wp:positionV relativeFrom="paragraph">
              <wp:posOffset>42545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176ACCA">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5E146A2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2025年度一般公共预算财政拨款支出1285.41万元，主要用于以下方面：社会保障和就业支出1116.6万元，占86.87%；卫生健康支出69.91万元，占5.44%；住房保障支出98.9万元，占7.69%。</w:t>
      </w:r>
    </w:p>
    <w:p w14:paraId="12A9A663">
      <w:pPr>
        <w:pStyle w:val="2"/>
        <w:rPr>
          <w:rFonts w:hint="eastAsia"/>
          <w:highlight w:val="none"/>
          <w:lang w:val="en-US" w:eastAsia="zh-CN"/>
        </w:rPr>
      </w:pPr>
    </w:p>
    <w:p w14:paraId="1128E98B">
      <w:pPr>
        <w:pStyle w:val="9"/>
        <w:ind w:left="0" w:leftChars="0" w:firstLine="0" w:firstLineChars="0"/>
        <w:outlineLvl w:val="9"/>
        <w:rPr>
          <w:rFonts w:hint="eastAsia"/>
          <w:highlight w:val="none"/>
          <w:lang w:val="en-US" w:eastAsia="zh-CN"/>
        </w:rPr>
      </w:pPr>
    </w:p>
    <w:p w14:paraId="373F564D">
      <w:pPr>
        <w:pStyle w:val="9"/>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60E76A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6" w:name="_Toc15378460"/>
      <w:bookmarkStart w:id="37" w:name="_Toc15377213"/>
      <w:bookmarkStart w:id="38"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1285.41</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08A6F0B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社会保障和就业支出（208）人力资源和社会保障管理事务（01）事业运行（50）:支出决算为937.92万元，完成预算100%，决算数等于预算数。</w:t>
      </w:r>
    </w:p>
    <w:p w14:paraId="7FBEE635">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社会保障和就业支出（208）行政事业单位养老支出（05）机关事业单位基本养老保险缴费支出（05）:支出决算为124.52万元，完成预算100%，决算数等于预算数。</w:t>
      </w:r>
    </w:p>
    <w:p w14:paraId="5F047522">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社会保障和就业支出（208）行政事业单位养老支出（05）机关事业单位职业年金缴费支出（06）:支出决算为54.16万元，完成预算100%，决算数等于预算数。</w:t>
      </w:r>
    </w:p>
    <w:p w14:paraId="2BF061FE">
      <w:pPr>
        <w:numPr>
          <w:ilvl w:val="0"/>
          <w:numId w:val="1"/>
        </w:numPr>
        <w:spacing w:line="600" w:lineRule="exact"/>
        <w:ind w:left="0" w:leftChars="0" w:firstLine="400" w:firstLineChars="0"/>
        <w:rPr>
          <w:rFonts w:hint="eastAsia" w:ascii="Times New Roman" w:hAnsi="Times New Roman" w:cs="Times New Roman"/>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卫生健康支出（210）行政事业单位医疗（11）事业单位医疗（02）:支出决算为69.91万元，完成预算100%，决算数等于预算数。</w:t>
      </w:r>
    </w:p>
    <w:p w14:paraId="1093187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住房保障支出（221）住房改革支出（02）住房公积金（01）:支出决算为98.9万元，完成预算100%，决算数等于预算数。</w:t>
      </w:r>
    </w:p>
    <w:p w14:paraId="3E37CA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92899EA">
      <w:pPr>
        <w:tabs>
          <w:tab w:val="right" w:pos="8306"/>
        </w:tabs>
        <w:spacing w:line="600" w:lineRule="exact"/>
        <w:ind w:firstLine="640"/>
        <w:outlineLvl w:val="1"/>
        <w:rPr>
          <w:rStyle w:val="31"/>
          <w:rFonts w:ascii="Times New Roman" w:hAnsi="Times New Roman"/>
          <w:color w:val="auto"/>
          <w:highlight w:val="none"/>
        </w:rPr>
      </w:pPr>
      <w:bookmarkStart w:id="39" w:name="_Toc9770"/>
      <w:bookmarkStart w:id="40" w:name="_Toc15377214"/>
      <w:bookmarkStart w:id="41"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9"/>
      <w:bookmarkEnd w:id="40"/>
      <w:bookmarkEnd w:id="41"/>
      <w:r>
        <w:rPr>
          <w:rStyle w:val="31"/>
          <w:rFonts w:ascii="Times New Roman" w:hAnsi="Times New Roman" w:eastAsia="黑体"/>
          <w:b w:val="0"/>
          <w:color w:val="auto"/>
          <w:highlight w:val="none"/>
        </w:rPr>
        <w:tab/>
      </w:r>
    </w:p>
    <w:p w14:paraId="3F8DB63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1285.41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52D97B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1164.12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121.29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81D479E">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32232BB">
      <w:pPr>
        <w:spacing w:line="600" w:lineRule="exact"/>
        <w:ind w:firstLine="640"/>
        <w:outlineLvl w:val="1"/>
        <w:rPr>
          <w:rStyle w:val="31"/>
          <w:rFonts w:ascii="Times New Roman" w:hAnsi="Times New Roman" w:eastAsia="黑体"/>
          <w:b w:val="0"/>
          <w:color w:val="auto"/>
          <w:highlight w:val="none"/>
        </w:rPr>
      </w:pPr>
      <w:bookmarkStart w:id="42" w:name="_Toc26098"/>
      <w:bookmarkStart w:id="43" w:name="_Toc15377215"/>
      <w:bookmarkStart w:id="44"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2"/>
      <w:bookmarkEnd w:id="43"/>
      <w:bookmarkEnd w:id="44"/>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5"/>
    </w:p>
    <w:p w14:paraId="2370DED8">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0.66</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0.03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4.92</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6"/>
    </w:p>
    <w:p w14:paraId="73ED10F1">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highlight w:val="none"/>
          <w:lang w:val="en-US" w:eastAsia="zh-CN"/>
        </w:rPr>
        <w:t>0.66</w:t>
      </w:r>
      <w:r>
        <w:rPr>
          <w:rFonts w:hint="eastAsia" w:ascii="仿宋_GB2312" w:hAnsi="仿宋_GB2312" w:eastAsia="仿宋_GB2312" w:cs="仿宋_GB2312"/>
          <w:color w:val="auto"/>
          <w:kern w:val="2"/>
          <w:sz w:val="32"/>
          <w:szCs w:val="32"/>
          <w:highlight w:val="none"/>
          <w:lang w:val="en-US" w:eastAsia="zh-CN" w:bidi="ar-SA"/>
        </w:rPr>
        <w:t>万元，占100%。具体情况如下：</w:t>
      </w:r>
    </w:p>
    <w:p w14:paraId="67DF90F9">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F9EB7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工作开展所需接待，厉行节约。</w:t>
      </w:r>
    </w:p>
    <w:p w14:paraId="4A38F64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0.66</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减少0.03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下降4.92</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0.66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70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0.66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主要用于</w:t>
      </w:r>
      <w:r>
        <w:rPr>
          <w:rFonts w:hint="eastAsia" w:ascii="Times New Roman" w:hAnsi="Times New Roman" w:eastAsia="仿宋_GB2312" w:cs="仿宋_GB2312"/>
          <w:color w:val="auto"/>
          <w:kern w:val="2"/>
          <w:sz w:val="32"/>
          <w:szCs w:val="32"/>
          <w:highlight w:val="none"/>
          <w:lang w:val="en-US" w:eastAsia="zh-CN" w:bidi="ar-SA"/>
        </w:rPr>
        <w:t>交流学习、业务对接、项目动员、院校交流</w:t>
      </w:r>
      <w:r>
        <w:rPr>
          <w:rFonts w:hint="eastAsia" w:eastAsia="仿宋_GB2312" w:cs="仿宋_GB2312"/>
          <w:color w:val="auto"/>
          <w:kern w:val="2"/>
          <w:sz w:val="32"/>
          <w:szCs w:val="32"/>
          <w:highlight w:val="none"/>
          <w:lang w:val="en-US" w:eastAsia="zh-CN" w:bidi="ar-SA"/>
        </w:rPr>
        <w:t>等接待。</w:t>
      </w:r>
      <w:bookmarkStart w:id="94" w:name="_GoBack"/>
      <w:bookmarkEnd w:id="94"/>
    </w:p>
    <w:p w14:paraId="609F30A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7" w:name="_Toc15377218"/>
      <w:bookmarkStart w:id="48" w:name="_Toc15396610"/>
    </w:p>
    <w:p w14:paraId="16B733E7">
      <w:pPr>
        <w:spacing w:line="600" w:lineRule="exact"/>
        <w:ind w:firstLine="640"/>
        <w:outlineLvl w:val="1"/>
        <w:rPr>
          <w:rStyle w:val="31"/>
          <w:rFonts w:ascii="Times New Roman" w:hAnsi="Times New Roman" w:eastAsia="黑体"/>
          <w:color w:val="auto"/>
          <w:highlight w:val="none"/>
        </w:rPr>
      </w:pPr>
      <w:bookmarkStart w:id="49" w:name="_Toc7073"/>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7"/>
      <w:bookmarkEnd w:id="48"/>
      <w:bookmarkEnd w:id="49"/>
    </w:p>
    <w:p w14:paraId="05B5037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0" w:name="_Toc9897"/>
      <w:bookmarkStart w:id="51" w:name="_Toc15396611"/>
      <w:bookmarkStart w:id="52"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0"/>
      <w:bookmarkEnd w:id="51"/>
      <w:bookmarkEnd w:id="52"/>
    </w:p>
    <w:p w14:paraId="10E1E4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53" w:name="_Toc8130"/>
      <w:bookmarkStart w:id="54" w:name="_Toc15396612"/>
      <w:bookmarkStart w:id="55"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53"/>
      <w:bookmarkEnd w:id="54"/>
      <w:bookmarkEnd w:id="55"/>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3AA99B37">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阿坝藏族羌族自治州人力资源和社会保障局信息中心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事业单位，无机关运行费。</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75840CD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阿坝藏族羌族自治州人力资源和社会保障局信息中心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7CD481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阿坝藏族羌族自治州人力资源和社会保障局信息中心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6D0C60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highlight w:val="none"/>
          <w:lang w:val="en-US" w:eastAsia="zh-CN"/>
        </w:rPr>
        <w:t>阿坝藏族羌族自治州人力资源和社会保障局信息中心</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BD846F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我单位为二级事业单位，不涉及</w:t>
      </w:r>
      <w:r>
        <w:rPr>
          <w:rFonts w:hint="eastAsia" w:ascii="Times New Roman" w:hAnsi="Times New Roman" w:eastAsia="仿宋_GB2312" w:cs="仿宋_GB2312"/>
          <w:color w:val="auto"/>
          <w:kern w:val="2"/>
          <w:sz w:val="32"/>
          <w:szCs w:val="32"/>
          <w:highlight w:val="none"/>
          <w:lang w:val="en-US" w:eastAsia="zh-CN" w:bidi="ar-SA"/>
        </w:rPr>
        <w:t>绩效自评。</w:t>
      </w:r>
    </w:p>
    <w:p w14:paraId="43C1BBF1">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部门整体</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eastAsia="仿宋_GB2312" w:cs="仿宋_GB2312"/>
          <w:color w:val="auto"/>
          <w:kern w:val="2"/>
          <w:sz w:val="32"/>
          <w:szCs w:val="32"/>
          <w:highlight w:val="none"/>
          <w:lang w:val="en-US" w:eastAsia="zh-CN" w:bidi="ar-SA"/>
        </w:rPr>
        <w:t>1、</w:t>
      </w:r>
    </w:p>
    <w:p w14:paraId="35777AAA">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部门项目</w:t>
      </w:r>
      <w:r>
        <w:rPr>
          <w:rFonts w:hint="eastAsia" w:ascii="Times New Roman" w:hAnsi="Times New Roman" w:eastAsia="仿宋_GB2312" w:cs="仿宋_GB2312"/>
          <w:color w:val="auto"/>
          <w:kern w:val="2"/>
          <w:sz w:val="32"/>
          <w:szCs w:val="32"/>
          <w:highlight w:val="none"/>
          <w:lang w:val="en-US" w:eastAsia="zh-CN" w:bidi="ar-SA"/>
        </w:rPr>
        <w:t>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eastAsia="仿宋_GB2312" w:cs="仿宋_GB2312"/>
          <w:color w:val="auto"/>
          <w:kern w:val="2"/>
          <w:sz w:val="32"/>
          <w:szCs w:val="32"/>
          <w:highlight w:val="none"/>
          <w:lang w:val="en-US" w:eastAsia="zh-CN" w:bidi="ar-SA"/>
        </w:rPr>
        <w:t>2。</w:t>
      </w:r>
    </w:p>
    <w:p w14:paraId="68147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FE5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71B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B8B4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432EF4">
      <w:pPr>
        <w:pStyle w:val="15"/>
        <w:rPr>
          <w:rFonts w:hint="eastAsia" w:ascii="Times New Roman" w:hAnsi="Times New Roman" w:eastAsia="仿宋_GB2312" w:cs="仿宋_GB2312"/>
          <w:color w:val="auto"/>
          <w:kern w:val="2"/>
          <w:sz w:val="32"/>
          <w:szCs w:val="32"/>
          <w:highlight w:val="none"/>
          <w:lang w:val="en-US" w:eastAsia="zh-CN" w:bidi="ar-SA"/>
        </w:rPr>
      </w:pPr>
    </w:p>
    <w:p w14:paraId="73621C4F">
      <w:pPr>
        <w:pStyle w:val="9"/>
        <w:rPr>
          <w:rFonts w:hint="eastAsia" w:ascii="Times New Roman" w:hAnsi="Times New Roman" w:eastAsia="仿宋_GB2312" w:cs="仿宋_GB2312"/>
          <w:color w:val="auto"/>
          <w:kern w:val="2"/>
          <w:sz w:val="32"/>
          <w:szCs w:val="32"/>
          <w:highlight w:val="none"/>
          <w:lang w:val="en-US" w:eastAsia="zh-CN" w:bidi="ar-SA"/>
        </w:rPr>
      </w:pPr>
    </w:p>
    <w:p w14:paraId="156CDA8A">
      <w:pPr>
        <w:pStyle w:val="9"/>
        <w:rPr>
          <w:rFonts w:hint="eastAsia" w:ascii="Times New Roman" w:hAnsi="Times New Roman" w:eastAsia="仿宋_GB2312" w:cs="仿宋_GB2312"/>
          <w:color w:val="auto"/>
          <w:kern w:val="2"/>
          <w:sz w:val="32"/>
          <w:szCs w:val="32"/>
          <w:highlight w:val="none"/>
          <w:lang w:val="en-US" w:eastAsia="zh-CN" w:bidi="ar-SA"/>
        </w:rPr>
      </w:pPr>
    </w:p>
    <w:p w14:paraId="43788B64">
      <w:pPr>
        <w:pStyle w:val="9"/>
        <w:rPr>
          <w:rFonts w:hint="eastAsia" w:ascii="Times New Roman" w:hAnsi="Times New Roman" w:eastAsia="仿宋_GB2312" w:cs="仿宋_GB2312"/>
          <w:color w:val="auto"/>
          <w:kern w:val="2"/>
          <w:sz w:val="32"/>
          <w:szCs w:val="32"/>
          <w:highlight w:val="none"/>
          <w:lang w:val="en-US" w:eastAsia="zh-CN" w:bidi="ar-SA"/>
        </w:rPr>
      </w:pPr>
    </w:p>
    <w:p w14:paraId="3BB19C87">
      <w:pPr>
        <w:pStyle w:val="9"/>
        <w:rPr>
          <w:rFonts w:hint="eastAsia" w:ascii="Times New Roman" w:hAnsi="Times New Roman" w:eastAsia="仿宋_GB2312" w:cs="仿宋_GB2312"/>
          <w:color w:val="auto"/>
          <w:kern w:val="2"/>
          <w:sz w:val="32"/>
          <w:szCs w:val="32"/>
          <w:highlight w:val="none"/>
          <w:lang w:val="en-US" w:eastAsia="zh-CN" w:bidi="ar-SA"/>
        </w:rPr>
      </w:pPr>
    </w:p>
    <w:p w14:paraId="3C5966BB">
      <w:pPr>
        <w:pStyle w:val="9"/>
        <w:rPr>
          <w:rFonts w:hint="eastAsia" w:ascii="Times New Roman" w:hAnsi="Times New Roman" w:eastAsia="仿宋_GB2312" w:cs="仿宋_GB2312"/>
          <w:color w:val="auto"/>
          <w:kern w:val="2"/>
          <w:sz w:val="32"/>
          <w:szCs w:val="32"/>
          <w:highlight w:val="none"/>
          <w:lang w:val="en-US" w:eastAsia="zh-CN" w:bidi="ar-SA"/>
        </w:rPr>
      </w:pPr>
    </w:p>
    <w:p w14:paraId="14573093">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59" w:name="_Toc19091"/>
      <w:bookmarkStart w:id="60" w:name="_Toc15377225"/>
      <w:bookmarkStart w:id="6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14:paraId="4351D34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5AE7E6F4">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6E9B8BD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3571415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09882611">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239549C1">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778FA03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630EF95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68ED06A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社会保障和就业支出（208）人力资源和社会保障管理事务（01）事业运行（50）:反映事业单位的基本支出,不包括行政单位(包括实行公务员管理的事业单位)后勤服务中心、医务室等附属事业单位。</w:t>
      </w:r>
    </w:p>
    <w:p w14:paraId="2DEC932E">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社会保障和就业支出（208）行政事业单位养老支出（05）机关事业单位基本养老保险缴费支出（05）:反映机关事业单位实施养老保险制度由单位缴纳的基本养老保险费支出。</w:t>
      </w:r>
    </w:p>
    <w:p w14:paraId="347E2644">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社会保障和就业支出（208）行政事业单位养老支出（05）机关事业单位职业年金缴费支出（06）:反映机关事业单位实施养老保险制度由单位实际缴纳的职业年金支出。</w:t>
      </w:r>
    </w:p>
    <w:p w14:paraId="5C206974">
      <w:pPr>
        <w:numPr>
          <w:ilvl w:val="0"/>
          <w:numId w:val="2"/>
        </w:numPr>
        <w:spacing w:line="600" w:lineRule="exact"/>
        <w:ind w:left="0" w:leftChars="0" w:firstLine="400" w:firstLineChars="0"/>
        <w:rPr>
          <w:rFonts w:hint="eastAsia" w:ascii="Times New Roman" w:hAnsi="Times New Roman" w:cs="Times New Roman"/>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卫生健康支出（210）行政事业单位医疗（11）事业单位医疗（02）:反映财政部门安排的事业单位基本医疗保险缴费经费，未参加医疗保险的事业单位的公费医疗经费，按国家规定享受离休人员待遇的医疗经费。</w:t>
      </w:r>
    </w:p>
    <w:p w14:paraId="073792F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住房保障支出（221）住房改革支出（02）住房公积金（01）:反映行政事业单位按人力资源和社会保障部、财政部规定的基本工资和津贴补贴以及规定比例为职工缴纳的住房公积金。</w:t>
      </w:r>
    </w:p>
    <w:p w14:paraId="0194873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3223074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1FDFA2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5A5CD44E">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51A429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25DCDB">
      <w:pPr>
        <w:spacing w:line="600" w:lineRule="exact"/>
        <w:jc w:val="center"/>
        <w:outlineLvl w:val="0"/>
        <w:rPr>
          <w:rFonts w:hint="eastAsia" w:ascii="Times New Roman" w:hAnsi="Times New Roman" w:eastAsia="黑体" w:cs="黑体"/>
          <w:color w:val="FF0000"/>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br w:type="page"/>
      </w:r>
      <w:bookmarkStart w:id="63" w:name="_Toc15396614"/>
      <w:bookmarkStart w:id="64" w:name="_Toc6590"/>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bookmarkEnd w:id="64"/>
    </w:p>
    <w:p w14:paraId="4FD69E6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8979F7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460F06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我单位不涉及</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12ABF7DC">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bookmarkStart w:id="65" w:name="_Hlk110546638"/>
    </w:p>
    <w:bookmarkEnd w:id="65"/>
    <w:p w14:paraId="5D392FD5">
      <w:pPr>
        <w:pStyle w:val="9"/>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Times New Roman" w:hAnsi="Times New Roman" w:eastAsia="仿宋_GB2312" w:cs="Times New Roman"/>
          <w:kern w:val="2"/>
          <w:sz w:val="32"/>
          <w:szCs w:val="32"/>
          <w:highlight w:val="none"/>
          <w:u w:val="none"/>
          <w:lang w:val="zh-CN" w:eastAsia="zh-CN" w:bidi="ar"/>
        </w:rPr>
      </w:pPr>
      <w:r>
        <w:rPr>
          <w:rFonts w:hint="eastAsia" w:ascii="Times New Roman" w:hAnsi="Times New Roman" w:eastAsia="仿宋_GB2312" w:cs="Times New Roman"/>
          <w:kern w:val="2"/>
          <w:sz w:val="32"/>
          <w:szCs w:val="32"/>
          <w:highlight w:val="none"/>
          <w:u w:val="none"/>
          <w:lang w:val="zh-CN" w:eastAsia="zh-CN" w:bidi="ar"/>
        </w:rPr>
        <w:t>附表：</w:t>
      </w:r>
      <w:r>
        <w:rPr>
          <w:rFonts w:hint="eastAsia" w:ascii="Times New Roman" w:hAnsi="Times New Roman" w:eastAsia="仿宋_GB2312" w:cs="Times New Roman"/>
          <w:kern w:val="2"/>
          <w:sz w:val="32"/>
          <w:szCs w:val="32"/>
          <w:highlight w:val="none"/>
          <w:u w:val="none"/>
          <w:lang w:val="en-US" w:eastAsia="zh-CN" w:bidi="ar"/>
        </w:rPr>
        <w:t>部门预算项目支出绩效自评表（</w:t>
      </w:r>
      <w:r>
        <w:rPr>
          <w:rFonts w:hint="eastAsia" w:ascii="Times New Roman" w:eastAsia="仿宋_GB2312" w:cs="Times New Roman"/>
          <w:kern w:val="2"/>
          <w:sz w:val="32"/>
          <w:szCs w:val="32"/>
          <w:highlight w:val="none"/>
          <w:u w:val="none"/>
          <w:lang w:val="en-US" w:eastAsia="zh-CN" w:bidi="ar"/>
        </w:rPr>
        <w:t>2025</w:t>
      </w:r>
      <w:r>
        <w:rPr>
          <w:rFonts w:hint="eastAsia" w:ascii="Times New Roman" w:hAnsi="Times New Roman" w:eastAsia="仿宋_GB2312" w:cs="Times New Roman"/>
          <w:kern w:val="2"/>
          <w:sz w:val="32"/>
          <w:szCs w:val="32"/>
          <w:highlight w:val="none"/>
          <w:u w:val="none"/>
          <w:lang w:val="en-US" w:eastAsia="zh-CN" w:bidi="ar"/>
        </w:rPr>
        <w:t>年度）</w:t>
      </w:r>
    </w:p>
    <w:p w14:paraId="388ED93E">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none"/>
          <w:lang w:val="zh-CN" w:eastAsia="zh-CN"/>
        </w:rPr>
        <w:sectPr>
          <w:pgSz w:w="16838" w:h="11906" w:orient="landscape"/>
          <w:pgMar w:top="1800" w:right="1440" w:bottom="1800" w:left="1440" w:header="851" w:footer="992" w:gutter="0"/>
          <w:pgNumType w:fmt="decimal"/>
          <w:cols w:space="425" w:num="1"/>
          <w:titlePg/>
          <w:docGrid w:type="lines" w:linePitch="312" w:charSpace="0"/>
        </w:sectPr>
      </w:pPr>
    </w:p>
    <w:p w14:paraId="72F6FFC3">
      <w:pPr>
        <w:pStyle w:val="2"/>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11EC3B7">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C163041">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我单位不涉及专项预算项目绩效评价报告</w:t>
      </w:r>
    </w:p>
    <w:p w14:paraId="4D024B4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D1411D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26C28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44B5A96">
      <w:pPr>
        <w:widowControl/>
        <w:jc w:val="center"/>
        <w:outlineLvl w:val="0"/>
        <w:rPr>
          <w:rFonts w:hint="eastAsia" w:ascii="Times New Roman" w:hAnsi="Times New Roman" w:eastAsia="仿宋_GB2312" w:cs="仿宋_GB2312"/>
          <w:color w:val="auto"/>
          <w:sz w:val="32"/>
          <w:szCs w:val="32"/>
          <w:highlight w:val="none"/>
        </w:rPr>
      </w:pPr>
      <w:bookmarkStart w:id="67" w:name="_Toc1832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 xml:space="preserve">五部分 </w:t>
      </w:r>
      <w:r>
        <w:rPr>
          <w:rStyle w:val="30"/>
          <w:rFonts w:hint="eastAsia" w:eastAsia="黑体"/>
          <w:b w:val="0"/>
          <w:color w:val="auto"/>
          <w:highlight w:val="none"/>
          <w:lang w:val="en-US" w:eastAsia="zh-CN"/>
        </w:rPr>
        <w:t xml:space="preserve"> </w:t>
      </w:r>
      <w:r>
        <w:rPr>
          <w:rStyle w:val="30"/>
          <w:rFonts w:hint="eastAsia" w:ascii="Times New Roman" w:hAnsi="Times New Roman" w:eastAsia="黑体"/>
          <w:b w:val="0"/>
          <w:color w:val="auto"/>
          <w:highlight w:val="none"/>
        </w:rPr>
        <w:t>附表</w:t>
      </w:r>
      <w:bookmarkEnd w:id="62"/>
      <w:bookmarkEnd w:id="66"/>
      <w:bookmarkEnd w:id="67"/>
      <w:bookmarkStart w:id="68" w:name="_Toc15396619"/>
    </w:p>
    <w:p w14:paraId="5B76F92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9" w:name="_Toc3436"/>
      <w:r>
        <w:rPr>
          <w:rFonts w:hint="eastAsia" w:ascii="Times New Roman" w:hAnsi="Times New Roman" w:eastAsia="仿宋_GB2312" w:cs="仿宋_GB2312"/>
          <w:color w:val="auto"/>
          <w:sz w:val="32"/>
          <w:szCs w:val="32"/>
          <w:highlight w:val="none"/>
        </w:rPr>
        <w:t>一、收入支出决算总表</w:t>
      </w:r>
      <w:bookmarkEnd w:id="68"/>
      <w:bookmarkEnd w:id="69"/>
    </w:p>
    <w:p w14:paraId="585E52D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0" w:name="_Toc15396620"/>
      <w:bookmarkStart w:id="71" w:name="_Toc10614"/>
      <w:r>
        <w:rPr>
          <w:rFonts w:hint="eastAsia" w:ascii="Times New Roman" w:hAnsi="Times New Roman" w:eastAsia="仿宋_GB2312" w:cs="仿宋_GB2312"/>
          <w:color w:val="auto"/>
          <w:sz w:val="32"/>
          <w:szCs w:val="32"/>
          <w:highlight w:val="none"/>
        </w:rPr>
        <w:t>二、收入决算表</w:t>
      </w:r>
      <w:bookmarkEnd w:id="70"/>
      <w:bookmarkEnd w:id="71"/>
    </w:p>
    <w:p w14:paraId="61C5EB4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2" w:name="_Toc14774"/>
      <w:bookmarkStart w:id="73" w:name="_Toc15396621"/>
      <w:r>
        <w:rPr>
          <w:rFonts w:hint="eastAsia" w:ascii="Times New Roman" w:hAnsi="Times New Roman" w:eastAsia="仿宋_GB2312" w:cs="仿宋_GB2312"/>
          <w:color w:val="auto"/>
          <w:sz w:val="32"/>
          <w:szCs w:val="32"/>
          <w:highlight w:val="none"/>
        </w:rPr>
        <w:t>三、支出决算表</w:t>
      </w:r>
      <w:bookmarkEnd w:id="72"/>
      <w:bookmarkEnd w:id="73"/>
    </w:p>
    <w:p w14:paraId="2B40FB6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4" w:name="_Toc15396622"/>
      <w:bookmarkStart w:id="75" w:name="_Toc5392"/>
      <w:r>
        <w:rPr>
          <w:rFonts w:hint="eastAsia" w:ascii="Times New Roman" w:hAnsi="Times New Roman" w:eastAsia="仿宋_GB2312" w:cs="仿宋_GB2312"/>
          <w:color w:val="auto"/>
          <w:sz w:val="32"/>
          <w:szCs w:val="32"/>
          <w:highlight w:val="none"/>
        </w:rPr>
        <w:t>四、财政拨款收入支出决算总表</w:t>
      </w:r>
      <w:bookmarkEnd w:id="74"/>
      <w:bookmarkEnd w:id="75"/>
    </w:p>
    <w:p w14:paraId="0221BCA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6" w:name="_Toc29475"/>
      <w:bookmarkStart w:id="77" w:name="_Toc15396623"/>
      <w:r>
        <w:rPr>
          <w:rFonts w:hint="eastAsia" w:ascii="Times New Roman" w:hAnsi="Times New Roman" w:eastAsia="仿宋_GB2312" w:cs="仿宋_GB2312"/>
          <w:color w:val="auto"/>
          <w:sz w:val="32"/>
          <w:szCs w:val="32"/>
          <w:highlight w:val="none"/>
        </w:rPr>
        <w:t>五、财政拨款支出决算明细表</w:t>
      </w:r>
      <w:bookmarkEnd w:id="76"/>
      <w:bookmarkEnd w:id="77"/>
      <w:bookmarkStart w:id="78" w:name="_Toc15396624"/>
    </w:p>
    <w:p w14:paraId="53FD6F5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9" w:name="_Toc2870"/>
      <w:r>
        <w:rPr>
          <w:rFonts w:hint="eastAsia" w:ascii="Times New Roman" w:hAnsi="Times New Roman" w:eastAsia="仿宋_GB2312" w:cs="仿宋_GB2312"/>
          <w:color w:val="auto"/>
          <w:sz w:val="32"/>
          <w:szCs w:val="32"/>
          <w:highlight w:val="none"/>
        </w:rPr>
        <w:t>六、一般公共预算财政拨款支出决算表</w:t>
      </w:r>
      <w:bookmarkEnd w:id="78"/>
      <w:bookmarkEnd w:id="79"/>
    </w:p>
    <w:p w14:paraId="2B8EE2E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25605"/>
      <w:bookmarkStart w:id="81" w:name="_Toc15396625"/>
      <w:r>
        <w:rPr>
          <w:rFonts w:hint="eastAsia" w:ascii="Times New Roman" w:hAnsi="Times New Roman" w:eastAsia="仿宋_GB2312" w:cs="仿宋_GB2312"/>
          <w:color w:val="auto"/>
          <w:sz w:val="32"/>
          <w:szCs w:val="32"/>
          <w:highlight w:val="none"/>
        </w:rPr>
        <w:t>七、一般公共预算财政拨款支出决算明细表</w:t>
      </w:r>
      <w:bookmarkEnd w:id="80"/>
      <w:bookmarkEnd w:id="81"/>
    </w:p>
    <w:p w14:paraId="7A3EDB4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2" w:name="_Toc15396626"/>
      <w:bookmarkStart w:id="83" w:name="_Toc3760"/>
      <w:r>
        <w:rPr>
          <w:rFonts w:hint="eastAsia" w:ascii="Times New Roman" w:hAnsi="Times New Roman" w:eastAsia="仿宋_GB2312" w:cs="仿宋_GB2312"/>
          <w:color w:val="auto"/>
          <w:sz w:val="32"/>
          <w:szCs w:val="32"/>
          <w:highlight w:val="none"/>
        </w:rPr>
        <w:t>八、一般公共预算财政拨款基本支出决算表</w:t>
      </w:r>
      <w:bookmarkEnd w:id="82"/>
      <w:bookmarkEnd w:id="83"/>
    </w:p>
    <w:p w14:paraId="71633B3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15396627"/>
      <w:bookmarkStart w:id="85" w:name="_Toc26330"/>
      <w:r>
        <w:rPr>
          <w:rFonts w:hint="eastAsia" w:ascii="Times New Roman" w:hAnsi="Times New Roman" w:eastAsia="仿宋_GB2312" w:cs="仿宋_GB2312"/>
          <w:color w:val="auto"/>
          <w:sz w:val="32"/>
          <w:szCs w:val="32"/>
          <w:highlight w:val="none"/>
        </w:rPr>
        <w:t>九、一般公共预算财政拨款项目支出决算表</w:t>
      </w:r>
      <w:bookmarkEnd w:id="84"/>
      <w:bookmarkEnd w:id="85"/>
    </w:p>
    <w:p w14:paraId="5C8191B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15396628"/>
      <w:bookmarkStart w:id="87" w:name="_Toc12171"/>
      <w:r>
        <w:rPr>
          <w:rFonts w:hint="eastAsia" w:ascii="Times New Roman" w:hAnsi="Times New Roman" w:eastAsia="仿宋_GB2312" w:cs="仿宋_GB2312"/>
          <w:color w:val="auto"/>
          <w:sz w:val="32"/>
          <w:szCs w:val="32"/>
          <w:highlight w:val="none"/>
        </w:rPr>
        <w:t>十、</w:t>
      </w:r>
      <w:bookmarkEnd w:id="86"/>
      <w:r>
        <w:rPr>
          <w:rFonts w:hint="eastAsia" w:ascii="Times New Roman" w:hAnsi="Times New Roman" w:eastAsia="仿宋_GB2312" w:cs="仿宋_GB2312"/>
          <w:color w:val="auto"/>
          <w:sz w:val="32"/>
          <w:szCs w:val="32"/>
          <w:highlight w:val="none"/>
        </w:rPr>
        <w:t>政府性基金预算财政拨款收入支出决算表</w:t>
      </w:r>
      <w:bookmarkEnd w:id="87"/>
    </w:p>
    <w:p w14:paraId="2554C6A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15396629"/>
      <w:bookmarkStart w:id="89" w:name="_Toc5335"/>
      <w:r>
        <w:rPr>
          <w:rFonts w:hint="eastAsia" w:ascii="Times New Roman" w:hAnsi="Times New Roman" w:eastAsia="仿宋_GB2312" w:cs="仿宋_GB2312"/>
          <w:color w:val="auto"/>
          <w:sz w:val="32"/>
          <w:szCs w:val="32"/>
          <w:highlight w:val="none"/>
        </w:rPr>
        <w:t>十一、</w:t>
      </w:r>
      <w:bookmarkEnd w:id="8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89"/>
    </w:p>
    <w:p w14:paraId="54F8AF3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15396630"/>
      <w:bookmarkStart w:id="91" w:name="_Toc19972"/>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bookmarkEnd w:id="91"/>
    </w:p>
    <w:p w14:paraId="4790827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2" w:name="_Toc15396631"/>
      <w:bookmarkStart w:id="93" w:name="_Toc12736"/>
      <w:r>
        <w:rPr>
          <w:rFonts w:hint="eastAsia" w:ascii="Times New Roman" w:hAnsi="Times New Roman" w:eastAsia="仿宋_GB2312" w:cs="仿宋_GB2312"/>
          <w:color w:val="auto"/>
          <w:sz w:val="32"/>
          <w:szCs w:val="32"/>
          <w:highlight w:val="none"/>
        </w:rPr>
        <w:t>十三、</w:t>
      </w:r>
      <w:bookmarkEnd w:id="92"/>
      <w:r>
        <w:rPr>
          <w:rFonts w:hint="eastAsia" w:ascii="Times New Roman" w:hAnsi="Times New Roman" w:eastAsia="仿宋_GB2312" w:cs="仿宋_GB2312"/>
          <w:color w:val="auto"/>
          <w:sz w:val="32"/>
          <w:szCs w:val="32"/>
          <w:highlight w:val="none"/>
          <w:lang w:eastAsia="zh-CN"/>
        </w:rPr>
        <w:t>财政拨款“三公”经费支出决算表</w:t>
      </w:r>
      <w:bookmarkEnd w:id="93"/>
    </w:p>
    <w:p w14:paraId="08966D4F">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A46492-38A4-4FEA-BEEB-BE108B5D2C3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1F44E5A7-4CDB-41ED-8D04-A810E8087CCA}"/>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embedRegular r:id="rId3" w:fontKey="{FBB04BFC-5741-4F55-81C6-5C30484D2797}"/>
  </w:font>
  <w:font w:name="Calibri Light">
    <w:panose1 w:val="020F03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4" w:fontKey="{B3DB5D25-D0BA-4EBF-92D0-6862A968660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76B9047B-5A4E-45E7-B46C-C7A28F1427F3}"/>
  </w:font>
  <w:font w:name="楷体_GB2312">
    <w:altName w:val="楷体"/>
    <w:panose1 w:val="02010609030101010101"/>
    <w:charset w:val="86"/>
    <w:family w:val="auto"/>
    <w:pitch w:val="default"/>
    <w:sig w:usb0="00000000" w:usb1="00000000" w:usb2="00000000" w:usb3="00000000" w:csb0="00040000" w:csb1="00000000"/>
    <w:embedRegular r:id="rId6" w:fontKey="{80332555-A74E-4E3A-8DEA-8F4BBECF056C}"/>
  </w:font>
  <w:font w:name="楷体">
    <w:panose1 w:val="02010609060101010101"/>
    <w:charset w:val="86"/>
    <w:family w:val="auto"/>
    <w:pitch w:val="default"/>
    <w:sig w:usb0="800002BF" w:usb1="38CF7CFA" w:usb2="00000016" w:usb3="00000000" w:csb0="00040001" w:csb1="00000000"/>
  </w:font>
  <w:font w:name="WPSEMBED4">
    <w:panose1 w:val="0201060001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2"/>
      <w:jc w:val="center"/>
    </w:pPr>
  </w:p>
  <w:p w14:paraId="3777894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2"/>
      <w:jc w:val="center"/>
    </w:pPr>
  </w:p>
  <w:p w14:paraId="031821C6">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403DA4"/>
    <w:multiLevelType w:val="singleLevel"/>
    <w:tmpl w:val="F0403DA4"/>
    <w:lvl w:ilvl="0" w:tentative="0">
      <w:start w:val="1"/>
      <w:numFmt w:val="decimal"/>
      <w:suff w:val="nothing"/>
      <w:lvlText w:val="%1．"/>
      <w:lvlJc w:val="left"/>
      <w:pPr>
        <w:ind w:left="0" w:firstLine="400"/>
      </w:pPr>
      <w:rPr>
        <w:rFonts w:hint="default"/>
        <w:sz w:val="32"/>
        <w:szCs w:val="32"/>
      </w:rPr>
    </w:lvl>
  </w:abstractNum>
  <w:abstractNum w:abstractNumId="1">
    <w:nsid w:val="1E66A714"/>
    <w:multiLevelType w:val="singleLevel"/>
    <w:tmpl w:val="1E66A714"/>
    <w:lvl w:ilvl="0" w:tentative="0">
      <w:start w:val="1"/>
      <w:numFmt w:val="decimal"/>
      <w:suff w:val="nothing"/>
      <w:lvlText w:val="%1．"/>
      <w:lvlJc w:val="left"/>
      <w:pPr>
        <w:ind w:left="0" w:firstLine="400"/>
      </w:pPr>
      <w:rPr>
        <w:rFonts w:hint="default"/>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9C7664"/>
    <w:rsid w:val="02FEBE30"/>
    <w:rsid w:val="03030BB2"/>
    <w:rsid w:val="040F43A0"/>
    <w:rsid w:val="04916F1E"/>
    <w:rsid w:val="04DB26FC"/>
    <w:rsid w:val="057228FE"/>
    <w:rsid w:val="057777B9"/>
    <w:rsid w:val="061E35DE"/>
    <w:rsid w:val="0630329A"/>
    <w:rsid w:val="06523F87"/>
    <w:rsid w:val="066E0107"/>
    <w:rsid w:val="07375BAD"/>
    <w:rsid w:val="07996F6E"/>
    <w:rsid w:val="07DFD8BA"/>
    <w:rsid w:val="0841638B"/>
    <w:rsid w:val="08713341"/>
    <w:rsid w:val="09257549"/>
    <w:rsid w:val="09867E8F"/>
    <w:rsid w:val="0A2032A3"/>
    <w:rsid w:val="0A670558"/>
    <w:rsid w:val="0BA457DB"/>
    <w:rsid w:val="0C7D16A3"/>
    <w:rsid w:val="0CA8290A"/>
    <w:rsid w:val="0CBB28B8"/>
    <w:rsid w:val="0D35B1ED"/>
    <w:rsid w:val="0DF54607"/>
    <w:rsid w:val="0E063231"/>
    <w:rsid w:val="0E254B6B"/>
    <w:rsid w:val="0F98263C"/>
    <w:rsid w:val="101860EC"/>
    <w:rsid w:val="101F47CC"/>
    <w:rsid w:val="10C055FF"/>
    <w:rsid w:val="11694EBD"/>
    <w:rsid w:val="11772AA4"/>
    <w:rsid w:val="118107EC"/>
    <w:rsid w:val="125C0BBE"/>
    <w:rsid w:val="12E24EE2"/>
    <w:rsid w:val="13390EFF"/>
    <w:rsid w:val="13D50BC4"/>
    <w:rsid w:val="14B17F78"/>
    <w:rsid w:val="15397A06"/>
    <w:rsid w:val="165E0673"/>
    <w:rsid w:val="16AB2E5D"/>
    <w:rsid w:val="16B831D5"/>
    <w:rsid w:val="16BB723D"/>
    <w:rsid w:val="175400B6"/>
    <w:rsid w:val="175B488E"/>
    <w:rsid w:val="17E50567"/>
    <w:rsid w:val="186504BB"/>
    <w:rsid w:val="188744BB"/>
    <w:rsid w:val="19A445FC"/>
    <w:rsid w:val="1BE8440E"/>
    <w:rsid w:val="1CBF06C7"/>
    <w:rsid w:val="1CC6347C"/>
    <w:rsid w:val="1D155CEE"/>
    <w:rsid w:val="1D1638FE"/>
    <w:rsid w:val="1D9F5DE8"/>
    <w:rsid w:val="1DEA3522"/>
    <w:rsid w:val="1E312DEB"/>
    <w:rsid w:val="1E740ACF"/>
    <w:rsid w:val="1F413615"/>
    <w:rsid w:val="1FF35744"/>
    <w:rsid w:val="1FF6BC77"/>
    <w:rsid w:val="208642F4"/>
    <w:rsid w:val="2186353C"/>
    <w:rsid w:val="21DE16AF"/>
    <w:rsid w:val="22791318"/>
    <w:rsid w:val="23540202"/>
    <w:rsid w:val="23860B96"/>
    <w:rsid w:val="240371BF"/>
    <w:rsid w:val="241E5CD3"/>
    <w:rsid w:val="244F3473"/>
    <w:rsid w:val="24C97D99"/>
    <w:rsid w:val="250E6DEB"/>
    <w:rsid w:val="25A718F0"/>
    <w:rsid w:val="25BB59F6"/>
    <w:rsid w:val="260F557C"/>
    <w:rsid w:val="261E020C"/>
    <w:rsid w:val="26970054"/>
    <w:rsid w:val="27316648"/>
    <w:rsid w:val="277F117F"/>
    <w:rsid w:val="27FA446F"/>
    <w:rsid w:val="281408E2"/>
    <w:rsid w:val="28940BCB"/>
    <w:rsid w:val="29656152"/>
    <w:rsid w:val="29FD04D3"/>
    <w:rsid w:val="2ABD43F8"/>
    <w:rsid w:val="2BFF7BC6"/>
    <w:rsid w:val="2C715B69"/>
    <w:rsid w:val="2C8A61B5"/>
    <w:rsid w:val="2D305A3B"/>
    <w:rsid w:val="2DA41CE1"/>
    <w:rsid w:val="2DC27430"/>
    <w:rsid w:val="2DF04E50"/>
    <w:rsid w:val="2E184C68"/>
    <w:rsid w:val="2E586DFA"/>
    <w:rsid w:val="2F040D46"/>
    <w:rsid w:val="2F320885"/>
    <w:rsid w:val="2F5F53F2"/>
    <w:rsid w:val="2F6B035B"/>
    <w:rsid w:val="2FAD43AF"/>
    <w:rsid w:val="2FAE5751"/>
    <w:rsid w:val="2FB1A395"/>
    <w:rsid w:val="2FD9A7D8"/>
    <w:rsid w:val="2FDBF714"/>
    <w:rsid w:val="30AB6865"/>
    <w:rsid w:val="311C359A"/>
    <w:rsid w:val="315C7E3B"/>
    <w:rsid w:val="316B62D0"/>
    <w:rsid w:val="319F7F4E"/>
    <w:rsid w:val="31AB4AC2"/>
    <w:rsid w:val="32BD1EF1"/>
    <w:rsid w:val="3304709D"/>
    <w:rsid w:val="33A773CB"/>
    <w:rsid w:val="33F05B15"/>
    <w:rsid w:val="34665331"/>
    <w:rsid w:val="349D6851"/>
    <w:rsid w:val="3521172E"/>
    <w:rsid w:val="35D755E7"/>
    <w:rsid w:val="36637A9D"/>
    <w:rsid w:val="368F0CB2"/>
    <w:rsid w:val="36AA5135"/>
    <w:rsid w:val="36BE0DA7"/>
    <w:rsid w:val="36DD2F4E"/>
    <w:rsid w:val="376B6AA6"/>
    <w:rsid w:val="376D39B2"/>
    <w:rsid w:val="37C678CF"/>
    <w:rsid w:val="37E16F03"/>
    <w:rsid w:val="37F53A3B"/>
    <w:rsid w:val="389B6C89"/>
    <w:rsid w:val="38D469F0"/>
    <w:rsid w:val="3913458B"/>
    <w:rsid w:val="393A4D47"/>
    <w:rsid w:val="39627CCD"/>
    <w:rsid w:val="397BAF1F"/>
    <w:rsid w:val="39C80763"/>
    <w:rsid w:val="3AB79AF3"/>
    <w:rsid w:val="3AD81A2B"/>
    <w:rsid w:val="3AE834C0"/>
    <w:rsid w:val="3AFB2473"/>
    <w:rsid w:val="3B7EF35A"/>
    <w:rsid w:val="3B9FDB6C"/>
    <w:rsid w:val="3BF5BC2F"/>
    <w:rsid w:val="3CAB7EC8"/>
    <w:rsid w:val="3CEBA265"/>
    <w:rsid w:val="3D98207C"/>
    <w:rsid w:val="3D982857"/>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4E268DA"/>
    <w:rsid w:val="450D13D7"/>
    <w:rsid w:val="454C31E3"/>
    <w:rsid w:val="45506656"/>
    <w:rsid w:val="45B7168C"/>
    <w:rsid w:val="463902F3"/>
    <w:rsid w:val="48131E90"/>
    <w:rsid w:val="48313923"/>
    <w:rsid w:val="483C5908"/>
    <w:rsid w:val="486A6C7A"/>
    <w:rsid w:val="4A627F82"/>
    <w:rsid w:val="4B0E749A"/>
    <w:rsid w:val="4B2477C4"/>
    <w:rsid w:val="4B4F25DA"/>
    <w:rsid w:val="4BE068DB"/>
    <w:rsid w:val="4D510618"/>
    <w:rsid w:val="4D577224"/>
    <w:rsid w:val="4DBA7040"/>
    <w:rsid w:val="4DBF1CEB"/>
    <w:rsid w:val="4DF0007C"/>
    <w:rsid w:val="4EAB630A"/>
    <w:rsid w:val="4ECE2238"/>
    <w:rsid w:val="4F477F24"/>
    <w:rsid w:val="4F833267"/>
    <w:rsid w:val="4FB862CC"/>
    <w:rsid w:val="4FE9BD67"/>
    <w:rsid w:val="4FFB052F"/>
    <w:rsid w:val="503D2C99"/>
    <w:rsid w:val="52D47D21"/>
    <w:rsid w:val="533B7DA0"/>
    <w:rsid w:val="537E6D0A"/>
    <w:rsid w:val="53A828E9"/>
    <w:rsid w:val="53F74C96"/>
    <w:rsid w:val="53FD0BB2"/>
    <w:rsid w:val="55170BA8"/>
    <w:rsid w:val="553218C9"/>
    <w:rsid w:val="55772500"/>
    <w:rsid w:val="55CB540B"/>
    <w:rsid w:val="567E1AA5"/>
    <w:rsid w:val="56E47B74"/>
    <w:rsid w:val="57175D52"/>
    <w:rsid w:val="57906374"/>
    <w:rsid w:val="57A7338F"/>
    <w:rsid w:val="57BD3DD4"/>
    <w:rsid w:val="584E2B8F"/>
    <w:rsid w:val="5A0D6898"/>
    <w:rsid w:val="5A3B68D8"/>
    <w:rsid w:val="5A9F6E67"/>
    <w:rsid w:val="5AF92295"/>
    <w:rsid w:val="5B250254"/>
    <w:rsid w:val="5BDD79E6"/>
    <w:rsid w:val="5BF561CA"/>
    <w:rsid w:val="5BFF5DFC"/>
    <w:rsid w:val="5C7779C1"/>
    <w:rsid w:val="5C8D7611"/>
    <w:rsid w:val="5CD71FC4"/>
    <w:rsid w:val="5D1F11B5"/>
    <w:rsid w:val="5D695134"/>
    <w:rsid w:val="5D8272F5"/>
    <w:rsid w:val="5DAE1B18"/>
    <w:rsid w:val="5DE7D9E5"/>
    <w:rsid w:val="5ECEC941"/>
    <w:rsid w:val="5FBF9FF3"/>
    <w:rsid w:val="5FCD4E2C"/>
    <w:rsid w:val="5FEF394A"/>
    <w:rsid w:val="5FF67715"/>
    <w:rsid w:val="5FFB68ED"/>
    <w:rsid w:val="60BB7E2A"/>
    <w:rsid w:val="612E2892"/>
    <w:rsid w:val="62A56FE4"/>
    <w:rsid w:val="62BF3928"/>
    <w:rsid w:val="632C3261"/>
    <w:rsid w:val="63B3701E"/>
    <w:rsid w:val="647F5392"/>
    <w:rsid w:val="651951E5"/>
    <w:rsid w:val="65E66580"/>
    <w:rsid w:val="664B1D71"/>
    <w:rsid w:val="664B4E8E"/>
    <w:rsid w:val="66547382"/>
    <w:rsid w:val="66B477F6"/>
    <w:rsid w:val="66D206EE"/>
    <w:rsid w:val="67277B67"/>
    <w:rsid w:val="674A63AC"/>
    <w:rsid w:val="675F3C06"/>
    <w:rsid w:val="678E7ECB"/>
    <w:rsid w:val="67AA3209"/>
    <w:rsid w:val="698D0931"/>
    <w:rsid w:val="6A6F3CED"/>
    <w:rsid w:val="6A7FE5F3"/>
    <w:rsid w:val="6AD541DF"/>
    <w:rsid w:val="6B053271"/>
    <w:rsid w:val="6B555ED8"/>
    <w:rsid w:val="6BDD78B3"/>
    <w:rsid w:val="6C4A05C8"/>
    <w:rsid w:val="6C8742B8"/>
    <w:rsid w:val="6D013069"/>
    <w:rsid w:val="6DBF5E93"/>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343D24"/>
    <w:rsid w:val="744731E5"/>
    <w:rsid w:val="74BBD01D"/>
    <w:rsid w:val="74ED5379"/>
    <w:rsid w:val="75DEEEC2"/>
    <w:rsid w:val="75E32345"/>
    <w:rsid w:val="76E3355F"/>
    <w:rsid w:val="76FF5125"/>
    <w:rsid w:val="776F6FFA"/>
    <w:rsid w:val="778769C8"/>
    <w:rsid w:val="77A75DCA"/>
    <w:rsid w:val="77DC22F5"/>
    <w:rsid w:val="783E271A"/>
    <w:rsid w:val="78616DE9"/>
    <w:rsid w:val="78C95383"/>
    <w:rsid w:val="78E35DB2"/>
    <w:rsid w:val="78E875D7"/>
    <w:rsid w:val="79086DAD"/>
    <w:rsid w:val="79D7FD79"/>
    <w:rsid w:val="79EE5BA4"/>
    <w:rsid w:val="7A0174D5"/>
    <w:rsid w:val="7A100812"/>
    <w:rsid w:val="7A5779CE"/>
    <w:rsid w:val="7A894339"/>
    <w:rsid w:val="7AD284E8"/>
    <w:rsid w:val="7AFF7572"/>
    <w:rsid w:val="7B264BB7"/>
    <w:rsid w:val="7B6C7DFB"/>
    <w:rsid w:val="7B8C6B3B"/>
    <w:rsid w:val="7BBFBED0"/>
    <w:rsid w:val="7BC3E394"/>
    <w:rsid w:val="7C1F3737"/>
    <w:rsid w:val="7C300245"/>
    <w:rsid w:val="7CBFC87B"/>
    <w:rsid w:val="7CE8640F"/>
    <w:rsid w:val="7CFE0F48"/>
    <w:rsid w:val="7D272ABC"/>
    <w:rsid w:val="7D7EC23E"/>
    <w:rsid w:val="7DE70964"/>
    <w:rsid w:val="7DF84014"/>
    <w:rsid w:val="7E8ADEBF"/>
    <w:rsid w:val="7EEF11D3"/>
    <w:rsid w:val="7EFE4840"/>
    <w:rsid w:val="7F0971A6"/>
    <w:rsid w:val="7F1B454B"/>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7"/>
    <w:qFormat/>
    <w:uiPriority w:val="99"/>
    <w:pPr>
      <w:spacing w:beforeLines="30"/>
    </w:pPr>
    <w:rPr>
      <w:rFonts w:ascii="仿宋_GB2312" w:eastAsia="仿宋_GB2312"/>
      <w:kern w:val="0"/>
      <w:sz w:val="30"/>
    </w:rPr>
  </w:style>
  <w:style w:type="paragraph" w:styleId="3">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7">
    <w:name w:val="Normal Indent"/>
    <w:basedOn w:val="1"/>
    <w:unhideWhenUsed/>
    <w:qFormat/>
    <w:uiPriority w:val="99"/>
    <w:pPr>
      <w:ind w:firstLine="680"/>
    </w:p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1077.84</c:v>
                </c:pt>
                <c:pt idx="1">
                  <c:v>1285.41</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1dcebafc-ba78-4c43-bffe-1d5cdf17d59e}"/>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1285.41</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1285.41</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1077.84</c:v>
                </c:pt>
                <c:pt idx="1">
                  <c:v>1285.41</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1077.84</c:v>
                </c:pt>
                <c:pt idx="1">
                  <c:v>1285.41</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1116.6</c:v>
                </c:pt>
                <c:pt idx="1">
                  <c:v>69.91</c:v>
                </c:pt>
                <c:pt idx="2">
                  <c:v>98.9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6a54d-594c-40f2-b5cf-af3b2d5997e8}"/>
      </c:ext>
    </c:extLst>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0.66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925bff-242a-4b51-a2bb-806cb12a3a27}"/>
      </c:ext>
    </c:extLst>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3625</Words>
  <Characters>3761</Characters>
  <Lines>61</Lines>
  <Paragraphs>17</Paragraphs>
  <TotalTime>2</TotalTime>
  <ScaleCrop>false</ScaleCrop>
  <LinksUpToDate>false</LinksUpToDate>
  <CharactersWithSpaces>3814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可乐</cp:lastModifiedBy>
  <cp:lastPrinted>2025-08-06T17:34:00Z</cp:lastPrinted>
  <dcterms:modified xsi:type="dcterms:W3CDTF">2026-09-18T01:53:30Z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A4D15CAE532B4B8887D874E24791490A_13</vt:lpwstr>
  </property>
  <property fmtid="{D5CDD505-2E9C-101B-9397-08002B2CF9AE}" pid="4" name="KSOTemplateDocerSaveRecord">
    <vt:lpwstr>eyJoZGlkIjoiYjJkODM4YjcwMGJmMjc1YzIzMmE2MmFiMTNhZTc2OTMiLCJ1c2VySWQiOiI2MjQ3NzI2NDgifQ==</vt:lpwstr>
  </property>
</Properties>
</file>