
<file path=[Content_Types].xml><?xml version="1.0" encoding="utf-8"?>
<Types xmlns="http://schemas.openxmlformats.org/package/2006/content-types">
  <Default Extension="xlsx" ContentType="application/vnd.openxmlformats-officedocument.spreadsheetml.shee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9"/>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96597"/>
      <w:bookmarkStart w:id="2" w:name="_Toc15378441"/>
      <w:bookmarkStart w:id="3" w:name="_Toc15377425"/>
      <w:bookmarkStart w:id="4" w:name="_Toc15377193"/>
      <w:bookmarkStart w:id="5" w:name="_Toc15306267"/>
    </w:p>
    <w:p w14:paraId="2B81399B">
      <w:pPr>
        <w:pStyle w:val="9"/>
        <w:rPr>
          <w:rFonts w:hint="eastAsia" w:ascii="Times New Roman" w:hAnsi="Times New Roman" w:eastAsia="方正小标宋简体" w:cs="Times New Roman"/>
          <w:color w:val="auto"/>
          <w:kern w:val="2"/>
          <w:sz w:val="72"/>
          <w:szCs w:val="72"/>
          <w:highlight w:val="none"/>
          <w:lang w:val="en-US" w:eastAsia="zh-CN" w:bidi="ar-SA"/>
        </w:rPr>
      </w:pPr>
    </w:p>
    <w:p w14:paraId="017D3EFE">
      <w:pPr>
        <w:pStyle w:val="9"/>
        <w:rPr>
          <w:rFonts w:hint="eastAsia" w:ascii="Times New Roman" w:hAnsi="Times New Roman" w:eastAsia="方正小标宋简体" w:cs="Times New Roman"/>
          <w:color w:val="auto"/>
          <w:kern w:val="2"/>
          <w:sz w:val="72"/>
          <w:szCs w:val="72"/>
          <w:highlight w:val="none"/>
          <w:lang w:val="en-US" w:eastAsia="zh-CN" w:bidi="ar-SA"/>
        </w:rPr>
      </w:pPr>
    </w:p>
    <w:p w14:paraId="3E179DAE">
      <w:pPr>
        <w:pStyle w:val="9"/>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Times New Roman" w:eastAsia="方正小标宋简体" w:cs="Times New Roman"/>
          <w:color w:val="auto"/>
          <w:kern w:val="2"/>
          <w:sz w:val="44"/>
          <w:szCs w:val="44"/>
          <w:highlight w:val="none"/>
          <w:lang w:val="en-US" w:eastAsia="zh-CN" w:bidi="ar-SA"/>
        </w:rPr>
        <w:t>阿坝藏族羌族自治州人力资源和社会保障局</w:t>
      </w:r>
      <w:r>
        <w:rPr>
          <w:rFonts w:hint="eastAsia" w:ascii="Times New Roman" w:hAnsi="Times New Roman" w:eastAsia="方正小标宋简体" w:cs="Times New Roman"/>
          <w:color w:val="auto"/>
          <w:kern w:val="2"/>
          <w:sz w:val="44"/>
          <w:szCs w:val="44"/>
          <w:highlight w:val="none"/>
          <w:lang w:val="en-US" w:eastAsia="zh-CN" w:bidi="ar-SA"/>
        </w:rPr>
        <w:t>部门决算公开</w:t>
      </w:r>
    </w:p>
    <w:p w14:paraId="4C9B97CC">
      <w:pPr>
        <w:spacing w:line="600" w:lineRule="exact"/>
        <w:jc w:val="center"/>
        <w:outlineLvl w:val="0"/>
        <w:rPr>
          <w:rFonts w:ascii="Times New Roman" w:hAnsi="Times New Roman" w:eastAsia="方正小标宋简体"/>
          <w:color w:val="auto"/>
          <w:sz w:val="72"/>
          <w:szCs w:val="72"/>
          <w:highlight w:val="none"/>
        </w:rPr>
      </w:pPr>
    </w:p>
    <w:p w14:paraId="2201A393">
      <w:pPr>
        <w:pStyle w:val="21"/>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2E99E7A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7E8FCCD0">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8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26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pacing w:before="0" w:beforeLines="0" w:after="0" w:afterLines="0" w:line="240" w:lineRule="auto"/>
            <w:ind w:left="0" w:leftChars="0" w:right="0" w:rightChars="0" w:firstLine="0" w:firstLineChars="0"/>
            <w:jc w:val="both"/>
            <w:rPr>
              <w:highlight w:val="none"/>
            </w:rPr>
          </w:pPr>
        </w:p>
        <w:p w14:paraId="317749BC">
          <w:pPr>
            <w:pStyle w:val="14"/>
            <w:tabs>
              <w:tab w:val="right" w:leader="dot" w:pos="8306"/>
              <w:tab w:val="clear" w:pos="8296"/>
            </w:tabs>
            <w:jc w:val="both"/>
            <w:rPr>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_Toc1108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部门概况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_Toc1108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3</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98AC64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_Toc13880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_Toc13880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12E37C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_Toc1296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_Toc1296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DA23601">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_Toc19438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_Toc19438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9</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A10BC3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_Toc31314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w:t>
          </w:r>
          <w:r>
            <w:rPr>
              <w:rFonts w:hint="eastAsia" w:ascii="Times New Roman" w:hAnsi="Times New Roman" w:eastAsia="仿宋_GB2312" w:cs="仿宋_GB2312"/>
              <w:color w:val="auto"/>
              <w:sz w:val="32"/>
              <w:szCs w:val="32"/>
              <w:highlight w:val="none"/>
            </w:rPr>
            <w:t>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_Toc31314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9</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CC131C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_Toc20121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_Toc20121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9</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81A398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_Toc14877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三、</w:t>
          </w:r>
          <w:r>
            <w:rPr>
              <w:rFonts w:hint="eastAsia" w:ascii="Times New Roman" w:hAnsi="Times New Roman" w:eastAsia="仿宋_GB2312" w:cs="仿宋_GB2312"/>
              <w:color w:val="auto"/>
              <w:sz w:val="32"/>
              <w:szCs w:val="32"/>
              <w:highlight w:val="none"/>
            </w:rPr>
            <w:t>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_Toc14877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7E9AE4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_Toc27251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_Toc27251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4987E0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_Toc15614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_Toc15614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180EAC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_Toc9770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_Toc9770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98928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_Toc26098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七、财政拨款“三公”经费支出决算情况说明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_Toc26098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BBD2C7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_Toc7073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_Toc7073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18</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289E0B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_Toc9897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九、</w:t>
          </w:r>
          <w:r>
            <w:rPr>
              <w:rFonts w:hint="eastAsia" w:ascii="Times New Roman" w:hAnsi="Times New Roman" w:eastAsia="仿宋_GB2312" w:cs="仿宋_GB2312"/>
              <w:color w:val="auto"/>
              <w:sz w:val="32"/>
              <w:szCs w:val="32"/>
              <w:highlight w:val="none"/>
            </w:rPr>
            <w:t>国有资本经营预算支出决算情况说明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_Toc9897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18</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38767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_Toc8130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_Toc8130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18</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B1181B5">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_Toc19091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三</w:t>
          </w:r>
          <w:r>
            <w:rPr>
              <w:rFonts w:hint="eastAsia" w:ascii="Times New Roman" w:hAnsi="Times New Roman" w:eastAsia="黑体" w:cs="黑体"/>
              <w:color w:val="auto"/>
              <w:sz w:val="32"/>
              <w:szCs w:val="32"/>
              <w:highlight w:val="none"/>
            </w:rPr>
            <w:t>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_Toc19091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21</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0BA4C220">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_Toc6590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_Toc6590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26</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8290521">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_Toc18328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 xml:space="preserve">第五部分 </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_Toc18328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122</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980F68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_Toc3436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_Toc3436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FA5E7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_Toc10614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_Toc10614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1E0465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_Toc14774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_Toc14774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69ED75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_Toc5392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_Toc5392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97D48B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_Toc29475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_Toc29475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EA6C73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_Toc2870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71C2F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_Toc25605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_Toc25605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37E43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_Toc3760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八、一般公共预算财政拨款基本支出决算表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_Toc3760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EE3167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_Toc26330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_Toc26330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FAF1CF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_Toc12171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_Toc12171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B5B1C0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_Toc5335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十一、国有资本经营预算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_Toc5335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99EDF0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_Toc19972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_Toc19972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9D3AC4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_Toc12736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十三、</w:t>
          </w:r>
          <w:r>
            <w:rPr>
              <w:rFonts w:hint="eastAsia" w:ascii="Times New Roman" w:hAnsi="Times New Roman" w:eastAsia="仿宋_GB2312" w:cs="仿宋_GB2312"/>
              <w:color w:val="auto"/>
              <w:sz w:val="32"/>
              <w:szCs w:val="32"/>
              <w:highlight w:val="none"/>
              <w:lang w:eastAsia="zh-CN"/>
            </w:rPr>
            <w:t>财政拨款“三公”经费支出决算表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_Toc12736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667E591">
          <w:pPr>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316C60DE">
      <w:pPr>
        <w:pStyle w:val="2"/>
        <w:rPr>
          <w:highlight w:val="none"/>
        </w:rPr>
      </w:pPr>
    </w:p>
    <w:p w14:paraId="742A448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47360B2C">
      <w:pPr>
        <w:pStyle w:val="5"/>
        <w:jc w:val="center"/>
        <w:outlineLvl w:val="0"/>
        <w:rPr>
          <w:rFonts w:ascii="Times New Roman" w:hAnsi="Times New Roman" w:eastAsia="黑体"/>
          <w:color w:val="auto"/>
          <w:sz w:val="32"/>
          <w:szCs w:val="32"/>
          <w:highlight w:val="none"/>
        </w:rPr>
      </w:pPr>
      <w:bookmarkStart w:id="8" w:name="_Toc1108"/>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bookmarkEnd w:id="8"/>
    </w:p>
    <w:p w14:paraId="71FFFD2B">
      <w:pPr>
        <w:pStyle w:val="6"/>
        <w:outlineLvl w:val="1"/>
        <w:rPr>
          <w:rFonts w:hint="eastAsia" w:ascii="Times New Roman" w:hAnsi="Times New Roman" w:eastAsia="黑体"/>
          <w:b w:val="0"/>
          <w:color w:val="auto"/>
          <w:highlight w:val="none"/>
          <w:lang w:eastAsia="zh-CN"/>
        </w:rPr>
      </w:pPr>
      <w:bookmarkStart w:id="9" w:name="_Toc15396600"/>
      <w:bookmarkStart w:id="10" w:name="_Toc15377197"/>
      <w:bookmarkStart w:id="11" w:name="_Toc13880"/>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eastAsia="zh-CN"/>
        </w:rPr>
        <w:t>部门职责</w:t>
      </w:r>
      <w:bookmarkEnd w:id="11"/>
    </w:p>
    <w:p w14:paraId="0CD60CC7">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1、拟订人力资源和社会保障事业发展政策、规划，起草相关民族自治法规和规范性文件草案。</w:t>
      </w:r>
    </w:p>
    <w:p w14:paraId="6A618B41">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2、拟订人力资源市场发展规划和人力资源服务业发展、人力资源流动政策，促进人力资源合理流动、有效配置。</w:t>
      </w:r>
    </w:p>
    <w:p w14:paraId="7E3E5990">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3、负责促进就业工作，拟订统筹城乡的就业发展规划和政策，完善公共就业创业服务体系，统筹建立面向城乡劳动者的职业技能培训制度，拟订并组织落实创业、就业援助制度，牵头拟订高校毕业生就业政策。</w:t>
      </w:r>
    </w:p>
    <w:p w14:paraId="1463170D">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统筹推进建立覆盖城乡的多层次社会保障体系。拟订养老、失业、工伤等社会保险及其补充保险政策和标准。贯彻落实养老保险全国统筹办法和全国统一的养老、失业、工伤保险关系转续办法。组织拟订养老、失业、工伤等社会保险及其补充保险基金管理和监督办法，编制相关社会保险基金预决算草案，参与拟订相关社会保障基金投资政策。会同有关部门实施全民参保计划并参与建立全国统一的社会保险公共服务平台。拟订人力资源和社会保障信息化建设总体规划、年度计划，制定相关制度、标准和规范并组织实施。指导、督促企业参加工伤保险。</w:t>
      </w:r>
    </w:p>
    <w:p w14:paraId="09858F3C">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5、负责就业、失业和相关社会保险基金预测预警和信息引导，拟订应对预案，实施预防、调节和控制，保持就业形势稳定和相关社会保险基金总体收支平衡。</w:t>
      </w:r>
    </w:p>
    <w:p w14:paraId="20FA2451">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6、统筹拟订劳动人事争议调解仲裁制度和劳动关系政策，完善劳动关系协商协调机制，贯彻职工工作时间、休息休假和假期制度，落实消除非法使用童工政策和女工、未成年工特殊劳动保护政策。依法督促用人单位在劳动用工、合同签订与履约时，载明劳动保护、劳动条件和职业危害防护等条款。组织实施劳动保障监察，协调劳动者维权工作，依法查处重大案件。</w:t>
      </w:r>
    </w:p>
    <w:p w14:paraId="018DD75E">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7、牵头推进深化职称制度改革，拟订专业技术人员管理、继续教育和博士后管理等政策，负责高层次专业技术人才选拔和培养工作，贯彻落实吸引留学人员来州（回州）工作或定居政策。组织拟订技能人才培养、评价、使用和激励制度。贯彻落实职业资格制度，健全职业技能多元化评价政策。指导、监督各级各类技工学校、民办职业培训机构按国家和省、州有关规定履行安全管理责任。</w:t>
      </w:r>
    </w:p>
    <w:p w14:paraId="3041649B">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8、会同有关部门指导事业单位人事制度改革，按照管理权限负责规范事业单位岗位设置、公开招聘、聘用合同等人事综合管理工作，落实规范事业单位工作人员和机关工勤人员管理政策，将安全生产及生态环境保护责任履行情况作为事业单位工作人员奖惩、考核的重要内容。</w:t>
      </w:r>
    </w:p>
    <w:p w14:paraId="18D8061E">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9、组织实施国家表彰奖励制度，综合管理政府表彰奖励工作，承担评比达标表彰等工作，根据授权承办以州委、州政府名义开展的表彰奖励活动。承办提请州人大常委会和州政府决定的人事任免事项。</w:t>
      </w:r>
    </w:p>
    <w:p w14:paraId="315125EC">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10、会同有关部门拟订事业单位人员工资收入分配政策，建立企事业单位人员工资决定、正常增长和支付保障机制。拟订企事业单位人员福利和离退休政策。</w:t>
      </w:r>
    </w:p>
    <w:p w14:paraId="1302FDAF">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11、会同有关部门拟订农民工工作的综合性政策和规划，推动相关政策落实，协调解决重点难点问题，维护农民工合法权益。负责将安全生产纳入农民工技能培训内容。</w:t>
      </w:r>
    </w:p>
    <w:p w14:paraId="013636AB">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12、负责人力资源和社会保障领域内的对外交流与合作工作。</w:t>
      </w:r>
    </w:p>
    <w:p w14:paraId="3E3C6BEB">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13、承担职责范围内的安全生产和职业健康、生态环境保护、审批服务便民化等工作。</w:t>
      </w:r>
    </w:p>
    <w:p w14:paraId="6C3C2122">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14.统筹拟订劳动、人事争议调解仲裁制度和劳动关系政策并组织和监督实施，完善劳动关系协调机制，贯彻企业职工工作时间、休息休假制度、消除非法使用童工政策和女工、未成年工的特殊劳动保护政策，组织实施劳动监察，协调劳动者维权工作，依法查处重大案件。</w:t>
      </w:r>
    </w:p>
    <w:p w14:paraId="4026D979">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15、完成州委、州政府交办的其他任务。</w:t>
      </w:r>
    </w:p>
    <w:p w14:paraId="4D096983">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16、职能转变。深入推进简政放权、放管结合、优化服务改革，进一步减少行政审批事项，规范和优化对外办理事项，减少职业资格许可和认定等审批事项，实行职业资格目录清单管理，加强事中事后监管，创新就业和社会保障等公共服务方式，加强信息共享，提高公共服务水平。</w:t>
      </w:r>
    </w:p>
    <w:p w14:paraId="57C1DF9C">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17、有关职责分工。与州教育局的有关职责分工。高校毕业生就业政策由州人力资源社会保障局牵头，会同州教育局等部门拟订。高校毕业生离校前的就业指导和服务工作，由州教育局负责；高校毕业生离校后的就业指导和服务工作，由州人力资源社会保障局负责。</w:t>
      </w:r>
    </w:p>
    <w:p w14:paraId="3FAD9DCB">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18、负责阿坝州劳动人事争议仲裁委员会的日常工作； 依法处理州本级管理范围内的劳动争议案件及上级交办、外地委托的案件;根据阿坝州劳动人事争议仲裁委员会授权，负责仲裁员的培训、考核、聘任工作,并对全州仲裁员调解员进行管理；参与调解和仲裁涉及劳动人事突发事件、群体、疑难及重大案件; 承担本行政区域内企业及职工开展劳动人事争议预防工作和处理程序方面的法律、法规、政策知识宣传和培训工作。</w:t>
      </w:r>
    </w:p>
    <w:p w14:paraId="4759A039">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19、负责宣传人力资源和社会保障政策、法规、 规章、制度；受理人力资源和社会保障举报、投诉；负责完善人力资源和社会保障政策法规知识库，并提供咨询服务；负责收集人力资源和社会保障业务办理流程并录入系统，引导群众按流程办理相关人社业务；负责有关人事招录方面的咨询服务；负责养老、失业、工伤保险和职业年金的参保缴费和待遇领取等信息的电话查询服务，负责个人社保权益的电话查询服务；负责惠民惠农财政补贴资金社会保障卡“一卡通”和社会保障卡业务办理查询服务。</w:t>
      </w:r>
    </w:p>
    <w:p w14:paraId="20BD5FA1">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贯彻执行国家和人力资源社会保障部信息化建设有关法律、法规和技术规范，严格执行数据的定义、标准和分类，确保人力资源和社会保障信息化建设和数据符合国家统一要求；建立健全各项规章制度和应急预案；负责全州人力资源社会保障信息系统建设和业务数据管理维护；负责信息化建设硬件设备预算采购、配备等工作；负责人力资源社会保障公共服务系统建设；负责社会保障卡跨地区、跨部门推广应用和数据交换；负责社会保障卡“一卡通”信息系统运行、管理、维护；负责社会保障卡的信息采集、制作、发放、密码重置、密码修改、激活等业务；推进社会保障卡功能拓展应 用；组织开展社会保障卡宣传和业务培训；承担局信息化领导小组办公室的日常工作；指导各县（市）完成信息化建设、信息系统应用和相关业务工作。</w:t>
      </w:r>
    </w:p>
    <w:p w14:paraId="4C81B60A">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21、承担各类执业（职业）资格考试、专业技术资格考试、事业单位公开招聘考试、社会化考试的组织实施工作，协助做好公务员录用、公开遴选、公开选调等考试的考务组织工作。</w:t>
      </w:r>
    </w:p>
    <w:p w14:paraId="20F812B6">
      <w:pPr>
        <w:ind w:firstLine="420"/>
        <w:rPr>
          <w:rFonts w:hint="eastAsia"/>
          <w:highlight w:val="none"/>
          <w:lang w:eastAsia="zh-CN"/>
        </w:rPr>
      </w:pPr>
      <w:r>
        <w:rPr>
          <w:rFonts w:hint="eastAsia" w:ascii="仿宋_GB2312" w:eastAsia="仿宋_GB2312"/>
          <w:sz w:val="32"/>
          <w:szCs w:val="32"/>
          <w:highlight w:val="none"/>
          <w:lang w:val="en-US" w:eastAsia="zh-CN"/>
        </w:rPr>
        <w:t>22、贯彻执行《中华人民共和国档案法》等档案法律法 规，向社会各界和群众无偿提供档案查阅利用服务；建立健全局机关档案工作规章制度；负责局机关档案收集、整理、保管、统计、利用服务和期满档案移交工作；统一代管局属各事业单位和经办机构档案。</w:t>
      </w:r>
    </w:p>
    <w:p w14:paraId="25D58AC6">
      <w:pPr>
        <w:pStyle w:val="6"/>
        <w:outlineLvl w:val="1"/>
        <w:rPr>
          <w:rStyle w:val="31"/>
          <w:rFonts w:ascii="Times New Roman" w:hAnsi="Times New Roman"/>
          <w:b w:val="0"/>
          <w:bCs w:val="0"/>
          <w:color w:val="auto"/>
          <w:highlight w:val="none"/>
        </w:rPr>
      </w:pPr>
      <w:bookmarkStart w:id="12" w:name="_Toc15377200"/>
      <w:bookmarkStart w:id="13" w:name="_Toc15396601"/>
      <w:bookmarkStart w:id="14" w:name="_Toc1296"/>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2"/>
      <w:bookmarkEnd w:id="13"/>
      <w:bookmarkEnd w:id="14"/>
    </w:p>
    <w:p w14:paraId="79445AA8">
      <w:pPr>
        <w:ind w:firstLine="800" w:firstLineChars="25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阿坝藏族羌族自治州人力资源和社会保障局下属二级预算单位5个，其中行政单位1个，参照公务员法管理的事业单位3个，其他事业单位1个。</w:t>
      </w:r>
    </w:p>
    <w:p w14:paraId="5F832CBB">
      <w:pPr>
        <w:pStyle w:val="9"/>
        <w:adjustRightInd w:val="0"/>
        <w:snapToGrid w:val="0"/>
        <w:spacing w:before="93" w:beforeLines="0" w:line="600" w:lineRule="exact"/>
        <w:ind w:firstLine="668" w:firstLineChars="20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纳入阿坝藏族羌族自治州人力资源和社会保障局2025年度部门决算编制范围的二级预算单位包括：</w:t>
      </w:r>
    </w:p>
    <w:p w14:paraId="7CB3F60D">
      <w:pPr>
        <w:pStyle w:val="9"/>
        <w:numPr>
          <w:ilvl w:val="0"/>
          <w:numId w:val="1"/>
        </w:numPr>
        <w:adjustRightInd w:val="0"/>
        <w:snapToGrid w:val="0"/>
        <w:spacing w:before="93" w:beforeLines="0" w:line="600" w:lineRule="exact"/>
        <w:outlineLvl w:val="2"/>
        <w:rPr>
          <w:rFonts w:hint="eastAsia" w:ascii="Times New Roman" w:hAnsi="Times New Roman" w:eastAsia="仿宋_GB2312" w:cs="仿宋_GB2312"/>
          <w:color w:val="auto"/>
          <w:kern w:val="2"/>
          <w:sz w:val="32"/>
          <w:szCs w:val="32"/>
          <w:highlight w:val="none"/>
          <w:lang w:val="en-US" w:eastAsia="zh-CN" w:bidi="ar-SA"/>
        </w:rPr>
      </w:pPr>
      <w:bookmarkStart w:id="15" w:name="_Toc15377433"/>
      <w:bookmarkStart w:id="16" w:name="_Toc15377202"/>
      <w:bookmarkStart w:id="17" w:name="_Toc15306276"/>
      <w:bookmarkStart w:id="18" w:name="_Toc15378449"/>
      <w:r>
        <w:rPr>
          <w:rFonts w:hint="eastAsia" w:ascii="Times New Roman" w:hAnsi="Times New Roman" w:eastAsia="仿宋_GB2312" w:cs="仿宋_GB2312"/>
          <w:color w:val="auto"/>
          <w:kern w:val="2"/>
          <w:sz w:val="32"/>
          <w:szCs w:val="32"/>
          <w:highlight w:val="none"/>
          <w:lang w:val="en-US" w:eastAsia="zh-CN" w:bidi="ar-SA"/>
        </w:rPr>
        <w:t>阿坝州人力资源和社会保障局（本级）</w:t>
      </w:r>
    </w:p>
    <w:bookmarkEnd w:id="15"/>
    <w:bookmarkEnd w:id="16"/>
    <w:bookmarkEnd w:id="17"/>
    <w:bookmarkEnd w:id="18"/>
    <w:p w14:paraId="53443FC2">
      <w:pPr>
        <w:pStyle w:val="9"/>
        <w:numPr>
          <w:ilvl w:val="0"/>
          <w:numId w:val="1"/>
        </w:numPr>
        <w:adjustRightInd w:val="0"/>
        <w:snapToGrid w:val="0"/>
        <w:spacing w:before="93" w:beforeLines="0" w:line="600" w:lineRule="exact"/>
        <w:outlineLvl w:val="2"/>
        <w:rPr>
          <w:rFonts w:hint="eastAsia" w:ascii="Times New Roman" w:hAnsi="Times New Roman" w:eastAsia="仿宋_GB2312" w:cs="仿宋_GB2312"/>
          <w:color w:val="auto"/>
          <w:kern w:val="2"/>
          <w:sz w:val="32"/>
          <w:szCs w:val="32"/>
          <w:highlight w:val="none"/>
          <w:lang w:val="en-US" w:eastAsia="zh-CN" w:bidi="ar-SA"/>
        </w:rPr>
      </w:pPr>
      <w:bookmarkStart w:id="19" w:name="_Toc15377203"/>
      <w:bookmarkStart w:id="20" w:name="_Toc15306277"/>
      <w:bookmarkStart w:id="21" w:name="_Toc15378450"/>
      <w:bookmarkStart w:id="22" w:name="_Toc15377434"/>
      <w:r>
        <w:rPr>
          <w:rFonts w:hint="eastAsia" w:ascii="Times New Roman" w:hAnsi="Times New Roman" w:eastAsia="仿宋_GB2312" w:cs="仿宋_GB2312"/>
          <w:color w:val="auto"/>
          <w:kern w:val="2"/>
          <w:sz w:val="32"/>
          <w:szCs w:val="32"/>
          <w:highlight w:val="none"/>
          <w:lang w:val="en-US" w:eastAsia="zh-CN" w:bidi="ar-SA"/>
        </w:rPr>
        <w:t>阿坝州人力资源和社会保障信息中心</w:t>
      </w:r>
    </w:p>
    <w:bookmarkEnd w:id="19"/>
    <w:bookmarkEnd w:id="20"/>
    <w:bookmarkEnd w:id="21"/>
    <w:bookmarkEnd w:id="22"/>
    <w:p w14:paraId="564E2F88">
      <w:pPr>
        <w:pStyle w:val="9"/>
        <w:numPr>
          <w:ilvl w:val="0"/>
          <w:numId w:val="1"/>
        </w:numPr>
        <w:adjustRightInd w:val="0"/>
        <w:snapToGrid w:val="0"/>
        <w:spacing w:before="93" w:beforeLines="0" w:line="600" w:lineRule="exact"/>
        <w:ind w:left="1152" w:leftChars="0" w:hanging="48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阿坝州就业服务管理局</w:t>
      </w:r>
    </w:p>
    <w:p w14:paraId="33FFBB05">
      <w:pPr>
        <w:numPr>
          <w:ilvl w:val="0"/>
          <w:numId w:val="1"/>
        </w:numPr>
        <w:ind w:left="1152" w:leftChars="0" w:hanging="48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阿坝州农民工服务中心</w:t>
      </w:r>
    </w:p>
    <w:p w14:paraId="72B4C998">
      <w:pPr>
        <w:numPr>
          <w:ilvl w:val="0"/>
          <w:numId w:val="1"/>
        </w:numPr>
        <w:ind w:left="1152" w:leftChars="0" w:hanging="48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阿坝州社会保险事业管理局</w:t>
      </w:r>
    </w:p>
    <w:p w14:paraId="426D8746">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32534A1">
      <w:pPr>
        <w:pStyle w:val="5"/>
        <w:jc w:val="center"/>
        <w:outlineLvl w:val="0"/>
        <w:rPr>
          <w:rFonts w:hint="eastAsia" w:ascii="Times New Roman" w:hAnsi="Times New Roman" w:eastAsia="方正小标宋简体" w:cs="方正小标宋简体"/>
          <w:b w:val="0"/>
          <w:color w:val="auto"/>
          <w:highlight w:val="none"/>
        </w:rPr>
      </w:pPr>
      <w:bookmarkStart w:id="23" w:name="_Toc15396602"/>
      <w:bookmarkStart w:id="24" w:name="_Toc19438"/>
      <w:bookmarkStart w:id="2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23"/>
      <w:bookmarkEnd w:id="24"/>
      <w:bookmarkEnd w:id="25"/>
    </w:p>
    <w:p w14:paraId="7545F8D8">
      <w:pPr>
        <w:rPr>
          <w:rFonts w:ascii="Times New Roman" w:hAnsi="Times New Roman"/>
          <w:color w:val="auto"/>
          <w:highlight w:val="none"/>
        </w:rPr>
      </w:pPr>
    </w:p>
    <w:p w14:paraId="08D37E5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6" w:name="_Toc15377205"/>
      <w:bookmarkStart w:id="27" w:name="_Toc15396603"/>
      <w:bookmarkStart w:id="28" w:name="_Toc31314"/>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26"/>
      <w:bookmarkEnd w:id="27"/>
      <w:bookmarkEnd w:id="28"/>
    </w:p>
    <w:p w14:paraId="0047674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41275</wp:posOffset>
            </wp:positionH>
            <wp:positionV relativeFrom="paragraph">
              <wp:posOffset>1226820</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lang w:val="en-US" w:eastAsia="zh-CN"/>
        </w:rPr>
        <w:t>6946.85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hAnsi="仿宋_GB2312" w:eastAsia="仿宋_GB2312" w:cs="仿宋_GB2312"/>
          <w:sz w:val="32"/>
          <w:szCs w:val="32"/>
          <w:highlight w:val="none"/>
          <w:lang w:val="en-US" w:eastAsia="zh-CN"/>
        </w:rPr>
        <w:t>558.26</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sz w:val="32"/>
          <w:szCs w:val="32"/>
          <w:highlight w:val="none"/>
          <w:lang w:val="en-US" w:eastAsia="zh-CN"/>
        </w:rPr>
        <w:t>8.74</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highlight w:val="none"/>
          <w:lang w:val="en-US" w:eastAsia="zh-CN"/>
        </w:rPr>
        <w:t>单位资金随人员公用经费基数及项目资金产生变化。</w:t>
      </w:r>
    </w:p>
    <w:p w14:paraId="4A78A499">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506EA6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9" w:name="_Toc20121"/>
      <w:bookmarkStart w:id="30" w:name="_Toc15377206"/>
      <w:bookmarkStart w:id="31" w:name="_Toc15396604"/>
      <w:r>
        <w:rPr>
          <w:rFonts w:hint="eastAsia" w:ascii="Times New Roman" w:hAnsi="Times New Roman" w:eastAsia="黑体"/>
          <w:color w:val="auto"/>
          <w:sz w:val="32"/>
          <w:szCs w:val="32"/>
          <w:highlight w:val="none"/>
          <w:lang w:eastAsia="zh-CN"/>
        </w:rPr>
        <w:t>二、收入决算情况说明</w:t>
      </w:r>
      <w:bookmarkEnd w:id="29"/>
      <w:bookmarkEnd w:id="30"/>
      <w:bookmarkEnd w:id="31"/>
    </w:p>
    <w:p w14:paraId="3911322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highlight w:val="none"/>
          <w:lang w:val="en-US" w:eastAsia="zh-CN"/>
        </w:rPr>
        <w:t>6946.85</w:t>
      </w:r>
      <w:r>
        <w:rPr>
          <w:rFonts w:hint="eastAsia" w:ascii="仿宋_GB2312" w:hAnsi="仿宋_GB2312"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lang w:val="en-US" w:eastAsia="zh-CN"/>
        </w:rPr>
        <w:t>6493.85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93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其他收入</w:t>
      </w:r>
      <w:r>
        <w:rPr>
          <w:rFonts w:hint="eastAsia" w:ascii="仿宋_GB2312" w:hAnsi="仿宋_GB2312" w:eastAsia="仿宋_GB2312" w:cs="仿宋_GB2312"/>
          <w:sz w:val="32"/>
          <w:szCs w:val="32"/>
          <w:highlight w:val="none"/>
          <w:lang w:val="en-US" w:eastAsia="zh-CN"/>
        </w:rPr>
        <w:t>453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color w:val="auto"/>
          <w:sz w:val="32"/>
          <w:szCs w:val="32"/>
          <w:highlight w:val="none"/>
          <w:lang w:eastAsia="zh-CN"/>
        </w:rPr>
        <w:t>%。</w:t>
      </w:r>
    </w:p>
    <w:p w14:paraId="0BC7893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620BA40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1312"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59AFF39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32" w:name="_Toc15377207"/>
      <w:bookmarkStart w:id="33" w:name="_Toc14877"/>
      <w:bookmarkStart w:id="34"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32"/>
      <w:bookmarkEnd w:id="33"/>
      <w:bookmarkEnd w:id="34"/>
    </w:p>
    <w:p w14:paraId="265AC5D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6698.02</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5185.73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77</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1512.28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23</w:t>
      </w:r>
      <w:r>
        <w:rPr>
          <w:rFonts w:hint="eastAsia" w:ascii="仿宋_GB2312" w:hAnsi="仿宋_GB2312" w:eastAsia="仿宋_GB2312" w:cs="仿宋_GB2312"/>
          <w:color w:val="auto"/>
          <w:sz w:val="32"/>
          <w:szCs w:val="32"/>
          <w:highlight w:val="none"/>
          <w:lang w:eastAsia="zh-CN"/>
        </w:rPr>
        <w:t>%。</w:t>
      </w:r>
    </w:p>
    <w:p w14:paraId="21FFD143">
      <w:pPr>
        <w:jc w:val="center"/>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5A01262A">
      <w:pPr>
        <w:spacing w:line="600" w:lineRule="exact"/>
        <w:ind w:firstLine="640" w:firstLineChars="200"/>
        <w:outlineLvl w:val="1"/>
        <w:rPr>
          <w:rStyle w:val="31"/>
          <w:rFonts w:ascii="Times New Roman" w:hAnsi="Times New Roman" w:eastAsia="黑体"/>
          <w:b w:val="0"/>
          <w:color w:val="auto"/>
          <w:highlight w:val="none"/>
        </w:rPr>
      </w:pPr>
      <w:bookmarkStart w:id="35" w:name="_Toc15396606"/>
      <w:bookmarkStart w:id="36" w:name="_Toc15377208"/>
      <w:bookmarkStart w:id="37" w:name="_Toc27251"/>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35"/>
      <w:bookmarkEnd w:id="36"/>
      <w:bookmarkEnd w:id="37"/>
    </w:p>
    <w:p w14:paraId="06E577E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highlight w:val="none"/>
          <w:lang w:val="en-US" w:eastAsia="zh-CN"/>
        </w:rPr>
        <w:t>6946.85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ascii="仿宋_GB2312" w:hAnsi="仿宋_GB2312" w:eastAsia="仿宋_GB2312" w:cs="仿宋_GB2312"/>
          <w:sz w:val="32"/>
          <w:szCs w:val="32"/>
          <w:highlight w:val="none"/>
          <w:lang w:val="en-US" w:eastAsia="zh-CN"/>
        </w:rPr>
        <w:t>558.26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8.74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highlight w:val="none"/>
          <w:lang w:val="en-US" w:eastAsia="zh-CN"/>
        </w:rPr>
        <w:t>单位资金随人员公用经费基数及项目资金产生变化。</w:t>
      </w:r>
    </w:p>
    <w:p w14:paraId="47B10279">
      <w:pPr>
        <w:pStyle w:val="2"/>
        <w:outlineLvl w:val="9"/>
        <w:rPr>
          <w:rFonts w:hint="eastAsia"/>
          <w:highlight w:val="none"/>
          <w:lang w:val="en-US" w:eastAsia="zh-CN"/>
        </w:rPr>
      </w:pPr>
    </w:p>
    <w:p w14:paraId="5774FC8E">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43815</wp:posOffset>
            </wp:positionH>
            <wp:positionV relativeFrom="paragraph">
              <wp:posOffset>10795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6DC149D">
      <w:pPr>
        <w:spacing w:line="600" w:lineRule="exact"/>
        <w:ind w:firstLine="640" w:firstLineChars="200"/>
        <w:outlineLvl w:val="1"/>
        <w:rPr>
          <w:rStyle w:val="31"/>
          <w:rFonts w:ascii="Times New Roman" w:hAnsi="Times New Roman" w:eastAsia="黑体"/>
          <w:b w:val="0"/>
          <w:color w:val="auto"/>
          <w:highlight w:val="none"/>
        </w:rPr>
      </w:pPr>
      <w:bookmarkStart w:id="38" w:name="_Toc15377209"/>
      <w:bookmarkStart w:id="39" w:name="_Toc15614"/>
      <w:bookmarkStart w:id="40"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38"/>
      <w:bookmarkEnd w:id="39"/>
      <w:bookmarkEnd w:id="40"/>
    </w:p>
    <w:p w14:paraId="48CD862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1"/>
    </w:p>
    <w:p w14:paraId="2B99C60C">
      <w:pPr>
        <w:spacing w:line="600" w:lineRule="exact"/>
        <w:ind w:firstLine="640"/>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highlight w:val="none"/>
          <w:lang w:val="en-US" w:eastAsia="zh-CN"/>
        </w:rPr>
        <w:t>6493.85</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93</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ascii="仿宋_GB2312" w:hAnsi="仿宋_GB2312" w:eastAsia="仿宋_GB2312" w:cs="仿宋_GB2312"/>
          <w:sz w:val="32"/>
          <w:szCs w:val="32"/>
          <w:highlight w:val="none"/>
          <w:lang w:val="en-US" w:eastAsia="zh-CN"/>
        </w:rPr>
        <w:t>105.26</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1.65</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highlight w:val="none"/>
          <w:lang w:val="en-US" w:eastAsia="zh-CN"/>
        </w:rPr>
        <w:t>单位资金随人员公用经费基数及项目资金产生变化。</w:t>
      </w:r>
    </w:p>
    <w:p w14:paraId="0911C3F2">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33DBE715">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p>
    <w:p w14:paraId="6AE4BCB4">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p>
    <w:p w14:paraId="5EA93293">
      <w:pPr>
        <w:spacing w:line="600" w:lineRule="exact"/>
        <w:jc w:val="both"/>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61595</wp:posOffset>
            </wp:positionH>
            <wp:positionV relativeFrom="paragraph">
              <wp:posOffset>42545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176ACCA">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628C330E">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2"/>
    </w:p>
    <w:p w14:paraId="4E38E874">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2025年度一般公共预算财政拨款支出6493.85万元，主要用于以下方面：社会保障和就业支出6118.35万元，占94.22%；卫生健康支出244.21万元，占3.76%；住房保障支出131.29万元，占2.02%。</w:t>
      </w:r>
    </w:p>
    <w:p w14:paraId="5ACE4976">
      <w:pPr>
        <w:pStyle w:val="9"/>
        <w:rPr>
          <w:rFonts w:hint="eastAsia"/>
          <w:highlight w:val="none"/>
          <w:lang w:val="en-US" w:eastAsia="zh-CN"/>
        </w:rPr>
      </w:pPr>
    </w:p>
    <w:p w14:paraId="1128E98B">
      <w:pPr>
        <w:pStyle w:val="3"/>
        <w:ind w:left="0" w:leftChars="0" w:firstLine="0" w:firstLineChars="0"/>
        <w:outlineLvl w:val="9"/>
        <w:rPr>
          <w:rFonts w:hint="eastAsia"/>
          <w:highlight w:val="none"/>
          <w:lang w:val="en-US" w:eastAsia="zh-CN"/>
        </w:rPr>
      </w:pPr>
    </w:p>
    <w:p w14:paraId="373F564D">
      <w:pPr>
        <w:pStyle w:val="3"/>
        <w:ind w:left="0" w:leftChars="0" w:firstLine="0" w:firstLineChars="0"/>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60E76A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57FBB1A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3"/>
    </w:p>
    <w:p w14:paraId="32C683C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bookmarkStart w:id="44" w:name="_Toc15378460"/>
      <w:bookmarkStart w:id="45" w:name="_Toc15377213"/>
      <w:bookmarkStart w:id="46" w:name="_Toc15377444"/>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highlight w:val="none"/>
          <w:lang w:val="en-US" w:eastAsia="zh-CN"/>
        </w:rPr>
        <w:t>6493.85</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4"/>
      <w:bookmarkEnd w:id="45"/>
      <w:bookmarkEnd w:id="46"/>
    </w:p>
    <w:p w14:paraId="5B9E1F56">
      <w:pPr>
        <w:numPr>
          <w:ilvl w:val="0"/>
          <w:numId w:val="2"/>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社会保障和就业支出（208）人力资源和社会保障管理事务（01）行政运行（01）:支出决算为</w:t>
      </w:r>
      <w:r>
        <w:rPr>
          <w:rFonts w:hint="eastAsia" w:eastAsia="仿宋_GB2312" w:cs="仿宋_GB2312"/>
          <w:color w:val="auto"/>
          <w:kern w:val="2"/>
          <w:sz w:val="32"/>
          <w:szCs w:val="32"/>
          <w:highlight w:val="none"/>
          <w:lang w:val="en-US" w:eastAsia="zh-CN" w:bidi="ar-SA"/>
        </w:rPr>
        <w:t>1744.99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4ADBDD30">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社会保障和就业支出（208）人力资源和社会保障管理事务（01）一般行政管理事务（02）:支出决算为</w:t>
      </w:r>
      <w:r>
        <w:rPr>
          <w:rFonts w:hint="eastAsia" w:eastAsia="仿宋_GB2312" w:cs="仿宋_GB2312"/>
          <w:color w:val="auto"/>
          <w:kern w:val="2"/>
          <w:sz w:val="32"/>
          <w:szCs w:val="32"/>
          <w:highlight w:val="none"/>
          <w:lang w:val="en-US" w:eastAsia="zh-CN" w:bidi="ar-SA"/>
        </w:rPr>
        <w:t>486.69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582FBD61">
      <w:pPr>
        <w:numPr>
          <w:ilvl w:val="0"/>
          <w:numId w:val="2"/>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社会保障和就业支出（208）人力资源和社会保障管理事务（01）劳动保障监察（05）:支出决算为</w:t>
      </w:r>
      <w:r>
        <w:rPr>
          <w:rFonts w:hint="eastAsia" w:eastAsia="仿宋_GB2312" w:cs="仿宋_GB2312"/>
          <w:color w:val="auto"/>
          <w:kern w:val="2"/>
          <w:sz w:val="32"/>
          <w:szCs w:val="32"/>
          <w:highlight w:val="none"/>
          <w:lang w:val="en-US" w:eastAsia="zh-CN" w:bidi="ar-SA"/>
        </w:rPr>
        <w:t>13.05</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56E738FC">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社会保障和就业支出（208）人力资源和社会保障管理事务（01）社会保险业务管理事务（07）:支出决算为</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2228AC39">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社会保障和就业支出（208）人力资源和社会保障管理事务（01）信息化建设（08）:支出决算为</w:t>
      </w:r>
      <w:r>
        <w:rPr>
          <w:rFonts w:hint="eastAsia" w:eastAsia="仿宋_GB2312" w:cs="仿宋_GB2312"/>
          <w:color w:val="auto"/>
          <w:kern w:val="2"/>
          <w:sz w:val="32"/>
          <w:szCs w:val="32"/>
          <w:highlight w:val="none"/>
          <w:lang w:val="en-US" w:eastAsia="zh-CN" w:bidi="ar-SA"/>
        </w:rPr>
        <w:t>185.66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5E85DCE9">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社会保障和就业支出（208）人力资源和社会保障管理事务（01）社会保险经办机构（09）:支出决算为</w:t>
      </w:r>
      <w:r>
        <w:rPr>
          <w:rFonts w:hint="eastAsia" w:eastAsia="仿宋_GB2312" w:cs="仿宋_GB2312"/>
          <w:color w:val="auto"/>
          <w:kern w:val="2"/>
          <w:sz w:val="32"/>
          <w:szCs w:val="32"/>
          <w:highlight w:val="none"/>
          <w:lang w:val="en-US" w:eastAsia="zh-CN" w:bidi="ar-SA"/>
        </w:rPr>
        <w:t>1348.41</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7E9FD4C7">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社会保障和就业支出（208）人力资源和社会保障管理事务（01）劳动关系和维权（10）:支出决算为</w:t>
      </w:r>
      <w:r>
        <w:rPr>
          <w:rFonts w:hint="eastAsia" w:eastAsia="仿宋_GB2312" w:cs="仿宋_GB2312"/>
          <w:color w:val="auto"/>
          <w:kern w:val="2"/>
          <w:sz w:val="32"/>
          <w:szCs w:val="32"/>
          <w:highlight w:val="none"/>
          <w:lang w:val="en-US" w:eastAsia="zh-CN" w:bidi="ar-SA"/>
        </w:rPr>
        <w:t>3.84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5650EA5E">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社会保障和就业支出（208）人力资源和社会保障管理事务（01）劳动人事争议调解仲裁（12）:支出决算为</w:t>
      </w:r>
      <w:r>
        <w:rPr>
          <w:rFonts w:hint="eastAsia" w:eastAsia="仿宋_GB2312" w:cs="仿宋_GB2312"/>
          <w:color w:val="auto"/>
          <w:kern w:val="2"/>
          <w:sz w:val="32"/>
          <w:szCs w:val="32"/>
          <w:highlight w:val="none"/>
          <w:lang w:val="en-US" w:eastAsia="zh-CN" w:bidi="ar-SA"/>
        </w:rPr>
        <w:t>1.99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446565D5">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社会保障和就业支出（208）人力资源和社会保障管理事务（01）事业运行（50）:支出决算为</w:t>
      </w:r>
      <w:r>
        <w:rPr>
          <w:rFonts w:hint="eastAsia" w:eastAsia="仿宋_GB2312" w:cs="仿宋_GB2312"/>
          <w:color w:val="auto"/>
          <w:kern w:val="2"/>
          <w:sz w:val="32"/>
          <w:szCs w:val="32"/>
          <w:highlight w:val="none"/>
          <w:lang w:val="en-US" w:eastAsia="zh-CN" w:bidi="ar-SA"/>
        </w:rPr>
        <w:t>937.92</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021EF8D1">
      <w:pPr>
        <w:numPr>
          <w:ilvl w:val="0"/>
          <w:numId w:val="2"/>
        </w:numPr>
        <w:spacing w:line="600" w:lineRule="exact"/>
        <w:ind w:left="0" w:leftChars="0" w:firstLine="400" w:firstLineChars="0"/>
        <w:rPr>
          <w:rFonts w:hint="eastAsia"/>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社会保障和就业支出（208）人力资源和社会保障管理事务（01）其他人力资源和社会保障管理事务支出（99）:支出决算为</w:t>
      </w:r>
      <w:r>
        <w:rPr>
          <w:rFonts w:hint="eastAsia" w:eastAsia="仿宋_GB2312" w:cs="仿宋_GB2312"/>
          <w:color w:val="auto"/>
          <w:kern w:val="2"/>
          <w:sz w:val="32"/>
          <w:szCs w:val="32"/>
          <w:highlight w:val="none"/>
          <w:lang w:val="en-US" w:eastAsia="zh-CN" w:bidi="ar-SA"/>
        </w:rPr>
        <w:t>289.19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2FC3AF1B">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社会保障和就业支出（208）行政事业单位养老支出（05）机关事业单位基本养老保险缴费支出（05）:支出决算为</w:t>
      </w:r>
      <w:r>
        <w:rPr>
          <w:rFonts w:hint="eastAsia" w:eastAsia="仿宋_GB2312" w:cs="仿宋_GB2312"/>
          <w:color w:val="auto"/>
          <w:kern w:val="2"/>
          <w:sz w:val="32"/>
          <w:szCs w:val="32"/>
          <w:highlight w:val="none"/>
          <w:lang w:val="en-US" w:eastAsia="zh-CN" w:bidi="ar-SA"/>
        </w:rPr>
        <w:t>418.69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6C22E91">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社会保障和就业支出（208）行政事业单位养老支出（05）机关事业单位职业年金缴费支出（06）:支出决算为</w:t>
      </w:r>
      <w:r>
        <w:rPr>
          <w:rFonts w:hint="eastAsia" w:eastAsia="仿宋_GB2312" w:cs="仿宋_GB2312"/>
          <w:color w:val="auto"/>
          <w:kern w:val="2"/>
          <w:sz w:val="32"/>
          <w:szCs w:val="32"/>
          <w:highlight w:val="none"/>
          <w:lang w:val="en-US" w:eastAsia="zh-CN" w:bidi="ar-SA"/>
        </w:rPr>
        <w:t>201.25</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36886DA5">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社会保障和就业支出（208）行政事业单位养老支出（05）其他行政事业单位养老支出（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14.24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8EAC4EC">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社会保障和就业支出（208）企业改革补助（06）其他企业改革发展补助（</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242.84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79AFDF6C">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社会保障和就业支出（208）就业补助（07）其他就业补助支出（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15.43</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03478D89">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卫生健康支出（210）行政事业单位医疗（11）行政单位医疗（01）:支出决算为</w:t>
      </w:r>
      <w:r>
        <w:rPr>
          <w:rFonts w:hint="eastAsia" w:eastAsia="仿宋_GB2312" w:cs="仿宋_GB2312"/>
          <w:color w:val="auto"/>
          <w:kern w:val="2"/>
          <w:sz w:val="32"/>
          <w:szCs w:val="32"/>
          <w:highlight w:val="none"/>
          <w:lang w:val="en-US" w:eastAsia="zh-CN" w:bidi="ar-SA"/>
        </w:rPr>
        <w:t>136.49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66D0C7D7">
      <w:pPr>
        <w:numPr>
          <w:ilvl w:val="0"/>
          <w:numId w:val="2"/>
        </w:numPr>
        <w:spacing w:line="600" w:lineRule="exact"/>
        <w:ind w:left="0" w:leftChars="0" w:firstLine="400" w:firstLineChars="0"/>
        <w:rPr>
          <w:rFonts w:hint="eastAsia"/>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卫生健康支出（210）行政事业单位医疗（11）事业单位医疗（0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69.91</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4209C673">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卫生健康支出（210）行政事业单位医疗（11）公务员医疗补助（03）:支出决算为</w:t>
      </w:r>
      <w:r>
        <w:rPr>
          <w:rFonts w:hint="eastAsia" w:eastAsia="仿宋_GB2312" w:cs="仿宋_GB2312"/>
          <w:color w:val="auto"/>
          <w:kern w:val="2"/>
          <w:sz w:val="32"/>
          <w:szCs w:val="32"/>
          <w:highlight w:val="none"/>
          <w:lang w:val="en-US" w:eastAsia="zh-CN" w:bidi="ar-SA"/>
        </w:rPr>
        <w:t>37.81</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5A6AA2B7">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住房保障支出（221）住房改革支出（02）住房公积金（01）:支出决算为</w:t>
      </w:r>
      <w:r>
        <w:rPr>
          <w:rFonts w:hint="eastAsia" w:eastAsia="仿宋_GB2312" w:cs="仿宋_GB2312"/>
          <w:color w:val="auto"/>
          <w:kern w:val="2"/>
          <w:sz w:val="32"/>
          <w:szCs w:val="32"/>
          <w:highlight w:val="none"/>
          <w:lang w:val="en-US" w:eastAsia="zh-CN" w:bidi="ar-SA"/>
        </w:rPr>
        <w:t>333.06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5F0A25B0">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住房保障支出（221）住房改革支出（02）购房补贴（03）:支出决算为</w:t>
      </w: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0FFAFE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92899EA">
      <w:pPr>
        <w:tabs>
          <w:tab w:val="right" w:pos="8306"/>
        </w:tabs>
        <w:spacing w:line="600" w:lineRule="exact"/>
        <w:ind w:firstLine="640"/>
        <w:outlineLvl w:val="1"/>
        <w:rPr>
          <w:rStyle w:val="31"/>
          <w:rFonts w:ascii="Times New Roman" w:hAnsi="Times New Roman"/>
          <w:color w:val="auto"/>
          <w:highlight w:val="none"/>
        </w:rPr>
      </w:pPr>
      <w:bookmarkStart w:id="47" w:name="_Toc9770"/>
      <w:bookmarkStart w:id="48" w:name="_Toc15377214"/>
      <w:bookmarkStart w:id="4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47"/>
      <w:bookmarkEnd w:id="48"/>
      <w:bookmarkEnd w:id="49"/>
      <w:r>
        <w:rPr>
          <w:rStyle w:val="31"/>
          <w:rFonts w:ascii="Times New Roman" w:hAnsi="Times New Roman" w:eastAsia="黑体"/>
          <w:b w:val="0"/>
          <w:color w:val="auto"/>
          <w:highlight w:val="none"/>
        </w:rPr>
        <w:tab/>
      </w:r>
    </w:p>
    <w:p w14:paraId="3F8DB63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highlight w:val="none"/>
          <w:lang w:val="en-US" w:eastAsia="zh-CN"/>
        </w:rPr>
        <w:t>5185.73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652D97B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4509.17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676.57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14:paraId="081D479E">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032232BB">
      <w:pPr>
        <w:spacing w:line="600" w:lineRule="exact"/>
        <w:ind w:firstLine="640"/>
        <w:outlineLvl w:val="1"/>
        <w:rPr>
          <w:rStyle w:val="31"/>
          <w:rFonts w:ascii="Times New Roman" w:hAnsi="Times New Roman" w:eastAsia="黑体"/>
          <w:b w:val="0"/>
          <w:color w:val="auto"/>
          <w:highlight w:val="none"/>
        </w:rPr>
      </w:pPr>
      <w:bookmarkStart w:id="50" w:name="_Toc15396609"/>
      <w:bookmarkStart w:id="51" w:name="_Toc15377215"/>
      <w:bookmarkStart w:id="52" w:name="_Toc26098"/>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50"/>
      <w:bookmarkEnd w:id="51"/>
      <w:bookmarkEnd w:id="52"/>
    </w:p>
    <w:p w14:paraId="3CCB4AC1">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3"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53"/>
    </w:p>
    <w:p w14:paraId="2370DED8">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highlight w:val="none"/>
          <w:lang w:val="en-US" w:eastAsia="zh-CN"/>
        </w:rPr>
        <w:t>91.91</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128.44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58.29</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ascii="仿宋_GB2312" w:hAnsi="仿宋_GB2312" w:eastAsia="仿宋_GB2312" w:cs="仿宋_GB2312"/>
          <w:sz w:val="32"/>
          <w:szCs w:val="32"/>
          <w:highlight w:val="none"/>
          <w:lang w:val="en-US" w:eastAsia="zh-CN"/>
        </w:rPr>
        <w:t>。</w:t>
      </w:r>
    </w:p>
    <w:p w14:paraId="46323A8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4"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54"/>
    </w:p>
    <w:p w14:paraId="73ED10F1">
      <w:pPr>
        <w:spacing w:line="600" w:lineRule="exact"/>
        <w:ind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highlight w:val="none"/>
          <w:lang w:val="en-US" w:eastAsia="zh-CN"/>
        </w:rPr>
        <w:t>90.6</w:t>
      </w:r>
      <w:r>
        <w:rPr>
          <w:rFonts w:hint="eastAsia" w:ascii="仿宋_GB2312" w:hAnsi="仿宋_GB2312" w:eastAsia="仿宋_GB2312" w:cs="仿宋_GB2312"/>
          <w:color w:val="auto"/>
          <w:kern w:val="2"/>
          <w:sz w:val="32"/>
          <w:szCs w:val="32"/>
          <w:highlight w:val="none"/>
          <w:lang w:val="en-US" w:eastAsia="zh-CN" w:bidi="ar-SA"/>
        </w:rPr>
        <w:t>万元，占99%；公务接待费支出决算</w:t>
      </w:r>
      <w:r>
        <w:rPr>
          <w:rFonts w:hint="eastAsia" w:ascii="仿宋_GB2312" w:hAnsi="仿宋_GB2312" w:eastAsia="仿宋_GB2312" w:cs="仿宋_GB2312"/>
          <w:sz w:val="32"/>
          <w:szCs w:val="32"/>
          <w:highlight w:val="none"/>
          <w:lang w:val="en-US" w:eastAsia="zh-CN"/>
        </w:rPr>
        <w:t>1.31</w:t>
      </w:r>
      <w:r>
        <w:rPr>
          <w:rFonts w:hint="eastAsia" w:ascii="仿宋_GB2312" w:hAnsi="仿宋_GB2312" w:eastAsia="仿宋_GB2312" w:cs="仿宋_GB2312"/>
          <w:color w:val="auto"/>
          <w:kern w:val="2"/>
          <w:sz w:val="32"/>
          <w:szCs w:val="32"/>
          <w:highlight w:val="none"/>
          <w:lang w:val="en-US" w:eastAsia="zh-CN" w:bidi="ar-SA"/>
        </w:rPr>
        <w:t>万元，占1%。具体情况如下：</w:t>
      </w:r>
    </w:p>
    <w:p w14:paraId="67DF90F9">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59264" behindDoc="0" locked="0" layoutInCell="1" allowOverlap="1">
            <wp:simplePos x="0" y="0"/>
            <wp:positionH relativeFrom="column">
              <wp:posOffset>71755</wp:posOffset>
            </wp:positionH>
            <wp:positionV relativeFrom="paragraph">
              <wp:posOffset>90170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5F9EB7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A53B0D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90.6</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127.99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58.55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厉行节约，压缩车辆运行维护费。</w:t>
      </w:r>
    </w:p>
    <w:p w14:paraId="4A38F644">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sz w:val="32"/>
          <w:szCs w:val="32"/>
          <w:highlight w:val="none"/>
          <w:lang w:val="en-US" w:eastAsia="zh-CN"/>
        </w:rPr>
        <w:t>13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5EFF9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90.6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1.31</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减少0.45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eastAsia="仿宋_GB2312" w:cs="仿宋_GB2312"/>
          <w:b w:val="0"/>
          <w:bCs w:val="0"/>
          <w:color w:val="auto"/>
          <w:kern w:val="2"/>
          <w:sz w:val="32"/>
          <w:szCs w:val="32"/>
          <w:highlight w:val="none"/>
          <w:lang w:val="en-US" w:eastAsia="zh-CN" w:bidi="ar-SA"/>
        </w:rPr>
        <w:t>25.49</w:t>
      </w:r>
      <w:r>
        <w:rPr>
          <w:rFonts w:hint="eastAsia" w:ascii="Times New Roman" w:hAnsi="Times New Roman" w:eastAsia="仿宋_GB2312" w:cs="仿宋_GB2312"/>
          <w:color w:val="auto"/>
          <w:kern w:val="2"/>
          <w:sz w:val="32"/>
          <w:szCs w:val="32"/>
          <w:highlight w:val="none"/>
          <w:lang w:val="en-US" w:eastAsia="zh-CN" w:bidi="ar-SA"/>
        </w:rPr>
        <w:t>%。其中：</w:t>
      </w:r>
      <w:bookmarkStart w:id="102" w:name="_GoBack"/>
      <w:bookmarkEnd w:id="102"/>
    </w:p>
    <w:p w14:paraId="4D9B631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1.31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129</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1.31</w:t>
      </w:r>
      <w:r>
        <w:rPr>
          <w:rFonts w:hint="eastAsia" w:ascii="Times New Roman" w:hAnsi="Times New Roman" w:eastAsia="仿宋_GB2312" w:cs="仿宋_GB2312"/>
          <w:color w:val="auto"/>
          <w:kern w:val="2"/>
          <w:sz w:val="32"/>
          <w:szCs w:val="32"/>
          <w:highlight w:val="none"/>
          <w:lang w:val="en-US" w:eastAsia="zh-CN" w:bidi="ar-SA"/>
        </w:rPr>
        <w:t>万元。</w:t>
      </w:r>
    </w:p>
    <w:p w14:paraId="609F30A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55" w:name="_Toc15396610"/>
      <w:bookmarkStart w:id="56" w:name="_Toc15377218"/>
    </w:p>
    <w:p w14:paraId="16B733E7">
      <w:pPr>
        <w:spacing w:line="600" w:lineRule="exact"/>
        <w:ind w:firstLine="640"/>
        <w:outlineLvl w:val="1"/>
        <w:rPr>
          <w:rStyle w:val="31"/>
          <w:rFonts w:ascii="Times New Roman" w:hAnsi="Times New Roman" w:eastAsia="黑体"/>
          <w:color w:val="auto"/>
          <w:highlight w:val="none"/>
        </w:rPr>
      </w:pPr>
      <w:bookmarkStart w:id="57" w:name="_Toc7073"/>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55"/>
      <w:bookmarkEnd w:id="56"/>
      <w:bookmarkEnd w:id="57"/>
    </w:p>
    <w:p w14:paraId="05B5037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0116953A">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58" w:name="_Toc15377219"/>
      <w:bookmarkStart w:id="59" w:name="_Toc9897"/>
      <w:bookmarkStart w:id="60"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58"/>
      <w:bookmarkEnd w:id="59"/>
      <w:bookmarkEnd w:id="60"/>
    </w:p>
    <w:p w14:paraId="10E1E4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370398F">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61" w:name="_Toc15377221"/>
      <w:bookmarkStart w:id="62" w:name="_Toc15396612"/>
      <w:bookmarkStart w:id="63" w:name="_Toc8130"/>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61"/>
      <w:bookmarkEnd w:id="62"/>
      <w:bookmarkEnd w:id="63"/>
    </w:p>
    <w:p w14:paraId="0DCF67A4">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64" w:name="_Toc15377222"/>
      <w:r>
        <w:rPr>
          <w:rFonts w:hint="eastAsia" w:ascii="Times New Roman" w:hAnsi="Times New Roman" w:eastAsia="楷体_GB2312" w:cs="楷体_GB2312"/>
          <w:b/>
          <w:color w:val="auto"/>
          <w:sz w:val="32"/>
          <w:szCs w:val="32"/>
          <w:highlight w:val="none"/>
        </w:rPr>
        <w:t>（一）机关运行经费支出情况</w:t>
      </w:r>
      <w:bookmarkEnd w:id="64"/>
    </w:p>
    <w:p w14:paraId="3AA99B37">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阿坝藏族羌族自治州人力资源和社会保障局</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555.23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ascii="仿宋_GB2312" w:hAnsi="仿宋_GB2312" w:eastAsia="仿宋_GB2312" w:cs="仿宋_GB2312"/>
          <w:sz w:val="32"/>
          <w:szCs w:val="32"/>
          <w:highlight w:val="none"/>
          <w:lang w:val="en-US" w:eastAsia="zh-CN"/>
        </w:rPr>
        <w:t>72.17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14.94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本年度因工作开展需要，公用经费增加。</w:t>
      </w:r>
    </w:p>
    <w:p w14:paraId="22965F37">
      <w:pPr>
        <w:spacing w:line="600" w:lineRule="exact"/>
        <w:ind w:firstLine="643" w:firstLineChars="200"/>
        <w:outlineLvl w:val="9"/>
        <w:rPr>
          <w:rFonts w:hint="eastAsia" w:ascii="Times New Roman" w:hAnsi="Times New Roman" w:eastAsia="楷体_GB2312" w:cs="楷体_GB2312"/>
          <w:b/>
          <w:color w:val="FF0000"/>
          <w:sz w:val="32"/>
          <w:szCs w:val="32"/>
          <w:highlight w:val="none"/>
          <w:lang w:eastAsia="zh-CN"/>
        </w:rPr>
      </w:pPr>
      <w:bookmarkStart w:id="65" w:name="_Toc15377223"/>
      <w:r>
        <w:rPr>
          <w:rFonts w:hint="eastAsia" w:ascii="Times New Roman" w:hAnsi="Times New Roman" w:eastAsia="楷体_GB2312" w:cs="楷体_GB2312"/>
          <w:b/>
          <w:color w:val="auto"/>
          <w:sz w:val="32"/>
          <w:szCs w:val="32"/>
          <w:highlight w:val="none"/>
        </w:rPr>
        <w:t>（二）政府采购支出情况</w:t>
      </w:r>
      <w:bookmarkEnd w:id="65"/>
    </w:p>
    <w:p w14:paraId="75840CD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lang w:val="en-US" w:eastAsia="zh-CN"/>
        </w:rPr>
        <w:t>阿坝藏族羌族自治州人力资源和社会保障局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338.25</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19.15</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319.1</w:t>
      </w:r>
      <w:r>
        <w:rPr>
          <w:rFonts w:hint="eastAsia" w:ascii="仿宋_GB2312" w:hAnsi="仿宋_GB2312" w:eastAsia="仿宋_GB2312" w:cs="仿宋_GB2312"/>
          <w:color w:val="auto"/>
          <w:kern w:val="2"/>
          <w:sz w:val="32"/>
          <w:szCs w:val="32"/>
          <w:highlight w:val="none"/>
          <w:lang w:val="en-US" w:eastAsia="zh-CN" w:bidi="ar-SA"/>
        </w:rPr>
        <w:t>万元。主要用于日常工作开展所需的政府采购。授予中小企业合同金额</w:t>
      </w:r>
      <w:r>
        <w:rPr>
          <w:rFonts w:hint="eastAsia" w:ascii="仿宋_GB2312" w:hAnsi="仿宋_GB2312" w:eastAsia="仿宋_GB2312" w:cs="仿宋_GB2312"/>
          <w:sz w:val="32"/>
          <w:szCs w:val="32"/>
          <w:highlight w:val="none"/>
          <w:lang w:val="en-US" w:eastAsia="zh-CN"/>
        </w:rPr>
        <w:t>13.63</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4.03</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lang w:val="en-US" w:eastAsia="zh-CN"/>
        </w:rPr>
        <w:t>13.63</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4.03</w:t>
      </w:r>
      <w:r>
        <w:rPr>
          <w:rFonts w:hint="eastAsia" w:ascii="仿宋_GB2312" w:hAnsi="仿宋_GB2312" w:eastAsia="仿宋_GB2312" w:cs="仿宋_GB2312"/>
          <w:color w:val="auto"/>
          <w:kern w:val="2"/>
          <w:sz w:val="32"/>
          <w:szCs w:val="32"/>
          <w:highlight w:val="none"/>
          <w:lang w:val="en-US" w:eastAsia="zh-CN" w:bidi="ar-SA"/>
        </w:rPr>
        <w:t>%。</w:t>
      </w:r>
    </w:p>
    <w:p w14:paraId="5C24164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66" w:name="_Toc15377224"/>
      <w:r>
        <w:rPr>
          <w:rFonts w:hint="eastAsia" w:ascii="Times New Roman" w:hAnsi="Times New Roman" w:eastAsia="楷体_GB2312" w:cs="楷体_GB2312"/>
          <w:b/>
          <w:color w:val="auto"/>
          <w:sz w:val="32"/>
          <w:szCs w:val="32"/>
          <w:highlight w:val="none"/>
        </w:rPr>
        <w:t>（三）国有资产占有使用情况</w:t>
      </w:r>
      <w:bookmarkEnd w:id="66"/>
    </w:p>
    <w:p w14:paraId="7CD481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highlight w:val="none"/>
          <w:lang w:val="en-US" w:eastAsia="zh-CN"/>
        </w:rPr>
        <w:t>阿坝藏族羌族自治州人力资源和社会保障局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lang w:val="en-US" w:eastAsia="zh-CN"/>
        </w:rPr>
        <w:t>13</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6D0C60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highlight w:val="none"/>
          <w:lang w:val="en-US" w:eastAsia="zh-CN"/>
        </w:rPr>
        <w:t>阿坝藏族羌族自治州人力资源和社会保障局</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年度预算编制阶段，组织对信访办案专项经费</w:t>
      </w:r>
      <w:r>
        <w:rPr>
          <w:rFonts w:hint="eastAsia" w:eastAsia="仿宋_GB2312" w:cs="仿宋_GB2312"/>
          <w:color w:val="auto"/>
          <w:kern w:val="2"/>
          <w:sz w:val="32"/>
          <w:szCs w:val="32"/>
          <w:highlight w:val="none"/>
          <w:lang w:val="en-US" w:eastAsia="zh-CN" w:bidi="ar-SA"/>
        </w:rPr>
        <w:t>、事业人员培训专项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68AB5AB2">
      <w:pPr>
        <w:adjustRightInd w:val="0"/>
        <w:snapToGrid w:val="0"/>
        <w:spacing w:line="560" w:lineRule="exact"/>
        <w:ind w:firstLine="640" w:firstLineChars="200"/>
        <w:rPr>
          <w:rFonts w:ascii="Times New Roman" w:hAnsi="Times New Roman" w:eastAsia="楷体_GB2312" w:cs="Times New Roman"/>
          <w:b/>
          <w:bCs/>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组织对</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等全面开展</w:t>
      </w:r>
      <w:r>
        <w:rPr>
          <w:rFonts w:hint="eastAsia" w:eastAsia="仿宋_GB2312" w:cs="仿宋_GB2312"/>
          <w:color w:val="auto"/>
          <w:kern w:val="2"/>
          <w:sz w:val="32"/>
          <w:szCs w:val="32"/>
          <w:highlight w:val="none"/>
          <w:lang w:val="en-US" w:eastAsia="zh-CN" w:bidi="ar-SA"/>
        </w:rPr>
        <w:t>了</w:t>
      </w:r>
      <w:r>
        <w:rPr>
          <w:rFonts w:hint="eastAsia" w:ascii="Times New Roman" w:hAnsi="Times New Roman" w:eastAsia="仿宋_GB2312" w:cs="仿宋_GB2312"/>
          <w:color w:val="auto"/>
          <w:kern w:val="2"/>
          <w:sz w:val="32"/>
          <w:szCs w:val="32"/>
          <w:highlight w:val="none"/>
          <w:lang w:val="en-US" w:eastAsia="zh-CN" w:bidi="ar-SA"/>
        </w:rPr>
        <w:t>绩效自评，形成</w:t>
      </w:r>
      <w:r>
        <w:rPr>
          <w:rFonts w:hint="eastAsia" w:ascii="仿宋_GB2312" w:hAnsi="仿宋_GB2312" w:eastAsia="仿宋_GB2312" w:cs="仿宋_GB2312"/>
          <w:sz w:val="32"/>
          <w:szCs w:val="32"/>
          <w:highlight w:val="none"/>
          <w:lang w:val="en-US" w:eastAsia="zh-CN"/>
        </w:rPr>
        <w:t>阿坝藏族羌族自治州人力资源和社会保障局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部门整体（含部门预算项目）绩效自评报告、信访办案专项经费</w:t>
      </w:r>
      <w:r>
        <w:rPr>
          <w:rFonts w:hint="eastAsia" w:eastAsia="仿宋_GB2312" w:cs="仿宋_GB2312"/>
          <w:color w:val="auto"/>
          <w:kern w:val="2"/>
          <w:sz w:val="32"/>
          <w:szCs w:val="32"/>
          <w:highlight w:val="none"/>
          <w:lang w:val="en-US" w:eastAsia="zh-CN" w:bidi="ar-SA"/>
        </w:rPr>
        <w:t>、事业人员培训专项</w:t>
      </w:r>
      <w:r>
        <w:rPr>
          <w:rFonts w:hint="eastAsia" w:ascii="Times New Roman" w:hAnsi="Times New Roman" w:eastAsia="仿宋_GB2312" w:cs="仿宋_GB2312"/>
          <w:color w:val="auto"/>
          <w:kern w:val="2"/>
          <w:sz w:val="32"/>
          <w:szCs w:val="32"/>
          <w:highlight w:val="none"/>
          <w:lang w:val="en-US" w:eastAsia="zh-CN" w:bidi="ar-SA"/>
        </w:rPr>
        <w:t>等专项预算项目绩效自评报告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阿坝藏族羌族自治州人力资源和社会保障局</w:t>
      </w:r>
      <w:r>
        <w:rPr>
          <w:rFonts w:hint="eastAsia" w:ascii="Times New Roman" w:hAnsi="Times New Roman" w:eastAsia="仿宋_GB2312" w:cs="仿宋_GB2312"/>
          <w:color w:val="auto"/>
          <w:kern w:val="2"/>
          <w:sz w:val="32"/>
          <w:szCs w:val="32"/>
          <w:highlight w:val="none"/>
          <w:lang w:val="en-US" w:eastAsia="zh-CN" w:bidi="ar-SA"/>
        </w:rPr>
        <w:t>部门整体绩效自评得分为</w:t>
      </w:r>
      <w:r>
        <w:rPr>
          <w:rFonts w:hint="eastAsia" w:eastAsia="仿宋_GB2312" w:cs="仿宋_GB2312"/>
          <w:color w:val="auto"/>
          <w:kern w:val="2"/>
          <w:sz w:val="32"/>
          <w:szCs w:val="32"/>
          <w:highlight w:val="none"/>
          <w:lang w:val="en-US" w:eastAsia="zh-CN" w:bidi="ar-SA"/>
        </w:rPr>
        <w:t>88.17</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sz w:val="32"/>
          <w:szCs w:val="32"/>
          <w:highlight w:val="none"/>
          <w:lang w:val="en-US" w:eastAsia="zh-CN"/>
        </w:rPr>
        <w:t>提高部门预算编制的科学性。通过对单位预决算情况分析，检验预算编制的科学程度，了解财政资金的实际使用方向是否和预算一致，查找差异产生的原因，为下年度部门预算编制提供依据，提高预算编制的科学性</w:t>
      </w:r>
      <w:r>
        <w:rPr>
          <w:rFonts w:hint="eastAsia" w:ascii="Times New Roman" w:hAnsi="Times New Roman" w:eastAsia="仿宋_GB2312" w:cs="仿宋_GB2312"/>
          <w:color w:val="auto"/>
          <w:kern w:val="2"/>
          <w:sz w:val="32"/>
          <w:szCs w:val="32"/>
          <w:highlight w:val="none"/>
          <w:lang w:val="en-US" w:eastAsia="zh-CN" w:bidi="ar-SA"/>
        </w:rPr>
        <w:t>；阿坝州社会保险事业管理局关于2025年城乡居民基本养老保险基金专项预算项目绩效自评，绩效自评综述</w:t>
      </w:r>
      <w:r>
        <w:rPr>
          <w:rFonts w:hint="eastAsia" w:eastAsia="仿宋_GB2312" w:cs="仿宋_GB2312"/>
          <w:color w:val="auto"/>
          <w:kern w:val="2"/>
          <w:sz w:val="32"/>
          <w:szCs w:val="32"/>
          <w:highlight w:val="none"/>
          <w:lang w:val="en-US" w:eastAsia="zh-CN" w:bidi="ar-SA"/>
        </w:rPr>
        <w:t>：</w:t>
      </w:r>
      <w:r>
        <w:rPr>
          <w:rFonts w:ascii="Times New Roman" w:hAnsi="Times New Roman" w:eastAsia="仿宋_GB2312" w:cs="Times New Roman"/>
          <w:bCs/>
          <w:sz w:val="32"/>
          <w:szCs w:val="32"/>
          <w:highlight w:val="none"/>
        </w:rPr>
        <w:t>一是</w:t>
      </w:r>
      <w:r>
        <w:rPr>
          <w:rFonts w:ascii="Times New Roman" w:hAnsi="Times New Roman" w:eastAsia="仿宋_GB2312" w:cs="Times New Roman"/>
          <w:sz w:val="32"/>
          <w:szCs w:val="32"/>
          <w:highlight w:val="none"/>
        </w:rPr>
        <w:t>加强各级经办机构基金收支预算测算工作，科学、规范进行年初预算及预算调整，进一步提高预算编制的预见性、准确性、完整性和科学性；</w:t>
      </w:r>
      <w:r>
        <w:rPr>
          <w:rFonts w:ascii="Times New Roman" w:hAnsi="Times New Roman" w:eastAsia="仿宋_GB2312" w:cs="Times New Roman"/>
          <w:bCs/>
          <w:sz w:val="32"/>
          <w:szCs w:val="32"/>
          <w:highlight w:val="none"/>
        </w:rPr>
        <w:t>二是</w:t>
      </w:r>
      <w:r>
        <w:rPr>
          <w:rFonts w:ascii="Times New Roman" w:hAnsi="Times New Roman" w:eastAsia="仿宋_GB2312" w:cs="Times New Roman"/>
          <w:sz w:val="32"/>
          <w:szCs w:val="32"/>
          <w:highlight w:val="none"/>
        </w:rPr>
        <w:t>定期跟踪预算执行情况，认真分析上年及本年前三季度预算执行情况，综合考虑享受待遇领取人数、待遇标准变化及待遇政策调整等因素，按照规定的支出范围、项目和标准，做到精准调整；</w:t>
      </w:r>
      <w:r>
        <w:rPr>
          <w:rFonts w:ascii="Times New Roman" w:hAnsi="Times New Roman" w:eastAsia="仿宋_GB2312" w:cs="Times New Roman"/>
          <w:bCs/>
          <w:sz w:val="32"/>
          <w:szCs w:val="32"/>
          <w:highlight w:val="none"/>
        </w:rPr>
        <w:t>三是</w:t>
      </w:r>
      <w:r>
        <w:rPr>
          <w:rFonts w:ascii="Times New Roman" w:hAnsi="Times New Roman" w:eastAsia="仿宋_GB2312" w:cs="Times New Roman"/>
          <w:sz w:val="32"/>
          <w:szCs w:val="32"/>
          <w:highlight w:val="none"/>
        </w:rPr>
        <w:t>继续推进实施城乡居民基本养老保险州级统筹工作，确保各项政策落实到位；</w:t>
      </w:r>
      <w:r>
        <w:rPr>
          <w:rFonts w:ascii="Times New Roman" w:hAnsi="Times New Roman" w:eastAsia="仿宋_GB2312" w:cs="Times New Roman"/>
          <w:bCs/>
          <w:sz w:val="32"/>
          <w:szCs w:val="32"/>
          <w:highlight w:val="none"/>
        </w:rPr>
        <w:t>四是</w:t>
      </w:r>
      <w:r>
        <w:rPr>
          <w:rFonts w:ascii="Times New Roman" w:hAnsi="Times New Roman" w:eastAsia="仿宋_GB2312" w:cs="Times New Roman"/>
          <w:sz w:val="32"/>
          <w:szCs w:val="32"/>
          <w:highlight w:val="none"/>
          <w:lang w:eastAsia="zh-CN"/>
        </w:rPr>
        <w:t>持续提升</w:t>
      </w:r>
      <w:r>
        <w:rPr>
          <w:rFonts w:ascii="Times New Roman" w:hAnsi="Times New Roman" w:eastAsia="仿宋_GB2312" w:cs="Times New Roman"/>
          <w:sz w:val="32"/>
          <w:szCs w:val="32"/>
          <w:highlight w:val="none"/>
        </w:rPr>
        <w:t>基金财务管理</w:t>
      </w:r>
      <w:r>
        <w:rPr>
          <w:rFonts w:ascii="Times New Roman" w:hAnsi="Times New Roman" w:eastAsia="仿宋_GB2312" w:cs="Times New Roman"/>
          <w:sz w:val="32"/>
          <w:szCs w:val="32"/>
          <w:highlight w:val="none"/>
          <w:lang w:eastAsia="zh-CN"/>
        </w:rPr>
        <w:t>水平</w:t>
      </w:r>
      <w:r>
        <w:rPr>
          <w:rFonts w:ascii="Times New Roman" w:hAnsi="Times New Roman" w:eastAsia="仿宋_GB2312" w:cs="Times New Roman"/>
          <w:sz w:val="32"/>
          <w:szCs w:val="32"/>
          <w:highlight w:val="none"/>
        </w:rPr>
        <w:t>，做好资金划转、</w:t>
      </w:r>
    </w:p>
    <w:p w14:paraId="6BD846F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_GB2312" w:cs="Times New Roman"/>
          <w:sz w:val="32"/>
          <w:szCs w:val="32"/>
          <w:highlight w:val="none"/>
          <w:lang w:val="en-US" w:eastAsia="zh-CN"/>
        </w:rPr>
        <w:t>会计核算、报表核查、账户管理等工作</w:t>
      </w:r>
      <w:r>
        <w:rPr>
          <w:rFonts w:hint="eastAsia" w:ascii="Times New Roman" w:hAnsi="Times New Roman" w:eastAsia="仿宋_GB2312" w:cs="仿宋_GB2312"/>
          <w:color w:val="auto"/>
          <w:kern w:val="2"/>
          <w:sz w:val="32"/>
          <w:szCs w:val="32"/>
          <w:highlight w:val="none"/>
          <w:lang w:val="en-US" w:eastAsia="zh-CN" w:bidi="ar-SA"/>
        </w:rPr>
        <w:t>。</w:t>
      </w:r>
    </w:p>
    <w:p w14:paraId="35777AAA">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部门整体</w:t>
      </w:r>
      <w:r>
        <w:rPr>
          <w:rFonts w:hint="eastAsia" w:ascii="Times New Roman" w:hAnsi="Times New Roman" w:eastAsia="仿宋_GB2312" w:cs="仿宋_GB2312"/>
          <w:color w:val="auto"/>
          <w:kern w:val="2"/>
          <w:sz w:val="32"/>
          <w:szCs w:val="32"/>
          <w:highlight w:val="none"/>
          <w:lang w:val="en-US" w:eastAsia="zh-CN" w:bidi="ar-SA"/>
        </w:rPr>
        <w:t>绩效自评报告详见附件</w:t>
      </w:r>
      <w:r>
        <w:rPr>
          <w:rFonts w:hint="eastAsia" w:eastAsia="仿宋_GB2312" w:cs="仿宋_GB2312"/>
          <w:color w:val="auto"/>
          <w:kern w:val="2"/>
          <w:sz w:val="32"/>
          <w:szCs w:val="32"/>
          <w:highlight w:val="none"/>
          <w:lang w:val="en-US" w:eastAsia="zh-CN" w:bidi="ar-SA"/>
        </w:rPr>
        <w:t>1、部门项目</w:t>
      </w:r>
      <w:r>
        <w:rPr>
          <w:rFonts w:hint="eastAsia" w:ascii="Times New Roman" w:hAnsi="Times New Roman" w:eastAsia="仿宋_GB2312" w:cs="仿宋_GB2312"/>
          <w:color w:val="auto"/>
          <w:kern w:val="2"/>
          <w:sz w:val="32"/>
          <w:szCs w:val="32"/>
          <w:highlight w:val="none"/>
          <w:lang w:val="en-US" w:eastAsia="zh-CN" w:bidi="ar-SA"/>
        </w:rPr>
        <w:t>自评</w:t>
      </w:r>
      <w:r>
        <w:rPr>
          <w:rFonts w:hint="eastAsia" w:eastAsia="仿宋_GB2312" w:cs="仿宋_GB2312"/>
          <w:color w:val="auto"/>
          <w:kern w:val="2"/>
          <w:sz w:val="32"/>
          <w:szCs w:val="32"/>
          <w:highlight w:val="none"/>
          <w:lang w:val="en-US" w:eastAsia="zh-CN" w:bidi="ar-SA"/>
        </w:rPr>
        <w:t>表</w:t>
      </w:r>
      <w:r>
        <w:rPr>
          <w:rFonts w:hint="eastAsia" w:ascii="Times New Roman" w:hAnsi="Times New Roman" w:eastAsia="仿宋_GB2312" w:cs="仿宋_GB2312"/>
          <w:color w:val="auto"/>
          <w:kern w:val="2"/>
          <w:sz w:val="32"/>
          <w:szCs w:val="32"/>
          <w:highlight w:val="none"/>
          <w:lang w:val="en-US" w:eastAsia="zh-CN" w:bidi="ar-SA"/>
        </w:rPr>
        <w:t>详见附件</w:t>
      </w:r>
      <w:r>
        <w:rPr>
          <w:rFonts w:hint="eastAsia" w:eastAsia="仿宋_GB2312" w:cs="仿宋_GB2312"/>
          <w:color w:val="auto"/>
          <w:kern w:val="2"/>
          <w:sz w:val="32"/>
          <w:szCs w:val="32"/>
          <w:highlight w:val="none"/>
          <w:lang w:val="en-US" w:eastAsia="zh-CN" w:bidi="ar-SA"/>
        </w:rPr>
        <w:t>2。</w:t>
      </w:r>
    </w:p>
    <w:p w14:paraId="4DF8422F">
      <w:pPr>
        <w:numPr>
          <w:ilvl w:val="0"/>
          <w:numId w:val="0"/>
        </w:numPr>
        <w:spacing w:line="600" w:lineRule="exact"/>
        <w:jc w:val="center"/>
        <w:outlineLvl w:val="0"/>
        <w:rPr>
          <w:rFonts w:ascii="Times New Roman" w:hAnsi="Times New Roman"/>
          <w:b/>
          <w:color w:val="auto"/>
          <w:sz w:val="44"/>
          <w:szCs w:val="44"/>
          <w:highlight w:val="none"/>
        </w:rPr>
      </w:pPr>
      <w:bookmarkStart w:id="67" w:name="_Toc15377225"/>
      <w:bookmarkStart w:id="68" w:name="_Toc19091"/>
      <w:bookmarkStart w:id="69"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7"/>
      <w:bookmarkEnd w:id="68"/>
      <w:bookmarkEnd w:id="69"/>
    </w:p>
    <w:p w14:paraId="6B7BB26E">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6D922F47">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7EB7EED8">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25AF3148">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232D4C9D">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438D32DC">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1D74F9F0">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2B56474C">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04CF4FCE">
      <w:pPr>
        <w:numPr>
          <w:ilvl w:val="0"/>
          <w:numId w:val="3"/>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社会保障和就业支出（208）人力资源和社会保障管理事务（01）行政运行（01）:反映行政单位(包括实行公务员管理的事业单位)的基本支出</w:t>
      </w:r>
      <w:r>
        <w:rPr>
          <w:rFonts w:hint="eastAsia" w:eastAsia="仿宋_GB2312" w:cs="仿宋_GB2312"/>
          <w:color w:val="auto"/>
          <w:kern w:val="2"/>
          <w:sz w:val="32"/>
          <w:szCs w:val="32"/>
          <w:highlight w:val="none"/>
          <w:lang w:val="en-US" w:eastAsia="zh-CN" w:bidi="ar-SA"/>
        </w:rPr>
        <w:t>。</w:t>
      </w:r>
    </w:p>
    <w:p w14:paraId="32CA00CD">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社会保障和就业支出（208）人力资源和社会保障管理事务（01）一般行政管理事务（02）:反映行政单位(包括实行公务员管理的事业单位)未单独设置项级科目的其他项目支出</w:t>
      </w:r>
      <w:r>
        <w:rPr>
          <w:rFonts w:hint="eastAsia" w:eastAsia="仿宋_GB2312" w:cs="仿宋_GB2312"/>
          <w:color w:val="auto"/>
          <w:kern w:val="2"/>
          <w:sz w:val="32"/>
          <w:szCs w:val="32"/>
          <w:highlight w:val="none"/>
          <w:lang w:val="en-US" w:eastAsia="zh-CN" w:bidi="ar-SA"/>
        </w:rPr>
        <w:t>。</w:t>
      </w:r>
    </w:p>
    <w:p w14:paraId="76B601DC">
      <w:pPr>
        <w:numPr>
          <w:ilvl w:val="0"/>
          <w:numId w:val="3"/>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社会保障和就业支出（208）人力资源和社会保障管理事务（01）劳动保障监察（05）:反映劳动保障监察事务支出</w:t>
      </w:r>
      <w:r>
        <w:rPr>
          <w:rFonts w:hint="eastAsia" w:eastAsia="仿宋_GB2312" w:cs="仿宋_GB2312"/>
          <w:color w:val="auto"/>
          <w:kern w:val="2"/>
          <w:sz w:val="32"/>
          <w:szCs w:val="32"/>
          <w:highlight w:val="none"/>
          <w:lang w:val="en-US" w:eastAsia="zh-CN" w:bidi="ar-SA"/>
        </w:rPr>
        <w:t>。</w:t>
      </w:r>
    </w:p>
    <w:p w14:paraId="38352FEC">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社会保障和就业支出（208）人力资源和社会保障管理事务（01）社会保险业务管理事务（07）:反映社会保险业务管理和基金监督方面的支出</w:t>
      </w:r>
      <w:r>
        <w:rPr>
          <w:rFonts w:hint="eastAsia" w:eastAsia="仿宋_GB2312" w:cs="仿宋_GB2312"/>
          <w:color w:val="auto"/>
          <w:kern w:val="2"/>
          <w:sz w:val="32"/>
          <w:szCs w:val="32"/>
          <w:highlight w:val="none"/>
          <w:lang w:val="en-US" w:eastAsia="zh-CN" w:bidi="ar-SA"/>
        </w:rPr>
        <w:t>。</w:t>
      </w:r>
    </w:p>
    <w:p w14:paraId="3D83F491">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信息化建设（08）:反映人力资源和社会保障部门用于信息化建设、运行维护和数据分析等方面的支出,如金保工程、社会保障卡建设和运行维护、人力资源市场信息化等支出</w:t>
      </w:r>
      <w:r>
        <w:rPr>
          <w:rFonts w:hint="eastAsia" w:eastAsia="仿宋_GB2312" w:cs="仿宋_GB2312"/>
          <w:color w:val="auto"/>
          <w:kern w:val="2"/>
          <w:sz w:val="32"/>
          <w:szCs w:val="32"/>
          <w:highlight w:val="none"/>
          <w:lang w:val="en-US" w:eastAsia="zh-CN" w:bidi="ar-SA"/>
        </w:rPr>
        <w:t>。</w:t>
      </w:r>
    </w:p>
    <w:p w14:paraId="11BED288">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社会保障和就业支出（208）人力资源和社会保障管理事务（01）社会保险经办机构（09）:反映社会保险经办机构开展业务工作的支出</w:t>
      </w:r>
      <w:r>
        <w:rPr>
          <w:rFonts w:hint="eastAsia" w:eastAsia="仿宋_GB2312" w:cs="仿宋_GB2312"/>
          <w:color w:val="auto"/>
          <w:kern w:val="2"/>
          <w:sz w:val="32"/>
          <w:szCs w:val="32"/>
          <w:highlight w:val="none"/>
          <w:lang w:val="en-US" w:eastAsia="zh-CN" w:bidi="ar-SA"/>
        </w:rPr>
        <w:t>。</w:t>
      </w:r>
    </w:p>
    <w:p w14:paraId="41E0244E">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社会保障和就业支出（208）人力资源和社会保障管理事务（01）劳动关系和维权（10）:反映劳动关系和雄权事务支出</w:t>
      </w:r>
      <w:r>
        <w:rPr>
          <w:rFonts w:hint="eastAsia" w:eastAsia="仿宋_GB2312" w:cs="仿宋_GB2312"/>
          <w:color w:val="auto"/>
          <w:kern w:val="2"/>
          <w:sz w:val="32"/>
          <w:szCs w:val="32"/>
          <w:highlight w:val="none"/>
          <w:lang w:val="en-US" w:eastAsia="zh-CN" w:bidi="ar-SA"/>
        </w:rPr>
        <w:t>。</w:t>
      </w:r>
    </w:p>
    <w:p w14:paraId="6EA4B149">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社会保障和就业支出（208）人力资源和社会保障管理事务（01）劳动人事争议调解仲裁（12）:反映仲裁机构实体化建设、办案经费、调解仲裁能力建设等支出</w:t>
      </w:r>
      <w:r>
        <w:rPr>
          <w:rFonts w:hint="eastAsia" w:eastAsia="仿宋_GB2312" w:cs="仿宋_GB2312"/>
          <w:color w:val="auto"/>
          <w:kern w:val="2"/>
          <w:sz w:val="32"/>
          <w:szCs w:val="32"/>
          <w:highlight w:val="none"/>
          <w:lang w:val="en-US" w:eastAsia="zh-CN" w:bidi="ar-SA"/>
        </w:rPr>
        <w:t>。</w:t>
      </w:r>
    </w:p>
    <w:p w14:paraId="56444CF5">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社会保障和就业支出（208）人力资源和社会保障管理事务（01）事业运行（50）:反映事业单位的基本支出,不包括行政单位(包括实行公务员管理的事业单位)后勤服务中心、医务室等附属事业单位</w:t>
      </w:r>
      <w:r>
        <w:rPr>
          <w:rFonts w:hint="eastAsia" w:eastAsia="仿宋_GB2312" w:cs="仿宋_GB2312"/>
          <w:color w:val="auto"/>
          <w:kern w:val="2"/>
          <w:sz w:val="32"/>
          <w:szCs w:val="32"/>
          <w:highlight w:val="none"/>
          <w:lang w:val="en-US" w:eastAsia="zh-CN" w:bidi="ar-SA"/>
        </w:rPr>
        <w:t>。</w:t>
      </w:r>
    </w:p>
    <w:p w14:paraId="7BD662C4">
      <w:pPr>
        <w:numPr>
          <w:ilvl w:val="0"/>
          <w:numId w:val="3"/>
        </w:numPr>
        <w:spacing w:line="600" w:lineRule="exact"/>
        <w:ind w:left="0" w:leftChars="0" w:firstLine="400" w:firstLineChars="0"/>
        <w:rPr>
          <w:rFonts w:hint="eastAsia"/>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社会保障和就业支出（208）人力资源和社会保障管理事务（01）其他人力资源和社会保障管理事务支出（99）:反映除上述项目以外其他用于人力资源和社会保障管理事务方面的支出</w:t>
      </w:r>
      <w:r>
        <w:rPr>
          <w:rFonts w:hint="eastAsia" w:eastAsia="仿宋_GB2312" w:cs="仿宋_GB2312"/>
          <w:color w:val="auto"/>
          <w:kern w:val="2"/>
          <w:sz w:val="32"/>
          <w:szCs w:val="32"/>
          <w:highlight w:val="none"/>
          <w:lang w:val="en-US" w:eastAsia="zh-CN" w:bidi="ar-SA"/>
        </w:rPr>
        <w:t>。</w:t>
      </w:r>
    </w:p>
    <w:p w14:paraId="2474EEBA">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社会保障和就业支出（208）行政事业单位养老支出（05）机关事业单位基本养老保险缴费支出（05）:反映机关事业单位实施养老保险制度由单位缴纳的基本养老保险费支出。</w:t>
      </w:r>
    </w:p>
    <w:p w14:paraId="2704CA9B">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社会保障和就业支出（208）行政事业单位养老支出（05）机关事业单位职业年金缴费支出（06）:反映机关事业单位实施养老保险制度由单位实际缴纳的职业年金支出。</w:t>
      </w:r>
    </w:p>
    <w:p w14:paraId="32CA53B6">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社会保障和就业支出（208）行政事业单位养老支出（05）其他行政事业单位养老支出（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）:反映除上述项目以外其他用于行政事业单位养老方面的支出。</w:t>
      </w:r>
    </w:p>
    <w:p w14:paraId="39478434">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社会保障和就业支出（208）企业改革补助（06）其他企业改革发展补助（</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）:反映除上述项目以外财政用于企业改革发展方面的补助。</w:t>
      </w:r>
    </w:p>
    <w:p w14:paraId="3EB5F7B5">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社会保障和就业支出（208）就业补助（07）其他就业补助支出（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）:反映除上述项目以外按规定确定的其他用于促进就业的补助支出。</w:t>
      </w:r>
    </w:p>
    <w:p w14:paraId="1DFC1800">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行政单位医疗（01）:反映财政部门安排的行政单位(包括实行公务员管理的事业单位，下同)基本医疗保险缴费经费，未参加医疗保险的行政单位的公费医疗经费，按国家规定享受离休人员、红军老战士待遇人员的医疗经费。</w:t>
      </w:r>
    </w:p>
    <w:p w14:paraId="74218DFA">
      <w:pPr>
        <w:numPr>
          <w:ilvl w:val="0"/>
          <w:numId w:val="3"/>
        </w:numPr>
        <w:spacing w:line="600" w:lineRule="exact"/>
        <w:ind w:left="0" w:leftChars="0" w:firstLine="400" w:firstLineChars="0"/>
        <w:rPr>
          <w:rFonts w:hint="eastAsia"/>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卫生健康支出（210）行政事业单位医疗（11）事业单位医疗（0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）:反映财政部门安排的事业单位基本医疗保险缴费经费，未参加医疗保险的事业单位的公费医疗经费，按国家规定享受离休人员待遇的医疗经费。</w:t>
      </w:r>
    </w:p>
    <w:p w14:paraId="222148D9">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卫生健康支出（210）行政事业单位医疗（11）公务员医疗补助（03）:反映财政部门安排的公务员医疗补助经费。</w:t>
      </w:r>
    </w:p>
    <w:p w14:paraId="3821F241">
      <w:pPr>
        <w:numPr>
          <w:ilvl w:val="0"/>
          <w:numId w:val="3"/>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住房保障支出（221）住房改革支出（02）住房公积金（01）:反映行政事业单位按人力资源和社会保障部、财政部规定的基本工资和津贴补贴以及规定比例为职工缴纳的住房公积金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14:paraId="0498845D">
      <w:pPr>
        <w:numPr>
          <w:ilvl w:val="0"/>
          <w:numId w:val="3"/>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住房保障支出（221）住房改革支出（02）购房补贴（03）:反映按房改政策规定,行政事业单位向符合条件职工(含离退体人员》、军队(含武警)向转役复员离退体人员发放的用于购买住房的补贴</w:t>
      </w:r>
      <w:r>
        <w:rPr>
          <w:rFonts w:hint="eastAsia" w:eastAsia="仿宋_GB2312" w:cs="仿宋_GB2312"/>
          <w:color w:val="auto"/>
          <w:kern w:val="2"/>
          <w:sz w:val="32"/>
          <w:szCs w:val="32"/>
          <w:highlight w:val="none"/>
          <w:lang w:val="en-US" w:eastAsia="zh-CN" w:bidi="ar-SA"/>
        </w:rPr>
        <w:t>。</w:t>
      </w:r>
    </w:p>
    <w:p w14:paraId="423C2645">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45B0735">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2EC48A33">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6BC477E5">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13F1420">
      <w:pPr>
        <w:numPr>
          <w:ilvl w:val="0"/>
          <w:numId w:val="3"/>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25DCDB">
      <w:pPr>
        <w:spacing w:line="600" w:lineRule="exact"/>
        <w:jc w:val="center"/>
        <w:outlineLvl w:val="0"/>
        <w:rPr>
          <w:rFonts w:hint="eastAsia" w:ascii="Times New Roman" w:hAnsi="Times New Roman" w:eastAsia="黑体" w:cs="黑体"/>
          <w:color w:val="FF0000"/>
          <w:sz w:val="32"/>
          <w:szCs w:val="32"/>
          <w:highlight w:val="none"/>
        </w:rPr>
      </w:pPr>
      <w:bookmarkStart w:id="70"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71" w:name="_Toc15396614"/>
      <w:bookmarkStart w:id="72" w:name="_Toc6590"/>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1"/>
      <w:bookmarkEnd w:id="72"/>
    </w:p>
    <w:p w14:paraId="4FD69E6C">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7DE9DA8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Times New Roman" w:hAnsi="Times New Roman" w:eastAsia="方正小标宋简体" w:cs="Times New Roman"/>
          <w:b w:val="0"/>
          <w:bCs/>
          <w:sz w:val="44"/>
          <w:szCs w:val="44"/>
          <w:highlight w:val="none"/>
          <w:shd w:val="clear" w:color="auto" w:fill="FFFFFF"/>
          <w:lang w:eastAsia="zh-CN"/>
        </w:rPr>
      </w:pPr>
      <w:bookmarkStart w:id="73" w:name="_Hlk110546638"/>
      <w:r>
        <w:rPr>
          <w:rFonts w:hint="eastAsia" w:ascii="Times New Roman" w:hAnsi="Times New Roman" w:eastAsia="方正小标宋简体" w:cs="Times New Roman"/>
          <w:b w:val="0"/>
          <w:bCs/>
          <w:sz w:val="44"/>
          <w:szCs w:val="44"/>
          <w:highlight w:val="none"/>
          <w:shd w:val="clear" w:color="auto" w:fill="FFFFFF"/>
          <w:lang w:eastAsia="zh-CN"/>
        </w:rPr>
        <w:t>阿坝州人力资源和社会保障局</w:t>
      </w:r>
    </w:p>
    <w:p w14:paraId="4BBCB9E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自评</w:t>
      </w:r>
      <w:r>
        <w:rPr>
          <w:rFonts w:hint="default" w:ascii="Times New Roman" w:hAnsi="Times New Roman" w:eastAsia="方正小标宋简体" w:cs="Times New Roman"/>
          <w:b w:val="0"/>
          <w:bCs/>
          <w:sz w:val="44"/>
          <w:szCs w:val="44"/>
          <w:highlight w:val="none"/>
          <w:shd w:val="clear" w:color="auto" w:fill="FFFFFF"/>
        </w:rPr>
        <w:t>报告</w:t>
      </w:r>
    </w:p>
    <w:p w14:paraId="74C23B94">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黑体" w:cs="Times New Roman"/>
          <w:color w:val="000000"/>
          <w:kern w:val="0"/>
          <w:sz w:val="24"/>
          <w:szCs w:val="32"/>
          <w:highlight w:val="none"/>
          <w:shd w:val="clear" w:color="auto" w:fill="FFFFFF"/>
        </w:rPr>
      </w:pPr>
      <w:r>
        <w:rPr>
          <w:rFonts w:hint="eastAsia" w:ascii="Times New Roman" w:hAnsi="Times New Roman" w:eastAsia="仿宋_GB2312" w:cs="Times New Roman"/>
          <w:sz w:val="32"/>
          <w:szCs w:val="32"/>
          <w:highlight w:val="none"/>
          <w:shd w:val="clear" w:color="auto" w:fill="FFFFFF"/>
          <w:lang w:val="en-US" w:eastAsia="zh-CN"/>
        </w:rPr>
        <w:t xml:space="preserve">   </w:t>
      </w:r>
    </w:p>
    <w:p w14:paraId="2808194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r>
        <w:rPr>
          <w:rFonts w:hint="eastAsia" w:ascii="Times New Roman" w:hAnsi="Times New Roman" w:eastAsia="黑体" w:cs="Times New Roman"/>
          <w:color w:val="000000"/>
          <w:kern w:val="0"/>
          <w:sz w:val="32"/>
          <w:szCs w:val="32"/>
          <w:highlight w:val="none"/>
          <w:shd w:val="clear" w:color="auto" w:fill="FFFFFF"/>
          <w:lang w:val="en-US" w:eastAsia="zh-CN"/>
        </w:rPr>
        <w:t xml:space="preserve">  </w:t>
      </w:r>
    </w:p>
    <w:p w14:paraId="748D577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22" w:firstLineChars="200"/>
        <w:contextualSpacing/>
        <w:jc w:val="left"/>
        <w:textAlignment w:val="auto"/>
        <w:outlineLvl w:val="9"/>
        <w:rPr>
          <w:rFonts w:hint="default" w:ascii="方正仿宋_GBK" w:hAnsi="方正仿宋_GBK" w:eastAsia="方正仿宋_GBK" w:cs="方正仿宋_GBK"/>
          <w:b/>
          <w:bCs/>
          <w:color w:val="000000"/>
          <w:sz w:val="31"/>
          <w:szCs w:val="31"/>
          <w:highlight w:val="none"/>
          <w:lang w:val="zh-CN"/>
        </w:rPr>
      </w:pPr>
      <w:r>
        <w:rPr>
          <w:rFonts w:hint="default" w:ascii="方正仿宋_GBK" w:hAnsi="方正仿宋_GBK" w:eastAsia="方正仿宋_GBK" w:cs="方正仿宋_GBK"/>
          <w:b/>
          <w:bCs/>
          <w:color w:val="000000"/>
          <w:sz w:val="31"/>
          <w:szCs w:val="31"/>
          <w:highlight w:val="none"/>
          <w:lang w:val="zh-CN"/>
        </w:rPr>
        <w:t>（一）机构组成。</w:t>
      </w:r>
    </w:p>
    <w:p w14:paraId="1C88C5D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20" w:firstLineChars="200"/>
        <w:contextualSpacing/>
        <w:jc w:val="left"/>
        <w:textAlignment w:val="auto"/>
        <w:outlineLvl w:val="9"/>
        <w:rPr>
          <w:rFonts w:hint="eastAsia" w:ascii="方正仿宋_GBK" w:hAnsi="方正仿宋_GBK" w:eastAsia="方正仿宋_GBK" w:cs="方正仿宋_GBK"/>
          <w:b w:val="0"/>
          <w:bCs w:val="0"/>
          <w:color w:val="000000"/>
          <w:sz w:val="31"/>
          <w:szCs w:val="31"/>
          <w:highlight w:val="none"/>
          <w:lang w:eastAsia="zh-CN"/>
        </w:rPr>
      </w:pPr>
      <w:r>
        <w:rPr>
          <w:rFonts w:ascii="方正仿宋_GBK" w:hAnsi="方正仿宋_GBK" w:eastAsia="方正仿宋_GBK" w:cs="方正仿宋_GBK"/>
          <w:b w:val="0"/>
          <w:bCs w:val="0"/>
          <w:color w:val="000000"/>
          <w:sz w:val="31"/>
          <w:szCs w:val="31"/>
          <w:highlight w:val="none"/>
        </w:rPr>
        <w:t>州人力资源社会保障局设下列内设机构： 办公室</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政策法规与表彰奖励科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综合规划与调查研究科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就业促进科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人力资源产业与农民工工作科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职业能力建设科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专业技术人员管理科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事业单位人事管理科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劳动关系科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工资福利科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社会保险科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社会保险基金监督与内部审计科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调解仲裁信访科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劳动保障监察科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人事与任免科</w:t>
      </w:r>
      <w:r>
        <w:rPr>
          <w:rFonts w:hint="eastAsia" w:ascii="方正仿宋_GBK" w:hAnsi="方正仿宋_GBK" w:eastAsia="方正仿宋_GBK" w:cs="方正仿宋_GBK"/>
          <w:b w:val="0"/>
          <w:bCs w:val="0"/>
          <w:color w:val="000000"/>
          <w:sz w:val="31"/>
          <w:szCs w:val="31"/>
          <w:highlight w:val="none"/>
          <w:lang w:eastAsia="zh-CN"/>
        </w:rPr>
        <w:t>、</w:t>
      </w:r>
      <w:r>
        <w:rPr>
          <w:rFonts w:hint="eastAsia" w:ascii="方正仿宋_GBK" w:hAnsi="方正仿宋_GBK" w:eastAsia="方正仿宋_GBK" w:cs="方正仿宋_GBK"/>
          <w:b w:val="0"/>
          <w:bCs w:val="0"/>
          <w:color w:val="000000"/>
          <w:sz w:val="31"/>
          <w:szCs w:val="31"/>
          <w:highlight w:val="none"/>
        </w:rPr>
        <w:t xml:space="preserve"> 机关党委</w:t>
      </w:r>
      <w:r>
        <w:rPr>
          <w:rFonts w:hint="eastAsia" w:ascii="方正仿宋_GBK" w:hAnsi="方正仿宋_GBK" w:eastAsia="方正仿宋_GBK" w:cs="方正仿宋_GBK"/>
          <w:b w:val="0"/>
          <w:bCs w:val="0"/>
          <w:color w:val="000000"/>
          <w:sz w:val="31"/>
          <w:szCs w:val="31"/>
          <w:highlight w:val="none"/>
          <w:lang w:eastAsia="zh-CN"/>
        </w:rPr>
        <w:t>。</w:t>
      </w:r>
    </w:p>
    <w:p w14:paraId="3C1D120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20" w:firstLineChars="200"/>
        <w:contextualSpacing/>
        <w:jc w:val="left"/>
        <w:textAlignment w:val="auto"/>
        <w:outlineLvl w:val="9"/>
        <w:rPr>
          <w:rFonts w:hint="default" w:ascii="方正仿宋_GBK" w:hAnsi="方正仿宋_GBK" w:eastAsia="方正仿宋_GBK" w:cs="方正仿宋_GBK"/>
          <w:b w:val="0"/>
          <w:bCs w:val="0"/>
          <w:color w:val="000000"/>
          <w:sz w:val="31"/>
          <w:szCs w:val="31"/>
          <w:highlight w:val="none"/>
          <w:lang w:val="en-US" w:eastAsia="zh-CN"/>
        </w:rPr>
      </w:pPr>
      <w:r>
        <w:rPr>
          <w:rFonts w:hint="eastAsia" w:ascii="方正仿宋_GBK" w:hAnsi="方正仿宋_GBK" w:eastAsia="方正仿宋_GBK" w:cs="方正仿宋_GBK"/>
          <w:b w:val="0"/>
          <w:bCs w:val="0"/>
          <w:color w:val="000000"/>
          <w:sz w:val="31"/>
          <w:szCs w:val="31"/>
          <w:highlight w:val="none"/>
          <w:lang w:eastAsia="zh-CN"/>
        </w:rPr>
        <w:t>州人力资源和社会保障局部分事业单位设下列内设机构：阿坝州劳动人事争议仲裁院、阿坝州社会保障卡服务中心、阿坝州人事考试中心、阿坝州人力资源和社会保障档案管理中心、阿坝州人力资源服务中心。</w:t>
      </w:r>
    </w:p>
    <w:p w14:paraId="761708DC">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机构职能。</w:t>
      </w:r>
    </w:p>
    <w:p w14:paraId="04A6CA05">
      <w:pPr>
        <w:snapToGrid w:val="0"/>
        <w:spacing w:line="520" w:lineRule="exact"/>
        <w:ind w:firstLine="640" w:firstLineChars="200"/>
        <w:rPr>
          <w:rFonts w:hint="default" w:ascii="Times New Roman" w:hAnsi="Times New Roman" w:eastAsia="仿宋_GB2312" w:cs="Times New Roman"/>
          <w:sz w:val="32"/>
          <w:highlight w:val="none"/>
          <w:lang w:val="zh-CN"/>
        </w:rPr>
      </w:pPr>
      <w:r>
        <w:rPr>
          <w:rFonts w:hint="eastAsia" w:ascii="仿宋_GB2312" w:hAnsi="仿宋" w:eastAsia="仿宋_GB2312" w:cs="Times New Roman"/>
          <w:sz w:val="32"/>
          <w:szCs w:val="32"/>
          <w:highlight w:val="none"/>
          <w:lang w:val="en-US" w:eastAsia="zh-CN"/>
        </w:rPr>
        <w:t>1、拟订人力资源和社会保障事业发展政策、规划，起草相关民族自治法规和规范性文件草案。2、拟订人力资源市场发展规划和人力资源服务业发展、人力资源流动政策，促进人力资源合理流动、有效配置。3、负责促进就业工作，拟订统筹城乡的就业发展规划和政策，完善公共就业创业服务体系，统筹建立面向城乡劳动者的职业技能培训制度，拟订并组织落实创业、就业援助制度，牵头拟订高校毕业生就业政策。4、统筹推进建立覆盖城乡的多层次社会保障体系。拟订养老、失业、工伤等社会保险及其补充保险政策和标准。贯彻落实养老保险全国统筹办法和全国统一的养老、失业、工伤保险关系转续办法。组织拟订养老、失业、工伤等社会保险及其补充保险基金管理和监督办法，编制相关社会保险基金预决算草案，参与拟订相关社会保障基金投资政策。会同有关部门实施全民参保计划并参与建立全国统一的社会保险公共服务平台。拟订人力资源和社会保障信息化建设总体规划、年度计划，制定相关制度、标准和规范并组织实施。指导、督促企业参加工伤保险。5、负责就业、失业和相关社会保险基金预测预警和信息引导，拟订应对预案，实施预防、调节和控制，保持就业形势稳定和相关社会保险基金总体收支平衡。6、统筹拟订劳动人事争议调解仲裁制度和劳动关系政策，完善劳动关系协商协调机制，贯彻职工工作时间、休息休假和假期制度，落实消除非法使用童工政策和女工、未成年工特殊劳动保护政策。依法督促用人单位在劳动用工、合同签订与履约时，载明劳动保护、劳动条件和职业危害防护等条款。组织实施劳动保障监察，协调劳动者维权工作，依法查处重大案件。7、牵头推进深化职称制度改革，拟订专业技术人员管理、继续教育和博士后管理等政策，负责高层次专业技术人才选拔和培养工作，贯彻落实吸引留学人员来州（回州）工作或定居政策。组织拟订技能人才培养、评价、使用和激励制度。贯彻落实职业资格制度，健全职业技能多元化评价政策。指导、监督各级各类技工学校、民办职业培训机构按国家和省、州有关规定履行安全管理责任。8、会同有关部门指导事业单位人事制度改革，按照管理权限负责规范事业单位岗位设置、公开招聘、聘用合同等人事综合管理工作，落实规范事业单位工作人员和机关工勤人员管理政策，将安全生产及生态环境保护责任履行情况作为事业单位工作人员奖惩、考核的重要内容。9、组织实施国家表彰奖励制度，综合管理政府表彰奖励工作，承担评比达标表彰等工作，根据授权承办以州委、州政府名义开展的表彰奖励活动。承办提请州人大常委会和州政府决定的人事任免事项。10、会同有关部门拟订事业单位人员工资收入分配政策，建立企事业单位人员工资决定、正常增长和支付保障机制。拟订企事业单位人员福利和离退休政策。11、会同有关部门拟订农民工工作的综合性政策和规划，推动相关政策落实，协调解决重点难点问题，维护农民工合法权益。负责将安全生产纳入农民工技能培训内容。12、负责人力资源和社会保障领域内的对外交流与合作工作。13、承担职责范围内的安全生产和职业健康、生态环境保护、审批服务便民化等工作。14.统筹拟订劳动、人事争议调解仲裁制度和劳动关系政策并组织和监督实施，完善劳动关系协调机制，贯彻企业职工工作时间、休息休假制度、消除非法使用童工政策和女工、未成年工的特殊劳动保护政策，组织实施劳动监察，协调劳动者维权工作，依法查处重大案件。15、完成州委、州政府交办的其他任务。16、职能转变。深入推进简政放权、放管结合、优化服务改革，进一步减少行政审批事项，规范和优化对外办理事项，减少职业资格许可和认定等审批事项，实行职业资格目录清单管理，加强事中事后监管，创新就业和社会保障等公共服务方式，加强信息共享，提高公共服务水平。17、有关职责分工。与州教育局的有关职责分工。高校毕业生就业政策由州人力资源社会保障局牵头，会同州教育局等部门拟订。高校毕业生离校前的就业指导和服务工作，由州教育局负责；高校毕业生离校后的就业指导和服务工作，由州人力资源社会保障局负责。18、负责阿坝州劳动人事争议仲裁委员会的日常工作； 依法处理州本级管理范围内的劳动争议案件及上级交办、外地委托的案件;根据阿坝州劳动人事争议仲裁委员会授权，负责仲裁员的培训、考核、聘任工作,并对全州仲裁员调解员进行管理；参与调解和仲裁涉及劳动人事突发事件、群体、疑难及重大案件; 承担本行政区域内企业及职工开展劳动人事争议预防工作和处理程序方面的法律、法规、政策知识宣传和培训工作。19、负责宣传人力资源和社会保障政策、法规、 规章、制度；受理人力资源和社会保障举报、投诉；负责完善人力资源和社会保障政策法规知识库，并提供咨询服务；负责收集人力资源和社会保障业务办理流程并录入系统，引导群众按流程办理相关人社业务；负责有关人事招录方面的咨询服务；负责养老、失业、工伤保险和职业年金的参保缴费和待遇领取等信息的电话查询服务，负责个人社保权益的电话查询服务；负责惠民惠农财政补贴资金社会保障卡“一卡通”和社会保障卡业务办理查询服务。20、贯彻执行国家和人力资源社会保障部信息化建设有关法律、法规和技术规范，严格执行数据的定义、标准和分类，确保人力资源和社会保障信息化建设和数据符合国家统一要求；建立健全各项规章制度和应急预案；负责全州人力资源社会保障信息系统建设和业务数据管理维护；负责信息化建设硬件设备预算采购、配备等工作；负责人力资源社会保障公共服务系统建设；负责社会保障卡跨地区、跨部门推广应用和数据交换；负责社会保障卡“一卡通”信息系统运行、管理、维护；负责社会保障卡的信息采集、制作、发放、密码重置、密码修改、激活等业务；推进社会保障卡功能拓展应 用；组织开展社会保障卡宣传和业务培训；承担局信息化领导小组办公室的日常工作；指导各县（市）完成信息化建设、信息系统应用和相关业务工作。21、承担各类执业（职业）资格考试、专业技术资格考试、事业单位公开招聘考试、社会化考试的组织实施工作，协助做好公务员录用、公开遴选、公开选调等考试的考务组织工作。22、贯彻执行《中华人民共和国档案法》等档案法律法 规，向社会各界和群众无偿提供档案查阅利用服务；建立健全局机关档案工作规章制度；负责局机关档案收集、整理、保管、统计、利用服务和期满档案移交工作；统一代管局属各事业单位和经办机构档案。</w:t>
      </w:r>
    </w:p>
    <w:p w14:paraId="68C1CEA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r>
        <w:rPr>
          <w:rFonts w:hint="default" w:ascii="Times New Roman" w:hAnsi="Times New Roman" w:eastAsia="仿宋_GB2312" w:cs="Times New Roman"/>
          <w:sz w:val="32"/>
          <w:szCs w:val="32"/>
          <w:highlight w:val="none"/>
        </w:rPr>
        <w:t>截至202</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年末，</w:t>
      </w:r>
      <w:r>
        <w:rPr>
          <w:rFonts w:hint="eastAsia" w:ascii="Times New Roman" w:hAnsi="Times New Roman" w:eastAsia="仿宋_GB2312" w:cs="Times New Roman"/>
          <w:sz w:val="32"/>
          <w:szCs w:val="32"/>
          <w:highlight w:val="none"/>
          <w:lang w:val="en-US" w:eastAsia="zh-CN"/>
        </w:rPr>
        <w:t>阿坝州人力资源和社会保障局</w:t>
      </w:r>
      <w:r>
        <w:rPr>
          <w:rFonts w:hint="default" w:ascii="Times New Roman" w:hAnsi="Times New Roman" w:eastAsia="仿宋_GB2312" w:cs="Times New Roman"/>
          <w:sz w:val="32"/>
          <w:szCs w:val="32"/>
          <w:highlight w:val="none"/>
        </w:rPr>
        <w:t>及下属单位编制</w:t>
      </w:r>
      <w:r>
        <w:rPr>
          <w:rFonts w:hint="default" w:ascii="Times New Roman" w:hAnsi="Times New Roman" w:eastAsia="仿宋_GB2312" w:cs="Times New Roman"/>
          <w:sz w:val="32"/>
          <w:szCs w:val="32"/>
          <w:highlight w:val="none"/>
          <w:lang w:eastAsia="zh-CN"/>
        </w:rPr>
        <w:t>情况及</w:t>
      </w:r>
      <w:r>
        <w:rPr>
          <w:rFonts w:hint="default" w:ascii="Times New Roman" w:hAnsi="Times New Roman" w:eastAsia="仿宋_GB2312" w:cs="Times New Roman"/>
          <w:sz w:val="32"/>
          <w:szCs w:val="32"/>
          <w:highlight w:val="none"/>
        </w:rPr>
        <w:t>年末实有人数</w:t>
      </w:r>
      <w:r>
        <w:rPr>
          <w:rFonts w:hint="default" w:ascii="Times New Roman" w:hAnsi="Times New Roman" w:eastAsia="仿宋_GB2312" w:cs="Times New Roman"/>
          <w:sz w:val="32"/>
          <w:szCs w:val="32"/>
          <w:highlight w:val="none"/>
          <w:lang w:val="en-US" w:eastAsia="zh-CN"/>
        </w:rPr>
        <w:t>情况</w:t>
      </w:r>
      <w:r>
        <w:rPr>
          <w:rFonts w:hint="eastAsia" w:ascii="Times New Roman" w:hAnsi="Times New Roman" w:eastAsia="仿宋_GB2312" w:cs="Times New Roman"/>
          <w:sz w:val="32"/>
          <w:szCs w:val="32"/>
          <w:highlight w:val="none"/>
          <w:lang w:val="en-US" w:eastAsia="zh-CN"/>
        </w:rPr>
        <w:t>：行政编制年末实有人数38人，事业编制51人。2025年年末实有人数共计89人。</w:t>
      </w:r>
    </w:p>
    <w:p w14:paraId="5ACCAF5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14:paraId="57D37479">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p>
    <w:p w14:paraId="15F84D2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州人社局部门2025年年初预算收入5207.18万元，其中社会保障和就业支出4689.03万元，占比90.04%；卫生健康支出225.13万元，占比4.32%；住房保障支出293.02万元，占比5.63%。</w:t>
      </w:r>
    </w:p>
    <w:p w14:paraId="354CE58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州人社局部门2025年决算报表收入6493.85万元，其中社会保障和就业支出6118.35万元，占比94.22%；卫生健康支出244.21万元，占比3.76%；住房保障支出335.46万元，占比5.17%。</w:t>
      </w:r>
    </w:p>
    <w:p w14:paraId="667C1C5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rPr>
      </w:pPr>
      <w:r>
        <w:rPr>
          <w:rFonts w:hint="eastAsia" w:ascii="Times New Roman" w:hAnsi="Times New Roman" w:eastAsia="仿宋_GB2312" w:cs="Times New Roman"/>
          <w:sz w:val="32"/>
          <w:szCs w:val="32"/>
          <w:highlight w:val="none"/>
          <w:lang w:val="en-US" w:eastAsia="zh-CN"/>
        </w:rPr>
        <w:t>州</w:t>
      </w:r>
      <w:r>
        <w:rPr>
          <w:rFonts w:ascii="Times New Roman" w:hAnsi="Times New Roman" w:eastAsia="仿宋_GB2312" w:cs="Times New Roman"/>
          <w:sz w:val="32"/>
          <w:szCs w:val="32"/>
          <w:highlight w:val="none"/>
          <w:lang w:val="en-US" w:eastAsia="zh-CN"/>
        </w:rPr>
        <w:t>人力资源和社会保障局</w:t>
      </w:r>
      <w:r>
        <w:rPr>
          <w:rFonts w:hint="eastAsia" w:ascii="Times New Roman" w:hAnsi="Times New Roman" w:eastAsia="仿宋_GB2312" w:cs="Times New Roman"/>
          <w:sz w:val="32"/>
          <w:szCs w:val="32"/>
          <w:highlight w:val="none"/>
          <w:lang w:val="en-US" w:eastAsia="zh-CN"/>
        </w:rPr>
        <w:t>2025年年初</w:t>
      </w:r>
      <w:r>
        <w:rPr>
          <w:rFonts w:ascii="Times New Roman" w:hAnsi="Times New Roman" w:eastAsia="仿宋_GB2312" w:cs="Times New Roman"/>
          <w:sz w:val="32"/>
          <w:szCs w:val="32"/>
          <w:highlight w:val="none"/>
          <w:lang w:val="en-US" w:eastAsia="zh-CN"/>
        </w:rPr>
        <w:t>预</w:t>
      </w:r>
      <w:r>
        <w:rPr>
          <w:rFonts w:hint="eastAsia" w:ascii="Times New Roman" w:hAnsi="Times New Roman" w:eastAsia="仿宋_GB2312" w:cs="Times New Roman"/>
          <w:sz w:val="32"/>
          <w:szCs w:val="32"/>
          <w:highlight w:val="none"/>
          <w:lang w:val="en-US" w:eastAsia="zh-CN"/>
        </w:rPr>
        <w:t>算报表收入1878.22万元，其中社会保障和就业支出1733.11万元，占比92.27%；卫生健康支出67.04万元，占比3.57%；住房保障支出78.07万元，占比4.16%；教育支出0万元，占比0%。</w:t>
      </w:r>
    </w:p>
    <w:p w14:paraId="09FF7CD5">
      <w:pPr>
        <w:keepNext w:val="0"/>
        <w:keepLines w:val="0"/>
        <w:pageBreakBefore w:val="0"/>
        <w:widowControl/>
        <w:kinsoku/>
        <w:wordWrap/>
        <w:overflowPunct/>
        <w:topLinePunct w:val="0"/>
        <w:autoSpaceDE/>
        <w:autoSpaceDN/>
        <w:adjustRightInd w:val="0"/>
        <w:snapToGrid w:val="0"/>
        <w:spacing w:line="578" w:lineRule="exact"/>
        <w:ind w:firstLine="640" w:firstLineChars="200"/>
        <w:contextualSpacing/>
        <w:jc w:val="left"/>
        <w:rPr>
          <w:rFonts w:hint="default" w:ascii="Times New Roman" w:hAnsi="Times New Roman" w:eastAsia="楷体_GB2312" w:cs="Times New Roman"/>
          <w:b/>
          <w:bCs/>
          <w:color w:val="000000"/>
          <w:kern w:val="0"/>
          <w:sz w:val="32"/>
          <w:szCs w:val="32"/>
          <w:highlight w:val="none"/>
          <w:shd w:val="clear" w:color="auto" w:fill="FFFFFF"/>
          <w:lang w:val="en-US"/>
        </w:rPr>
      </w:pPr>
      <w:r>
        <w:rPr>
          <w:rFonts w:hint="eastAsia" w:ascii="Times New Roman" w:hAnsi="Times New Roman" w:eastAsia="仿宋_GB2312" w:cs="Times New Roman"/>
          <w:sz w:val="32"/>
          <w:szCs w:val="32"/>
          <w:highlight w:val="none"/>
          <w:lang w:val="en-US" w:eastAsia="zh-CN"/>
        </w:rPr>
        <w:t>州</w:t>
      </w:r>
      <w:r>
        <w:rPr>
          <w:rFonts w:ascii="Times New Roman" w:hAnsi="Times New Roman" w:eastAsia="仿宋_GB2312" w:cs="Times New Roman"/>
          <w:sz w:val="32"/>
          <w:szCs w:val="32"/>
          <w:highlight w:val="none"/>
          <w:lang w:val="en-US" w:eastAsia="zh-CN"/>
        </w:rPr>
        <w:t>人力资源和社会保障信息中心</w:t>
      </w:r>
      <w:r>
        <w:rPr>
          <w:rFonts w:hint="eastAsia" w:ascii="Times New Roman" w:hAnsi="Times New Roman" w:eastAsia="仿宋_GB2312" w:cs="Times New Roman"/>
          <w:sz w:val="32"/>
          <w:szCs w:val="32"/>
          <w:highlight w:val="none"/>
          <w:lang w:val="en-US" w:eastAsia="zh-CN"/>
        </w:rPr>
        <w:t>2025年年初</w:t>
      </w:r>
      <w:r>
        <w:rPr>
          <w:rFonts w:ascii="Times New Roman" w:hAnsi="Times New Roman" w:eastAsia="仿宋_GB2312" w:cs="Times New Roman"/>
          <w:sz w:val="32"/>
          <w:szCs w:val="32"/>
          <w:highlight w:val="none"/>
          <w:lang w:val="en-US" w:eastAsia="zh-CN"/>
        </w:rPr>
        <w:t>预</w:t>
      </w:r>
      <w:r>
        <w:rPr>
          <w:rFonts w:hint="eastAsia" w:ascii="Times New Roman" w:hAnsi="Times New Roman" w:eastAsia="仿宋_GB2312" w:cs="Times New Roman"/>
          <w:sz w:val="32"/>
          <w:szCs w:val="32"/>
          <w:highlight w:val="none"/>
          <w:lang w:val="en-US" w:eastAsia="zh-CN"/>
        </w:rPr>
        <w:t>算报表收入997.72万元，其中社会保障和就业支出851.28万元，占比</w:t>
      </w:r>
      <w:r>
        <w:rPr>
          <w:rFonts w:ascii="Times New Roman" w:hAnsi="Times New Roman" w:eastAsia="仿宋_GB2312" w:cs="Times New Roman"/>
          <w:sz w:val="32"/>
          <w:szCs w:val="32"/>
          <w:highlight w:val="none"/>
          <w:lang w:val="en-US" w:eastAsia="zh-CN"/>
        </w:rPr>
        <w:t>85.</w:t>
      </w:r>
      <w:r>
        <w:rPr>
          <w:rFonts w:hint="eastAsia" w:ascii="Times New Roman" w:hAnsi="Times New Roman" w:eastAsia="仿宋_GB2312" w:cs="Times New Roman"/>
          <w:sz w:val="32"/>
          <w:szCs w:val="32"/>
          <w:highlight w:val="none"/>
          <w:lang w:val="en-US" w:eastAsia="zh-CN"/>
        </w:rPr>
        <w:t>32%；卫生健康支出60.36万元，占比6.05%；房保障支出86.07万元，占比8.63%。</w:t>
      </w:r>
    </w:p>
    <w:p w14:paraId="2DDC3AC0">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支出情况。</w:t>
      </w:r>
    </w:p>
    <w:p w14:paraId="1403285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Times New Roman" w:hAnsi="Times New Roman" w:eastAsia="楷体_GB2312" w:cs="Times New Roman"/>
          <w:b/>
          <w:bCs/>
          <w:color w:val="000000"/>
          <w:kern w:val="0"/>
          <w:sz w:val="32"/>
          <w:szCs w:val="32"/>
          <w:highlight w:val="none"/>
          <w:shd w:val="clear" w:color="auto" w:fill="FFFFFF"/>
        </w:rPr>
      </w:pPr>
      <w:r>
        <w:rPr>
          <w:rFonts w:hint="eastAsia" w:ascii="Times New Roman" w:hAnsi="Times New Roman" w:eastAsia="仿宋_GB2312" w:cs="Times New Roman"/>
          <w:sz w:val="32"/>
          <w:szCs w:val="32"/>
          <w:highlight w:val="none"/>
          <w:lang w:val="en-US" w:eastAsia="zh-CN"/>
        </w:rPr>
        <w:t>州人社局部门2025年年初预算支出5207.18万元，其中社会保障和就业支出4689.03万元，占比90.04%；卫生健康支出225.13万元，占比4.32%；住房保障支出293.02万元，占比5.63%。</w:t>
      </w:r>
    </w:p>
    <w:p w14:paraId="107C05F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州人社局部门2025年决算报表支出6493.85万元，基本支出5185.73万元，占比79.86%；项目支出1512.28万元，占比23.29%。（其中社会保障和就业支出6118.35万元，占比94.22%；卫生健康支出244.21万元，占比3.76%；住房保障支出335.46万元，占比5.17%;教育支出0万元，占比0。）</w:t>
      </w:r>
    </w:p>
    <w:p w14:paraId="5AAEC0DE">
      <w:pPr>
        <w:keepNext w:val="0"/>
        <w:keepLines w:val="0"/>
        <w:pageBreakBefore w:val="0"/>
        <w:widowControl/>
        <w:kinsoku/>
        <w:wordWrap/>
        <w:overflowPunct/>
        <w:topLinePunct w:val="0"/>
        <w:autoSpaceDE/>
        <w:autoSpaceDN/>
        <w:adjustRightInd w:val="0"/>
        <w:snapToGrid w:val="0"/>
        <w:spacing w:line="578" w:lineRule="exact"/>
        <w:ind w:firstLine="640" w:firstLineChars="200"/>
        <w:contextualSpacing/>
        <w:jc w:val="left"/>
        <w:rPr>
          <w:rFonts w:ascii="Times New Roman" w:hAnsi="Times New Roman" w:eastAsia="楷体_GB2312" w:cs="Times New Roman"/>
          <w:b/>
          <w:bCs/>
          <w:color w:val="000000"/>
          <w:kern w:val="0"/>
          <w:sz w:val="32"/>
          <w:szCs w:val="32"/>
          <w:highlight w:val="none"/>
          <w:shd w:val="clear" w:color="auto" w:fill="FFFFFF"/>
        </w:rPr>
      </w:pPr>
      <w:r>
        <w:rPr>
          <w:rFonts w:hint="eastAsia" w:ascii="Times New Roman" w:hAnsi="Times New Roman" w:eastAsia="仿宋_GB2312" w:cs="Times New Roman"/>
          <w:sz w:val="32"/>
          <w:szCs w:val="32"/>
          <w:highlight w:val="none"/>
          <w:lang w:val="en-US" w:eastAsia="zh-CN"/>
        </w:rPr>
        <w:t>州</w:t>
      </w:r>
      <w:r>
        <w:rPr>
          <w:rFonts w:ascii="Times New Roman" w:hAnsi="Times New Roman" w:eastAsia="仿宋_GB2312" w:cs="Times New Roman"/>
          <w:sz w:val="32"/>
          <w:szCs w:val="32"/>
          <w:highlight w:val="none"/>
          <w:lang w:val="en-US" w:eastAsia="zh-CN"/>
        </w:rPr>
        <w:t>人力资源和社会保障局</w:t>
      </w:r>
      <w:r>
        <w:rPr>
          <w:rFonts w:hint="eastAsia" w:ascii="Times New Roman" w:hAnsi="Times New Roman" w:eastAsia="仿宋_GB2312" w:cs="Times New Roman"/>
          <w:sz w:val="32"/>
          <w:szCs w:val="32"/>
          <w:highlight w:val="none"/>
          <w:lang w:val="en-US" w:eastAsia="zh-CN"/>
        </w:rPr>
        <w:t>2025年</w:t>
      </w:r>
      <w:r>
        <w:rPr>
          <w:rFonts w:ascii="Times New Roman" w:hAnsi="Times New Roman" w:eastAsia="仿宋_GB2312" w:cs="Times New Roman"/>
          <w:sz w:val="32"/>
          <w:szCs w:val="32"/>
          <w:highlight w:val="none"/>
          <w:lang w:val="en-US" w:eastAsia="zh-CN"/>
        </w:rPr>
        <w:t>决算报表</w:t>
      </w:r>
      <w:r>
        <w:rPr>
          <w:rFonts w:hint="eastAsia" w:ascii="Times New Roman" w:hAnsi="Times New Roman" w:eastAsia="仿宋_GB2312" w:cs="Times New Roman"/>
          <w:sz w:val="32"/>
          <w:szCs w:val="32"/>
          <w:highlight w:val="none"/>
          <w:lang w:val="en-US" w:eastAsia="zh-CN"/>
        </w:rPr>
        <w:t>支出2419.2万元，其中社会保障和就业支出2477.34万元，占比102.4%；卫生健康支出66.7万元，占比2.77%；住房保障支出79.27万元，占比3.28%；教育支出0万元，占比0%。</w:t>
      </w:r>
    </w:p>
    <w:p w14:paraId="451D4FB1">
      <w:pPr>
        <w:keepNext w:val="0"/>
        <w:keepLines w:val="0"/>
        <w:pageBreakBefore w:val="0"/>
        <w:widowControl/>
        <w:kinsoku/>
        <w:wordWrap/>
        <w:overflowPunct/>
        <w:topLinePunct w:val="0"/>
        <w:autoSpaceDE/>
        <w:autoSpaceDN/>
        <w:adjustRightInd w:val="0"/>
        <w:snapToGrid w:val="0"/>
        <w:spacing w:line="578" w:lineRule="exact"/>
        <w:ind w:left="0" w:firstLine="480" w:firstLineChars="150"/>
        <w:contextualSpacing/>
        <w:jc w:val="left"/>
        <w:rPr>
          <w:rFonts w:ascii="Times New Roman" w:hAnsi="Times New Roman" w:eastAsia="楷体_GB2312" w:cs="Times New Roman"/>
          <w:b/>
          <w:bCs/>
          <w:color w:val="000000"/>
          <w:kern w:val="0"/>
          <w:sz w:val="32"/>
          <w:szCs w:val="32"/>
          <w:highlight w:val="none"/>
          <w:shd w:val="clear" w:color="auto" w:fill="FFFFFF"/>
        </w:rPr>
      </w:pPr>
      <w:r>
        <w:rPr>
          <w:rFonts w:ascii="Times New Roman" w:hAnsi="Times New Roman" w:eastAsia="仿宋_GB2312" w:cs="Times New Roman"/>
          <w:sz w:val="32"/>
          <w:highlight w:val="none"/>
        </w:rPr>
        <w:t xml:space="preserve"> 州</w:t>
      </w:r>
      <w:r>
        <w:rPr>
          <w:rFonts w:ascii="Times New Roman" w:hAnsi="Times New Roman" w:eastAsia="仿宋_GB2312" w:cs="Times New Roman"/>
          <w:sz w:val="32"/>
          <w:szCs w:val="32"/>
          <w:highlight w:val="none"/>
          <w:lang w:val="en-US" w:eastAsia="zh-CN"/>
        </w:rPr>
        <w:t>人力资源和社会保障信息中心</w:t>
      </w:r>
      <w:r>
        <w:rPr>
          <w:rFonts w:hint="eastAsia" w:ascii="Times New Roman" w:hAnsi="Times New Roman" w:eastAsia="仿宋_GB2312" w:cs="Times New Roman"/>
          <w:sz w:val="32"/>
          <w:szCs w:val="32"/>
          <w:highlight w:val="none"/>
          <w:lang w:val="en-US" w:eastAsia="zh-CN"/>
        </w:rPr>
        <w:t>2025年</w:t>
      </w:r>
      <w:r>
        <w:rPr>
          <w:rFonts w:ascii="Times New Roman" w:hAnsi="Times New Roman" w:eastAsia="仿宋_GB2312" w:cs="Times New Roman"/>
          <w:sz w:val="32"/>
          <w:szCs w:val="32"/>
          <w:highlight w:val="none"/>
          <w:lang w:val="en-US" w:eastAsia="zh-CN"/>
        </w:rPr>
        <w:t>决算报表</w:t>
      </w:r>
      <w:r>
        <w:rPr>
          <w:rFonts w:hint="eastAsia" w:ascii="Times New Roman" w:hAnsi="Times New Roman" w:eastAsia="仿宋_GB2312" w:cs="Times New Roman"/>
          <w:sz w:val="32"/>
          <w:szCs w:val="32"/>
          <w:highlight w:val="none"/>
          <w:lang w:val="en-US" w:eastAsia="zh-CN"/>
        </w:rPr>
        <w:t>支出1285.41万元，其中社会保障和就业支出1116.6万元，占比86.87%；卫生健康支出69.91万元，占比5.44%；住房保障支出98.9万元，占比7.69%。</w:t>
      </w:r>
    </w:p>
    <w:p w14:paraId="37ED75B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阿坝州人力资源和社会保障局2025年全年实现工作目标一是</w:t>
      </w:r>
      <w:r>
        <w:rPr>
          <w:rFonts w:hint="default" w:ascii="Times New Roman" w:hAnsi="Times New Roman" w:eastAsia="仿宋_GB2312" w:cs="Times New Roman"/>
          <w:sz w:val="32"/>
          <w:highlight w:val="none"/>
          <w:lang w:val="en-US" w:eastAsia="zh-CN"/>
        </w:rPr>
        <w:t>保民生兜底线，就业形势稳中有进</w:t>
      </w:r>
      <w:r>
        <w:rPr>
          <w:rFonts w:hint="eastAsia" w:ascii="Times New Roman" w:hAnsi="Times New Roman" w:eastAsia="仿宋_GB2312" w:cs="Times New Roman"/>
          <w:sz w:val="32"/>
          <w:highlight w:val="none"/>
          <w:lang w:val="en-US" w:eastAsia="zh-CN"/>
        </w:rPr>
        <w:t>；二是</w:t>
      </w:r>
      <w:r>
        <w:rPr>
          <w:rFonts w:hint="default" w:ascii="Times New Roman" w:hAnsi="Times New Roman" w:eastAsia="仿宋_GB2312" w:cs="Times New Roman"/>
          <w:sz w:val="32"/>
          <w:highlight w:val="none"/>
          <w:lang w:val="en-US" w:eastAsia="zh-CN"/>
        </w:rPr>
        <w:t>促改革强保障，社会保险运行平稳</w:t>
      </w:r>
      <w:r>
        <w:rPr>
          <w:rFonts w:hint="eastAsia" w:ascii="Times New Roman" w:hAnsi="Times New Roman" w:eastAsia="仿宋_GB2312" w:cs="Times New Roman"/>
          <w:sz w:val="32"/>
          <w:highlight w:val="none"/>
          <w:lang w:val="en-US" w:eastAsia="zh-CN"/>
        </w:rPr>
        <w:t>；</w:t>
      </w:r>
      <w:r>
        <w:rPr>
          <w:rFonts w:hint="default" w:ascii="Times New Roman" w:hAnsi="Times New Roman" w:eastAsia="仿宋_GB2312" w:cs="Times New Roman"/>
          <w:sz w:val="32"/>
          <w:highlight w:val="none"/>
          <w:lang w:val="en-US" w:eastAsia="zh-CN"/>
        </w:rPr>
        <w:t>三</w:t>
      </w:r>
      <w:r>
        <w:rPr>
          <w:rFonts w:hint="eastAsia" w:ascii="Times New Roman" w:hAnsi="Times New Roman" w:eastAsia="仿宋_GB2312" w:cs="Times New Roman"/>
          <w:sz w:val="32"/>
          <w:highlight w:val="none"/>
          <w:lang w:val="en-US" w:eastAsia="zh-CN"/>
        </w:rPr>
        <w:t>是</w:t>
      </w:r>
      <w:r>
        <w:rPr>
          <w:rFonts w:hint="default" w:ascii="Times New Roman" w:hAnsi="Times New Roman" w:eastAsia="仿宋_GB2312" w:cs="Times New Roman"/>
          <w:sz w:val="32"/>
          <w:highlight w:val="none"/>
          <w:lang w:val="en-US" w:eastAsia="zh-CN"/>
        </w:rPr>
        <w:t>重培养抓引进，激发人事人才活力</w:t>
      </w:r>
      <w:r>
        <w:rPr>
          <w:rFonts w:hint="eastAsia" w:ascii="Times New Roman" w:hAnsi="Times New Roman" w:eastAsia="仿宋_GB2312" w:cs="Times New Roman"/>
          <w:sz w:val="32"/>
          <w:highlight w:val="none"/>
          <w:lang w:val="en-US" w:eastAsia="zh-CN"/>
        </w:rPr>
        <w:t>；四是防风险固底板，劳动关系总体和谐稳定；五是优服务提效能，人社公共服务水平全面提升。</w:t>
      </w:r>
    </w:p>
    <w:p w14:paraId="532DDFA6">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sz w:val="32"/>
          <w:szCs w:val="32"/>
          <w:highlight w:val="none"/>
        </w:rPr>
        <w:t>结余分配和结转结余情况</w:t>
      </w:r>
      <w:r>
        <w:rPr>
          <w:rFonts w:hint="default" w:ascii="Times New Roman" w:hAnsi="Times New Roman" w:eastAsia="楷体_GB2312" w:cs="Times New Roman"/>
          <w:b/>
          <w:sz w:val="32"/>
          <w:szCs w:val="32"/>
          <w:highlight w:val="none"/>
          <w:lang w:eastAsia="zh-CN"/>
        </w:rPr>
        <w:t>。</w:t>
      </w:r>
      <w:r>
        <w:rPr>
          <w:rFonts w:hint="eastAsia" w:ascii="Times New Roman" w:hAnsi="Times New Roman" w:eastAsia="仿宋_GB2312" w:cs="Times New Roman"/>
          <w:sz w:val="32"/>
          <w:highlight w:val="none"/>
          <w:lang w:val="en-US" w:eastAsia="zh-CN"/>
        </w:rPr>
        <w:t>阿坝州人力资源和社会保障局</w:t>
      </w:r>
      <w:r>
        <w:rPr>
          <w:rFonts w:hint="default" w:ascii="Times New Roman" w:hAnsi="Times New Roman" w:eastAsia="仿宋_GB2312" w:cs="Times New Roman"/>
          <w:sz w:val="32"/>
          <w:szCs w:val="32"/>
          <w:highlight w:val="none"/>
          <w:lang w:val="en-US" w:eastAsia="zh-CN"/>
        </w:rPr>
        <w:t>202</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年决算报表</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结转结余</w:t>
      </w:r>
      <w:r>
        <w:rPr>
          <w:rFonts w:hint="eastAsia" w:ascii="Times New Roman" w:hAnsi="Times New Roman" w:eastAsia="仿宋_GB2312" w:cs="Times New Roman"/>
          <w:b w:val="0"/>
          <w:bCs w:val="0"/>
          <w:color w:val="000000"/>
          <w:kern w:val="0"/>
          <w:sz w:val="32"/>
          <w:szCs w:val="32"/>
          <w:highlight w:val="none"/>
          <w:shd w:val="clear" w:color="auto" w:fill="FFFFFF"/>
          <w:lang w:val="en-US" w:eastAsia="zh-CN"/>
        </w:rPr>
        <w:t>328.31万元为考试考点费，上缴财政。</w:t>
      </w:r>
    </w:p>
    <w:p w14:paraId="039ED6E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14:paraId="1F4EA17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r>
        <w:rPr>
          <w:rFonts w:hint="default" w:ascii="Times New Roman" w:hAnsi="Times New Roman" w:eastAsia="仿宋_GB2312" w:cs="Times New Roman"/>
          <w:color w:val="000000"/>
          <w:kern w:val="0"/>
          <w:sz w:val="32"/>
          <w:szCs w:val="32"/>
          <w:highlight w:val="none"/>
          <w:shd w:val="clear" w:color="auto" w:fill="FFFFFF"/>
          <w:lang w:val="zh-CN"/>
        </w:rPr>
        <w:t>根据部门预算绩效评价指标体系“总体绩效”涉及二、三级指标进行逐项绩效分析并评分，依次包括履职效能、预算管理、财务管理、资产管理、采购管理等情况。</w:t>
      </w:r>
    </w:p>
    <w:p w14:paraId="25C62CC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default" w:ascii="Times New Roman" w:hAnsi="Times New Roman" w:eastAsia="楷体_GB2312" w:cs="Times New Roman"/>
          <w:color w:val="000000"/>
          <w:kern w:val="0"/>
          <w:sz w:val="32"/>
          <w:szCs w:val="32"/>
          <w:highlight w:val="none"/>
          <w:shd w:val="clear" w:color="auto" w:fill="FFFFFF"/>
          <w:lang w:val="zh-CN"/>
        </w:rPr>
        <w:t>履职效能。</w:t>
      </w:r>
    </w:p>
    <w:p w14:paraId="75FB97A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en-US" w:eastAsia="zh-CN"/>
        </w:rPr>
        <w:t>本次绩效评价</w:t>
      </w:r>
      <w:r>
        <w:rPr>
          <w:rFonts w:hint="eastAsia" w:ascii="Times New Roman" w:hAnsi="Times New Roman" w:eastAsia="仿宋_GB2312" w:cs="Times New Roman"/>
          <w:sz w:val="32"/>
          <w:szCs w:val="32"/>
          <w:highlight w:val="none"/>
          <w:lang w:val="zh-CN" w:eastAsia="zh-CN"/>
        </w:rPr>
        <w:t>选定</w:t>
      </w:r>
      <w:r>
        <w:rPr>
          <w:rFonts w:hint="eastAsia" w:ascii="Times New Roman" w:hAnsi="Times New Roman" w:eastAsia="仿宋_GB2312" w:cs="Times New Roman"/>
          <w:sz w:val="32"/>
          <w:szCs w:val="32"/>
          <w:highlight w:val="none"/>
          <w:lang w:val="en-US" w:eastAsia="zh-CN"/>
        </w:rPr>
        <w:t>3</w:t>
      </w:r>
      <w:r>
        <w:rPr>
          <w:rFonts w:hint="eastAsia" w:ascii="Times New Roman" w:hAnsi="Times New Roman" w:eastAsia="仿宋_GB2312" w:cs="Times New Roman"/>
          <w:sz w:val="32"/>
          <w:szCs w:val="32"/>
          <w:highlight w:val="none"/>
          <w:lang w:val="zh-CN" w:eastAsia="zh-CN"/>
        </w:rPr>
        <w:t>个核心职能目标，对职能目标完成效果情况</w:t>
      </w:r>
      <w:r>
        <w:rPr>
          <w:rFonts w:hint="eastAsia" w:ascii="Times New Roman" w:hAnsi="Times New Roman" w:eastAsia="仿宋_GB2312" w:cs="Times New Roman"/>
          <w:sz w:val="32"/>
          <w:szCs w:val="32"/>
          <w:highlight w:val="none"/>
          <w:lang w:val="en-US" w:eastAsia="zh-CN"/>
        </w:rPr>
        <w:t>进行</w:t>
      </w:r>
      <w:r>
        <w:rPr>
          <w:rFonts w:hint="eastAsia" w:ascii="Times New Roman" w:hAnsi="Times New Roman" w:eastAsia="仿宋_GB2312" w:cs="Times New Roman"/>
          <w:sz w:val="32"/>
          <w:szCs w:val="32"/>
          <w:highlight w:val="none"/>
          <w:lang w:val="zh-CN" w:eastAsia="zh-CN"/>
        </w:rPr>
        <w:t>绩效分析。</w:t>
      </w:r>
    </w:p>
    <w:p w14:paraId="11E529C6">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643" w:firstLineChars="200"/>
        <w:jc w:val="both"/>
        <w:textAlignment w:val="auto"/>
        <w:outlineLvl w:val="9"/>
        <w:rPr>
          <w:rFonts w:hint="eastAsia" w:ascii="仿宋_GB2312" w:hAnsi="仿宋_GB2312" w:eastAsia="仿宋_GB2312" w:cs="仿宋_GB2312"/>
          <w:b w:val="0"/>
          <w:bCs w:val="0"/>
          <w:sz w:val="32"/>
          <w:szCs w:val="32"/>
          <w:highlight w:val="none"/>
          <w:lang w:val="en-US" w:bidi="ar-SA"/>
        </w:rPr>
      </w:pPr>
      <w:r>
        <w:rPr>
          <w:rFonts w:hint="eastAsia" w:ascii="Times New Roman" w:hAnsi="Times New Roman" w:eastAsia="仿宋_GB2312" w:cs="Times New Roman"/>
          <w:b/>
          <w:bCs/>
          <w:kern w:val="2"/>
          <w:sz w:val="32"/>
          <w:szCs w:val="32"/>
          <w:highlight w:val="none"/>
          <w:lang w:val="en-US" w:eastAsia="zh-CN" w:bidi="ar-SA"/>
        </w:rPr>
        <w:t>目标实现情况：</w:t>
      </w:r>
    </w:p>
    <w:p w14:paraId="73D1A992">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highlight w:val="none"/>
          <w:lang w:val="zh-CN"/>
        </w:rPr>
      </w:pPr>
      <w:r>
        <w:rPr>
          <w:rFonts w:hint="eastAsia" w:ascii="Times New Roman" w:hAnsi="Times New Roman" w:eastAsia="仿宋_GB2312" w:cs="Times New Roman"/>
          <w:sz w:val="32"/>
          <w:szCs w:val="32"/>
          <w:highlight w:val="none"/>
          <w:lang w:val="zh-CN" w:eastAsia="zh-CN"/>
        </w:rPr>
        <w:t>指标得分=年终完成履职效果目标数量÷年初目标设置总数×100%×指标分值</w:t>
      </w:r>
      <w:r>
        <w:rPr>
          <w:rFonts w:hint="eastAsia" w:ascii="Times New Roman" w:hAnsi="Times New Roman" w:eastAsia="仿宋_GB2312" w:cs="Times New Roman"/>
          <w:sz w:val="32"/>
          <w:szCs w:val="32"/>
          <w:highlight w:val="none"/>
          <w:lang w:val="en-US" w:eastAsia="zh-CN"/>
        </w:rPr>
        <w:t>=3÷3×100%×15=15分</w:t>
      </w:r>
      <w:r>
        <w:rPr>
          <w:rFonts w:hint="eastAsia" w:ascii="Times New Roman" w:hAnsi="Times New Roman" w:eastAsia="仿宋_GB2312" w:cs="Times New Roman"/>
          <w:sz w:val="32"/>
          <w:szCs w:val="32"/>
          <w:highlight w:val="none"/>
          <w:lang w:val="zh-CN" w:eastAsia="zh-CN"/>
        </w:rPr>
        <w:t>。</w:t>
      </w:r>
    </w:p>
    <w:p w14:paraId="165A7D3A">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zh-CN"/>
        </w:rPr>
        <w:t>预算管理。</w:t>
      </w:r>
    </w:p>
    <w:p w14:paraId="5AFCBBB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themeColor="text1"/>
          <w:kern w:val="0"/>
          <w:sz w:val="32"/>
          <w:szCs w:val="32"/>
          <w:highlight w:val="none"/>
          <w:shd w:val="clear" w:color="auto" w:fill="FFFFFF"/>
          <w:lang w:val="en-US" w:eastAsia="zh-CN"/>
          <w14:textFill>
            <w14:solidFill>
              <w14:schemeClr w14:val="tx1"/>
            </w14:solidFill>
          </w14:textFill>
        </w:rPr>
      </w:pPr>
      <w:r>
        <w:rPr>
          <w:rFonts w:hint="eastAsia" w:ascii="Times New Roman" w:hAnsi="Times New Roman" w:eastAsia="仿宋_GB2312" w:cs="Times New Roman"/>
          <w:color w:val="000000"/>
          <w:kern w:val="0"/>
          <w:sz w:val="32"/>
          <w:szCs w:val="32"/>
          <w:highlight w:val="none"/>
          <w:shd w:val="clear" w:color="auto" w:fill="FFFFFF"/>
          <w:lang w:val="zh-CN"/>
        </w:rPr>
        <w:t>我部门严格按要求编制年初部门预算，年初预算编制具有一定的科学性和准确性，</w:t>
      </w:r>
      <w:r>
        <w:rPr>
          <w:rFonts w:hint="eastAsia" w:ascii="Times New Roman" w:hAnsi="Times New Roman" w:eastAsia="仿宋_GB2312" w:cs="Times New Roman"/>
          <w:color w:val="000000" w:themeColor="text1"/>
          <w:kern w:val="0"/>
          <w:sz w:val="32"/>
          <w:szCs w:val="32"/>
          <w:highlight w:val="none"/>
          <w:shd w:val="clear" w:color="auto" w:fill="FFFFFF"/>
          <w:lang w:val="zh-CN"/>
          <w14:textFill>
            <w14:solidFill>
              <w14:schemeClr w14:val="tx1"/>
            </w14:solidFill>
          </w14:textFill>
        </w:rPr>
        <w:t>该项指标得分=（1-</w:t>
      </w:r>
      <w:r>
        <w:rPr>
          <w:rFonts w:hint="eastAsia" w:ascii="Times New Roman" w:hAnsi="Times New Roman" w:eastAsia="仿宋_GB2312" w:cs="Times New Roman"/>
          <w:color w:val="000000" w:themeColor="text1"/>
          <w:kern w:val="0"/>
          <w:sz w:val="32"/>
          <w:szCs w:val="32"/>
          <w:highlight w:val="none"/>
          <w:shd w:val="clear" w:color="auto" w:fill="FFFFFF"/>
          <w:lang w:val="en-US" w:eastAsia="zh-CN"/>
          <w14:textFill>
            <w14:solidFill>
              <w14:schemeClr w14:val="tx1"/>
            </w14:solidFill>
          </w14:textFill>
        </w:rPr>
        <w:t>0.29</w:t>
      </w:r>
      <w:r>
        <w:rPr>
          <w:rFonts w:hint="eastAsia" w:ascii="Times New Roman" w:hAnsi="Times New Roman" w:eastAsia="仿宋_GB2312" w:cs="Times New Roman"/>
          <w:color w:val="000000" w:themeColor="text1"/>
          <w:kern w:val="0"/>
          <w:sz w:val="32"/>
          <w:szCs w:val="32"/>
          <w:highlight w:val="none"/>
          <w:shd w:val="clear" w:color="auto" w:fill="FFFFFF"/>
          <w:lang w:val="zh-CN"/>
          <w14:textFill>
            <w14:solidFill>
              <w14:schemeClr w14:val="tx1"/>
            </w14:solidFill>
          </w14:textFill>
        </w:rPr>
        <w:t>）×100%×4+（1-</w:t>
      </w:r>
      <w:r>
        <w:rPr>
          <w:rFonts w:hint="eastAsia" w:ascii="Times New Roman" w:hAnsi="Times New Roman" w:eastAsia="仿宋_GB2312" w:cs="Times New Roman"/>
          <w:color w:val="000000" w:themeColor="text1"/>
          <w:kern w:val="0"/>
          <w:sz w:val="32"/>
          <w:szCs w:val="32"/>
          <w:highlight w:val="none"/>
          <w:shd w:val="clear" w:color="auto" w:fill="FFFFFF"/>
          <w:lang w:val="en-US" w:eastAsia="zh-CN"/>
          <w14:textFill>
            <w14:solidFill>
              <w14:schemeClr w14:val="tx1"/>
            </w14:solidFill>
          </w14:textFill>
        </w:rPr>
        <w:t>0</w:t>
      </w:r>
      <w:r>
        <w:rPr>
          <w:rFonts w:hint="eastAsia" w:ascii="Times New Roman" w:hAnsi="Times New Roman" w:eastAsia="仿宋_GB2312" w:cs="Times New Roman"/>
          <w:color w:val="000000" w:themeColor="text1"/>
          <w:kern w:val="0"/>
          <w:sz w:val="32"/>
          <w:szCs w:val="32"/>
          <w:highlight w:val="none"/>
          <w:shd w:val="clear" w:color="auto" w:fill="FFFFFF"/>
          <w:lang w:val="zh-CN"/>
          <w14:textFill>
            <w14:solidFill>
              <w14:schemeClr w14:val="tx1"/>
            </w14:solidFill>
          </w14:textFill>
        </w:rPr>
        <w:t>）×100%×2+（1-</w:t>
      </w:r>
      <w:r>
        <w:rPr>
          <w:rFonts w:hint="eastAsia" w:ascii="Times New Roman" w:hAnsi="Times New Roman" w:eastAsia="仿宋_GB2312" w:cs="Times New Roman"/>
          <w:color w:val="000000" w:themeColor="text1"/>
          <w:kern w:val="0"/>
          <w:sz w:val="32"/>
          <w:szCs w:val="32"/>
          <w:highlight w:val="none"/>
          <w:shd w:val="clear" w:color="auto" w:fill="FFFFFF"/>
          <w:lang w:val="en-US" w:eastAsia="zh-CN"/>
          <w14:textFill>
            <w14:solidFill>
              <w14:schemeClr w14:val="tx1"/>
            </w14:solidFill>
          </w14:textFill>
        </w:rPr>
        <w:t>0</w:t>
      </w:r>
      <w:r>
        <w:rPr>
          <w:rFonts w:hint="eastAsia" w:ascii="Times New Roman" w:hAnsi="Times New Roman" w:eastAsia="仿宋_GB2312" w:cs="Times New Roman"/>
          <w:color w:val="000000" w:themeColor="text1"/>
          <w:kern w:val="0"/>
          <w:sz w:val="32"/>
          <w:szCs w:val="32"/>
          <w:highlight w:val="none"/>
          <w:shd w:val="clear" w:color="auto" w:fill="FFFFFF"/>
          <w:lang w:val="zh-CN"/>
          <w14:textFill>
            <w14:solidFill>
              <w14:schemeClr w14:val="tx1"/>
            </w14:solidFill>
          </w14:textFill>
        </w:rPr>
        <w:t>）×100%×2，得分</w:t>
      </w:r>
      <w:r>
        <w:rPr>
          <w:rFonts w:hint="eastAsia" w:ascii="Times New Roman" w:hAnsi="Times New Roman" w:eastAsia="仿宋_GB2312" w:cs="Times New Roman"/>
          <w:color w:val="000000" w:themeColor="text1"/>
          <w:kern w:val="0"/>
          <w:sz w:val="32"/>
          <w:szCs w:val="32"/>
          <w:highlight w:val="none"/>
          <w:shd w:val="clear" w:color="auto" w:fill="FFFFFF"/>
          <w:lang w:val="en-US" w:eastAsia="zh-CN"/>
          <w14:textFill>
            <w14:solidFill>
              <w14:schemeClr w14:val="tx1"/>
            </w14:solidFill>
          </w14:textFill>
        </w:rPr>
        <w:t>6.84分。</w:t>
      </w:r>
    </w:p>
    <w:p w14:paraId="0E24B4E8">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本部门2025年无</w:t>
      </w:r>
      <w:r>
        <w:rPr>
          <w:rFonts w:hint="eastAsia" w:ascii="Times New Roman" w:hAnsi="Times New Roman" w:eastAsia="仿宋_GB2312" w:cs="Times New Roman"/>
          <w:sz w:val="32"/>
          <w:szCs w:val="32"/>
          <w:highlight w:val="none"/>
          <w:lang w:val="zh-CN" w:eastAsia="zh-CN"/>
        </w:rPr>
        <w:t>自有收入，</w:t>
      </w:r>
      <w:r>
        <w:rPr>
          <w:rFonts w:hint="eastAsia" w:ascii="Times New Roman" w:hAnsi="Times New Roman" w:eastAsia="仿宋_GB2312" w:cs="Times New Roman"/>
          <w:sz w:val="32"/>
          <w:szCs w:val="32"/>
          <w:highlight w:val="none"/>
          <w:lang w:val="en-US" w:eastAsia="zh-CN"/>
        </w:rPr>
        <w:t>按以往年度年财政重点评价方法，此项分值4分，全部调至预算编制质量分值中。</w:t>
      </w:r>
    </w:p>
    <w:p w14:paraId="2E1AE1B7">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该项指标得分=（1至6月预算执行数÷（部门预算数×50%）×</w:t>
      </w:r>
      <w:r>
        <w:rPr>
          <w:rFonts w:hint="eastAsia" w:ascii="Times New Roman" w:hAnsi="Times New Roman" w:eastAsia="仿宋_GB2312" w:cs="Times New Roman"/>
          <w:sz w:val="32"/>
          <w:szCs w:val="32"/>
          <w:highlight w:val="none"/>
          <w:lang w:val="en-US" w:eastAsia="zh-CN"/>
        </w:rPr>
        <w:t>4</w:t>
      </w:r>
      <w:r>
        <w:rPr>
          <w:rFonts w:hint="eastAsia" w:ascii="Times New Roman" w:hAnsi="Times New Roman" w:eastAsia="仿宋_GB2312" w:cs="Times New Roman"/>
          <w:sz w:val="32"/>
          <w:szCs w:val="32"/>
          <w:highlight w:val="none"/>
          <w:lang w:val="zh-CN" w:eastAsia="zh-CN"/>
        </w:rPr>
        <w:t>）+（1-1至6月支出预警金额占比×0.8-1至6月支出违规金额占比×0.2）+（1至10月预算执行数÷（部门预算数×83.33%）×）+（1-1至10月支出预警金额占比×0.8-1至10月支出违规金额占比×0.2）</w:t>
      </w:r>
      <w:r>
        <w:rPr>
          <w:rFonts w:hint="eastAsia" w:ascii="Times New Roman" w:hAnsi="Times New Roman" w:eastAsia="仿宋_GB2312" w:cs="Times New Roman"/>
          <w:sz w:val="32"/>
          <w:szCs w:val="32"/>
          <w:highlight w:val="none"/>
          <w:lang w:val="en-US" w:eastAsia="zh-CN"/>
        </w:rPr>
        <w:t>=5.35分。</w:t>
      </w:r>
    </w:p>
    <w:p w14:paraId="4A6E7358">
      <w:pPr>
        <w:widowControl w:val="0"/>
        <w:spacing w:before="240" w:after="60" w:line="312" w:lineRule="auto"/>
        <w:ind w:firstLine="640" w:firstLineChars="200"/>
        <w:jc w:val="both"/>
        <w:outlineLvl w:val="1"/>
        <w:rPr>
          <w:rFonts w:hint="eastAsia" w:ascii="Times New Roman" w:hAnsi="Times New Roman" w:eastAsia="仿宋_GB2312" w:cs="Times New Roman"/>
          <w:b w:val="0"/>
          <w:bCs w:val="0"/>
          <w:color w:val="000000"/>
          <w:kern w:val="0"/>
          <w:sz w:val="32"/>
          <w:szCs w:val="32"/>
          <w:highlight w:val="none"/>
          <w:shd w:val="clear" w:color="auto" w:fill="FFFFFF"/>
          <w:lang w:val="en-US" w:eastAsia="zh-CN" w:bidi="ar-SA"/>
        </w:rPr>
      </w:pPr>
      <w:r>
        <w:rPr>
          <w:rFonts w:hint="default" w:ascii="Times New Roman" w:hAnsi="Times New Roman" w:eastAsia="仿宋_GB2312" w:cs="Times New Roman"/>
          <w:b w:val="0"/>
          <w:bCs w:val="0"/>
          <w:color w:val="000000"/>
          <w:kern w:val="0"/>
          <w:sz w:val="32"/>
          <w:szCs w:val="32"/>
          <w:highlight w:val="none"/>
          <w:shd w:val="clear" w:color="auto" w:fill="FFFFFF"/>
          <w:lang w:val="en-US" w:eastAsia="zh-CN" w:bidi="ar-SA"/>
        </w:rPr>
        <w:t>部门整体年终预算结余情况</w:t>
      </w:r>
      <w:r>
        <w:rPr>
          <w:rFonts w:hint="eastAsia" w:ascii="Times New Roman" w:hAnsi="Times New Roman" w:eastAsia="仿宋_GB2312" w:cs="Times New Roman"/>
          <w:b w:val="0"/>
          <w:bCs w:val="0"/>
          <w:color w:val="000000"/>
          <w:kern w:val="0"/>
          <w:sz w:val="32"/>
          <w:szCs w:val="32"/>
          <w:highlight w:val="none"/>
          <w:shd w:val="clear" w:color="auto" w:fill="FFFFFF"/>
          <w:lang w:val="en-US" w:eastAsia="zh-CN" w:bidi="ar-SA"/>
        </w:rPr>
        <w:t>：该项指标得分=（1-0.01）×100%×2。部门整体预算结余率为当年年终部门预算注销金额和结转金额占部门预算总金额的比率，得分1.98分。</w:t>
      </w:r>
    </w:p>
    <w:p w14:paraId="16A4EC33">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b/>
          <w:bCs/>
          <w:sz w:val="32"/>
          <w:szCs w:val="32"/>
          <w:highlight w:val="none"/>
          <w:lang w:val="zh-CN" w:eastAsia="zh-CN"/>
        </w:rPr>
        <w:t>基础分值：</w:t>
      </w:r>
      <w:r>
        <w:rPr>
          <w:rFonts w:hint="eastAsia" w:ascii="Times New Roman" w:hAnsi="Times New Roman" w:eastAsia="仿宋_GB2312" w:cs="Times New Roman"/>
          <w:sz w:val="32"/>
          <w:szCs w:val="32"/>
          <w:highlight w:val="none"/>
          <w:lang w:val="en-US" w:eastAsia="zh-CN"/>
        </w:rPr>
        <w:t>阿坝州人社局2025年</w:t>
      </w:r>
      <w:r>
        <w:rPr>
          <w:rFonts w:hint="eastAsia" w:ascii="Times New Roman" w:hAnsi="Times New Roman" w:eastAsia="仿宋_GB2312" w:cs="Times New Roman"/>
          <w:sz w:val="32"/>
          <w:szCs w:val="32"/>
          <w:highlight w:val="none"/>
          <w:lang w:val="zh-CN" w:eastAsia="zh-CN"/>
        </w:rPr>
        <w:t>一般性支出财政拨款年初预算较</w:t>
      </w:r>
      <w:r>
        <w:rPr>
          <w:rFonts w:hint="eastAsia" w:ascii="Times New Roman" w:hAnsi="Times New Roman" w:eastAsia="仿宋_GB2312" w:cs="Times New Roman"/>
          <w:sz w:val="32"/>
          <w:szCs w:val="32"/>
          <w:highlight w:val="none"/>
          <w:lang w:val="en-US" w:eastAsia="zh-CN"/>
        </w:rPr>
        <w:t>2024年实现压减，得1分</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一般性支出财政拨款预算执行较</w:t>
      </w:r>
      <w:r>
        <w:rPr>
          <w:rFonts w:hint="eastAsia" w:ascii="Times New Roman" w:hAnsi="Times New Roman" w:eastAsia="仿宋_GB2312" w:cs="Times New Roman"/>
          <w:sz w:val="32"/>
          <w:szCs w:val="32"/>
          <w:highlight w:val="none"/>
          <w:lang w:val="en-US" w:eastAsia="zh-CN"/>
        </w:rPr>
        <w:t>2024年实现压减，得1分</w:t>
      </w:r>
      <w:r>
        <w:rPr>
          <w:rFonts w:hint="eastAsia" w:ascii="Times New Roman" w:hAnsi="Times New Roman" w:eastAsia="仿宋_GB2312" w:cs="Times New Roman"/>
          <w:sz w:val="32"/>
          <w:szCs w:val="32"/>
          <w:highlight w:val="none"/>
          <w:lang w:val="zh-CN" w:eastAsia="zh-CN"/>
        </w:rPr>
        <w:t>。</w:t>
      </w:r>
    </w:p>
    <w:p w14:paraId="18EBC18D">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b/>
          <w:bCs/>
          <w:sz w:val="32"/>
          <w:szCs w:val="32"/>
          <w:highlight w:val="none"/>
          <w:lang w:val="zh-CN" w:eastAsia="zh-CN"/>
        </w:rPr>
        <w:t>加分值：</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一般性支出财政拨款年初预算较</w:t>
      </w:r>
      <w:r>
        <w:rPr>
          <w:rFonts w:hint="eastAsia" w:ascii="Times New Roman" w:hAnsi="Times New Roman" w:eastAsia="仿宋_GB2312" w:cs="Times New Roman"/>
          <w:sz w:val="32"/>
          <w:szCs w:val="32"/>
          <w:highlight w:val="none"/>
          <w:lang w:val="en-US" w:eastAsia="zh-CN"/>
        </w:rPr>
        <w:t>2024年实现压减，得1分</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一般性支出财政拨款预算执行较</w:t>
      </w:r>
      <w:r>
        <w:rPr>
          <w:rFonts w:hint="eastAsia" w:ascii="Times New Roman" w:hAnsi="Times New Roman" w:eastAsia="仿宋_GB2312" w:cs="Times New Roman"/>
          <w:sz w:val="32"/>
          <w:szCs w:val="32"/>
          <w:highlight w:val="none"/>
          <w:lang w:val="en-US" w:eastAsia="zh-CN"/>
        </w:rPr>
        <w:t>2024年实现压减，得2分</w:t>
      </w:r>
      <w:r>
        <w:rPr>
          <w:rFonts w:hint="eastAsia" w:ascii="Times New Roman" w:hAnsi="Times New Roman" w:eastAsia="仿宋_GB2312" w:cs="Times New Roman"/>
          <w:sz w:val="32"/>
          <w:szCs w:val="32"/>
          <w:highlight w:val="none"/>
          <w:lang w:val="zh-CN" w:eastAsia="zh-CN"/>
        </w:rPr>
        <w:t>。</w:t>
      </w:r>
    </w:p>
    <w:p w14:paraId="7D0F5BE8">
      <w:pPr>
        <w:widowControl w:val="0"/>
        <w:spacing w:after="120"/>
        <w:jc w:val="both"/>
        <w:rPr>
          <w:rFonts w:hint="default"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t xml:space="preserve">    综上所</w:t>
      </w:r>
      <w:r>
        <w:rPr>
          <w:rFonts w:hint="eastAsia" w:ascii="Times New Roman" w:hAnsi="Times New Roman" w:eastAsia="仿宋_GB2312" w:cs="Times New Roman"/>
          <w:b w:val="0"/>
          <w:bCs w:val="0"/>
          <w:kern w:val="2"/>
          <w:sz w:val="32"/>
          <w:szCs w:val="24"/>
          <w:highlight w:val="none"/>
          <w:lang w:val="en-US" w:eastAsia="zh-CN" w:bidi="ar-SA"/>
        </w:rPr>
        <w:t>述</w:t>
      </w:r>
      <w:r>
        <w:rPr>
          <w:rFonts w:hint="eastAsia" w:ascii="Times New Roman" w:hAnsi="Times New Roman" w:eastAsia="仿宋_GB2312" w:cs="Times New Roman"/>
          <w:kern w:val="2"/>
          <w:sz w:val="32"/>
          <w:szCs w:val="24"/>
          <w:highlight w:val="none"/>
          <w:lang w:val="en-US" w:eastAsia="zh-CN" w:bidi="ar-SA"/>
        </w:rPr>
        <w:t>预算管理项总得分：20.65分。</w:t>
      </w:r>
    </w:p>
    <w:p w14:paraId="3650949A">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zh-CN"/>
        </w:rPr>
        <w:t>财务管理。</w:t>
      </w:r>
    </w:p>
    <w:p w14:paraId="0E35DD2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zh-CN"/>
        </w:rPr>
        <w:t>我部门已制定内部财务管理制度等制度机制，并得到相应落实，故该项得分</w:t>
      </w:r>
      <w:r>
        <w:rPr>
          <w:rFonts w:hint="eastAsia" w:ascii="Times New Roman" w:hAnsi="Times New Roman" w:eastAsia="仿宋_GB2312" w:cs="Times New Roman"/>
          <w:color w:val="000000"/>
          <w:kern w:val="0"/>
          <w:sz w:val="32"/>
          <w:szCs w:val="32"/>
          <w:highlight w:val="none"/>
          <w:shd w:val="clear" w:color="auto" w:fill="FFFFFF"/>
          <w:lang w:val="en-US" w:eastAsia="zh-CN"/>
        </w:rPr>
        <w:t>4分。</w:t>
      </w:r>
    </w:p>
    <w:p w14:paraId="13C1B6F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我部门按照财经纪律相关要求合理设置财务工作岗位，明确职责权限，并严格实行不相容岗位分离。</w:t>
      </w:r>
      <w:r>
        <w:rPr>
          <w:rFonts w:hint="eastAsia" w:ascii="Times New Roman" w:hAnsi="Times New Roman" w:eastAsia="仿宋_GB2312" w:cs="Times New Roman"/>
          <w:color w:val="000000"/>
          <w:kern w:val="0"/>
          <w:sz w:val="32"/>
          <w:szCs w:val="32"/>
          <w:highlight w:val="none"/>
          <w:shd w:val="clear" w:color="auto" w:fill="FFFFFF"/>
          <w:lang w:val="zh-CN"/>
        </w:rPr>
        <w:t>故该项得分</w:t>
      </w:r>
      <w:r>
        <w:rPr>
          <w:rFonts w:hint="eastAsia" w:ascii="Times New Roman" w:hAnsi="Times New Roman" w:eastAsia="仿宋_GB2312" w:cs="Times New Roman"/>
          <w:color w:val="000000"/>
          <w:kern w:val="0"/>
          <w:sz w:val="32"/>
          <w:szCs w:val="32"/>
          <w:highlight w:val="none"/>
          <w:shd w:val="clear" w:color="auto" w:fill="FFFFFF"/>
          <w:lang w:val="en-US" w:eastAsia="zh-CN"/>
        </w:rPr>
        <w:t>2分。</w:t>
      </w:r>
    </w:p>
    <w:p w14:paraId="3E17478E">
      <w:pPr>
        <w:widowControl w:val="0"/>
        <w:spacing w:after="120"/>
        <w:ind w:firstLine="640"/>
        <w:jc w:val="both"/>
        <w:rPr>
          <w:rFonts w:hint="eastAsia" w:ascii="Times New Roman" w:hAnsi="Times New Roman" w:eastAsia="仿宋_GB2312" w:cs="Times New Roman"/>
          <w:color w:val="000000"/>
          <w:kern w:val="0"/>
          <w:sz w:val="32"/>
          <w:szCs w:val="32"/>
          <w:highlight w:val="none"/>
          <w:shd w:val="clear" w:color="auto" w:fill="FFFFFF"/>
          <w:lang w:val="en-US" w:eastAsia="zh-CN" w:bidi="ar-SA"/>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部门资金使用符合相关财务管理制度规定，该项的4分。</w:t>
      </w:r>
    </w:p>
    <w:p w14:paraId="141E476A">
      <w:pPr>
        <w:widowControl w:val="0"/>
        <w:spacing w:before="240" w:after="60" w:line="312" w:lineRule="auto"/>
        <w:ind w:firstLine="640"/>
        <w:jc w:val="both"/>
        <w:outlineLvl w:val="1"/>
        <w:rPr>
          <w:rFonts w:hint="default" w:ascii="Times New Roman" w:hAnsi="Times New Roman" w:eastAsia="仿宋_GB2312" w:cs="Times New Roman"/>
          <w:b w:val="0"/>
          <w:bCs w:val="0"/>
          <w:color w:val="000000"/>
          <w:kern w:val="0"/>
          <w:sz w:val="32"/>
          <w:szCs w:val="32"/>
          <w:highlight w:val="none"/>
          <w:shd w:val="clear" w:color="auto" w:fill="FFFFFF"/>
          <w:lang w:val="en-US" w:eastAsia="zh-CN" w:bidi="ar-SA"/>
        </w:rPr>
      </w:pPr>
      <w:r>
        <w:rPr>
          <w:rFonts w:hint="eastAsia" w:ascii="Times New Roman" w:hAnsi="Times New Roman" w:eastAsia="仿宋_GB2312" w:cs="Times New Roman"/>
          <w:b w:val="0"/>
          <w:bCs w:val="0"/>
          <w:color w:val="000000"/>
          <w:kern w:val="0"/>
          <w:sz w:val="32"/>
          <w:szCs w:val="32"/>
          <w:highlight w:val="none"/>
          <w:shd w:val="clear" w:color="auto" w:fill="FFFFFF"/>
          <w:lang w:val="en-US" w:eastAsia="zh-CN" w:bidi="ar-SA"/>
        </w:rPr>
        <w:t>综上所</w:t>
      </w:r>
      <w:r>
        <w:rPr>
          <w:rFonts w:hint="eastAsia" w:ascii="Times New Roman" w:hAnsi="Times New Roman" w:eastAsia="仿宋_GB2312" w:cs="Times New Roman"/>
          <w:b w:val="0"/>
          <w:bCs w:val="0"/>
          <w:kern w:val="2"/>
          <w:sz w:val="32"/>
          <w:szCs w:val="24"/>
          <w:highlight w:val="none"/>
          <w:lang w:val="en-US" w:eastAsia="zh-CN" w:bidi="ar-SA"/>
        </w:rPr>
        <w:t>述</w:t>
      </w:r>
      <w:r>
        <w:rPr>
          <w:rFonts w:hint="eastAsia" w:ascii="Times New Roman" w:hAnsi="Times New Roman" w:eastAsia="仿宋_GB2312" w:cs="Times New Roman"/>
          <w:b w:val="0"/>
          <w:bCs w:val="0"/>
          <w:color w:val="000000"/>
          <w:kern w:val="0"/>
          <w:sz w:val="32"/>
          <w:szCs w:val="32"/>
          <w:highlight w:val="none"/>
          <w:shd w:val="clear" w:color="auto" w:fill="FFFFFF"/>
          <w:lang w:val="en-US" w:eastAsia="zh-CN" w:bidi="ar-SA"/>
        </w:rPr>
        <w:t>财务管理项总得分10分。</w:t>
      </w:r>
    </w:p>
    <w:p w14:paraId="65207F34">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zh-CN"/>
        </w:rPr>
        <w:t>资产管理。</w:t>
      </w:r>
    </w:p>
    <w:p w14:paraId="28FB28B6">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楷体_GB2312"/>
          <w:color w:val="000000"/>
          <w:kern w:val="0"/>
          <w:sz w:val="32"/>
          <w:szCs w:val="32"/>
          <w:highlight w:val="none"/>
          <w:shd w:val="clear" w:color="auto" w:fill="FFFFFF"/>
          <w:lang w:val="zh-CN"/>
        </w:rPr>
      </w:pPr>
      <w:r>
        <w:rPr>
          <w:rFonts w:ascii="Times New Roman" w:hAnsi="Times New Roman" w:eastAsia="仿宋_GB2312" w:cs="楷体_GB2312"/>
          <w:color w:val="000000"/>
          <w:kern w:val="0"/>
          <w:sz w:val="32"/>
          <w:szCs w:val="32"/>
          <w:highlight w:val="none"/>
          <w:shd w:val="clear" w:color="auto" w:fill="FFFFFF"/>
          <w:lang w:val="zh-CN"/>
        </w:rPr>
        <w:t>部门人均资产变化情况：202</w:t>
      </w:r>
      <w:r>
        <w:rPr>
          <w:rFonts w:hint="eastAsia" w:ascii="Times New Roman" w:hAnsi="Times New Roman" w:eastAsia="仿宋_GB2312" w:cs="楷体_GB2312"/>
          <w:color w:val="000000"/>
          <w:kern w:val="0"/>
          <w:sz w:val="32"/>
          <w:szCs w:val="32"/>
          <w:highlight w:val="none"/>
          <w:shd w:val="clear" w:color="auto" w:fill="FFFFFF"/>
          <w:lang w:val="en-US" w:eastAsia="zh-CN"/>
        </w:rPr>
        <w:t>5</w:t>
      </w:r>
      <w:r>
        <w:rPr>
          <w:rFonts w:ascii="Times New Roman" w:hAnsi="Times New Roman" w:eastAsia="仿宋_GB2312" w:cs="楷体_GB2312"/>
          <w:color w:val="000000"/>
          <w:kern w:val="0"/>
          <w:sz w:val="32"/>
          <w:szCs w:val="32"/>
          <w:highlight w:val="none"/>
          <w:shd w:val="clear" w:color="auto" w:fill="FFFFFF"/>
          <w:lang w:val="zh-CN"/>
        </w:rPr>
        <w:t>年度我单位人均资产变化率及人均资产增长率X为[（</w:t>
      </w:r>
      <w:r>
        <w:rPr>
          <w:rFonts w:hint="eastAsia" w:ascii="Times New Roman" w:hAnsi="Times New Roman" w:eastAsia="仿宋_GB2312" w:cs="楷体_GB2312"/>
          <w:color w:val="000000"/>
          <w:kern w:val="0"/>
          <w:sz w:val="32"/>
          <w:szCs w:val="32"/>
          <w:highlight w:val="none"/>
          <w:shd w:val="clear" w:color="auto" w:fill="FFFFFF"/>
          <w:lang w:val="en-US" w:eastAsia="zh-CN"/>
        </w:rPr>
        <w:t>5586.71</w:t>
      </w:r>
      <w:r>
        <w:rPr>
          <w:rFonts w:ascii="Times New Roman" w:hAnsi="Times New Roman" w:eastAsia="仿宋_GB2312" w:cs="楷体_GB2312"/>
          <w:color w:val="000000"/>
          <w:kern w:val="0"/>
          <w:sz w:val="32"/>
          <w:szCs w:val="32"/>
          <w:highlight w:val="none"/>
          <w:shd w:val="clear" w:color="auto" w:fill="FFFFFF"/>
          <w:lang w:val="zh-CN"/>
        </w:rPr>
        <w:t>/9</w:t>
      </w:r>
      <w:r>
        <w:rPr>
          <w:rFonts w:hint="eastAsia" w:ascii="Times New Roman" w:hAnsi="Times New Roman" w:eastAsia="仿宋_GB2312" w:cs="楷体_GB2312"/>
          <w:color w:val="000000"/>
          <w:kern w:val="0"/>
          <w:sz w:val="32"/>
          <w:szCs w:val="32"/>
          <w:highlight w:val="none"/>
          <w:shd w:val="clear" w:color="auto" w:fill="FFFFFF"/>
          <w:lang w:val="en-US" w:eastAsia="zh-CN"/>
        </w:rPr>
        <w:t>0</w:t>
      </w:r>
      <w:r>
        <w:rPr>
          <w:rFonts w:ascii="Times New Roman" w:hAnsi="Times New Roman" w:eastAsia="仿宋_GB2312" w:cs="楷体_GB2312"/>
          <w:color w:val="000000"/>
          <w:kern w:val="0"/>
          <w:sz w:val="32"/>
          <w:szCs w:val="32"/>
          <w:highlight w:val="none"/>
          <w:shd w:val="clear" w:color="auto" w:fill="FFFFFF"/>
          <w:lang w:val="zh-CN"/>
        </w:rPr>
        <w:t>）-(</w:t>
      </w:r>
      <w:r>
        <w:rPr>
          <w:rFonts w:hint="eastAsia" w:ascii="Times New Roman" w:hAnsi="Times New Roman" w:eastAsia="仿宋_GB2312" w:cs="楷体_GB2312"/>
          <w:color w:val="000000"/>
          <w:kern w:val="0"/>
          <w:sz w:val="32"/>
          <w:szCs w:val="32"/>
          <w:highlight w:val="none"/>
          <w:shd w:val="clear" w:color="auto" w:fill="FFFFFF"/>
          <w:lang w:val="en-US" w:eastAsia="zh-CN"/>
        </w:rPr>
        <w:t>5722.19</w:t>
      </w:r>
      <w:r>
        <w:rPr>
          <w:rFonts w:ascii="Times New Roman" w:hAnsi="Times New Roman" w:eastAsia="仿宋_GB2312" w:cs="楷体_GB2312"/>
          <w:color w:val="000000"/>
          <w:kern w:val="0"/>
          <w:sz w:val="32"/>
          <w:szCs w:val="32"/>
          <w:highlight w:val="none"/>
          <w:shd w:val="clear" w:color="auto" w:fill="FFFFFF"/>
          <w:lang w:val="zh-CN"/>
        </w:rPr>
        <w:t>/9</w:t>
      </w:r>
      <w:r>
        <w:rPr>
          <w:rFonts w:hint="eastAsia" w:ascii="Times New Roman" w:hAnsi="Times New Roman" w:eastAsia="仿宋_GB2312" w:cs="楷体_GB2312"/>
          <w:color w:val="000000"/>
          <w:kern w:val="0"/>
          <w:sz w:val="32"/>
          <w:szCs w:val="32"/>
          <w:highlight w:val="none"/>
          <w:shd w:val="clear" w:color="auto" w:fill="FFFFFF"/>
          <w:lang w:val="en-US" w:eastAsia="zh-CN"/>
        </w:rPr>
        <w:t>2</w:t>
      </w:r>
      <w:r>
        <w:rPr>
          <w:rFonts w:ascii="Times New Roman" w:hAnsi="Times New Roman" w:eastAsia="仿宋_GB2312" w:cs="楷体_GB2312"/>
          <w:color w:val="000000"/>
          <w:kern w:val="0"/>
          <w:sz w:val="32"/>
          <w:szCs w:val="32"/>
          <w:highlight w:val="none"/>
          <w:shd w:val="clear" w:color="auto" w:fill="FFFFFF"/>
          <w:lang w:val="zh-CN"/>
        </w:rPr>
        <w:t>)]/(</w:t>
      </w:r>
      <w:r>
        <w:rPr>
          <w:rFonts w:hint="eastAsia" w:ascii="Times New Roman" w:hAnsi="Times New Roman" w:eastAsia="仿宋_GB2312" w:cs="楷体_GB2312"/>
          <w:color w:val="000000"/>
          <w:kern w:val="0"/>
          <w:sz w:val="32"/>
          <w:szCs w:val="32"/>
          <w:highlight w:val="none"/>
          <w:shd w:val="clear" w:color="auto" w:fill="FFFFFF"/>
          <w:lang w:val="en-US" w:eastAsia="zh-CN"/>
        </w:rPr>
        <w:t>5722.19</w:t>
      </w:r>
      <w:r>
        <w:rPr>
          <w:rFonts w:ascii="Times New Roman" w:hAnsi="Times New Roman" w:eastAsia="仿宋_GB2312" w:cs="楷体_GB2312"/>
          <w:color w:val="000000"/>
          <w:kern w:val="0"/>
          <w:sz w:val="32"/>
          <w:szCs w:val="32"/>
          <w:highlight w:val="none"/>
          <w:shd w:val="clear" w:color="auto" w:fill="FFFFFF"/>
          <w:lang w:val="zh-CN"/>
        </w:rPr>
        <w:t>/92)×100%=-</w:t>
      </w:r>
      <w:r>
        <w:rPr>
          <w:rFonts w:hint="eastAsia" w:ascii="Times New Roman" w:hAnsi="Times New Roman" w:eastAsia="仿宋_GB2312" w:cs="楷体_GB2312"/>
          <w:color w:val="000000"/>
          <w:kern w:val="0"/>
          <w:sz w:val="32"/>
          <w:szCs w:val="32"/>
          <w:highlight w:val="none"/>
          <w:shd w:val="clear" w:color="auto" w:fill="FFFFFF"/>
          <w:lang w:val="en-US" w:eastAsia="zh-CN"/>
        </w:rPr>
        <w:t>0.19</w:t>
      </w:r>
      <w:r>
        <w:rPr>
          <w:rFonts w:ascii="Times New Roman" w:hAnsi="Times New Roman" w:eastAsia="仿宋_GB2312" w:cs="楷体_GB2312"/>
          <w:color w:val="000000"/>
          <w:kern w:val="0"/>
          <w:sz w:val="32"/>
          <w:szCs w:val="32"/>
          <w:highlight w:val="none"/>
          <w:shd w:val="clear" w:color="auto" w:fill="FFFFFF"/>
          <w:lang w:val="zh-CN"/>
        </w:rPr>
        <w:t>%，同期州直行政事业单位人均资产变化率N为</w:t>
      </w:r>
      <w:r>
        <w:rPr>
          <w:rFonts w:hint="eastAsia" w:ascii="Times New Roman" w:hAnsi="Times New Roman" w:eastAsia="仿宋_GB2312" w:cs="楷体_GB2312"/>
          <w:color w:val="000000"/>
          <w:kern w:val="0"/>
          <w:sz w:val="32"/>
          <w:szCs w:val="32"/>
          <w:highlight w:val="none"/>
          <w:shd w:val="clear" w:color="auto" w:fill="FFFFFF"/>
          <w:lang w:val="en-US" w:eastAsia="zh-CN"/>
        </w:rPr>
        <w:t>24.28</w:t>
      </w:r>
      <w:r>
        <w:rPr>
          <w:rFonts w:ascii="Times New Roman" w:hAnsi="Times New Roman" w:eastAsia="仿宋_GB2312" w:cs="楷体_GB2312"/>
          <w:color w:val="000000"/>
          <w:kern w:val="0"/>
          <w:sz w:val="32"/>
          <w:szCs w:val="32"/>
          <w:highlight w:val="none"/>
          <w:shd w:val="clear" w:color="auto" w:fill="FFFFFF"/>
          <w:lang w:val="zh-CN"/>
        </w:rPr>
        <w:t>%，X≤N，得分1.5分，同期州级财政收入增长率为</w:t>
      </w:r>
      <w:r>
        <w:rPr>
          <w:rFonts w:hint="eastAsia" w:ascii="Times New Roman" w:hAnsi="Times New Roman" w:eastAsia="仿宋_GB2312" w:cs="楷体_GB2312"/>
          <w:color w:val="000000"/>
          <w:kern w:val="0"/>
          <w:sz w:val="32"/>
          <w:szCs w:val="32"/>
          <w:highlight w:val="none"/>
          <w:shd w:val="clear" w:color="auto" w:fill="FFFFFF"/>
          <w:lang w:val="en-US" w:eastAsia="zh-CN"/>
        </w:rPr>
        <w:t>-30.5</w:t>
      </w:r>
      <w:r>
        <w:rPr>
          <w:rFonts w:ascii="Times New Roman" w:hAnsi="Times New Roman" w:eastAsia="仿宋_GB2312" w:cs="楷体_GB2312"/>
          <w:color w:val="000000"/>
          <w:kern w:val="0"/>
          <w:sz w:val="32"/>
          <w:szCs w:val="32"/>
          <w:highlight w:val="none"/>
          <w:shd w:val="clear" w:color="auto" w:fill="FFFFFF"/>
          <w:lang w:val="zh-CN"/>
        </w:rPr>
        <w:t>%，X≤0，得分1.5分。该项总得分3分。</w:t>
      </w:r>
    </w:p>
    <w:p w14:paraId="25215903">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contextualSpacing/>
        <w:jc w:val="left"/>
        <w:rPr>
          <w:rFonts w:ascii="Times New Roman" w:hAnsi="Times New Roman" w:eastAsia="仿宋_GB2312" w:cs="Times New Roman"/>
          <w:sz w:val="32"/>
          <w:highlight w:val="none"/>
        </w:rPr>
      </w:pPr>
      <w:r>
        <w:rPr>
          <w:rFonts w:ascii="Times New Roman" w:hAnsi="Times New Roman" w:eastAsia="仿宋_GB2312" w:cs="Times New Roman"/>
          <w:color w:val="000000"/>
          <w:kern w:val="0"/>
          <w:sz w:val="32"/>
          <w:szCs w:val="32"/>
          <w:highlight w:val="none"/>
          <w:shd w:val="clear" w:color="auto" w:fill="FFFFFF"/>
          <w:lang w:val="zh-CN"/>
        </w:rPr>
        <w:t>部门资产盘活率情况：202</w:t>
      </w:r>
      <w:r>
        <w:rPr>
          <w:rFonts w:hint="eastAsia" w:ascii="Times New Roman" w:hAnsi="Times New Roman" w:eastAsia="仿宋_GB2312" w:cs="Times New Roman"/>
          <w:color w:val="000000"/>
          <w:kern w:val="0"/>
          <w:sz w:val="32"/>
          <w:szCs w:val="32"/>
          <w:highlight w:val="none"/>
          <w:shd w:val="clear" w:color="auto" w:fill="FFFFFF"/>
          <w:lang w:val="en-US" w:eastAsia="zh-CN"/>
        </w:rPr>
        <w:t>5</w:t>
      </w:r>
      <w:r>
        <w:rPr>
          <w:rFonts w:ascii="Times New Roman" w:hAnsi="Times New Roman" w:eastAsia="仿宋_GB2312" w:cs="Times New Roman"/>
          <w:color w:val="000000"/>
          <w:kern w:val="0"/>
          <w:sz w:val="32"/>
          <w:szCs w:val="32"/>
          <w:highlight w:val="none"/>
          <w:shd w:val="clear" w:color="auto" w:fill="FFFFFF"/>
          <w:lang w:val="zh-CN"/>
        </w:rPr>
        <w:t>年我单位办公家具超最低使用年限资产利用率X=超最低使用年限的办公家具账面价值</w:t>
      </w:r>
      <w:r>
        <w:rPr>
          <w:rFonts w:hint="eastAsia" w:ascii="Times New Roman" w:hAnsi="Times New Roman" w:eastAsia="仿宋_GB2312" w:cs="Times New Roman"/>
          <w:color w:val="000000"/>
          <w:kern w:val="0"/>
          <w:sz w:val="32"/>
          <w:szCs w:val="32"/>
          <w:highlight w:val="none"/>
          <w:shd w:val="clear" w:color="auto" w:fill="FFFFFF"/>
          <w:lang w:val="en-US" w:eastAsia="zh-CN"/>
        </w:rPr>
        <w:t>51.93</w:t>
      </w:r>
      <w:r>
        <w:rPr>
          <w:rFonts w:ascii="Times New Roman" w:hAnsi="Times New Roman" w:eastAsia="仿宋_GB2312" w:cs="Times New Roman"/>
          <w:color w:val="000000"/>
          <w:kern w:val="0"/>
          <w:sz w:val="32"/>
          <w:szCs w:val="32"/>
          <w:highlight w:val="none"/>
          <w:shd w:val="clear" w:color="auto" w:fill="FFFFFF"/>
          <w:lang w:val="zh-CN"/>
        </w:rPr>
        <w:t>÷办公家具账面价值</w:t>
      </w:r>
      <w:r>
        <w:rPr>
          <w:rFonts w:hint="eastAsia" w:ascii="Times New Roman" w:hAnsi="Times New Roman" w:eastAsia="仿宋_GB2312" w:cs="Times New Roman"/>
          <w:color w:val="000000"/>
          <w:kern w:val="0"/>
          <w:sz w:val="32"/>
          <w:szCs w:val="32"/>
          <w:highlight w:val="none"/>
          <w:shd w:val="clear" w:color="auto" w:fill="FFFFFF"/>
          <w:lang w:val="en-US" w:eastAsia="zh-CN"/>
        </w:rPr>
        <w:t>269.24</w:t>
      </w:r>
      <w:r>
        <w:rPr>
          <w:rFonts w:ascii="Times New Roman" w:hAnsi="Times New Roman" w:eastAsia="仿宋_GB2312" w:cs="Times New Roman"/>
          <w:color w:val="000000"/>
          <w:kern w:val="0"/>
          <w:sz w:val="32"/>
          <w:szCs w:val="32"/>
          <w:highlight w:val="none"/>
          <w:shd w:val="clear" w:color="auto" w:fill="FFFFFF"/>
          <w:lang w:val="zh-CN"/>
        </w:rPr>
        <w:t>×100%=</w:t>
      </w:r>
      <w:r>
        <w:rPr>
          <w:rFonts w:hint="eastAsia" w:ascii="Times New Roman" w:hAnsi="Times New Roman" w:eastAsia="仿宋_GB2312" w:cs="Times New Roman"/>
          <w:color w:val="000000"/>
          <w:kern w:val="0"/>
          <w:sz w:val="32"/>
          <w:szCs w:val="32"/>
          <w:highlight w:val="none"/>
          <w:shd w:val="clear" w:color="auto" w:fill="FFFFFF"/>
          <w:lang w:val="en-US" w:eastAsia="zh-CN"/>
        </w:rPr>
        <w:t>19.29</w:t>
      </w:r>
      <w:r>
        <w:rPr>
          <w:rFonts w:ascii="Times New Roman" w:hAnsi="Times New Roman" w:eastAsia="仿宋_GB2312" w:cs="Times New Roman"/>
          <w:color w:val="000000"/>
          <w:kern w:val="0"/>
          <w:sz w:val="32"/>
          <w:szCs w:val="32"/>
          <w:highlight w:val="none"/>
          <w:shd w:val="clear" w:color="auto" w:fill="FFFFFF"/>
          <w:lang w:val="zh-CN"/>
        </w:rPr>
        <w:t>%，同期州直行政事业单位平均值（办公家具）N为</w:t>
      </w:r>
      <w:r>
        <w:rPr>
          <w:rFonts w:hint="eastAsia" w:ascii="Times New Roman" w:hAnsi="Times New Roman" w:eastAsia="仿宋_GB2312" w:cs="Times New Roman"/>
          <w:color w:val="000000"/>
          <w:kern w:val="0"/>
          <w:sz w:val="32"/>
          <w:szCs w:val="32"/>
          <w:highlight w:val="none"/>
          <w:shd w:val="clear" w:color="auto" w:fill="FFFFFF"/>
          <w:lang w:val="en-US" w:eastAsia="zh-CN"/>
        </w:rPr>
        <w:t>12.93</w:t>
      </w:r>
      <w:r>
        <w:rPr>
          <w:rFonts w:ascii="Times New Roman" w:hAnsi="Times New Roman" w:eastAsia="仿宋_GB2312" w:cs="Times New Roman"/>
          <w:sz w:val="32"/>
          <w:highlight w:val="none"/>
        </w:rPr>
        <w:t>%，X&gt;N，得1.5分；办公设备超最低使用年限资产利用率X=超最低使用年限的办公设备账面价值</w:t>
      </w:r>
      <w:r>
        <w:rPr>
          <w:rFonts w:hint="eastAsia" w:ascii="Times New Roman" w:hAnsi="Times New Roman" w:eastAsia="仿宋_GB2312" w:cs="Times New Roman"/>
          <w:sz w:val="32"/>
          <w:highlight w:val="none"/>
          <w:lang w:val="en-US" w:eastAsia="zh-CN"/>
        </w:rPr>
        <w:t>574.44</w:t>
      </w:r>
      <w:r>
        <w:rPr>
          <w:rFonts w:ascii="Times New Roman" w:hAnsi="Times New Roman" w:eastAsia="仿宋_GB2312" w:cs="Times New Roman"/>
          <w:sz w:val="32"/>
          <w:highlight w:val="none"/>
        </w:rPr>
        <w:t>÷办公设备账面价值</w:t>
      </w:r>
      <w:r>
        <w:rPr>
          <w:rFonts w:hint="eastAsia" w:ascii="Times New Roman" w:hAnsi="Times New Roman" w:eastAsia="仿宋_GB2312" w:cs="Times New Roman"/>
          <w:sz w:val="32"/>
          <w:highlight w:val="none"/>
          <w:lang w:val="en-US" w:eastAsia="zh-CN"/>
        </w:rPr>
        <w:t>840.24</w:t>
      </w:r>
      <w:r>
        <w:rPr>
          <w:rFonts w:ascii="Times New Roman" w:hAnsi="Times New Roman" w:eastAsia="仿宋_GB2312" w:cs="Times New Roman"/>
          <w:sz w:val="32"/>
          <w:highlight w:val="none"/>
        </w:rPr>
        <w:t>×100%=</w:t>
      </w:r>
      <w:r>
        <w:rPr>
          <w:rFonts w:hint="eastAsia" w:ascii="Times New Roman" w:hAnsi="Times New Roman" w:eastAsia="仿宋_GB2312" w:cs="Times New Roman"/>
          <w:sz w:val="32"/>
          <w:highlight w:val="none"/>
          <w:lang w:val="en-US" w:eastAsia="zh-CN"/>
        </w:rPr>
        <w:t>68.37</w:t>
      </w:r>
      <w:r>
        <w:rPr>
          <w:rFonts w:ascii="Times New Roman" w:hAnsi="Times New Roman" w:eastAsia="仿宋_GB2312" w:cs="Times New Roman"/>
          <w:sz w:val="32"/>
          <w:highlight w:val="none"/>
        </w:rPr>
        <w:t>%，</w:t>
      </w:r>
      <w:r>
        <w:rPr>
          <w:rFonts w:ascii="Times New Roman" w:hAnsi="Times New Roman" w:eastAsia="仿宋_GB2312" w:cs="Times New Roman"/>
          <w:color w:val="000000"/>
          <w:kern w:val="0"/>
          <w:sz w:val="32"/>
          <w:szCs w:val="32"/>
          <w:highlight w:val="none"/>
          <w:shd w:val="clear" w:color="auto" w:fill="FFFFFF"/>
          <w:lang w:val="zh-CN"/>
        </w:rPr>
        <w:t>同期州直行政事业单位平均值（办公设备）N为</w:t>
      </w:r>
      <w:r>
        <w:rPr>
          <w:rFonts w:hint="eastAsia" w:ascii="Times New Roman" w:hAnsi="Times New Roman" w:eastAsia="仿宋_GB2312" w:cs="Times New Roman"/>
          <w:color w:val="000000"/>
          <w:kern w:val="0"/>
          <w:sz w:val="32"/>
          <w:szCs w:val="32"/>
          <w:highlight w:val="none"/>
          <w:shd w:val="clear" w:color="auto" w:fill="FFFFFF"/>
          <w:lang w:val="en-US" w:eastAsia="zh-CN"/>
        </w:rPr>
        <w:t>53.14</w:t>
      </w:r>
      <w:r>
        <w:rPr>
          <w:rFonts w:ascii="Times New Roman" w:hAnsi="Times New Roman" w:eastAsia="仿宋_GB2312" w:cs="Times New Roman"/>
          <w:color w:val="000000"/>
          <w:kern w:val="0"/>
          <w:sz w:val="32"/>
          <w:szCs w:val="32"/>
          <w:highlight w:val="none"/>
          <w:shd w:val="clear" w:color="auto" w:fill="FFFFFF"/>
          <w:lang w:val="zh-CN"/>
        </w:rPr>
        <w:t>%，</w:t>
      </w:r>
      <w:r>
        <w:rPr>
          <w:rFonts w:hint="eastAsia" w:ascii="Times New Roman" w:hAnsi="Times New Roman" w:eastAsia="仿宋_GB2312" w:cs="Times New Roman"/>
          <w:sz w:val="32"/>
          <w:highlight w:val="none"/>
        </w:rPr>
        <w:t>X＞N，得1.5分</w:t>
      </w:r>
      <w:r>
        <w:rPr>
          <w:rFonts w:ascii="Times New Roman" w:hAnsi="Times New Roman" w:eastAsia="仿宋_GB2312" w:cs="Times New Roman"/>
          <w:sz w:val="32"/>
          <w:highlight w:val="none"/>
        </w:rPr>
        <w:t>。该项得分</w:t>
      </w:r>
      <w:r>
        <w:rPr>
          <w:rFonts w:hint="eastAsia" w:ascii="Times New Roman" w:hAnsi="Times New Roman" w:eastAsia="仿宋_GB2312" w:cs="Times New Roman"/>
          <w:sz w:val="32"/>
          <w:highlight w:val="none"/>
          <w:lang w:val="en-US" w:eastAsia="zh-CN"/>
        </w:rPr>
        <w:t>1.5</w:t>
      </w:r>
      <w:r>
        <w:rPr>
          <w:rFonts w:ascii="Times New Roman" w:hAnsi="Times New Roman" w:eastAsia="仿宋_GB2312" w:cs="Times New Roman"/>
          <w:sz w:val="32"/>
          <w:highlight w:val="none"/>
        </w:rPr>
        <w:t>分。</w:t>
      </w:r>
    </w:p>
    <w:p w14:paraId="3F24C49E">
      <w:pPr>
        <w:widowControl w:val="0"/>
        <w:spacing w:after="120"/>
        <w:ind w:firstLine="640"/>
        <w:jc w:val="both"/>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t>我部门无闲置资产待盘活，故该项得分3分。</w:t>
      </w:r>
    </w:p>
    <w:p w14:paraId="2D165E2A">
      <w:pPr>
        <w:widowControl w:val="0"/>
        <w:spacing w:after="120"/>
        <w:ind w:firstLine="640"/>
        <w:jc w:val="both"/>
        <w:rPr>
          <w:rFonts w:hint="default"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t xml:space="preserve"> </w:t>
      </w:r>
      <w:r>
        <w:rPr>
          <w:rFonts w:hint="eastAsia" w:ascii="Times New Roman" w:hAnsi="Times New Roman" w:eastAsia="仿宋_GB2312" w:cs="Times New Roman"/>
          <w:b w:val="0"/>
          <w:bCs w:val="0"/>
          <w:kern w:val="2"/>
          <w:sz w:val="32"/>
          <w:szCs w:val="24"/>
          <w:highlight w:val="none"/>
          <w:lang w:val="en-US" w:eastAsia="zh-CN" w:bidi="ar-SA"/>
        </w:rPr>
        <w:t>综上所述资产管理项总得分9分。</w:t>
      </w:r>
    </w:p>
    <w:p w14:paraId="65C68900">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zh-CN"/>
        </w:rPr>
        <w:t>采购管理。</w:t>
      </w:r>
    </w:p>
    <w:p w14:paraId="04F840B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zh-CN"/>
        </w:rPr>
        <w:t>我部门</w:t>
      </w:r>
      <w:r>
        <w:rPr>
          <w:rFonts w:hint="default" w:ascii="Times New Roman" w:hAnsi="Times New Roman" w:eastAsia="仿宋_GB2312" w:cs="Times New Roman"/>
          <w:color w:val="000000"/>
          <w:kern w:val="0"/>
          <w:sz w:val="32"/>
          <w:szCs w:val="32"/>
          <w:highlight w:val="none"/>
          <w:shd w:val="clear" w:color="auto" w:fill="FFFFFF"/>
          <w:lang w:val="zh-CN"/>
        </w:rPr>
        <w:t>对适宜由中小企业提供的采购项目和采购包，预留采购份额专门面向中小企业采购，并在采购预算中单独列示</w:t>
      </w:r>
      <w:r>
        <w:rPr>
          <w:rFonts w:hint="eastAsia" w:ascii="Times New Roman" w:hAnsi="Times New Roman" w:eastAsia="仿宋_GB2312" w:cs="Times New Roman"/>
          <w:color w:val="000000"/>
          <w:kern w:val="0"/>
          <w:sz w:val="32"/>
          <w:szCs w:val="32"/>
          <w:highlight w:val="none"/>
          <w:shd w:val="clear" w:color="auto" w:fill="FFFFFF"/>
          <w:lang w:val="zh-CN"/>
        </w:rPr>
        <w:t>。故该项得分</w:t>
      </w:r>
      <w:r>
        <w:rPr>
          <w:rFonts w:hint="eastAsia" w:ascii="Times New Roman" w:hAnsi="Times New Roman" w:eastAsia="仿宋_GB2312" w:cs="Times New Roman"/>
          <w:color w:val="000000"/>
          <w:kern w:val="0"/>
          <w:sz w:val="32"/>
          <w:szCs w:val="32"/>
          <w:highlight w:val="none"/>
          <w:shd w:val="clear" w:color="auto" w:fill="FFFFFF"/>
          <w:lang w:val="en-US" w:eastAsia="zh-CN"/>
        </w:rPr>
        <w:t>0分。</w:t>
      </w:r>
    </w:p>
    <w:p w14:paraId="00CF7082">
      <w:pPr>
        <w:widowControl w:val="0"/>
        <w:spacing w:after="120"/>
        <w:ind w:firstLine="640"/>
        <w:jc w:val="both"/>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eastAsia" w:ascii="Times New Roman" w:hAnsi="Times New Roman" w:eastAsia="仿宋_GB2312" w:cs="Times New Roman"/>
          <w:color w:val="000000"/>
          <w:kern w:val="0"/>
          <w:sz w:val="32"/>
          <w:szCs w:val="32"/>
          <w:highlight w:val="none"/>
          <w:shd w:val="clear" w:color="auto" w:fill="FFFFFF"/>
          <w:lang w:val="zh-CN" w:eastAsia="zh-CN" w:bidi="ar-SA"/>
        </w:rPr>
        <w:t>采购执行率</w:t>
      </w:r>
      <w:r>
        <w:rPr>
          <w:rFonts w:hint="default" w:ascii="Times New Roman" w:hAnsi="Times New Roman" w:eastAsia="仿宋_GB2312" w:cs="Times New Roman"/>
          <w:color w:val="000000"/>
          <w:kern w:val="0"/>
          <w:sz w:val="32"/>
          <w:szCs w:val="32"/>
          <w:highlight w:val="none"/>
          <w:shd w:val="clear" w:color="auto" w:fill="FFFFFF"/>
          <w:lang w:val="zh-CN" w:eastAsia="zh-CN" w:bidi="ar-SA"/>
        </w:rPr>
        <w:t>情况分析：</w:t>
      </w:r>
    </w:p>
    <w:p w14:paraId="114E20CE">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本部门2025年涉及5个政府采购项目，项目实际支付总金额225.22万元，实际中标（签约）金额225.22万元。2025年政府采购总预算数225.22万元，2025年已完成采购项目节约金额0万元。</w:t>
      </w:r>
    </w:p>
    <w:p w14:paraId="50B5265B">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该项指标得分=</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政府采购实际支付总金额÷（</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政府采购总预算数-</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已完成采购项目节约金额）×100%×3</w:t>
      </w:r>
      <w:r>
        <w:rPr>
          <w:rFonts w:hint="eastAsia" w:ascii="Times New Roman" w:hAnsi="Times New Roman" w:eastAsia="仿宋_GB2312" w:cs="Times New Roman"/>
          <w:sz w:val="32"/>
          <w:szCs w:val="32"/>
          <w:highlight w:val="none"/>
          <w:lang w:val="en-US" w:eastAsia="zh-CN"/>
        </w:rPr>
        <w:t>=3分</w:t>
      </w:r>
      <w:r>
        <w:rPr>
          <w:rFonts w:hint="eastAsia" w:ascii="Times New Roman" w:hAnsi="Times New Roman" w:eastAsia="仿宋_GB2312" w:cs="Times New Roman"/>
          <w:sz w:val="32"/>
          <w:szCs w:val="32"/>
          <w:highlight w:val="none"/>
          <w:lang w:val="zh-CN" w:eastAsia="zh-CN"/>
        </w:rPr>
        <w:t>。</w:t>
      </w:r>
    </w:p>
    <w:p w14:paraId="531B7E2C">
      <w:pPr>
        <w:keepNext w:val="0"/>
        <w:keepLines w:val="0"/>
        <w:pageBreakBefore w:val="0"/>
        <w:widowControl/>
        <w:kinsoku/>
        <w:wordWrap/>
        <w:overflowPunct/>
        <w:topLinePunct w:val="0"/>
        <w:autoSpaceDE/>
        <w:autoSpaceDN/>
        <w:bidi w:val="0"/>
        <w:adjustRightInd w:val="0"/>
        <w:snapToGrid w:val="0"/>
        <w:spacing w:line="578" w:lineRule="exact"/>
        <w:ind w:firstLine="321" w:firstLineChars="1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填报以下数据，</w:t>
      </w:r>
      <w:r>
        <w:rPr>
          <w:rFonts w:hint="default" w:ascii="Times New Roman" w:hAnsi="Times New Roman" w:eastAsia="仿宋_GB2312" w:cs="Times New Roman"/>
          <w:color w:val="000000"/>
          <w:kern w:val="0"/>
          <w:sz w:val="32"/>
          <w:szCs w:val="32"/>
          <w:highlight w:val="none"/>
          <w:shd w:val="clear" w:color="auto" w:fill="FFFFFF"/>
          <w:lang w:val="zh-CN"/>
        </w:rPr>
        <w:t>并根据部门预算绩效评价指标体系“项目绩效”涉及二、三级指标进行逐项绩效分析并评分，依次包括项目</w:t>
      </w:r>
      <w:r>
        <w:rPr>
          <w:rFonts w:hint="default" w:ascii="Times New Roman" w:hAnsi="Times New Roman" w:eastAsia="仿宋_GB2312" w:cs="Times New Roman"/>
          <w:color w:val="000000"/>
          <w:kern w:val="0"/>
          <w:sz w:val="32"/>
          <w:szCs w:val="32"/>
          <w:highlight w:val="none"/>
          <w:shd w:val="clear" w:color="auto" w:fill="FFFFFF"/>
          <w:lang w:val="en-US" w:eastAsia="zh-CN"/>
        </w:rPr>
        <w:t>决策、项目执行、目标实现等情况。</w:t>
      </w:r>
    </w:p>
    <w:p w14:paraId="0F6DE41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w:t>
      </w:r>
      <w:r>
        <w:rPr>
          <w:rFonts w:hint="eastAsia" w:ascii="Times New Roman" w:hAnsi="Times New Roman" w:eastAsia="仿宋_GB2312" w:cs="Times New Roman"/>
          <w:color w:val="000000"/>
          <w:kern w:val="0"/>
          <w:sz w:val="32"/>
          <w:szCs w:val="32"/>
          <w:highlight w:val="none"/>
          <w:shd w:val="clear" w:color="auto" w:fill="FFFFFF"/>
          <w:lang w:val="en-US" w:eastAsia="zh-CN"/>
        </w:rPr>
        <w:t>含</w:t>
      </w:r>
      <w:r>
        <w:rPr>
          <w:rFonts w:hint="default" w:ascii="Times New Roman" w:hAnsi="Times New Roman" w:eastAsia="仿宋_GB2312" w:cs="Times New Roman"/>
          <w:color w:val="000000"/>
          <w:kern w:val="0"/>
          <w:sz w:val="32"/>
          <w:szCs w:val="32"/>
          <w:highlight w:val="none"/>
          <w:shd w:val="clear" w:color="auto" w:fill="FFFFFF"/>
          <w:lang w:val="en-US" w:eastAsia="zh-CN"/>
        </w:rPr>
        <w:t>一次性）项目绩效分析。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23</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474.5</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99.34</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14:paraId="09F59C8C">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firstLine="639"/>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zh-CN"/>
        </w:rPr>
        <w:t>项目决策。</w:t>
      </w:r>
    </w:p>
    <w:p w14:paraId="26BFE90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shd w:val="clear" w:color="auto" w:fill="FFFFFF"/>
          <w:lang w:val="zh-CN"/>
        </w:rPr>
      </w:pPr>
      <w:r>
        <w:rPr>
          <w:rFonts w:ascii="Times New Roman" w:hAnsi="Times New Roman" w:eastAsia="仿宋_GB2312" w:cs="Times New Roman"/>
          <w:color w:val="000000"/>
          <w:kern w:val="0"/>
          <w:sz w:val="32"/>
          <w:szCs w:val="32"/>
          <w:highlight w:val="none"/>
          <w:shd w:val="clear" w:color="auto" w:fill="FFFFFF"/>
          <w:lang w:val="zh-CN"/>
        </w:rPr>
        <w:t>我单位预算项目按要求均履行评估论证、申报程序。</w:t>
      </w:r>
      <w:r>
        <w:rPr>
          <w:rFonts w:hint="eastAsia" w:ascii="Times New Roman" w:hAnsi="Times New Roman" w:eastAsia="仿宋_GB2312" w:cs="Times New Roman"/>
          <w:color w:val="000000"/>
          <w:kern w:val="0"/>
          <w:sz w:val="32"/>
          <w:szCs w:val="32"/>
          <w:highlight w:val="none"/>
          <w:shd w:val="clear" w:color="auto" w:fill="FFFFFF"/>
          <w:lang w:val="zh-CN"/>
        </w:rPr>
        <w:t>该项指标得分=4-部门未履行事前评估程序的部门预算阶段项目（含一次性项目）数量</w:t>
      </w:r>
      <w:r>
        <w:rPr>
          <w:rFonts w:ascii="Times New Roman" w:hAnsi="Times New Roman" w:eastAsia="仿宋_GB2312" w:cs="Times New Roman"/>
          <w:color w:val="000000"/>
          <w:kern w:val="0"/>
          <w:sz w:val="32"/>
          <w:szCs w:val="32"/>
          <w:highlight w:val="none"/>
          <w:shd w:val="clear" w:color="auto" w:fill="FFFFFF"/>
          <w:lang w:val="zh-CN"/>
        </w:rPr>
        <w:t>0</w:t>
      </w:r>
      <w:r>
        <w:rPr>
          <w:rFonts w:hint="eastAsia" w:ascii="Times New Roman" w:hAnsi="Times New Roman" w:eastAsia="仿宋_GB2312" w:cs="Times New Roman"/>
          <w:color w:val="000000"/>
          <w:kern w:val="0"/>
          <w:sz w:val="32"/>
          <w:szCs w:val="32"/>
          <w:highlight w:val="none"/>
          <w:shd w:val="clear" w:color="auto" w:fill="FFFFFF"/>
          <w:lang w:val="zh-CN"/>
        </w:rPr>
        <w:t>÷部门预算阶段项目（含一次性项目）总数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27</w:t>
      </w:r>
      <w:r>
        <w:rPr>
          <w:rFonts w:hint="eastAsia" w:ascii="Times New Roman" w:hAnsi="Times New Roman" w:eastAsia="仿宋_GB2312" w:cs="Times New Roman"/>
          <w:color w:val="000000"/>
          <w:kern w:val="0"/>
          <w:sz w:val="32"/>
          <w:szCs w:val="32"/>
          <w:highlight w:val="none"/>
          <w:shd w:val="clear" w:color="auto" w:fill="FFFFFF"/>
          <w:lang w:val="zh-CN"/>
        </w:rPr>
        <w:t>×100%×4</w:t>
      </w:r>
      <w:r>
        <w:rPr>
          <w:rFonts w:ascii="Times New Roman" w:hAnsi="Times New Roman" w:eastAsia="仿宋_GB2312" w:cs="Times New Roman"/>
          <w:color w:val="000000"/>
          <w:kern w:val="0"/>
          <w:sz w:val="32"/>
          <w:szCs w:val="32"/>
          <w:highlight w:val="none"/>
          <w:shd w:val="clear" w:color="auto" w:fill="FFFFFF"/>
          <w:lang w:val="zh-CN"/>
        </w:rPr>
        <w:t>=4，该项得分4分。</w:t>
      </w:r>
    </w:p>
    <w:p w14:paraId="7D5B6DA3">
      <w:pPr>
        <w:keepNext w:val="0"/>
        <w:keepLines w:val="0"/>
        <w:pageBreakBefore w:val="0"/>
        <w:widowControl w:val="0"/>
        <w:kinsoku/>
        <w:wordWrap/>
        <w:overflowPunct/>
        <w:topLinePunct w:val="0"/>
        <w:autoSpaceDE/>
        <w:autoSpaceDN/>
        <w:adjustRightInd w:val="0"/>
        <w:snapToGrid w:val="0"/>
        <w:spacing w:line="578" w:lineRule="exact"/>
        <w:ind w:firstLine="639"/>
        <w:contextualSpacing/>
        <w:jc w:val="left"/>
        <w:rPr>
          <w:rFonts w:hint="eastAsia" w:ascii="Times New Roman" w:hAnsi="Times New Roman" w:eastAsia="仿宋_GB2312" w:cs="Times New Roman"/>
          <w:color w:val="000000"/>
          <w:kern w:val="0"/>
          <w:sz w:val="32"/>
          <w:szCs w:val="32"/>
          <w:highlight w:val="none"/>
          <w:shd w:val="clear" w:color="auto" w:fill="FFFFFF"/>
          <w:lang w:val="zh-CN"/>
        </w:rPr>
      </w:pPr>
      <w:r>
        <w:rPr>
          <w:rFonts w:ascii="Times New Roman" w:hAnsi="Times New Roman" w:eastAsia="仿宋_GB2312" w:cs="Times New Roman"/>
          <w:color w:val="000000"/>
          <w:kern w:val="0"/>
          <w:sz w:val="32"/>
          <w:szCs w:val="32"/>
          <w:highlight w:val="none"/>
          <w:shd w:val="clear" w:color="auto" w:fill="FFFFFF"/>
          <w:lang w:val="zh-CN"/>
        </w:rPr>
        <w:t>我单位预算项目绩效目标与计划期内的任务量、预算安排相匹配，预算安排资金量与预算匹配，绩效目标设置科学合理、规范完整、量化息化。</w:t>
      </w:r>
      <w:r>
        <w:rPr>
          <w:rFonts w:hint="eastAsia" w:ascii="Times New Roman" w:hAnsi="Times New Roman" w:eastAsia="仿宋_GB2312" w:cs="Times New Roman"/>
          <w:color w:val="000000"/>
          <w:kern w:val="0"/>
          <w:sz w:val="32"/>
          <w:szCs w:val="32"/>
          <w:highlight w:val="none"/>
          <w:shd w:val="clear" w:color="auto" w:fill="FFFFFF"/>
          <w:lang w:val="zh-CN"/>
        </w:rPr>
        <w:t>该项指标得分=4-绩效目标与计划期内的任务量、预算安排不相匹配的部门预算阶段项目（含一次性项目）数量</w:t>
      </w:r>
      <w:r>
        <w:rPr>
          <w:rFonts w:ascii="Times New Roman" w:hAnsi="Times New Roman" w:eastAsia="仿宋_GB2312" w:cs="Times New Roman"/>
          <w:color w:val="000000"/>
          <w:kern w:val="0"/>
          <w:sz w:val="32"/>
          <w:szCs w:val="32"/>
          <w:highlight w:val="none"/>
          <w:shd w:val="clear" w:color="auto" w:fill="FFFFFF"/>
          <w:lang w:val="zh-CN"/>
        </w:rPr>
        <w:t>0</w:t>
      </w:r>
      <w:r>
        <w:rPr>
          <w:rFonts w:hint="eastAsia" w:ascii="Times New Roman" w:hAnsi="Times New Roman" w:eastAsia="仿宋_GB2312" w:cs="Times New Roman"/>
          <w:color w:val="000000"/>
          <w:kern w:val="0"/>
          <w:sz w:val="32"/>
          <w:szCs w:val="32"/>
          <w:highlight w:val="none"/>
          <w:shd w:val="clear" w:color="auto" w:fill="FFFFFF"/>
          <w:lang w:val="zh-CN"/>
        </w:rPr>
        <w:t>÷部门预算阶段项目（含一次性项目）总数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23</w:t>
      </w:r>
      <w:r>
        <w:rPr>
          <w:rFonts w:hint="eastAsia" w:ascii="Times New Roman" w:hAnsi="Times New Roman" w:eastAsia="仿宋_GB2312" w:cs="Times New Roman"/>
          <w:color w:val="000000"/>
          <w:kern w:val="0"/>
          <w:sz w:val="32"/>
          <w:szCs w:val="32"/>
          <w:highlight w:val="none"/>
          <w:shd w:val="clear" w:color="auto" w:fill="FFFFFF"/>
          <w:lang w:val="zh-CN"/>
        </w:rPr>
        <w:t>×100%×4</w:t>
      </w:r>
      <w:r>
        <w:rPr>
          <w:rFonts w:ascii="Times New Roman" w:hAnsi="Times New Roman" w:eastAsia="仿宋_GB2312" w:cs="Times New Roman"/>
          <w:color w:val="000000"/>
          <w:kern w:val="0"/>
          <w:sz w:val="32"/>
          <w:szCs w:val="32"/>
          <w:highlight w:val="none"/>
          <w:shd w:val="clear" w:color="auto" w:fill="FFFFFF"/>
          <w:lang w:val="zh-CN"/>
        </w:rPr>
        <w:t>=4，该项得分4分。</w:t>
      </w:r>
    </w:p>
    <w:p w14:paraId="4D006A2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shd w:val="clear" w:color="auto" w:fill="FFFFFF"/>
          <w:lang w:val="zh-CN"/>
        </w:rPr>
      </w:pPr>
      <w:r>
        <w:rPr>
          <w:rFonts w:ascii="Times New Roman" w:hAnsi="Times New Roman" w:eastAsia="仿宋_GB2312" w:cs="Times New Roman"/>
          <w:color w:val="000000"/>
          <w:kern w:val="0"/>
          <w:sz w:val="32"/>
          <w:szCs w:val="32"/>
          <w:highlight w:val="none"/>
          <w:shd w:val="clear" w:color="auto" w:fill="FFFFFF"/>
          <w:lang w:val="zh-CN"/>
        </w:rPr>
        <w:t>部门预算项目均在规定时间内完成项目入库。该项得分4分。</w:t>
      </w:r>
    </w:p>
    <w:p w14:paraId="70709DDA">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left="0" w:leftChars="0" w:firstLine="639" w:firstLineChars="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项目执行</w:t>
      </w:r>
      <w:r>
        <w:rPr>
          <w:rFonts w:hint="default" w:ascii="Times New Roman" w:hAnsi="Times New Roman" w:eastAsia="楷体_GB2312" w:cs="Times New Roman"/>
          <w:color w:val="000000"/>
          <w:kern w:val="0"/>
          <w:sz w:val="32"/>
          <w:szCs w:val="32"/>
          <w:highlight w:val="none"/>
          <w:shd w:val="clear" w:color="auto" w:fill="FFFFFF"/>
          <w:lang w:val="zh-CN"/>
        </w:rPr>
        <w:t>。</w:t>
      </w:r>
    </w:p>
    <w:p w14:paraId="609DA034">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contextualSpacing/>
        <w:jc w:val="left"/>
        <w:rPr>
          <w:rFonts w:ascii="Times New Roman" w:hAnsi="Times New Roman" w:eastAsia="仿宋_GB2312" w:cs="Times New Roman"/>
          <w:color w:val="000000"/>
          <w:kern w:val="0"/>
          <w:sz w:val="32"/>
          <w:szCs w:val="32"/>
          <w:highlight w:val="none"/>
          <w:shd w:val="clear" w:color="auto" w:fill="FFFFFF"/>
          <w:lang w:val="zh-CN"/>
        </w:rPr>
      </w:pPr>
      <w:r>
        <w:rPr>
          <w:rFonts w:ascii="Times New Roman" w:hAnsi="Times New Roman" w:eastAsia="仿宋_GB2312" w:cs="Times New Roman"/>
          <w:color w:val="000000"/>
          <w:kern w:val="0"/>
          <w:sz w:val="32"/>
          <w:szCs w:val="32"/>
          <w:highlight w:val="none"/>
          <w:shd w:val="clear" w:color="auto" w:fill="FFFFFF"/>
          <w:lang w:val="zh-CN"/>
        </w:rPr>
        <w:t>我单位部门预算项目实际列支内容与绩效目标设置方向相符。该项指标得分=4-实际列支内容与绩效目标设置方向不相符的部门预算阶段项目（含一次性项目）数量0÷部门预算阶段项目（含一次性项目）总数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23</w:t>
      </w:r>
      <w:r>
        <w:rPr>
          <w:rFonts w:ascii="Times New Roman" w:hAnsi="Times New Roman" w:eastAsia="仿宋_GB2312" w:cs="Times New Roman"/>
          <w:color w:val="000000"/>
          <w:kern w:val="0"/>
          <w:sz w:val="32"/>
          <w:szCs w:val="32"/>
          <w:highlight w:val="none"/>
          <w:shd w:val="clear" w:color="auto" w:fill="FFFFFF"/>
          <w:lang w:val="zh-CN"/>
        </w:rPr>
        <w:t>×100%×4=0，该项得分4分。</w:t>
      </w:r>
    </w:p>
    <w:p w14:paraId="5FEFF1CB">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contextualSpacing/>
        <w:jc w:val="left"/>
        <w:rPr>
          <w:rFonts w:hint="eastAsia" w:ascii="Times New Roman" w:hAnsi="Times New Roman" w:eastAsia="仿宋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color w:val="000000"/>
          <w:kern w:val="0"/>
          <w:sz w:val="32"/>
          <w:szCs w:val="32"/>
          <w:highlight w:val="none"/>
          <w:shd w:val="clear" w:color="auto" w:fill="FFFFFF"/>
          <w:lang w:val="zh-CN"/>
        </w:rPr>
        <w:t>部门预算项目结余结转均已采取对应调整措施，该项指标得分=4-应采取未采取收回预算、调整目标等处置措施的部门预算阶段项目（含一次性项目）数量</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hint="eastAsia" w:ascii="Times New Roman" w:hAnsi="Times New Roman" w:eastAsia="仿宋_GB2312" w:cs="Times New Roman"/>
          <w:color w:val="000000"/>
          <w:kern w:val="0"/>
          <w:sz w:val="32"/>
          <w:szCs w:val="32"/>
          <w:highlight w:val="none"/>
          <w:shd w:val="clear" w:color="auto" w:fill="FFFFFF"/>
          <w:lang w:val="zh-CN"/>
        </w:rPr>
        <w:t>÷应采取收回预算、调整目标等处置措施的部门预算阶段项目（含一次性项目）总数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23</w:t>
      </w:r>
      <w:r>
        <w:rPr>
          <w:rFonts w:hint="eastAsia" w:ascii="Times New Roman" w:hAnsi="Times New Roman" w:eastAsia="仿宋_GB2312" w:cs="Times New Roman"/>
          <w:color w:val="000000"/>
          <w:kern w:val="0"/>
          <w:sz w:val="32"/>
          <w:szCs w:val="32"/>
          <w:highlight w:val="none"/>
          <w:shd w:val="clear" w:color="auto" w:fill="FFFFFF"/>
          <w:lang w:val="zh-CN"/>
        </w:rPr>
        <w:t>×100%×4=0，该项得分</w:t>
      </w:r>
      <w:r>
        <w:rPr>
          <w:rFonts w:hint="eastAsia" w:ascii="Times New Roman" w:hAnsi="Times New Roman" w:eastAsia="仿宋_GB2312" w:cs="Times New Roman"/>
          <w:color w:val="000000"/>
          <w:kern w:val="0"/>
          <w:sz w:val="32"/>
          <w:szCs w:val="32"/>
          <w:highlight w:val="none"/>
          <w:shd w:val="clear" w:color="auto" w:fill="FFFFFF"/>
          <w:lang w:val="en-US" w:eastAsia="zh-CN"/>
        </w:rPr>
        <w:t>4</w:t>
      </w:r>
      <w:r>
        <w:rPr>
          <w:rFonts w:hint="eastAsia" w:ascii="Times New Roman" w:hAnsi="Times New Roman" w:eastAsia="仿宋_GB2312" w:cs="Times New Roman"/>
          <w:color w:val="000000"/>
          <w:kern w:val="0"/>
          <w:sz w:val="32"/>
          <w:szCs w:val="32"/>
          <w:highlight w:val="none"/>
          <w:shd w:val="clear" w:color="auto" w:fill="FFFFFF"/>
          <w:lang w:val="zh-CN"/>
        </w:rPr>
        <w:t>分。</w:t>
      </w:r>
    </w:p>
    <w:p w14:paraId="22ECAAAE">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contextualSpacing/>
        <w:jc w:val="left"/>
        <w:rPr>
          <w:rFonts w:hint="eastAsia" w:ascii="Times New Roman" w:hAnsi="Times New Roman" w:eastAsia="仿宋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color w:val="000000"/>
          <w:kern w:val="0"/>
          <w:sz w:val="32"/>
          <w:szCs w:val="32"/>
          <w:highlight w:val="none"/>
          <w:shd w:val="clear" w:color="auto" w:fill="FFFFFF"/>
          <w:lang w:val="zh-CN"/>
        </w:rPr>
        <w:t>部门预算项目预算执行情况：该项指标得分=预算结余率小于10%的常年项目数量</w:t>
      </w:r>
      <w:r>
        <w:rPr>
          <w:rFonts w:hint="eastAsia" w:ascii="Times New Roman" w:hAnsi="Times New Roman" w:eastAsia="仿宋_GB2312" w:cs="Times New Roman"/>
          <w:color w:val="000000"/>
          <w:kern w:val="0"/>
          <w:sz w:val="32"/>
          <w:szCs w:val="32"/>
          <w:highlight w:val="none"/>
          <w:shd w:val="clear" w:color="auto" w:fill="FFFFFF"/>
          <w:lang w:val="en-US" w:eastAsia="zh-CN"/>
        </w:rPr>
        <w:t>23</w:t>
      </w:r>
      <w:r>
        <w:rPr>
          <w:rFonts w:hint="eastAsia" w:ascii="Times New Roman" w:hAnsi="Times New Roman" w:eastAsia="仿宋_GB2312" w:cs="Times New Roman"/>
          <w:color w:val="000000"/>
          <w:kern w:val="0"/>
          <w:sz w:val="32"/>
          <w:szCs w:val="32"/>
          <w:highlight w:val="none"/>
          <w:shd w:val="clear" w:color="auto" w:fill="FFFFFF"/>
          <w:lang w:val="zh-CN"/>
        </w:rPr>
        <w:t>÷部门预算常年项目总数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23</w:t>
      </w:r>
      <w:r>
        <w:rPr>
          <w:rFonts w:hint="eastAsia" w:ascii="Times New Roman" w:hAnsi="Times New Roman" w:eastAsia="仿宋_GB2312" w:cs="Times New Roman"/>
          <w:color w:val="000000"/>
          <w:kern w:val="0"/>
          <w:sz w:val="32"/>
          <w:szCs w:val="32"/>
          <w:highlight w:val="none"/>
          <w:shd w:val="clear" w:color="auto" w:fill="FFFFFF"/>
          <w:lang w:val="zh-CN"/>
        </w:rPr>
        <w:t>×100%×2+预算结余率小于10%的一次性项目和阶段项目数量</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hint="eastAsia" w:ascii="Times New Roman" w:hAnsi="Times New Roman" w:eastAsia="仿宋_GB2312" w:cs="Times New Roman"/>
          <w:color w:val="000000"/>
          <w:kern w:val="0"/>
          <w:sz w:val="32"/>
          <w:szCs w:val="32"/>
          <w:highlight w:val="none"/>
          <w:shd w:val="clear" w:color="auto" w:fill="FFFFFF"/>
          <w:lang w:val="zh-CN"/>
        </w:rPr>
        <w:t>÷部门预算一次性项目和阶段项目总</w:t>
      </w:r>
      <w:r>
        <w:rPr>
          <w:rFonts w:hint="eastAsia" w:ascii="Times New Roman" w:hAnsi="Times New Roman" w:eastAsia="仿宋_GB2312" w:cs="Times New Roman"/>
          <w:color w:val="000000"/>
          <w:kern w:val="0"/>
          <w:sz w:val="32"/>
          <w:szCs w:val="32"/>
          <w:highlight w:val="none"/>
          <w:shd w:val="clear" w:color="auto" w:fill="FFFFFF"/>
          <w:lang w:val="en-US" w:eastAsia="zh-CN"/>
        </w:rPr>
        <w:t>23</w:t>
      </w:r>
      <w:r>
        <w:rPr>
          <w:rFonts w:hint="eastAsia" w:ascii="Times New Roman" w:hAnsi="Times New Roman" w:eastAsia="仿宋_GB2312" w:cs="Times New Roman"/>
          <w:color w:val="000000"/>
          <w:kern w:val="0"/>
          <w:sz w:val="32"/>
          <w:szCs w:val="32"/>
          <w:highlight w:val="none"/>
          <w:shd w:val="clear" w:color="auto" w:fill="FFFFFF"/>
          <w:lang w:val="zh-CN"/>
        </w:rPr>
        <w:t>×100%×2</w:t>
      </w:r>
      <w:r>
        <w:rPr>
          <w:rFonts w:ascii="Times New Roman" w:hAnsi="Times New Roman" w:eastAsia="仿宋_GB2312" w:cs="Times New Roman"/>
          <w:color w:val="000000"/>
          <w:kern w:val="0"/>
          <w:sz w:val="32"/>
          <w:szCs w:val="32"/>
          <w:highlight w:val="none"/>
          <w:shd w:val="clear" w:color="auto" w:fill="FFFFFF"/>
          <w:lang w:val="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3.83</w:t>
      </w:r>
      <w:r>
        <w:rPr>
          <w:rFonts w:ascii="Times New Roman" w:hAnsi="Times New Roman" w:eastAsia="仿宋_GB2312" w:cs="Times New Roman"/>
          <w:color w:val="000000"/>
          <w:kern w:val="0"/>
          <w:sz w:val="32"/>
          <w:szCs w:val="32"/>
          <w:highlight w:val="none"/>
          <w:shd w:val="clear" w:color="auto" w:fill="FFFFFF"/>
          <w:lang w:val="zh-CN"/>
        </w:rPr>
        <w:t>，该项得分</w:t>
      </w:r>
      <w:r>
        <w:rPr>
          <w:rFonts w:hint="eastAsia" w:ascii="Times New Roman" w:hAnsi="Times New Roman" w:eastAsia="仿宋_GB2312" w:cs="Times New Roman"/>
          <w:color w:val="000000"/>
          <w:kern w:val="0"/>
          <w:sz w:val="32"/>
          <w:szCs w:val="32"/>
          <w:highlight w:val="none"/>
          <w:shd w:val="clear" w:color="auto" w:fill="FFFFFF"/>
          <w:lang w:val="en-US" w:eastAsia="zh-CN"/>
        </w:rPr>
        <w:t>4</w:t>
      </w:r>
      <w:r>
        <w:rPr>
          <w:rFonts w:ascii="Times New Roman" w:hAnsi="Times New Roman" w:eastAsia="仿宋_GB2312" w:cs="Times New Roman"/>
          <w:color w:val="000000"/>
          <w:kern w:val="0"/>
          <w:sz w:val="32"/>
          <w:szCs w:val="32"/>
          <w:highlight w:val="none"/>
          <w:shd w:val="clear" w:color="auto" w:fill="FFFFFF"/>
          <w:lang w:val="zh-CN"/>
        </w:rPr>
        <w:t>分。</w:t>
      </w:r>
    </w:p>
    <w:p w14:paraId="0F996927">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left="0" w:leftChars="0" w:firstLine="639" w:firstLineChars="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zh-CN"/>
        </w:rPr>
        <w:t>目标实现。</w:t>
      </w:r>
    </w:p>
    <w:p w14:paraId="38F640F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eastAsia" w:ascii="Times New Roman" w:hAnsi="Times New Roman" w:eastAsia="仿宋_GB2312" w:cs="楷体_GB2312"/>
          <w:color w:val="000000"/>
          <w:kern w:val="0"/>
          <w:sz w:val="32"/>
          <w:szCs w:val="32"/>
          <w:highlight w:val="none"/>
          <w:shd w:val="clear" w:color="auto" w:fill="FFFFFF"/>
          <w:lang w:val="zh-CN"/>
        </w:rPr>
        <w:t>部门预算项目绩效目标指标完成情况：</w:t>
      </w:r>
      <w:r>
        <w:rPr>
          <w:rFonts w:ascii="Times New Roman" w:hAnsi="Times New Roman" w:eastAsia="仿宋_GB2312" w:cs="楷体_GB2312"/>
          <w:color w:val="000000"/>
          <w:kern w:val="0"/>
          <w:sz w:val="32"/>
          <w:szCs w:val="32"/>
          <w:highlight w:val="none"/>
          <w:shd w:val="clear" w:color="auto" w:fill="FFFFFF"/>
          <w:lang w:val="zh-CN"/>
        </w:rPr>
        <w:t>该项指标得分=完成绩效目标数量指标的部门预算阶段项目（含一次性项目）数量</w:t>
      </w:r>
      <w:r>
        <w:rPr>
          <w:rFonts w:hint="eastAsia" w:ascii="Times New Roman" w:hAnsi="Times New Roman" w:eastAsia="仿宋_GB2312" w:cs="楷体_GB2312"/>
          <w:color w:val="000000"/>
          <w:kern w:val="0"/>
          <w:sz w:val="32"/>
          <w:szCs w:val="32"/>
          <w:highlight w:val="none"/>
          <w:shd w:val="clear" w:color="auto" w:fill="FFFFFF"/>
          <w:lang w:val="en-US" w:eastAsia="zh-CN"/>
        </w:rPr>
        <w:t>23</w:t>
      </w:r>
      <w:r>
        <w:rPr>
          <w:rFonts w:ascii="Times New Roman" w:hAnsi="Times New Roman" w:eastAsia="仿宋_GB2312" w:cs="楷体_GB2312"/>
          <w:color w:val="000000"/>
          <w:kern w:val="0"/>
          <w:sz w:val="32"/>
          <w:szCs w:val="32"/>
          <w:highlight w:val="none"/>
          <w:shd w:val="clear" w:color="auto" w:fill="FFFFFF"/>
          <w:lang w:val="zh-CN"/>
        </w:rPr>
        <w:t>÷部门预算阶段项目（含一次性项目）总数</w:t>
      </w:r>
      <w:r>
        <w:rPr>
          <w:rFonts w:hint="eastAsia" w:ascii="Times New Roman" w:hAnsi="Times New Roman" w:eastAsia="仿宋_GB2312" w:cs="楷体_GB2312"/>
          <w:color w:val="000000"/>
          <w:kern w:val="0"/>
          <w:sz w:val="32"/>
          <w:szCs w:val="32"/>
          <w:highlight w:val="none"/>
          <w:shd w:val="clear" w:color="auto" w:fill="FFFFFF"/>
          <w:lang w:val="en-US" w:eastAsia="zh-CN"/>
        </w:rPr>
        <w:t>23</w:t>
      </w:r>
      <w:r>
        <w:rPr>
          <w:rFonts w:ascii="Times New Roman" w:hAnsi="Times New Roman" w:eastAsia="仿宋_GB2312" w:cs="楷体_GB2312"/>
          <w:color w:val="000000"/>
          <w:kern w:val="0"/>
          <w:sz w:val="32"/>
          <w:szCs w:val="32"/>
          <w:highlight w:val="none"/>
          <w:shd w:val="clear" w:color="auto" w:fill="FFFFFF"/>
          <w:lang w:val="zh-CN"/>
        </w:rPr>
        <w:t>×100%×4=</w:t>
      </w:r>
      <w:r>
        <w:rPr>
          <w:rFonts w:hint="eastAsia" w:ascii="Times New Roman" w:hAnsi="Times New Roman" w:eastAsia="仿宋_GB2312" w:cs="楷体_GB2312"/>
          <w:color w:val="000000"/>
          <w:kern w:val="0"/>
          <w:sz w:val="32"/>
          <w:szCs w:val="32"/>
          <w:highlight w:val="none"/>
          <w:shd w:val="clear" w:color="auto" w:fill="FFFFFF"/>
          <w:lang w:val="en-US" w:eastAsia="zh-CN"/>
        </w:rPr>
        <w:t>3.70</w:t>
      </w:r>
      <w:r>
        <w:rPr>
          <w:rFonts w:ascii="Times New Roman" w:hAnsi="Times New Roman" w:eastAsia="仿宋_GB2312" w:cs="楷体_GB2312"/>
          <w:color w:val="000000"/>
          <w:kern w:val="0"/>
          <w:sz w:val="32"/>
          <w:szCs w:val="32"/>
          <w:highlight w:val="none"/>
          <w:shd w:val="clear" w:color="auto" w:fill="FFFFFF"/>
          <w:lang w:val="zh-CN"/>
        </w:rPr>
        <w:t>，该项得分</w:t>
      </w:r>
      <w:r>
        <w:rPr>
          <w:rFonts w:hint="eastAsia" w:ascii="Times New Roman" w:hAnsi="Times New Roman" w:eastAsia="仿宋_GB2312" w:cs="楷体_GB2312"/>
          <w:color w:val="000000"/>
          <w:kern w:val="0"/>
          <w:sz w:val="32"/>
          <w:szCs w:val="32"/>
          <w:highlight w:val="none"/>
          <w:shd w:val="clear" w:color="auto" w:fill="FFFFFF"/>
          <w:lang w:val="en-US" w:eastAsia="zh-CN"/>
        </w:rPr>
        <w:t>4</w:t>
      </w:r>
      <w:r>
        <w:rPr>
          <w:rFonts w:ascii="Times New Roman" w:hAnsi="Times New Roman" w:eastAsia="仿宋_GB2312" w:cs="楷体_GB2312"/>
          <w:color w:val="000000"/>
          <w:kern w:val="0"/>
          <w:sz w:val="32"/>
          <w:szCs w:val="32"/>
          <w:highlight w:val="none"/>
          <w:shd w:val="clear" w:color="auto" w:fill="FFFFFF"/>
          <w:lang w:val="zh-CN"/>
        </w:rPr>
        <w:t>分。</w:t>
      </w:r>
    </w:p>
    <w:p w14:paraId="1F0649AF">
      <w:pPr>
        <w:keepNext w:val="0"/>
        <w:keepLines w:val="0"/>
        <w:pageBreakBefore w:val="0"/>
        <w:widowControl w:val="0"/>
        <w:kinsoku/>
        <w:wordWrap/>
        <w:overflowPunct/>
        <w:topLinePunct w:val="0"/>
        <w:autoSpaceDE/>
        <w:autoSpaceDN/>
        <w:adjustRightInd w:val="0"/>
        <w:snapToGrid w:val="0"/>
        <w:spacing w:line="578" w:lineRule="exact"/>
        <w:ind w:left="0" w:firstLine="639"/>
        <w:contextualSpacing/>
        <w:jc w:val="left"/>
        <w:rPr>
          <w:rFonts w:ascii="Times New Roman" w:hAnsi="Times New Roman" w:eastAsia="仿宋_GB2312" w:cs="Times New Roman"/>
          <w:sz w:val="32"/>
          <w:highlight w:val="none"/>
        </w:rPr>
      </w:pPr>
      <w:r>
        <w:rPr>
          <w:rFonts w:hint="eastAsia" w:ascii="Times New Roman" w:hAnsi="Times New Roman" w:eastAsia="仿宋_GB2312" w:cs="楷体_GB2312"/>
          <w:color w:val="000000"/>
          <w:kern w:val="0"/>
          <w:sz w:val="32"/>
          <w:szCs w:val="32"/>
          <w:highlight w:val="none"/>
          <w:shd w:val="clear" w:color="auto" w:fill="FFFFFF"/>
          <w:lang w:val="zh-CN"/>
        </w:rPr>
        <w:t>部门预算项目绩效目标数量指标实现程度与预期目标的偏离情况：该项指标得分=已完成预期指标值的数量指标中偏离度在30%内的指标个数</w:t>
      </w:r>
      <w:r>
        <w:rPr>
          <w:rFonts w:hint="eastAsia" w:ascii="Times New Roman" w:hAnsi="Times New Roman" w:eastAsia="仿宋_GB2312" w:cs="楷体_GB2312"/>
          <w:color w:val="000000"/>
          <w:kern w:val="0"/>
          <w:sz w:val="32"/>
          <w:szCs w:val="32"/>
          <w:highlight w:val="none"/>
          <w:shd w:val="clear" w:color="auto" w:fill="FFFFFF"/>
          <w:lang w:val="en-US" w:eastAsia="zh-CN"/>
        </w:rPr>
        <w:t>0</w:t>
      </w:r>
      <w:r>
        <w:rPr>
          <w:rFonts w:hint="eastAsia" w:ascii="Times New Roman" w:hAnsi="Times New Roman" w:eastAsia="仿宋_GB2312" w:cs="楷体_GB2312"/>
          <w:color w:val="000000"/>
          <w:kern w:val="0"/>
          <w:sz w:val="32"/>
          <w:szCs w:val="32"/>
          <w:highlight w:val="none"/>
          <w:shd w:val="clear" w:color="auto" w:fill="FFFFFF"/>
          <w:lang w:val="zh-CN"/>
        </w:rPr>
        <w:t>÷已完成预期指标值的数量指标个数</w:t>
      </w:r>
      <w:r>
        <w:rPr>
          <w:rFonts w:hint="eastAsia" w:ascii="Times New Roman" w:hAnsi="Times New Roman" w:eastAsia="仿宋_GB2312" w:cs="楷体_GB2312"/>
          <w:color w:val="000000"/>
          <w:kern w:val="0"/>
          <w:sz w:val="32"/>
          <w:szCs w:val="32"/>
          <w:highlight w:val="none"/>
          <w:shd w:val="clear" w:color="auto" w:fill="FFFFFF"/>
          <w:lang w:val="en-US" w:eastAsia="zh-CN"/>
        </w:rPr>
        <w:t>23</w:t>
      </w:r>
      <w:r>
        <w:rPr>
          <w:rFonts w:hint="eastAsia" w:ascii="Times New Roman" w:hAnsi="Times New Roman" w:eastAsia="仿宋_GB2312" w:cs="楷体_GB2312"/>
          <w:color w:val="000000"/>
          <w:kern w:val="0"/>
          <w:sz w:val="32"/>
          <w:szCs w:val="32"/>
          <w:highlight w:val="none"/>
          <w:shd w:val="clear" w:color="auto" w:fill="FFFFFF"/>
          <w:lang w:val="zh-CN"/>
        </w:rPr>
        <w:t>×100%×4</w:t>
      </w:r>
      <w:r>
        <w:rPr>
          <w:rFonts w:ascii="Times New Roman" w:hAnsi="Times New Roman" w:eastAsia="仿宋_GB2312" w:cs="楷体_GB2312"/>
          <w:color w:val="000000"/>
          <w:kern w:val="0"/>
          <w:sz w:val="32"/>
          <w:szCs w:val="32"/>
          <w:highlight w:val="none"/>
          <w:shd w:val="clear" w:color="auto" w:fill="FFFFFF"/>
          <w:lang w:val="zh-CN"/>
        </w:rPr>
        <w:t>=</w:t>
      </w:r>
      <w:r>
        <w:rPr>
          <w:rFonts w:hint="eastAsia" w:ascii="Times New Roman" w:hAnsi="Times New Roman" w:eastAsia="仿宋_GB2312" w:cs="楷体_GB2312"/>
          <w:color w:val="000000"/>
          <w:kern w:val="0"/>
          <w:sz w:val="32"/>
          <w:szCs w:val="32"/>
          <w:highlight w:val="none"/>
          <w:shd w:val="clear" w:color="auto" w:fill="FFFFFF"/>
          <w:lang w:val="en-US" w:eastAsia="zh-CN"/>
        </w:rPr>
        <w:t>4</w:t>
      </w:r>
      <w:r>
        <w:rPr>
          <w:rFonts w:ascii="Times New Roman" w:hAnsi="Times New Roman" w:eastAsia="仿宋_GB2312" w:cs="楷体_GB2312"/>
          <w:color w:val="000000"/>
          <w:kern w:val="0"/>
          <w:sz w:val="32"/>
          <w:szCs w:val="32"/>
          <w:highlight w:val="none"/>
          <w:shd w:val="clear" w:color="auto" w:fill="FFFFFF"/>
          <w:lang w:val="zh-CN"/>
        </w:rPr>
        <w:t>，该项得分</w:t>
      </w:r>
      <w:r>
        <w:rPr>
          <w:rFonts w:hint="eastAsia" w:ascii="Times New Roman" w:hAnsi="Times New Roman" w:eastAsia="仿宋_GB2312" w:cs="楷体_GB2312"/>
          <w:color w:val="000000"/>
          <w:kern w:val="0"/>
          <w:sz w:val="32"/>
          <w:szCs w:val="32"/>
          <w:highlight w:val="none"/>
          <w:shd w:val="clear" w:color="auto" w:fill="FFFFFF"/>
          <w:lang w:val="en-US" w:eastAsia="zh-CN"/>
        </w:rPr>
        <w:t>4</w:t>
      </w:r>
      <w:r>
        <w:rPr>
          <w:rFonts w:ascii="Times New Roman" w:hAnsi="Times New Roman" w:eastAsia="仿宋_GB2312" w:cs="楷体_GB2312"/>
          <w:color w:val="000000"/>
          <w:kern w:val="0"/>
          <w:sz w:val="32"/>
          <w:szCs w:val="32"/>
          <w:highlight w:val="none"/>
          <w:shd w:val="clear" w:color="auto" w:fill="FFFFFF"/>
          <w:lang w:val="zh-CN"/>
        </w:rPr>
        <w:t>分</w:t>
      </w:r>
      <w:r>
        <w:rPr>
          <w:rFonts w:hint="eastAsia" w:ascii="Times New Roman" w:hAnsi="Times New Roman" w:eastAsia="仿宋_GB2312" w:cs="楷体_GB2312"/>
          <w:color w:val="000000"/>
          <w:kern w:val="0"/>
          <w:sz w:val="32"/>
          <w:szCs w:val="32"/>
          <w:highlight w:val="none"/>
          <w:shd w:val="clear" w:color="auto" w:fill="FFFFFF"/>
          <w:lang w:val="zh-CN"/>
        </w:rPr>
        <w:t>。</w:t>
      </w:r>
    </w:p>
    <w:p w14:paraId="1369D65F">
      <w:pPr>
        <w:keepNext w:val="0"/>
        <w:keepLines w:val="0"/>
        <w:pageBreakBefore w:val="0"/>
        <w:widowControl w:val="0"/>
        <w:spacing w:before="240" w:after="60" w:line="312" w:lineRule="auto"/>
        <w:ind w:firstLine="649"/>
        <w:jc w:val="both"/>
        <w:outlineLvl w:val="1"/>
        <w:rPr>
          <w:rFonts w:ascii="Times New Roman" w:hAnsi="Times New Roman" w:eastAsia="仿宋_GB2312" w:cs="楷体_GB2312"/>
          <w:b w:val="0"/>
          <w:bCs/>
          <w:color w:val="000000"/>
          <w:kern w:val="0"/>
          <w:sz w:val="32"/>
          <w:szCs w:val="32"/>
          <w:highlight w:val="none"/>
          <w:shd w:val="clear" w:color="auto" w:fill="FFFFFF"/>
          <w:lang w:val="zh-CN" w:eastAsia="zh-CN" w:bidi="ar-SA"/>
        </w:rPr>
      </w:pPr>
      <w:r>
        <w:rPr>
          <w:rFonts w:ascii="Times New Roman" w:hAnsi="Times New Roman" w:eastAsia="仿宋_GB2312" w:cs="楷体_GB2312"/>
          <w:b w:val="0"/>
          <w:bCs/>
          <w:color w:val="000000"/>
          <w:kern w:val="0"/>
          <w:sz w:val="32"/>
          <w:szCs w:val="32"/>
          <w:highlight w:val="none"/>
          <w:shd w:val="clear" w:color="auto" w:fill="FFFFFF"/>
          <w:lang w:val="zh-CN" w:eastAsia="zh-CN" w:bidi="ar-SA"/>
        </w:rPr>
        <w:t>部门预算项目绩效目标效益指标实施效果情况：该项指标得分=完成绩效目标效益指标的部门预算阶段项目（含一次性项目）数量</w:t>
      </w:r>
      <w:r>
        <w:rPr>
          <w:rFonts w:hint="eastAsia" w:ascii="Times New Roman" w:hAnsi="Times New Roman" w:eastAsia="仿宋_GB2312" w:cs="楷体_GB2312"/>
          <w:b w:val="0"/>
          <w:bCs/>
          <w:color w:val="000000"/>
          <w:kern w:val="0"/>
          <w:sz w:val="32"/>
          <w:szCs w:val="32"/>
          <w:highlight w:val="none"/>
          <w:shd w:val="clear" w:color="auto" w:fill="FFFFFF"/>
          <w:lang w:val="en-US" w:eastAsia="zh-CN" w:bidi="ar-SA"/>
        </w:rPr>
        <w:t>23</w:t>
      </w:r>
      <w:r>
        <w:rPr>
          <w:rFonts w:ascii="Times New Roman" w:hAnsi="Times New Roman" w:eastAsia="仿宋_GB2312" w:cs="楷体_GB2312"/>
          <w:b w:val="0"/>
          <w:bCs/>
          <w:color w:val="000000"/>
          <w:kern w:val="0"/>
          <w:sz w:val="32"/>
          <w:szCs w:val="32"/>
          <w:highlight w:val="none"/>
          <w:shd w:val="clear" w:color="auto" w:fill="FFFFFF"/>
          <w:lang w:val="zh-CN" w:eastAsia="zh-CN" w:bidi="ar-SA"/>
        </w:rPr>
        <w:t>÷部门预算阶段项目（含一次性项目）总数</w:t>
      </w:r>
      <w:r>
        <w:rPr>
          <w:rFonts w:hint="eastAsia" w:ascii="Times New Roman" w:hAnsi="Times New Roman" w:eastAsia="仿宋_GB2312" w:cs="楷体_GB2312"/>
          <w:b w:val="0"/>
          <w:bCs/>
          <w:color w:val="000000"/>
          <w:kern w:val="0"/>
          <w:sz w:val="32"/>
          <w:szCs w:val="32"/>
          <w:highlight w:val="none"/>
          <w:shd w:val="clear" w:color="auto" w:fill="FFFFFF"/>
          <w:lang w:val="en-US" w:eastAsia="zh-CN" w:bidi="ar-SA"/>
        </w:rPr>
        <w:t>23</w:t>
      </w:r>
      <w:r>
        <w:rPr>
          <w:rFonts w:ascii="Times New Roman" w:hAnsi="Times New Roman" w:eastAsia="仿宋_GB2312" w:cs="楷体_GB2312"/>
          <w:b w:val="0"/>
          <w:bCs/>
          <w:color w:val="000000"/>
          <w:kern w:val="0"/>
          <w:sz w:val="32"/>
          <w:szCs w:val="32"/>
          <w:highlight w:val="none"/>
          <w:shd w:val="clear" w:color="auto" w:fill="FFFFFF"/>
          <w:lang w:val="zh-CN" w:eastAsia="zh-CN" w:bidi="ar-SA"/>
        </w:rPr>
        <w:t>×100%×3=3，该项得分</w:t>
      </w:r>
      <w:r>
        <w:rPr>
          <w:rFonts w:hint="eastAsia" w:ascii="Times New Roman" w:hAnsi="Times New Roman" w:eastAsia="仿宋_GB2312" w:cs="楷体_GB2312"/>
          <w:b w:val="0"/>
          <w:bCs/>
          <w:color w:val="000000"/>
          <w:kern w:val="0"/>
          <w:sz w:val="32"/>
          <w:szCs w:val="32"/>
          <w:highlight w:val="none"/>
          <w:shd w:val="clear" w:color="auto" w:fill="FFFFFF"/>
          <w:lang w:val="en-US" w:eastAsia="zh-CN" w:bidi="ar-SA"/>
        </w:rPr>
        <w:t>3</w:t>
      </w:r>
      <w:r>
        <w:rPr>
          <w:rFonts w:ascii="Times New Roman" w:hAnsi="Times New Roman" w:eastAsia="仿宋_GB2312" w:cs="楷体_GB2312"/>
          <w:b w:val="0"/>
          <w:bCs/>
          <w:color w:val="000000"/>
          <w:kern w:val="0"/>
          <w:sz w:val="32"/>
          <w:szCs w:val="32"/>
          <w:highlight w:val="none"/>
          <w:shd w:val="clear" w:color="auto" w:fill="FFFFFF"/>
          <w:lang w:val="zh-CN" w:eastAsia="zh-CN" w:bidi="ar-SA"/>
        </w:rPr>
        <w:t>分。</w:t>
      </w:r>
    </w:p>
    <w:p w14:paraId="07EBC9EF">
      <w:pPr>
        <w:keepNext w:val="0"/>
        <w:keepLines w:val="0"/>
        <w:pageBreakBefore w:val="0"/>
        <w:widowControl w:val="0"/>
        <w:numPr>
          <w:ilvl w:val="0"/>
          <w:numId w:val="4"/>
        </w:numPr>
        <w:kinsoku/>
        <w:wordWrap/>
        <w:overflowPunct/>
        <w:topLinePunct w:val="0"/>
        <w:autoSpaceDE/>
        <w:autoSpaceDN/>
        <w:bidi w:val="0"/>
        <w:snapToGrid w:val="0"/>
        <w:spacing w:line="600" w:lineRule="exact"/>
        <w:ind w:left="0" w:leftChars="0" w:firstLine="643" w:firstLineChars="200"/>
        <w:textAlignment w:val="auto"/>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楷体_GB2312" w:cs="Times New Roman"/>
          <w:b/>
          <w:bCs/>
          <w:sz w:val="32"/>
          <w:szCs w:val="32"/>
          <w:highlight w:val="none"/>
          <w:lang w:val="zh-CN"/>
        </w:rPr>
        <w:t>绩效结果应用情况。</w:t>
      </w:r>
    </w:p>
    <w:p w14:paraId="309093A3">
      <w:pPr>
        <w:keepNext w:val="0"/>
        <w:keepLines w:val="0"/>
        <w:pageBreakBefore w:val="0"/>
        <w:widowControl w:val="0"/>
        <w:kinsoku/>
        <w:wordWrap/>
        <w:overflowPunct/>
        <w:topLinePunct w:val="0"/>
        <w:autoSpaceDE/>
        <w:autoSpaceDN/>
        <w:bidi w:val="0"/>
        <w:snapToGrid w:val="0"/>
        <w:spacing w:line="480" w:lineRule="exact"/>
        <w:ind w:firstLine="640" w:firstLineChars="200"/>
        <w:textAlignment w:val="auto"/>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 xml:space="preserve">   </w:t>
      </w:r>
      <w:r>
        <w:rPr>
          <w:rFonts w:hint="eastAsia" w:ascii="仿宋_GB2312" w:hAnsi="仿宋_GB2312" w:eastAsia="仿宋_GB2312" w:cs="仿宋_GB2312"/>
          <w:color w:val="000000"/>
          <w:kern w:val="0"/>
          <w:sz w:val="32"/>
          <w:highlight w:val="none"/>
          <w:lang w:val="en-US" w:eastAsia="zh-CN"/>
        </w:rPr>
        <w:t>本部门预决算、绩效目标设置情况、绩效目标完成情况均在规定时间内在门户网站公开，绩效结果作为项目申报预算的重要依据</w:t>
      </w:r>
      <w:r>
        <w:rPr>
          <w:rFonts w:hint="eastAsia" w:ascii="仿宋_GB2312" w:hAnsi="仿宋_GB2312" w:eastAsia="仿宋_GB2312" w:cs="仿宋_GB2312"/>
          <w:color w:val="000000"/>
          <w:kern w:val="0"/>
          <w:sz w:val="32"/>
          <w:szCs w:val="32"/>
          <w:highlight w:val="none"/>
          <w:shd w:val="clear" w:color="auto" w:fill="FFFFFF"/>
          <w:lang w:val="zh-CN" w:eastAsia="zh-CN"/>
        </w:rPr>
        <w:t>。</w:t>
      </w:r>
    </w:p>
    <w:p w14:paraId="2AFBB025">
      <w:pPr>
        <w:keepNext w:val="0"/>
        <w:keepLines w:val="0"/>
        <w:pageBreakBefore w:val="0"/>
        <w:widowControl/>
        <w:kinsoku/>
        <w:wordWrap/>
        <w:overflowPunct/>
        <w:topLinePunct w:val="0"/>
        <w:autoSpaceDE/>
        <w:autoSpaceDN/>
        <w:bidi w:val="0"/>
        <w:adjustRightInd w:val="0"/>
        <w:snapToGrid w:val="0"/>
        <w:spacing w:beforeAutospacing="0"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14:paraId="3BFCBB6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010E86BD">
      <w:pPr>
        <w:widowControl w:val="0"/>
        <w:spacing w:after="120"/>
        <w:ind w:firstLine="640" w:firstLineChars="200"/>
        <w:jc w:val="both"/>
        <w:rPr>
          <w:rFonts w:hint="default" w:ascii="Times New Roman" w:hAnsi="Times New Roman" w:eastAsia="仿宋_GB2312" w:cs="Times New Roman"/>
          <w:kern w:val="2"/>
          <w:sz w:val="32"/>
          <w:szCs w:val="24"/>
          <w:highlight w:val="none"/>
          <w:lang w:val="en-US" w:eastAsia="zh-CN" w:bidi="ar-SA"/>
        </w:rPr>
      </w:pPr>
      <w:r>
        <w:rPr>
          <w:rFonts w:ascii="仿宋_GB2312" w:hAnsi="Times New Roman" w:eastAsia="仿宋_GB2312" w:cs="仿宋_GB2312"/>
          <w:b w:val="0"/>
          <w:bCs w:val="0"/>
          <w:kern w:val="0"/>
          <w:position w:val="0"/>
          <w:sz w:val="32"/>
          <w:szCs w:val="32"/>
          <w:highlight w:val="none"/>
          <w:lang w:val="en-US" w:eastAsia="zh-CN" w:bidi="ar-SA"/>
        </w:rPr>
        <w:t>按照部门预算绩效评价指标体系（附件</w:t>
      </w:r>
      <w:r>
        <w:rPr>
          <w:rFonts w:hint="eastAsia" w:ascii="仿宋_GB2312" w:hAnsi="Times New Roman" w:eastAsia="仿宋_GB2312" w:cs="仿宋_GB2312"/>
          <w:b w:val="0"/>
          <w:bCs w:val="0"/>
          <w:kern w:val="0"/>
          <w:position w:val="0"/>
          <w:sz w:val="32"/>
          <w:szCs w:val="32"/>
          <w:highlight w:val="none"/>
          <w:lang w:val="en-US" w:eastAsia="zh-CN" w:bidi="ar-SA"/>
        </w:rPr>
        <w:t>1</w:t>
      </w:r>
      <w:r>
        <w:rPr>
          <w:rFonts w:ascii="仿宋_GB2312" w:hAnsi="Times New Roman" w:eastAsia="仿宋_GB2312" w:cs="仿宋_GB2312"/>
          <w:b w:val="0"/>
          <w:bCs w:val="0"/>
          <w:kern w:val="0"/>
          <w:position w:val="0"/>
          <w:sz w:val="32"/>
          <w:szCs w:val="32"/>
          <w:highlight w:val="none"/>
          <w:lang w:val="en-US" w:eastAsia="zh-CN" w:bidi="ar-SA"/>
        </w:rPr>
        <w:t>）要求，单位整体支出自评得分</w:t>
      </w:r>
      <w:r>
        <w:rPr>
          <w:rFonts w:hint="eastAsia" w:ascii="仿宋_GB2312" w:hAnsi="Times New Roman" w:eastAsia="仿宋_GB2312" w:cs="仿宋_GB2312"/>
          <w:b w:val="0"/>
          <w:bCs w:val="0"/>
          <w:kern w:val="0"/>
          <w:position w:val="0"/>
          <w:sz w:val="32"/>
          <w:szCs w:val="32"/>
          <w:highlight w:val="none"/>
          <w:lang w:val="en-US" w:eastAsia="zh-CN" w:bidi="ar-SA"/>
        </w:rPr>
        <w:t>88.17</w:t>
      </w:r>
      <w:r>
        <w:rPr>
          <w:rFonts w:ascii="仿宋_GB2312" w:hAnsi="Times New Roman" w:eastAsia="仿宋_GB2312" w:cs="仿宋_GB2312"/>
          <w:b w:val="0"/>
          <w:bCs w:val="0"/>
          <w:kern w:val="0"/>
          <w:position w:val="0"/>
          <w:sz w:val="32"/>
          <w:szCs w:val="32"/>
          <w:highlight w:val="none"/>
          <w:lang w:val="en-US" w:eastAsia="zh-CN" w:bidi="ar-SA"/>
        </w:rPr>
        <w:t>分</w:t>
      </w:r>
    </w:p>
    <w:p w14:paraId="6D2A7A19">
      <w:pPr>
        <w:keepNext w:val="0"/>
        <w:keepLines w:val="0"/>
        <w:pageBreakBefore w:val="0"/>
        <w:widowControl/>
        <w:numPr>
          <w:ilvl w:val="0"/>
          <w:numId w:val="7"/>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14:paraId="4BC4C35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sz w:val="32"/>
          <w:highlight w:val="none"/>
          <w:lang w:val="en-US" w:eastAsia="zh-CN"/>
        </w:rPr>
        <w:t xml:space="preserve"> </w:t>
      </w:r>
      <w:r>
        <w:rPr>
          <w:rFonts w:hint="eastAsia" w:ascii="Times New Roman" w:hAnsi="Times New Roman" w:eastAsia="仿宋_GB2312" w:cs="Times New Roman"/>
          <w:sz w:val="32"/>
          <w:szCs w:val="32"/>
          <w:highlight w:val="none"/>
          <w:lang w:val="en-US" w:eastAsia="zh-CN"/>
        </w:rPr>
        <w:t>部分</w:t>
      </w:r>
      <w:r>
        <w:rPr>
          <w:rFonts w:hint="default" w:ascii="Times New Roman" w:hAnsi="Times New Roman" w:eastAsia="仿宋_GB2312" w:cs="Times New Roman"/>
          <w:sz w:val="32"/>
          <w:szCs w:val="32"/>
          <w:highlight w:val="none"/>
          <w:lang w:val="en-US" w:eastAsia="zh-CN"/>
        </w:rPr>
        <w:t>项目执行率较低，主要是部分项目前期工作有待加强，预算绩效管理意识还需提升，执行过程中对项目执行追踪力度不够，财务部门与业务部门的协作配合有待加强。</w:t>
      </w:r>
    </w:p>
    <w:p w14:paraId="3243315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p>
    <w:p w14:paraId="65CE1329">
      <w:pPr>
        <w:keepNext w:val="0"/>
        <w:keepLines w:val="0"/>
        <w:pageBreakBefore w:val="0"/>
        <w:widowControl/>
        <w:numPr>
          <w:ilvl w:val="0"/>
          <w:numId w:val="0"/>
        </w:numPr>
        <w:kinsoku/>
        <w:wordWrap/>
        <w:overflowPunct/>
        <w:topLinePunct w:val="0"/>
        <w:autoSpaceDE/>
        <w:autoSpaceDN/>
        <w:bidi w:val="0"/>
        <w:adjustRightInd w:val="0"/>
        <w:snapToGrid w:val="0"/>
        <w:spacing w:after="0" w:line="480" w:lineRule="exact"/>
        <w:ind w:right="0" w:firstLine="643"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bCs/>
          <w:sz w:val="32"/>
          <w:szCs w:val="32"/>
          <w:highlight w:val="none"/>
          <w:lang w:val="en-US" w:eastAsia="zh-CN"/>
        </w:rPr>
        <w:t>一是</w:t>
      </w:r>
      <w:r>
        <w:rPr>
          <w:rFonts w:hint="default" w:ascii="Times New Roman" w:hAnsi="Times New Roman" w:eastAsia="仿宋_GB2312" w:cs="Times New Roman"/>
          <w:sz w:val="32"/>
          <w:szCs w:val="32"/>
          <w:highlight w:val="none"/>
          <w:lang w:val="en-US" w:eastAsia="zh-CN"/>
        </w:rPr>
        <w:t>提高部门预算编制的科学性。通过对单位预决算情况分析，检验预算编制的科学程度，了解财政资金的实际使用方向是否和预算一致，查找差异产生的原因，为下年度部门预算编制提供依据，提高预算编制的科学性。</w:t>
      </w:r>
    </w:p>
    <w:p w14:paraId="78EEBB45">
      <w:pPr>
        <w:keepNext w:val="0"/>
        <w:keepLines w:val="0"/>
        <w:pageBreakBefore w:val="0"/>
        <w:widowControl/>
        <w:numPr>
          <w:ilvl w:val="0"/>
          <w:numId w:val="0"/>
        </w:numPr>
        <w:kinsoku/>
        <w:wordWrap/>
        <w:overflowPunct/>
        <w:topLinePunct w:val="0"/>
        <w:autoSpaceDE/>
        <w:autoSpaceDN/>
        <w:bidi w:val="0"/>
        <w:adjustRightInd w:val="0"/>
        <w:snapToGrid w:val="0"/>
        <w:spacing w:after="0" w:line="480" w:lineRule="exact"/>
        <w:ind w:right="0" w:firstLine="643"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bCs/>
          <w:sz w:val="32"/>
          <w:szCs w:val="32"/>
          <w:highlight w:val="none"/>
          <w:lang w:val="en-US" w:eastAsia="zh-CN"/>
        </w:rPr>
        <w:t>二是</w:t>
      </w:r>
      <w:r>
        <w:rPr>
          <w:rFonts w:hint="default" w:ascii="Times New Roman" w:hAnsi="Times New Roman" w:eastAsia="仿宋_GB2312" w:cs="Times New Roman"/>
          <w:sz w:val="32"/>
          <w:szCs w:val="32"/>
          <w:highlight w:val="none"/>
          <w:lang w:val="en-US" w:eastAsia="zh-CN"/>
        </w:rPr>
        <w:t>加强绩效管理意识，提高资金使用率。提高部门全面实施预算绩效的自觉性，把绩效管理应用于管理工作的各个环节中，实现对财政资金申报、分配、管理等各个环节的优化，督促各项目科室抓好预算绩效管理工作，加强执行力度的监管，提高资金使用率。</w:t>
      </w:r>
    </w:p>
    <w:p w14:paraId="12ABF7DC">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highlight w:val="none"/>
          <w:u w:val="none"/>
          <w:lang w:val="en-US" w:eastAsia="zh-CN" w:bidi="ar"/>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hAnsi="Times New Roman" w:eastAsia="仿宋_GB2312" w:cs="Times New Roman"/>
          <w:b/>
          <w:bCs/>
          <w:sz w:val="32"/>
          <w:szCs w:val="32"/>
          <w:highlight w:val="none"/>
          <w:lang w:val="en-US" w:eastAsia="zh-CN"/>
        </w:rPr>
        <w:t>三是</w:t>
      </w:r>
      <w:r>
        <w:rPr>
          <w:rFonts w:hint="eastAsia" w:ascii="Times New Roman" w:hAnsi="Times New Roman" w:eastAsia="仿宋_GB2312" w:cs="Times New Roman"/>
          <w:sz w:val="32"/>
          <w:szCs w:val="32"/>
          <w:highlight w:val="none"/>
          <w:lang w:val="en-US" w:eastAsia="zh-CN"/>
        </w:rPr>
        <w:t>严格把控财务制度、加强审核力度。全面审核各类单据，重点审核单据来源是否合法，内容是否真实、完整，使用是否准确，是否符合预算，审批手续是否齐全。</w:t>
      </w:r>
      <w:r>
        <w:rPr>
          <w:rFonts w:hint="default" w:ascii="Times New Roman" w:hAnsi="Times New Roman" w:eastAsia="仿宋_GB2312" w:cs="Times New Roman"/>
          <w:sz w:val="32"/>
          <w:szCs w:val="32"/>
          <w:highlight w:val="none"/>
          <w:lang w:val="en-US" w:eastAsia="zh-CN"/>
        </w:rPr>
        <w:t>对审批程序不完整、附件要素不齐全的加强审核把关，加强对项目工作人员提交的报账资料原始单据审批，对记载不明确、不完整的原始凭证，予以退回，要求经办人员更正、补充</w:t>
      </w:r>
      <w:r>
        <w:rPr>
          <w:rFonts w:hint="eastAsia" w:ascii="Times New Roman" w:hAnsi="Times New Roman" w:eastAsia="仿宋_GB2312" w:cs="Times New Roman"/>
          <w:sz w:val="32"/>
          <w:szCs w:val="32"/>
          <w:highlight w:val="none"/>
          <w:u w:val="none"/>
          <w:lang w:val="en-US" w:eastAsia="zh-CN" w:bidi="ar"/>
        </w:rPr>
        <w:t>。</w:t>
      </w:r>
    </w:p>
    <w:bookmarkEnd w:id="73"/>
    <w:p w14:paraId="388ED93E">
      <w:pPr>
        <w:pStyle w:val="3"/>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Times New Roman" w:hAnsi="Times New Roman" w:cs="Times New Roman"/>
          <w:sz w:val="32"/>
          <w:szCs w:val="32"/>
          <w:highlight w:val="none"/>
          <w:lang w:val="zh-CN" w:eastAsia="zh-CN"/>
        </w:rPr>
      </w:pPr>
      <w:r>
        <w:rPr>
          <w:rFonts w:hint="eastAsia" w:ascii="Times New Roman" w:hAnsi="Times New Roman" w:eastAsia="仿宋_GB2312" w:cs="Times New Roman"/>
          <w:kern w:val="2"/>
          <w:sz w:val="32"/>
          <w:szCs w:val="32"/>
          <w:highlight w:val="none"/>
          <w:u w:val="none"/>
          <w:lang w:val="zh-CN" w:eastAsia="zh-CN" w:bidi="ar"/>
        </w:rPr>
        <w:t>附表：</w:t>
      </w:r>
      <w:r>
        <w:rPr>
          <w:rFonts w:hint="eastAsia" w:ascii="Times New Roman" w:hAnsi="Times New Roman" w:eastAsia="仿宋_GB2312" w:cs="Times New Roman"/>
          <w:kern w:val="2"/>
          <w:sz w:val="32"/>
          <w:szCs w:val="32"/>
          <w:highlight w:val="none"/>
          <w:u w:val="none"/>
          <w:lang w:val="en-US" w:eastAsia="zh-CN" w:bidi="ar"/>
        </w:rPr>
        <w:t>部门预算项目支出绩效自评表（</w:t>
      </w:r>
      <w:r>
        <w:rPr>
          <w:rFonts w:hint="eastAsia" w:ascii="Times New Roman" w:eastAsia="仿宋_GB2312" w:cs="Times New Roman"/>
          <w:kern w:val="2"/>
          <w:sz w:val="32"/>
          <w:szCs w:val="32"/>
          <w:highlight w:val="none"/>
          <w:u w:val="none"/>
          <w:lang w:val="en-US" w:eastAsia="zh-CN" w:bidi="ar"/>
        </w:rPr>
        <w:t>2025</w:t>
      </w:r>
      <w:r>
        <w:rPr>
          <w:rFonts w:hint="eastAsia" w:ascii="Times New Roman" w:hAnsi="Times New Roman" w:eastAsia="仿宋_GB2312" w:cs="Times New Roman"/>
          <w:kern w:val="2"/>
          <w:sz w:val="32"/>
          <w:szCs w:val="32"/>
          <w:highlight w:val="none"/>
          <w:u w:val="none"/>
          <w:lang w:val="en-US" w:eastAsia="zh-CN" w:bidi="ar"/>
        </w:rPr>
        <w:t>年度）</w:t>
      </w:r>
    </w:p>
    <w:tbl>
      <w:tblPr>
        <w:tblStyle w:val="17"/>
        <w:tblW w:w="1411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9"/>
        <w:gridCol w:w="2048"/>
        <w:gridCol w:w="1765"/>
        <w:gridCol w:w="2258"/>
        <w:gridCol w:w="524"/>
        <w:gridCol w:w="1675"/>
        <w:gridCol w:w="524"/>
        <w:gridCol w:w="1094"/>
        <w:gridCol w:w="510"/>
        <w:gridCol w:w="486"/>
        <w:gridCol w:w="2542"/>
      </w:tblGrid>
      <w:tr w14:paraId="08B38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C0CD39">
            <w:pPr>
              <w:keepNext w:val="0"/>
              <w:keepLines w:val="0"/>
              <w:widowControl/>
              <w:suppressLineNumbers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C75A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E7FD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E8032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51320021T000000049172-信息系统维护保养</w:t>
            </w:r>
          </w:p>
        </w:tc>
      </w:tr>
      <w:tr w14:paraId="6928D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0F8F9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39A5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1DD4ECE2">
            <w:pPr>
              <w:keepNext w:val="0"/>
              <w:keepLines w:val="0"/>
              <w:widowControl/>
              <w:suppressLineNumbers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A4F8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4ACD6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8703A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63A69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4A2E1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2D4A147">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EEE4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744862">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E3EB7">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57D426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 保障社保卡服务中心机房的软件与硬件设备正常运行，保证“金保”信息系统对全州人社业务的支持，为全州97万参保群众和90万社保卡持卡群众提供服务。</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　</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212B8D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20BD8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065E9">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05C9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5067A2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 保障社保卡服务中心机房的软件与硬件设备正常运行，保证“金保”信息系统对全州人社业务的支持，为全州97万参保群众和90万社保卡持卡群众提供服务。</w:t>
            </w:r>
          </w:p>
        </w:tc>
      </w:tr>
      <w:tr w14:paraId="720E4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51DF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1A0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30F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D56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16F6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8B4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5F9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059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871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0C97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9C4C6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5A4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79F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981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960F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FE2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DF4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3B8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5E5864">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FE3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FC568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3BE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6F5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C73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1386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FB7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A70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FA9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2993D9">
            <w:pPr>
              <w:rPr>
                <w:rFonts w:hint="eastAsia" w:ascii="黑体" w:hAnsi="黑体" w:eastAsia="黑体" w:cs="黑体"/>
                <w:i/>
                <w:iCs/>
                <w:color w:val="000000"/>
                <w:sz w:val="18"/>
                <w:szCs w:val="18"/>
                <w:highlight w:val="none"/>
                <w:u w:val="none"/>
              </w:rPr>
            </w:pPr>
          </w:p>
        </w:tc>
      </w:tr>
      <w:tr w14:paraId="12B1F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28F8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956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572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EDE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6FEE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353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586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E9F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B92655">
            <w:pPr>
              <w:rPr>
                <w:rFonts w:hint="eastAsia" w:ascii="黑体" w:hAnsi="黑体" w:eastAsia="黑体" w:cs="黑体"/>
                <w:i/>
                <w:iCs/>
                <w:color w:val="000000"/>
                <w:sz w:val="18"/>
                <w:szCs w:val="18"/>
                <w:highlight w:val="none"/>
                <w:u w:val="none"/>
              </w:rPr>
            </w:pPr>
          </w:p>
        </w:tc>
      </w:tr>
      <w:tr w14:paraId="3D17E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4115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D4F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3EC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97D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0196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0B1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B59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BB9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02C73A">
            <w:pPr>
              <w:rPr>
                <w:rFonts w:hint="eastAsia" w:ascii="黑体" w:hAnsi="黑体" w:eastAsia="黑体" w:cs="黑体"/>
                <w:i/>
                <w:iCs/>
                <w:color w:val="000000"/>
                <w:sz w:val="18"/>
                <w:szCs w:val="18"/>
                <w:highlight w:val="none"/>
                <w:u w:val="none"/>
              </w:rPr>
            </w:pPr>
          </w:p>
        </w:tc>
      </w:tr>
      <w:tr w14:paraId="74D71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4BA40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177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4DEA2">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ED1AB">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AD3072">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EB7A3">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695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D1C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C0183">
            <w:pPr>
              <w:rPr>
                <w:rFonts w:hint="eastAsia" w:ascii="黑体" w:hAnsi="黑体" w:eastAsia="黑体" w:cs="黑体"/>
                <w:i/>
                <w:iCs/>
                <w:color w:val="000000"/>
                <w:sz w:val="18"/>
                <w:szCs w:val="18"/>
                <w:highlight w:val="none"/>
                <w:u w:val="none"/>
              </w:rPr>
            </w:pPr>
          </w:p>
        </w:tc>
      </w:tr>
      <w:tr w14:paraId="43FD8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0665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9E2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9F1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5AD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0DA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595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CDC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242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9DC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D08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1AC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2586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E5792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6683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7C4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8AA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阿坝州人力资源和社会保障数据中心机房硬件维护保养服务项目批次</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994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E38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E0D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29DD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1批次</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71D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86E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BF5C6">
            <w:pPr>
              <w:jc w:val="center"/>
              <w:rPr>
                <w:rFonts w:hint="eastAsia" w:ascii="微软雅黑" w:hAnsi="微软雅黑" w:eastAsia="微软雅黑" w:cs="微软雅黑"/>
                <w:i/>
                <w:iCs/>
                <w:color w:val="000000"/>
                <w:sz w:val="16"/>
                <w:szCs w:val="16"/>
                <w:highlight w:val="none"/>
                <w:u w:val="none"/>
              </w:rPr>
            </w:pPr>
          </w:p>
        </w:tc>
      </w:tr>
      <w:tr w14:paraId="68C7E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ACAFE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E4615E">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487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C83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设备正常运行率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A20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824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5DF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85D0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AD0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7C1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223B4">
            <w:pPr>
              <w:jc w:val="center"/>
              <w:rPr>
                <w:rFonts w:hint="eastAsia" w:ascii="微软雅黑" w:hAnsi="微软雅黑" w:eastAsia="微软雅黑" w:cs="微软雅黑"/>
                <w:i/>
                <w:iCs/>
                <w:color w:val="000000"/>
                <w:sz w:val="16"/>
                <w:szCs w:val="16"/>
                <w:highlight w:val="none"/>
                <w:u w:val="none"/>
              </w:rPr>
            </w:pPr>
          </w:p>
        </w:tc>
      </w:tr>
      <w:tr w14:paraId="7F8BA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9873F8">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B15541">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831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562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该项目将于2025年11底完成率。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9B6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E55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9C2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2F44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A84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265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F1D4B">
            <w:pPr>
              <w:jc w:val="center"/>
              <w:rPr>
                <w:rFonts w:hint="eastAsia" w:ascii="微软雅黑" w:hAnsi="微软雅黑" w:eastAsia="微软雅黑" w:cs="微软雅黑"/>
                <w:i/>
                <w:iCs/>
                <w:color w:val="000000"/>
                <w:sz w:val="16"/>
                <w:szCs w:val="16"/>
                <w:highlight w:val="none"/>
                <w:u w:val="none"/>
              </w:rPr>
            </w:pPr>
          </w:p>
        </w:tc>
      </w:tr>
      <w:tr w14:paraId="30028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E6168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553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A71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495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为全州人社业务、阿坝州惠民惠农“一卡通”提供安全、稳定、可靠的信息化支持，为全州97万参保群众和90万社保卡持卡群众提供优质信息化服务。</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19F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245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服务民生大众</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B9268">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203C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服务民生大众</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AFF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BCA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69AD5">
            <w:pPr>
              <w:jc w:val="center"/>
              <w:rPr>
                <w:rFonts w:hint="eastAsia" w:ascii="微软雅黑" w:hAnsi="微软雅黑" w:eastAsia="微软雅黑" w:cs="微软雅黑"/>
                <w:i/>
                <w:iCs/>
                <w:color w:val="000000"/>
                <w:sz w:val="16"/>
                <w:szCs w:val="16"/>
                <w:highlight w:val="none"/>
                <w:u w:val="none"/>
              </w:rPr>
            </w:pPr>
          </w:p>
        </w:tc>
      </w:tr>
      <w:tr w14:paraId="1B228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04A82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6D0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CFC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E8E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社会公众对相关工作的满意度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5CD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3EA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BD2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3267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28F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7B8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3C736">
            <w:pPr>
              <w:jc w:val="center"/>
              <w:rPr>
                <w:rFonts w:hint="eastAsia" w:ascii="微软雅黑" w:hAnsi="微软雅黑" w:eastAsia="微软雅黑" w:cs="微软雅黑"/>
                <w:i/>
                <w:iCs/>
                <w:color w:val="000000"/>
                <w:sz w:val="16"/>
                <w:szCs w:val="16"/>
                <w:highlight w:val="none"/>
                <w:u w:val="none"/>
              </w:rPr>
            </w:pPr>
          </w:p>
        </w:tc>
      </w:tr>
      <w:tr w14:paraId="18C41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2EE96D">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454B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035F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826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电费</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972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0CC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9B2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213B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AB1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5C5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6E7BF">
            <w:pPr>
              <w:jc w:val="center"/>
              <w:rPr>
                <w:rFonts w:hint="eastAsia" w:ascii="微软雅黑" w:hAnsi="微软雅黑" w:eastAsia="微软雅黑" w:cs="微软雅黑"/>
                <w:i/>
                <w:iCs/>
                <w:color w:val="000000"/>
                <w:sz w:val="16"/>
                <w:szCs w:val="16"/>
                <w:highlight w:val="none"/>
                <w:u w:val="none"/>
              </w:rPr>
            </w:pPr>
          </w:p>
        </w:tc>
      </w:tr>
      <w:tr w14:paraId="6B2E7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99997">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30F562">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8F3A8">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1EB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差旅费</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768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00F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E20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DD1F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F77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60F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B5763">
            <w:pPr>
              <w:jc w:val="center"/>
              <w:rPr>
                <w:rFonts w:hint="eastAsia" w:ascii="微软雅黑" w:hAnsi="微软雅黑" w:eastAsia="微软雅黑" w:cs="微软雅黑"/>
                <w:i/>
                <w:iCs/>
                <w:color w:val="000000"/>
                <w:sz w:val="16"/>
                <w:szCs w:val="16"/>
                <w:highlight w:val="none"/>
                <w:u w:val="none"/>
              </w:rPr>
            </w:pPr>
          </w:p>
        </w:tc>
      </w:tr>
      <w:tr w14:paraId="77185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95DC9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BA5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A8C83">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A591E">
            <w:pPr>
              <w:rPr>
                <w:rFonts w:hint="eastAsia" w:ascii="宋体" w:hAnsi="宋体" w:eastAsia="宋体" w:cs="宋体"/>
                <w:i w:val="0"/>
                <w:iCs w:val="0"/>
                <w:color w:val="000000"/>
                <w:sz w:val="18"/>
                <w:szCs w:val="18"/>
                <w:highlight w:val="none"/>
                <w:u w:val="none"/>
              </w:rPr>
            </w:pPr>
          </w:p>
        </w:tc>
      </w:tr>
      <w:tr w14:paraId="4AC1B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01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7C022E6">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完成良好</w:t>
            </w:r>
          </w:p>
        </w:tc>
      </w:tr>
      <w:tr w14:paraId="2550F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86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3E869E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B374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DE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67F61C2">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30A59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39169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项目负责人：瞿飞</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63347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14FC3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7B4E6413">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102574D7">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293F86B3">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0A7164E1">
            <w:pPr>
              <w:rPr>
                <w:rFonts w:hint="eastAsia" w:ascii="宋体" w:hAnsi="宋体" w:eastAsia="宋体" w:cs="宋体"/>
                <w:i w:val="0"/>
                <w:iCs w:val="0"/>
                <w:color w:val="000000"/>
                <w:sz w:val="18"/>
                <w:szCs w:val="18"/>
                <w:highlight w:val="none"/>
                <w:u w:val="none"/>
              </w:rPr>
            </w:pPr>
          </w:p>
          <w:p w14:paraId="3E4E1D60">
            <w:pPr>
              <w:rPr>
                <w:rFonts w:hint="eastAsia" w:ascii="宋体" w:hAnsi="宋体" w:eastAsia="宋体" w:cs="宋体"/>
                <w:i w:val="0"/>
                <w:iCs w:val="0"/>
                <w:color w:val="000000"/>
                <w:sz w:val="18"/>
                <w:szCs w:val="18"/>
                <w:highlight w:val="none"/>
                <w:u w:val="none"/>
              </w:rPr>
            </w:pPr>
          </w:p>
          <w:p w14:paraId="76C24CE0">
            <w:pPr>
              <w:rPr>
                <w:rFonts w:hint="eastAsia" w:ascii="宋体" w:hAnsi="宋体" w:eastAsia="宋体" w:cs="宋体"/>
                <w:i w:val="0"/>
                <w:iCs w:val="0"/>
                <w:color w:val="000000"/>
                <w:sz w:val="18"/>
                <w:szCs w:val="18"/>
                <w:highlight w:val="none"/>
                <w:u w:val="none"/>
              </w:rPr>
            </w:pPr>
          </w:p>
          <w:p w14:paraId="3CC0C24D">
            <w:pPr>
              <w:rPr>
                <w:rFonts w:hint="eastAsia" w:ascii="宋体" w:hAnsi="宋体" w:eastAsia="宋体" w:cs="宋体"/>
                <w:i w:val="0"/>
                <w:iCs w:val="0"/>
                <w:color w:val="000000"/>
                <w:sz w:val="18"/>
                <w:szCs w:val="18"/>
                <w:highlight w:val="none"/>
                <w:u w:val="none"/>
              </w:rPr>
            </w:pPr>
          </w:p>
          <w:p w14:paraId="0CD4B7DA">
            <w:pPr>
              <w:rPr>
                <w:rFonts w:hint="eastAsia" w:ascii="宋体" w:hAnsi="宋体" w:eastAsia="宋体" w:cs="宋体"/>
                <w:i w:val="0"/>
                <w:iCs w:val="0"/>
                <w:color w:val="000000"/>
                <w:sz w:val="18"/>
                <w:szCs w:val="18"/>
                <w:highlight w:val="none"/>
                <w:u w:val="none"/>
              </w:rPr>
            </w:pPr>
          </w:p>
          <w:p w14:paraId="0F9590A1">
            <w:pPr>
              <w:rPr>
                <w:rFonts w:hint="eastAsia" w:ascii="宋体" w:hAnsi="宋体" w:eastAsia="宋体" w:cs="宋体"/>
                <w:i w:val="0"/>
                <w:iCs w:val="0"/>
                <w:color w:val="000000"/>
                <w:sz w:val="18"/>
                <w:szCs w:val="18"/>
                <w:highlight w:val="none"/>
                <w:u w:val="none"/>
              </w:rPr>
            </w:pPr>
          </w:p>
          <w:p w14:paraId="4FA5A336">
            <w:pPr>
              <w:rPr>
                <w:rFonts w:hint="eastAsia" w:ascii="宋体" w:hAnsi="宋体" w:eastAsia="宋体" w:cs="宋体"/>
                <w:i w:val="0"/>
                <w:iCs w:val="0"/>
                <w:color w:val="000000"/>
                <w:sz w:val="18"/>
                <w:szCs w:val="18"/>
                <w:highlight w:val="none"/>
                <w:u w:val="none"/>
              </w:rPr>
            </w:pPr>
          </w:p>
          <w:p w14:paraId="3598447F">
            <w:pPr>
              <w:rPr>
                <w:rFonts w:hint="eastAsia" w:ascii="宋体" w:hAnsi="宋体" w:eastAsia="宋体" w:cs="宋体"/>
                <w:i w:val="0"/>
                <w:iCs w:val="0"/>
                <w:color w:val="000000"/>
                <w:sz w:val="18"/>
                <w:szCs w:val="18"/>
                <w:highlight w:val="none"/>
                <w:u w:val="none"/>
              </w:rPr>
            </w:pPr>
          </w:p>
          <w:p w14:paraId="748E74B7">
            <w:pPr>
              <w:rPr>
                <w:rFonts w:hint="eastAsia" w:ascii="宋体" w:hAnsi="宋体" w:eastAsia="宋体" w:cs="宋体"/>
                <w:i w:val="0"/>
                <w:iCs w:val="0"/>
                <w:color w:val="000000"/>
                <w:sz w:val="18"/>
                <w:szCs w:val="18"/>
                <w:highlight w:val="none"/>
                <w:u w:val="none"/>
              </w:rPr>
            </w:pPr>
          </w:p>
          <w:p w14:paraId="06D98092">
            <w:pPr>
              <w:rPr>
                <w:rFonts w:hint="eastAsia" w:ascii="宋体" w:hAnsi="宋体" w:eastAsia="宋体" w:cs="宋体"/>
                <w:i w:val="0"/>
                <w:iCs w:val="0"/>
                <w:color w:val="000000"/>
                <w:sz w:val="18"/>
                <w:szCs w:val="18"/>
                <w:highlight w:val="none"/>
                <w:u w:val="none"/>
              </w:rPr>
            </w:pPr>
          </w:p>
          <w:p w14:paraId="614BE1C8">
            <w:pPr>
              <w:rPr>
                <w:rFonts w:hint="eastAsia" w:ascii="宋体" w:hAnsi="宋体" w:eastAsia="宋体" w:cs="宋体"/>
                <w:i w:val="0"/>
                <w:iCs w:val="0"/>
                <w:color w:val="000000"/>
                <w:sz w:val="18"/>
                <w:szCs w:val="18"/>
                <w:highlight w:val="none"/>
                <w:u w:val="none"/>
              </w:rPr>
            </w:pPr>
          </w:p>
          <w:p w14:paraId="0B4C0AC2">
            <w:pPr>
              <w:rPr>
                <w:rFonts w:hint="eastAsia" w:ascii="宋体" w:hAnsi="宋体" w:eastAsia="宋体" w:cs="宋体"/>
                <w:i w:val="0"/>
                <w:iCs w:val="0"/>
                <w:color w:val="000000"/>
                <w:sz w:val="18"/>
                <w:szCs w:val="18"/>
                <w:highlight w:val="none"/>
                <w:u w:val="none"/>
              </w:rPr>
            </w:pPr>
          </w:p>
          <w:p w14:paraId="6D7B6EFC">
            <w:pPr>
              <w:rPr>
                <w:rFonts w:hint="eastAsia" w:ascii="宋体" w:hAnsi="宋体" w:eastAsia="宋体" w:cs="宋体"/>
                <w:i w:val="0"/>
                <w:iCs w:val="0"/>
                <w:color w:val="000000"/>
                <w:sz w:val="18"/>
                <w:szCs w:val="18"/>
                <w:highlight w:val="none"/>
                <w:u w:val="none"/>
              </w:rPr>
            </w:pPr>
          </w:p>
          <w:p w14:paraId="437057B6">
            <w:pPr>
              <w:rPr>
                <w:rFonts w:hint="eastAsia" w:ascii="宋体" w:hAnsi="宋体" w:eastAsia="宋体" w:cs="宋体"/>
                <w:i w:val="0"/>
                <w:iCs w:val="0"/>
                <w:color w:val="000000"/>
                <w:sz w:val="18"/>
                <w:szCs w:val="18"/>
                <w:highlight w:val="none"/>
                <w:u w:val="none"/>
              </w:rPr>
            </w:pPr>
          </w:p>
          <w:p w14:paraId="18754BF4">
            <w:pPr>
              <w:rPr>
                <w:rFonts w:hint="eastAsia" w:ascii="宋体" w:hAnsi="宋体" w:eastAsia="宋体" w:cs="宋体"/>
                <w:i w:val="0"/>
                <w:iCs w:val="0"/>
                <w:color w:val="000000"/>
                <w:sz w:val="18"/>
                <w:szCs w:val="18"/>
                <w:highlight w:val="none"/>
                <w:u w:val="none"/>
              </w:rPr>
            </w:pPr>
          </w:p>
          <w:p w14:paraId="6354496E">
            <w:pPr>
              <w:rPr>
                <w:rFonts w:hint="eastAsia" w:ascii="宋体" w:hAnsi="宋体" w:eastAsia="宋体" w:cs="宋体"/>
                <w:i w:val="0"/>
                <w:iCs w:val="0"/>
                <w:color w:val="000000"/>
                <w:sz w:val="18"/>
                <w:szCs w:val="18"/>
                <w:highlight w:val="none"/>
                <w:u w:val="none"/>
              </w:rPr>
            </w:pPr>
          </w:p>
          <w:p w14:paraId="072D3446">
            <w:pPr>
              <w:rPr>
                <w:rFonts w:hint="eastAsia" w:ascii="宋体" w:hAnsi="宋体" w:eastAsia="宋体" w:cs="宋体"/>
                <w:i w:val="0"/>
                <w:iCs w:val="0"/>
                <w:color w:val="000000"/>
                <w:sz w:val="18"/>
                <w:szCs w:val="18"/>
                <w:highlight w:val="none"/>
                <w:u w:val="none"/>
              </w:rPr>
            </w:pPr>
          </w:p>
          <w:p w14:paraId="551428A0">
            <w:pPr>
              <w:rPr>
                <w:rFonts w:hint="eastAsia" w:ascii="宋体" w:hAnsi="宋体" w:eastAsia="宋体" w:cs="宋体"/>
                <w:i w:val="0"/>
                <w:iCs w:val="0"/>
                <w:color w:val="000000"/>
                <w:sz w:val="18"/>
                <w:szCs w:val="18"/>
                <w:highlight w:val="none"/>
                <w:u w:val="none"/>
              </w:rPr>
            </w:pPr>
          </w:p>
          <w:p w14:paraId="49C2BE9B">
            <w:pPr>
              <w:rPr>
                <w:rFonts w:hint="eastAsia" w:ascii="宋体" w:hAnsi="宋体" w:eastAsia="宋体" w:cs="宋体"/>
                <w:i w:val="0"/>
                <w:iCs w:val="0"/>
                <w:color w:val="000000"/>
                <w:sz w:val="18"/>
                <w:szCs w:val="18"/>
                <w:highlight w:val="none"/>
                <w:u w:val="none"/>
              </w:rPr>
            </w:pPr>
          </w:p>
          <w:p w14:paraId="6EF683C7">
            <w:pPr>
              <w:rPr>
                <w:rFonts w:hint="eastAsia" w:ascii="宋体" w:hAnsi="宋体" w:eastAsia="宋体" w:cs="宋体"/>
                <w:i w:val="0"/>
                <w:iCs w:val="0"/>
                <w:color w:val="000000"/>
                <w:sz w:val="18"/>
                <w:szCs w:val="18"/>
                <w:highlight w:val="none"/>
                <w:u w:val="none"/>
              </w:rPr>
            </w:pPr>
          </w:p>
          <w:p w14:paraId="6ECFB80F">
            <w:pPr>
              <w:rPr>
                <w:rFonts w:hint="eastAsia" w:ascii="宋体" w:hAnsi="宋体" w:eastAsia="宋体" w:cs="宋体"/>
                <w:i w:val="0"/>
                <w:iCs w:val="0"/>
                <w:color w:val="000000"/>
                <w:sz w:val="18"/>
                <w:szCs w:val="18"/>
                <w:highlight w:val="none"/>
                <w:u w:val="none"/>
              </w:rPr>
            </w:pPr>
          </w:p>
          <w:p w14:paraId="42269784">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1AE8D8E5">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10DAA9F0">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25709972">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747DDD42">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44F86317">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2DAE7D05">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29F122BF">
            <w:pPr>
              <w:rPr>
                <w:rFonts w:hint="eastAsia" w:ascii="宋体" w:hAnsi="宋体" w:eastAsia="宋体" w:cs="宋体"/>
                <w:i w:val="0"/>
                <w:iCs w:val="0"/>
                <w:color w:val="000000"/>
                <w:sz w:val="18"/>
                <w:szCs w:val="18"/>
                <w:highlight w:val="none"/>
                <w:u w:val="none"/>
              </w:rPr>
            </w:pPr>
          </w:p>
        </w:tc>
      </w:tr>
      <w:tr w14:paraId="06F6A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CFB789">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A738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C19F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35F69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51320021T000000049178-法律顾问经费</w:t>
            </w:r>
          </w:p>
        </w:tc>
      </w:tr>
      <w:tr w14:paraId="34928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4D0C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6E43A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08DE762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82E3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58A6A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B822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9628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314E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37E3A9">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EB6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49BBE">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EBA3B">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C6E8A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聘请法律顾问，开展法制宣传和培训，有效应对法律风险，做到依法行政。</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　</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5D1C2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2025年全年聘请法律顾问1次，开展法治宣传和培训4次，有效的提升了工作人员的法治意识，规避了法律风险，使工作在法治的轨道内运行，做到了依法行政。</w:t>
            </w:r>
          </w:p>
        </w:tc>
      </w:tr>
      <w:tr w14:paraId="19C6D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23E9C">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460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61D88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按照依法行政要求，有效开展行政复议行政诉讼，做好培训工作</w:t>
            </w:r>
          </w:p>
        </w:tc>
      </w:tr>
      <w:tr w14:paraId="13CD9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149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68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F7D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DA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295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E7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15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BC7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30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93A3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88B5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1E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3F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D26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3.84</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48C6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3.84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86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B9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856F">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A231C">
            <w:pPr>
              <w:rPr>
                <w:rFonts w:hint="eastAsia" w:ascii="黑体" w:hAnsi="黑体" w:eastAsia="黑体" w:cs="黑体"/>
                <w:i/>
                <w:iCs/>
                <w:color w:val="000000"/>
                <w:sz w:val="18"/>
                <w:szCs w:val="18"/>
                <w:highlight w:val="none"/>
                <w:u w:val="none"/>
              </w:rPr>
            </w:pPr>
          </w:p>
        </w:tc>
      </w:tr>
      <w:tr w14:paraId="34027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CAC6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4C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1C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D1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3.84</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207C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3.84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337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2A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589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22E1D">
            <w:pPr>
              <w:rPr>
                <w:rFonts w:hint="eastAsia" w:ascii="黑体" w:hAnsi="黑体" w:eastAsia="黑体" w:cs="黑体"/>
                <w:i/>
                <w:iCs/>
                <w:color w:val="000000"/>
                <w:sz w:val="18"/>
                <w:szCs w:val="18"/>
                <w:highlight w:val="none"/>
                <w:u w:val="none"/>
              </w:rPr>
            </w:pPr>
          </w:p>
        </w:tc>
      </w:tr>
      <w:tr w14:paraId="1C786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0764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BC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DD4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E0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87FF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468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00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36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7BA52">
            <w:pPr>
              <w:rPr>
                <w:rFonts w:hint="eastAsia" w:ascii="黑体" w:hAnsi="黑体" w:eastAsia="黑体" w:cs="黑体"/>
                <w:i/>
                <w:iCs/>
                <w:color w:val="000000"/>
                <w:sz w:val="18"/>
                <w:szCs w:val="18"/>
                <w:highlight w:val="none"/>
                <w:u w:val="none"/>
              </w:rPr>
            </w:pPr>
          </w:p>
        </w:tc>
      </w:tr>
      <w:tr w14:paraId="43821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EC29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47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74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35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785A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F2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07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7D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2D205">
            <w:pPr>
              <w:rPr>
                <w:rFonts w:hint="eastAsia" w:ascii="黑体" w:hAnsi="黑体" w:eastAsia="黑体" w:cs="黑体"/>
                <w:i/>
                <w:iCs/>
                <w:color w:val="000000"/>
                <w:sz w:val="18"/>
                <w:szCs w:val="18"/>
                <w:highlight w:val="none"/>
                <w:u w:val="none"/>
              </w:rPr>
            </w:pPr>
          </w:p>
        </w:tc>
      </w:tr>
      <w:tr w14:paraId="3CAD2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B0C6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1D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832A">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C9CAA">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7A6B7F">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432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F44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611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BB6AE">
            <w:pPr>
              <w:rPr>
                <w:rFonts w:hint="eastAsia" w:ascii="黑体" w:hAnsi="黑体" w:eastAsia="黑体" w:cs="黑体"/>
                <w:i/>
                <w:iCs/>
                <w:color w:val="000000"/>
                <w:sz w:val="18"/>
                <w:szCs w:val="18"/>
                <w:highlight w:val="none"/>
                <w:u w:val="none"/>
              </w:rPr>
            </w:pPr>
          </w:p>
        </w:tc>
      </w:tr>
      <w:tr w14:paraId="038E6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2FB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C6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28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777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34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9D8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CF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0B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F8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BA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AC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63EA4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7A494">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5C0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959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4C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聘请法律顾问次数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18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89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FA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E24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A8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96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E681">
            <w:pPr>
              <w:jc w:val="center"/>
              <w:rPr>
                <w:rFonts w:hint="eastAsia" w:ascii="微软雅黑" w:hAnsi="微软雅黑" w:eastAsia="微软雅黑" w:cs="微软雅黑"/>
                <w:i/>
                <w:iCs/>
                <w:color w:val="000000"/>
                <w:sz w:val="16"/>
                <w:szCs w:val="16"/>
                <w:highlight w:val="none"/>
                <w:u w:val="none"/>
              </w:rPr>
            </w:pPr>
          </w:p>
        </w:tc>
      </w:tr>
      <w:tr w14:paraId="7F66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FF82F">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3D905">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6A618">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C6D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法制宣传和培训次数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A11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7E4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67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次/年</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B367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068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5E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378B">
            <w:pPr>
              <w:jc w:val="center"/>
              <w:rPr>
                <w:rFonts w:hint="eastAsia" w:ascii="微软雅黑" w:hAnsi="微软雅黑" w:eastAsia="微软雅黑" w:cs="微软雅黑"/>
                <w:i/>
                <w:iCs/>
                <w:color w:val="000000"/>
                <w:sz w:val="16"/>
                <w:szCs w:val="16"/>
                <w:highlight w:val="none"/>
                <w:u w:val="none"/>
              </w:rPr>
            </w:pPr>
          </w:p>
        </w:tc>
      </w:tr>
      <w:tr w14:paraId="413B9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4AA8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619B0">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61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164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法律意见书规范性</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72B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A0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33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A05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4A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47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5C71">
            <w:pPr>
              <w:jc w:val="center"/>
              <w:rPr>
                <w:rFonts w:hint="eastAsia" w:ascii="微软雅黑" w:hAnsi="微软雅黑" w:eastAsia="微软雅黑" w:cs="微软雅黑"/>
                <w:i/>
                <w:iCs/>
                <w:color w:val="000000"/>
                <w:sz w:val="16"/>
                <w:szCs w:val="16"/>
                <w:highlight w:val="none"/>
                <w:u w:val="none"/>
              </w:rPr>
            </w:pPr>
          </w:p>
        </w:tc>
      </w:tr>
      <w:tr w14:paraId="2A384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E2513">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F137E">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1D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D1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法律顾问在时限范围内提供法律服务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B1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9B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按时完成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7ADC">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ED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按时完成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DE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26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56E2">
            <w:pPr>
              <w:jc w:val="center"/>
              <w:rPr>
                <w:rFonts w:hint="eastAsia" w:ascii="微软雅黑" w:hAnsi="微软雅黑" w:eastAsia="微软雅黑" w:cs="微软雅黑"/>
                <w:i/>
                <w:iCs/>
                <w:color w:val="000000"/>
                <w:sz w:val="16"/>
                <w:szCs w:val="16"/>
                <w:highlight w:val="none"/>
                <w:u w:val="none"/>
              </w:rPr>
            </w:pPr>
          </w:p>
        </w:tc>
      </w:tr>
      <w:tr w14:paraId="4365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80202">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8B8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7541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A0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行政权力更加规范</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01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EF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提升规范性</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C076F">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61E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已提升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A7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F8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EAAB">
            <w:pPr>
              <w:jc w:val="center"/>
              <w:rPr>
                <w:rFonts w:hint="eastAsia" w:ascii="微软雅黑" w:hAnsi="微软雅黑" w:eastAsia="微软雅黑" w:cs="微软雅黑"/>
                <w:i/>
                <w:iCs/>
                <w:color w:val="000000"/>
                <w:sz w:val="16"/>
                <w:szCs w:val="16"/>
                <w:highlight w:val="none"/>
                <w:u w:val="none"/>
              </w:rPr>
            </w:pPr>
          </w:p>
        </w:tc>
      </w:tr>
      <w:tr w14:paraId="42C4B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DA24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7FD5E">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8F975">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21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群众利益保障情况</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781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E4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好</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769D6">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C45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C3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84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FB70B">
            <w:pPr>
              <w:jc w:val="center"/>
              <w:rPr>
                <w:rFonts w:hint="eastAsia" w:ascii="微软雅黑" w:hAnsi="微软雅黑" w:eastAsia="微软雅黑" w:cs="微软雅黑"/>
                <w:i/>
                <w:iCs/>
                <w:color w:val="000000"/>
                <w:sz w:val="16"/>
                <w:szCs w:val="16"/>
                <w:highlight w:val="none"/>
                <w:u w:val="none"/>
              </w:rPr>
            </w:pPr>
          </w:p>
        </w:tc>
      </w:tr>
      <w:tr w14:paraId="776E2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B319E">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B42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E4F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714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政务好差评率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8A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7A5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58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87C7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7C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3B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B372C">
            <w:pPr>
              <w:jc w:val="center"/>
              <w:rPr>
                <w:rFonts w:hint="eastAsia" w:ascii="微软雅黑" w:hAnsi="微软雅黑" w:eastAsia="微软雅黑" w:cs="微软雅黑"/>
                <w:i/>
                <w:iCs/>
                <w:color w:val="000000"/>
                <w:sz w:val="16"/>
                <w:szCs w:val="16"/>
                <w:highlight w:val="none"/>
                <w:u w:val="none"/>
              </w:rPr>
            </w:pPr>
          </w:p>
        </w:tc>
      </w:tr>
      <w:tr w14:paraId="3636B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495B2">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29DFD">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4E74E">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59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主动评价率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D8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D9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DC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5D7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67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C4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265D">
            <w:pPr>
              <w:jc w:val="center"/>
              <w:rPr>
                <w:rFonts w:hint="eastAsia" w:ascii="微软雅黑" w:hAnsi="微软雅黑" w:eastAsia="微软雅黑" w:cs="微软雅黑"/>
                <w:i/>
                <w:iCs/>
                <w:color w:val="000000"/>
                <w:sz w:val="16"/>
                <w:szCs w:val="16"/>
                <w:highlight w:val="none"/>
                <w:u w:val="none"/>
              </w:rPr>
            </w:pPr>
          </w:p>
        </w:tc>
      </w:tr>
      <w:tr w14:paraId="4942A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BBC92">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435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D03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E0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法律顾问服务费控制率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919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CC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E8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9C8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27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CF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F7BA">
            <w:pPr>
              <w:jc w:val="center"/>
              <w:rPr>
                <w:rFonts w:hint="eastAsia" w:ascii="微软雅黑" w:hAnsi="微软雅黑" w:eastAsia="微软雅黑" w:cs="微软雅黑"/>
                <w:i/>
                <w:iCs/>
                <w:color w:val="000000"/>
                <w:sz w:val="16"/>
                <w:szCs w:val="16"/>
                <w:highlight w:val="none"/>
                <w:u w:val="none"/>
              </w:rPr>
            </w:pPr>
          </w:p>
        </w:tc>
      </w:tr>
      <w:tr w14:paraId="35820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C96F9">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F8CDD">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E646C">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61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差旅费用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2C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19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69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055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59A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33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0846">
            <w:pPr>
              <w:jc w:val="center"/>
              <w:rPr>
                <w:rFonts w:hint="eastAsia" w:ascii="微软雅黑" w:hAnsi="微软雅黑" w:eastAsia="微软雅黑" w:cs="微软雅黑"/>
                <w:i/>
                <w:iCs/>
                <w:color w:val="000000"/>
                <w:sz w:val="16"/>
                <w:szCs w:val="16"/>
                <w:highlight w:val="none"/>
                <w:u w:val="none"/>
              </w:rPr>
            </w:pPr>
          </w:p>
        </w:tc>
      </w:tr>
      <w:tr w14:paraId="7B33F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F74A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E9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F3E34">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CB93">
            <w:pPr>
              <w:rPr>
                <w:rFonts w:hint="eastAsia" w:ascii="宋体" w:hAnsi="宋体" w:eastAsia="宋体" w:cs="宋体"/>
                <w:i w:val="0"/>
                <w:iCs w:val="0"/>
                <w:color w:val="000000"/>
                <w:sz w:val="18"/>
                <w:szCs w:val="18"/>
                <w:highlight w:val="none"/>
                <w:u w:val="none"/>
              </w:rPr>
            </w:pPr>
          </w:p>
        </w:tc>
      </w:tr>
      <w:tr w14:paraId="40000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D15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E7DF2B">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2025年度部门预算项目支出绩效自评分数为100分，通过聘请法律顾问使法律法规宣传更加有效提升人社法律法规知晓度，法律意见书更加规范。</w:t>
            </w:r>
          </w:p>
        </w:tc>
      </w:tr>
      <w:tr w14:paraId="33891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90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18385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暂未发现问题</w:t>
            </w:r>
          </w:p>
        </w:tc>
      </w:tr>
      <w:tr w14:paraId="0CBFD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6E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85BAB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下一步，我们将严格执行专项预算项目绩效管理要求，抓牢抓实项目绩效的各项工作</w:t>
            </w:r>
          </w:p>
        </w:tc>
      </w:tr>
      <w:tr w14:paraId="60103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B7BA9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14D89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5EA90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257BBA28">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779BE4A1">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772F106C">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7F3C6D37">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71D92CEF">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6993D5B5">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2A61EDDA">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69755128">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26F95F29">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38BF5FEE">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18998695">
            <w:pPr>
              <w:rPr>
                <w:rFonts w:hint="eastAsia" w:ascii="宋体" w:hAnsi="宋体" w:eastAsia="宋体" w:cs="宋体"/>
                <w:i w:val="0"/>
                <w:iCs w:val="0"/>
                <w:color w:val="000000"/>
                <w:sz w:val="18"/>
                <w:szCs w:val="18"/>
                <w:highlight w:val="none"/>
                <w:u w:val="none"/>
              </w:rPr>
            </w:pPr>
          </w:p>
        </w:tc>
      </w:tr>
      <w:tr w14:paraId="61801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4BD2D2">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7A58C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FA46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0C399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51320021T000000049182-主干网络使用费</w:t>
            </w:r>
          </w:p>
        </w:tc>
      </w:tr>
      <w:tr w14:paraId="1E251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996F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A8310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3310657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30E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278A4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A206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2AA9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D5DC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E1F538">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0CF1E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7AAD9">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DBDDA">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510D8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保障全州域网（州到各县、区）主干业务专网、互联网、视频会议、人社服务大厅监控系统、阿坝州惠民惠农财政补贴资金“一卡通”等汇聚线路及备用线路的互联互通和“金保工程业务专网”安全、稳定运行。</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542D9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6C280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70FB6">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877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C4CB4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保障全州域网（州到各县、区）主干业务专网、互联网、视频会议、人社服务大厅监控系统、阿坝州惠民惠农财政补贴资金“一卡通”等汇聚线路及备用线路的互联互通和“金保工程业务专网”安全、稳定运行。</w:t>
            </w:r>
          </w:p>
        </w:tc>
      </w:tr>
      <w:tr w14:paraId="46C74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104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B1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85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328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DC65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A7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25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14A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7F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8F48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B84D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A2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CD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08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63.46</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E59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63.46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F0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A58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69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089CF">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558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1621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C8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BD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E27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63.46</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7D4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63.46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75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F9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24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E6F19">
            <w:pPr>
              <w:rPr>
                <w:rFonts w:hint="eastAsia" w:ascii="黑体" w:hAnsi="黑体" w:eastAsia="黑体" w:cs="黑体"/>
                <w:i/>
                <w:iCs/>
                <w:color w:val="000000"/>
                <w:sz w:val="18"/>
                <w:szCs w:val="18"/>
                <w:highlight w:val="none"/>
                <w:u w:val="none"/>
              </w:rPr>
            </w:pPr>
          </w:p>
        </w:tc>
      </w:tr>
      <w:tr w14:paraId="1BDD8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B02B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E8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B2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A7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BD7B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1EF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F6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38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655F6">
            <w:pPr>
              <w:rPr>
                <w:rFonts w:hint="eastAsia" w:ascii="黑体" w:hAnsi="黑体" w:eastAsia="黑体" w:cs="黑体"/>
                <w:i/>
                <w:iCs/>
                <w:color w:val="000000"/>
                <w:sz w:val="18"/>
                <w:szCs w:val="18"/>
                <w:highlight w:val="none"/>
                <w:u w:val="none"/>
              </w:rPr>
            </w:pPr>
          </w:p>
        </w:tc>
      </w:tr>
      <w:tr w14:paraId="036DF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96A3E">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D5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D8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D6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3FF6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28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1B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79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14730">
            <w:pPr>
              <w:rPr>
                <w:rFonts w:hint="eastAsia" w:ascii="黑体" w:hAnsi="黑体" w:eastAsia="黑体" w:cs="黑体"/>
                <w:i/>
                <w:iCs/>
                <w:color w:val="000000"/>
                <w:sz w:val="18"/>
                <w:szCs w:val="18"/>
                <w:highlight w:val="none"/>
                <w:u w:val="none"/>
              </w:rPr>
            </w:pPr>
          </w:p>
        </w:tc>
      </w:tr>
      <w:tr w14:paraId="5F56E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F6DF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247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78C3E">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5ABC">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1CAAD3">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70C2">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82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2E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EF0BE">
            <w:pPr>
              <w:rPr>
                <w:rFonts w:hint="eastAsia" w:ascii="黑体" w:hAnsi="黑体" w:eastAsia="黑体" w:cs="黑体"/>
                <w:i/>
                <w:iCs/>
                <w:color w:val="000000"/>
                <w:sz w:val="18"/>
                <w:szCs w:val="18"/>
                <w:highlight w:val="none"/>
                <w:u w:val="none"/>
              </w:rPr>
            </w:pPr>
          </w:p>
        </w:tc>
      </w:tr>
      <w:tr w14:paraId="1A3F2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20B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42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CB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05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2D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A3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6B1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1E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66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33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9E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6F1D0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0F4CF">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44C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736A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24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备用线路租赁（移动）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3A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0E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107</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8BA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B56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107条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68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4B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DEC8">
            <w:pPr>
              <w:jc w:val="center"/>
              <w:rPr>
                <w:rFonts w:hint="eastAsia" w:ascii="微软雅黑" w:hAnsi="微软雅黑" w:eastAsia="微软雅黑" w:cs="微软雅黑"/>
                <w:i/>
                <w:iCs/>
                <w:color w:val="000000"/>
                <w:sz w:val="16"/>
                <w:szCs w:val="16"/>
                <w:highlight w:val="none"/>
                <w:u w:val="none"/>
              </w:rPr>
            </w:pPr>
          </w:p>
        </w:tc>
      </w:tr>
      <w:tr w14:paraId="5ED40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49B3C">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B0DF1">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58163">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AA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线路租赁（电信）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8B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77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107</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DE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DFE2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107条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32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505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4D42">
            <w:pPr>
              <w:jc w:val="center"/>
              <w:rPr>
                <w:rFonts w:hint="eastAsia" w:ascii="微软雅黑" w:hAnsi="微软雅黑" w:eastAsia="微软雅黑" w:cs="微软雅黑"/>
                <w:i/>
                <w:iCs/>
                <w:color w:val="000000"/>
                <w:sz w:val="16"/>
                <w:szCs w:val="16"/>
                <w:highlight w:val="none"/>
                <w:u w:val="none"/>
              </w:rPr>
            </w:pPr>
          </w:p>
        </w:tc>
      </w:tr>
      <w:tr w14:paraId="318AB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999B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F8586">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85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1A8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维护金保工程业务专网安全稳定运行率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B6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25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02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8196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9A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CB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A804">
            <w:pPr>
              <w:jc w:val="center"/>
              <w:rPr>
                <w:rFonts w:hint="eastAsia" w:ascii="微软雅黑" w:hAnsi="微软雅黑" w:eastAsia="微软雅黑" w:cs="微软雅黑"/>
                <w:i/>
                <w:iCs/>
                <w:color w:val="000000"/>
                <w:sz w:val="16"/>
                <w:szCs w:val="16"/>
                <w:highlight w:val="none"/>
                <w:u w:val="none"/>
              </w:rPr>
            </w:pPr>
          </w:p>
        </w:tc>
      </w:tr>
      <w:tr w14:paraId="5B62F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E7DDB">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4E802">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55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A6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2025年11月底该项目完成率。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A3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40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72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D72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3E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C4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18C7">
            <w:pPr>
              <w:jc w:val="center"/>
              <w:rPr>
                <w:rFonts w:hint="eastAsia" w:ascii="微软雅黑" w:hAnsi="微软雅黑" w:eastAsia="微软雅黑" w:cs="微软雅黑"/>
                <w:i/>
                <w:iCs/>
                <w:color w:val="000000"/>
                <w:sz w:val="16"/>
                <w:szCs w:val="16"/>
                <w:highlight w:val="none"/>
                <w:u w:val="none"/>
              </w:rPr>
            </w:pPr>
          </w:p>
        </w:tc>
      </w:tr>
      <w:tr w14:paraId="1A58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845EE">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F5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8E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0C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为州、县（市）、乡镇（社区）人社业务经办、人社服务大厅监控系统、视频会议、阿坝州惠民惠农财政补贴资金发放部门业务经办提供网络支撑。</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C99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C3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维护网络安全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20D1">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8D2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维护网络安全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B4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85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CF1D">
            <w:pPr>
              <w:jc w:val="center"/>
              <w:rPr>
                <w:rFonts w:hint="eastAsia" w:ascii="微软雅黑" w:hAnsi="微软雅黑" w:eastAsia="微软雅黑" w:cs="微软雅黑"/>
                <w:i/>
                <w:iCs/>
                <w:color w:val="000000"/>
                <w:sz w:val="16"/>
                <w:szCs w:val="16"/>
                <w:highlight w:val="none"/>
                <w:u w:val="none"/>
              </w:rPr>
            </w:pPr>
          </w:p>
        </w:tc>
      </w:tr>
      <w:tr w14:paraId="0D7A9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8C7A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28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22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88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社会公众对相关工作的满意度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46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2B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C8F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122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D1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752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095D">
            <w:pPr>
              <w:jc w:val="center"/>
              <w:rPr>
                <w:rFonts w:hint="eastAsia" w:ascii="微软雅黑" w:hAnsi="微软雅黑" w:eastAsia="微软雅黑" w:cs="微软雅黑"/>
                <w:i/>
                <w:iCs/>
                <w:color w:val="000000"/>
                <w:sz w:val="16"/>
                <w:szCs w:val="16"/>
                <w:highlight w:val="none"/>
                <w:u w:val="none"/>
              </w:rPr>
            </w:pPr>
          </w:p>
        </w:tc>
      </w:tr>
      <w:tr w14:paraId="5E57C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A53B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AA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57F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F2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租赁费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9C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26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66</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92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5A0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63.46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17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75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A86B">
            <w:pPr>
              <w:jc w:val="center"/>
              <w:rPr>
                <w:rFonts w:hint="eastAsia" w:ascii="微软雅黑" w:hAnsi="微软雅黑" w:eastAsia="微软雅黑" w:cs="微软雅黑"/>
                <w:i/>
                <w:iCs/>
                <w:color w:val="000000"/>
                <w:sz w:val="16"/>
                <w:szCs w:val="16"/>
                <w:highlight w:val="none"/>
                <w:u w:val="none"/>
              </w:rPr>
            </w:pPr>
          </w:p>
        </w:tc>
      </w:tr>
      <w:tr w14:paraId="2FBD1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5802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55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24E1">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3913E">
            <w:pPr>
              <w:rPr>
                <w:rFonts w:hint="eastAsia" w:ascii="宋体" w:hAnsi="宋体" w:eastAsia="宋体" w:cs="宋体"/>
                <w:i w:val="0"/>
                <w:iCs w:val="0"/>
                <w:color w:val="000000"/>
                <w:sz w:val="18"/>
                <w:szCs w:val="18"/>
                <w:highlight w:val="none"/>
                <w:u w:val="none"/>
              </w:rPr>
            </w:pPr>
          </w:p>
        </w:tc>
      </w:tr>
      <w:tr w14:paraId="4A061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1F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26A8F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完成良好</w:t>
            </w:r>
          </w:p>
        </w:tc>
      </w:tr>
      <w:tr w14:paraId="6124F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F1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E3FB8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6535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4F2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98F9D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354A4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F6950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项目负责人：瞿飞</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E8F32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53F9A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6F7455A8">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1027136D">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23CC0707">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758313FC">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3FA4CE52">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0F696D32">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3FBF8984">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7FC9F751">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1F59C097">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6F765929">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022522B2">
            <w:pPr>
              <w:rPr>
                <w:rFonts w:hint="eastAsia" w:ascii="宋体" w:hAnsi="宋体" w:eastAsia="宋体" w:cs="宋体"/>
                <w:i w:val="0"/>
                <w:iCs w:val="0"/>
                <w:color w:val="000000"/>
                <w:sz w:val="18"/>
                <w:szCs w:val="18"/>
                <w:highlight w:val="none"/>
                <w:u w:val="none"/>
              </w:rPr>
            </w:pPr>
          </w:p>
        </w:tc>
      </w:tr>
      <w:tr w14:paraId="0D549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1033D4">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C37D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C5BC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32827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51320023T000007880118-企业薪酬调查</w:t>
            </w:r>
          </w:p>
        </w:tc>
      </w:tr>
      <w:tr w14:paraId="176F0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CFD8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22BCA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3D071F5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AC77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46579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30E0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0ABD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19AC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9FC8B3">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183B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7"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0D791">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39780">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249C9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 数据填报人员务工补助。</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2. 聘请第三方机构分析调查数据制作工资指导价位和行业人工成本信息报告。</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3. 到县（市）督查企业薪酬调查工作开展情况。</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4. 通过企业薪酬调查，指导企业合理确定职工工资水平，引导劳动力有序流动。</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5. 参加调查企业数量达到 123 户。</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E40E4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r>
              <w:rPr>
                <w:rFonts w:hint="eastAsia" w:ascii="黑体" w:hAnsi="黑体" w:eastAsia="黑体" w:cs="黑体"/>
                <w:i w:val="0"/>
                <w:iCs w:val="0"/>
                <w:color w:val="000000"/>
                <w:kern w:val="0"/>
                <w:sz w:val="18"/>
                <w:szCs w:val="18"/>
                <w:highlight w:val="none"/>
                <w:u w:val="none"/>
                <w:lang w:val="en-US" w:eastAsia="zh-CN" w:bidi="ar"/>
              </w:rPr>
              <w:br w:type="textWrapping"/>
            </w:r>
            <w:r>
              <w:rPr>
                <w:rFonts w:hint="eastAsia" w:ascii="黑体" w:hAnsi="黑体" w:eastAsia="黑体" w:cs="黑体"/>
                <w:i w:val="0"/>
                <w:iCs w:val="0"/>
                <w:color w:val="000000"/>
                <w:kern w:val="0"/>
                <w:sz w:val="18"/>
                <w:szCs w:val="18"/>
                <w:highlight w:val="none"/>
                <w:u w:val="none"/>
                <w:lang w:val="en-US" w:eastAsia="zh-CN" w:bidi="ar"/>
              </w:rPr>
              <w:t>完成 123 户企业调查，发放务工补助，第三方报告按期完成，完成县市督查，数据误差率 1.5%，有效指导企业定薪并引导劳动力流动，目标全部完成。</w:t>
            </w:r>
          </w:p>
        </w:tc>
      </w:tr>
      <w:tr w14:paraId="76911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825FD">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19C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DBB3B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按要求开展企业薪酬数据采集，支付填报人员劳务补助，委托第三方完成数据分析报告，全程规范执行财务制度，同步开展绩效监管，按期完成所有实施内容。</w:t>
            </w:r>
          </w:p>
        </w:tc>
      </w:tr>
      <w:tr w14:paraId="4B7CB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0CA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5E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365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2B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AB2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16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16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C3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D7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056BF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E361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24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0D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58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7.91</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D1E4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7.91</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FD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E7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49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6966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1预算执行率达 100%，资金按调整后金额全额执行，严格按财务规定使用，无截留、挪用情况。</w:t>
            </w:r>
          </w:p>
        </w:tc>
      </w:tr>
      <w:tr w14:paraId="4C7B8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18EF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D2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18F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885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7.91</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11E8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7.91</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FC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41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5D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1330C">
            <w:pPr>
              <w:rPr>
                <w:rFonts w:hint="eastAsia" w:ascii="黑体" w:hAnsi="黑体" w:eastAsia="黑体" w:cs="黑体"/>
                <w:i w:val="0"/>
                <w:iCs w:val="0"/>
                <w:color w:val="000000"/>
                <w:sz w:val="18"/>
                <w:szCs w:val="18"/>
                <w:highlight w:val="none"/>
                <w:u w:val="none"/>
              </w:rPr>
            </w:pPr>
          </w:p>
        </w:tc>
      </w:tr>
      <w:tr w14:paraId="64003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E2D7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48F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08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182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328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B31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69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20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C8C3C">
            <w:pPr>
              <w:rPr>
                <w:rFonts w:hint="eastAsia" w:ascii="黑体" w:hAnsi="黑体" w:eastAsia="黑体" w:cs="黑体"/>
                <w:i w:val="0"/>
                <w:iCs w:val="0"/>
                <w:color w:val="000000"/>
                <w:sz w:val="18"/>
                <w:szCs w:val="18"/>
                <w:highlight w:val="none"/>
                <w:u w:val="none"/>
              </w:rPr>
            </w:pPr>
          </w:p>
        </w:tc>
      </w:tr>
      <w:tr w14:paraId="6DF04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8EA77">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0F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7B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0D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5ED1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B4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17E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C2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2A9CC">
            <w:pPr>
              <w:rPr>
                <w:rFonts w:hint="eastAsia" w:ascii="黑体" w:hAnsi="黑体" w:eastAsia="黑体" w:cs="黑体"/>
                <w:i w:val="0"/>
                <w:iCs w:val="0"/>
                <w:color w:val="000000"/>
                <w:sz w:val="18"/>
                <w:szCs w:val="18"/>
                <w:highlight w:val="none"/>
                <w:u w:val="none"/>
              </w:rPr>
            </w:pPr>
          </w:p>
        </w:tc>
      </w:tr>
      <w:tr w14:paraId="06BB2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85BE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AB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4C41">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364E">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4388D">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4979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ED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FE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FC576">
            <w:pPr>
              <w:rPr>
                <w:rFonts w:hint="eastAsia" w:ascii="黑体" w:hAnsi="黑体" w:eastAsia="黑体" w:cs="黑体"/>
                <w:i w:val="0"/>
                <w:iCs w:val="0"/>
                <w:color w:val="000000"/>
                <w:sz w:val="18"/>
                <w:szCs w:val="18"/>
                <w:highlight w:val="none"/>
                <w:u w:val="none"/>
              </w:rPr>
            </w:pPr>
          </w:p>
        </w:tc>
      </w:tr>
      <w:tr w14:paraId="67B6C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7A2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9F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23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207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6A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D8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8C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2A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04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64D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F69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41F7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2A02B">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DF1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A5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36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参与调查的企业数量</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BE1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C7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123</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A9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户</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39B8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已完成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875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D9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DD5BF">
            <w:pPr>
              <w:jc w:val="center"/>
              <w:rPr>
                <w:rFonts w:hint="eastAsia" w:ascii="微软雅黑" w:hAnsi="微软雅黑" w:eastAsia="微软雅黑" w:cs="微软雅黑"/>
                <w:i/>
                <w:iCs/>
                <w:color w:val="000000"/>
                <w:sz w:val="16"/>
                <w:szCs w:val="16"/>
                <w:highlight w:val="none"/>
                <w:u w:val="none"/>
              </w:rPr>
            </w:pPr>
          </w:p>
        </w:tc>
      </w:tr>
      <w:tr w14:paraId="6BCC2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09DFB">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D03DB">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128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79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企业薪酬调查分析报告准确率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44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12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50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8BB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小于90%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6A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00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484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部分小微企业信息化水平低、人员流动大，填报指导针对性不足，数据填报质量有待提升</w:t>
            </w:r>
          </w:p>
        </w:tc>
      </w:tr>
      <w:tr w14:paraId="43B37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D824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58A37">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40E77">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C2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县市督查覆盖率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82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5C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15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1C4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EA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D9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EC6E9">
            <w:pPr>
              <w:jc w:val="center"/>
              <w:rPr>
                <w:rFonts w:hint="eastAsia" w:ascii="微软雅黑" w:hAnsi="微软雅黑" w:eastAsia="微软雅黑" w:cs="微软雅黑"/>
                <w:i/>
                <w:iCs/>
                <w:color w:val="000000"/>
                <w:sz w:val="16"/>
                <w:szCs w:val="16"/>
                <w:highlight w:val="none"/>
                <w:u w:val="none"/>
              </w:rPr>
            </w:pPr>
          </w:p>
        </w:tc>
      </w:tr>
      <w:tr w14:paraId="4790B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B3A7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4E4EF">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93B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0D6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按照省人社厅通知时间完成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74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79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7D94">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619E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已完成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25A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DB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8650">
            <w:pPr>
              <w:jc w:val="center"/>
              <w:rPr>
                <w:rFonts w:hint="eastAsia" w:ascii="微软雅黑" w:hAnsi="微软雅黑" w:eastAsia="微软雅黑" w:cs="微软雅黑"/>
                <w:i/>
                <w:iCs/>
                <w:color w:val="000000"/>
                <w:sz w:val="16"/>
                <w:szCs w:val="16"/>
                <w:highlight w:val="none"/>
                <w:u w:val="none"/>
              </w:rPr>
            </w:pPr>
          </w:p>
        </w:tc>
      </w:tr>
      <w:tr w14:paraId="53138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3CE1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4CD0E">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553C8">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6A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数据填报人员补助发放完成率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38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FF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74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1AFB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FB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22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C2B8C">
            <w:pPr>
              <w:jc w:val="center"/>
              <w:rPr>
                <w:rFonts w:hint="eastAsia" w:ascii="微软雅黑" w:hAnsi="微软雅黑" w:eastAsia="微软雅黑" w:cs="微软雅黑"/>
                <w:i/>
                <w:iCs/>
                <w:color w:val="000000"/>
                <w:sz w:val="16"/>
                <w:szCs w:val="16"/>
                <w:highlight w:val="none"/>
                <w:u w:val="none"/>
              </w:rPr>
            </w:pPr>
          </w:p>
        </w:tc>
      </w:tr>
      <w:tr w14:paraId="4CB46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F22CA">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D56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DC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CF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根据市场作用评定工资水平完成度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7C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58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好</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C369">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87C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2D9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2B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01A3">
            <w:pPr>
              <w:jc w:val="center"/>
              <w:rPr>
                <w:rFonts w:hint="eastAsia" w:ascii="微软雅黑" w:hAnsi="微软雅黑" w:eastAsia="微软雅黑" w:cs="微软雅黑"/>
                <w:i/>
                <w:iCs/>
                <w:color w:val="000000"/>
                <w:sz w:val="16"/>
                <w:szCs w:val="16"/>
                <w:highlight w:val="none"/>
                <w:u w:val="none"/>
              </w:rPr>
            </w:pPr>
          </w:p>
        </w:tc>
      </w:tr>
      <w:tr w14:paraId="67CF8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216E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30193">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4C8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11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引导劳动力有序流动、促进人力资源合理配置。</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4C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2A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高度完成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80E4">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818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已完成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B9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13A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7276">
            <w:pPr>
              <w:jc w:val="center"/>
              <w:rPr>
                <w:rFonts w:hint="eastAsia" w:ascii="微软雅黑" w:hAnsi="微软雅黑" w:eastAsia="微软雅黑" w:cs="微软雅黑"/>
                <w:i/>
                <w:iCs/>
                <w:color w:val="000000"/>
                <w:sz w:val="16"/>
                <w:szCs w:val="16"/>
                <w:highlight w:val="none"/>
                <w:u w:val="none"/>
              </w:rPr>
            </w:pPr>
          </w:p>
        </w:tc>
      </w:tr>
      <w:tr w14:paraId="552D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CEEA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EF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23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3E6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参考企业薪酬调查分析报告数据满意率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00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5C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092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57F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F81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00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1BFC">
            <w:pPr>
              <w:jc w:val="center"/>
              <w:rPr>
                <w:rFonts w:hint="eastAsia" w:ascii="微软雅黑" w:hAnsi="微软雅黑" w:eastAsia="微软雅黑" w:cs="微软雅黑"/>
                <w:i/>
                <w:iCs/>
                <w:color w:val="000000"/>
                <w:sz w:val="16"/>
                <w:szCs w:val="16"/>
                <w:highlight w:val="none"/>
                <w:u w:val="none"/>
              </w:rPr>
            </w:pPr>
          </w:p>
        </w:tc>
      </w:tr>
      <w:tr w14:paraId="42832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169B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986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F67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E37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劳务费金额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8F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C9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3C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CB6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4.5万元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ED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96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D2CE">
            <w:pPr>
              <w:jc w:val="center"/>
              <w:rPr>
                <w:rFonts w:hint="eastAsia" w:ascii="微软雅黑" w:hAnsi="微软雅黑" w:eastAsia="微软雅黑" w:cs="微软雅黑"/>
                <w:i/>
                <w:iCs/>
                <w:color w:val="000000"/>
                <w:sz w:val="16"/>
                <w:szCs w:val="16"/>
                <w:highlight w:val="none"/>
                <w:u w:val="none"/>
              </w:rPr>
            </w:pPr>
          </w:p>
        </w:tc>
      </w:tr>
      <w:tr w14:paraId="72D45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F1D6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AB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6BF2">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47A7">
            <w:pPr>
              <w:rPr>
                <w:rFonts w:hint="eastAsia" w:ascii="宋体" w:hAnsi="宋体" w:eastAsia="宋体" w:cs="宋体"/>
                <w:i w:val="0"/>
                <w:iCs w:val="0"/>
                <w:color w:val="000000"/>
                <w:sz w:val="18"/>
                <w:szCs w:val="18"/>
                <w:highlight w:val="none"/>
                <w:u w:val="none"/>
              </w:rPr>
            </w:pPr>
          </w:p>
        </w:tc>
      </w:tr>
      <w:tr w14:paraId="5BC79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D8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1982BC">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结评总分 98 分，立项依据充分，资金使用合规、执行率 100%，圆满完成年度目标任务。调查数据精准，第三方服务质量良好，有效发布工资指导信息，在企业工资分配指导、人力资源合理配置方面成效显著，服务对象整体满意度较高）</w:t>
            </w:r>
          </w:p>
        </w:tc>
      </w:tr>
      <w:tr w14:paraId="6D7A6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E9B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D50227">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 部分小微企业信息化水平低、人员流动大，填报指导针对性不足，数据填报质量有待提升；2. 第三方服务合同数据质量管控条款细化不足，对误差率约束性弱；3. 受交通、人员影响，偏远县（市）督查指导频次不够，覆盖率未达预期；4. 部分小微企业反映劳务补助标准偏低，拉低整体满意率。</w:t>
            </w:r>
          </w:p>
        </w:tc>
      </w:tr>
      <w:tr w14:paraId="78B17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D4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ECC7BD">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 针对小微企业制作简易填报指南，开展线上线下培训，安排专人负责咨询，提升填报能力；2. 完善第三方服务合同，明确数据质量标准及误差率要求，将质量与服务费支付挂钩；3. 通过视频培训、远程指导补充偏远县（市）指导，必要时驻点，提升督查覆盖率；4. 调研小微企业实际情况，酌情优化劳务补助标准，提升企业满意度。</w:t>
            </w:r>
          </w:p>
        </w:tc>
      </w:tr>
      <w:tr w14:paraId="14A84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78E9CD">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项目负责人：陈勇</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9EF94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27647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56AFD0CD">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726C5751">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0E3AE55C">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1D7C2B04">
            <w:pPr>
              <w:rPr>
                <w:rFonts w:hint="eastAsia" w:ascii="宋体" w:hAnsi="宋体" w:eastAsia="宋体" w:cs="宋体"/>
                <w:i w:val="0"/>
                <w:iCs w:val="0"/>
                <w:color w:val="000000"/>
                <w:sz w:val="18"/>
                <w:szCs w:val="18"/>
                <w:highlight w:val="none"/>
                <w:u w:val="none"/>
              </w:rPr>
            </w:pPr>
          </w:p>
          <w:p w14:paraId="3C0F6364">
            <w:pPr>
              <w:rPr>
                <w:rFonts w:hint="eastAsia" w:ascii="宋体" w:hAnsi="宋体" w:eastAsia="宋体" w:cs="宋体"/>
                <w:i w:val="0"/>
                <w:iCs w:val="0"/>
                <w:color w:val="000000"/>
                <w:sz w:val="18"/>
                <w:szCs w:val="18"/>
                <w:highlight w:val="none"/>
                <w:u w:val="none"/>
              </w:rPr>
            </w:pPr>
          </w:p>
          <w:p w14:paraId="33E1C755">
            <w:pPr>
              <w:rPr>
                <w:rFonts w:hint="eastAsia" w:ascii="宋体" w:hAnsi="宋体" w:eastAsia="宋体" w:cs="宋体"/>
                <w:i w:val="0"/>
                <w:iCs w:val="0"/>
                <w:color w:val="000000"/>
                <w:sz w:val="18"/>
                <w:szCs w:val="18"/>
                <w:highlight w:val="none"/>
                <w:u w:val="none"/>
              </w:rPr>
            </w:pPr>
          </w:p>
          <w:p w14:paraId="16C2E512">
            <w:pPr>
              <w:rPr>
                <w:rFonts w:hint="eastAsia" w:ascii="宋体" w:hAnsi="宋体" w:eastAsia="宋体" w:cs="宋体"/>
                <w:i w:val="0"/>
                <w:iCs w:val="0"/>
                <w:color w:val="000000"/>
                <w:sz w:val="18"/>
                <w:szCs w:val="18"/>
                <w:highlight w:val="none"/>
                <w:u w:val="none"/>
              </w:rPr>
            </w:pPr>
          </w:p>
          <w:p w14:paraId="422FDF06">
            <w:pPr>
              <w:rPr>
                <w:rFonts w:hint="eastAsia" w:ascii="宋体" w:hAnsi="宋体" w:eastAsia="宋体" w:cs="宋体"/>
                <w:i w:val="0"/>
                <w:iCs w:val="0"/>
                <w:color w:val="000000"/>
                <w:sz w:val="18"/>
                <w:szCs w:val="18"/>
                <w:highlight w:val="none"/>
                <w:u w:val="none"/>
              </w:rPr>
            </w:pPr>
          </w:p>
          <w:p w14:paraId="59E18488">
            <w:pPr>
              <w:rPr>
                <w:rFonts w:hint="eastAsia" w:ascii="宋体" w:hAnsi="宋体" w:eastAsia="宋体" w:cs="宋体"/>
                <w:i w:val="0"/>
                <w:iCs w:val="0"/>
                <w:color w:val="000000"/>
                <w:sz w:val="18"/>
                <w:szCs w:val="18"/>
                <w:highlight w:val="none"/>
                <w:u w:val="none"/>
              </w:rPr>
            </w:pPr>
          </w:p>
          <w:p w14:paraId="7A8EFAE8">
            <w:pPr>
              <w:rPr>
                <w:rFonts w:hint="eastAsia" w:ascii="宋体" w:hAnsi="宋体" w:eastAsia="宋体" w:cs="宋体"/>
                <w:i w:val="0"/>
                <w:iCs w:val="0"/>
                <w:color w:val="000000"/>
                <w:sz w:val="18"/>
                <w:szCs w:val="18"/>
                <w:highlight w:val="none"/>
                <w:u w:val="none"/>
              </w:rPr>
            </w:pPr>
          </w:p>
          <w:p w14:paraId="55607197">
            <w:pPr>
              <w:rPr>
                <w:rFonts w:hint="eastAsia" w:ascii="宋体" w:hAnsi="宋体" w:eastAsia="宋体" w:cs="宋体"/>
                <w:i w:val="0"/>
                <w:iCs w:val="0"/>
                <w:color w:val="000000"/>
                <w:sz w:val="18"/>
                <w:szCs w:val="18"/>
                <w:highlight w:val="none"/>
                <w:u w:val="none"/>
              </w:rPr>
            </w:pPr>
          </w:p>
          <w:p w14:paraId="05D73721">
            <w:pPr>
              <w:rPr>
                <w:rFonts w:hint="eastAsia" w:ascii="宋体" w:hAnsi="宋体" w:eastAsia="宋体" w:cs="宋体"/>
                <w:i w:val="0"/>
                <w:iCs w:val="0"/>
                <w:color w:val="000000"/>
                <w:sz w:val="18"/>
                <w:szCs w:val="18"/>
                <w:highlight w:val="none"/>
                <w:u w:val="none"/>
              </w:rPr>
            </w:pPr>
          </w:p>
          <w:p w14:paraId="5BBC313E">
            <w:pPr>
              <w:rPr>
                <w:rFonts w:hint="eastAsia" w:ascii="宋体" w:hAnsi="宋体" w:eastAsia="宋体" w:cs="宋体"/>
                <w:i w:val="0"/>
                <w:iCs w:val="0"/>
                <w:color w:val="000000"/>
                <w:sz w:val="18"/>
                <w:szCs w:val="18"/>
                <w:highlight w:val="none"/>
                <w:u w:val="none"/>
              </w:rPr>
            </w:pPr>
          </w:p>
          <w:p w14:paraId="3D67B10F">
            <w:pPr>
              <w:rPr>
                <w:rFonts w:hint="eastAsia" w:ascii="宋体" w:hAnsi="宋体" w:eastAsia="宋体" w:cs="宋体"/>
                <w:i w:val="0"/>
                <w:iCs w:val="0"/>
                <w:color w:val="000000"/>
                <w:sz w:val="18"/>
                <w:szCs w:val="18"/>
                <w:highlight w:val="none"/>
                <w:u w:val="none"/>
              </w:rPr>
            </w:pPr>
          </w:p>
          <w:p w14:paraId="54FF2E33">
            <w:pPr>
              <w:rPr>
                <w:rFonts w:hint="eastAsia" w:ascii="宋体" w:hAnsi="宋体" w:eastAsia="宋体" w:cs="宋体"/>
                <w:i w:val="0"/>
                <w:iCs w:val="0"/>
                <w:color w:val="000000"/>
                <w:sz w:val="18"/>
                <w:szCs w:val="18"/>
                <w:highlight w:val="none"/>
                <w:u w:val="none"/>
              </w:rPr>
            </w:pPr>
          </w:p>
          <w:p w14:paraId="0AC92E9B">
            <w:pPr>
              <w:rPr>
                <w:rFonts w:hint="eastAsia" w:ascii="宋体" w:hAnsi="宋体" w:eastAsia="宋体" w:cs="宋体"/>
                <w:i w:val="0"/>
                <w:iCs w:val="0"/>
                <w:color w:val="000000"/>
                <w:sz w:val="18"/>
                <w:szCs w:val="18"/>
                <w:highlight w:val="none"/>
                <w:u w:val="none"/>
              </w:rPr>
            </w:pPr>
          </w:p>
          <w:p w14:paraId="44653DA9">
            <w:pPr>
              <w:rPr>
                <w:rFonts w:hint="eastAsia" w:ascii="宋体" w:hAnsi="宋体" w:eastAsia="宋体" w:cs="宋体"/>
                <w:i w:val="0"/>
                <w:iCs w:val="0"/>
                <w:color w:val="000000"/>
                <w:sz w:val="18"/>
                <w:szCs w:val="18"/>
                <w:highlight w:val="none"/>
                <w:u w:val="none"/>
              </w:rPr>
            </w:pPr>
          </w:p>
          <w:p w14:paraId="28FCDB8C">
            <w:pPr>
              <w:rPr>
                <w:rFonts w:hint="eastAsia" w:ascii="宋体" w:hAnsi="宋体" w:eastAsia="宋体" w:cs="宋体"/>
                <w:i w:val="0"/>
                <w:iCs w:val="0"/>
                <w:color w:val="000000"/>
                <w:sz w:val="18"/>
                <w:szCs w:val="18"/>
                <w:highlight w:val="none"/>
                <w:u w:val="none"/>
              </w:rPr>
            </w:pPr>
          </w:p>
          <w:p w14:paraId="7A92C543">
            <w:pPr>
              <w:rPr>
                <w:rFonts w:hint="eastAsia" w:ascii="宋体" w:hAnsi="宋体" w:eastAsia="宋体" w:cs="宋体"/>
                <w:i w:val="0"/>
                <w:iCs w:val="0"/>
                <w:color w:val="000000"/>
                <w:sz w:val="18"/>
                <w:szCs w:val="18"/>
                <w:highlight w:val="none"/>
                <w:u w:val="none"/>
              </w:rPr>
            </w:pPr>
          </w:p>
          <w:p w14:paraId="6F693245">
            <w:pPr>
              <w:rPr>
                <w:rFonts w:hint="eastAsia" w:ascii="宋体" w:hAnsi="宋体" w:eastAsia="宋体" w:cs="宋体"/>
                <w:i w:val="0"/>
                <w:iCs w:val="0"/>
                <w:color w:val="000000"/>
                <w:sz w:val="18"/>
                <w:szCs w:val="18"/>
                <w:highlight w:val="none"/>
                <w:u w:val="none"/>
              </w:rPr>
            </w:pPr>
          </w:p>
          <w:p w14:paraId="71E5E221">
            <w:pPr>
              <w:rPr>
                <w:rFonts w:hint="eastAsia" w:ascii="宋体" w:hAnsi="宋体" w:eastAsia="宋体" w:cs="宋体"/>
                <w:i w:val="0"/>
                <w:iCs w:val="0"/>
                <w:color w:val="000000"/>
                <w:sz w:val="18"/>
                <w:szCs w:val="18"/>
                <w:highlight w:val="none"/>
                <w:u w:val="none"/>
              </w:rPr>
            </w:pPr>
          </w:p>
          <w:p w14:paraId="5C2B09F3">
            <w:pPr>
              <w:rPr>
                <w:rFonts w:hint="eastAsia" w:ascii="宋体" w:hAnsi="宋体" w:eastAsia="宋体" w:cs="宋体"/>
                <w:i w:val="0"/>
                <w:iCs w:val="0"/>
                <w:color w:val="000000"/>
                <w:sz w:val="18"/>
                <w:szCs w:val="18"/>
                <w:highlight w:val="none"/>
                <w:u w:val="none"/>
              </w:rPr>
            </w:pPr>
          </w:p>
          <w:p w14:paraId="221FB6F1">
            <w:pPr>
              <w:rPr>
                <w:rFonts w:hint="eastAsia" w:ascii="宋体" w:hAnsi="宋体" w:eastAsia="宋体" w:cs="宋体"/>
                <w:i w:val="0"/>
                <w:iCs w:val="0"/>
                <w:color w:val="000000"/>
                <w:sz w:val="18"/>
                <w:szCs w:val="18"/>
                <w:highlight w:val="none"/>
                <w:u w:val="none"/>
              </w:rPr>
            </w:pPr>
          </w:p>
          <w:p w14:paraId="0FE5F07C">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52C8B0A6">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67562224">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03E251A8">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324E1B21">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43FDB25D">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7EED279A">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424CA311">
            <w:pPr>
              <w:rPr>
                <w:rFonts w:hint="eastAsia" w:ascii="宋体" w:hAnsi="宋体" w:eastAsia="宋体" w:cs="宋体"/>
                <w:i w:val="0"/>
                <w:iCs w:val="0"/>
                <w:color w:val="000000"/>
                <w:sz w:val="18"/>
                <w:szCs w:val="18"/>
                <w:highlight w:val="none"/>
                <w:u w:val="none"/>
              </w:rPr>
            </w:pPr>
          </w:p>
        </w:tc>
      </w:tr>
      <w:tr w14:paraId="771AD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2176CC">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430E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BA777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7085A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51320023T000009499645-大型招聘会</w:t>
            </w:r>
          </w:p>
        </w:tc>
      </w:tr>
      <w:tr w14:paraId="71A05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52B8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02E66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40A01F8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A6C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79B19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07F1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F827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18F8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0A18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年度目标完成情况</w:t>
            </w:r>
          </w:p>
        </w:tc>
      </w:tr>
      <w:tr w14:paraId="352E1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0FC66">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027BB">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7FC6F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为充分发挥州级人力资源服务平台稳就业、保就业的作用，大力促进大中专毕业生和各类社会人才更高质量和更充分就业。</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5F369B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对照年度目标，圆满完成1场大型现场人才招聘会，4次直播带岗网络招聘活动。</w:t>
            </w:r>
          </w:p>
        </w:tc>
      </w:tr>
      <w:tr w14:paraId="73B69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C477C">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63F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DB1B2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9月17日在马尔康市民族团结广场成功举办“金秋送爽·人社送岗”——阿坝州“职引未来”2025年全国城市联合招聘高校毕业生秋季专场活动。提供包括主播、技术作业员、储备干部、城市经理、电工、医生、护士、经理、普工等在内的近2000余个就业岗位。共吸引1300余名求职者到场参与，投递简历数663份，现场达成就业意向236人，同步举办直播带岗活动。7月31日，举办毕业季网络招聘月直播带岗活动。8月26日，举办“乐业阿坝.人社送岗”直播带岗网络招聘活动。10月15日，成功举办了“职引未来 智汇天府”—阿坝州直播带岗网络招聘活动。共有199家企业走进直播间、共提供3660余个岗位，直播间吸引粉丝1.5万余人，全程通过“阿坝人才”微信视频号直播。</w:t>
            </w:r>
          </w:p>
        </w:tc>
      </w:tr>
      <w:tr w14:paraId="70693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FF2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D6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F1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87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2EF5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CC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19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32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DB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F389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AC34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87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2E8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8.66</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3D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8.45</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CDB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8.45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64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01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0A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AC7E2B">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49C7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3A84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A7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98F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77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8.45</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BF58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8.45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59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0AD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5C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214DF">
            <w:pPr>
              <w:rPr>
                <w:rFonts w:hint="eastAsia" w:ascii="黑体" w:hAnsi="黑体" w:eastAsia="黑体" w:cs="黑体"/>
                <w:i/>
                <w:iCs/>
                <w:color w:val="000000"/>
                <w:sz w:val="18"/>
                <w:szCs w:val="18"/>
                <w:highlight w:val="none"/>
                <w:u w:val="none"/>
              </w:rPr>
            </w:pPr>
          </w:p>
        </w:tc>
      </w:tr>
      <w:tr w14:paraId="03870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8EAE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A0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55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B0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606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C6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64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A2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6E96F">
            <w:pPr>
              <w:rPr>
                <w:rFonts w:hint="eastAsia" w:ascii="黑体" w:hAnsi="黑体" w:eastAsia="黑体" w:cs="黑体"/>
                <w:i/>
                <w:iCs/>
                <w:color w:val="000000"/>
                <w:sz w:val="18"/>
                <w:szCs w:val="18"/>
                <w:highlight w:val="none"/>
                <w:u w:val="none"/>
              </w:rPr>
            </w:pPr>
          </w:p>
        </w:tc>
      </w:tr>
      <w:tr w14:paraId="1FD57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5414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9D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38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04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C413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D9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D7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C5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7D9F4">
            <w:pPr>
              <w:rPr>
                <w:rFonts w:hint="eastAsia" w:ascii="黑体" w:hAnsi="黑体" w:eastAsia="黑体" w:cs="黑体"/>
                <w:i/>
                <w:iCs/>
                <w:color w:val="000000"/>
                <w:sz w:val="18"/>
                <w:szCs w:val="18"/>
                <w:highlight w:val="none"/>
                <w:u w:val="none"/>
              </w:rPr>
            </w:pPr>
          </w:p>
        </w:tc>
      </w:tr>
      <w:tr w14:paraId="1375A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5189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37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CB44">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7D1E">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3A14C9">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06AAD">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FB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C5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F6089">
            <w:pPr>
              <w:rPr>
                <w:rFonts w:hint="eastAsia" w:ascii="黑体" w:hAnsi="黑体" w:eastAsia="黑体" w:cs="黑体"/>
                <w:i/>
                <w:iCs/>
                <w:color w:val="000000"/>
                <w:sz w:val="18"/>
                <w:szCs w:val="18"/>
                <w:highlight w:val="none"/>
                <w:u w:val="none"/>
              </w:rPr>
            </w:pPr>
          </w:p>
        </w:tc>
      </w:tr>
      <w:tr w14:paraId="223E0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350B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A86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69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74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39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B3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BE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2A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E7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BB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B8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27A7E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4CA2A">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D74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1E9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7D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现场招聘会、“直播带岗”网络招聘活动次数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F2A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9AF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FD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2B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51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C16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1A24">
            <w:pPr>
              <w:jc w:val="center"/>
              <w:rPr>
                <w:rFonts w:hint="eastAsia" w:ascii="微软雅黑" w:hAnsi="微软雅黑" w:eastAsia="微软雅黑" w:cs="微软雅黑"/>
                <w:i/>
                <w:iCs/>
                <w:color w:val="000000"/>
                <w:sz w:val="16"/>
                <w:szCs w:val="16"/>
                <w:highlight w:val="none"/>
                <w:u w:val="none"/>
              </w:rPr>
            </w:pPr>
          </w:p>
        </w:tc>
      </w:tr>
      <w:tr w14:paraId="25C6A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1066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CE9F7">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E1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85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精准对接，提升人岗匹配率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E9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74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81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14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44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BD4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A619">
            <w:pPr>
              <w:jc w:val="center"/>
              <w:rPr>
                <w:rFonts w:hint="eastAsia" w:ascii="微软雅黑" w:hAnsi="微软雅黑" w:eastAsia="微软雅黑" w:cs="微软雅黑"/>
                <w:i/>
                <w:iCs/>
                <w:color w:val="000000"/>
                <w:sz w:val="16"/>
                <w:szCs w:val="16"/>
                <w:highlight w:val="none"/>
                <w:u w:val="none"/>
              </w:rPr>
            </w:pPr>
          </w:p>
        </w:tc>
      </w:tr>
      <w:tr w14:paraId="28CED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F5251">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A12A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1A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7A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10月底前项目完成率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02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F4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56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98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10月底前全部完成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7C3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319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06417">
            <w:pPr>
              <w:jc w:val="center"/>
              <w:rPr>
                <w:rFonts w:hint="eastAsia" w:ascii="微软雅黑" w:hAnsi="微软雅黑" w:eastAsia="微软雅黑" w:cs="微软雅黑"/>
                <w:i/>
                <w:iCs/>
                <w:color w:val="000000"/>
                <w:sz w:val="16"/>
                <w:szCs w:val="16"/>
                <w:highlight w:val="none"/>
                <w:u w:val="none"/>
              </w:rPr>
            </w:pPr>
          </w:p>
        </w:tc>
      </w:tr>
      <w:tr w14:paraId="49E72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83B2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ABE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F81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08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搭建供需平台，  为100家企业招聘需求人才</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E7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8C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10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户</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E4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270家</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D44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14B5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F2FE">
            <w:pPr>
              <w:jc w:val="center"/>
              <w:rPr>
                <w:rFonts w:hint="eastAsia" w:ascii="微软雅黑" w:hAnsi="微软雅黑" w:eastAsia="微软雅黑" w:cs="微软雅黑"/>
                <w:i/>
                <w:iCs/>
                <w:color w:val="000000"/>
                <w:sz w:val="16"/>
                <w:szCs w:val="16"/>
                <w:highlight w:val="none"/>
                <w:u w:val="none"/>
              </w:rPr>
            </w:pPr>
          </w:p>
        </w:tc>
      </w:tr>
      <w:tr w14:paraId="62180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53D7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AF192">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9CDD6">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2C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为2000名求职者提供就业服务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063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94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50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E8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线上线下共服务求职者2万余人次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9AE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3FB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208E">
            <w:pPr>
              <w:jc w:val="center"/>
              <w:rPr>
                <w:rFonts w:hint="eastAsia" w:ascii="微软雅黑" w:hAnsi="微软雅黑" w:eastAsia="微软雅黑" w:cs="微软雅黑"/>
                <w:i/>
                <w:iCs/>
                <w:color w:val="000000"/>
                <w:sz w:val="16"/>
                <w:szCs w:val="16"/>
                <w:highlight w:val="none"/>
                <w:u w:val="none"/>
              </w:rPr>
            </w:pPr>
          </w:p>
        </w:tc>
      </w:tr>
      <w:tr w14:paraId="4C704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3277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70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51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0B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参与招聘活动大中专毕业生满意率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23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74A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F1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43D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C0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3A9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D2A1">
            <w:pPr>
              <w:jc w:val="center"/>
              <w:rPr>
                <w:rFonts w:hint="eastAsia" w:ascii="微软雅黑" w:hAnsi="微软雅黑" w:eastAsia="微软雅黑" w:cs="微软雅黑"/>
                <w:i/>
                <w:iCs/>
                <w:color w:val="000000"/>
                <w:sz w:val="16"/>
                <w:szCs w:val="16"/>
                <w:highlight w:val="none"/>
                <w:u w:val="none"/>
              </w:rPr>
            </w:pPr>
          </w:p>
        </w:tc>
      </w:tr>
      <w:tr w14:paraId="71A0B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717E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79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D3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6C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委托业务费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32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CEE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8.45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96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35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8.45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9E1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7B5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9028">
            <w:pPr>
              <w:jc w:val="center"/>
              <w:rPr>
                <w:rFonts w:hint="eastAsia" w:ascii="微软雅黑" w:hAnsi="微软雅黑" w:eastAsia="微软雅黑" w:cs="微软雅黑"/>
                <w:i/>
                <w:iCs/>
                <w:color w:val="000000"/>
                <w:sz w:val="16"/>
                <w:szCs w:val="16"/>
                <w:highlight w:val="none"/>
                <w:u w:val="none"/>
              </w:rPr>
            </w:pPr>
          </w:p>
        </w:tc>
      </w:tr>
      <w:tr w14:paraId="0227E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E0D6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4A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2CD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A234">
            <w:pPr>
              <w:rPr>
                <w:rFonts w:hint="eastAsia" w:ascii="宋体" w:hAnsi="宋体" w:eastAsia="宋体" w:cs="宋体"/>
                <w:i w:val="0"/>
                <w:iCs w:val="0"/>
                <w:color w:val="000000"/>
                <w:sz w:val="18"/>
                <w:szCs w:val="18"/>
                <w:highlight w:val="none"/>
                <w:u w:val="none"/>
              </w:rPr>
            </w:pPr>
          </w:p>
        </w:tc>
      </w:tr>
      <w:tr w14:paraId="046C4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99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0B1224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结合我州实际，通过线上线下结合的招聘模式，切实缩短了求职者与用人单位的距离，面对面沟通交流渠道更加畅通，可供求职者选择的高质量岗位更加充足，“先就业、再择业，逐步实现更高质量就业”成效日益明显。通过搭建现场招聘和网络招聘平台，实实在在减小了供求双方的招（应）聘成本，进一步提高了人岗匹配度，提升了就业成功率，让全州广大求职者找到了心仪的工作，让用人单位招到了合适的人才。</w:t>
            </w:r>
          </w:p>
        </w:tc>
      </w:tr>
      <w:tr w14:paraId="33C2F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E3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9ECB0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3510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4E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26D6AB">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7CE8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FC44F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项目负责人：陶明娟</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99874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36598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70218F6D">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3ECE0CDA">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7A54276B">
            <w:pPr>
              <w:rPr>
                <w:rFonts w:hint="eastAsia" w:ascii="宋体" w:hAnsi="宋体" w:eastAsia="宋体" w:cs="宋体"/>
                <w:i w:val="0"/>
                <w:iCs w:val="0"/>
                <w:color w:val="000000"/>
                <w:sz w:val="18"/>
                <w:szCs w:val="18"/>
                <w:highlight w:val="none"/>
                <w:u w:val="none"/>
              </w:rPr>
            </w:pPr>
          </w:p>
          <w:p w14:paraId="3B74B9D6">
            <w:pPr>
              <w:rPr>
                <w:rFonts w:hint="eastAsia" w:ascii="宋体" w:hAnsi="宋体" w:eastAsia="宋体" w:cs="宋体"/>
                <w:i w:val="0"/>
                <w:iCs w:val="0"/>
                <w:color w:val="000000"/>
                <w:sz w:val="18"/>
                <w:szCs w:val="18"/>
                <w:highlight w:val="none"/>
                <w:u w:val="none"/>
              </w:rPr>
            </w:pPr>
          </w:p>
          <w:p w14:paraId="0459A12D">
            <w:pPr>
              <w:rPr>
                <w:rFonts w:hint="eastAsia" w:ascii="宋体" w:hAnsi="宋体" w:eastAsia="宋体" w:cs="宋体"/>
                <w:i w:val="0"/>
                <w:iCs w:val="0"/>
                <w:color w:val="000000"/>
                <w:sz w:val="18"/>
                <w:szCs w:val="18"/>
                <w:highlight w:val="none"/>
                <w:u w:val="none"/>
              </w:rPr>
            </w:pPr>
          </w:p>
          <w:p w14:paraId="6F43DCB3">
            <w:pPr>
              <w:rPr>
                <w:rFonts w:hint="eastAsia" w:ascii="宋体" w:hAnsi="宋体" w:eastAsia="宋体" w:cs="宋体"/>
                <w:i w:val="0"/>
                <w:iCs w:val="0"/>
                <w:color w:val="000000"/>
                <w:sz w:val="18"/>
                <w:szCs w:val="18"/>
                <w:highlight w:val="none"/>
                <w:u w:val="none"/>
              </w:rPr>
            </w:pPr>
          </w:p>
          <w:p w14:paraId="571234A7">
            <w:pPr>
              <w:rPr>
                <w:rFonts w:hint="eastAsia" w:ascii="宋体" w:hAnsi="宋体" w:eastAsia="宋体" w:cs="宋体"/>
                <w:i w:val="0"/>
                <w:iCs w:val="0"/>
                <w:color w:val="000000"/>
                <w:sz w:val="18"/>
                <w:szCs w:val="18"/>
                <w:highlight w:val="none"/>
                <w:u w:val="none"/>
              </w:rPr>
            </w:pPr>
          </w:p>
          <w:p w14:paraId="0DFE96AE">
            <w:pPr>
              <w:rPr>
                <w:rFonts w:hint="eastAsia" w:ascii="宋体" w:hAnsi="宋体" w:eastAsia="宋体" w:cs="宋体"/>
                <w:i w:val="0"/>
                <w:iCs w:val="0"/>
                <w:color w:val="000000"/>
                <w:sz w:val="18"/>
                <w:szCs w:val="18"/>
                <w:highlight w:val="none"/>
                <w:u w:val="none"/>
              </w:rPr>
            </w:pPr>
          </w:p>
          <w:p w14:paraId="1A8B8C71">
            <w:pPr>
              <w:rPr>
                <w:rFonts w:hint="eastAsia" w:ascii="宋体" w:hAnsi="宋体" w:eastAsia="宋体" w:cs="宋体"/>
                <w:i w:val="0"/>
                <w:iCs w:val="0"/>
                <w:color w:val="000000"/>
                <w:sz w:val="18"/>
                <w:szCs w:val="18"/>
                <w:highlight w:val="none"/>
                <w:u w:val="none"/>
              </w:rPr>
            </w:pPr>
          </w:p>
          <w:p w14:paraId="333378A0">
            <w:pPr>
              <w:rPr>
                <w:rFonts w:hint="eastAsia" w:ascii="宋体" w:hAnsi="宋体" w:eastAsia="宋体" w:cs="宋体"/>
                <w:i w:val="0"/>
                <w:iCs w:val="0"/>
                <w:color w:val="000000"/>
                <w:sz w:val="18"/>
                <w:szCs w:val="18"/>
                <w:highlight w:val="none"/>
                <w:u w:val="none"/>
              </w:rPr>
            </w:pPr>
          </w:p>
          <w:p w14:paraId="73C8B729">
            <w:pPr>
              <w:rPr>
                <w:rFonts w:hint="eastAsia" w:ascii="宋体" w:hAnsi="宋体" w:eastAsia="宋体" w:cs="宋体"/>
                <w:i w:val="0"/>
                <w:iCs w:val="0"/>
                <w:color w:val="000000"/>
                <w:sz w:val="18"/>
                <w:szCs w:val="18"/>
                <w:highlight w:val="none"/>
                <w:u w:val="none"/>
              </w:rPr>
            </w:pPr>
          </w:p>
          <w:p w14:paraId="60413E4B">
            <w:pPr>
              <w:rPr>
                <w:rFonts w:hint="eastAsia" w:ascii="宋体" w:hAnsi="宋体" w:eastAsia="宋体" w:cs="宋体"/>
                <w:i w:val="0"/>
                <w:iCs w:val="0"/>
                <w:color w:val="000000"/>
                <w:sz w:val="18"/>
                <w:szCs w:val="18"/>
                <w:highlight w:val="none"/>
                <w:u w:val="none"/>
              </w:rPr>
            </w:pPr>
          </w:p>
          <w:p w14:paraId="26BAA14C">
            <w:pPr>
              <w:rPr>
                <w:rFonts w:hint="eastAsia" w:ascii="宋体" w:hAnsi="宋体" w:eastAsia="宋体" w:cs="宋体"/>
                <w:i w:val="0"/>
                <w:iCs w:val="0"/>
                <w:color w:val="000000"/>
                <w:sz w:val="18"/>
                <w:szCs w:val="18"/>
                <w:highlight w:val="none"/>
                <w:u w:val="none"/>
              </w:rPr>
            </w:pPr>
          </w:p>
          <w:p w14:paraId="68117B96">
            <w:pPr>
              <w:rPr>
                <w:rFonts w:hint="eastAsia" w:ascii="宋体" w:hAnsi="宋体" w:eastAsia="宋体" w:cs="宋体"/>
                <w:i w:val="0"/>
                <w:iCs w:val="0"/>
                <w:color w:val="000000"/>
                <w:sz w:val="18"/>
                <w:szCs w:val="18"/>
                <w:highlight w:val="none"/>
                <w:u w:val="none"/>
              </w:rPr>
            </w:pPr>
          </w:p>
          <w:p w14:paraId="46C3B8D7">
            <w:pPr>
              <w:rPr>
                <w:rFonts w:hint="eastAsia" w:ascii="宋体" w:hAnsi="宋体" w:eastAsia="宋体" w:cs="宋体"/>
                <w:i w:val="0"/>
                <w:iCs w:val="0"/>
                <w:color w:val="000000"/>
                <w:sz w:val="18"/>
                <w:szCs w:val="18"/>
                <w:highlight w:val="none"/>
                <w:u w:val="none"/>
              </w:rPr>
            </w:pPr>
          </w:p>
          <w:p w14:paraId="06192794">
            <w:pPr>
              <w:rPr>
                <w:rFonts w:hint="eastAsia" w:ascii="宋体" w:hAnsi="宋体" w:eastAsia="宋体" w:cs="宋体"/>
                <w:i w:val="0"/>
                <w:iCs w:val="0"/>
                <w:color w:val="000000"/>
                <w:sz w:val="18"/>
                <w:szCs w:val="18"/>
                <w:highlight w:val="none"/>
                <w:u w:val="none"/>
              </w:rPr>
            </w:pPr>
          </w:p>
          <w:p w14:paraId="294A8C64">
            <w:pPr>
              <w:rPr>
                <w:rFonts w:hint="eastAsia" w:ascii="宋体" w:hAnsi="宋体" w:eastAsia="宋体" w:cs="宋体"/>
                <w:i w:val="0"/>
                <w:iCs w:val="0"/>
                <w:color w:val="000000"/>
                <w:sz w:val="18"/>
                <w:szCs w:val="18"/>
                <w:highlight w:val="none"/>
                <w:u w:val="none"/>
              </w:rPr>
            </w:pPr>
          </w:p>
          <w:p w14:paraId="277B1FCF">
            <w:pPr>
              <w:rPr>
                <w:rFonts w:hint="eastAsia" w:ascii="宋体" w:hAnsi="宋体" w:eastAsia="宋体" w:cs="宋体"/>
                <w:i w:val="0"/>
                <w:iCs w:val="0"/>
                <w:color w:val="000000"/>
                <w:sz w:val="18"/>
                <w:szCs w:val="18"/>
                <w:highlight w:val="none"/>
                <w:u w:val="none"/>
              </w:rPr>
            </w:pPr>
          </w:p>
          <w:p w14:paraId="4742A752">
            <w:pPr>
              <w:rPr>
                <w:rFonts w:hint="eastAsia" w:ascii="宋体" w:hAnsi="宋体" w:eastAsia="宋体" w:cs="宋体"/>
                <w:i w:val="0"/>
                <w:iCs w:val="0"/>
                <w:color w:val="000000"/>
                <w:sz w:val="18"/>
                <w:szCs w:val="18"/>
                <w:highlight w:val="none"/>
                <w:u w:val="none"/>
              </w:rPr>
            </w:pPr>
          </w:p>
          <w:p w14:paraId="699C6335">
            <w:pPr>
              <w:rPr>
                <w:rFonts w:hint="eastAsia" w:ascii="宋体" w:hAnsi="宋体" w:eastAsia="宋体" w:cs="宋体"/>
                <w:i w:val="0"/>
                <w:iCs w:val="0"/>
                <w:color w:val="000000"/>
                <w:sz w:val="18"/>
                <w:szCs w:val="18"/>
                <w:highlight w:val="none"/>
                <w:u w:val="none"/>
              </w:rPr>
            </w:pPr>
          </w:p>
          <w:p w14:paraId="41380C5A">
            <w:pPr>
              <w:rPr>
                <w:rFonts w:hint="eastAsia" w:ascii="宋体" w:hAnsi="宋体" w:eastAsia="宋体" w:cs="宋体"/>
                <w:i w:val="0"/>
                <w:iCs w:val="0"/>
                <w:color w:val="000000"/>
                <w:sz w:val="18"/>
                <w:szCs w:val="18"/>
                <w:highlight w:val="none"/>
                <w:u w:val="none"/>
              </w:rPr>
            </w:pPr>
          </w:p>
          <w:p w14:paraId="0E1ECDFF">
            <w:pPr>
              <w:rPr>
                <w:rFonts w:hint="eastAsia" w:ascii="宋体" w:hAnsi="宋体" w:eastAsia="宋体" w:cs="宋体"/>
                <w:i w:val="0"/>
                <w:iCs w:val="0"/>
                <w:color w:val="000000"/>
                <w:sz w:val="18"/>
                <w:szCs w:val="18"/>
                <w:highlight w:val="none"/>
                <w:u w:val="none"/>
              </w:rPr>
            </w:pPr>
          </w:p>
          <w:p w14:paraId="70E2FA69">
            <w:pPr>
              <w:rPr>
                <w:rFonts w:hint="eastAsia" w:ascii="宋体" w:hAnsi="宋体" w:eastAsia="宋体" w:cs="宋体"/>
                <w:i w:val="0"/>
                <w:iCs w:val="0"/>
                <w:color w:val="000000"/>
                <w:sz w:val="18"/>
                <w:szCs w:val="18"/>
                <w:highlight w:val="none"/>
                <w:u w:val="none"/>
              </w:rPr>
            </w:pPr>
          </w:p>
          <w:p w14:paraId="0A8266A2">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54F61A58">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12363338">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76EDD053">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43D7FC72">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5AE35974">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4CA955C7">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74E39D93">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3D673534">
            <w:pPr>
              <w:rPr>
                <w:rFonts w:hint="eastAsia" w:ascii="宋体" w:hAnsi="宋体" w:eastAsia="宋体" w:cs="宋体"/>
                <w:i w:val="0"/>
                <w:iCs w:val="0"/>
                <w:color w:val="000000"/>
                <w:sz w:val="18"/>
                <w:szCs w:val="18"/>
                <w:highlight w:val="none"/>
                <w:u w:val="none"/>
              </w:rPr>
            </w:pPr>
          </w:p>
        </w:tc>
      </w:tr>
      <w:tr w14:paraId="3C72E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BE636">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27F3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C373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71BEC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51320024T000010645656-视频会议系统维保经费</w:t>
            </w:r>
          </w:p>
        </w:tc>
      </w:tr>
      <w:tr w14:paraId="3441A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7F796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1F4AA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01B58A1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997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54A86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DFDE7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5432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633A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4CCA7A">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730E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C9594">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0E19E">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B5CB8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1.保障部-省-州-县（市）人社视频会议系统四级联通，正常、稳定运行。2.派出驻点服务人员1名。3.开展等级保护测评工作。4.开展阿坝州人力资源和社会保障视频会议系统发电机维护保养工作。</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B5043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40630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D97BC">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070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F47D7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1.保障部-省-州-县（市）人社视频会议系统四级联通，正常、稳定运行。2.派出驻点服务人员1名。3.开展等级保护测评工作。4.开展阿坝州人力资源和社会保障视频会议系统发电机维护保养工作。</w:t>
            </w:r>
          </w:p>
        </w:tc>
      </w:tr>
      <w:tr w14:paraId="1B958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196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D3A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46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D2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8313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BE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DF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E2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0B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41AC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7184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DCD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2E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3D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33.80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BD5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33.80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B2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D7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D7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AE724">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16E9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089E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B0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6C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149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33.80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FBF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33.80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6A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40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CD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6568F">
            <w:pPr>
              <w:rPr>
                <w:rFonts w:hint="eastAsia" w:ascii="黑体" w:hAnsi="黑体" w:eastAsia="黑体" w:cs="黑体"/>
                <w:i/>
                <w:iCs/>
                <w:color w:val="000000"/>
                <w:sz w:val="18"/>
                <w:szCs w:val="18"/>
                <w:highlight w:val="none"/>
                <w:u w:val="none"/>
              </w:rPr>
            </w:pPr>
          </w:p>
        </w:tc>
      </w:tr>
      <w:tr w14:paraId="3A69B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1418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74D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07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BF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DB0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44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E8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D6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227E3">
            <w:pPr>
              <w:rPr>
                <w:rFonts w:hint="eastAsia" w:ascii="黑体" w:hAnsi="黑体" w:eastAsia="黑体" w:cs="黑体"/>
                <w:i/>
                <w:iCs/>
                <w:color w:val="000000"/>
                <w:sz w:val="18"/>
                <w:szCs w:val="18"/>
                <w:highlight w:val="none"/>
                <w:u w:val="none"/>
              </w:rPr>
            </w:pPr>
          </w:p>
        </w:tc>
      </w:tr>
      <w:tr w14:paraId="0C946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8D63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F5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C3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67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D210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CC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D9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77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69E07">
            <w:pPr>
              <w:rPr>
                <w:rFonts w:hint="eastAsia" w:ascii="黑体" w:hAnsi="黑体" w:eastAsia="黑体" w:cs="黑体"/>
                <w:i/>
                <w:iCs/>
                <w:color w:val="000000"/>
                <w:sz w:val="18"/>
                <w:szCs w:val="18"/>
                <w:highlight w:val="none"/>
                <w:u w:val="none"/>
              </w:rPr>
            </w:pPr>
          </w:p>
        </w:tc>
      </w:tr>
      <w:tr w14:paraId="52B66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0B7A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7FE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9259">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9AAA">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019CE">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B18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8A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BB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4CA58">
            <w:pPr>
              <w:rPr>
                <w:rFonts w:hint="eastAsia" w:ascii="黑体" w:hAnsi="黑体" w:eastAsia="黑体" w:cs="黑体"/>
                <w:i/>
                <w:iCs/>
                <w:color w:val="000000"/>
                <w:sz w:val="18"/>
                <w:szCs w:val="18"/>
                <w:highlight w:val="none"/>
                <w:u w:val="none"/>
              </w:rPr>
            </w:pPr>
          </w:p>
        </w:tc>
      </w:tr>
      <w:tr w14:paraId="755D6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DE1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D4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357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1A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5A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28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AB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DB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A5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77D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7D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1DEF3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0B0D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0B1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33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80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视频会议系统维保项目批次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E4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E8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C17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C37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1批次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36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69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2420">
            <w:pPr>
              <w:jc w:val="center"/>
              <w:rPr>
                <w:rFonts w:hint="eastAsia" w:ascii="微软雅黑" w:hAnsi="微软雅黑" w:eastAsia="微软雅黑" w:cs="微软雅黑"/>
                <w:i/>
                <w:iCs/>
                <w:color w:val="000000"/>
                <w:sz w:val="16"/>
                <w:szCs w:val="16"/>
                <w:highlight w:val="none"/>
                <w:u w:val="none"/>
              </w:rPr>
            </w:pPr>
          </w:p>
        </w:tc>
      </w:tr>
      <w:tr w14:paraId="17FB2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C9F9A">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DEFA1">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9DB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BB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视频会议室维护保养率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81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4C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74E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458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F27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DBD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2D4A">
            <w:pPr>
              <w:jc w:val="center"/>
              <w:rPr>
                <w:rFonts w:hint="eastAsia" w:ascii="微软雅黑" w:hAnsi="微软雅黑" w:eastAsia="微软雅黑" w:cs="微软雅黑"/>
                <w:i/>
                <w:iCs/>
                <w:color w:val="000000"/>
                <w:sz w:val="16"/>
                <w:szCs w:val="16"/>
                <w:highlight w:val="none"/>
                <w:u w:val="none"/>
              </w:rPr>
            </w:pPr>
          </w:p>
        </w:tc>
      </w:tr>
      <w:tr w14:paraId="2FBAA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34009">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AB783">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F1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C3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该项目将于2025年11月底完成。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BE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4A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8F0D">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6EC7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及时完成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FA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870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FB2D1">
            <w:pPr>
              <w:jc w:val="center"/>
              <w:rPr>
                <w:rFonts w:hint="eastAsia" w:ascii="微软雅黑" w:hAnsi="微软雅黑" w:eastAsia="微软雅黑" w:cs="微软雅黑"/>
                <w:i/>
                <w:iCs/>
                <w:color w:val="000000"/>
                <w:sz w:val="16"/>
                <w:szCs w:val="16"/>
                <w:highlight w:val="none"/>
                <w:u w:val="none"/>
              </w:rPr>
            </w:pPr>
          </w:p>
        </w:tc>
      </w:tr>
      <w:tr w14:paraId="4D64E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449DA">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3FB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713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37F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保障参保群众权益</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0B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31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有效保障</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B009">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628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有效保障</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EB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2E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B4F2">
            <w:pPr>
              <w:jc w:val="center"/>
              <w:rPr>
                <w:rFonts w:hint="eastAsia" w:ascii="微软雅黑" w:hAnsi="微软雅黑" w:eastAsia="微软雅黑" w:cs="微软雅黑"/>
                <w:i/>
                <w:iCs/>
                <w:color w:val="000000"/>
                <w:sz w:val="16"/>
                <w:szCs w:val="16"/>
                <w:highlight w:val="none"/>
                <w:u w:val="none"/>
              </w:rPr>
            </w:pPr>
          </w:p>
        </w:tc>
      </w:tr>
      <w:tr w14:paraId="00A09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0C10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88964">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C7286">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8B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确保数据安全、网络安全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44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94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维护数据安全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56CBD">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24EC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维护数据安全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F6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DB3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FA95">
            <w:pPr>
              <w:jc w:val="center"/>
              <w:rPr>
                <w:rFonts w:hint="eastAsia" w:ascii="微软雅黑" w:hAnsi="微软雅黑" w:eastAsia="微软雅黑" w:cs="微软雅黑"/>
                <w:i/>
                <w:iCs/>
                <w:color w:val="000000"/>
                <w:sz w:val="16"/>
                <w:szCs w:val="16"/>
                <w:highlight w:val="none"/>
                <w:u w:val="none"/>
              </w:rPr>
            </w:pPr>
          </w:p>
        </w:tc>
      </w:tr>
      <w:tr w14:paraId="5175C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E870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D3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A1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32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社会公众对相关工作的满意度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69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7C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BD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D9B3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D5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F7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C445">
            <w:pPr>
              <w:jc w:val="center"/>
              <w:rPr>
                <w:rFonts w:hint="eastAsia" w:ascii="微软雅黑" w:hAnsi="微软雅黑" w:eastAsia="微软雅黑" w:cs="微软雅黑"/>
                <w:i/>
                <w:iCs/>
                <w:color w:val="000000"/>
                <w:sz w:val="16"/>
                <w:szCs w:val="16"/>
                <w:highlight w:val="none"/>
                <w:u w:val="none"/>
              </w:rPr>
            </w:pPr>
          </w:p>
        </w:tc>
      </w:tr>
      <w:tr w14:paraId="5B460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3E9D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FC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18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5E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视频会议系统维保项目</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7D5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4B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08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7A77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33.8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135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2C9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0324">
            <w:pPr>
              <w:jc w:val="center"/>
              <w:rPr>
                <w:rFonts w:hint="eastAsia" w:ascii="微软雅黑" w:hAnsi="微软雅黑" w:eastAsia="微软雅黑" w:cs="微软雅黑"/>
                <w:i/>
                <w:iCs/>
                <w:color w:val="000000"/>
                <w:sz w:val="16"/>
                <w:szCs w:val="16"/>
                <w:highlight w:val="none"/>
                <w:u w:val="none"/>
              </w:rPr>
            </w:pPr>
          </w:p>
        </w:tc>
      </w:tr>
      <w:tr w14:paraId="4950E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4990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37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8769">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4D31D">
            <w:pPr>
              <w:rPr>
                <w:rFonts w:hint="eastAsia" w:ascii="宋体" w:hAnsi="宋体" w:eastAsia="宋体" w:cs="宋体"/>
                <w:i w:val="0"/>
                <w:iCs w:val="0"/>
                <w:color w:val="000000"/>
                <w:sz w:val="18"/>
                <w:szCs w:val="18"/>
                <w:highlight w:val="none"/>
                <w:u w:val="none"/>
              </w:rPr>
            </w:pPr>
          </w:p>
        </w:tc>
      </w:tr>
      <w:tr w14:paraId="4C642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468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F6C7F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完成良好</w:t>
            </w:r>
          </w:p>
        </w:tc>
      </w:tr>
      <w:tr w14:paraId="46004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51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99D204">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33902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95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11EF9A">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5692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4CAA5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项目负责人：瞿飞</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4F8BA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2782E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5DB68045">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72257C91">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1DD0817A">
            <w:pPr>
              <w:rPr>
                <w:rFonts w:hint="eastAsia" w:ascii="宋体" w:hAnsi="宋体" w:eastAsia="宋体" w:cs="宋体"/>
                <w:i w:val="0"/>
                <w:iCs w:val="0"/>
                <w:color w:val="000000"/>
                <w:sz w:val="18"/>
                <w:szCs w:val="18"/>
                <w:highlight w:val="none"/>
                <w:u w:val="none"/>
              </w:rPr>
            </w:pPr>
          </w:p>
          <w:p w14:paraId="07E86E7D">
            <w:pPr>
              <w:rPr>
                <w:rFonts w:hint="eastAsia" w:ascii="宋体" w:hAnsi="宋体" w:eastAsia="宋体" w:cs="宋体"/>
                <w:i w:val="0"/>
                <w:iCs w:val="0"/>
                <w:color w:val="000000"/>
                <w:sz w:val="18"/>
                <w:szCs w:val="18"/>
                <w:highlight w:val="none"/>
                <w:u w:val="none"/>
              </w:rPr>
            </w:pPr>
          </w:p>
          <w:p w14:paraId="0951AB10">
            <w:pPr>
              <w:rPr>
                <w:rFonts w:hint="eastAsia" w:ascii="宋体" w:hAnsi="宋体" w:eastAsia="宋体" w:cs="宋体"/>
                <w:i w:val="0"/>
                <w:iCs w:val="0"/>
                <w:color w:val="000000"/>
                <w:sz w:val="18"/>
                <w:szCs w:val="18"/>
                <w:highlight w:val="none"/>
                <w:u w:val="none"/>
              </w:rPr>
            </w:pPr>
          </w:p>
          <w:p w14:paraId="60265015">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737BBB81">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0B54BB77">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2DE491DB">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43E69691">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31B11C4B">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237DB8A4">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7E9B5A55">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5C53227E">
            <w:pPr>
              <w:rPr>
                <w:rFonts w:hint="eastAsia" w:ascii="宋体" w:hAnsi="宋体" w:eastAsia="宋体" w:cs="宋体"/>
                <w:i w:val="0"/>
                <w:iCs w:val="0"/>
                <w:color w:val="000000"/>
                <w:sz w:val="18"/>
                <w:szCs w:val="18"/>
                <w:highlight w:val="none"/>
                <w:u w:val="none"/>
              </w:rPr>
            </w:pPr>
          </w:p>
        </w:tc>
      </w:tr>
      <w:tr w14:paraId="735AE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DBBD431">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49D8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64EA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C15E9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51320024T000010663262-购置各类证书经费</w:t>
            </w:r>
          </w:p>
        </w:tc>
      </w:tr>
      <w:tr w14:paraId="233B4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A178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E27A0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7EFC869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72E6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2BF3C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5B0F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631F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3301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2FAAEC">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13A67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CB988">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5F2B2">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05EA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Style w:val="37"/>
                <w:highlight w:val="none"/>
                <w:lang w:val="en-US" w:eastAsia="zh-CN" w:bidi="ar"/>
              </w:rPr>
              <w:t xml:space="preserve">能建科：技能培训是由技能培训机构开展的，劳动者通过技能考核，可以获得国家认可的技能证书，目的增强劳动者市场就业竞争力     。                                          </w:t>
            </w:r>
            <w:r>
              <w:rPr>
                <w:rStyle w:val="38"/>
                <w:rFonts w:eastAsia="宋体"/>
                <w:highlight w:val="none"/>
                <w:lang w:val="en-US" w:eastAsia="zh-CN" w:bidi="ar"/>
              </w:rPr>
              <w:t xml:space="preserve">       </w:t>
            </w:r>
            <w:r>
              <w:rPr>
                <w:rStyle w:val="37"/>
                <w:highlight w:val="none"/>
                <w:lang w:val="en-US" w:eastAsia="zh-CN" w:bidi="ar"/>
              </w:rPr>
              <w:br w:type="textWrapping"/>
            </w:r>
            <w:r>
              <w:rPr>
                <w:rStyle w:val="37"/>
                <w:highlight w:val="none"/>
                <w:lang w:val="en-US" w:eastAsia="zh-CN" w:bidi="ar"/>
              </w:rPr>
              <w:t>事管科：为事业单位工作人员和机关工勤人员记功奖励获得者购买证书及奖章。</w:t>
            </w:r>
            <w:r>
              <w:rPr>
                <w:rStyle w:val="38"/>
                <w:rFonts w:eastAsia="宋体"/>
                <w:highlight w:val="none"/>
                <w:lang w:val="en-US" w:eastAsia="zh-CN" w:bidi="ar"/>
              </w:rPr>
              <w:t xml:space="preserve"> </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B6BDF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因招投标过程中，投标不满足有效投标单位不少于3家的要求 ，导致项目招标流标,故26年进行购买。</w:t>
            </w:r>
          </w:p>
        </w:tc>
      </w:tr>
      <w:tr w14:paraId="3A3BF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3A68D">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3F8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C76BC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职业技能培训合格证书、等级证书；机关事业单位技术工人技术等级资格证书和技师资格证书；2025年事业单位工作人员及机关工勤人员记功证书及奖章等各类证书购置</w:t>
            </w:r>
          </w:p>
        </w:tc>
      </w:tr>
      <w:tr w14:paraId="39EB6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471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AB6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23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03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C35B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67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5CE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CE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4E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5187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BEED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D5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9D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34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0.26</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DB16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0.26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D9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24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BB1A">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7C64A">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3356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56E3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D1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FE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FB6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0.26</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D1EB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0.26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CF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CC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7E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FDE73">
            <w:pPr>
              <w:rPr>
                <w:rFonts w:hint="eastAsia" w:ascii="黑体" w:hAnsi="黑体" w:eastAsia="黑体" w:cs="黑体"/>
                <w:i/>
                <w:iCs/>
                <w:color w:val="000000"/>
                <w:sz w:val="18"/>
                <w:szCs w:val="18"/>
                <w:highlight w:val="none"/>
                <w:u w:val="none"/>
              </w:rPr>
            </w:pPr>
          </w:p>
        </w:tc>
      </w:tr>
      <w:tr w14:paraId="78CEC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CA10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25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6D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7F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8F41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EE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9DA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D7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64E7A">
            <w:pPr>
              <w:rPr>
                <w:rFonts w:hint="eastAsia" w:ascii="黑体" w:hAnsi="黑体" w:eastAsia="黑体" w:cs="黑体"/>
                <w:i/>
                <w:iCs/>
                <w:color w:val="000000"/>
                <w:sz w:val="18"/>
                <w:szCs w:val="18"/>
                <w:highlight w:val="none"/>
                <w:u w:val="none"/>
              </w:rPr>
            </w:pPr>
          </w:p>
        </w:tc>
      </w:tr>
      <w:tr w14:paraId="249CF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1E83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A5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F7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CC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671A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26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5DE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256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0F402">
            <w:pPr>
              <w:rPr>
                <w:rFonts w:hint="eastAsia" w:ascii="黑体" w:hAnsi="黑体" w:eastAsia="黑体" w:cs="黑体"/>
                <w:i/>
                <w:iCs/>
                <w:color w:val="000000"/>
                <w:sz w:val="18"/>
                <w:szCs w:val="18"/>
                <w:highlight w:val="none"/>
                <w:u w:val="none"/>
              </w:rPr>
            </w:pPr>
          </w:p>
        </w:tc>
      </w:tr>
      <w:tr w14:paraId="44895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D20F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59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9321">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E37B">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1FC38">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FA74">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57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6F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96E1D">
            <w:pPr>
              <w:rPr>
                <w:rFonts w:hint="eastAsia" w:ascii="黑体" w:hAnsi="黑体" w:eastAsia="黑体" w:cs="黑体"/>
                <w:i/>
                <w:iCs/>
                <w:color w:val="000000"/>
                <w:sz w:val="18"/>
                <w:szCs w:val="18"/>
                <w:highlight w:val="none"/>
                <w:u w:val="none"/>
              </w:rPr>
            </w:pPr>
          </w:p>
        </w:tc>
      </w:tr>
      <w:tr w14:paraId="12120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F3E1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DB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180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EAF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0D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1A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08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362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9C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6A6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107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12670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D542E">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236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B1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4E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各类证书及奖章采购数量</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20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05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4C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本</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6B72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未计划完成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66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A7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2BDA">
            <w:pPr>
              <w:jc w:val="center"/>
              <w:rPr>
                <w:rFonts w:hint="eastAsia" w:ascii="微软雅黑" w:hAnsi="微软雅黑" w:eastAsia="微软雅黑" w:cs="微软雅黑"/>
                <w:i/>
                <w:iCs/>
                <w:color w:val="000000"/>
                <w:sz w:val="16"/>
                <w:szCs w:val="16"/>
                <w:highlight w:val="none"/>
                <w:u w:val="none"/>
              </w:rPr>
            </w:pPr>
          </w:p>
        </w:tc>
      </w:tr>
      <w:tr w14:paraId="4CF02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ED9B5">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4BC95">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62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A1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证书质量合格率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2B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08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C23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671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756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94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D105">
            <w:pPr>
              <w:jc w:val="center"/>
              <w:rPr>
                <w:rFonts w:hint="eastAsia" w:ascii="微软雅黑" w:hAnsi="微软雅黑" w:eastAsia="微软雅黑" w:cs="微软雅黑"/>
                <w:i/>
                <w:iCs/>
                <w:color w:val="000000"/>
                <w:sz w:val="16"/>
                <w:szCs w:val="16"/>
                <w:highlight w:val="none"/>
                <w:u w:val="none"/>
              </w:rPr>
            </w:pPr>
          </w:p>
        </w:tc>
      </w:tr>
      <w:tr w14:paraId="231BC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B4342">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14EDB">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964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DA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项目完成时间</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02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8C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按计划完成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DB62">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D95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未计划完成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E2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52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1EA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因当时年底招标项目，项目流标，财政局关平台，未时间进行再招标</w:t>
            </w:r>
          </w:p>
        </w:tc>
      </w:tr>
      <w:tr w14:paraId="4F3C2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473D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F6E7C">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62C7A">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AA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证书及奖章发放及时率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1C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AE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7E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5459">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30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F9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C954">
            <w:pPr>
              <w:jc w:val="center"/>
              <w:rPr>
                <w:rFonts w:hint="eastAsia" w:ascii="微软雅黑" w:hAnsi="微软雅黑" w:eastAsia="微软雅黑" w:cs="微软雅黑"/>
                <w:i/>
                <w:iCs/>
                <w:color w:val="000000"/>
                <w:sz w:val="16"/>
                <w:szCs w:val="16"/>
                <w:highlight w:val="none"/>
                <w:u w:val="none"/>
              </w:rPr>
            </w:pPr>
          </w:p>
        </w:tc>
      </w:tr>
      <w:tr w14:paraId="74B43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E6A9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34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F91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AC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提升劳动者就业竞争力</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A3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914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有效提升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490C">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C0C7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有效提升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91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25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1ADE">
            <w:pPr>
              <w:jc w:val="center"/>
              <w:rPr>
                <w:rFonts w:hint="eastAsia" w:ascii="微软雅黑" w:hAnsi="微软雅黑" w:eastAsia="微软雅黑" w:cs="微软雅黑"/>
                <w:i/>
                <w:iCs/>
                <w:color w:val="000000"/>
                <w:sz w:val="16"/>
                <w:szCs w:val="16"/>
                <w:highlight w:val="none"/>
                <w:u w:val="none"/>
              </w:rPr>
            </w:pPr>
          </w:p>
        </w:tc>
      </w:tr>
      <w:tr w14:paraId="0D727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3A4C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0F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C6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185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获得证书人员满意度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30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56A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AC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587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05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07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0D6C">
            <w:pPr>
              <w:jc w:val="center"/>
              <w:rPr>
                <w:rFonts w:hint="eastAsia" w:ascii="微软雅黑" w:hAnsi="微软雅黑" w:eastAsia="微软雅黑" w:cs="微软雅黑"/>
                <w:i/>
                <w:iCs/>
                <w:color w:val="000000"/>
                <w:sz w:val="16"/>
                <w:szCs w:val="16"/>
                <w:highlight w:val="none"/>
                <w:u w:val="none"/>
              </w:rPr>
            </w:pPr>
          </w:p>
        </w:tc>
      </w:tr>
      <w:tr w14:paraId="1E10B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3AC9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A9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6F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3AD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项目总费用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007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808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99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5941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0.26万元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EE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67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EBD49">
            <w:pPr>
              <w:jc w:val="center"/>
              <w:rPr>
                <w:rFonts w:hint="eastAsia" w:ascii="微软雅黑" w:hAnsi="微软雅黑" w:eastAsia="微软雅黑" w:cs="微软雅黑"/>
                <w:i/>
                <w:iCs/>
                <w:color w:val="000000"/>
                <w:sz w:val="16"/>
                <w:szCs w:val="16"/>
                <w:highlight w:val="none"/>
                <w:u w:val="none"/>
              </w:rPr>
            </w:pPr>
          </w:p>
        </w:tc>
      </w:tr>
      <w:tr w14:paraId="6F20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C40F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56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023D">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0EE4">
            <w:pPr>
              <w:rPr>
                <w:rFonts w:hint="eastAsia" w:ascii="宋体" w:hAnsi="宋体" w:eastAsia="宋体" w:cs="宋体"/>
                <w:i w:val="0"/>
                <w:iCs w:val="0"/>
                <w:color w:val="000000"/>
                <w:sz w:val="18"/>
                <w:szCs w:val="18"/>
                <w:highlight w:val="none"/>
                <w:u w:val="none"/>
              </w:rPr>
            </w:pPr>
          </w:p>
        </w:tc>
      </w:tr>
      <w:tr w14:paraId="3DEE2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6A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1FC7A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结合自评情况，说明项目自评总分，说明项目实施取得的成效或成果。（200字以内）</w:t>
            </w:r>
          </w:p>
        </w:tc>
      </w:tr>
      <w:tr w14:paraId="28C03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45E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1EBFE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结合自评情况，分析存在的问题及原因。（200字以内）</w:t>
            </w:r>
          </w:p>
        </w:tc>
      </w:tr>
      <w:tr w14:paraId="48D4F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893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EEE23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针对项目自评中发现的问题，提出下一步改进完善的意见及有关政策性建议。（200字以内）</w:t>
            </w:r>
          </w:p>
        </w:tc>
      </w:tr>
      <w:tr w14:paraId="766E6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8AC35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B60D0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20CAD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59404E6F">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28418807">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23CC6D45">
            <w:pPr>
              <w:rPr>
                <w:rFonts w:hint="eastAsia" w:ascii="宋体" w:hAnsi="宋体" w:eastAsia="宋体" w:cs="宋体"/>
                <w:i w:val="0"/>
                <w:iCs w:val="0"/>
                <w:color w:val="000000"/>
                <w:sz w:val="18"/>
                <w:szCs w:val="18"/>
                <w:highlight w:val="none"/>
                <w:u w:val="none"/>
              </w:rPr>
            </w:pPr>
          </w:p>
          <w:p w14:paraId="21EEC2AE">
            <w:pPr>
              <w:rPr>
                <w:rFonts w:hint="eastAsia" w:ascii="宋体" w:hAnsi="宋体" w:eastAsia="宋体" w:cs="宋体"/>
                <w:i w:val="0"/>
                <w:iCs w:val="0"/>
                <w:color w:val="000000"/>
                <w:sz w:val="18"/>
                <w:szCs w:val="18"/>
                <w:highlight w:val="none"/>
                <w:u w:val="none"/>
              </w:rPr>
            </w:pPr>
          </w:p>
          <w:p w14:paraId="1B0F0227">
            <w:pPr>
              <w:rPr>
                <w:rFonts w:hint="eastAsia" w:ascii="宋体" w:hAnsi="宋体" w:eastAsia="宋体" w:cs="宋体"/>
                <w:i w:val="0"/>
                <w:iCs w:val="0"/>
                <w:color w:val="000000"/>
                <w:sz w:val="18"/>
                <w:szCs w:val="18"/>
                <w:highlight w:val="none"/>
                <w:u w:val="none"/>
              </w:rPr>
            </w:pPr>
          </w:p>
          <w:p w14:paraId="6698C379">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74ADD817">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79CEF96B">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11A96FD4">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58B23A4A">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3A943386">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725A3291">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710F9D72">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5ABF7DBF">
            <w:pPr>
              <w:rPr>
                <w:rFonts w:hint="eastAsia" w:ascii="宋体" w:hAnsi="宋体" w:eastAsia="宋体" w:cs="宋体"/>
                <w:i w:val="0"/>
                <w:iCs w:val="0"/>
                <w:color w:val="000000"/>
                <w:sz w:val="18"/>
                <w:szCs w:val="18"/>
                <w:highlight w:val="none"/>
                <w:u w:val="none"/>
              </w:rPr>
            </w:pPr>
          </w:p>
        </w:tc>
      </w:tr>
      <w:tr w14:paraId="06A25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EF814F">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7C7D5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3D3B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6CF38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51320024T000010663916-流动人员档案管理</w:t>
            </w:r>
          </w:p>
        </w:tc>
      </w:tr>
      <w:tr w14:paraId="7FEAF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4CE7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10888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2F7D08B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315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208DF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F414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A013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9A2E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8B3EA7">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422AD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89D75">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530D5">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C81D8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年度流动人员人事档案数字化购买服务、公共服务人员能力培训、托管档案人员就业岗位供需对接信息化建设、人力资源招聘对接活动。通过档案数字化和信息化建设，提高档案管理效率，促进高校毕业生就业。</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　</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8351D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对照年度目标，说明相关任务目标的完成情况（100字以内）</w:t>
            </w:r>
          </w:p>
        </w:tc>
      </w:tr>
      <w:tr w14:paraId="1300C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C1797">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680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B65C1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2025年度流动人员人事档案数字化及错投档案转递购买服务项目。经费预算5.3万元，主要通过购买服务方式对流动人员人事档案进行接收、录入、分类、整理、扫描、导入、转递、经办等相关工作等。拟严格按局内控制度方式进行采购。</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（二）2025年度人力资源招聘对接活动。经费预算0.5万元，主要用于人力资源市场供需对接招聘活动，宣传、广告、资料印制等所需相关经费等。拟严格按局内控制度方式进行采购。</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三）2025年度公共服务人员能力提升培训。经费预算3.0万元，主要用于州本级及各县（市）流动人员人事档案经办人员提升能力培训、选派人员跟班学习业务提升、人力资源管理从业人员培训、职业指导提升能力培训、档案专技人员继续教育培训等。拟严格按局内控制度方式进行采购。</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四）托管档案人员就业岗位供需对接信息化建设。经费预算0.7万元，主要用于托管档案人员就业岗位供需对接信息化建设（用于购买网络信息服务、微信公众号平台年检审等搭建服务平台、公众号网络运维软件服务等）。拟按局内控制度和实际需求据实报销。</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（五）四川省行业协会会费。经费预算0.5万元，主要用于四川省行业协会收取会费。拟按实际需求据实报销。</w:t>
            </w:r>
          </w:p>
        </w:tc>
      </w:tr>
      <w:tr w14:paraId="7ABCB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93D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691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CC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97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766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BE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E5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8FA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4F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5600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11FA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F8C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D3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28A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0BE0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D5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923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7022">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BF95B">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FCE3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DB33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76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DB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C9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6D00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42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CA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04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5AFED">
            <w:pPr>
              <w:rPr>
                <w:rFonts w:hint="eastAsia" w:ascii="黑体" w:hAnsi="黑体" w:eastAsia="黑体" w:cs="黑体"/>
                <w:i/>
                <w:iCs/>
                <w:color w:val="000000"/>
                <w:sz w:val="18"/>
                <w:szCs w:val="18"/>
                <w:highlight w:val="none"/>
                <w:u w:val="none"/>
              </w:rPr>
            </w:pPr>
          </w:p>
        </w:tc>
      </w:tr>
      <w:tr w14:paraId="757C9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6E21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7D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37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D19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E2B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72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B9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73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3F691">
            <w:pPr>
              <w:rPr>
                <w:rFonts w:hint="eastAsia" w:ascii="黑体" w:hAnsi="黑体" w:eastAsia="黑体" w:cs="黑体"/>
                <w:i/>
                <w:iCs/>
                <w:color w:val="000000"/>
                <w:sz w:val="18"/>
                <w:szCs w:val="18"/>
                <w:highlight w:val="none"/>
                <w:u w:val="none"/>
              </w:rPr>
            </w:pPr>
          </w:p>
        </w:tc>
      </w:tr>
      <w:tr w14:paraId="0FBAD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9948E">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DB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AA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C0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C47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89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6C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63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D03D6">
            <w:pPr>
              <w:rPr>
                <w:rFonts w:hint="eastAsia" w:ascii="黑体" w:hAnsi="黑体" w:eastAsia="黑体" w:cs="黑体"/>
                <w:i/>
                <w:iCs/>
                <w:color w:val="000000"/>
                <w:sz w:val="18"/>
                <w:szCs w:val="18"/>
                <w:highlight w:val="none"/>
                <w:u w:val="none"/>
              </w:rPr>
            </w:pPr>
          </w:p>
        </w:tc>
      </w:tr>
      <w:tr w14:paraId="7CA44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BED1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08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856B">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092D">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25B86">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1767">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97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702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1461E">
            <w:pPr>
              <w:rPr>
                <w:rFonts w:hint="eastAsia" w:ascii="黑体" w:hAnsi="黑体" w:eastAsia="黑体" w:cs="黑体"/>
                <w:i/>
                <w:iCs/>
                <w:color w:val="000000"/>
                <w:sz w:val="18"/>
                <w:szCs w:val="18"/>
                <w:highlight w:val="none"/>
                <w:u w:val="none"/>
              </w:rPr>
            </w:pPr>
          </w:p>
        </w:tc>
      </w:tr>
      <w:tr w14:paraId="0235A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2FBA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A7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3B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58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834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BDA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123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613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7C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F8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C1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05FB5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4E211">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A133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3EE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F0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流动人员人事档案数字化服务采购次数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88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EE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45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9AD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436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B5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3849">
            <w:pPr>
              <w:jc w:val="center"/>
              <w:rPr>
                <w:rFonts w:hint="eastAsia" w:ascii="微软雅黑" w:hAnsi="微软雅黑" w:eastAsia="微软雅黑" w:cs="微软雅黑"/>
                <w:i/>
                <w:iCs/>
                <w:color w:val="000000"/>
                <w:sz w:val="16"/>
                <w:szCs w:val="16"/>
                <w:highlight w:val="none"/>
                <w:u w:val="none"/>
              </w:rPr>
            </w:pPr>
          </w:p>
        </w:tc>
      </w:tr>
      <w:tr w14:paraId="2265E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7AEE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34634">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EFBF0">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3E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培训场次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54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F5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2B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C36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64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8B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CD78">
            <w:pPr>
              <w:jc w:val="center"/>
              <w:rPr>
                <w:rFonts w:hint="eastAsia" w:ascii="微软雅黑" w:hAnsi="微软雅黑" w:eastAsia="微软雅黑" w:cs="微软雅黑"/>
                <w:i/>
                <w:iCs/>
                <w:color w:val="000000"/>
                <w:sz w:val="16"/>
                <w:szCs w:val="16"/>
                <w:highlight w:val="none"/>
                <w:u w:val="none"/>
              </w:rPr>
            </w:pPr>
          </w:p>
        </w:tc>
      </w:tr>
      <w:tr w14:paraId="46C2B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7227C">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44C27">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EF662">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903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招聘对接活动场次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30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30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E4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A0F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58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1B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798F">
            <w:pPr>
              <w:jc w:val="center"/>
              <w:rPr>
                <w:rFonts w:hint="eastAsia" w:ascii="微软雅黑" w:hAnsi="微软雅黑" w:eastAsia="微软雅黑" w:cs="微软雅黑"/>
                <w:i/>
                <w:iCs/>
                <w:color w:val="000000"/>
                <w:sz w:val="16"/>
                <w:szCs w:val="16"/>
                <w:highlight w:val="none"/>
                <w:u w:val="none"/>
              </w:rPr>
            </w:pPr>
          </w:p>
        </w:tc>
      </w:tr>
      <w:tr w14:paraId="0327D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89DAA">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B0971">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CDE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E9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档案数字化整理率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8BD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FE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82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BFD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整理档案135201页，错投档案349份。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B9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C8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6DDB">
            <w:pPr>
              <w:jc w:val="center"/>
              <w:rPr>
                <w:rFonts w:hint="eastAsia" w:ascii="微软雅黑" w:hAnsi="微软雅黑" w:eastAsia="微软雅黑" w:cs="微软雅黑"/>
                <w:i/>
                <w:iCs/>
                <w:color w:val="000000"/>
                <w:sz w:val="16"/>
                <w:szCs w:val="16"/>
                <w:highlight w:val="none"/>
                <w:u w:val="none"/>
              </w:rPr>
            </w:pPr>
          </w:p>
        </w:tc>
      </w:tr>
      <w:tr w14:paraId="72568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DF65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ADAB4">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EE66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84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信息系统建设完成率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0AF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80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25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100D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11月底之前全部完成整理</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2A0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1A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FBA7">
            <w:pPr>
              <w:jc w:val="center"/>
              <w:rPr>
                <w:rFonts w:hint="eastAsia" w:ascii="微软雅黑" w:hAnsi="微软雅黑" w:eastAsia="微软雅黑" w:cs="微软雅黑"/>
                <w:i/>
                <w:iCs/>
                <w:color w:val="000000"/>
                <w:sz w:val="16"/>
                <w:szCs w:val="16"/>
                <w:highlight w:val="none"/>
                <w:u w:val="none"/>
              </w:rPr>
            </w:pPr>
          </w:p>
        </w:tc>
      </w:tr>
      <w:tr w14:paraId="16D9F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10FC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39107">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BCD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43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项目按时完工率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291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30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752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9DA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11月底之前全部完成整理</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3C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B5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6681">
            <w:pPr>
              <w:jc w:val="center"/>
              <w:rPr>
                <w:rFonts w:hint="eastAsia" w:ascii="微软雅黑" w:hAnsi="微软雅黑" w:eastAsia="微软雅黑" w:cs="微软雅黑"/>
                <w:i/>
                <w:iCs/>
                <w:color w:val="000000"/>
                <w:sz w:val="16"/>
                <w:szCs w:val="16"/>
                <w:highlight w:val="none"/>
                <w:u w:val="none"/>
              </w:rPr>
            </w:pPr>
          </w:p>
        </w:tc>
      </w:tr>
      <w:tr w14:paraId="5FA07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A7B82">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FB1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BD37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87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档案数字化整理让高校毕业生办理档案转接方便</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8B4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40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效果显著</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4C95">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DAE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让高校毕业生更方便转接档案</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CCF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94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2AE0">
            <w:pPr>
              <w:jc w:val="center"/>
              <w:rPr>
                <w:rFonts w:hint="eastAsia" w:ascii="微软雅黑" w:hAnsi="微软雅黑" w:eastAsia="微软雅黑" w:cs="微软雅黑"/>
                <w:i/>
                <w:iCs/>
                <w:color w:val="000000"/>
                <w:sz w:val="16"/>
                <w:szCs w:val="16"/>
                <w:highlight w:val="none"/>
                <w:u w:val="none"/>
              </w:rPr>
            </w:pPr>
          </w:p>
        </w:tc>
      </w:tr>
      <w:tr w14:paraId="6F603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9753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01B6E">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61A4C">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AB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提升高校毕业生办理档案转接效率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1B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AA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245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B40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档案办结率高校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9A2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84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5921">
            <w:pPr>
              <w:jc w:val="center"/>
              <w:rPr>
                <w:rFonts w:hint="eastAsia" w:ascii="微软雅黑" w:hAnsi="微软雅黑" w:eastAsia="微软雅黑" w:cs="微软雅黑"/>
                <w:i/>
                <w:iCs/>
                <w:color w:val="000000"/>
                <w:sz w:val="16"/>
                <w:szCs w:val="16"/>
                <w:highlight w:val="none"/>
                <w:u w:val="none"/>
              </w:rPr>
            </w:pPr>
          </w:p>
        </w:tc>
      </w:tr>
      <w:tr w14:paraId="54601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9B79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1D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51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AD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离校高校毕业生满意度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FA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B9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40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87C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让高校毕业满意</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F2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1C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73B3">
            <w:pPr>
              <w:jc w:val="center"/>
              <w:rPr>
                <w:rFonts w:hint="eastAsia" w:ascii="微软雅黑" w:hAnsi="微软雅黑" w:eastAsia="微软雅黑" w:cs="微软雅黑"/>
                <w:i/>
                <w:iCs/>
                <w:color w:val="000000"/>
                <w:sz w:val="16"/>
                <w:szCs w:val="16"/>
                <w:highlight w:val="none"/>
                <w:u w:val="none"/>
              </w:rPr>
            </w:pPr>
          </w:p>
        </w:tc>
      </w:tr>
      <w:tr w14:paraId="268AF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56DB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40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BB3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53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委托业务费金额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37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AC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D0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229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43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E7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FC2A">
            <w:pPr>
              <w:jc w:val="center"/>
              <w:rPr>
                <w:rFonts w:hint="eastAsia" w:ascii="微软雅黑" w:hAnsi="微软雅黑" w:eastAsia="微软雅黑" w:cs="微软雅黑"/>
                <w:i/>
                <w:iCs/>
                <w:color w:val="000000"/>
                <w:sz w:val="16"/>
                <w:szCs w:val="16"/>
                <w:highlight w:val="none"/>
                <w:u w:val="none"/>
              </w:rPr>
            </w:pPr>
          </w:p>
        </w:tc>
      </w:tr>
      <w:tr w14:paraId="37670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78A9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9A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096B">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96</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E318">
            <w:pPr>
              <w:rPr>
                <w:rFonts w:hint="eastAsia" w:ascii="宋体" w:hAnsi="宋体" w:eastAsia="宋体" w:cs="宋体"/>
                <w:i w:val="0"/>
                <w:iCs w:val="0"/>
                <w:color w:val="000000"/>
                <w:sz w:val="18"/>
                <w:szCs w:val="18"/>
                <w:highlight w:val="none"/>
                <w:u w:val="none"/>
              </w:rPr>
            </w:pPr>
          </w:p>
        </w:tc>
      </w:tr>
      <w:tr w14:paraId="7F6F7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45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A2E37A">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本年度流动人员人事档案管理经费使用规范、专款专用，有效保障档案接收、转递、整理、保管、数字化及库房安全运维等工作正常开展。档案服务高效规范，服务对象满意度较高，档案信息数据准确完整，安全管理措施落实到位，未发生安全事故。项目实施较好完成既定绩效目标，社会效益明显，提升了公共人事服务水平和群众获得感。总体来看，项目预算执行有力，管理规范，绩效优良。</w:t>
            </w:r>
          </w:p>
        </w:tc>
      </w:tr>
      <w:tr w14:paraId="2E27F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C6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C1543B">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档案管理经费不足，信息化水平有待提升，部分档案数字化进度较慢，数据更新不够及时。</w:t>
            </w:r>
          </w:p>
        </w:tc>
      </w:tr>
      <w:tr w14:paraId="47B44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2F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98F63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加快推进档案数字化建设，完善信息系统，提升数据录入准确性和更新及时性。</w:t>
            </w:r>
          </w:p>
        </w:tc>
      </w:tr>
      <w:tr w14:paraId="3009A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8745C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项目负责人：刘菲</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7BA82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41E2B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3B937122">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5DF06C92">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2BE4C6DA">
            <w:pPr>
              <w:rPr>
                <w:rFonts w:hint="eastAsia" w:ascii="宋体" w:hAnsi="宋体" w:eastAsia="宋体" w:cs="宋体"/>
                <w:i w:val="0"/>
                <w:iCs w:val="0"/>
                <w:color w:val="000000"/>
                <w:sz w:val="18"/>
                <w:szCs w:val="18"/>
                <w:highlight w:val="none"/>
                <w:u w:val="none"/>
              </w:rPr>
            </w:pPr>
          </w:p>
          <w:p w14:paraId="7157ECC0">
            <w:pPr>
              <w:rPr>
                <w:rFonts w:hint="eastAsia" w:ascii="宋体" w:hAnsi="宋体" w:eastAsia="宋体" w:cs="宋体"/>
                <w:i w:val="0"/>
                <w:iCs w:val="0"/>
                <w:color w:val="000000"/>
                <w:sz w:val="18"/>
                <w:szCs w:val="18"/>
                <w:highlight w:val="none"/>
                <w:u w:val="none"/>
              </w:rPr>
            </w:pPr>
          </w:p>
          <w:p w14:paraId="48223A2C">
            <w:pPr>
              <w:rPr>
                <w:rFonts w:hint="eastAsia" w:ascii="宋体" w:hAnsi="宋体" w:eastAsia="宋体" w:cs="宋体"/>
                <w:i w:val="0"/>
                <w:iCs w:val="0"/>
                <w:color w:val="000000"/>
                <w:sz w:val="18"/>
                <w:szCs w:val="18"/>
                <w:highlight w:val="none"/>
                <w:u w:val="none"/>
              </w:rPr>
            </w:pPr>
          </w:p>
          <w:p w14:paraId="7B1E43DE">
            <w:pPr>
              <w:rPr>
                <w:rFonts w:hint="eastAsia" w:ascii="宋体" w:hAnsi="宋体" w:eastAsia="宋体" w:cs="宋体"/>
                <w:i w:val="0"/>
                <w:iCs w:val="0"/>
                <w:color w:val="000000"/>
                <w:sz w:val="18"/>
                <w:szCs w:val="18"/>
                <w:highlight w:val="none"/>
                <w:u w:val="none"/>
              </w:rPr>
            </w:pPr>
          </w:p>
          <w:p w14:paraId="09E8EB6E">
            <w:pPr>
              <w:rPr>
                <w:rFonts w:hint="eastAsia" w:ascii="宋体" w:hAnsi="宋体" w:eastAsia="宋体" w:cs="宋体"/>
                <w:i w:val="0"/>
                <w:iCs w:val="0"/>
                <w:color w:val="000000"/>
                <w:sz w:val="18"/>
                <w:szCs w:val="18"/>
                <w:highlight w:val="none"/>
                <w:u w:val="none"/>
              </w:rPr>
            </w:pPr>
          </w:p>
          <w:p w14:paraId="0B95F18F">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13BB2010">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18FB0A38">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21845507">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59470D92">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6DA62ABE">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47FC2FF4">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1F0413E8">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03830660">
            <w:pPr>
              <w:rPr>
                <w:rFonts w:hint="eastAsia" w:ascii="宋体" w:hAnsi="宋体" w:eastAsia="宋体" w:cs="宋体"/>
                <w:i w:val="0"/>
                <w:iCs w:val="0"/>
                <w:color w:val="000000"/>
                <w:sz w:val="18"/>
                <w:szCs w:val="18"/>
                <w:highlight w:val="none"/>
                <w:u w:val="none"/>
              </w:rPr>
            </w:pPr>
          </w:p>
        </w:tc>
      </w:tr>
      <w:tr w14:paraId="4802C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B20118C">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EBD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0594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73D18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51320024T000010913375-工资福利调研专项经费</w:t>
            </w:r>
          </w:p>
        </w:tc>
      </w:tr>
      <w:tr w14:paraId="0DE95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C425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CC4D5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25D4BB8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EF90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46E45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CA61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9515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78F2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18C19D">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10E63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51792">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F8297">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2CD5D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1、加强工资管理信息化建设相关培训。                                                                       </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2、开展工资福利与表彰奖励相关工作调研。</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3、开展调研次数≥2次。</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4、通过培训提升工作人员业务能力，通过调研完善工资福利政策。</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BBF07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一是组织开展了退休政策培训工作，提升工作人员业务工作水平，加强工资福利工作的开展；二是全州范围开展工资福利业务工作调研4次；</w:t>
            </w:r>
          </w:p>
        </w:tc>
      </w:tr>
      <w:tr w14:paraId="4A23E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36025">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8DE9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7F7DEE">
            <w:pPr>
              <w:rPr>
                <w:rFonts w:hint="eastAsia" w:ascii="宋体" w:hAnsi="宋体" w:eastAsia="宋体" w:cs="宋体"/>
                <w:i w:val="0"/>
                <w:iCs w:val="0"/>
                <w:color w:val="000000"/>
                <w:sz w:val="18"/>
                <w:szCs w:val="18"/>
                <w:highlight w:val="none"/>
                <w:u w:val="none"/>
              </w:rPr>
            </w:pPr>
          </w:p>
        </w:tc>
      </w:tr>
      <w:tr w14:paraId="413DB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1C4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C0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5B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24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F67E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C6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1D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13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1E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2FC3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3193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5F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EEB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D8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1.97</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C505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1.97</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F2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2A8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11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5C13D">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年底结余资金较小，未及时实现支付。</w:t>
            </w:r>
          </w:p>
        </w:tc>
      </w:tr>
      <w:tr w14:paraId="3CFF2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CEAB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92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1A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27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1.97</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38C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1.97</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F5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86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C5F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FE5A8">
            <w:pPr>
              <w:rPr>
                <w:rFonts w:hint="eastAsia" w:ascii="黑体" w:hAnsi="黑体" w:eastAsia="黑体" w:cs="黑体"/>
                <w:i/>
                <w:iCs/>
                <w:color w:val="000000"/>
                <w:sz w:val="18"/>
                <w:szCs w:val="18"/>
                <w:highlight w:val="none"/>
                <w:u w:val="none"/>
              </w:rPr>
            </w:pPr>
          </w:p>
        </w:tc>
      </w:tr>
      <w:tr w14:paraId="08BF3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E40A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8D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ED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40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8521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9A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3C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9E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4AB6B">
            <w:pPr>
              <w:rPr>
                <w:rFonts w:hint="eastAsia" w:ascii="黑体" w:hAnsi="黑体" w:eastAsia="黑体" w:cs="黑体"/>
                <w:i/>
                <w:iCs/>
                <w:color w:val="000000"/>
                <w:sz w:val="18"/>
                <w:szCs w:val="18"/>
                <w:highlight w:val="none"/>
                <w:u w:val="none"/>
              </w:rPr>
            </w:pPr>
          </w:p>
        </w:tc>
      </w:tr>
      <w:tr w14:paraId="4BBED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59C8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0A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81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7F6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B0D3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59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C1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69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D24EB">
            <w:pPr>
              <w:rPr>
                <w:rFonts w:hint="eastAsia" w:ascii="黑体" w:hAnsi="黑体" w:eastAsia="黑体" w:cs="黑体"/>
                <w:i/>
                <w:iCs/>
                <w:color w:val="000000"/>
                <w:sz w:val="18"/>
                <w:szCs w:val="18"/>
                <w:highlight w:val="none"/>
                <w:u w:val="none"/>
              </w:rPr>
            </w:pPr>
          </w:p>
        </w:tc>
      </w:tr>
      <w:tr w14:paraId="16070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0492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AB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EB56">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C9D6D">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902494">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DEC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9F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5B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F60F5">
            <w:pPr>
              <w:rPr>
                <w:rFonts w:hint="eastAsia" w:ascii="黑体" w:hAnsi="黑体" w:eastAsia="黑体" w:cs="黑体"/>
                <w:i/>
                <w:iCs/>
                <w:color w:val="000000"/>
                <w:sz w:val="18"/>
                <w:szCs w:val="18"/>
                <w:highlight w:val="none"/>
                <w:u w:val="none"/>
              </w:rPr>
            </w:pPr>
          </w:p>
        </w:tc>
      </w:tr>
      <w:tr w14:paraId="6E7F3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9A6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F6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E9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DC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92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2F0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D4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A03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2B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09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774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73F8C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E4B54">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13BC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11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95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参加培训次数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F1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43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85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B1C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C6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94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EBBB">
            <w:pPr>
              <w:jc w:val="center"/>
              <w:rPr>
                <w:rFonts w:hint="eastAsia" w:ascii="微软雅黑" w:hAnsi="微软雅黑" w:eastAsia="微软雅黑" w:cs="微软雅黑"/>
                <w:i/>
                <w:iCs/>
                <w:color w:val="000000"/>
                <w:sz w:val="16"/>
                <w:szCs w:val="16"/>
                <w:highlight w:val="none"/>
                <w:u w:val="none"/>
              </w:rPr>
            </w:pPr>
          </w:p>
        </w:tc>
      </w:tr>
      <w:tr w14:paraId="3DF15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4FB8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127BE">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98C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4B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培训合格率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779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D9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DD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0FE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4E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8C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882EB">
            <w:pPr>
              <w:jc w:val="center"/>
              <w:rPr>
                <w:rFonts w:hint="eastAsia" w:ascii="微软雅黑" w:hAnsi="微软雅黑" w:eastAsia="微软雅黑" w:cs="微软雅黑"/>
                <w:i/>
                <w:iCs/>
                <w:color w:val="000000"/>
                <w:sz w:val="16"/>
                <w:szCs w:val="16"/>
                <w:highlight w:val="none"/>
                <w:u w:val="none"/>
              </w:rPr>
            </w:pPr>
          </w:p>
        </w:tc>
      </w:tr>
      <w:tr w14:paraId="7D415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838D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0CD4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07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CCF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按时间节点开展调研工作</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09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EF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按时完成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AA00">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D0B8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按时完成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BF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10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DC81">
            <w:pPr>
              <w:jc w:val="center"/>
              <w:rPr>
                <w:rFonts w:hint="eastAsia" w:ascii="微软雅黑" w:hAnsi="微软雅黑" w:eastAsia="微软雅黑" w:cs="微软雅黑"/>
                <w:i/>
                <w:iCs/>
                <w:color w:val="000000"/>
                <w:sz w:val="16"/>
                <w:szCs w:val="16"/>
                <w:highlight w:val="none"/>
                <w:u w:val="none"/>
              </w:rPr>
            </w:pPr>
          </w:p>
        </w:tc>
      </w:tr>
      <w:tr w14:paraId="7AB40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0EEE8">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126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3C8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8C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工资福利调研进展情况</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32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DD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好</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94DA">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474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3E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692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537A">
            <w:pPr>
              <w:jc w:val="center"/>
              <w:rPr>
                <w:rFonts w:hint="eastAsia" w:ascii="微软雅黑" w:hAnsi="微软雅黑" w:eastAsia="微软雅黑" w:cs="微软雅黑"/>
                <w:i/>
                <w:iCs/>
                <w:color w:val="000000"/>
                <w:sz w:val="16"/>
                <w:szCs w:val="16"/>
                <w:highlight w:val="none"/>
                <w:u w:val="none"/>
              </w:rPr>
            </w:pPr>
          </w:p>
        </w:tc>
      </w:tr>
      <w:tr w14:paraId="63E2E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85D35">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74F39">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22287">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C5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参训人员业务能力进一步提高</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84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CC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明显提升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A64D">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DB7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明显提升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34A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E1A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7B3E">
            <w:pPr>
              <w:jc w:val="center"/>
              <w:rPr>
                <w:rFonts w:hint="eastAsia" w:ascii="微软雅黑" w:hAnsi="微软雅黑" w:eastAsia="微软雅黑" w:cs="微软雅黑"/>
                <w:i/>
                <w:iCs/>
                <w:color w:val="000000"/>
                <w:sz w:val="16"/>
                <w:szCs w:val="16"/>
                <w:highlight w:val="none"/>
                <w:u w:val="none"/>
              </w:rPr>
            </w:pPr>
          </w:p>
        </w:tc>
      </w:tr>
      <w:tr w14:paraId="5A144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91C4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18E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73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83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调研对象满意度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C18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2F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B2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917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A3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09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2328">
            <w:pPr>
              <w:jc w:val="center"/>
              <w:rPr>
                <w:rFonts w:hint="eastAsia" w:ascii="微软雅黑" w:hAnsi="微软雅黑" w:eastAsia="微软雅黑" w:cs="微软雅黑"/>
                <w:i/>
                <w:iCs/>
                <w:color w:val="000000"/>
                <w:sz w:val="16"/>
                <w:szCs w:val="16"/>
                <w:highlight w:val="none"/>
                <w:u w:val="none"/>
              </w:rPr>
            </w:pPr>
          </w:p>
        </w:tc>
      </w:tr>
      <w:tr w14:paraId="27FD0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7E920">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BE5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D86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2B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调研差旅费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09C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D8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24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5D26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1.31万元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12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087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CD917">
            <w:pPr>
              <w:jc w:val="center"/>
              <w:rPr>
                <w:rFonts w:hint="eastAsia" w:ascii="微软雅黑" w:hAnsi="微软雅黑" w:eastAsia="微软雅黑" w:cs="微软雅黑"/>
                <w:i/>
                <w:iCs/>
                <w:color w:val="000000"/>
                <w:sz w:val="16"/>
                <w:szCs w:val="16"/>
                <w:highlight w:val="none"/>
                <w:u w:val="none"/>
              </w:rPr>
            </w:pPr>
          </w:p>
        </w:tc>
      </w:tr>
      <w:tr w14:paraId="759E3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9514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4670D">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9B21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EDD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培训费用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2BF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AE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82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F64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0.66万元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EF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BF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6EEA">
            <w:pPr>
              <w:jc w:val="center"/>
              <w:rPr>
                <w:rFonts w:hint="eastAsia" w:ascii="微软雅黑" w:hAnsi="微软雅黑" w:eastAsia="微软雅黑" w:cs="微软雅黑"/>
                <w:i/>
                <w:iCs/>
                <w:color w:val="000000"/>
                <w:sz w:val="16"/>
                <w:szCs w:val="16"/>
                <w:highlight w:val="none"/>
                <w:u w:val="none"/>
              </w:rPr>
            </w:pPr>
          </w:p>
        </w:tc>
      </w:tr>
      <w:tr w14:paraId="1B2ED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20EB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18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C0EBB">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AB7CC">
            <w:pPr>
              <w:rPr>
                <w:rFonts w:hint="eastAsia" w:ascii="宋体" w:hAnsi="宋体" w:eastAsia="宋体" w:cs="宋体"/>
                <w:i w:val="0"/>
                <w:iCs w:val="0"/>
                <w:color w:val="000000"/>
                <w:sz w:val="18"/>
                <w:szCs w:val="18"/>
                <w:highlight w:val="none"/>
                <w:u w:val="none"/>
              </w:rPr>
            </w:pPr>
          </w:p>
        </w:tc>
      </w:tr>
      <w:tr w14:paraId="4EC7D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21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4A7DE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该项目实施情况较好，达到年度目标任务，自评得分89.85分。</w:t>
            </w:r>
          </w:p>
        </w:tc>
      </w:tr>
      <w:tr w14:paraId="52254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B5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7A6AF1">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结合自评情况，该项目在资金执行过程中预算执行数与年初预算存在细小差距，执行率未达到100%，经济成本未进行及时调整。</w:t>
            </w:r>
          </w:p>
        </w:tc>
      </w:tr>
      <w:tr w14:paraId="4B702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043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D6577B">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下一步工作计划：严格把控预算执行率，执行率达到100%；对绩效目标有变化的指标及时进行项目调整，提高项目实施过程中完成值与指标值匹配度。</w:t>
            </w:r>
          </w:p>
        </w:tc>
      </w:tr>
      <w:tr w14:paraId="56BBF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699DF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项目负责人：李雪</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AEEC72">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1AD33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5EF53F27">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55356A4F">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2C12A0D1">
            <w:pPr>
              <w:rPr>
                <w:rFonts w:hint="eastAsia" w:ascii="宋体" w:hAnsi="宋体" w:eastAsia="宋体" w:cs="宋体"/>
                <w:i w:val="0"/>
                <w:iCs w:val="0"/>
                <w:color w:val="000000"/>
                <w:sz w:val="18"/>
                <w:szCs w:val="18"/>
                <w:highlight w:val="none"/>
                <w:u w:val="none"/>
              </w:rPr>
            </w:pPr>
          </w:p>
          <w:p w14:paraId="11B95856">
            <w:pPr>
              <w:rPr>
                <w:rFonts w:hint="eastAsia" w:ascii="宋体" w:hAnsi="宋体" w:eastAsia="宋体" w:cs="宋体"/>
                <w:i w:val="0"/>
                <w:iCs w:val="0"/>
                <w:color w:val="000000"/>
                <w:sz w:val="18"/>
                <w:szCs w:val="18"/>
                <w:highlight w:val="none"/>
                <w:u w:val="none"/>
              </w:rPr>
            </w:pPr>
          </w:p>
          <w:p w14:paraId="293F72F8">
            <w:pPr>
              <w:rPr>
                <w:rFonts w:hint="eastAsia" w:ascii="宋体" w:hAnsi="宋体" w:eastAsia="宋体" w:cs="宋体"/>
                <w:i w:val="0"/>
                <w:iCs w:val="0"/>
                <w:color w:val="000000"/>
                <w:sz w:val="18"/>
                <w:szCs w:val="18"/>
                <w:highlight w:val="none"/>
                <w:u w:val="none"/>
              </w:rPr>
            </w:pPr>
          </w:p>
          <w:p w14:paraId="61A55463">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33D4FF6C">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34BCE1FE">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27627FB7">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4A1B18D4">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27B237E5">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5422F7EB">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31443367">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56CBD431">
            <w:pPr>
              <w:rPr>
                <w:rFonts w:hint="eastAsia" w:ascii="宋体" w:hAnsi="宋体" w:eastAsia="宋体" w:cs="宋体"/>
                <w:i w:val="0"/>
                <w:iCs w:val="0"/>
                <w:color w:val="000000"/>
                <w:sz w:val="18"/>
                <w:szCs w:val="18"/>
                <w:highlight w:val="none"/>
                <w:u w:val="none"/>
              </w:rPr>
            </w:pPr>
          </w:p>
        </w:tc>
      </w:tr>
      <w:tr w14:paraId="79FD2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67931CF">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0015C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1808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F400E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51320024T000010919977-信访办案专项经费</w:t>
            </w:r>
          </w:p>
        </w:tc>
      </w:tr>
      <w:tr w14:paraId="7283D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C315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A2294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782E4F6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1F2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3618C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5CC1D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2F2F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B97A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900CF4">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52CC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85AB5">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E4A1A">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75DA2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完成群众来信来访办理、业务培训、资料印制、差旅费用、信访工作调研、信访基础基层建设等费用支出，实现提高办信工作质量，提高人社信访规范化、标准化、法治化工作能力，维护群众合法权益，提升群众满意度，有效化解全州人社领域矛盾纠纷和信访案件，积极维护社会稳定。       </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CB006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赴相关县调研指导信访工作，每季度对全系统信访情况分析，每月开展矛盾纠纷排查，上报安全形势研判；在全国全省“两会”、春节、“三月期间”、成都“世运会”等敏感节点顺利完成信访安全保障工作；全年没有因工作处理不到位引发的负面舆情和非法来州进京到省集访情况发生。</w:t>
            </w:r>
          </w:p>
        </w:tc>
      </w:tr>
      <w:tr w14:paraId="63AC9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D2C9E">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9B1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9B65C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深入贯彻习近平总书记关于加强和改进人民信访工作的重要思想，按照《信访工作条例》、有关信访维稳工作要求，落实信访工作责任，推进信访工作法治化建设，办理人社信访事项，开展调研与业务培训，有效化解全州人社领域重大矛盾纠纷和疑难信访案件，完成上级交办的信访维稳任务，维护群众合法权益和社会稳定</w:t>
            </w:r>
          </w:p>
        </w:tc>
      </w:tr>
      <w:tr w14:paraId="07A39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F51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85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E0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89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891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B20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90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76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F0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02AD3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ABA0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2B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BE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D3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93B6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3A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ED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B959F">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9A208">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无</w:t>
            </w:r>
          </w:p>
        </w:tc>
      </w:tr>
      <w:tr w14:paraId="4D041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4845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F2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F7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71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A46C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23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2B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BA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B42E9">
            <w:pPr>
              <w:rPr>
                <w:rFonts w:hint="eastAsia" w:ascii="黑体" w:hAnsi="黑体" w:eastAsia="黑体" w:cs="黑体"/>
                <w:i/>
                <w:iCs/>
                <w:color w:val="000000"/>
                <w:sz w:val="18"/>
                <w:szCs w:val="18"/>
                <w:highlight w:val="none"/>
                <w:u w:val="none"/>
              </w:rPr>
            </w:pPr>
          </w:p>
        </w:tc>
      </w:tr>
      <w:tr w14:paraId="463DC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FB16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3C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D7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98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5503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B5D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22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BCC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DE76C">
            <w:pPr>
              <w:rPr>
                <w:rFonts w:hint="eastAsia" w:ascii="黑体" w:hAnsi="黑体" w:eastAsia="黑体" w:cs="黑体"/>
                <w:i/>
                <w:iCs/>
                <w:color w:val="000000"/>
                <w:sz w:val="18"/>
                <w:szCs w:val="18"/>
                <w:highlight w:val="none"/>
                <w:u w:val="none"/>
              </w:rPr>
            </w:pPr>
          </w:p>
        </w:tc>
      </w:tr>
      <w:tr w14:paraId="2E199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5E24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6C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C2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9E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9677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3C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AEB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81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7CDA5">
            <w:pPr>
              <w:rPr>
                <w:rFonts w:hint="eastAsia" w:ascii="黑体" w:hAnsi="黑体" w:eastAsia="黑体" w:cs="黑体"/>
                <w:i/>
                <w:iCs/>
                <w:color w:val="000000"/>
                <w:sz w:val="18"/>
                <w:szCs w:val="18"/>
                <w:highlight w:val="none"/>
                <w:u w:val="none"/>
              </w:rPr>
            </w:pPr>
          </w:p>
        </w:tc>
      </w:tr>
      <w:tr w14:paraId="730DF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ED09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A5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8B90E">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51E4">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2DDE7">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C6B9B">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89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6FA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D2D9E">
            <w:pPr>
              <w:rPr>
                <w:rFonts w:hint="eastAsia" w:ascii="黑体" w:hAnsi="黑体" w:eastAsia="黑体" w:cs="黑体"/>
                <w:i/>
                <w:iCs/>
                <w:color w:val="000000"/>
                <w:sz w:val="18"/>
                <w:szCs w:val="18"/>
                <w:highlight w:val="none"/>
                <w:u w:val="none"/>
              </w:rPr>
            </w:pPr>
          </w:p>
        </w:tc>
      </w:tr>
      <w:tr w14:paraId="19606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279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67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3E8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E2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BB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3F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26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3B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4A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43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D6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64481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9093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F6B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D8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70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参加培训次数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95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B7B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D4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FF4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7C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8E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032D">
            <w:pPr>
              <w:jc w:val="center"/>
              <w:rPr>
                <w:rFonts w:hint="eastAsia" w:ascii="微软雅黑" w:hAnsi="微软雅黑" w:eastAsia="微软雅黑" w:cs="微软雅黑"/>
                <w:i/>
                <w:iCs/>
                <w:color w:val="000000"/>
                <w:sz w:val="16"/>
                <w:szCs w:val="16"/>
                <w:highlight w:val="none"/>
                <w:u w:val="none"/>
              </w:rPr>
            </w:pPr>
          </w:p>
        </w:tc>
      </w:tr>
      <w:tr w14:paraId="47FF7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613B9">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357E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674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16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信访案件办结率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C5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82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19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058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99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4D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BC98">
            <w:pPr>
              <w:jc w:val="center"/>
              <w:rPr>
                <w:rFonts w:hint="eastAsia" w:ascii="微软雅黑" w:hAnsi="微软雅黑" w:eastAsia="微软雅黑" w:cs="微软雅黑"/>
                <w:i/>
                <w:iCs/>
                <w:color w:val="000000"/>
                <w:sz w:val="16"/>
                <w:szCs w:val="16"/>
                <w:highlight w:val="none"/>
                <w:u w:val="none"/>
              </w:rPr>
            </w:pPr>
          </w:p>
        </w:tc>
      </w:tr>
      <w:tr w14:paraId="4FF63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2A8B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466DC">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4D5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E7D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信访案件受理及时率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AC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99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72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BD5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4F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60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26C0">
            <w:pPr>
              <w:jc w:val="center"/>
              <w:rPr>
                <w:rFonts w:hint="eastAsia" w:ascii="微软雅黑" w:hAnsi="微软雅黑" w:eastAsia="微软雅黑" w:cs="微软雅黑"/>
                <w:i/>
                <w:iCs/>
                <w:color w:val="000000"/>
                <w:sz w:val="16"/>
                <w:szCs w:val="16"/>
                <w:highlight w:val="none"/>
                <w:u w:val="none"/>
              </w:rPr>
            </w:pPr>
          </w:p>
        </w:tc>
      </w:tr>
      <w:tr w14:paraId="1C052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8C51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6B7B7">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5D1AB">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DFA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资金支付及时率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BE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B6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B8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E22A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7E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38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7B67">
            <w:pPr>
              <w:jc w:val="center"/>
              <w:rPr>
                <w:rFonts w:hint="eastAsia" w:ascii="微软雅黑" w:hAnsi="微软雅黑" w:eastAsia="微软雅黑" w:cs="微软雅黑"/>
                <w:i/>
                <w:iCs/>
                <w:color w:val="000000"/>
                <w:sz w:val="16"/>
                <w:szCs w:val="16"/>
                <w:highlight w:val="none"/>
                <w:u w:val="none"/>
              </w:rPr>
            </w:pPr>
          </w:p>
        </w:tc>
      </w:tr>
      <w:tr w14:paraId="4DE1F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F873E">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31C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08A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EC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信访工作规范水平提升率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63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4E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83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E9E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EC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D5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13A0">
            <w:pPr>
              <w:jc w:val="center"/>
              <w:rPr>
                <w:rFonts w:hint="eastAsia" w:ascii="微软雅黑" w:hAnsi="微软雅黑" w:eastAsia="微软雅黑" w:cs="微软雅黑"/>
                <w:i/>
                <w:iCs/>
                <w:color w:val="000000"/>
                <w:sz w:val="16"/>
                <w:szCs w:val="16"/>
                <w:highlight w:val="none"/>
                <w:u w:val="none"/>
              </w:rPr>
            </w:pPr>
          </w:p>
        </w:tc>
      </w:tr>
      <w:tr w14:paraId="01666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1CE5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D7713">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F4694">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5D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维护社会稳定</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FC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1F0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好</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4B1C">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D2F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EE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A7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0EE34">
            <w:pPr>
              <w:jc w:val="center"/>
              <w:rPr>
                <w:rFonts w:hint="eastAsia" w:ascii="微软雅黑" w:hAnsi="微软雅黑" w:eastAsia="微软雅黑" w:cs="微软雅黑"/>
                <w:i/>
                <w:iCs/>
                <w:color w:val="000000"/>
                <w:sz w:val="16"/>
                <w:szCs w:val="16"/>
                <w:highlight w:val="none"/>
                <w:u w:val="none"/>
              </w:rPr>
            </w:pPr>
          </w:p>
        </w:tc>
      </w:tr>
      <w:tr w14:paraId="2BA43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6F79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8D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B4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27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信访工作办理满意度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61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FC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6C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F88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A3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B6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022A">
            <w:pPr>
              <w:jc w:val="center"/>
              <w:rPr>
                <w:rFonts w:hint="eastAsia" w:ascii="微软雅黑" w:hAnsi="微软雅黑" w:eastAsia="微软雅黑" w:cs="微软雅黑"/>
                <w:i/>
                <w:iCs/>
                <w:color w:val="000000"/>
                <w:sz w:val="16"/>
                <w:szCs w:val="16"/>
                <w:highlight w:val="none"/>
                <w:u w:val="none"/>
              </w:rPr>
            </w:pPr>
          </w:p>
        </w:tc>
      </w:tr>
      <w:tr w14:paraId="7E3C9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F957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4F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C7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0D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工作经费金额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50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93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E9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26A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CC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2E6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A0BA1">
            <w:pPr>
              <w:jc w:val="center"/>
              <w:rPr>
                <w:rFonts w:hint="eastAsia" w:ascii="微软雅黑" w:hAnsi="微软雅黑" w:eastAsia="微软雅黑" w:cs="微软雅黑"/>
                <w:i/>
                <w:iCs/>
                <w:color w:val="000000"/>
                <w:sz w:val="16"/>
                <w:szCs w:val="16"/>
                <w:highlight w:val="none"/>
                <w:u w:val="none"/>
              </w:rPr>
            </w:pPr>
          </w:p>
        </w:tc>
      </w:tr>
      <w:tr w14:paraId="57140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C56E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D0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4B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0713">
            <w:pPr>
              <w:rPr>
                <w:rFonts w:hint="eastAsia" w:ascii="宋体" w:hAnsi="宋体" w:eastAsia="宋体" w:cs="宋体"/>
                <w:i w:val="0"/>
                <w:iCs w:val="0"/>
                <w:color w:val="000000"/>
                <w:sz w:val="18"/>
                <w:szCs w:val="18"/>
                <w:highlight w:val="none"/>
                <w:u w:val="none"/>
              </w:rPr>
            </w:pPr>
          </w:p>
        </w:tc>
      </w:tr>
      <w:tr w14:paraId="14BAF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B8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2A2C8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每月开展形势研判，每季度开展全系统信访情况分析，开展“深化源头治理化解信访矛盾”专项工作，推动全系统排查化解矛盾纠纷127件；2025年我局办理群众来信155件，接访9批次、11人次；赴相关县调研指导信访工作，办理到京到蓉信访积案，办理中央巡视组移送案件5件、省委巡视组移送案件4件；在全国全省“两会”、春节、“三月期间”、成都“世运会”等敏感节点抽派工作人员参加驻蓉信访工作组开展信访安全保障工作，全年没有因工作处理不到位引发的负面舆情、重点问题和非法来州进京到省集访情况发生，预算执行率100%。（200字以内）</w:t>
            </w:r>
          </w:p>
        </w:tc>
      </w:tr>
      <w:tr w14:paraId="00EF0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45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B5089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3758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75C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EC75B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1E73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675DF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408C8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3D3BF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0BCB56AA">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2389F862">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09AC39F3">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07485B41">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5401D662">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0C717878">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2BD7F0D8">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1F0414FF">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566978EB">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078FA46F">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11BA48FC">
            <w:pPr>
              <w:rPr>
                <w:rFonts w:hint="eastAsia" w:ascii="宋体" w:hAnsi="宋体" w:eastAsia="宋体" w:cs="宋体"/>
                <w:i w:val="0"/>
                <w:iCs w:val="0"/>
                <w:color w:val="000000"/>
                <w:sz w:val="18"/>
                <w:szCs w:val="18"/>
                <w:highlight w:val="none"/>
                <w:u w:val="none"/>
              </w:rPr>
            </w:pPr>
          </w:p>
        </w:tc>
      </w:tr>
      <w:tr w14:paraId="3EBED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5BC1E9">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08688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B1C9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27135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51320024T000010921224-深化职称制度改革专项经费</w:t>
            </w:r>
          </w:p>
        </w:tc>
      </w:tr>
      <w:tr w14:paraId="2C4AD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18E3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59DB3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71798BA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FCF0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2B536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B16FA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B463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9A05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1E5A39">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39AEA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3"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46F71">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76C5A">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1F767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依据中共四川省委办公厅  四川省人民政府办公厅《关于印发&lt;关于深化职称制度改革的实施意见&gt;的通知》（川委办〔2018〕13号）和四川省人力资源社会保障厅《四川省职称评审管理暂行办法》（川人社发〔2020〕31号）相关要求，开展本州职称综合管理和初、中、高级职称评审组织实施工作，通过指导宣传、培训培养、调研考察、信息化建设等措施，建立一支优质的职称管理人员和高水平评审专家队伍。通过建立优质的职称管理队伍，提升职称评审服务能力，降低专业技术人员申报成本。</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099D7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上半年指导监督7次，下半年各行业主管部门开展职称评审工作较多指导监督10次。</w:t>
            </w:r>
          </w:p>
        </w:tc>
      </w:tr>
      <w:tr w14:paraId="66CCF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ADF55">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A41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D96576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开展本州职称综合管理、职称评审和人才培育培养组织实施工作，通过指导宣传、培训培养、调研考察、信息化建设等措施，建立一支优质的职称管理人员和高水平专业技术人才队伍。</w:t>
            </w:r>
          </w:p>
        </w:tc>
      </w:tr>
      <w:tr w14:paraId="6DC72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24B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5D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86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01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836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63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44B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3C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C0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F15C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288E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8B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A4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C8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4.70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251F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4.70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468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BF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3FF91">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467FD7">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9CD8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FC54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09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A8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F6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4.70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B140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4.70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2B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0D1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13C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4AF0C">
            <w:pPr>
              <w:rPr>
                <w:rFonts w:hint="eastAsia" w:ascii="黑体" w:hAnsi="黑体" w:eastAsia="黑体" w:cs="黑体"/>
                <w:i/>
                <w:iCs/>
                <w:color w:val="000000"/>
                <w:sz w:val="18"/>
                <w:szCs w:val="18"/>
                <w:highlight w:val="none"/>
                <w:u w:val="none"/>
              </w:rPr>
            </w:pPr>
          </w:p>
        </w:tc>
      </w:tr>
      <w:tr w14:paraId="6A292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ADC9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C58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AA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11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943F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D9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827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56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1CFE6">
            <w:pPr>
              <w:rPr>
                <w:rFonts w:hint="eastAsia" w:ascii="黑体" w:hAnsi="黑体" w:eastAsia="黑体" w:cs="黑体"/>
                <w:i/>
                <w:iCs/>
                <w:color w:val="000000"/>
                <w:sz w:val="18"/>
                <w:szCs w:val="18"/>
                <w:highlight w:val="none"/>
                <w:u w:val="none"/>
              </w:rPr>
            </w:pPr>
          </w:p>
        </w:tc>
      </w:tr>
      <w:tr w14:paraId="70639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4B4F7">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BC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0A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73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A145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3E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17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86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16AAE">
            <w:pPr>
              <w:rPr>
                <w:rFonts w:hint="eastAsia" w:ascii="黑体" w:hAnsi="黑体" w:eastAsia="黑体" w:cs="黑体"/>
                <w:i/>
                <w:iCs/>
                <w:color w:val="000000"/>
                <w:sz w:val="18"/>
                <w:szCs w:val="18"/>
                <w:highlight w:val="none"/>
                <w:u w:val="none"/>
              </w:rPr>
            </w:pPr>
          </w:p>
        </w:tc>
      </w:tr>
      <w:tr w14:paraId="6DD47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62A4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DB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6AD4">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589D">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D3927C">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295E">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E5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D2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C4C03">
            <w:pPr>
              <w:rPr>
                <w:rFonts w:hint="eastAsia" w:ascii="黑体" w:hAnsi="黑体" w:eastAsia="黑体" w:cs="黑体"/>
                <w:i/>
                <w:iCs/>
                <w:color w:val="000000"/>
                <w:sz w:val="18"/>
                <w:szCs w:val="18"/>
                <w:highlight w:val="none"/>
                <w:u w:val="none"/>
              </w:rPr>
            </w:pPr>
          </w:p>
        </w:tc>
      </w:tr>
      <w:tr w14:paraId="5009E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108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B9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5B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5A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D8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77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2F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7D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786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75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F1C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08685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C04DD">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A18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FD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83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培训及指导次数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FF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94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F7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ADB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87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3E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15E7">
            <w:pPr>
              <w:jc w:val="center"/>
              <w:rPr>
                <w:rFonts w:hint="eastAsia" w:ascii="微软雅黑" w:hAnsi="微软雅黑" w:eastAsia="微软雅黑" w:cs="微软雅黑"/>
                <w:i/>
                <w:iCs/>
                <w:color w:val="000000"/>
                <w:sz w:val="16"/>
                <w:szCs w:val="16"/>
                <w:highlight w:val="none"/>
                <w:u w:val="none"/>
              </w:rPr>
            </w:pPr>
          </w:p>
        </w:tc>
      </w:tr>
      <w:tr w14:paraId="07DA6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7C4D7">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8B988">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1CA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96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信息化建设率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33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81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3D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293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57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11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74E3">
            <w:pPr>
              <w:jc w:val="center"/>
              <w:rPr>
                <w:rFonts w:hint="eastAsia" w:ascii="微软雅黑" w:hAnsi="微软雅黑" w:eastAsia="微软雅黑" w:cs="微软雅黑"/>
                <w:i/>
                <w:iCs/>
                <w:color w:val="000000"/>
                <w:sz w:val="16"/>
                <w:szCs w:val="16"/>
                <w:highlight w:val="none"/>
                <w:u w:val="none"/>
              </w:rPr>
            </w:pPr>
          </w:p>
        </w:tc>
      </w:tr>
      <w:tr w14:paraId="38EA8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CF25B">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4ACC4">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E1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76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项目于2025年11月底完成率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82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31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13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471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07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36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2B0C">
            <w:pPr>
              <w:jc w:val="center"/>
              <w:rPr>
                <w:rFonts w:hint="eastAsia" w:ascii="微软雅黑" w:hAnsi="微软雅黑" w:eastAsia="微软雅黑" w:cs="微软雅黑"/>
                <w:i/>
                <w:iCs/>
                <w:color w:val="000000"/>
                <w:sz w:val="16"/>
                <w:szCs w:val="16"/>
                <w:highlight w:val="none"/>
                <w:u w:val="none"/>
              </w:rPr>
            </w:pPr>
          </w:p>
        </w:tc>
      </w:tr>
      <w:tr w14:paraId="79B02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33E63">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280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8B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A1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节约专业技术人员申报成本率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6C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57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E4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4AB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1A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FC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12AE">
            <w:pPr>
              <w:jc w:val="center"/>
              <w:rPr>
                <w:rFonts w:hint="eastAsia" w:ascii="微软雅黑" w:hAnsi="微软雅黑" w:eastAsia="微软雅黑" w:cs="微软雅黑"/>
                <w:i/>
                <w:iCs/>
                <w:color w:val="000000"/>
                <w:sz w:val="16"/>
                <w:szCs w:val="16"/>
                <w:highlight w:val="none"/>
                <w:u w:val="none"/>
              </w:rPr>
            </w:pPr>
          </w:p>
        </w:tc>
      </w:tr>
      <w:tr w14:paraId="4901C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FFAB2">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545F6">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6E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03A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服务能力提升情况</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C5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5B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显著提升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B0D2">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475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显著提升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A0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3D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7A64">
            <w:pPr>
              <w:jc w:val="center"/>
              <w:rPr>
                <w:rFonts w:hint="eastAsia" w:ascii="微软雅黑" w:hAnsi="微软雅黑" w:eastAsia="微软雅黑" w:cs="微软雅黑"/>
                <w:i/>
                <w:iCs/>
                <w:color w:val="000000"/>
                <w:sz w:val="16"/>
                <w:szCs w:val="16"/>
                <w:highlight w:val="none"/>
                <w:u w:val="none"/>
              </w:rPr>
            </w:pPr>
          </w:p>
        </w:tc>
      </w:tr>
      <w:tr w14:paraId="54209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34BF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BA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DD0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E8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参加培训人员满意度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505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4A7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AE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0C8A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13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C1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4D91">
            <w:pPr>
              <w:jc w:val="center"/>
              <w:rPr>
                <w:rFonts w:hint="eastAsia" w:ascii="微软雅黑" w:hAnsi="微软雅黑" w:eastAsia="微软雅黑" w:cs="微软雅黑"/>
                <w:i/>
                <w:iCs/>
                <w:color w:val="000000"/>
                <w:sz w:val="16"/>
                <w:szCs w:val="16"/>
                <w:highlight w:val="none"/>
                <w:u w:val="none"/>
              </w:rPr>
            </w:pPr>
          </w:p>
        </w:tc>
      </w:tr>
      <w:tr w14:paraId="0EC85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020F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16E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0E0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18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培训费金额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99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4B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4F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0B8C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29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3F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86C3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未开展培训</w:t>
            </w:r>
          </w:p>
        </w:tc>
      </w:tr>
      <w:tr w14:paraId="5FC6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D7CD7">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01C15">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EC31D">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654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差旅费金额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54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92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5B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943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44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37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A2D0">
            <w:pPr>
              <w:jc w:val="center"/>
              <w:rPr>
                <w:rFonts w:hint="eastAsia" w:ascii="微软雅黑" w:hAnsi="微软雅黑" w:eastAsia="微软雅黑" w:cs="微软雅黑"/>
                <w:i/>
                <w:iCs/>
                <w:color w:val="000000"/>
                <w:sz w:val="16"/>
                <w:szCs w:val="16"/>
                <w:highlight w:val="none"/>
                <w:u w:val="none"/>
              </w:rPr>
            </w:pPr>
          </w:p>
        </w:tc>
      </w:tr>
      <w:tr w14:paraId="50D0E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98E9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9C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50A0">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CA3D">
            <w:pPr>
              <w:rPr>
                <w:rFonts w:hint="eastAsia" w:ascii="宋体" w:hAnsi="宋体" w:eastAsia="宋体" w:cs="宋体"/>
                <w:i w:val="0"/>
                <w:iCs w:val="0"/>
                <w:color w:val="000000"/>
                <w:sz w:val="18"/>
                <w:szCs w:val="18"/>
                <w:highlight w:val="none"/>
                <w:u w:val="none"/>
              </w:rPr>
            </w:pPr>
          </w:p>
        </w:tc>
      </w:tr>
      <w:tr w14:paraId="7A750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DA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F7951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了2025年阿坝州中药材产业技术人才能力提升研修项目，获得人社厅支持资金15万元，培训了中药材产业技术人员、合作社带头人、企业管理人员100余名，进一步提升专业技能、管理水平和药材加工能力，助推乡村振兴。</w:t>
            </w:r>
            <w:r>
              <w:rPr>
                <w:rFonts w:hint="eastAsia" w:ascii="微软雅黑" w:hAnsi="微软雅黑" w:eastAsia="微软雅黑" w:cs="微软雅黑"/>
                <w:i/>
                <w:iCs/>
                <w:color w:val="000000"/>
                <w:kern w:val="0"/>
                <w:sz w:val="16"/>
                <w:szCs w:val="16"/>
                <w:highlight w:val="none"/>
                <w:u w:val="none"/>
                <w:lang w:val="en-US" w:eastAsia="zh-CN" w:bidi="ar"/>
              </w:rPr>
              <w:br w:type="textWrapping"/>
            </w:r>
            <w:r>
              <w:rPr>
                <w:rFonts w:hint="eastAsia" w:ascii="微软雅黑" w:hAnsi="微软雅黑" w:eastAsia="微软雅黑" w:cs="微软雅黑"/>
                <w:i/>
                <w:iCs/>
                <w:color w:val="000000"/>
                <w:kern w:val="0"/>
                <w:sz w:val="16"/>
                <w:szCs w:val="16"/>
                <w:highlight w:val="none"/>
                <w:u w:val="none"/>
                <w:lang w:val="en-US" w:eastAsia="zh-CN" w:bidi="ar"/>
              </w:rPr>
              <w:t>（二）按照四川省人力资源和社会保障厅《关于做好2025年度我州涉藏州县少数民族专业技术人才特殊培养人选选拔工作的通知》要求，选拔了19名少数民族专业技术人才，到省内外高校、科研院所和企事业单位，进行为期1年的特殊培养和实践学习。</w:t>
            </w:r>
            <w:r>
              <w:rPr>
                <w:rFonts w:hint="eastAsia" w:ascii="微软雅黑" w:hAnsi="微软雅黑" w:eastAsia="微软雅黑" w:cs="微软雅黑"/>
                <w:i/>
                <w:iCs/>
                <w:color w:val="000000"/>
                <w:kern w:val="0"/>
                <w:sz w:val="16"/>
                <w:szCs w:val="16"/>
                <w:highlight w:val="none"/>
                <w:u w:val="none"/>
                <w:lang w:val="en-US" w:eastAsia="zh-CN" w:bidi="ar"/>
              </w:rPr>
              <w:br w:type="textWrapping"/>
            </w:r>
            <w:r>
              <w:rPr>
                <w:rFonts w:hint="eastAsia" w:ascii="微软雅黑" w:hAnsi="微软雅黑" w:eastAsia="微软雅黑" w:cs="微软雅黑"/>
                <w:i/>
                <w:iCs/>
                <w:color w:val="000000"/>
                <w:kern w:val="0"/>
                <w:sz w:val="16"/>
                <w:szCs w:val="16"/>
                <w:highlight w:val="none"/>
                <w:u w:val="none"/>
                <w:lang w:val="en-US" w:eastAsia="zh-CN" w:bidi="ar"/>
              </w:rPr>
              <w:t>（三）完成2025年全省首批高层次专业技术人才国情省情研修活动，21名高级专家围绕生态旅游开发、特色农牧业体质、民族文化传承等重点领域立足专业特长，一对一开展专业技术指导，提升本土专业人才能力。</w:t>
            </w:r>
          </w:p>
        </w:tc>
      </w:tr>
      <w:tr w14:paraId="03892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52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7374D43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各县市、各部门系统操作业务水平能力有待加强。</w:t>
            </w:r>
          </w:p>
        </w:tc>
      </w:tr>
      <w:tr w14:paraId="53F9C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5EE0DB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42515B72">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继续深化职称制度改革，加强各县市、各部门系统操作业务水平能力。</w:t>
            </w:r>
          </w:p>
        </w:tc>
      </w:tr>
      <w:tr w14:paraId="6C908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41F005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AA1AF5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36834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auto"/>
            <w:vAlign w:val="center"/>
          </w:tcPr>
          <w:p w14:paraId="7902361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A7CEF4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B437DC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8123D97">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A9ADAFB">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4176B7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52A45D4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1058C8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9EC767B">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6726B2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904BFF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606A0E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5348640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7A90A6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C5A0993">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B13E7D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F61C90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70629D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DED589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F80769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489EB29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33764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7B12490E">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D9A4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7A57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39C6B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51320024T000010925569-劳动保障监察专项经费</w:t>
            </w:r>
          </w:p>
        </w:tc>
      </w:tr>
      <w:tr w14:paraId="1F30F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4D7F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9C1D0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2E81C49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1B0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0A87D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4331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63927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B93B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4A0FCF">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3FCBE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27830">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997A8">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F09D7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目标1：开展劳动保障监察队伍业务能力能力提升培训；目标2：开展日常巡查及专项活动检查；目标3：完成国务院、省政府对州政府拖欠农民工工资支付考核；目标4：配备执法装备和设备。通过开展劳动保障监察工作，提高劳动者合法权益保障水平。</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91F1A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已基本完成</w:t>
            </w:r>
          </w:p>
        </w:tc>
      </w:tr>
      <w:tr w14:paraId="6225F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C645F">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647E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0F321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全年持续开展劳动保障监察日常巡查及专项活动检查，切实提高劳动者合法权益保障水平。</w:t>
            </w:r>
          </w:p>
        </w:tc>
      </w:tr>
      <w:tr w14:paraId="7C7C1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595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92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6B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B3F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BF6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4C5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B3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09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1F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7B37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DA2A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A1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91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1E3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13.05</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6135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13.05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ED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B5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79A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5F864">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32BA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AB25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90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D5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476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13.05</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79B1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13.05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FF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E8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267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E09C5">
            <w:pPr>
              <w:rPr>
                <w:rFonts w:hint="eastAsia" w:ascii="黑体" w:hAnsi="黑体" w:eastAsia="黑体" w:cs="黑体"/>
                <w:i/>
                <w:iCs/>
                <w:color w:val="000000"/>
                <w:sz w:val="18"/>
                <w:szCs w:val="18"/>
                <w:highlight w:val="none"/>
                <w:u w:val="none"/>
              </w:rPr>
            </w:pPr>
          </w:p>
        </w:tc>
      </w:tr>
      <w:tr w14:paraId="72668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E9C6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F1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E5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A7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2FEC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1A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F0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12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5F2C8">
            <w:pPr>
              <w:rPr>
                <w:rFonts w:hint="eastAsia" w:ascii="黑体" w:hAnsi="黑体" w:eastAsia="黑体" w:cs="黑体"/>
                <w:i/>
                <w:iCs/>
                <w:color w:val="000000"/>
                <w:sz w:val="18"/>
                <w:szCs w:val="18"/>
                <w:highlight w:val="none"/>
                <w:u w:val="none"/>
              </w:rPr>
            </w:pPr>
          </w:p>
        </w:tc>
      </w:tr>
      <w:tr w14:paraId="69F53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B6DF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AE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7B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F1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BCA2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F7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B6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32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5D62E">
            <w:pPr>
              <w:rPr>
                <w:rFonts w:hint="eastAsia" w:ascii="黑体" w:hAnsi="黑体" w:eastAsia="黑体" w:cs="黑体"/>
                <w:i/>
                <w:iCs/>
                <w:color w:val="000000"/>
                <w:sz w:val="18"/>
                <w:szCs w:val="18"/>
                <w:highlight w:val="none"/>
                <w:u w:val="none"/>
              </w:rPr>
            </w:pPr>
          </w:p>
        </w:tc>
      </w:tr>
      <w:tr w14:paraId="19F6D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0DEE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7F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D545">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ABAE">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8EF87">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1ECA">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6C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40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C6E14">
            <w:pPr>
              <w:rPr>
                <w:rFonts w:hint="eastAsia" w:ascii="黑体" w:hAnsi="黑体" w:eastAsia="黑体" w:cs="黑体"/>
                <w:i/>
                <w:iCs/>
                <w:color w:val="000000"/>
                <w:sz w:val="18"/>
                <w:szCs w:val="18"/>
                <w:highlight w:val="none"/>
                <w:u w:val="none"/>
              </w:rPr>
            </w:pPr>
          </w:p>
        </w:tc>
      </w:tr>
      <w:tr w14:paraId="0F09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7CB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BB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0D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AD7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5C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E96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55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AFA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7C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ACB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06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51513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70D74">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475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B5A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6F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参加劳动保障监察培训人次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40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E1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98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B8A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237人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79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3C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7060B">
            <w:pPr>
              <w:jc w:val="center"/>
              <w:rPr>
                <w:rFonts w:hint="eastAsia" w:ascii="微软雅黑" w:hAnsi="微软雅黑" w:eastAsia="微软雅黑" w:cs="微软雅黑"/>
                <w:i/>
                <w:iCs/>
                <w:color w:val="000000"/>
                <w:sz w:val="16"/>
                <w:szCs w:val="16"/>
                <w:highlight w:val="none"/>
                <w:u w:val="none"/>
              </w:rPr>
            </w:pPr>
          </w:p>
        </w:tc>
      </w:tr>
      <w:tr w14:paraId="23050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EE9A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03300">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E27B2">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D5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执法装备和设备配置数量</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15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58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E8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套</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937C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4套</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C2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44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B062">
            <w:pPr>
              <w:jc w:val="center"/>
              <w:rPr>
                <w:rFonts w:hint="eastAsia" w:ascii="微软雅黑" w:hAnsi="微软雅黑" w:eastAsia="微软雅黑" w:cs="微软雅黑"/>
                <w:i/>
                <w:iCs/>
                <w:color w:val="000000"/>
                <w:sz w:val="16"/>
                <w:szCs w:val="16"/>
                <w:highlight w:val="none"/>
                <w:u w:val="none"/>
              </w:rPr>
            </w:pPr>
          </w:p>
        </w:tc>
      </w:tr>
      <w:tr w14:paraId="0ABAB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4A339">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F8045">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5CBC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DF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日常巡查及专项检查次数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6C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AF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BEA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5F7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73次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29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175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DC9B">
            <w:pPr>
              <w:jc w:val="center"/>
              <w:rPr>
                <w:rFonts w:hint="eastAsia" w:ascii="微软雅黑" w:hAnsi="微软雅黑" w:eastAsia="微软雅黑" w:cs="微软雅黑"/>
                <w:i/>
                <w:iCs/>
                <w:color w:val="000000"/>
                <w:sz w:val="16"/>
                <w:szCs w:val="16"/>
                <w:highlight w:val="none"/>
                <w:u w:val="none"/>
              </w:rPr>
            </w:pPr>
          </w:p>
        </w:tc>
      </w:tr>
      <w:tr w14:paraId="5D467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41F19">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00DB6">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F15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E0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考核完成率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D5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82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29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E9E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E6E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04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7F0C">
            <w:pPr>
              <w:jc w:val="center"/>
              <w:rPr>
                <w:rFonts w:hint="eastAsia" w:ascii="微软雅黑" w:hAnsi="微软雅黑" w:eastAsia="微软雅黑" w:cs="微软雅黑"/>
                <w:i/>
                <w:iCs/>
                <w:color w:val="000000"/>
                <w:sz w:val="16"/>
                <w:szCs w:val="16"/>
                <w:highlight w:val="none"/>
                <w:u w:val="none"/>
              </w:rPr>
            </w:pPr>
          </w:p>
        </w:tc>
      </w:tr>
      <w:tr w14:paraId="1E98F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0DC18">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49266">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D1A6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D4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培训合格率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31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C6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C5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48E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E1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38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D76F">
            <w:pPr>
              <w:jc w:val="center"/>
              <w:rPr>
                <w:rFonts w:hint="eastAsia" w:ascii="微软雅黑" w:hAnsi="微软雅黑" w:eastAsia="微软雅黑" w:cs="微软雅黑"/>
                <w:i/>
                <w:iCs/>
                <w:color w:val="000000"/>
                <w:sz w:val="16"/>
                <w:szCs w:val="16"/>
                <w:highlight w:val="none"/>
                <w:u w:val="none"/>
              </w:rPr>
            </w:pPr>
          </w:p>
        </w:tc>
      </w:tr>
      <w:tr w14:paraId="67FC6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7D5F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6FC2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1B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78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4C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96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3D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10F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FD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D9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F1F6">
            <w:pPr>
              <w:jc w:val="center"/>
              <w:rPr>
                <w:rFonts w:hint="eastAsia" w:ascii="微软雅黑" w:hAnsi="微软雅黑" w:eastAsia="微软雅黑" w:cs="微软雅黑"/>
                <w:i/>
                <w:iCs/>
                <w:color w:val="000000"/>
                <w:sz w:val="16"/>
                <w:szCs w:val="16"/>
                <w:highlight w:val="none"/>
                <w:u w:val="none"/>
              </w:rPr>
            </w:pPr>
          </w:p>
        </w:tc>
      </w:tr>
      <w:tr w14:paraId="7509C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740F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D1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52D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2B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劳动者合法权益保障率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D0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B2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F6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4E94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F9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7F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CB30">
            <w:pPr>
              <w:jc w:val="center"/>
              <w:rPr>
                <w:rFonts w:hint="eastAsia" w:ascii="微软雅黑" w:hAnsi="微软雅黑" w:eastAsia="微软雅黑" w:cs="微软雅黑"/>
                <w:i/>
                <w:iCs/>
                <w:color w:val="000000"/>
                <w:sz w:val="16"/>
                <w:szCs w:val="16"/>
                <w:highlight w:val="none"/>
                <w:u w:val="none"/>
              </w:rPr>
            </w:pPr>
          </w:p>
        </w:tc>
      </w:tr>
      <w:tr w14:paraId="7BA58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3C03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2C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BAB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C7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劳动者满意度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F9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1A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E15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F36B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0E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583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F52C">
            <w:pPr>
              <w:jc w:val="center"/>
              <w:rPr>
                <w:rFonts w:hint="eastAsia" w:ascii="微软雅黑" w:hAnsi="微软雅黑" w:eastAsia="微软雅黑" w:cs="微软雅黑"/>
                <w:i/>
                <w:iCs/>
                <w:color w:val="000000"/>
                <w:sz w:val="16"/>
                <w:szCs w:val="16"/>
                <w:highlight w:val="none"/>
                <w:u w:val="none"/>
              </w:rPr>
            </w:pPr>
          </w:p>
        </w:tc>
      </w:tr>
      <w:tr w14:paraId="0522B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0C853">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DC8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9F7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201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差旅费用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8A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A4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9C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8C7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5.98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66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0F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3E485">
            <w:pPr>
              <w:jc w:val="center"/>
              <w:rPr>
                <w:rFonts w:hint="eastAsia" w:ascii="微软雅黑" w:hAnsi="微软雅黑" w:eastAsia="微软雅黑" w:cs="微软雅黑"/>
                <w:i/>
                <w:iCs/>
                <w:color w:val="000000"/>
                <w:sz w:val="16"/>
                <w:szCs w:val="16"/>
                <w:highlight w:val="none"/>
                <w:u w:val="none"/>
              </w:rPr>
            </w:pPr>
          </w:p>
        </w:tc>
      </w:tr>
      <w:tr w14:paraId="0B665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EA759">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57DCF">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70DD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78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购买办公费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BB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ED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3.08</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30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758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3.08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9F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17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164A9">
            <w:pPr>
              <w:jc w:val="center"/>
              <w:rPr>
                <w:rFonts w:hint="eastAsia" w:ascii="微软雅黑" w:hAnsi="微软雅黑" w:eastAsia="微软雅黑" w:cs="微软雅黑"/>
                <w:i/>
                <w:iCs/>
                <w:color w:val="000000"/>
                <w:sz w:val="16"/>
                <w:szCs w:val="16"/>
                <w:highlight w:val="none"/>
                <w:u w:val="none"/>
              </w:rPr>
            </w:pPr>
          </w:p>
        </w:tc>
      </w:tr>
      <w:tr w14:paraId="446BB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1E95B">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B0321">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8DA06">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73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执法服装和设备费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A1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FD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B3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EB6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3.99万元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C2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F7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31EF">
            <w:pPr>
              <w:jc w:val="center"/>
              <w:rPr>
                <w:rFonts w:hint="eastAsia" w:ascii="微软雅黑" w:hAnsi="微软雅黑" w:eastAsia="微软雅黑" w:cs="微软雅黑"/>
                <w:i/>
                <w:iCs/>
                <w:color w:val="000000"/>
                <w:sz w:val="16"/>
                <w:szCs w:val="16"/>
                <w:highlight w:val="none"/>
                <w:u w:val="none"/>
              </w:rPr>
            </w:pPr>
          </w:p>
        </w:tc>
      </w:tr>
      <w:tr w14:paraId="4B1BC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97C2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8F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38A7">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89</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73F68">
            <w:pPr>
              <w:rPr>
                <w:rFonts w:hint="eastAsia" w:ascii="宋体" w:hAnsi="宋体" w:eastAsia="宋体" w:cs="宋体"/>
                <w:i w:val="0"/>
                <w:iCs w:val="0"/>
                <w:color w:val="000000"/>
                <w:sz w:val="18"/>
                <w:szCs w:val="18"/>
                <w:highlight w:val="none"/>
                <w:u w:val="none"/>
              </w:rPr>
            </w:pPr>
          </w:p>
        </w:tc>
      </w:tr>
      <w:tr w14:paraId="71058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C1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99004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57DF6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20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2B12C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7BCDB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97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78D26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2211A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B42ED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F39D3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007AD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30AB2DA2">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7245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0ADAB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1C4150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51320024T000011584557-职业技能大赛专项经费</w:t>
            </w:r>
          </w:p>
        </w:tc>
      </w:tr>
      <w:tr w14:paraId="2318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B0DF1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71C648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FFFFFF"/>
            <w:vAlign w:val="center"/>
          </w:tcPr>
          <w:p w14:paraId="6870E66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4D18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7E4CD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5F423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8C4F8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837B0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DE50739">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46CA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E76BB">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08BE94">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CDA6E3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 加快培养造就一批技艺精湛和素质优良的技能人才队伍，营造“劳动光荣、技能宝贵、创造伟大”的良好社会氛围，示范引领全社会广泛开展群众性岗位练兵、技术比武活动，促进我州劳动者整体素质不断提升。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5A64C4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对照年度目标，说明相关任务目标的完成情况（100字以内）</w:t>
            </w:r>
          </w:p>
        </w:tc>
      </w:tr>
      <w:tr w14:paraId="76440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E518B4">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F61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3D0858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先后组织参加焊工、电工、导游（讲解员）、中式烹调师、餐厅服务员、家政服务员、互联网营销师、快递员、羌绣、唐卡10个竞赛项目的阿坝州第七届农民技能大赛；餐厅服务、茶艺师、汽车维修3个竞赛项目的第三届川藏人力资源协同职业技能大赛；农产品食品检验员、育婴员、茶艺师3个竞赛项目的四川省第二届“巴山青杯”职业技能大赛。其中我州1名参赛选手荣获省级一类竞赛一等奖，2名选手荣获省级一类竞赛二等奖，</w:t>
            </w:r>
          </w:p>
        </w:tc>
      </w:tr>
      <w:tr w14:paraId="7BBBF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FDF8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AE4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E8B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F35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F4D3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5AA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997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9E1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634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328A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F6FFA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894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F27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761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4.12</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AA2F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4.12</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091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C60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E71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D18F31">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BA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38B33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683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DE8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83B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4.12</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E7CA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4.12</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86F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BEA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06D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B585B5">
            <w:pPr>
              <w:rPr>
                <w:rFonts w:hint="eastAsia" w:ascii="黑体" w:hAnsi="黑体" w:eastAsia="黑体" w:cs="黑体"/>
                <w:i/>
                <w:iCs/>
                <w:color w:val="000000"/>
                <w:sz w:val="18"/>
                <w:szCs w:val="18"/>
                <w:highlight w:val="none"/>
                <w:u w:val="none"/>
              </w:rPr>
            </w:pPr>
          </w:p>
        </w:tc>
      </w:tr>
      <w:tr w14:paraId="36F28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8ED23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8AF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446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DA8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9A03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4E8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3A3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83F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A318C">
            <w:pPr>
              <w:rPr>
                <w:rFonts w:hint="eastAsia" w:ascii="黑体" w:hAnsi="黑体" w:eastAsia="黑体" w:cs="黑体"/>
                <w:i/>
                <w:iCs/>
                <w:color w:val="000000"/>
                <w:sz w:val="18"/>
                <w:szCs w:val="18"/>
                <w:highlight w:val="none"/>
                <w:u w:val="none"/>
              </w:rPr>
            </w:pPr>
          </w:p>
        </w:tc>
      </w:tr>
      <w:tr w14:paraId="42AE0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7FDBC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B3B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D21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F17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8DF1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219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709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01C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4CDF1">
            <w:pPr>
              <w:rPr>
                <w:rFonts w:hint="eastAsia" w:ascii="黑体" w:hAnsi="黑体" w:eastAsia="黑体" w:cs="黑体"/>
                <w:i/>
                <w:iCs/>
                <w:color w:val="000000"/>
                <w:sz w:val="18"/>
                <w:szCs w:val="18"/>
                <w:highlight w:val="none"/>
                <w:u w:val="none"/>
              </w:rPr>
            </w:pPr>
          </w:p>
        </w:tc>
      </w:tr>
      <w:tr w14:paraId="50CB9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B60C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B1A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48FCF">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8DC21">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E640CC">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EFDB4">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96A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047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076A2C">
            <w:pPr>
              <w:rPr>
                <w:rFonts w:hint="eastAsia" w:ascii="黑体" w:hAnsi="黑体" w:eastAsia="黑体" w:cs="黑体"/>
                <w:i/>
                <w:iCs/>
                <w:color w:val="000000"/>
                <w:sz w:val="18"/>
                <w:szCs w:val="18"/>
                <w:highlight w:val="none"/>
                <w:u w:val="none"/>
              </w:rPr>
            </w:pPr>
          </w:p>
        </w:tc>
      </w:tr>
      <w:tr w14:paraId="053F2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3154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DED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234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38E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B1A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51A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77E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61E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3C9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5D1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538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239E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FA0DA7">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A30C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C6D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22B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参赛队员人数</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49F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228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F0A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0B5D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143</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3B8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A37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13003">
            <w:pPr>
              <w:jc w:val="center"/>
              <w:rPr>
                <w:rFonts w:hint="eastAsia" w:ascii="微软雅黑" w:hAnsi="微软雅黑" w:eastAsia="微软雅黑" w:cs="微软雅黑"/>
                <w:i/>
                <w:iCs/>
                <w:color w:val="000000"/>
                <w:sz w:val="16"/>
                <w:szCs w:val="16"/>
                <w:highlight w:val="none"/>
                <w:u w:val="none"/>
              </w:rPr>
            </w:pPr>
          </w:p>
        </w:tc>
      </w:tr>
      <w:tr w14:paraId="3BAF2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61EBA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43D4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884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488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技能人才参赛率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45C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FD5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DB4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F5C5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07C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E60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B5DFA">
            <w:pPr>
              <w:jc w:val="center"/>
              <w:rPr>
                <w:rFonts w:hint="eastAsia" w:ascii="微软雅黑" w:hAnsi="微软雅黑" w:eastAsia="微软雅黑" w:cs="微软雅黑"/>
                <w:i/>
                <w:iCs/>
                <w:color w:val="000000"/>
                <w:sz w:val="16"/>
                <w:szCs w:val="16"/>
                <w:highlight w:val="none"/>
                <w:u w:val="none"/>
              </w:rPr>
            </w:pPr>
          </w:p>
        </w:tc>
      </w:tr>
      <w:tr w14:paraId="256E9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1AB5B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FE56F2">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29B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5F9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项目完成时间</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44E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021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年底</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9E8A6">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1A56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年底</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23B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927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50616">
            <w:pPr>
              <w:jc w:val="center"/>
              <w:rPr>
                <w:rFonts w:hint="eastAsia" w:ascii="微软雅黑" w:hAnsi="微软雅黑" w:eastAsia="微软雅黑" w:cs="微软雅黑"/>
                <w:i/>
                <w:iCs/>
                <w:color w:val="000000"/>
                <w:sz w:val="16"/>
                <w:szCs w:val="16"/>
                <w:highlight w:val="none"/>
                <w:u w:val="none"/>
              </w:rPr>
            </w:pPr>
          </w:p>
        </w:tc>
      </w:tr>
      <w:tr w14:paraId="4C6F6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13D30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120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138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CE3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为全州培养更多的技能人才</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9C1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A96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D3E54">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A004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9FF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E61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58AA0">
            <w:pPr>
              <w:jc w:val="center"/>
              <w:rPr>
                <w:rFonts w:hint="eastAsia" w:ascii="微软雅黑" w:hAnsi="微软雅黑" w:eastAsia="微软雅黑" w:cs="微软雅黑"/>
                <w:i/>
                <w:iCs/>
                <w:color w:val="000000"/>
                <w:sz w:val="16"/>
                <w:szCs w:val="16"/>
                <w:highlight w:val="none"/>
                <w:u w:val="none"/>
              </w:rPr>
            </w:pPr>
          </w:p>
        </w:tc>
      </w:tr>
      <w:tr w14:paraId="05106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FB1BE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24F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11F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E4B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参赛队员对工作的满意度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B86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F61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887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807C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6FE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7DD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C1D2F">
            <w:pPr>
              <w:jc w:val="center"/>
              <w:rPr>
                <w:rFonts w:hint="eastAsia" w:ascii="微软雅黑" w:hAnsi="微软雅黑" w:eastAsia="微软雅黑" w:cs="微软雅黑"/>
                <w:i/>
                <w:iCs/>
                <w:color w:val="000000"/>
                <w:sz w:val="16"/>
                <w:szCs w:val="16"/>
                <w:highlight w:val="none"/>
                <w:u w:val="none"/>
              </w:rPr>
            </w:pPr>
          </w:p>
        </w:tc>
      </w:tr>
      <w:tr w14:paraId="0499A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FD4B1">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9A4F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E761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4BA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差旅费</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AF0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817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0E9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6FA0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69A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76F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2243B">
            <w:pPr>
              <w:jc w:val="center"/>
              <w:rPr>
                <w:rFonts w:hint="eastAsia" w:ascii="微软雅黑" w:hAnsi="微软雅黑" w:eastAsia="微软雅黑" w:cs="微软雅黑"/>
                <w:i/>
                <w:iCs/>
                <w:color w:val="000000"/>
                <w:sz w:val="16"/>
                <w:szCs w:val="16"/>
                <w:highlight w:val="none"/>
                <w:u w:val="none"/>
              </w:rPr>
            </w:pPr>
          </w:p>
        </w:tc>
      </w:tr>
      <w:tr w14:paraId="04A9E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EB79D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1243C">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7C9D1">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2F5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项目总金额</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B76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BED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F7A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33CE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4.1198</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44B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0D5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FF4B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月下旬，我州选派人员参加在河南郑州举办的中华人民共和国第三届职业技能大赛和展示交流活动，初期省厅采纳同意并已报送名单参加，后因需要新兴产业方面选手及参展人员，我州无符合条件人员，所以拟定的参赛取消。</w:t>
            </w:r>
          </w:p>
        </w:tc>
      </w:tr>
      <w:tr w14:paraId="55D3C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36E0C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E27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C0A08">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97</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349B1">
            <w:pPr>
              <w:rPr>
                <w:rFonts w:hint="eastAsia" w:ascii="宋体" w:hAnsi="宋体" w:eastAsia="宋体" w:cs="宋体"/>
                <w:i w:val="0"/>
                <w:iCs w:val="0"/>
                <w:color w:val="000000"/>
                <w:sz w:val="18"/>
                <w:szCs w:val="18"/>
                <w:highlight w:val="none"/>
                <w:u w:val="none"/>
              </w:rPr>
            </w:pPr>
          </w:p>
        </w:tc>
      </w:tr>
      <w:tr w14:paraId="76661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9CA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813E6E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该项目实施情况较好，实现了年初绩效目标，大赛组委会和参赛队员满意度取得了预期成效。</w:t>
            </w:r>
          </w:p>
        </w:tc>
      </w:tr>
      <w:tr w14:paraId="548CC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161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BF5EB6D">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9808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D7E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218689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5056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0BE9162">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项目负责人：张敏</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CA7A7A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财务负责人：宁华荣</w:t>
            </w:r>
          </w:p>
        </w:tc>
      </w:tr>
      <w:tr w14:paraId="7BA7F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B710C3">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89E4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DBD8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C4F3C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51320025T000012509499-劳鉴、工伤认定专项经费</w:t>
            </w:r>
          </w:p>
        </w:tc>
      </w:tr>
      <w:tr w14:paraId="132D2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C4C9F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1A27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2447E99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2145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75BFC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17ADE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5AC6F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D9BE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051A50">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81C9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5A346">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5EB98">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DB163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开展工伤及劳鉴宣传相关、组织全州从事工伤认定及社保经办工作的人员进行业务培训，州级工伤认定案件进行外调等工作。二、根据《四川省工伤保险条例》对阿坝州劳动能力鉴定专家库进行系统培训。三、2025年劳动能力鉴定拟开展6次，对全州工伤职工申请劳动能力鉴定、因病非因工丧失劳动能力鉴定及其他委托鉴定或上门鉴定工作。通过开展工伤认定和劳动能力鉴定工作，有效维护受伤害职工及用人单位权益，维护社会稳定。</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6DD6F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2025年全年共开展劳动能力鉴定5次，共鉴定656人次。开展工伤宣传活动1次，开展全州工伤认定暨工伤案卷评查1次。2025年州本级共认定为工伤55件、视同工伤1件，不予认定4件，前往成都、都江堰、茂县、德阳等地开展工伤案件调查25次。</w:t>
            </w:r>
          </w:p>
        </w:tc>
      </w:tr>
      <w:tr w14:paraId="38034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D086A">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F30E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71A65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全年共开展劳动能力鉴定5次，共鉴定656人次。开展工伤宣传活动1次，开展全州工伤认定暨工伤案卷评查1次。2025年州本级共认定为工伤55件、视同工伤1件，不予认定4件，前往成都、都江堰、茂县、德阳等地开展工伤案件调查25次。</w:t>
            </w:r>
          </w:p>
        </w:tc>
      </w:tr>
      <w:tr w14:paraId="400EC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AA8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803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CCC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64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225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BD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3B9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1D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B50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23C00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004C7">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B1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CCD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39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27.98</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91E0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27.98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83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69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63E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651348">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F4F8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AC14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3C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1E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85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27.98</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4FAD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27.98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FD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FD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7A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1370B">
            <w:pPr>
              <w:rPr>
                <w:rFonts w:hint="eastAsia" w:ascii="黑体" w:hAnsi="黑体" w:eastAsia="黑体" w:cs="黑体"/>
                <w:i/>
                <w:iCs/>
                <w:color w:val="000000"/>
                <w:sz w:val="18"/>
                <w:szCs w:val="18"/>
                <w:highlight w:val="none"/>
                <w:u w:val="none"/>
              </w:rPr>
            </w:pPr>
          </w:p>
        </w:tc>
      </w:tr>
      <w:tr w14:paraId="6B3F5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A1E5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A5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74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9E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834C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190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6AB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3D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8A5CA">
            <w:pPr>
              <w:rPr>
                <w:rFonts w:hint="eastAsia" w:ascii="黑体" w:hAnsi="黑体" w:eastAsia="黑体" w:cs="黑体"/>
                <w:i/>
                <w:iCs/>
                <w:color w:val="000000"/>
                <w:sz w:val="18"/>
                <w:szCs w:val="18"/>
                <w:highlight w:val="none"/>
                <w:u w:val="none"/>
              </w:rPr>
            </w:pPr>
          </w:p>
        </w:tc>
      </w:tr>
      <w:tr w14:paraId="2FAB9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2923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4BA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93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F2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9B9D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331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0E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E1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A6D79">
            <w:pPr>
              <w:rPr>
                <w:rFonts w:hint="eastAsia" w:ascii="黑体" w:hAnsi="黑体" w:eastAsia="黑体" w:cs="黑体"/>
                <w:i/>
                <w:iCs/>
                <w:color w:val="000000"/>
                <w:sz w:val="18"/>
                <w:szCs w:val="18"/>
                <w:highlight w:val="none"/>
                <w:u w:val="none"/>
              </w:rPr>
            </w:pPr>
          </w:p>
        </w:tc>
      </w:tr>
      <w:tr w14:paraId="106EA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1BB7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B4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6048">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42605">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1901A7">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31F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7B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9E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11E7E">
            <w:pPr>
              <w:rPr>
                <w:rFonts w:hint="eastAsia" w:ascii="黑体" w:hAnsi="黑体" w:eastAsia="黑体" w:cs="黑体"/>
                <w:i/>
                <w:iCs/>
                <w:color w:val="000000"/>
                <w:sz w:val="18"/>
                <w:szCs w:val="18"/>
                <w:highlight w:val="none"/>
                <w:u w:val="none"/>
              </w:rPr>
            </w:pPr>
          </w:p>
        </w:tc>
      </w:tr>
      <w:tr w14:paraId="7F5CA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1D9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16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39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2C9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11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AB7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B09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A3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41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11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D2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7053C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4C297">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974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2E5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11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专家培训场次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B9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0E5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CA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2BF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84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2D0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3EEE">
            <w:pPr>
              <w:jc w:val="center"/>
              <w:rPr>
                <w:rFonts w:hint="eastAsia" w:ascii="微软雅黑" w:hAnsi="微软雅黑" w:eastAsia="微软雅黑" w:cs="微软雅黑"/>
                <w:i/>
                <w:iCs/>
                <w:color w:val="000000"/>
                <w:sz w:val="16"/>
                <w:szCs w:val="16"/>
                <w:highlight w:val="none"/>
                <w:u w:val="none"/>
              </w:rPr>
            </w:pPr>
          </w:p>
        </w:tc>
      </w:tr>
      <w:tr w14:paraId="7DEFB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63567">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48CCF">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B9B74">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E7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开展全州劳动能力次数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85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4E0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C5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2E4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C9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D6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DB6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受州内申请鉴定人数影响</w:t>
            </w:r>
          </w:p>
        </w:tc>
      </w:tr>
      <w:tr w14:paraId="06622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A08B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3F0F3">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F016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45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工伤认定外调次数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3D6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BED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BD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5327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67D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47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BB10">
            <w:pPr>
              <w:jc w:val="center"/>
              <w:rPr>
                <w:rFonts w:hint="eastAsia" w:ascii="微软雅黑" w:hAnsi="微软雅黑" w:eastAsia="微软雅黑" w:cs="微软雅黑"/>
                <w:i/>
                <w:iCs/>
                <w:color w:val="000000"/>
                <w:sz w:val="16"/>
                <w:szCs w:val="16"/>
                <w:highlight w:val="none"/>
                <w:u w:val="none"/>
              </w:rPr>
            </w:pPr>
          </w:p>
        </w:tc>
      </w:tr>
      <w:tr w14:paraId="766B1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9D753">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121B4">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43C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AA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劳动能力鉴定完成情况</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CA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D8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按计划完成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8B8F">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38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按计划完成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F7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71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F1A6">
            <w:pPr>
              <w:jc w:val="center"/>
              <w:rPr>
                <w:rFonts w:hint="eastAsia" w:ascii="微软雅黑" w:hAnsi="微软雅黑" w:eastAsia="微软雅黑" w:cs="微软雅黑"/>
                <w:i/>
                <w:iCs/>
                <w:color w:val="000000"/>
                <w:sz w:val="16"/>
                <w:szCs w:val="16"/>
                <w:highlight w:val="none"/>
                <w:u w:val="none"/>
              </w:rPr>
            </w:pPr>
          </w:p>
        </w:tc>
      </w:tr>
      <w:tr w14:paraId="10FF1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463A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8ED87">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2FB8D">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0B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专家培训及库更新情况</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BE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EA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按时完成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6B6A">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BB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按时完成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E7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31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0B53">
            <w:pPr>
              <w:jc w:val="center"/>
              <w:rPr>
                <w:rFonts w:hint="eastAsia" w:ascii="微软雅黑" w:hAnsi="微软雅黑" w:eastAsia="微软雅黑" w:cs="微软雅黑"/>
                <w:i/>
                <w:iCs/>
                <w:color w:val="000000"/>
                <w:sz w:val="16"/>
                <w:szCs w:val="16"/>
                <w:highlight w:val="none"/>
                <w:u w:val="none"/>
              </w:rPr>
            </w:pPr>
          </w:p>
        </w:tc>
      </w:tr>
      <w:tr w14:paraId="09450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3847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5A8D9">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3242A">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A07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完成劳动能力鉴定、工伤认定率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93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7C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07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6FD1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F4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8C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334CE">
            <w:pPr>
              <w:jc w:val="center"/>
              <w:rPr>
                <w:rFonts w:hint="eastAsia" w:ascii="微软雅黑" w:hAnsi="微软雅黑" w:eastAsia="微软雅黑" w:cs="微软雅黑"/>
                <w:i/>
                <w:iCs/>
                <w:color w:val="000000"/>
                <w:sz w:val="16"/>
                <w:szCs w:val="16"/>
                <w:highlight w:val="none"/>
                <w:u w:val="none"/>
              </w:rPr>
            </w:pPr>
          </w:p>
        </w:tc>
      </w:tr>
      <w:tr w14:paraId="7F64B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A25CB">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1BB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E26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C5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维护职工及用人单位权益</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5D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02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好</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120B">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3BA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9E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62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E4227">
            <w:pPr>
              <w:jc w:val="center"/>
              <w:rPr>
                <w:rFonts w:hint="eastAsia" w:ascii="微软雅黑" w:hAnsi="微软雅黑" w:eastAsia="微软雅黑" w:cs="微软雅黑"/>
                <w:i/>
                <w:iCs/>
                <w:color w:val="000000"/>
                <w:sz w:val="16"/>
                <w:szCs w:val="16"/>
                <w:highlight w:val="none"/>
                <w:u w:val="none"/>
              </w:rPr>
            </w:pPr>
          </w:p>
        </w:tc>
      </w:tr>
      <w:tr w14:paraId="598C6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2389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D1089">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0A2AB">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7B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保障伤病职工和用人单位的合法权益</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ED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EB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有效保障</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0E05A">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C0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有效保障</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ED4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6C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D9475">
            <w:pPr>
              <w:jc w:val="center"/>
              <w:rPr>
                <w:rFonts w:hint="eastAsia" w:ascii="微软雅黑" w:hAnsi="微软雅黑" w:eastAsia="微软雅黑" w:cs="微软雅黑"/>
                <w:i/>
                <w:iCs/>
                <w:color w:val="000000"/>
                <w:sz w:val="16"/>
                <w:szCs w:val="16"/>
                <w:highlight w:val="none"/>
                <w:u w:val="none"/>
              </w:rPr>
            </w:pPr>
          </w:p>
        </w:tc>
      </w:tr>
      <w:tr w14:paraId="00BA9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9569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AE6C1">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A2A3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69A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保障因公受伤职工权益</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88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BC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保障情况好</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F98D">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A2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保障情况好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9F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9F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D64E">
            <w:pPr>
              <w:jc w:val="center"/>
              <w:rPr>
                <w:rFonts w:hint="eastAsia" w:ascii="微软雅黑" w:hAnsi="微软雅黑" w:eastAsia="微软雅黑" w:cs="微软雅黑"/>
                <w:i/>
                <w:iCs/>
                <w:color w:val="000000"/>
                <w:sz w:val="16"/>
                <w:szCs w:val="16"/>
                <w:highlight w:val="none"/>
                <w:u w:val="none"/>
              </w:rPr>
            </w:pPr>
          </w:p>
        </w:tc>
      </w:tr>
      <w:tr w14:paraId="68DD3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57F8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F5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65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87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参加劳动能力鉴定及工伤认定职工满意度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7F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AA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F1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E38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D8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E7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2A83">
            <w:pPr>
              <w:jc w:val="center"/>
              <w:rPr>
                <w:rFonts w:hint="eastAsia" w:ascii="微软雅黑" w:hAnsi="微软雅黑" w:eastAsia="微软雅黑" w:cs="微软雅黑"/>
                <w:i/>
                <w:iCs/>
                <w:color w:val="000000"/>
                <w:sz w:val="16"/>
                <w:szCs w:val="16"/>
                <w:highlight w:val="none"/>
                <w:u w:val="none"/>
              </w:rPr>
            </w:pPr>
          </w:p>
        </w:tc>
      </w:tr>
      <w:tr w14:paraId="1E2D8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B0BD8">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9ED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D5C3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791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工伤认定项目总成本</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16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81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C1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300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88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C5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75E3">
            <w:pPr>
              <w:jc w:val="center"/>
              <w:rPr>
                <w:rFonts w:hint="eastAsia" w:ascii="微软雅黑" w:hAnsi="微软雅黑" w:eastAsia="微软雅黑" w:cs="微软雅黑"/>
                <w:i/>
                <w:iCs/>
                <w:color w:val="000000"/>
                <w:sz w:val="16"/>
                <w:szCs w:val="16"/>
                <w:highlight w:val="none"/>
                <w:u w:val="none"/>
              </w:rPr>
            </w:pPr>
          </w:p>
        </w:tc>
      </w:tr>
      <w:tr w14:paraId="3F79D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AF20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B5070">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4B482">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34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劳动能力鉴定项目总成本</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97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76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8D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38B9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0C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E4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A702">
            <w:pPr>
              <w:jc w:val="center"/>
              <w:rPr>
                <w:rFonts w:hint="eastAsia" w:ascii="微软雅黑" w:hAnsi="微软雅黑" w:eastAsia="微软雅黑" w:cs="微软雅黑"/>
                <w:i/>
                <w:iCs/>
                <w:color w:val="000000"/>
                <w:sz w:val="16"/>
                <w:szCs w:val="16"/>
                <w:highlight w:val="none"/>
                <w:u w:val="none"/>
              </w:rPr>
            </w:pPr>
          </w:p>
        </w:tc>
      </w:tr>
      <w:tr w14:paraId="2B93D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6C69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0F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0FE1">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17ADE">
            <w:pPr>
              <w:rPr>
                <w:rFonts w:hint="eastAsia" w:ascii="宋体" w:hAnsi="宋体" w:eastAsia="宋体" w:cs="宋体"/>
                <w:i w:val="0"/>
                <w:iCs w:val="0"/>
                <w:color w:val="000000"/>
                <w:sz w:val="18"/>
                <w:szCs w:val="18"/>
                <w:highlight w:val="none"/>
                <w:u w:val="none"/>
              </w:rPr>
            </w:pPr>
          </w:p>
        </w:tc>
      </w:tr>
      <w:tr w14:paraId="1815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90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22E2D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说明项目自评总分，说明项目实施取得的成效或成果。（2025年全年共开展劳动能力鉴定5次，共鉴定656人次。开展工伤宣传活动1次，开展全州工伤认定暨工伤案卷评查1次。2025年州本级共认定为工伤55件、视同工伤1件，不予认定4件，前往成都、都江堰、茂县、德阳等地开展工伤案件调查25次。维护了工伤职工及用人单位合法权益，加快经办时间，做好温暖人社，更好的为伤者服好务。依据法律的授权对职工因事故伤害（或者患职业病）是否属于工伤或者视同工伤给予定性的行政确认。减少开展次数，缩短鉴定天数，相对节约经济成本.</w:t>
            </w:r>
          </w:p>
        </w:tc>
      </w:tr>
      <w:tr w14:paraId="710B5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C57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5F48E53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工作人员不足，设备老化</w:t>
            </w:r>
          </w:p>
        </w:tc>
      </w:tr>
      <w:tr w14:paraId="4BBF9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7BAA75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E673C0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补充相关工作人员，优化设备。</w:t>
            </w:r>
          </w:p>
        </w:tc>
      </w:tr>
      <w:tr w14:paraId="45C0C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796604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项目负责人：王娜</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EF08E5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财务负责人：宁华荣</w:t>
            </w:r>
          </w:p>
        </w:tc>
      </w:tr>
      <w:tr w14:paraId="01D8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auto"/>
            <w:vAlign w:val="center"/>
          </w:tcPr>
          <w:p w14:paraId="0C624FC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BCF5B0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998B69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6C7B8A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D06003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DA9A60D">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B08F57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9DA896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80B7C0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830E17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B62585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EA785DC">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41FA1BC">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177787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AD2D1CC">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41C04B1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01512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3C328F14">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7701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841C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4D8DD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51320025T000012581580-“一卡通”平台运维服务费</w:t>
            </w:r>
          </w:p>
        </w:tc>
      </w:tr>
      <w:tr w14:paraId="73ED8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E8FE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97EA1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6DDB1FA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E84F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602BF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1F10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A52F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512F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21D044">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2FB16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58581">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717BF">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DD440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确保阿坝州惠民惠农“一卡通”发放监管平台和阳光审批平台正常、安全、稳定运行，为阿坝州惠民惠农财政补贴资金按时发放提供信息化支撑。</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8779D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4FA96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9A22B">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E2E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7C3BA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确保阿坝州惠民惠农“一卡通”发放监管平台和阳光审批平台正常、安全、稳定运行，为阿坝州惠民惠农财政补贴资金按时发放提供信息化支撑。</w:t>
            </w:r>
          </w:p>
        </w:tc>
      </w:tr>
      <w:tr w14:paraId="14EC3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C5B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00F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DA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B3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6299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49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A4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C7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C4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3F2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42DC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F7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35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59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0.13</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D5D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0.13</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BF3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45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D7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3787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C781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0F5D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544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D6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A7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0.13</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23B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0.13</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60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B4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6AC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A7B3B">
            <w:pPr>
              <w:rPr>
                <w:rFonts w:hint="eastAsia" w:ascii="黑体" w:hAnsi="黑体" w:eastAsia="黑体" w:cs="黑体"/>
                <w:i/>
                <w:iCs/>
                <w:color w:val="000000"/>
                <w:sz w:val="18"/>
                <w:szCs w:val="18"/>
                <w:highlight w:val="none"/>
                <w:u w:val="none"/>
              </w:rPr>
            </w:pPr>
          </w:p>
        </w:tc>
      </w:tr>
      <w:tr w14:paraId="11A0F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3288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93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B8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6F1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332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A7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EE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D4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C3D24">
            <w:pPr>
              <w:rPr>
                <w:rFonts w:hint="eastAsia" w:ascii="黑体" w:hAnsi="黑体" w:eastAsia="黑体" w:cs="黑体"/>
                <w:i/>
                <w:iCs/>
                <w:color w:val="000000"/>
                <w:sz w:val="18"/>
                <w:szCs w:val="18"/>
                <w:highlight w:val="none"/>
                <w:u w:val="none"/>
              </w:rPr>
            </w:pPr>
          </w:p>
        </w:tc>
      </w:tr>
      <w:tr w14:paraId="3EAD8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F412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48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D3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26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444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6B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E5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29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4CCB0">
            <w:pPr>
              <w:rPr>
                <w:rFonts w:hint="eastAsia" w:ascii="黑体" w:hAnsi="黑体" w:eastAsia="黑体" w:cs="黑体"/>
                <w:i/>
                <w:iCs/>
                <w:color w:val="000000"/>
                <w:sz w:val="18"/>
                <w:szCs w:val="18"/>
                <w:highlight w:val="none"/>
                <w:u w:val="none"/>
              </w:rPr>
            </w:pPr>
          </w:p>
        </w:tc>
      </w:tr>
      <w:tr w14:paraId="0A853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FC22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D8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36450">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D515">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6B08B4">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A04F">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3CA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57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AFF2D">
            <w:pPr>
              <w:rPr>
                <w:rFonts w:hint="eastAsia" w:ascii="黑体" w:hAnsi="黑体" w:eastAsia="黑体" w:cs="黑体"/>
                <w:i/>
                <w:iCs/>
                <w:color w:val="000000"/>
                <w:sz w:val="18"/>
                <w:szCs w:val="18"/>
                <w:highlight w:val="none"/>
                <w:u w:val="none"/>
              </w:rPr>
            </w:pPr>
          </w:p>
        </w:tc>
      </w:tr>
      <w:tr w14:paraId="313D1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655B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33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29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2C8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63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5E7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CE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DC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91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F5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61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366FA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2BBCB">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98B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F5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B76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阿坝州惠民惠农“一卡通”发放监管平台和阳光审批平台运行维护保养服务批次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89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46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A6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0CD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1批次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7E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CC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F36AF">
            <w:pPr>
              <w:jc w:val="center"/>
              <w:rPr>
                <w:rFonts w:hint="eastAsia" w:ascii="微软雅黑" w:hAnsi="微软雅黑" w:eastAsia="微软雅黑" w:cs="微软雅黑"/>
                <w:i/>
                <w:iCs/>
                <w:color w:val="000000"/>
                <w:sz w:val="16"/>
                <w:szCs w:val="16"/>
                <w:highlight w:val="none"/>
                <w:u w:val="none"/>
              </w:rPr>
            </w:pPr>
          </w:p>
        </w:tc>
      </w:tr>
      <w:tr w14:paraId="62EAC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69485">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EB91D">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B0E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77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确保阿坝州惠民惠农“一卡通”发放监管平台和阳光审批平台稳定率。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5E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5F5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2B3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561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57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A3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3678">
            <w:pPr>
              <w:jc w:val="center"/>
              <w:rPr>
                <w:rFonts w:hint="eastAsia" w:ascii="微软雅黑" w:hAnsi="微软雅黑" w:eastAsia="微软雅黑" w:cs="微软雅黑"/>
                <w:i/>
                <w:iCs/>
                <w:color w:val="000000"/>
                <w:sz w:val="16"/>
                <w:szCs w:val="16"/>
                <w:highlight w:val="none"/>
                <w:u w:val="none"/>
              </w:rPr>
            </w:pPr>
          </w:p>
        </w:tc>
      </w:tr>
      <w:tr w14:paraId="26585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2CF78">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F4331">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A5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2A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11月底前完成率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DF3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F8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BA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3F1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ACA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383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4DBF">
            <w:pPr>
              <w:jc w:val="center"/>
              <w:rPr>
                <w:rFonts w:hint="eastAsia" w:ascii="微软雅黑" w:hAnsi="微软雅黑" w:eastAsia="微软雅黑" w:cs="微软雅黑"/>
                <w:i/>
                <w:iCs/>
                <w:color w:val="000000"/>
                <w:sz w:val="16"/>
                <w:szCs w:val="16"/>
                <w:highlight w:val="none"/>
                <w:u w:val="none"/>
              </w:rPr>
            </w:pPr>
          </w:p>
        </w:tc>
      </w:tr>
      <w:tr w14:paraId="04808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A6163">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925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0DF7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F4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确保阿坝州惠民惠农“一卡通”发放监管平台和阳光审批平台正常、安全、稳定运行。</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27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3C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维护网络稳定</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25A6">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E23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维护网络稳定</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08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06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FF09">
            <w:pPr>
              <w:jc w:val="center"/>
              <w:rPr>
                <w:rFonts w:hint="eastAsia" w:ascii="微软雅黑" w:hAnsi="微软雅黑" w:eastAsia="微软雅黑" w:cs="微软雅黑"/>
                <w:i/>
                <w:iCs/>
                <w:color w:val="000000"/>
                <w:sz w:val="16"/>
                <w:szCs w:val="16"/>
                <w:highlight w:val="none"/>
                <w:u w:val="none"/>
              </w:rPr>
            </w:pPr>
          </w:p>
        </w:tc>
      </w:tr>
      <w:tr w14:paraId="3498B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0463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0B805">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7243B">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0A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为阿坝州惠民惠农财政补贴资金按时发放提供信息化支撑。</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4C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68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有效保障</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9698D">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FA7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有效保障</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E5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20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BFCD">
            <w:pPr>
              <w:jc w:val="center"/>
              <w:rPr>
                <w:rFonts w:hint="eastAsia" w:ascii="微软雅黑" w:hAnsi="微软雅黑" w:eastAsia="微软雅黑" w:cs="微软雅黑"/>
                <w:i/>
                <w:iCs/>
                <w:color w:val="000000"/>
                <w:sz w:val="16"/>
                <w:szCs w:val="16"/>
                <w:highlight w:val="none"/>
                <w:u w:val="none"/>
              </w:rPr>
            </w:pPr>
          </w:p>
        </w:tc>
      </w:tr>
      <w:tr w14:paraId="7DCEE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0B6D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BE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FC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36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社会公众对相关工作的满意度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13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EB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AC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E6F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EF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42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4BEA">
            <w:pPr>
              <w:jc w:val="center"/>
              <w:rPr>
                <w:rFonts w:hint="eastAsia" w:ascii="微软雅黑" w:hAnsi="微软雅黑" w:eastAsia="微软雅黑" w:cs="微软雅黑"/>
                <w:i/>
                <w:iCs/>
                <w:color w:val="000000"/>
                <w:sz w:val="16"/>
                <w:szCs w:val="16"/>
                <w:highlight w:val="none"/>
                <w:u w:val="none"/>
              </w:rPr>
            </w:pPr>
          </w:p>
        </w:tc>
      </w:tr>
      <w:tr w14:paraId="4EAC9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E480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41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41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54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维修（护）费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32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01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99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621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0.13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99A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05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C251">
            <w:pPr>
              <w:jc w:val="center"/>
              <w:rPr>
                <w:rFonts w:hint="eastAsia" w:ascii="微软雅黑" w:hAnsi="微软雅黑" w:eastAsia="微软雅黑" w:cs="微软雅黑"/>
                <w:i/>
                <w:iCs/>
                <w:color w:val="000000"/>
                <w:sz w:val="16"/>
                <w:szCs w:val="16"/>
                <w:highlight w:val="none"/>
                <w:u w:val="none"/>
              </w:rPr>
            </w:pPr>
          </w:p>
        </w:tc>
      </w:tr>
      <w:tr w14:paraId="7DB46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7154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FC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852F">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43DF">
            <w:pPr>
              <w:rPr>
                <w:rFonts w:hint="eastAsia" w:ascii="宋体" w:hAnsi="宋体" w:eastAsia="宋体" w:cs="宋体"/>
                <w:i w:val="0"/>
                <w:iCs w:val="0"/>
                <w:color w:val="000000"/>
                <w:sz w:val="18"/>
                <w:szCs w:val="18"/>
                <w:highlight w:val="none"/>
                <w:u w:val="none"/>
              </w:rPr>
            </w:pPr>
          </w:p>
        </w:tc>
      </w:tr>
      <w:tr w14:paraId="3365B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DF1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65156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完成良好</w:t>
            </w:r>
          </w:p>
        </w:tc>
      </w:tr>
      <w:tr w14:paraId="2F9CD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DB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A43184">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5FC28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69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E91FC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7827B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322B051">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2F628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7BA61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6E0D41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51320025T000012816451-事业人员培训专项</w:t>
            </w:r>
          </w:p>
        </w:tc>
      </w:tr>
      <w:tr w14:paraId="1FE06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35218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F7E757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FFFFFF"/>
            <w:vAlign w:val="center"/>
          </w:tcPr>
          <w:p w14:paraId="76ABD2B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EC07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358F8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B974E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608C3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20F61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6A6871A">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F17D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B23925">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69B5B9">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19E5A7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通过培训，提升事业单位新进人员的政治鉴别能力、公共服务能力、学习能力、履职能力、沟通协调能力、心理调适能力，使其尽快熟悉、掌握履行职责所需的基本知识与技能。</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20E552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按照上一年度新招录的事业单位工作人员总数，项目于2025年6-8月实施，共开展7期，培训641人，圆满完成年度任务。</w:t>
            </w:r>
          </w:p>
        </w:tc>
      </w:tr>
      <w:tr w14:paraId="323B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BB1522">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7EF0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6BC390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局务会议决定，2025年6月15日至8月8日，阿坝州2024年新进事业单位工作人员岗前培训（教育类、卫生类和综合类）分别委托阿坝师范学院、汶川天地映秀培训中心有限公司和阿坝开放大学组织实施。培训内容紧扣国情省情州情和相关政策法规，达到了预期目标。</w:t>
            </w:r>
          </w:p>
        </w:tc>
      </w:tr>
      <w:tr w14:paraId="707FB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3870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74D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831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D64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B985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1E4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1A8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340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6CB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238E9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EC7B3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3F8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862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E80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27.89</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E340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27.89</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BB8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0D9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68B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E1212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96F2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74E1C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2F7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E09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496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27.89</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EC68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27.89</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638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C3C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12C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605C1">
            <w:pPr>
              <w:rPr>
                <w:rFonts w:hint="eastAsia" w:ascii="黑体" w:hAnsi="黑体" w:eastAsia="黑体" w:cs="黑体"/>
                <w:i/>
                <w:iCs/>
                <w:color w:val="000000"/>
                <w:sz w:val="18"/>
                <w:szCs w:val="18"/>
                <w:highlight w:val="none"/>
                <w:u w:val="none"/>
              </w:rPr>
            </w:pPr>
          </w:p>
        </w:tc>
      </w:tr>
      <w:tr w14:paraId="4F9F5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84C0D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389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001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ADA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3748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91E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86D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AC1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09F653">
            <w:pPr>
              <w:rPr>
                <w:rFonts w:hint="eastAsia" w:ascii="黑体" w:hAnsi="黑体" w:eastAsia="黑体" w:cs="黑体"/>
                <w:i/>
                <w:iCs/>
                <w:color w:val="000000"/>
                <w:sz w:val="18"/>
                <w:szCs w:val="18"/>
                <w:highlight w:val="none"/>
                <w:u w:val="none"/>
              </w:rPr>
            </w:pPr>
          </w:p>
        </w:tc>
      </w:tr>
      <w:tr w14:paraId="43938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3DB38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E98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EAD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A21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0C89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36B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1D1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C24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E2171A">
            <w:pPr>
              <w:rPr>
                <w:rFonts w:hint="eastAsia" w:ascii="黑体" w:hAnsi="黑体" w:eastAsia="黑体" w:cs="黑体"/>
                <w:i/>
                <w:iCs/>
                <w:color w:val="000000"/>
                <w:sz w:val="18"/>
                <w:szCs w:val="18"/>
                <w:highlight w:val="none"/>
                <w:u w:val="none"/>
              </w:rPr>
            </w:pPr>
          </w:p>
        </w:tc>
      </w:tr>
      <w:tr w14:paraId="687FF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16482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4D6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BADA9">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C9667">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A93D28">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A96F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7A5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61E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2BD52">
            <w:pPr>
              <w:rPr>
                <w:rFonts w:hint="eastAsia" w:ascii="黑体" w:hAnsi="黑体" w:eastAsia="黑体" w:cs="黑体"/>
                <w:i/>
                <w:iCs/>
                <w:color w:val="000000"/>
                <w:sz w:val="18"/>
                <w:szCs w:val="18"/>
                <w:highlight w:val="none"/>
                <w:u w:val="none"/>
              </w:rPr>
            </w:pPr>
          </w:p>
        </w:tc>
      </w:tr>
      <w:tr w14:paraId="75188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98C8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9FF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81A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054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D97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656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399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DA3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099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76E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422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36505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301C1">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0727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47A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0D1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参训人数</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D9E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E8A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10B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C0D7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641</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9F8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ACA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1417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按照上一年度招录的人数实施。</w:t>
            </w:r>
          </w:p>
        </w:tc>
      </w:tr>
      <w:tr w14:paraId="7ACDF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0E30F2">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9FAE68">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A92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CD9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参训人员合格率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891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F5A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CCF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3DBB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96</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CB0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72A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B0A1E">
            <w:pPr>
              <w:jc w:val="center"/>
              <w:rPr>
                <w:rFonts w:hint="eastAsia" w:ascii="微软雅黑" w:hAnsi="微软雅黑" w:eastAsia="微软雅黑" w:cs="微软雅黑"/>
                <w:i/>
                <w:iCs/>
                <w:color w:val="000000"/>
                <w:sz w:val="16"/>
                <w:szCs w:val="16"/>
                <w:highlight w:val="none"/>
                <w:u w:val="none"/>
              </w:rPr>
            </w:pPr>
          </w:p>
        </w:tc>
      </w:tr>
      <w:tr w14:paraId="64DCF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372E9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DB4E99">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35E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AB1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培训计划按期完成率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6CA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BE5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ED7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2479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B3B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6A2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D8CEC">
            <w:pPr>
              <w:jc w:val="center"/>
              <w:rPr>
                <w:rFonts w:hint="eastAsia" w:ascii="微软雅黑" w:hAnsi="微软雅黑" w:eastAsia="微软雅黑" w:cs="微软雅黑"/>
                <w:i/>
                <w:iCs/>
                <w:color w:val="000000"/>
                <w:sz w:val="16"/>
                <w:szCs w:val="16"/>
                <w:highlight w:val="none"/>
                <w:u w:val="none"/>
              </w:rPr>
            </w:pPr>
          </w:p>
        </w:tc>
      </w:tr>
      <w:tr w14:paraId="634A6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59FADE">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EFC2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EC7C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1E4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新进人员服务效率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B1B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13B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服务效率评级好</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7B651">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F5C4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服务效率评级好</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854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433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3E74E">
            <w:pPr>
              <w:jc w:val="center"/>
              <w:rPr>
                <w:rFonts w:hint="eastAsia" w:ascii="微软雅黑" w:hAnsi="微软雅黑" w:eastAsia="微软雅黑" w:cs="微软雅黑"/>
                <w:i/>
                <w:iCs/>
                <w:color w:val="000000"/>
                <w:sz w:val="16"/>
                <w:szCs w:val="16"/>
                <w:highlight w:val="none"/>
                <w:u w:val="none"/>
              </w:rPr>
            </w:pPr>
          </w:p>
        </w:tc>
      </w:tr>
      <w:tr w14:paraId="742E9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B2FD11">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CE3F0">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C941AD">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362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公共服务能力提升程度</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E54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7B2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419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6B55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8CA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E3B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E289B">
            <w:pPr>
              <w:jc w:val="center"/>
              <w:rPr>
                <w:rFonts w:hint="eastAsia" w:ascii="微软雅黑" w:hAnsi="微软雅黑" w:eastAsia="微软雅黑" w:cs="微软雅黑"/>
                <w:i/>
                <w:iCs/>
                <w:color w:val="000000"/>
                <w:sz w:val="16"/>
                <w:szCs w:val="16"/>
                <w:highlight w:val="none"/>
                <w:u w:val="none"/>
              </w:rPr>
            </w:pPr>
          </w:p>
        </w:tc>
      </w:tr>
      <w:tr w14:paraId="73434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245F7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4E7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A87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B13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参训对象满意度</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40D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28C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625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C83A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1BB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D06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5146F">
            <w:pPr>
              <w:jc w:val="center"/>
              <w:rPr>
                <w:rFonts w:hint="eastAsia" w:ascii="微软雅黑" w:hAnsi="微软雅黑" w:eastAsia="微软雅黑" w:cs="微软雅黑"/>
                <w:i/>
                <w:iCs/>
                <w:color w:val="000000"/>
                <w:sz w:val="16"/>
                <w:szCs w:val="16"/>
                <w:highlight w:val="none"/>
                <w:u w:val="none"/>
              </w:rPr>
            </w:pPr>
          </w:p>
        </w:tc>
      </w:tr>
      <w:tr w14:paraId="047C2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1D6CC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F6C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D17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267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培训费金额</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4A8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A31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AA9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7ED6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27.89</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0CF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799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DC7B9">
            <w:pPr>
              <w:jc w:val="center"/>
              <w:rPr>
                <w:rFonts w:hint="eastAsia" w:ascii="微软雅黑" w:hAnsi="微软雅黑" w:eastAsia="微软雅黑" w:cs="微软雅黑"/>
                <w:i/>
                <w:iCs/>
                <w:color w:val="000000"/>
                <w:sz w:val="16"/>
                <w:szCs w:val="16"/>
                <w:highlight w:val="none"/>
                <w:u w:val="none"/>
              </w:rPr>
            </w:pPr>
          </w:p>
        </w:tc>
      </w:tr>
      <w:tr w14:paraId="37117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FD492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FA2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9B90B">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7A2E3">
            <w:pPr>
              <w:rPr>
                <w:rFonts w:hint="eastAsia" w:ascii="宋体" w:hAnsi="宋体" w:eastAsia="宋体" w:cs="宋体"/>
                <w:i w:val="0"/>
                <w:iCs w:val="0"/>
                <w:color w:val="000000"/>
                <w:sz w:val="18"/>
                <w:szCs w:val="18"/>
                <w:highlight w:val="none"/>
                <w:u w:val="none"/>
              </w:rPr>
            </w:pPr>
          </w:p>
        </w:tc>
      </w:tr>
      <w:tr w14:paraId="0444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FC6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0398" w:type="dxa"/>
            <w:gridSpan w:val="8"/>
            <w:tcBorders>
              <w:top w:val="single" w:color="000000" w:sz="4" w:space="0"/>
              <w:left w:val="single" w:color="000000" w:sz="4" w:space="0"/>
              <w:bottom w:val="single" w:color="auto" w:sz="4" w:space="0"/>
              <w:right w:val="single" w:color="000000" w:sz="4" w:space="0"/>
            </w:tcBorders>
            <w:shd w:val="clear" w:color="auto" w:fill="FFFFFF"/>
            <w:vAlign w:val="center"/>
          </w:tcPr>
          <w:p w14:paraId="5596AC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该项目实施情况较好，实现了年初绩效目标，参训学员满意度取得了预期成效。</w:t>
            </w:r>
          </w:p>
        </w:tc>
        <w:tc>
          <w:tcPr>
            <w:tcW w:w="3028" w:type="dxa"/>
            <w:gridSpan w:val="2"/>
            <w:tcBorders>
              <w:top w:val="single" w:color="000000" w:sz="4" w:space="0"/>
              <w:left w:val="single" w:color="000000" w:sz="4" w:space="0"/>
              <w:bottom w:val="single" w:color="auto" w:sz="4" w:space="0"/>
              <w:right w:val="single" w:color="000000" w:sz="4" w:space="0"/>
            </w:tcBorders>
            <w:shd w:val="clear" w:color="auto" w:fill="FFFFFF"/>
            <w:vAlign w:val="center"/>
          </w:tcPr>
          <w:p w14:paraId="7EC97A91">
            <w:pPr>
              <w:jc w:val="center"/>
              <w:rPr>
                <w:rFonts w:hint="eastAsia" w:ascii="宋体" w:hAnsi="宋体" w:eastAsia="宋体" w:cs="宋体"/>
                <w:i w:val="0"/>
                <w:iCs w:val="0"/>
                <w:color w:val="000000"/>
                <w:sz w:val="18"/>
                <w:szCs w:val="18"/>
                <w:highlight w:val="none"/>
                <w:u w:val="none"/>
              </w:rPr>
            </w:pPr>
          </w:p>
        </w:tc>
      </w:tr>
      <w:tr w14:paraId="31665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auto" w:sz="4" w:space="0"/>
            </w:tcBorders>
            <w:shd w:val="clear" w:color="auto" w:fill="FFFFFF"/>
            <w:vAlign w:val="center"/>
          </w:tcPr>
          <w:p w14:paraId="3AAC95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0398"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661395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无</w:t>
            </w:r>
          </w:p>
        </w:tc>
        <w:tc>
          <w:tcPr>
            <w:tcW w:w="302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136DC09">
            <w:pPr>
              <w:jc w:val="center"/>
              <w:rPr>
                <w:rFonts w:hint="eastAsia" w:ascii="宋体" w:hAnsi="宋体" w:eastAsia="宋体" w:cs="宋体"/>
                <w:i w:val="0"/>
                <w:iCs w:val="0"/>
                <w:color w:val="000000"/>
                <w:sz w:val="18"/>
                <w:szCs w:val="18"/>
                <w:highlight w:val="none"/>
                <w:u w:val="none"/>
              </w:rPr>
            </w:pPr>
          </w:p>
        </w:tc>
      </w:tr>
      <w:tr w14:paraId="4F2B7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FFFFFF"/>
            <w:vAlign w:val="center"/>
          </w:tcPr>
          <w:p w14:paraId="72E704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0398"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3B1A34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无</w:t>
            </w:r>
          </w:p>
        </w:tc>
        <w:tc>
          <w:tcPr>
            <w:tcW w:w="302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D2F975E">
            <w:pPr>
              <w:jc w:val="center"/>
              <w:rPr>
                <w:rFonts w:hint="eastAsia" w:ascii="宋体" w:hAnsi="宋体" w:eastAsia="宋体" w:cs="宋体"/>
                <w:i w:val="0"/>
                <w:iCs w:val="0"/>
                <w:color w:val="000000"/>
                <w:sz w:val="18"/>
                <w:szCs w:val="18"/>
                <w:highlight w:val="none"/>
                <w:u w:val="none"/>
              </w:rPr>
            </w:pPr>
          </w:p>
        </w:tc>
      </w:tr>
      <w:tr w14:paraId="0929F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FABA98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项目负责人：张敏</w:t>
            </w:r>
          </w:p>
        </w:tc>
        <w:tc>
          <w:tcPr>
            <w:tcW w:w="6831" w:type="dxa"/>
            <w:gridSpan w:val="6"/>
            <w:tcBorders>
              <w:top w:val="single" w:color="auto" w:sz="4" w:space="0"/>
              <w:left w:val="single" w:color="auto" w:sz="4" w:space="0"/>
              <w:bottom w:val="single" w:color="auto" w:sz="4" w:space="0"/>
              <w:right w:val="single" w:color="auto" w:sz="4" w:space="0"/>
            </w:tcBorders>
            <w:shd w:val="clear" w:color="auto" w:fill="FFFFFF"/>
            <w:vAlign w:val="center"/>
          </w:tcPr>
          <w:p w14:paraId="024A74F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财务负责人：宁华荣</w:t>
            </w:r>
          </w:p>
        </w:tc>
      </w:tr>
      <w:tr w14:paraId="702C8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FFFFFF"/>
            <w:vAlign w:val="center"/>
          </w:tcPr>
          <w:p w14:paraId="4E40DFC3">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D0450F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10EF23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79A63FC">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E1D001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AD50EE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1E3CD9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FFFFFF"/>
            <w:vAlign w:val="center"/>
          </w:tcPr>
          <w:p w14:paraId="3FCABD13">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0AF52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48C4663B">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43AA9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6FB78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CF67F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51320025T000013569000-档案数字化处理专项</w:t>
            </w:r>
          </w:p>
        </w:tc>
      </w:tr>
      <w:tr w14:paraId="0DD31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2BEB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8E0DC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28EE8712">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F707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015F9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39469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BF5D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A778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3AA4B3">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F631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47065">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19CBA">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4CBE7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档案数字化购买服务的方式，委托专业机构对我局2010年-2015年（共6年）档案进行数字化处理。一是提升工作效率：专业档案服务机构拥有成熟技术与高效流程，能大幅缩短数字化周期，助力档案快速移交进馆。二是降低成本：购买服务无需购置大量设备与软件，减少一次性投入。</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D584CD">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对照年度目标，说明相关任务目标的完成情况（100字以内）</w:t>
            </w:r>
          </w:p>
        </w:tc>
      </w:tr>
      <w:tr w14:paraId="771B8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8E4E5">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F7D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E257BC">
            <w:pPr>
              <w:rPr>
                <w:rFonts w:hint="eastAsia" w:ascii="宋体" w:hAnsi="宋体" w:eastAsia="宋体" w:cs="宋体"/>
                <w:i w:val="0"/>
                <w:iCs w:val="0"/>
                <w:color w:val="000000"/>
                <w:sz w:val="18"/>
                <w:szCs w:val="18"/>
                <w:highlight w:val="none"/>
                <w:u w:val="none"/>
              </w:rPr>
            </w:pPr>
          </w:p>
        </w:tc>
      </w:tr>
      <w:tr w14:paraId="2CB7C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D6E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62B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9D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54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383C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16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251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FD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2A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05745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02E8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07C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DE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1A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11.98</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6672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11.98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A9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83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BC8C">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92AAE">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A83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A06C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DC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8E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C3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91A6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C4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F0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722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41787">
            <w:pPr>
              <w:rPr>
                <w:rFonts w:hint="eastAsia" w:ascii="黑体" w:hAnsi="黑体" w:eastAsia="黑体" w:cs="黑体"/>
                <w:i/>
                <w:iCs/>
                <w:color w:val="000000"/>
                <w:sz w:val="18"/>
                <w:szCs w:val="18"/>
                <w:highlight w:val="none"/>
                <w:u w:val="none"/>
              </w:rPr>
            </w:pPr>
          </w:p>
        </w:tc>
      </w:tr>
      <w:tr w14:paraId="150FA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9EC4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BA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C5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C7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AB92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E6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36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7F0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1DB3F">
            <w:pPr>
              <w:rPr>
                <w:rFonts w:hint="eastAsia" w:ascii="黑体" w:hAnsi="黑体" w:eastAsia="黑体" w:cs="黑体"/>
                <w:i/>
                <w:iCs/>
                <w:color w:val="000000"/>
                <w:sz w:val="18"/>
                <w:szCs w:val="18"/>
                <w:highlight w:val="none"/>
                <w:u w:val="none"/>
              </w:rPr>
            </w:pPr>
          </w:p>
        </w:tc>
      </w:tr>
      <w:tr w14:paraId="6937C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88F2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AD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A3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6B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11.98</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F245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11.98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49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C1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F1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FC597">
            <w:pPr>
              <w:rPr>
                <w:rFonts w:hint="eastAsia" w:ascii="黑体" w:hAnsi="黑体" w:eastAsia="黑体" w:cs="黑体"/>
                <w:i/>
                <w:iCs/>
                <w:color w:val="000000"/>
                <w:sz w:val="18"/>
                <w:szCs w:val="18"/>
                <w:highlight w:val="none"/>
                <w:u w:val="none"/>
              </w:rPr>
            </w:pPr>
          </w:p>
        </w:tc>
      </w:tr>
      <w:tr w14:paraId="70EE5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445AE">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058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0CA7">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48C2">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C331E">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F33B">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DF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D8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B8121">
            <w:pPr>
              <w:rPr>
                <w:rFonts w:hint="eastAsia" w:ascii="黑体" w:hAnsi="黑体" w:eastAsia="黑体" w:cs="黑体"/>
                <w:i/>
                <w:iCs/>
                <w:color w:val="000000"/>
                <w:sz w:val="18"/>
                <w:szCs w:val="18"/>
                <w:highlight w:val="none"/>
                <w:u w:val="none"/>
              </w:rPr>
            </w:pPr>
          </w:p>
        </w:tc>
      </w:tr>
      <w:tr w14:paraId="0CC85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C08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16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81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F0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815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31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E6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68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ADC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71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A7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5AF90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634C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32C8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74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F4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档案数字化处理服务购买批次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5F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7B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6FE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4F7D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85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FCBD">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32B7A">
            <w:pPr>
              <w:jc w:val="center"/>
              <w:rPr>
                <w:rFonts w:hint="eastAsia" w:ascii="微软雅黑" w:hAnsi="微软雅黑" w:eastAsia="微软雅黑" w:cs="微软雅黑"/>
                <w:i/>
                <w:iCs/>
                <w:color w:val="000000"/>
                <w:sz w:val="16"/>
                <w:szCs w:val="16"/>
                <w:highlight w:val="none"/>
                <w:u w:val="none"/>
              </w:rPr>
            </w:pPr>
          </w:p>
        </w:tc>
      </w:tr>
      <w:tr w14:paraId="183FF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0D90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4753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98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76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达到州档案局档案“双套制”移交标准</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237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FD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高</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6268">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58A6">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1A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5D2F">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3AAC">
            <w:pPr>
              <w:jc w:val="center"/>
              <w:rPr>
                <w:rFonts w:hint="eastAsia" w:ascii="微软雅黑" w:hAnsi="微软雅黑" w:eastAsia="微软雅黑" w:cs="微软雅黑"/>
                <w:i/>
                <w:iCs/>
                <w:color w:val="000000"/>
                <w:sz w:val="16"/>
                <w:szCs w:val="16"/>
                <w:highlight w:val="none"/>
                <w:u w:val="none"/>
              </w:rPr>
            </w:pPr>
          </w:p>
        </w:tc>
      </w:tr>
      <w:tr w14:paraId="4C5C0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C2DC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BEF5D">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C1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DD4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本年度5月底前完成项目</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B0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BC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700E">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7CD4">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76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D50A">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E557A">
            <w:pPr>
              <w:jc w:val="center"/>
              <w:rPr>
                <w:rFonts w:hint="eastAsia" w:ascii="微软雅黑" w:hAnsi="微软雅黑" w:eastAsia="微软雅黑" w:cs="微软雅黑"/>
                <w:i/>
                <w:iCs/>
                <w:color w:val="000000"/>
                <w:sz w:val="16"/>
                <w:szCs w:val="16"/>
                <w:highlight w:val="none"/>
                <w:u w:val="none"/>
              </w:rPr>
            </w:pPr>
          </w:p>
        </w:tc>
      </w:tr>
      <w:tr w14:paraId="3AE81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C23A2">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661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39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0D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降低成本：购买服务无需购置大量设备与软件，减少一次性投入</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6E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CC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有效减少</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25DF">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6493">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28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B697">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5C73">
            <w:pPr>
              <w:jc w:val="center"/>
              <w:rPr>
                <w:rFonts w:hint="eastAsia" w:ascii="微软雅黑" w:hAnsi="微软雅黑" w:eastAsia="微软雅黑" w:cs="微软雅黑"/>
                <w:i/>
                <w:iCs/>
                <w:color w:val="000000"/>
                <w:sz w:val="16"/>
                <w:szCs w:val="16"/>
                <w:highlight w:val="none"/>
                <w:u w:val="none"/>
              </w:rPr>
            </w:pPr>
          </w:p>
        </w:tc>
      </w:tr>
      <w:tr w14:paraId="53F64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002DB">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D2F40">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27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41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提高档案查阅利用便捷率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FD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D69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有效提高</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E667">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A9D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D81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6EDC">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996C">
            <w:pPr>
              <w:jc w:val="center"/>
              <w:rPr>
                <w:rFonts w:hint="eastAsia" w:ascii="微软雅黑" w:hAnsi="微软雅黑" w:eastAsia="微软雅黑" w:cs="微软雅黑"/>
                <w:i/>
                <w:iCs/>
                <w:color w:val="000000"/>
                <w:sz w:val="16"/>
                <w:szCs w:val="16"/>
                <w:highlight w:val="none"/>
                <w:u w:val="none"/>
              </w:rPr>
            </w:pPr>
          </w:p>
        </w:tc>
      </w:tr>
      <w:tr w14:paraId="04AF2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BC81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68F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FD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E6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档案查阅对象满意度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55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BD5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AF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45FC">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B9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04A5">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5135">
            <w:pPr>
              <w:jc w:val="center"/>
              <w:rPr>
                <w:rFonts w:hint="eastAsia" w:ascii="微软雅黑" w:hAnsi="微软雅黑" w:eastAsia="微软雅黑" w:cs="微软雅黑"/>
                <w:i/>
                <w:iCs/>
                <w:color w:val="000000"/>
                <w:sz w:val="16"/>
                <w:szCs w:val="16"/>
                <w:highlight w:val="none"/>
                <w:u w:val="none"/>
              </w:rPr>
            </w:pPr>
          </w:p>
        </w:tc>
      </w:tr>
      <w:tr w14:paraId="07AEF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8902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D5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E6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E8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购买服务成本控制率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B8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38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11.98</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DA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A84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38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6CD56">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8074">
            <w:pPr>
              <w:jc w:val="center"/>
              <w:rPr>
                <w:rFonts w:hint="eastAsia" w:ascii="微软雅黑" w:hAnsi="微软雅黑" w:eastAsia="微软雅黑" w:cs="微软雅黑"/>
                <w:i/>
                <w:iCs/>
                <w:color w:val="000000"/>
                <w:sz w:val="16"/>
                <w:szCs w:val="16"/>
                <w:highlight w:val="none"/>
                <w:u w:val="none"/>
              </w:rPr>
            </w:pPr>
          </w:p>
        </w:tc>
      </w:tr>
      <w:tr w14:paraId="0194E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F007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BC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5CC7">
            <w:pP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66FC">
            <w:pPr>
              <w:rPr>
                <w:rFonts w:hint="eastAsia" w:ascii="宋体" w:hAnsi="宋体" w:eastAsia="宋体" w:cs="宋体"/>
                <w:i w:val="0"/>
                <w:iCs w:val="0"/>
                <w:color w:val="000000"/>
                <w:sz w:val="18"/>
                <w:szCs w:val="18"/>
                <w:highlight w:val="none"/>
                <w:u w:val="none"/>
              </w:rPr>
            </w:pPr>
          </w:p>
        </w:tc>
      </w:tr>
      <w:tr w14:paraId="67AD6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B4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9FC43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结合自评情况，说明项目自评总分，说明项目实施取得的成效或成果。（200字以内）</w:t>
            </w:r>
          </w:p>
        </w:tc>
      </w:tr>
      <w:tr w14:paraId="60074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12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6FAC68E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结合自评情况，分析存在的问题及原因。（200字以内）</w:t>
            </w:r>
          </w:p>
        </w:tc>
      </w:tr>
      <w:tr w14:paraId="071A0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18A421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F66BB8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针对项目自评中发现的问题，提出下一步改进完善的意见及有关政策性建议。（200字以内）</w:t>
            </w:r>
          </w:p>
        </w:tc>
      </w:tr>
      <w:tr w14:paraId="57984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FA5874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A617B1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7B030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auto"/>
            <w:vAlign w:val="center"/>
          </w:tcPr>
          <w:p w14:paraId="78E442B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6840F6B">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FFF24A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6783838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7D961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6DD9CF82">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7215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B12A8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A9E89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51320025T000012816977-统计业务专项</w:t>
            </w:r>
          </w:p>
        </w:tc>
      </w:tr>
      <w:tr w14:paraId="20CAB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51AF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3EDC4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71B0C15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3B1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3F952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744B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E69FD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2075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850E9B">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DA3A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BBA64">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05F73">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95E0E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对13县（市）、卧龙特区人力资源和社会保障统计人员进行专题培训，将请老师对系统操作进行培训，以训代会的形式进行全年工作布置，包括培训费、住宿费，工作餐费等。对13县（市）、卧龙特区开展城镇居民人均可支配收入情况调研、组织业务骨干培训、召开联席会议、进行督促工作。通过培训提高统计人员业务水平，促进城镇居民人均可支配收入增长。</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683A7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城镇居民人均可支配收入增幅位居全省第7，考评任务完成好；服务业公共管理、社会保障和社会组织行业增加值达到6%，与年度目标差1个百分点。</w:t>
            </w:r>
          </w:p>
        </w:tc>
      </w:tr>
      <w:tr w14:paraId="08EB9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15487">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DF3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592D1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对城镇居民人均可支配收入情况调研、组织业务骨干培训、召开联席会议、进行督促工作。参加省统计业务培训。购置便携式计算机办公设备，促进统计工作调研督促顺利进展。</w:t>
            </w:r>
          </w:p>
        </w:tc>
      </w:tr>
      <w:tr w14:paraId="28F9B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E916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09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51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4C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D2BF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73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94B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AF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85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08AE2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878F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C0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5B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C0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0.94</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F6D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0.94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60E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CD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D62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1AEBE">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C1AF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7ECE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DF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58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BE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0.94</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85B0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0.94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27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57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B1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061D4">
            <w:pPr>
              <w:rPr>
                <w:rFonts w:hint="eastAsia" w:ascii="黑体" w:hAnsi="黑体" w:eastAsia="黑体" w:cs="黑体"/>
                <w:i/>
                <w:iCs/>
                <w:color w:val="000000"/>
                <w:sz w:val="18"/>
                <w:szCs w:val="18"/>
                <w:highlight w:val="none"/>
                <w:u w:val="none"/>
              </w:rPr>
            </w:pPr>
          </w:p>
        </w:tc>
      </w:tr>
      <w:tr w14:paraId="4B1F6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0D9F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6C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6C5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AD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D5CA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06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96A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C3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B90A0">
            <w:pPr>
              <w:rPr>
                <w:rFonts w:hint="eastAsia" w:ascii="黑体" w:hAnsi="黑体" w:eastAsia="黑体" w:cs="黑体"/>
                <w:i/>
                <w:iCs/>
                <w:color w:val="000000"/>
                <w:sz w:val="18"/>
                <w:szCs w:val="18"/>
                <w:highlight w:val="none"/>
                <w:u w:val="none"/>
              </w:rPr>
            </w:pPr>
          </w:p>
        </w:tc>
      </w:tr>
      <w:tr w14:paraId="4F298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26CE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1F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12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86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5899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CD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B0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82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96CA2">
            <w:pPr>
              <w:rPr>
                <w:rFonts w:hint="eastAsia" w:ascii="黑体" w:hAnsi="黑体" w:eastAsia="黑体" w:cs="黑体"/>
                <w:i/>
                <w:iCs/>
                <w:color w:val="000000"/>
                <w:sz w:val="18"/>
                <w:szCs w:val="18"/>
                <w:highlight w:val="none"/>
                <w:u w:val="none"/>
              </w:rPr>
            </w:pPr>
          </w:p>
        </w:tc>
      </w:tr>
      <w:tr w14:paraId="26F36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D5A3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A1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57A5">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3C997">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8BDBF5">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2A2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D8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A8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23310">
            <w:pPr>
              <w:rPr>
                <w:rFonts w:hint="eastAsia" w:ascii="黑体" w:hAnsi="黑体" w:eastAsia="黑体" w:cs="黑体"/>
                <w:i/>
                <w:iCs/>
                <w:color w:val="000000"/>
                <w:sz w:val="18"/>
                <w:szCs w:val="18"/>
                <w:highlight w:val="none"/>
                <w:u w:val="none"/>
              </w:rPr>
            </w:pPr>
          </w:p>
        </w:tc>
      </w:tr>
      <w:tr w14:paraId="68E19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246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899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36E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C2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23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CC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95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DD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46A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8C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30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19994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5E4CA">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856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C525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9D2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出差次数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21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53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9A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E22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22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70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AC80">
            <w:pPr>
              <w:jc w:val="center"/>
              <w:rPr>
                <w:rFonts w:hint="eastAsia" w:ascii="微软雅黑" w:hAnsi="微软雅黑" w:eastAsia="微软雅黑" w:cs="微软雅黑"/>
                <w:i/>
                <w:iCs/>
                <w:color w:val="000000"/>
                <w:sz w:val="16"/>
                <w:szCs w:val="16"/>
                <w:highlight w:val="none"/>
                <w:u w:val="none"/>
              </w:rPr>
            </w:pPr>
          </w:p>
        </w:tc>
      </w:tr>
      <w:tr w14:paraId="0A37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14E4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4667C">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162A5">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18D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参加联席会议人员数量</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FC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8E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9B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35F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17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1D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7C6B">
            <w:pPr>
              <w:jc w:val="center"/>
              <w:rPr>
                <w:rFonts w:hint="eastAsia" w:ascii="微软雅黑" w:hAnsi="微软雅黑" w:eastAsia="微软雅黑" w:cs="微软雅黑"/>
                <w:i/>
                <w:iCs/>
                <w:color w:val="000000"/>
                <w:sz w:val="16"/>
                <w:szCs w:val="16"/>
                <w:highlight w:val="none"/>
                <w:u w:val="none"/>
              </w:rPr>
            </w:pPr>
          </w:p>
        </w:tc>
      </w:tr>
      <w:tr w14:paraId="66284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2158F">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093F0">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40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F40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联席人员合格率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0A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82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BB7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7AF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E2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A2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5E10">
            <w:pPr>
              <w:jc w:val="center"/>
              <w:rPr>
                <w:rFonts w:hint="eastAsia" w:ascii="微软雅黑" w:hAnsi="微软雅黑" w:eastAsia="微软雅黑" w:cs="微软雅黑"/>
                <w:i/>
                <w:iCs/>
                <w:color w:val="000000"/>
                <w:sz w:val="16"/>
                <w:szCs w:val="16"/>
                <w:highlight w:val="none"/>
                <w:u w:val="none"/>
              </w:rPr>
            </w:pPr>
          </w:p>
        </w:tc>
      </w:tr>
      <w:tr w14:paraId="3E0B2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C5E08">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8E827">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1A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783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完成及时率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11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2A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66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A36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48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CA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C4E1C">
            <w:pPr>
              <w:jc w:val="center"/>
              <w:rPr>
                <w:rFonts w:hint="eastAsia" w:ascii="微软雅黑" w:hAnsi="微软雅黑" w:eastAsia="微软雅黑" w:cs="微软雅黑"/>
                <w:i/>
                <w:iCs/>
                <w:color w:val="000000"/>
                <w:sz w:val="16"/>
                <w:szCs w:val="16"/>
                <w:highlight w:val="none"/>
                <w:u w:val="none"/>
              </w:rPr>
            </w:pPr>
          </w:p>
        </w:tc>
      </w:tr>
      <w:tr w14:paraId="3E130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2DDB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83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3B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744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促进城镇居民人均可支配收入增长</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A0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75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有效促进</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205B">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92B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有效促进</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5C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59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E126">
            <w:pPr>
              <w:jc w:val="center"/>
              <w:rPr>
                <w:rFonts w:hint="eastAsia" w:ascii="微软雅黑" w:hAnsi="微软雅黑" w:eastAsia="微软雅黑" w:cs="微软雅黑"/>
                <w:i/>
                <w:iCs/>
                <w:color w:val="000000"/>
                <w:sz w:val="16"/>
                <w:szCs w:val="16"/>
                <w:highlight w:val="none"/>
                <w:u w:val="none"/>
              </w:rPr>
            </w:pPr>
          </w:p>
        </w:tc>
      </w:tr>
      <w:tr w14:paraId="3EE3D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6F76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47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0B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873D">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会议效果满意度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D9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C89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F9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16E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B4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F8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7815">
            <w:pPr>
              <w:jc w:val="center"/>
              <w:rPr>
                <w:rFonts w:hint="eastAsia" w:ascii="微软雅黑" w:hAnsi="微软雅黑" w:eastAsia="微软雅黑" w:cs="微软雅黑"/>
                <w:i/>
                <w:iCs/>
                <w:color w:val="000000"/>
                <w:sz w:val="16"/>
                <w:szCs w:val="16"/>
                <w:highlight w:val="none"/>
                <w:u w:val="none"/>
              </w:rPr>
            </w:pPr>
          </w:p>
        </w:tc>
      </w:tr>
      <w:tr w14:paraId="69624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98248">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48E8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4CAE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0450">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购买便携式电脑</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EB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63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32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F77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2F5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84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2605A">
            <w:pPr>
              <w:jc w:val="center"/>
              <w:rPr>
                <w:rFonts w:hint="eastAsia" w:ascii="微软雅黑" w:hAnsi="微软雅黑" w:eastAsia="微软雅黑" w:cs="微软雅黑"/>
                <w:i/>
                <w:iCs/>
                <w:color w:val="000000"/>
                <w:sz w:val="16"/>
                <w:szCs w:val="16"/>
                <w:highlight w:val="none"/>
                <w:u w:val="none"/>
              </w:rPr>
            </w:pPr>
          </w:p>
        </w:tc>
      </w:tr>
      <w:tr w14:paraId="5DD8D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7538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477E8">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F2BD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9D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差旅费用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B2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75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0.9</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3E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627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0.94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8A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E3D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D7FCD">
            <w:pPr>
              <w:jc w:val="center"/>
              <w:rPr>
                <w:rFonts w:hint="eastAsia" w:ascii="微软雅黑" w:hAnsi="微软雅黑" w:eastAsia="微软雅黑" w:cs="微软雅黑"/>
                <w:i/>
                <w:iCs/>
                <w:color w:val="000000"/>
                <w:sz w:val="16"/>
                <w:szCs w:val="16"/>
                <w:highlight w:val="none"/>
                <w:u w:val="none"/>
              </w:rPr>
            </w:pPr>
          </w:p>
        </w:tc>
      </w:tr>
      <w:tr w14:paraId="16858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345E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5135">
            <w:pPr>
              <w:jc w:val="center"/>
              <w:rPr>
                <w:rFonts w:hint="eastAsia" w:ascii="宋体" w:hAnsi="宋体" w:eastAsia="宋体" w:cs="宋体"/>
                <w:i w:val="0"/>
                <w:iCs w:val="0"/>
                <w:color w:val="000000"/>
                <w:sz w:val="18"/>
                <w:szCs w:val="18"/>
                <w:highlight w:val="none"/>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314A">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30B5E">
            <w:pPr>
              <w:rPr>
                <w:rFonts w:hint="eastAsia" w:ascii="宋体" w:hAnsi="宋体" w:eastAsia="宋体" w:cs="宋体"/>
                <w:i w:val="0"/>
                <w:iCs w:val="0"/>
                <w:color w:val="000000"/>
                <w:sz w:val="18"/>
                <w:szCs w:val="18"/>
                <w:highlight w:val="none"/>
                <w:u w:val="none"/>
              </w:rPr>
            </w:pPr>
          </w:p>
        </w:tc>
      </w:tr>
      <w:tr w14:paraId="6BDED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FB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6D288DF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基本完成工作任务</w:t>
            </w:r>
          </w:p>
        </w:tc>
      </w:tr>
      <w:tr w14:paraId="5FE7D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25AE43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2C04F51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有待进一步加强培训力度</w:t>
            </w:r>
          </w:p>
        </w:tc>
      </w:tr>
      <w:tr w14:paraId="0C321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76F9B5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524BC3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加强业务培训调研</w:t>
            </w:r>
          </w:p>
        </w:tc>
      </w:tr>
      <w:tr w14:paraId="3FDFB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EBA2DD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项目负责人：侯宇</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E77B34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财务负责人：宁华荣</w:t>
            </w:r>
          </w:p>
        </w:tc>
      </w:tr>
      <w:tr w14:paraId="56D52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auto"/>
            <w:vAlign w:val="center"/>
          </w:tcPr>
          <w:p w14:paraId="6B4F6F77">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5B327D8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1077A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FFFFFF"/>
            <w:vAlign w:val="center"/>
          </w:tcPr>
          <w:p w14:paraId="4DE2830B">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31D1E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15F15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617246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51320025T000013928321-2025年浙江援建资金浙江温州-阿坝州“蓝鹰工程”技能人才培养项目</w:t>
            </w:r>
          </w:p>
        </w:tc>
      </w:tr>
      <w:tr w14:paraId="13FDA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7599D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065144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FFFFFF"/>
            <w:vAlign w:val="center"/>
          </w:tcPr>
          <w:p w14:paraId="2741899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463E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3CCAD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35D43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41F39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A8D7E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5FAB74B">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37475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01068">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453BC">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0CF7EB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项目名称实施“蓝鹰工程”定向招生和就业。2025年秋季统筹安排面向温州对口阿坝州5个县（市）招收30名初中应届毕业生（温阿蓝鹰班）。</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80200C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因温州和阿坝州距离遥远，生活、文化等方面差异较大，2025年共招录学生18名。</w:t>
            </w:r>
          </w:p>
        </w:tc>
      </w:tr>
      <w:tr w14:paraId="48201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5DC594">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903C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E07BDE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2024年12，温州技师学院和阿坝州人社局签订“蓝鹰工程”战略合作框架协议，2025年6月9日，温州技师学院招生代表在阿坝州人社局工作人员陪同下，赴我州理县和壤塘县进行招生宣讲，截至2025年8月31日，共有18名我州初中毕业生就读。</w:t>
            </w:r>
          </w:p>
        </w:tc>
      </w:tr>
      <w:tr w14:paraId="5373F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0978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EEA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F23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25E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2D75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AF4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F6E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B1A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5F0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F535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97B50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460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E6F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70C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FF65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1A3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972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834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6C6EB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7717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8E4E9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F51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9F5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9B5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EDA6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7CD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A30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4B5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753F7D">
            <w:pPr>
              <w:rPr>
                <w:rFonts w:hint="eastAsia" w:ascii="黑体" w:hAnsi="黑体" w:eastAsia="黑体" w:cs="黑体"/>
                <w:i/>
                <w:iCs/>
                <w:color w:val="000000"/>
                <w:sz w:val="18"/>
                <w:szCs w:val="18"/>
                <w:highlight w:val="none"/>
                <w:u w:val="none"/>
              </w:rPr>
            </w:pPr>
          </w:p>
        </w:tc>
      </w:tr>
      <w:tr w14:paraId="044E7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FAFCD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E8A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9BB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DA2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94E9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CBD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519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EF4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EE391B">
            <w:pPr>
              <w:rPr>
                <w:rFonts w:hint="eastAsia" w:ascii="黑体" w:hAnsi="黑体" w:eastAsia="黑体" w:cs="黑体"/>
                <w:i/>
                <w:iCs/>
                <w:color w:val="000000"/>
                <w:sz w:val="18"/>
                <w:szCs w:val="18"/>
                <w:highlight w:val="none"/>
                <w:u w:val="none"/>
              </w:rPr>
            </w:pPr>
          </w:p>
        </w:tc>
      </w:tr>
      <w:tr w14:paraId="4515F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9DD7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7DD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FCB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808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9666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790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2A1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AAF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884015">
            <w:pPr>
              <w:rPr>
                <w:rFonts w:hint="eastAsia" w:ascii="黑体" w:hAnsi="黑体" w:eastAsia="黑体" w:cs="黑体"/>
                <w:i/>
                <w:iCs/>
                <w:color w:val="000000"/>
                <w:sz w:val="18"/>
                <w:szCs w:val="18"/>
                <w:highlight w:val="none"/>
                <w:u w:val="none"/>
              </w:rPr>
            </w:pPr>
          </w:p>
        </w:tc>
      </w:tr>
      <w:tr w14:paraId="7BFF6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619BD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60F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382D5">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82A44">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AEFD5F">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76AFE">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566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5EA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D99267">
            <w:pPr>
              <w:rPr>
                <w:rFonts w:hint="eastAsia" w:ascii="黑体" w:hAnsi="黑体" w:eastAsia="黑体" w:cs="黑体"/>
                <w:i/>
                <w:iCs/>
                <w:color w:val="000000"/>
                <w:sz w:val="18"/>
                <w:szCs w:val="18"/>
                <w:highlight w:val="none"/>
                <w:u w:val="none"/>
              </w:rPr>
            </w:pPr>
          </w:p>
        </w:tc>
      </w:tr>
      <w:tr w14:paraId="5712E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E16F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8C4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1E7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731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069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540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17A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C4C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D70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A60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400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7EE44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BBC35A">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A116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642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D6D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招生人数</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D7B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CD2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245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46CB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18</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F5E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765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419A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路途遥远、文化习俗有差异，部分学生无法适应。</w:t>
            </w:r>
          </w:p>
        </w:tc>
      </w:tr>
      <w:tr w14:paraId="10224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CA84BB">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A8265">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884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222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实际招生人数</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104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F1C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E07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C8BC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18</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C80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560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323FC">
            <w:pPr>
              <w:jc w:val="center"/>
              <w:rPr>
                <w:rFonts w:hint="eastAsia" w:ascii="微软雅黑" w:hAnsi="微软雅黑" w:eastAsia="微软雅黑" w:cs="微软雅黑"/>
                <w:i/>
                <w:iCs/>
                <w:color w:val="000000"/>
                <w:sz w:val="16"/>
                <w:szCs w:val="16"/>
                <w:highlight w:val="none"/>
                <w:u w:val="none"/>
              </w:rPr>
            </w:pPr>
          </w:p>
        </w:tc>
      </w:tr>
      <w:tr w14:paraId="18690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DC2628">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09ACC">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9F2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CCC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ACE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D95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2025年8月：确定学生的名单</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7CC92">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C6CE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2025.8</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EBF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588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CD199">
            <w:pPr>
              <w:jc w:val="center"/>
              <w:rPr>
                <w:rFonts w:hint="eastAsia" w:ascii="微软雅黑" w:hAnsi="微软雅黑" w:eastAsia="微软雅黑" w:cs="微软雅黑"/>
                <w:i/>
                <w:iCs/>
                <w:color w:val="000000"/>
                <w:sz w:val="16"/>
                <w:szCs w:val="16"/>
                <w:highlight w:val="none"/>
                <w:u w:val="none"/>
              </w:rPr>
            </w:pPr>
          </w:p>
        </w:tc>
      </w:tr>
      <w:tr w14:paraId="19CA1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4E103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C0D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D1F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EC5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提高创业就业能力</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8D9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F5D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有效提升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9BA90">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0F75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有效提升</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764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505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26</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22BFF">
            <w:pPr>
              <w:jc w:val="center"/>
              <w:rPr>
                <w:rFonts w:hint="eastAsia" w:ascii="微软雅黑" w:hAnsi="微软雅黑" w:eastAsia="微软雅黑" w:cs="微软雅黑"/>
                <w:i/>
                <w:iCs/>
                <w:color w:val="000000"/>
                <w:sz w:val="16"/>
                <w:szCs w:val="16"/>
                <w:highlight w:val="none"/>
                <w:u w:val="none"/>
              </w:rPr>
            </w:pPr>
          </w:p>
        </w:tc>
      </w:tr>
      <w:tr w14:paraId="6C8CA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22090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D1C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2A7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C7E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学生的满意度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2D2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AA2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215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CF1C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98B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C08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CA057">
            <w:pPr>
              <w:jc w:val="center"/>
              <w:rPr>
                <w:rFonts w:hint="eastAsia" w:ascii="微软雅黑" w:hAnsi="微软雅黑" w:eastAsia="微软雅黑" w:cs="微软雅黑"/>
                <w:i/>
                <w:iCs/>
                <w:color w:val="000000"/>
                <w:sz w:val="16"/>
                <w:szCs w:val="16"/>
                <w:highlight w:val="none"/>
                <w:u w:val="none"/>
              </w:rPr>
            </w:pPr>
          </w:p>
        </w:tc>
      </w:tr>
      <w:tr w14:paraId="1CAC4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7CB7F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FCA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A7E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F0C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生均经费</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F6C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2B9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5D3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2371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60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5B0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0C2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7F8DA">
            <w:pPr>
              <w:jc w:val="center"/>
              <w:rPr>
                <w:rFonts w:hint="eastAsia" w:ascii="微软雅黑" w:hAnsi="微软雅黑" w:eastAsia="微软雅黑" w:cs="微软雅黑"/>
                <w:i/>
                <w:iCs/>
                <w:color w:val="000000"/>
                <w:sz w:val="16"/>
                <w:szCs w:val="16"/>
                <w:highlight w:val="none"/>
                <w:u w:val="none"/>
              </w:rPr>
            </w:pPr>
          </w:p>
        </w:tc>
      </w:tr>
      <w:tr w14:paraId="32B55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53EA3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254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53034">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94</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45DF8">
            <w:pPr>
              <w:rPr>
                <w:rFonts w:hint="eastAsia" w:ascii="宋体" w:hAnsi="宋体" w:eastAsia="宋体" w:cs="宋体"/>
                <w:i w:val="0"/>
                <w:iCs w:val="0"/>
                <w:color w:val="000000"/>
                <w:sz w:val="18"/>
                <w:szCs w:val="18"/>
                <w:highlight w:val="none"/>
                <w:u w:val="none"/>
              </w:rPr>
            </w:pPr>
          </w:p>
        </w:tc>
      </w:tr>
      <w:tr w14:paraId="703CC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87E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D24E06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项目整体实施情况良好，阿坝州人社局严格按照浙川 “蓝鹰工程” 工作要求，高效完成协助温州技师学院招录阿坝州籍学生的各项工作任务，顺利实现既定绩效目标。</w:t>
            </w:r>
          </w:p>
        </w:tc>
      </w:tr>
      <w:tr w14:paraId="0FC3B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9CF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FFFFFF"/>
            <w:vAlign w:val="center"/>
          </w:tcPr>
          <w:p w14:paraId="60095FE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两地距离遥远，生活、文化等方面差异较大，学生无法适应当地生活。</w:t>
            </w:r>
          </w:p>
        </w:tc>
      </w:tr>
      <w:tr w14:paraId="2DE71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FFFFFF"/>
            <w:vAlign w:val="center"/>
          </w:tcPr>
          <w:p w14:paraId="18CB23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FFFFFF"/>
            <w:vAlign w:val="center"/>
          </w:tcPr>
          <w:p w14:paraId="581A201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加强政策宣讲。</w:t>
            </w:r>
          </w:p>
        </w:tc>
      </w:tr>
      <w:tr w14:paraId="77AC5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57505D5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项目负责人：张敏</w:t>
            </w:r>
          </w:p>
        </w:tc>
        <w:tc>
          <w:tcPr>
            <w:tcW w:w="6831" w:type="dxa"/>
            <w:gridSpan w:val="6"/>
            <w:tcBorders>
              <w:top w:val="single" w:color="auto" w:sz="4" w:space="0"/>
              <w:left w:val="single" w:color="auto" w:sz="4" w:space="0"/>
              <w:bottom w:val="single" w:color="auto" w:sz="4" w:space="0"/>
              <w:right w:val="single" w:color="auto" w:sz="4" w:space="0"/>
            </w:tcBorders>
            <w:shd w:val="clear" w:color="auto" w:fill="FFFFFF"/>
            <w:vAlign w:val="center"/>
          </w:tcPr>
          <w:p w14:paraId="1DAFC93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财务负责人：宁华荣</w:t>
            </w:r>
          </w:p>
        </w:tc>
      </w:tr>
      <w:tr w14:paraId="59C26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FFFFFF"/>
            <w:vAlign w:val="center"/>
          </w:tcPr>
          <w:p w14:paraId="35815E4C">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E1EA76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068BDF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DAD906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483E63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DE8D2C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FFFFFF"/>
            <w:vAlign w:val="center"/>
          </w:tcPr>
          <w:p w14:paraId="14F87FD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21200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74F0DA25">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6DE4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9CD4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69EA4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51320026T000014504945-2025年信息系统维护保养</w:t>
            </w:r>
          </w:p>
        </w:tc>
      </w:tr>
      <w:tr w14:paraId="416AC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A688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70CFD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3F15A7E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333E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27F4E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8732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2F87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7B4E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33DA10">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43610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3"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739A9">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A07A1">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EDCB8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是支付阿坝州人力资源和社会保障数据中心机房电费；二是保障数据中心机房硬件设备正常运行，为全州人社业务、阿坝州惠民惠农“一卡通”提供安全、稳定、可靠的信息化支持，为全州97万参保群众和90万社保卡持卡群众提供优质信息化服务，实施阿坝州人力资源和社会保障数据中心机房硬件维护保养服务项目采购；三是支付全州县（市）、乡镇（社区）金保网络基层建设及“一卡通”网络安全检查检查差旅费；四是支付阿坝州人力资源和社会保障数据中心机房发电机燃油费。</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3043A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35703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A9A63">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51E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6C9BC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是支付阿坝州人力资源和社会保障数据中心机房电费；二是保障数据中心机房硬件设备正常运行，为全州人社业务、阿坝州惠民惠农“一卡通”提供安全、稳定、可靠的信息化支持，为全州97万参保群众和90万社保卡持卡群众提供优质信息化服务，实施阿坝州人力资源和社会保障数据中心机房硬件维护保养服务项目采购；三是支付全州县（市）、乡镇（社区）金保网络基层建设及“一卡通”网络安全检查检查差旅费；四是支付阿坝州人力资源和社会保障数据中心机房发电机燃油费。</w:t>
            </w:r>
          </w:p>
        </w:tc>
      </w:tr>
      <w:tr w14:paraId="4F61B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588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9F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9D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D1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C01F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F2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A36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744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F5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E377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18237">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29B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1A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26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53.28</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341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53.28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50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DA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4D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F9BA3">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1E4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BC13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5B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848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8C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53.28</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C761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53.28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F6D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082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963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FC1E8">
            <w:pPr>
              <w:rPr>
                <w:rFonts w:hint="eastAsia" w:ascii="黑体" w:hAnsi="黑体" w:eastAsia="黑体" w:cs="黑体"/>
                <w:i/>
                <w:iCs/>
                <w:color w:val="000000"/>
                <w:sz w:val="18"/>
                <w:szCs w:val="18"/>
                <w:highlight w:val="none"/>
                <w:u w:val="none"/>
              </w:rPr>
            </w:pPr>
          </w:p>
        </w:tc>
      </w:tr>
      <w:tr w14:paraId="727A8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85B2E">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C5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A1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82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44B3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02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C0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66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630CD">
            <w:pPr>
              <w:rPr>
                <w:rFonts w:hint="eastAsia" w:ascii="黑体" w:hAnsi="黑体" w:eastAsia="黑体" w:cs="黑体"/>
                <w:i/>
                <w:iCs/>
                <w:color w:val="000000"/>
                <w:sz w:val="18"/>
                <w:szCs w:val="18"/>
                <w:highlight w:val="none"/>
                <w:u w:val="none"/>
              </w:rPr>
            </w:pPr>
          </w:p>
        </w:tc>
      </w:tr>
      <w:tr w14:paraId="69A48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CE64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57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DC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20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19E7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85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09C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5D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9CFB5">
            <w:pPr>
              <w:rPr>
                <w:rFonts w:hint="eastAsia" w:ascii="黑体" w:hAnsi="黑体" w:eastAsia="黑体" w:cs="黑体"/>
                <w:i/>
                <w:iCs/>
                <w:color w:val="000000"/>
                <w:sz w:val="18"/>
                <w:szCs w:val="18"/>
                <w:highlight w:val="none"/>
                <w:u w:val="none"/>
              </w:rPr>
            </w:pPr>
          </w:p>
        </w:tc>
      </w:tr>
      <w:tr w14:paraId="3903B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007C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47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18640">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6422">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25E907">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C218B">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DB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E7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2A7DD">
            <w:pPr>
              <w:rPr>
                <w:rFonts w:hint="eastAsia" w:ascii="黑体" w:hAnsi="黑体" w:eastAsia="黑体" w:cs="黑体"/>
                <w:i/>
                <w:iCs/>
                <w:color w:val="000000"/>
                <w:sz w:val="18"/>
                <w:szCs w:val="18"/>
                <w:highlight w:val="none"/>
                <w:u w:val="none"/>
              </w:rPr>
            </w:pPr>
          </w:p>
        </w:tc>
      </w:tr>
      <w:tr w14:paraId="20C3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C8E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32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21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2B3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33D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FF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46F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C6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5C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A1E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8B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BB1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8A6C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DB5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B6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FD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阿坝州人力资源和社会保障局数据库核心设备维护保养服务项目</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6EE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5C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17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E3E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1批次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DE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57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2F4D">
            <w:pPr>
              <w:jc w:val="center"/>
              <w:rPr>
                <w:rFonts w:hint="eastAsia" w:ascii="微软雅黑" w:hAnsi="微软雅黑" w:eastAsia="微软雅黑" w:cs="微软雅黑"/>
                <w:i/>
                <w:iCs/>
                <w:color w:val="000000"/>
                <w:sz w:val="16"/>
                <w:szCs w:val="16"/>
                <w:highlight w:val="none"/>
                <w:u w:val="none"/>
              </w:rPr>
            </w:pPr>
          </w:p>
        </w:tc>
      </w:tr>
      <w:tr w14:paraId="2955D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BBDE5">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D86FE">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10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C4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设备正常运行率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32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E7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7F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19C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9B3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C1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D784F">
            <w:pPr>
              <w:jc w:val="center"/>
              <w:rPr>
                <w:rFonts w:hint="eastAsia" w:ascii="微软雅黑" w:hAnsi="微软雅黑" w:eastAsia="微软雅黑" w:cs="微软雅黑"/>
                <w:i/>
                <w:iCs/>
                <w:color w:val="000000"/>
                <w:sz w:val="16"/>
                <w:szCs w:val="16"/>
                <w:highlight w:val="none"/>
                <w:u w:val="none"/>
              </w:rPr>
            </w:pPr>
          </w:p>
        </w:tc>
      </w:tr>
      <w:tr w14:paraId="2CE1C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D7272">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72882">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658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27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该项目将于2025年11底完成率。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193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D1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E2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FA4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30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F8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C63D">
            <w:pPr>
              <w:jc w:val="center"/>
              <w:rPr>
                <w:rFonts w:hint="eastAsia" w:ascii="微软雅黑" w:hAnsi="微软雅黑" w:eastAsia="微软雅黑" w:cs="微软雅黑"/>
                <w:i/>
                <w:iCs/>
                <w:color w:val="000000"/>
                <w:sz w:val="16"/>
                <w:szCs w:val="16"/>
                <w:highlight w:val="none"/>
                <w:u w:val="none"/>
              </w:rPr>
            </w:pPr>
          </w:p>
        </w:tc>
      </w:tr>
      <w:tr w14:paraId="5E806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9A90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F0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ABF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96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全州人社业务、阿坝州惠民惠农“一卡通”提供安全、稳定、可靠的信息化支持，为全州97万参保群众和90万社保卡持卡群众提供优质信息化服务。为全州人社业务、阿坝州惠民惠农“一卡通”提供安全、稳定、可靠的信息化支持，为全州97万参保群众和90万社保卡持卡群众提供优质信息化服务。为全州人社业务、阿坝州惠民惠</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F0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1F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服务民生大众</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1EBA">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381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服务民生大众</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40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DC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7466">
            <w:pPr>
              <w:jc w:val="center"/>
              <w:rPr>
                <w:rFonts w:hint="eastAsia" w:ascii="微软雅黑" w:hAnsi="微软雅黑" w:eastAsia="微软雅黑" w:cs="微软雅黑"/>
                <w:i/>
                <w:iCs/>
                <w:color w:val="000000"/>
                <w:sz w:val="16"/>
                <w:szCs w:val="16"/>
                <w:highlight w:val="none"/>
                <w:u w:val="none"/>
              </w:rPr>
            </w:pPr>
          </w:p>
        </w:tc>
      </w:tr>
      <w:tr w14:paraId="41590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426D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97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EB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77D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社会公众对相关工作的满意度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3A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AC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28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E3E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E42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4B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DE79">
            <w:pPr>
              <w:jc w:val="center"/>
              <w:rPr>
                <w:rFonts w:hint="eastAsia" w:ascii="微软雅黑" w:hAnsi="微软雅黑" w:eastAsia="微软雅黑" w:cs="微软雅黑"/>
                <w:i/>
                <w:iCs/>
                <w:color w:val="000000"/>
                <w:sz w:val="16"/>
                <w:szCs w:val="16"/>
                <w:highlight w:val="none"/>
                <w:u w:val="none"/>
              </w:rPr>
            </w:pPr>
          </w:p>
        </w:tc>
      </w:tr>
      <w:tr w14:paraId="6B469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09D2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50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9A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C29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维护保养服务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A6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E24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E8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07A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53.28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68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55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E8E26">
            <w:pPr>
              <w:jc w:val="center"/>
              <w:rPr>
                <w:rFonts w:hint="eastAsia" w:ascii="微软雅黑" w:hAnsi="微软雅黑" w:eastAsia="微软雅黑" w:cs="微软雅黑"/>
                <w:i/>
                <w:iCs/>
                <w:color w:val="000000"/>
                <w:sz w:val="16"/>
                <w:szCs w:val="16"/>
                <w:highlight w:val="none"/>
                <w:u w:val="none"/>
              </w:rPr>
            </w:pPr>
          </w:p>
        </w:tc>
      </w:tr>
      <w:tr w14:paraId="15CE8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C0CB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7A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80E5">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6038">
            <w:pPr>
              <w:rPr>
                <w:rFonts w:hint="eastAsia" w:ascii="宋体" w:hAnsi="宋体" w:eastAsia="宋体" w:cs="宋体"/>
                <w:i w:val="0"/>
                <w:iCs w:val="0"/>
                <w:color w:val="000000"/>
                <w:sz w:val="18"/>
                <w:szCs w:val="18"/>
                <w:highlight w:val="none"/>
                <w:u w:val="none"/>
              </w:rPr>
            </w:pPr>
          </w:p>
        </w:tc>
      </w:tr>
      <w:tr w14:paraId="586C7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218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35D95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完成良好</w:t>
            </w:r>
          </w:p>
        </w:tc>
      </w:tr>
      <w:tr w14:paraId="3C7B5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D5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412DD0C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262C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1D52D4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E47964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59F41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AA9D64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项目负责人：瞿飞</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EEF06D4">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6AEC4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auto"/>
            <w:vAlign w:val="center"/>
          </w:tcPr>
          <w:p w14:paraId="69D0324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5A6C6B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BA0A78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1E4D83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C08649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EF1B6E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92D219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A2EB28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EE50C59">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9E46BB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59832A3">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DA7D71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50F718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2DFFC8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A2FE64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385ABB1D">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3A041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564D4C8B">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4FA88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E40E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3E486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51320024T000010645020-“一卡通”平台运维服务及业务培训费等</w:t>
            </w:r>
          </w:p>
        </w:tc>
      </w:tr>
      <w:tr w14:paraId="5FC2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93FA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629C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799777B2">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4DE3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23EDD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73D8D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388E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28ED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45BA54">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1CA82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8CE32">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A5134">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AD2D3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根据省纪委监委、省财政厅、省人社厅、省审计厅、四川银监局《关于印发&lt;惠民惠农财政补贴资金社会保障卡“一卡通”试点方案&gt;的通知》（川财办〔2018〕61号）、省人社厅《关于做好惠民惠农财政补贴资金社会保障卡“一卡通”有关于工作的通知》（川人社办发〔2018〕207号）和州纪委监委、州财政局、州人社局、州审计局、阿坝银保监分局《关于印发&lt;阿坝州惠民惠农财政补贴资金社会保障卡“一卡通”试点方案&gt;的通知》（阿州财〔2019〕32号），确保阿坝州惠民惠农“一卡通”发放监管平台和阳光审批平台正常、安全、稳定运行，为阿坝州惠民惠农财政补贴资金按时发放提供信息化支撑。</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5DC44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5A506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4C837">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9D0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E193E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根据省纪委监委、省财政厅、省人社厅、省审计厅、四川银监局《关于印发&lt;惠民惠农财政补贴资金社会保障卡“一卡通”试点方案&gt;的通知》（川财办〔2018〕61号）、省人社厅《关于做好惠民惠农财政补贴资金社会保障卡“一卡通”有关于工作的通知》（川人社办发〔2018〕207号）和州纪委监委、州财政局、州人社局、州审计局、阿坝银保监分局《关于印发&lt;阿坝州惠民惠农财政补贴资金社会保障卡“一卡通”试点方案&gt;的通知》（阿州财〔2019〕32号），确保阿坝州惠民惠农“一卡通”发放监管平台和阳光审批平台正常、安全、稳定运行，为阿坝州惠民惠农财政补贴资金按时发放提供信息化支撑。</w:t>
            </w:r>
          </w:p>
        </w:tc>
      </w:tr>
      <w:tr w14:paraId="73C13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2029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63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FD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48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830F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60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B6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14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28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6704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8036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51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64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4C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99.80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FA60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99.80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7C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C2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C7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B7E16">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BF8D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EAA0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48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31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C7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99.80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CA31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99.80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50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73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BDE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74D59">
            <w:pPr>
              <w:rPr>
                <w:rFonts w:hint="eastAsia" w:ascii="黑体" w:hAnsi="黑体" w:eastAsia="黑体" w:cs="黑体"/>
                <w:i/>
                <w:iCs/>
                <w:color w:val="000000"/>
                <w:sz w:val="18"/>
                <w:szCs w:val="18"/>
                <w:highlight w:val="none"/>
                <w:u w:val="none"/>
              </w:rPr>
            </w:pPr>
          </w:p>
        </w:tc>
      </w:tr>
      <w:tr w14:paraId="708D2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34F6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06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FF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AB9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FC3E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B48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58B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22D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3EB46">
            <w:pPr>
              <w:rPr>
                <w:rFonts w:hint="eastAsia" w:ascii="黑体" w:hAnsi="黑体" w:eastAsia="黑体" w:cs="黑体"/>
                <w:i/>
                <w:iCs/>
                <w:color w:val="000000"/>
                <w:sz w:val="18"/>
                <w:szCs w:val="18"/>
                <w:highlight w:val="none"/>
                <w:u w:val="none"/>
              </w:rPr>
            </w:pPr>
          </w:p>
        </w:tc>
      </w:tr>
      <w:tr w14:paraId="1108D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36E3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BD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FDC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36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5F7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979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418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16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80821">
            <w:pPr>
              <w:rPr>
                <w:rFonts w:hint="eastAsia" w:ascii="黑体" w:hAnsi="黑体" w:eastAsia="黑体" w:cs="黑体"/>
                <w:i/>
                <w:iCs/>
                <w:color w:val="000000"/>
                <w:sz w:val="18"/>
                <w:szCs w:val="18"/>
                <w:highlight w:val="none"/>
                <w:u w:val="none"/>
              </w:rPr>
            </w:pPr>
          </w:p>
        </w:tc>
      </w:tr>
      <w:tr w14:paraId="38A3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1DE7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4D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0C65">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2A0A">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DA1585">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9CBB">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DA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FF2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5BC74">
            <w:pPr>
              <w:rPr>
                <w:rFonts w:hint="eastAsia" w:ascii="黑体" w:hAnsi="黑体" w:eastAsia="黑体" w:cs="黑体"/>
                <w:i/>
                <w:iCs/>
                <w:color w:val="000000"/>
                <w:sz w:val="18"/>
                <w:szCs w:val="18"/>
                <w:highlight w:val="none"/>
                <w:u w:val="none"/>
              </w:rPr>
            </w:pPr>
          </w:p>
        </w:tc>
      </w:tr>
      <w:tr w14:paraId="0D6EC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654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AE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AF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9E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042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FA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125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1D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00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74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49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51638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2C5AF">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326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7BF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B26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阿坝州惠民惠农“一卡通”发放监管平台和阳光审批平台业务培训</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53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59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BD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30C3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1批次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401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78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54E1">
            <w:pPr>
              <w:jc w:val="center"/>
              <w:rPr>
                <w:rFonts w:hint="eastAsia" w:ascii="微软雅黑" w:hAnsi="微软雅黑" w:eastAsia="微软雅黑" w:cs="微软雅黑"/>
                <w:i/>
                <w:iCs/>
                <w:color w:val="000000"/>
                <w:sz w:val="16"/>
                <w:szCs w:val="16"/>
                <w:highlight w:val="none"/>
                <w:u w:val="none"/>
              </w:rPr>
            </w:pPr>
          </w:p>
        </w:tc>
      </w:tr>
      <w:tr w14:paraId="733AA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483F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306BC">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D8028">
            <w:pPr>
              <w:jc w:val="center"/>
              <w:rPr>
                <w:rFonts w:hint="eastAsia" w:ascii="宋体" w:hAnsi="宋体" w:eastAsia="宋体" w:cs="宋体"/>
                <w:i w:val="0"/>
                <w:iCs w:val="0"/>
                <w:color w:val="000000"/>
                <w:sz w:val="18"/>
                <w:szCs w:val="18"/>
                <w:highlight w:val="none"/>
                <w:u w:val="none"/>
              </w:rPr>
            </w:pPr>
          </w:p>
        </w:tc>
        <w:tc>
          <w:tcPr>
            <w:tcW w:w="2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C0C4B">
            <w:pPr>
              <w:jc w:val="center"/>
              <w:rPr>
                <w:rFonts w:hint="eastAsia" w:ascii="宋体" w:hAnsi="宋体" w:eastAsia="宋体" w:cs="宋体"/>
                <w:i w:val="0"/>
                <w:iCs w:val="0"/>
                <w:color w:val="000000"/>
                <w:sz w:val="18"/>
                <w:szCs w:val="18"/>
                <w:highlight w:val="none"/>
                <w:u w:val="none"/>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18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04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A3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771D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1批次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D5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7C7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8BC1">
            <w:pPr>
              <w:jc w:val="center"/>
              <w:rPr>
                <w:rFonts w:hint="eastAsia" w:ascii="微软雅黑" w:hAnsi="微软雅黑" w:eastAsia="微软雅黑" w:cs="微软雅黑"/>
                <w:i/>
                <w:iCs/>
                <w:color w:val="000000"/>
                <w:sz w:val="16"/>
                <w:szCs w:val="16"/>
                <w:highlight w:val="none"/>
                <w:u w:val="none"/>
              </w:rPr>
            </w:pPr>
          </w:p>
        </w:tc>
      </w:tr>
      <w:tr w14:paraId="3B96C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3B1F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31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99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BE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保障“一卡通”发放监管平台和阳光审批平台稳定运行，为惠民惠农财政补贴资金发放提供信息化支撑。</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9A9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09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高</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42C4">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0265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41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D6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9303">
            <w:pPr>
              <w:jc w:val="center"/>
              <w:rPr>
                <w:rFonts w:hint="eastAsia" w:ascii="微软雅黑" w:hAnsi="微软雅黑" w:eastAsia="微软雅黑" w:cs="微软雅黑"/>
                <w:i/>
                <w:iCs/>
                <w:color w:val="000000"/>
                <w:sz w:val="16"/>
                <w:szCs w:val="16"/>
                <w:highlight w:val="none"/>
                <w:u w:val="none"/>
              </w:rPr>
            </w:pPr>
          </w:p>
        </w:tc>
      </w:tr>
      <w:tr w14:paraId="544C8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A592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718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83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6F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社会公众对该项服务的满意度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CA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2B6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B1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10B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B4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40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1E89">
            <w:pPr>
              <w:jc w:val="center"/>
              <w:rPr>
                <w:rFonts w:hint="eastAsia" w:ascii="微软雅黑" w:hAnsi="微软雅黑" w:eastAsia="微软雅黑" w:cs="微软雅黑"/>
                <w:i/>
                <w:iCs/>
                <w:color w:val="000000"/>
                <w:sz w:val="16"/>
                <w:szCs w:val="16"/>
                <w:highlight w:val="none"/>
                <w:u w:val="none"/>
              </w:rPr>
            </w:pPr>
          </w:p>
        </w:tc>
      </w:tr>
      <w:tr w14:paraId="74272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7875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85B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9E5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93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阿坝州惠民惠农“一卡通”发放监管平台和阳光审批平台业务培训</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3C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5D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56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5D0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3B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856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9D3E">
            <w:pPr>
              <w:jc w:val="center"/>
              <w:rPr>
                <w:rFonts w:hint="eastAsia" w:ascii="微软雅黑" w:hAnsi="微软雅黑" w:eastAsia="微软雅黑" w:cs="微软雅黑"/>
                <w:i/>
                <w:iCs/>
                <w:color w:val="000000"/>
                <w:sz w:val="16"/>
                <w:szCs w:val="16"/>
                <w:highlight w:val="none"/>
                <w:u w:val="none"/>
              </w:rPr>
            </w:pPr>
          </w:p>
        </w:tc>
      </w:tr>
      <w:tr w14:paraId="2A693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3F56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6170F">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4202B">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3D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阿坝州惠民惠农“一卡通”发放监管平台和阳光审批平台运行维护保养服务项目</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B6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F83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B8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5A9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72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52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F150">
            <w:pPr>
              <w:jc w:val="center"/>
              <w:rPr>
                <w:rFonts w:hint="eastAsia" w:ascii="微软雅黑" w:hAnsi="微软雅黑" w:eastAsia="微软雅黑" w:cs="微软雅黑"/>
                <w:i/>
                <w:iCs/>
                <w:color w:val="000000"/>
                <w:sz w:val="16"/>
                <w:szCs w:val="16"/>
                <w:highlight w:val="none"/>
                <w:u w:val="none"/>
              </w:rPr>
            </w:pPr>
          </w:p>
        </w:tc>
      </w:tr>
      <w:tr w14:paraId="51B0C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0491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88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90EB">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FC64C">
            <w:pPr>
              <w:rPr>
                <w:rFonts w:hint="eastAsia" w:ascii="宋体" w:hAnsi="宋体" w:eastAsia="宋体" w:cs="宋体"/>
                <w:i w:val="0"/>
                <w:iCs w:val="0"/>
                <w:color w:val="000000"/>
                <w:sz w:val="18"/>
                <w:szCs w:val="18"/>
                <w:highlight w:val="none"/>
                <w:u w:val="none"/>
              </w:rPr>
            </w:pPr>
          </w:p>
        </w:tc>
      </w:tr>
      <w:tr w14:paraId="4FA33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F0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48A62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完成良好</w:t>
            </w:r>
          </w:p>
        </w:tc>
      </w:tr>
      <w:tr w14:paraId="229C2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14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7B71424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B5C3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78DB8F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552C69D">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3BAAE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CCDCE2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项目负责人：瞿飞</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1DEE58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7345C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84" w:type="dxa"/>
            <w:gridSpan w:val="5"/>
            <w:tcBorders>
              <w:top w:val="single" w:color="auto" w:sz="4" w:space="0"/>
              <w:left w:val="nil"/>
              <w:bottom w:val="nil"/>
              <w:right w:val="nil"/>
            </w:tcBorders>
            <w:shd w:val="clear" w:color="auto" w:fill="auto"/>
            <w:vAlign w:val="center"/>
          </w:tcPr>
          <w:p w14:paraId="6CF4803C">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0F448AB">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B07794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FCB66ED">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73AE25D">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557711C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0A956E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E8F661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222100B">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D6A559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AFC308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9C6266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5B250FC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F50FE49">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2097B1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351B63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58327F43">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0BC6FF29">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6335B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454FC3FF">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7ED91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688C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DF427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51320021T000000049167-仲裁办案经费</w:t>
            </w:r>
          </w:p>
        </w:tc>
      </w:tr>
      <w:tr w14:paraId="6C6ED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81444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E0DE1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203974B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796D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6C1B0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B972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ACE3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ED83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08D5D4">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06067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D7C24">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463FB">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C3187B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照工作要求2025年将加强标准化仲裁院的创建工作；开展本年度协商调解工作；提升全州劳动争议仲裁员业务水平的业务培训会；开展全州劳动人事争调解员培训、裁审衔接工作会、仲裁年度工作会；开展全州劳动人事争议仲裁调研计业务指导工作，为构建全州和谐劳动关系提供保障，通过开展仲裁调解工作，提高劳动争议处理效率，有效化解劳动关系领域内矛盾纠纷，构建和谐劳动关系。</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181FD4D">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按要求继续加强标准化仲裁院的创建工作，持续督促指导各县市受理劳动人事争议调解案件和仲裁案件，组织全州调解仲裁队伍参加劳动关系协调培训，组织参加省厅省仲裁院组织的仲裁员培训和全省新时代维护职工劳动权益工作竞赛，组织开展仲裁案卷评查活动，加强对各县市案件指导监督和问题整改。</w:t>
            </w:r>
          </w:p>
        </w:tc>
      </w:tr>
      <w:tr w14:paraId="57215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A9A6D">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CD00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59BDEB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全州受理劳动人事争议调解案件和仲裁案件调解成功率达到63％、仲裁结案率100％，达到了调解成功率保持在60%以上、仲裁结案率保持在90%以上的目标任务。推动了基层调解组织规范化建设，创建省级金牌调解组织2个、依托乡镇司法所建立乡镇调解组织173个、企业调解组织74个、全州仲裁院内设调解中心14个、事业单位调解组织25个、多元调解组织7个。全州仲裁院上线运行全省劳动人事争议调解仲裁办案系统，实现案件登记、查询、开庭、文书送达等功能。推进调解仲裁领域“一卡通”应用，实现案件申请、查询、现场庭审全业务用卡，提升便民服务。组织全州调解仲裁行政、办案机构开展能力提升及警示教育活动，组织全州调仲队伍参加劳动关系协调培训，提升理论知识和业务技能，组织开展仲裁案卷评查活动，加强案件指导监督和问题整改，建立青年仲裁员志愿联系企业活动常态化机制，每季度开展志愿服务活动。</w:t>
            </w:r>
          </w:p>
        </w:tc>
      </w:tr>
      <w:tr w14:paraId="20A3A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4C8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B12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E1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70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F811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40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C3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F11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9C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9510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85B1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11B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5C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4B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1.99</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556B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3EB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0F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D88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B8A4BE">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无</w:t>
            </w:r>
          </w:p>
        </w:tc>
      </w:tr>
      <w:tr w14:paraId="213B9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82B2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0B2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BE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8B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1.99</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7F21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9B7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046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19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D0C73">
            <w:pPr>
              <w:rPr>
                <w:rFonts w:hint="eastAsia" w:ascii="黑体" w:hAnsi="黑体" w:eastAsia="黑体" w:cs="黑体"/>
                <w:i/>
                <w:iCs/>
                <w:color w:val="000000"/>
                <w:sz w:val="18"/>
                <w:szCs w:val="18"/>
                <w:highlight w:val="none"/>
                <w:u w:val="none"/>
              </w:rPr>
            </w:pPr>
          </w:p>
        </w:tc>
      </w:tr>
      <w:tr w14:paraId="21929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8C58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C8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EB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DB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64A3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D1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7B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9A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EAA42">
            <w:pPr>
              <w:rPr>
                <w:rFonts w:hint="eastAsia" w:ascii="黑体" w:hAnsi="黑体" w:eastAsia="黑体" w:cs="黑体"/>
                <w:i/>
                <w:iCs/>
                <w:color w:val="000000"/>
                <w:sz w:val="18"/>
                <w:szCs w:val="18"/>
                <w:highlight w:val="none"/>
                <w:u w:val="none"/>
              </w:rPr>
            </w:pPr>
          </w:p>
        </w:tc>
      </w:tr>
      <w:tr w14:paraId="29B5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36227">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92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AF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8A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7418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D8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CA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8C0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00EDC">
            <w:pPr>
              <w:rPr>
                <w:rFonts w:hint="eastAsia" w:ascii="黑体" w:hAnsi="黑体" w:eastAsia="黑体" w:cs="黑体"/>
                <w:i/>
                <w:iCs/>
                <w:color w:val="000000"/>
                <w:sz w:val="18"/>
                <w:szCs w:val="18"/>
                <w:highlight w:val="none"/>
                <w:u w:val="none"/>
              </w:rPr>
            </w:pPr>
          </w:p>
        </w:tc>
      </w:tr>
      <w:tr w14:paraId="1A2C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F77C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9AB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92CE">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213B">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F069EE">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B0959">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C6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FA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3E23A">
            <w:pPr>
              <w:rPr>
                <w:rFonts w:hint="eastAsia" w:ascii="黑体" w:hAnsi="黑体" w:eastAsia="黑体" w:cs="黑体"/>
                <w:i/>
                <w:iCs/>
                <w:color w:val="000000"/>
                <w:sz w:val="18"/>
                <w:szCs w:val="18"/>
                <w:highlight w:val="none"/>
                <w:u w:val="none"/>
              </w:rPr>
            </w:pPr>
          </w:p>
        </w:tc>
      </w:tr>
      <w:tr w14:paraId="3ADC4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D9E9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63B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536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CA5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1D0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A22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E25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F7F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CE1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2E1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88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0116F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952085">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898C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546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9DF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到各县（市）开展工作次数</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8F8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5E4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5C6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339F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07D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24E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7311">
            <w:pPr>
              <w:jc w:val="center"/>
              <w:rPr>
                <w:rFonts w:hint="eastAsia" w:ascii="微软雅黑" w:hAnsi="微软雅黑" w:eastAsia="微软雅黑" w:cs="微软雅黑"/>
                <w:i/>
                <w:iCs/>
                <w:color w:val="000000"/>
                <w:sz w:val="16"/>
                <w:szCs w:val="16"/>
                <w:highlight w:val="none"/>
                <w:u w:val="none"/>
              </w:rPr>
            </w:pPr>
          </w:p>
        </w:tc>
      </w:tr>
      <w:tr w14:paraId="106A6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D813C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C6DB79">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EB0A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08A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参训合格率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EEE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630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2E7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FC96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E2C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723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D204">
            <w:pPr>
              <w:jc w:val="center"/>
              <w:rPr>
                <w:rFonts w:hint="eastAsia" w:ascii="微软雅黑" w:hAnsi="微软雅黑" w:eastAsia="微软雅黑" w:cs="微软雅黑"/>
                <w:i/>
                <w:iCs/>
                <w:color w:val="000000"/>
                <w:sz w:val="16"/>
                <w:szCs w:val="16"/>
                <w:highlight w:val="none"/>
                <w:u w:val="none"/>
              </w:rPr>
            </w:pPr>
          </w:p>
        </w:tc>
      </w:tr>
      <w:tr w14:paraId="6969D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E130F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5AADEC">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9AC831">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546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标准化仲裁院创建工作完成率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ED6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6A5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FFB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0BDD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D5D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5EC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43A5">
            <w:pPr>
              <w:jc w:val="center"/>
              <w:rPr>
                <w:rFonts w:hint="eastAsia" w:ascii="微软雅黑" w:hAnsi="微软雅黑" w:eastAsia="微软雅黑" w:cs="微软雅黑"/>
                <w:i/>
                <w:iCs/>
                <w:color w:val="000000"/>
                <w:sz w:val="16"/>
                <w:szCs w:val="16"/>
                <w:highlight w:val="none"/>
                <w:u w:val="none"/>
              </w:rPr>
            </w:pPr>
          </w:p>
        </w:tc>
      </w:tr>
      <w:tr w14:paraId="6445E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394F4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8B6B5C">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ADF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D0F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项目资金支付及时率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B35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ED5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97D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13E3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F4A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E34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6F0F">
            <w:pPr>
              <w:jc w:val="center"/>
              <w:rPr>
                <w:rFonts w:hint="eastAsia" w:ascii="微软雅黑" w:hAnsi="微软雅黑" w:eastAsia="微软雅黑" w:cs="微软雅黑"/>
                <w:i/>
                <w:iCs/>
                <w:color w:val="000000"/>
                <w:sz w:val="16"/>
                <w:szCs w:val="16"/>
                <w:highlight w:val="none"/>
                <w:u w:val="none"/>
              </w:rPr>
            </w:pPr>
          </w:p>
        </w:tc>
      </w:tr>
      <w:tr w14:paraId="70F53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4500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3F8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FB2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D9D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矛盾纠纷化解情况</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6B1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A7C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完全化解</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8C2C5">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E1B1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完全化解</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23D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6AB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95CE">
            <w:pPr>
              <w:jc w:val="center"/>
              <w:rPr>
                <w:rFonts w:hint="eastAsia" w:ascii="微软雅黑" w:hAnsi="微软雅黑" w:eastAsia="微软雅黑" w:cs="微软雅黑"/>
                <w:i/>
                <w:iCs/>
                <w:color w:val="000000"/>
                <w:sz w:val="16"/>
                <w:szCs w:val="16"/>
                <w:highlight w:val="none"/>
                <w:u w:val="none"/>
              </w:rPr>
            </w:pPr>
          </w:p>
        </w:tc>
      </w:tr>
      <w:tr w14:paraId="75AB2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10423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9C8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9B9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1EB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调解仲裁满意度</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B41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7EA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327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D6C9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E00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F8B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4D53">
            <w:pPr>
              <w:jc w:val="center"/>
              <w:rPr>
                <w:rFonts w:hint="eastAsia" w:ascii="微软雅黑" w:hAnsi="微软雅黑" w:eastAsia="微软雅黑" w:cs="微软雅黑"/>
                <w:i/>
                <w:iCs/>
                <w:color w:val="000000"/>
                <w:sz w:val="16"/>
                <w:szCs w:val="16"/>
                <w:highlight w:val="none"/>
                <w:u w:val="none"/>
              </w:rPr>
            </w:pPr>
          </w:p>
        </w:tc>
      </w:tr>
      <w:tr w14:paraId="2F69A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3A8997">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6AC1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E833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42B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培训费用</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E32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C30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F58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E100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B6B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D7B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14412">
            <w:pPr>
              <w:jc w:val="center"/>
              <w:rPr>
                <w:rFonts w:hint="eastAsia" w:ascii="微软雅黑" w:hAnsi="微软雅黑" w:eastAsia="微软雅黑" w:cs="微软雅黑"/>
                <w:i/>
                <w:iCs/>
                <w:color w:val="000000"/>
                <w:sz w:val="16"/>
                <w:szCs w:val="16"/>
                <w:highlight w:val="none"/>
                <w:u w:val="none"/>
              </w:rPr>
            </w:pPr>
          </w:p>
        </w:tc>
      </w:tr>
      <w:tr w14:paraId="14DE1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BA853">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12C683">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7577A1">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3C9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项目总成本</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6B3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F92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5B2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9122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1.99</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5D7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2D0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C3CC2">
            <w:pPr>
              <w:jc w:val="center"/>
              <w:rPr>
                <w:rFonts w:hint="eastAsia" w:ascii="微软雅黑" w:hAnsi="微软雅黑" w:eastAsia="微软雅黑" w:cs="微软雅黑"/>
                <w:i/>
                <w:iCs/>
                <w:color w:val="000000"/>
                <w:sz w:val="16"/>
                <w:szCs w:val="16"/>
                <w:highlight w:val="none"/>
                <w:u w:val="none"/>
              </w:rPr>
            </w:pPr>
          </w:p>
        </w:tc>
      </w:tr>
      <w:tr w14:paraId="47012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B5D60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3E1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31CAF">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97</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F498">
            <w:pPr>
              <w:rPr>
                <w:rFonts w:hint="eastAsia" w:ascii="宋体" w:hAnsi="宋体" w:eastAsia="宋体" w:cs="宋体"/>
                <w:i w:val="0"/>
                <w:iCs w:val="0"/>
                <w:color w:val="000000"/>
                <w:sz w:val="18"/>
                <w:szCs w:val="18"/>
                <w:highlight w:val="none"/>
                <w:u w:val="none"/>
              </w:rPr>
            </w:pPr>
          </w:p>
        </w:tc>
      </w:tr>
      <w:tr w14:paraId="20D1A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CD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6629C1">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2025年，组织开展能力提升及警示教育活动，积极组织职工参加省厅省仲裁院组织的仲裁员培训和全省新时代维护职工劳动权益工作竞赛，组织全州调仲队伍参加劳动关系协调培训。组织开展仲裁案卷评查活动，加强案件指导监督和问题整改。全州受理劳动人事争议调解案件323件，达成和解协议298件；受理劳动人事争议仲裁案件292件，当期审结案件292。当期调解成功率67％、仲裁结案率100％，完成目标任务，预算执行100%。</w:t>
            </w:r>
          </w:p>
        </w:tc>
      </w:tr>
      <w:tr w14:paraId="32CCD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DE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167AD9B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59F0A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09E6E9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1E9C4A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7CC44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4B4DBB4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8FA1AA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0B3B4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auto"/>
            <w:vAlign w:val="center"/>
          </w:tcPr>
          <w:p w14:paraId="5EDF6C1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2F620D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BDB317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EE42F9D">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6B1158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C0EB6A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14928B9">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EA67A6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8EE36A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BD058F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418CCF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478EBD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183A85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EF8400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E78C43D">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8B6371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EF1BA4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5328728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D85CFB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A38435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6E91848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073FE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5951D3FA">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31E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8F3F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03946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51320024T000010911116-人事考试考务专项经费</w:t>
            </w:r>
          </w:p>
        </w:tc>
      </w:tr>
      <w:tr w14:paraId="675B0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8850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607A7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01465DA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A226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3734B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A8FC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6FBF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083B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1AA934">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061A9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74DB1">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E5F6D">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CD15D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国家经济社会发展和人才队伍建设，把确保考试安全作为人事考试的首要任务,做好全年的职称资格考试、公务员录用考试、事业单位招聘考试、社会化考试、证书发放等工作，防范化解人事考试安全风险。《阿坝州人力资源和社会保障局人事考试等劳务费支出标准》（阿州人社办〔2017〕220号）所规定标准，按省厅对人事考试预防高科技作弊，增加技防安保设备要求和投入预计参考人数进行预测。本年度预计考试场次25次，参考考生人数达到35000人次。</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94FBD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2025年圆满完成了专业技术人员资格考试、事业单位公开招聘考试、社会化考试、公务员录用考试等29项考试任务，参考11.7万余人次，同比上一年增加17.6%，人数创历史新高。</w:t>
            </w:r>
          </w:p>
        </w:tc>
      </w:tr>
      <w:tr w14:paraId="230D7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4301A">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F02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0857E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该项目预算准确，财务管理到位，资金执行到位，考试安排如期完成，考生反馈良好。</w:t>
            </w:r>
          </w:p>
        </w:tc>
      </w:tr>
      <w:tr w14:paraId="35556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E19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5A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46F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4E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150C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847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1E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78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97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78D7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C990E">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AC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A2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86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349.96</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AF69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349.96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36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67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27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DC36E">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1CA8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CEF3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5F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D6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8A1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349.96</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8340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349.96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EB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DF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939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E0D97">
            <w:pPr>
              <w:rPr>
                <w:rFonts w:hint="eastAsia" w:ascii="黑体" w:hAnsi="黑体" w:eastAsia="黑体" w:cs="黑体"/>
                <w:i/>
                <w:iCs/>
                <w:color w:val="000000"/>
                <w:sz w:val="18"/>
                <w:szCs w:val="18"/>
                <w:highlight w:val="none"/>
                <w:u w:val="none"/>
              </w:rPr>
            </w:pPr>
          </w:p>
        </w:tc>
      </w:tr>
      <w:tr w14:paraId="4D07F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9E7D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70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E4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07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1AA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CA9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A15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0D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40C15">
            <w:pPr>
              <w:rPr>
                <w:rFonts w:hint="eastAsia" w:ascii="黑体" w:hAnsi="黑体" w:eastAsia="黑体" w:cs="黑体"/>
                <w:i/>
                <w:iCs/>
                <w:color w:val="000000"/>
                <w:sz w:val="18"/>
                <w:szCs w:val="18"/>
                <w:highlight w:val="none"/>
                <w:u w:val="none"/>
              </w:rPr>
            </w:pPr>
          </w:p>
        </w:tc>
      </w:tr>
      <w:tr w14:paraId="1B8B9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9EF1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96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CB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73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2C3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495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805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46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4998B">
            <w:pPr>
              <w:rPr>
                <w:rFonts w:hint="eastAsia" w:ascii="黑体" w:hAnsi="黑体" w:eastAsia="黑体" w:cs="黑体"/>
                <w:i/>
                <w:iCs/>
                <w:color w:val="000000"/>
                <w:sz w:val="18"/>
                <w:szCs w:val="18"/>
                <w:highlight w:val="none"/>
                <w:u w:val="none"/>
              </w:rPr>
            </w:pPr>
          </w:p>
        </w:tc>
      </w:tr>
      <w:tr w14:paraId="32BD5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EDC6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AB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0F11">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8A7A">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664EE">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E8ED6">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06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E8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A8D4F">
            <w:pPr>
              <w:rPr>
                <w:rFonts w:hint="eastAsia" w:ascii="黑体" w:hAnsi="黑体" w:eastAsia="黑体" w:cs="黑体"/>
                <w:i/>
                <w:iCs/>
                <w:color w:val="000000"/>
                <w:sz w:val="18"/>
                <w:szCs w:val="18"/>
                <w:highlight w:val="none"/>
                <w:u w:val="none"/>
              </w:rPr>
            </w:pPr>
          </w:p>
        </w:tc>
      </w:tr>
      <w:tr w14:paraId="0FE2A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075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B41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EE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5B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01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3E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4F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2D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DA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551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1B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B84A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D5B77">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59C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F51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1A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全年计划各类人事考试场次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B12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21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56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CD0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29</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2F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DC7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73300">
            <w:pPr>
              <w:jc w:val="center"/>
              <w:rPr>
                <w:rFonts w:hint="eastAsia" w:ascii="微软雅黑" w:hAnsi="微软雅黑" w:eastAsia="微软雅黑" w:cs="微软雅黑"/>
                <w:i/>
                <w:iCs/>
                <w:color w:val="000000"/>
                <w:sz w:val="16"/>
                <w:szCs w:val="16"/>
                <w:highlight w:val="none"/>
                <w:u w:val="none"/>
              </w:rPr>
            </w:pPr>
          </w:p>
        </w:tc>
      </w:tr>
      <w:tr w14:paraId="79A67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89E83">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D9F3C">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93FC8">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2E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参考考生人数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D8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95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36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C72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117000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B43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FF1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7927">
            <w:pPr>
              <w:jc w:val="center"/>
              <w:rPr>
                <w:rFonts w:hint="eastAsia" w:ascii="微软雅黑" w:hAnsi="微软雅黑" w:eastAsia="微软雅黑" w:cs="微软雅黑"/>
                <w:i/>
                <w:iCs/>
                <w:color w:val="000000"/>
                <w:sz w:val="16"/>
                <w:szCs w:val="16"/>
                <w:highlight w:val="none"/>
                <w:u w:val="none"/>
              </w:rPr>
            </w:pPr>
          </w:p>
        </w:tc>
      </w:tr>
      <w:tr w14:paraId="447F5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FFC17">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EFA3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24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D7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考生参考率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2D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E1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CD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70C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1D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1D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9B33">
            <w:pPr>
              <w:jc w:val="center"/>
              <w:rPr>
                <w:rFonts w:hint="eastAsia" w:ascii="微软雅黑" w:hAnsi="微软雅黑" w:eastAsia="微软雅黑" w:cs="微软雅黑"/>
                <w:i/>
                <w:iCs/>
                <w:color w:val="000000"/>
                <w:sz w:val="16"/>
                <w:szCs w:val="16"/>
                <w:highlight w:val="none"/>
                <w:u w:val="none"/>
              </w:rPr>
            </w:pPr>
          </w:p>
        </w:tc>
      </w:tr>
      <w:tr w14:paraId="6BB8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DC5E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6AF4C">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89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3A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考试计划完成及时率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46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878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58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5E5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87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80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7809">
            <w:pPr>
              <w:jc w:val="center"/>
              <w:rPr>
                <w:rFonts w:hint="eastAsia" w:ascii="微软雅黑" w:hAnsi="微软雅黑" w:eastAsia="微软雅黑" w:cs="微软雅黑"/>
                <w:i/>
                <w:iCs/>
                <w:color w:val="000000"/>
                <w:sz w:val="16"/>
                <w:szCs w:val="16"/>
                <w:highlight w:val="none"/>
                <w:u w:val="none"/>
              </w:rPr>
            </w:pPr>
          </w:p>
        </w:tc>
      </w:tr>
      <w:tr w14:paraId="31F17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70C2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38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5FD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4C2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防范考试安全风险</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0A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A6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有效控制</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AA31">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FD8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EB1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E6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1E20">
            <w:pPr>
              <w:jc w:val="center"/>
              <w:rPr>
                <w:rFonts w:hint="eastAsia" w:ascii="微软雅黑" w:hAnsi="微软雅黑" w:eastAsia="微软雅黑" w:cs="微软雅黑"/>
                <w:i/>
                <w:iCs/>
                <w:color w:val="000000"/>
                <w:sz w:val="16"/>
                <w:szCs w:val="16"/>
                <w:highlight w:val="none"/>
                <w:u w:val="none"/>
              </w:rPr>
            </w:pPr>
          </w:p>
        </w:tc>
      </w:tr>
      <w:tr w14:paraId="701A1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BF26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E91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5F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A7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参考考生满意度率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5C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6A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EB5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1D7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5A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38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5009">
            <w:pPr>
              <w:jc w:val="center"/>
              <w:rPr>
                <w:rFonts w:hint="eastAsia" w:ascii="微软雅黑" w:hAnsi="微软雅黑" w:eastAsia="微软雅黑" w:cs="微软雅黑"/>
                <w:i/>
                <w:iCs/>
                <w:color w:val="000000"/>
                <w:sz w:val="16"/>
                <w:szCs w:val="16"/>
                <w:highlight w:val="none"/>
                <w:u w:val="none"/>
              </w:rPr>
            </w:pPr>
          </w:p>
        </w:tc>
      </w:tr>
      <w:tr w14:paraId="176C5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80113">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C7BE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403D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1E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劳务费金额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35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FA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48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18A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249.6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2D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B1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A68D">
            <w:pPr>
              <w:jc w:val="center"/>
              <w:rPr>
                <w:rFonts w:hint="eastAsia" w:ascii="微软雅黑" w:hAnsi="微软雅黑" w:eastAsia="微软雅黑" w:cs="微软雅黑"/>
                <w:i/>
                <w:iCs/>
                <w:color w:val="000000"/>
                <w:sz w:val="16"/>
                <w:szCs w:val="16"/>
                <w:highlight w:val="none"/>
                <w:u w:val="none"/>
              </w:rPr>
            </w:pPr>
          </w:p>
        </w:tc>
      </w:tr>
      <w:tr w14:paraId="04575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8FBD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ED6B9">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39A0C">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9A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委托业务费用金额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2B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3B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C9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976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7E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61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49B8">
            <w:pPr>
              <w:jc w:val="center"/>
              <w:rPr>
                <w:rFonts w:hint="eastAsia" w:ascii="微软雅黑" w:hAnsi="微软雅黑" w:eastAsia="微软雅黑" w:cs="微软雅黑"/>
                <w:i/>
                <w:iCs/>
                <w:color w:val="000000"/>
                <w:sz w:val="16"/>
                <w:szCs w:val="16"/>
                <w:highlight w:val="none"/>
                <w:u w:val="none"/>
              </w:rPr>
            </w:pPr>
          </w:p>
        </w:tc>
      </w:tr>
      <w:tr w14:paraId="72706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AB9F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94F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26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0EEA">
            <w:pPr>
              <w:rPr>
                <w:rFonts w:hint="eastAsia" w:ascii="宋体" w:hAnsi="宋体" w:eastAsia="宋体" w:cs="宋体"/>
                <w:i w:val="0"/>
                <w:iCs w:val="0"/>
                <w:color w:val="000000"/>
                <w:sz w:val="18"/>
                <w:szCs w:val="18"/>
                <w:highlight w:val="none"/>
                <w:u w:val="none"/>
              </w:rPr>
            </w:pPr>
          </w:p>
        </w:tc>
      </w:tr>
      <w:tr w14:paraId="15845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BB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806CB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该工作与部门的长期规划目标、年度工作目标相一致。</w:t>
            </w:r>
          </w:p>
        </w:tc>
      </w:tr>
      <w:tr w14:paraId="108C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19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38210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741C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D4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B567E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17150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B2754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F214F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78186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02D454A">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2DEBE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B8787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B36E7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51320024T000010663198-社保基金监督检查及内部审计</w:t>
            </w:r>
          </w:p>
        </w:tc>
      </w:tr>
      <w:tr w14:paraId="13135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9FF0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44C41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78034CD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F544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1AF7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3992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1914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55F0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D178BB">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0C2AD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FC721">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63E1F">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97CE8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（一）聘请第三方审计。第三方审计主要采用财务审计和业务检查项结合方式，重点审计基金财务管理和社会保险经办机构风险防控情况等内容。                                                                                                                                                                                          （二）社保基金专项整治、社保基金巩固提升行动等工作业务培训是按照省、州基金监督工作的总体部署，通过培训不断升专业能力、专业素养和专业精神。</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 xml:space="preserve">（三） 社会保险基金监督检查。通过定期或不定期开展社会保险基金监督检查，全面地了解和掌握社保基金在支付、管理和审批等方面的情况，督促社保经办机构依据经办规程办理社保业务，确保基金安全。                                               </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　</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0E7FC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45EB0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AA011">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EBF2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B4644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1.社会保险基金监督检查。通过定期或不定期开展社会保险基金监督检查，全面地了解和掌握社保基金在支付、管理和审批等方面的情况，督促社保经办机构依据经办规程办理社保业务，确保基金安全。</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2.聘请第三方审计。第三方审计主要采用财务审计和业务检查项结合方式，重点审计基金财务管理和社会保险经办机构风险防控情况等内容。主要采取以下方法进行审计：一是查阅被检查单位的会计资料和业务平台；二是对所经办业务抽查核实；三是检查社会保险经办机构内控制度建设和执行情况、风险防控落实情况。通过财务和业务检查，双管齐下，较全面地了解和掌握社保基金在征缴、支付、管理和审批等方面的情况。</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3.社保基金专项整治、社保基金巩固提升行动等工作业务培训是按照省、州基金监督工作的总体部署，创新监督机制，提高基金监督检查质量，确保高质量完成基金监督各项工作任务的迫切需要。业务培训也是使基金监督工作者提高思想认识、研究问题再深入、专业能力再提升的要求。过培训不断提升专业能力、专业素养和专业精神。</w:t>
            </w:r>
          </w:p>
        </w:tc>
      </w:tr>
      <w:tr w14:paraId="1D49E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44E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EF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896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E1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623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86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E1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7E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E1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02934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ABE6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E1A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79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63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47FA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26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906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60C4">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8F253">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2A62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533D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37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C0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E3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4ED4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B6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F1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E4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4294B">
            <w:pPr>
              <w:rPr>
                <w:rFonts w:hint="eastAsia" w:ascii="黑体" w:hAnsi="黑体" w:eastAsia="黑体" w:cs="黑体"/>
                <w:i/>
                <w:iCs/>
                <w:color w:val="000000"/>
                <w:sz w:val="18"/>
                <w:szCs w:val="18"/>
                <w:highlight w:val="none"/>
                <w:u w:val="none"/>
              </w:rPr>
            </w:pPr>
          </w:p>
        </w:tc>
      </w:tr>
      <w:tr w14:paraId="64767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2ACA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E2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7C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29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1348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86E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FA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05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34F09">
            <w:pPr>
              <w:rPr>
                <w:rFonts w:hint="eastAsia" w:ascii="黑体" w:hAnsi="黑体" w:eastAsia="黑体" w:cs="黑体"/>
                <w:i/>
                <w:iCs/>
                <w:color w:val="000000"/>
                <w:sz w:val="18"/>
                <w:szCs w:val="18"/>
                <w:highlight w:val="none"/>
                <w:u w:val="none"/>
              </w:rPr>
            </w:pPr>
          </w:p>
        </w:tc>
      </w:tr>
      <w:tr w14:paraId="4B709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BD0C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25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891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D8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EA3A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05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8C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E9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5A0E6">
            <w:pPr>
              <w:rPr>
                <w:rFonts w:hint="eastAsia" w:ascii="黑体" w:hAnsi="黑体" w:eastAsia="黑体" w:cs="黑体"/>
                <w:i/>
                <w:iCs/>
                <w:color w:val="000000"/>
                <w:sz w:val="18"/>
                <w:szCs w:val="18"/>
                <w:highlight w:val="none"/>
                <w:u w:val="none"/>
              </w:rPr>
            </w:pPr>
          </w:p>
        </w:tc>
      </w:tr>
      <w:tr w14:paraId="709D9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D22F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AD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472A">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70E47">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6D9820">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B0DEE">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75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20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2F963">
            <w:pPr>
              <w:rPr>
                <w:rFonts w:hint="eastAsia" w:ascii="黑体" w:hAnsi="黑体" w:eastAsia="黑体" w:cs="黑体"/>
                <w:i/>
                <w:iCs/>
                <w:color w:val="000000"/>
                <w:sz w:val="18"/>
                <w:szCs w:val="18"/>
                <w:highlight w:val="none"/>
                <w:u w:val="none"/>
              </w:rPr>
            </w:pPr>
          </w:p>
        </w:tc>
      </w:tr>
      <w:tr w14:paraId="2CA4E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AD9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B8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5E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BF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86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A9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74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00B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B7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9B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A3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23893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7540D">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DFF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134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D0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监督检查次数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96E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3A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8C6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ACA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已完成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8C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D3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49D7">
            <w:pPr>
              <w:jc w:val="center"/>
              <w:rPr>
                <w:rFonts w:hint="eastAsia" w:ascii="微软雅黑" w:hAnsi="微软雅黑" w:eastAsia="微软雅黑" w:cs="微软雅黑"/>
                <w:i/>
                <w:iCs/>
                <w:color w:val="000000"/>
                <w:sz w:val="16"/>
                <w:szCs w:val="16"/>
                <w:highlight w:val="none"/>
                <w:u w:val="none"/>
              </w:rPr>
            </w:pPr>
          </w:p>
        </w:tc>
      </w:tr>
      <w:tr w14:paraId="3F8E3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CB188">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71F83">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28B4D">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227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CC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57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61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B65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F06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59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A743">
            <w:pPr>
              <w:jc w:val="center"/>
              <w:rPr>
                <w:rFonts w:hint="eastAsia" w:ascii="微软雅黑" w:hAnsi="微软雅黑" w:eastAsia="微软雅黑" w:cs="微软雅黑"/>
                <w:i/>
                <w:iCs/>
                <w:color w:val="000000"/>
                <w:sz w:val="16"/>
                <w:szCs w:val="16"/>
                <w:highlight w:val="none"/>
                <w:u w:val="none"/>
              </w:rPr>
            </w:pPr>
          </w:p>
        </w:tc>
      </w:tr>
      <w:tr w14:paraId="54736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3BDAF">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7EC9A">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59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1F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审计覆盖率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AAA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08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5FE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B161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2B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51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111B">
            <w:pPr>
              <w:jc w:val="center"/>
              <w:rPr>
                <w:rFonts w:hint="eastAsia" w:ascii="微软雅黑" w:hAnsi="微软雅黑" w:eastAsia="微软雅黑" w:cs="微软雅黑"/>
                <w:i/>
                <w:iCs/>
                <w:color w:val="000000"/>
                <w:sz w:val="16"/>
                <w:szCs w:val="16"/>
                <w:highlight w:val="none"/>
                <w:u w:val="none"/>
              </w:rPr>
            </w:pPr>
          </w:p>
        </w:tc>
      </w:tr>
      <w:tr w14:paraId="4B897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BECC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9E5E2">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0C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8E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审计报告提交及时率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B4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A5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C4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B30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9EA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67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AE3D">
            <w:pPr>
              <w:jc w:val="center"/>
              <w:rPr>
                <w:rFonts w:hint="eastAsia" w:ascii="微软雅黑" w:hAnsi="微软雅黑" w:eastAsia="微软雅黑" w:cs="微软雅黑"/>
                <w:i/>
                <w:iCs/>
                <w:color w:val="000000"/>
                <w:sz w:val="16"/>
                <w:szCs w:val="16"/>
                <w:highlight w:val="none"/>
                <w:u w:val="none"/>
              </w:rPr>
            </w:pPr>
          </w:p>
        </w:tc>
      </w:tr>
      <w:tr w14:paraId="387F5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9755B">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B008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73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B79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基金风险化解率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A6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7C7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13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650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4F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CF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56ED">
            <w:pPr>
              <w:jc w:val="center"/>
              <w:rPr>
                <w:rFonts w:hint="eastAsia" w:ascii="微软雅黑" w:hAnsi="微软雅黑" w:eastAsia="微软雅黑" w:cs="微软雅黑"/>
                <w:i/>
                <w:iCs/>
                <w:color w:val="000000"/>
                <w:sz w:val="16"/>
                <w:szCs w:val="16"/>
                <w:highlight w:val="none"/>
                <w:u w:val="none"/>
              </w:rPr>
            </w:pPr>
          </w:p>
        </w:tc>
      </w:tr>
      <w:tr w14:paraId="5A0BB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B73D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AEF25">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72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C4E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人员专业能力提升率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7F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36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A1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399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F8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1E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F87E">
            <w:pPr>
              <w:jc w:val="center"/>
              <w:rPr>
                <w:rFonts w:hint="eastAsia" w:ascii="微软雅黑" w:hAnsi="微软雅黑" w:eastAsia="微软雅黑" w:cs="微软雅黑"/>
                <w:i/>
                <w:iCs/>
                <w:color w:val="000000"/>
                <w:sz w:val="16"/>
                <w:szCs w:val="16"/>
                <w:highlight w:val="none"/>
                <w:u w:val="none"/>
              </w:rPr>
            </w:pPr>
          </w:p>
        </w:tc>
      </w:tr>
      <w:tr w14:paraId="7F551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CE2A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2E442">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6A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可持续影响指标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7F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基金安全率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05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E5E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A6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B2D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3C3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3D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FC4D">
            <w:pPr>
              <w:jc w:val="center"/>
              <w:rPr>
                <w:rFonts w:hint="eastAsia" w:ascii="微软雅黑" w:hAnsi="微软雅黑" w:eastAsia="微软雅黑" w:cs="微软雅黑"/>
                <w:i/>
                <w:iCs/>
                <w:color w:val="000000"/>
                <w:sz w:val="16"/>
                <w:szCs w:val="16"/>
                <w:highlight w:val="none"/>
                <w:u w:val="none"/>
              </w:rPr>
            </w:pPr>
          </w:p>
        </w:tc>
      </w:tr>
      <w:tr w14:paraId="5700E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0F80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DB2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EE9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57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群众对审计结果满意度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944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CA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A6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F69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9C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8B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38059">
            <w:pPr>
              <w:jc w:val="center"/>
              <w:rPr>
                <w:rFonts w:hint="eastAsia" w:ascii="微软雅黑" w:hAnsi="微软雅黑" w:eastAsia="微软雅黑" w:cs="微软雅黑"/>
                <w:i/>
                <w:iCs/>
                <w:color w:val="000000"/>
                <w:sz w:val="16"/>
                <w:szCs w:val="16"/>
                <w:highlight w:val="none"/>
                <w:u w:val="none"/>
              </w:rPr>
            </w:pPr>
          </w:p>
        </w:tc>
      </w:tr>
      <w:tr w14:paraId="52710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03D4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6F6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B7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94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监督检查及审计经费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176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61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8E9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DC2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97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8E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6139">
            <w:pPr>
              <w:jc w:val="center"/>
              <w:rPr>
                <w:rFonts w:hint="eastAsia" w:ascii="微软雅黑" w:hAnsi="微软雅黑" w:eastAsia="微软雅黑" w:cs="微软雅黑"/>
                <w:i/>
                <w:iCs/>
                <w:color w:val="000000"/>
                <w:sz w:val="16"/>
                <w:szCs w:val="16"/>
                <w:highlight w:val="none"/>
                <w:u w:val="none"/>
              </w:rPr>
            </w:pPr>
          </w:p>
        </w:tc>
      </w:tr>
      <w:tr w14:paraId="0E45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478B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EE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3B69">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97</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AEBC">
            <w:pPr>
              <w:rPr>
                <w:rFonts w:hint="eastAsia" w:ascii="宋体" w:hAnsi="宋体" w:eastAsia="宋体" w:cs="宋体"/>
                <w:i w:val="0"/>
                <w:iCs w:val="0"/>
                <w:color w:val="000000"/>
                <w:sz w:val="18"/>
                <w:szCs w:val="18"/>
                <w:highlight w:val="none"/>
                <w:u w:val="none"/>
              </w:rPr>
            </w:pPr>
          </w:p>
        </w:tc>
      </w:tr>
      <w:tr w14:paraId="6C169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3D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C28DA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通过社会保险基金监督检查、三方审计和加强基金监督业务培训，能够有效规范社保经办行为、提高工作效率和基金财务合规性；有利于社会保险风险趋势研判，并促进长效机制建设，创新社保基金监督手段，提高社会监督效能和效率，使社保基金安全、完整及有效地运行。</w:t>
            </w:r>
          </w:p>
        </w:tc>
      </w:tr>
      <w:tr w14:paraId="0A25C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3A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12CB9B">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结合自评情况，分析存在的问题及原因。（200字以内）</w:t>
            </w:r>
          </w:p>
        </w:tc>
      </w:tr>
      <w:tr w14:paraId="34F7D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9C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9BCD0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针对项目自评中发现的问题，提出下一步改进完善的意见及有关政策性建议。（200字以内）</w:t>
            </w:r>
          </w:p>
        </w:tc>
      </w:tr>
      <w:tr w14:paraId="702C6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E29A6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74DE9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bl>
    <w:p w14:paraId="11D2971F">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none"/>
          <w:lang w:val="zh-CN" w:eastAsia="zh-CN"/>
        </w:rPr>
      </w:pPr>
    </w:p>
    <w:p w14:paraId="4D47D6F5">
      <w:pPr>
        <w:rPr>
          <w:rFonts w:hint="eastAsia" w:ascii="Times New Roman" w:hAnsi="Times New Roman" w:cs="Times New Roman"/>
          <w:sz w:val="32"/>
          <w:szCs w:val="32"/>
          <w:highlight w:val="none"/>
          <w:lang w:val="zh-CN" w:eastAsia="zh-CN"/>
        </w:rPr>
      </w:pPr>
    </w:p>
    <w:p w14:paraId="69FCA09E">
      <w:pPr>
        <w:pStyle w:val="2"/>
        <w:rPr>
          <w:rFonts w:hint="eastAsia" w:ascii="Times New Roman" w:hAnsi="Times New Roman" w:cs="Times New Roman"/>
          <w:sz w:val="32"/>
          <w:szCs w:val="32"/>
          <w:highlight w:val="none"/>
          <w:lang w:val="zh-CN" w:eastAsia="zh-CN"/>
        </w:rPr>
      </w:pPr>
    </w:p>
    <w:p w14:paraId="523BB298">
      <w:pPr>
        <w:pStyle w:val="3"/>
        <w:rPr>
          <w:rFonts w:hint="eastAsia" w:ascii="Times New Roman" w:hAnsi="Times New Roman" w:cs="Times New Roman"/>
          <w:sz w:val="32"/>
          <w:szCs w:val="32"/>
          <w:highlight w:val="none"/>
          <w:lang w:val="zh-CN" w:eastAsia="zh-CN"/>
        </w:rPr>
      </w:pPr>
    </w:p>
    <w:p w14:paraId="57C22C31">
      <w:pPr>
        <w:rPr>
          <w:rFonts w:hint="eastAsia" w:ascii="Times New Roman" w:hAnsi="Times New Roman" w:cs="Times New Roman"/>
          <w:sz w:val="32"/>
          <w:szCs w:val="32"/>
          <w:highlight w:val="none"/>
          <w:lang w:val="zh-CN" w:eastAsia="zh-CN"/>
        </w:rPr>
      </w:pPr>
    </w:p>
    <w:p w14:paraId="66895F3E">
      <w:pPr>
        <w:pStyle w:val="2"/>
        <w:rPr>
          <w:rFonts w:hint="eastAsia" w:ascii="Times New Roman" w:hAnsi="Times New Roman" w:cs="Times New Roman"/>
          <w:sz w:val="32"/>
          <w:szCs w:val="32"/>
          <w:highlight w:val="none"/>
          <w:lang w:val="zh-CN" w:eastAsia="zh-CN"/>
        </w:rPr>
      </w:pPr>
    </w:p>
    <w:p w14:paraId="57171FAE">
      <w:pPr>
        <w:pStyle w:val="3"/>
        <w:rPr>
          <w:rFonts w:hint="eastAsia" w:ascii="Times New Roman" w:hAnsi="Times New Roman" w:cs="Times New Roman"/>
          <w:sz w:val="32"/>
          <w:szCs w:val="32"/>
          <w:highlight w:val="none"/>
          <w:lang w:val="zh-CN" w:eastAsia="zh-CN"/>
        </w:rPr>
      </w:pPr>
    </w:p>
    <w:p w14:paraId="63496704">
      <w:pPr>
        <w:rPr>
          <w:rFonts w:hint="eastAsia" w:ascii="Times New Roman" w:hAnsi="Times New Roman" w:cs="Times New Roman"/>
          <w:sz w:val="32"/>
          <w:szCs w:val="32"/>
          <w:highlight w:val="none"/>
          <w:lang w:val="zh-CN" w:eastAsia="zh-CN"/>
        </w:rPr>
      </w:pPr>
    </w:p>
    <w:p w14:paraId="6A751787">
      <w:pPr>
        <w:pStyle w:val="2"/>
        <w:rPr>
          <w:rFonts w:hint="eastAsia" w:ascii="Times New Roman" w:hAnsi="Times New Roman" w:cs="Times New Roman"/>
          <w:sz w:val="32"/>
          <w:szCs w:val="32"/>
          <w:highlight w:val="none"/>
          <w:lang w:val="zh-CN" w:eastAsia="zh-CN"/>
        </w:rPr>
      </w:pPr>
    </w:p>
    <w:p w14:paraId="0CBBD0C3">
      <w:pPr>
        <w:pStyle w:val="3"/>
        <w:rPr>
          <w:rFonts w:hint="eastAsia" w:ascii="Times New Roman" w:hAnsi="Times New Roman" w:cs="Times New Roman"/>
          <w:sz w:val="32"/>
          <w:szCs w:val="32"/>
          <w:highlight w:val="none"/>
          <w:lang w:val="zh-CN" w:eastAsia="zh-CN"/>
        </w:rPr>
      </w:pPr>
    </w:p>
    <w:p w14:paraId="32F5FEBF">
      <w:pPr>
        <w:rPr>
          <w:rFonts w:hint="eastAsia" w:ascii="Times New Roman" w:hAnsi="Times New Roman" w:cs="Times New Roman"/>
          <w:sz w:val="32"/>
          <w:szCs w:val="32"/>
          <w:highlight w:val="none"/>
          <w:lang w:val="zh-CN" w:eastAsia="zh-CN"/>
        </w:rPr>
      </w:pPr>
    </w:p>
    <w:p w14:paraId="468FE833">
      <w:pPr>
        <w:pStyle w:val="2"/>
        <w:rPr>
          <w:rFonts w:hint="eastAsia" w:ascii="Times New Roman" w:hAnsi="Times New Roman" w:cs="Times New Roman"/>
          <w:sz w:val="32"/>
          <w:szCs w:val="32"/>
          <w:highlight w:val="none"/>
          <w:lang w:val="zh-CN" w:eastAsia="zh-CN"/>
        </w:rPr>
      </w:pPr>
      <w:r>
        <w:rPr>
          <w:rFonts w:hint="eastAsia" w:eastAsia="宋体"/>
          <w:highlight w:val="none"/>
          <w:lang w:eastAsia="zh-CN"/>
        </w:rPr>
        <w:drawing>
          <wp:inline distT="0" distB="0" distL="114300" distR="114300">
            <wp:extent cx="8843010" cy="4813935"/>
            <wp:effectExtent l="0" t="0" r="15240" b="5715"/>
            <wp:docPr id="9" name="图片 9" descr="失业动态监测经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失业动态监测经费"/>
                    <pic:cNvPicPr>
                      <a:picLocks noChangeAspect="1"/>
                    </pic:cNvPicPr>
                  </pic:nvPicPr>
                  <pic:blipFill>
                    <a:blip r:embed="rId15"/>
                    <a:stretch>
                      <a:fillRect/>
                    </a:stretch>
                  </pic:blipFill>
                  <pic:spPr>
                    <a:xfrm>
                      <a:off x="0" y="0"/>
                      <a:ext cx="8843010" cy="4813935"/>
                    </a:xfrm>
                    <a:prstGeom prst="rect">
                      <a:avLst/>
                    </a:prstGeom>
                  </pic:spPr>
                </pic:pic>
              </a:graphicData>
            </a:graphic>
          </wp:inline>
        </w:drawing>
      </w:r>
    </w:p>
    <w:p w14:paraId="62F741AD">
      <w:pPr>
        <w:rPr>
          <w:rFonts w:hint="eastAsia"/>
          <w:highlight w:val="none"/>
          <w:lang w:val="zh-CN" w:eastAsia="zh-CN"/>
        </w:rPr>
      </w:pPr>
      <w:r>
        <w:rPr>
          <w:rFonts w:hint="eastAsia"/>
          <w:highlight w:val="none"/>
          <w:lang w:val="zh-CN" w:eastAsia="zh-CN"/>
        </w:rPr>
        <w:br w:type="page"/>
      </w:r>
    </w:p>
    <w:p w14:paraId="614FB1FF">
      <w:pPr>
        <w:rPr>
          <w:rFonts w:hint="eastAsia"/>
          <w:highlight w:val="none"/>
          <w:lang w:val="zh-CN" w:eastAsia="zh-CN"/>
        </w:rPr>
      </w:pPr>
      <w:r>
        <w:rPr>
          <w:rFonts w:hint="eastAsia" w:eastAsia="宋体"/>
          <w:highlight w:val="none"/>
          <w:lang w:eastAsia="zh-CN"/>
        </w:rPr>
        <w:drawing>
          <wp:anchor distT="0" distB="0" distL="114300" distR="114300" simplePos="0" relativeHeight="251665408" behindDoc="1" locked="0" layoutInCell="1" allowOverlap="1">
            <wp:simplePos x="0" y="0"/>
            <wp:positionH relativeFrom="column">
              <wp:posOffset>-15240</wp:posOffset>
            </wp:positionH>
            <wp:positionV relativeFrom="paragraph">
              <wp:posOffset>3175</wp:posOffset>
            </wp:positionV>
            <wp:extent cx="8938260" cy="5271770"/>
            <wp:effectExtent l="0" t="0" r="15240" b="5080"/>
            <wp:wrapTight wrapText="bothSides">
              <wp:wrapPolygon>
                <wp:start x="0" y="0"/>
                <wp:lineTo x="0" y="21543"/>
                <wp:lineTo x="21545" y="21543"/>
                <wp:lineTo x="21545" y="0"/>
                <wp:lineTo x="0" y="0"/>
              </wp:wrapPolygon>
            </wp:wrapTight>
            <wp:docPr id="8" name="图片 8" descr="公共就业服务活动经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公共就业服务活动经费"/>
                    <pic:cNvPicPr>
                      <a:picLocks noChangeAspect="1"/>
                    </pic:cNvPicPr>
                  </pic:nvPicPr>
                  <pic:blipFill>
                    <a:blip r:embed="rId16"/>
                    <a:stretch>
                      <a:fillRect/>
                    </a:stretch>
                  </pic:blipFill>
                  <pic:spPr>
                    <a:xfrm>
                      <a:off x="0" y="0"/>
                      <a:ext cx="8938260" cy="5271770"/>
                    </a:xfrm>
                    <a:prstGeom prst="rect">
                      <a:avLst/>
                    </a:prstGeom>
                  </pic:spPr>
                </pic:pic>
              </a:graphicData>
            </a:graphic>
          </wp:anchor>
        </w:drawing>
      </w:r>
      <w:r>
        <w:rPr>
          <w:rFonts w:hint="eastAsia"/>
          <w:highlight w:val="none"/>
          <w:lang w:val="zh-CN" w:eastAsia="zh-CN"/>
        </w:rPr>
        <w:br w:type="page"/>
      </w:r>
    </w:p>
    <w:p w14:paraId="74E22B39">
      <w:pPr>
        <w:rPr>
          <w:rFonts w:hint="eastAsia"/>
          <w:highlight w:val="none"/>
          <w:lang w:val="zh-CN" w:eastAsia="zh-CN"/>
        </w:rPr>
      </w:pP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8"/>
        <w:gridCol w:w="2055"/>
        <w:gridCol w:w="1769"/>
        <w:gridCol w:w="2265"/>
        <w:gridCol w:w="530"/>
        <w:gridCol w:w="1681"/>
        <w:gridCol w:w="524"/>
        <w:gridCol w:w="1103"/>
        <w:gridCol w:w="510"/>
        <w:gridCol w:w="486"/>
        <w:gridCol w:w="2563"/>
      </w:tblGrid>
      <w:tr w14:paraId="7C0F7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0BB2FA2">
            <w:pPr>
              <w:keepNext w:val="0"/>
              <w:keepLines w:val="0"/>
              <w:widowControl/>
              <w:suppressLineNumbers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402DE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0203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403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0F466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51320025T000013778209-2025年浙江援建资金-阿坝州“家门口就业工坊“推广补助”</w:t>
            </w:r>
          </w:p>
        </w:tc>
      </w:tr>
      <w:tr w14:paraId="593F8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DE54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23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0C972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387" w:type="pct"/>
            <w:tcBorders>
              <w:top w:val="nil"/>
              <w:left w:val="nil"/>
              <w:bottom w:val="nil"/>
              <w:right w:val="nil"/>
            </w:tcBorders>
            <w:shd w:val="clear" w:color="auto" w:fill="auto"/>
            <w:vAlign w:val="center"/>
          </w:tcPr>
          <w:p w14:paraId="6FE225A7">
            <w:pPr>
              <w:keepNext w:val="0"/>
              <w:keepLines w:val="0"/>
              <w:widowControl/>
              <w:suppressLineNumbers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6C8A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州农民工服务中心</w:t>
            </w:r>
          </w:p>
        </w:tc>
      </w:tr>
      <w:tr w14:paraId="2B3AD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4AC9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B6BD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23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E1CE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94EEFA">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5A3A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2"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82038">
            <w:pP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EE1D9">
            <w:pPr>
              <w:rPr>
                <w:rFonts w:hint="eastAsia" w:ascii="宋体" w:hAnsi="宋体" w:eastAsia="宋体" w:cs="宋体"/>
                <w:i w:val="0"/>
                <w:iCs w:val="0"/>
                <w:color w:val="000000"/>
                <w:sz w:val="18"/>
                <w:szCs w:val="18"/>
                <w:highlight w:val="none"/>
                <w:u w:val="none"/>
              </w:rPr>
            </w:pPr>
          </w:p>
        </w:tc>
        <w:tc>
          <w:tcPr>
            <w:tcW w:w="23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F74864">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2025年在文化旅游、服务、农业、劳务四大领域，打造10个以上具有鲜明地域特色、显著就业带动效应的“浙·阿家门口就业工坊”，通过持续努力，构建覆盖全州、特色鲜明、功能完善的“家门口就业工坊”体系，使之成为促进农村富余劳动力转移就业、增加农民收入、推动产业升级的重要平台，为实现乡村振兴和共同富裕目标贡献力量。</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74C91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 xml:space="preserve">2025年新建“浙·阿家门口就业工坊”13个，开发电商直播、非遗手工艺等岗位320个；建成零工市场8个，服务1.3万人次，全面深度调研全州“家门口就业工坊”现状，结合阿坝实际，制定全州家门口就业工坊“1+6”政策措施及系列配套文件。       </w:t>
            </w:r>
          </w:p>
        </w:tc>
      </w:tr>
      <w:tr w14:paraId="666C0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4DDF7">
            <w:pP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6FA0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403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90F5FB">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2025年新建“浙·阿家门口就业工坊”13个，开发电商直播、非遗手工艺等岗位320个；另外依托浙江对口支援资金不断完善零工市场基础设施建设，并且由三方公司运营零工市场。</w:t>
            </w:r>
          </w:p>
        </w:tc>
      </w:tr>
      <w:tr w14:paraId="02D7D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751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066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BB1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1AA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87D3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155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15E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05A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9EF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EE82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1CF7E">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A69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1AA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2C8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9703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85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EE7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A6C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409BD">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CBE4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EEEF4">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934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9D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544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39.98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69AF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39.98</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0BA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91E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84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2C69A">
            <w:pPr>
              <w:rPr>
                <w:rFonts w:hint="eastAsia" w:ascii="黑体" w:hAnsi="黑体" w:eastAsia="黑体" w:cs="黑体"/>
                <w:i/>
                <w:iCs/>
                <w:color w:val="000000"/>
                <w:sz w:val="18"/>
                <w:szCs w:val="18"/>
                <w:highlight w:val="none"/>
                <w:u w:val="none"/>
              </w:rPr>
            </w:pPr>
          </w:p>
        </w:tc>
      </w:tr>
      <w:tr w14:paraId="30073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E2FEC">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771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CBD0D">
            <w:pPr>
              <w:jc w:val="center"/>
              <w:rPr>
                <w:rFonts w:hint="eastAsia" w:ascii="宋体" w:hAnsi="宋体" w:eastAsia="宋体" w:cs="宋体"/>
                <w:i w:val="0"/>
                <w:iCs w:val="0"/>
                <w:color w:val="000000"/>
                <w:sz w:val="18"/>
                <w:szCs w:val="18"/>
                <w:highlight w:val="none"/>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14752">
            <w:pPr>
              <w:jc w:val="center"/>
              <w:rPr>
                <w:rFonts w:hint="eastAsia" w:ascii="宋体" w:hAnsi="宋体" w:eastAsia="宋体" w:cs="宋体"/>
                <w:i w:val="0"/>
                <w:iCs w:val="0"/>
                <w:color w:val="000000"/>
                <w:sz w:val="18"/>
                <w:szCs w:val="18"/>
                <w:highlight w:val="none"/>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D1E7A2">
            <w:pPr>
              <w:jc w:val="center"/>
              <w:rPr>
                <w:rFonts w:hint="eastAsia" w:ascii="宋体" w:hAnsi="宋体" w:eastAsia="宋体" w:cs="宋体"/>
                <w:i w:val="0"/>
                <w:iCs w:val="0"/>
                <w:color w:val="000000"/>
                <w:sz w:val="18"/>
                <w:szCs w:val="18"/>
                <w:highlight w:val="none"/>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A64CD">
            <w:pPr>
              <w:jc w:val="center"/>
              <w:rPr>
                <w:rFonts w:hint="eastAsia" w:ascii="宋体" w:hAnsi="宋体" w:eastAsia="宋体" w:cs="宋体"/>
                <w:i w:val="0"/>
                <w:iCs w:val="0"/>
                <w:color w:val="000000"/>
                <w:sz w:val="18"/>
                <w:szCs w:val="18"/>
                <w:highlight w:val="none"/>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B1D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0CB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54B25">
            <w:pPr>
              <w:rPr>
                <w:rFonts w:hint="eastAsia" w:ascii="黑体" w:hAnsi="黑体" w:eastAsia="黑体" w:cs="黑体"/>
                <w:i/>
                <w:iCs/>
                <w:color w:val="000000"/>
                <w:sz w:val="18"/>
                <w:szCs w:val="18"/>
                <w:highlight w:val="none"/>
                <w:u w:val="none"/>
              </w:rPr>
            </w:pPr>
          </w:p>
        </w:tc>
      </w:tr>
      <w:tr w14:paraId="7C54D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4ECE2">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189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62165">
            <w:pPr>
              <w:jc w:val="center"/>
              <w:rPr>
                <w:rFonts w:hint="eastAsia" w:ascii="宋体" w:hAnsi="宋体" w:eastAsia="宋体" w:cs="宋体"/>
                <w:i w:val="0"/>
                <w:iCs w:val="0"/>
                <w:color w:val="000000"/>
                <w:sz w:val="18"/>
                <w:szCs w:val="18"/>
                <w:highlight w:val="none"/>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662FD">
            <w:pPr>
              <w:jc w:val="center"/>
              <w:rPr>
                <w:rFonts w:hint="eastAsia" w:ascii="宋体" w:hAnsi="宋体" w:eastAsia="宋体" w:cs="宋体"/>
                <w:i w:val="0"/>
                <w:iCs w:val="0"/>
                <w:color w:val="000000"/>
                <w:sz w:val="18"/>
                <w:szCs w:val="18"/>
                <w:highlight w:val="none"/>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A8E0B1">
            <w:pPr>
              <w:jc w:val="center"/>
              <w:rPr>
                <w:rFonts w:hint="eastAsia" w:ascii="宋体" w:hAnsi="宋体" w:eastAsia="宋体" w:cs="宋体"/>
                <w:i w:val="0"/>
                <w:iCs w:val="0"/>
                <w:color w:val="000000"/>
                <w:sz w:val="18"/>
                <w:szCs w:val="18"/>
                <w:highlight w:val="none"/>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5E5E3">
            <w:pPr>
              <w:jc w:val="center"/>
              <w:rPr>
                <w:rFonts w:hint="eastAsia" w:ascii="宋体" w:hAnsi="宋体" w:eastAsia="宋体" w:cs="宋体"/>
                <w:i w:val="0"/>
                <w:iCs w:val="0"/>
                <w:color w:val="000000"/>
                <w:sz w:val="18"/>
                <w:szCs w:val="18"/>
                <w:highlight w:val="none"/>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26D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296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A1DAA">
            <w:pPr>
              <w:rPr>
                <w:rFonts w:hint="eastAsia" w:ascii="黑体" w:hAnsi="黑体" w:eastAsia="黑体" w:cs="黑体"/>
                <w:i/>
                <w:iCs/>
                <w:color w:val="000000"/>
                <w:sz w:val="18"/>
                <w:szCs w:val="18"/>
                <w:highlight w:val="none"/>
                <w:u w:val="none"/>
              </w:rPr>
            </w:pPr>
          </w:p>
        </w:tc>
      </w:tr>
      <w:tr w14:paraId="37488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9C1E1">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04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35E71">
            <w:pPr>
              <w:jc w:val="center"/>
              <w:rPr>
                <w:rFonts w:hint="eastAsia" w:ascii="微软雅黑" w:hAnsi="微软雅黑" w:eastAsia="微软雅黑" w:cs="微软雅黑"/>
                <w:i/>
                <w:iCs/>
                <w:color w:val="000000"/>
                <w:sz w:val="16"/>
                <w:szCs w:val="16"/>
                <w:highlight w:val="none"/>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2E9A4">
            <w:pPr>
              <w:jc w:val="center"/>
              <w:rPr>
                <w:rFonts w:hint="eastAsia" w:ascii="微软雅黑" w:hAnsi="微软雅黑" w:eastAsia="微软雅黑" w:cs="微软雅黑"/>
                <w:i/>
                <w:iCs/>
                <w:color w:val="000000"/>
                <w:sz w:val="16"/>
                <w:szCs w:val="16"/>
                <w:highlight w:val="none"/>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D22792">
            <w:pPr>
              <w:jc w:val="center"/>
              <w:rPr>
                <w:rFonts w:hint="eastAsia" w:ascii="微软雅黑" w:hAnsi="微软雅黑" w:eastAsia="微软雅黑" w:cs="微软雅黑"/>
                <w:i/>
                <w:iCs/>
                <w:color w:val="000000"/>
                <w:sz w:val="16"/>
                <w:szCs w:val="16"/>
                <w:highlight w:val="none"/>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7E305">
            <w:pPr>
              <w:jc w:val="center"/>
              <w:rPr>
                <w:rFonts w:hint="eastAsia" w:ascii="微软雅黑" w:hAnsi="微软雅黑" w:eastAsia="微软雅黑" w:cs="微软雅黑"/>
                <w:i/>
                <w:iCs/>
                <w:color w:val="000000"/>
                <w:sz w:val="16"/>
                <w:szCs w:val="16"/>
                <w:highlight w:val="none"/>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C9A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7F2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9A96F">
            <w:pPr>
              <w:rPr>
                <w:rFonts w:hint="eastAsia" w:ascii="黑体" w:hAnsi="黑体" w:eastAsia="黑体" w:cs="黑体"/>
                <w:i/>
                <w:iCs/>
                <w:color w:val="000000"/>
                <w:sz w:val="18"/>
                <w:szCs w:val="18"/>
                <w:highlight w:val="none"/>
                <w:u w:val="none"/>
              </w:rPr>
            </w:pPr>
          </w:p>
        </w:tc>
      </w:tr>
      <w:tr w14:paraId="51A13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CB3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2A1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CC5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559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C05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9CC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31F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CDD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16C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800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E48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335ED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1D856">
            <w:pPr>
              <w:jc w:val="center"/>
              <w:rPr>
                <w:rFonts w:hint="eastAsia" w:ascii="宋体" w:hAnsi="宋体" w:eastAsia="宋体" w:cs="宋体"/>
                <w:i w:val="0"/>
                <w:iCs w:val="0"/>
                <w:color w:val="000000"/>
                <w:sz w:val="18"/>
                <w:szCs w:val="18"/>
                <w:highlight w:val="none"/>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060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9D2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30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零工市场专业工作人员人数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F6B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A01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01F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671A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D14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7B6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D7E2A">
            <w:pPr>
              <w:jc w:val="center"/>
              <w:rPr>
                <w:rFonts w:hint="eastAsia" w:ascii="微软雅黑" w:hAnsi="微软雅黑" w:eastAsia="微软雅黑" w:cs="微软雅黑"/>
                <w:i/>
                <w:iCs/>
                <w:color w:val="000000"/>
                <w:sz w:val="16"/>
                <w:szCs w:val="16"/>
                <w:highlight w:val="none"/>
                <w:u w:val="none"/>
              </w:rPr>
            </w:pPr>
          </w:p>
        </w:tc>
      </w:tr>
      <w:tr w14:paraId="26B2B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624E7">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40392">
            <w:pPr>
              <w:jc w:val="center"/>
              <w:rPr>
                <w:rFonts w:hint="eastAsia" w:ascii="宋体" w:hAnsi="宋体" w:eastAsia="宋体" w:cs="宋体"/>
                <w:i w:val="0"/>
                <w:iCs w:val="0"/>
                <w:color w:val="000000"/>
                <w:sz w:val="18"/>
                <w:szCs w:val="18"/>
                <w:highlight w:val="none"/>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EE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264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灵活就业人员工作变换率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C3C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8CB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43F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1AFC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499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430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D744B">
            <w:pPr>
              <w:jc w:val="center"/>
              <w:rPr>
                <w:rFonts w:hint="eastAsia" w:ascii="微软雅黑" w:hAnsi="微软雅黑" w:eastAsia="微软雅黑" w:cs="微软雅黑"/>
                <w:i/>
                <w:iCs/>
                <w:color w:val="000000"/>
                <w:sz w:val="16"/>
                <w:szCs w:val="16"/>
                <w:highlight w:val="none"/>
                <w:u w:val="none"/>
              </w:rPr>
            </w:pPr>
          </w:p>
        </w:tc>
      </w:tr>
      <w:tr w14:paraId="17663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0CBF5">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E4D70">
            <w:pPr>
              <w:jc w:val="center"/>
              <w:rPr>
                <w:rFonts w:hint="eastAsia" w:ascii="宋体" w:hAnsi="宋体" w:eastAsia="宋体" w:cs="宋体"/>
                <w:i w:val="0"/>
                <w:iCs w:val="0"/>
                <w:color w:val="000000"/>
                <w:sz w:val="18"/>
                <w:szCs w:val="18"/>
                <w:highlight w:val="none"/>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030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2CD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项目完成时间</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6E2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75B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A2B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0554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B9E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14</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559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14</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DEEC3">
            <w:pPr>
              <w:jc w:val="center"/>
              <w:rPr>
                <w:rFonts w:hint="eastAsia" w:ascii="微软雅黑" w:hAnsi="微软雅黑" w:eastAsia="微软雅黑" w:cs="微软雅黑"/>
                <w:i/>
                <w:iCs/>
                <w:color w:val="000000"/>
                <w:sz w:val="16"/>
                <w:szCs w:val="16"/>
                <w:highlight w:val="none"/>
                <w:u w:val="none"/>
              </w:rPr>
            </w:pPr>
          </w:p>
        </w:tc>
      </w:tr>
      <w:tr w14:paraId="45946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9838B">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A93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F31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CED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有效促进群众在家门口灵活就业</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54C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A55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有效促进</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D748C">
            <w:pPr>
              <w:jc w:val="center"/>
              <w:rPr>
                <w:rFonts w:hint="eastAsia" w:ascii="宋体" w:hAnsi="宋体" w:eastAsia="宋体" w:cs="宋体"/>
                <w:i w:val="0"/>
                <w:iCs w:val="0"/>
                <w:color w:val="000000"/>
                <w:sz w:val="18"/>
                <w:szCs w:val="18"/>
                <w:highlight w:val="none"/>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A97E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有效促进</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8FD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376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14EFE">
            <w:pPr>
              <w:jc w:val="center"/>
              <w:rPr>
                <w:rFonts w:hint="eastAsia" w:ascii="微软雅黑" w:hAnsi="微软雅黑" w:eastAsia="微软雅黑" w:cs="微软雅黑"/>
                <w:i/>
                <w:iCs/>
                <w:color w:val="000000"/>
                <w:sz w:val="16"/>
                <w:szCs w:val="16"/>
                <w:highlight w:val="none"/>
                <w:u w:val="none"/>
              </w:rPr>
            </w:pPr>
          </w:p>
        </w:tc>
      </w:tr>
      <w:tr w14:paraId="6FA4F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6AE05">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71D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7C3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D2D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参与零工市场招聘人员的满意度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81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87E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BA8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25F3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854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DC8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95D0C">
            <w:pPr>
              <w:jc w:val="center"/>
              <w:rPr>
                <w:rFonts w:hint="eastAsia" w:ascii="微软雅黑" w:hAnsi="微软雅黑" w:eastAsia="微软雅黑" w:cs="微软雅黑"/>
                <w:i/>
                <w:iCs/>
                <w:color w:val="000000"/>
                <w:sz w:val="16"/>
                <w:szCs w:val="16"/>
                <w:highlight w:val="none"/>
                <w:u w:val="none"/>
              </w:rPr>
            </w:pPr>
          </w:p>
        </w:tc>
      </w:tr>
      <w:tr w14:paraId="5ACC2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EE89B">
            <w:pPr>
              <w:jc w:val="center"/>
              <w:rPr>
                <w:rFonts w:hint="eastAsia" w:ascii="宋体" w:hAnsi="宋体" w:eastAsia="宋体" w:cs="宋体"/>
                <w:i w:val="0"/>
                <w:iCs w:val="0"/>
                <w:color w:val="000000"/>
                <w:sz w:val="18"/>
                <w:szCs w:val="18"/>
                <w:highlight w:val="none"/>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4CB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F44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47D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实际支出金额</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CA9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6E4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3D7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669D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39.98</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D49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175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CE566">
            <w:pPr>
              <w:jc w:val="center"/>
              <w:rPr>
                <w:rFonts w:hint="eastAsia" w:ascii="微软雅黑" w:hAnsi="微软雅黑" w:eastAsia="微软雅黑" w:cs="微软雅黑"/>
                <w:i/>
                <w:iCs/>
                <w:color w:val="000000"/>
                <w:sz w:val="16"/>
                <w:szCs w:val="16"/>
                <w:highlight w:val="none"/>
                <w:u w:val="none"/>
              </w:rPr>
            </w:pPr>
          </w:p>
        </w:tc>
      </w:tr>
      <w:tr w14:paraId="5A1A7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263FF">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0B4D6">
            <w:pPr>
              <w:jc w:val="center"/>
              <w:rPr>
                <w:rFonts w:hint="eastAsia" w:ascii="宋体" w:hAnsi="宋体" w:eastAsia="宋体" w:cs="宋体"/>
                <w:i w:val="0"/>
                <w:iCs w:val="0"/>
                <w:color w:val="000000"/>
                <w:sz w:val="18"/>
                <w:szCs w:val="18"/>
                <w:highlight w:val="none"/>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36FF1">
            <w:pPr>
              <w:jc w:val="center"/>
              <w:rPr>
                <w:rFonts w:hint="eastAsia" w:ascii="宋体" w:hAnsi="宋体" w:eastAsia="宋体" w:cs="宋体"/>
                <w:i w:val="0"/>
                <w:iCs w:val="0"/>
                <w:color w:val="000000"/>
                <w:sz w:val="18"/>
                <w:szCs w:val="18"/>
                <w:highlight w:val="none"/>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3DD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管理运营经费</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867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C6A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98B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CD69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25.8</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B60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D13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2CB76">
            <w:pPr>
              <w:jc w:val="center"/>
              <w:rPr>
                <w:rFonts w:hint="eastAsia" w:ascii="微软雅黑" w:hAnsi="微软雅黑" w:eastAsia="微软雅黑" w:cs="微软雅黑"/>
                <w:i/>
                <w:iCs/>
                <w:color w:val="000000"/>
                <w:sz w:val="16"/>
                <w:szCs w:val="16"/>
                <w:highlight w:val="none"/>
                <w:u w:val="none"/>
              </w:rPr>
            </w:pPr>
          </w:p>
        </w:tc>
      </w:tr>
      <w:tr w14:paraId="71BAC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76C2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D13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41D18">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8F02C">
            <w:pPr>
              <w:rPr>
                <w:rFonts w:hint="eastAsia" w:ascii="宋体" w:hAnsi="宋体" w:eastAsia="宋体" w:cs="宋体"/>
                <w:i w:val="0"/>
                <w:iCs w:val="0"/>
                <w:color w:val="000000"/>
                <w:sz w:val="18"/>
                <w:szCs w:val="18"/>
                <w:highlight w:val="none"/>
                <w:u w:val="none"/>
              </w:rPr>
            </w:pPr>
          </w:p>
        </w:tc>
      </w:tr>
      <w:tr w14:paraId="045F4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E4A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9DCA4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 xml:space="preserve">自评总分：100分。 2025年新建“浙·阿家门口就业工坊”13个，开发电商直播、非遗手工艺等岗位320个；建成零工市场8个，服务1.3万人次，全面深度调研全州“家门口就业工坊”现状，结合阿坝实际，制定全州家门口就业工坊“1+6”政策措施及系列配套文件。      </w:t>
            </w:r>
          </w:p>
        </w:tc>
      </w:tr>
      <w:tr w14:paraId="7531D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F87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B5FA71">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“家门口就业工坊”产品市场覆盖面较窄，市场拓展空间有限；零工市场布局不均，服务可及性差。州内县域广、乡镇远，零工市场集中在城区，牧区、部分乡镇偏远，群众跑路多，成本高。</w:t>
            </w:r>
          </w:p>
        </w:tc>
      </w:tr>
      <w:tr w14:paraId="48EF2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C45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90F67D">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拓宽销售渠道，线上线下同步发力，拓展电商平台、经销商、代理商、直播带货等多元渠道，构建立体化销售网络。通过村干部实时发布招聘岗位和利用“浙阿乐业云”软件，实现即时快招、精准匹配，降低双方成本。</w:t>
            </w:r>
          </w:p>
        </w:tc>
      </w:tr>
      <w:tr w14:paraId="64A70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5E361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项目负责人：李启鹏</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D267F2">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财务负责人：梅朵娜姆</w:t>
            </w:r>
          </w:p>
        </w:tc>
      </w:tr>
    </w:tbl>
    <w:p w14:paraId="3075A0C6">
      <w:pPr>
        <w:widowControl/>
        <w:tabs>
          <w:tab w:val="left" w:pos="544"/>
        </w:tabs>
        <w:spacing w:line="578" w:lineRule="exact"/>
        <w:jc w:val="left"/>
        <w:textAlignment w:val="center"/>
        <w:rPr>
          <w:rFonts w:hint="eastAsia" w:eastAsia="方正小标宋简体"/>
          <w:color w:val="000000"/>
          <w:kern w:val="0"/>
          <w:sz w:val="44"/>
          <w:szCs w:val="44"/>
          <w:highlight w:val="none"/>
          <w:lang w:eastAsia="zh-CN"/>
        </w:rPr>
      </w:pP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9"/>
        <w:gridCol w:w="2055"/>
        <w:gridCol w:w="1772"/>
        <w:gridCol w:w="2265"/>
        <w:gridCol w:w="527"/>
        <w:gridCol w:w="1678"/>
        <w:gridCol w:w="527"/>
        <w:gridCol w:w="1103"/>
        <w:gridCol w:w="510"/>
        <w:gridCol w:w="488"/>
        <w:gridCol w:w="2560"/>
      </w:tblGrid>
      <w:tr w14:paraId="059ED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79B6A1">
            <w:pPr>
              <w:keepNext w:val="0"/>
              <w:keepLines w:val="0"/>
              <w:widowControl/>
              <w:suppressLineNumbers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6EF5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DA5E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403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EF4D5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51320025T000013369892-浙阿乐业云平台运行维护费</w:t>
            </w:r>
          </w:p>
        </w:tc>
      </w:tr>
      <w:tr w14:paraId="57B7E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80E2C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23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6F7AE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387" w:type="pct"/>
            <w:tcBorders>
              <w:top w:val="nil"/>
              <w:left w:val="nil"/>
              <w:bottom w:val="nil"/>
              <w:right w:val="nil"/>
            </w:tcBorders>
            <w:shd w:val="clear" w:color="auto" w:fill="auto"/>
            <w:vAlign w:val="center"/>
          </w:tcPr>
          <w:p w14:paraId="427C6510">
            <w:pPr>
              <w:keepNext w:val="0"/>
              <w:keepLines w:val="0"/>
              <w:widowControl/>
              <w:suppressLineNumbers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D3D7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州农民工服务中心</w:t>
            </w:r>
          </w:p>
        </w:tc>
      </w:tr>
      <w:tr w14:paraId="4BDF8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B882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AF32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23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D1DA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18B892">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D554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CCBF8">
            <w:pP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FEF3C">
            <w:pPr>
              <w:rPr>
                <w:rFonts w:hint="eastAsia" w:ascii="宋体" w:hAnsi="宋体" w:eastAsia="宋体" w:cs="宋体"/>
                <w:i w:val="0"/>
                <w:iCs w:val="0"/>
                <w:color w:val="000000"/>
                <w:sz w:val="18"/>
                <w:szCs w:val="18"/>
                <w:highlight w:val="none"/>
                <w:u w:val="none"/>
              </w:rPr>
            </w:pPr>
          </w:p>
        </w:tc>
        <w:tc>
          <w:tcPr>
            <w:tcW w:w="23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26069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根据《阿坝州劳务开发暨农民工工作领导小组办公室关于推进浙阿东西部劳务协作数字化服务平台建设工作的通知》（阿州农劳办【2022】6号）文件要求，2022年已对数字化服务平台进行开发，2025对浙阿对口支援劳务协作数字化服务平台运行进行维护，通过平台维护，保障浙阿劳务协作数字化服务平台稳定运行，提升劳务协作服务效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AC2C8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“浙阿乐业云”访问人数约8万次，发布岗位信息192期，提供岗位9000余个。</w:t>
            </w:r>
            <w:r>
              <w:rPr>
                <w:rFonts w:hint="eastAsia" w:ascii="宋体" w:hAnsi="宋体" w:eastAsia="宋体" w:cs="宋体"/>
                <w:i w:val="0"/>
                <w:iCs w:val="0"/>
                <w:color w:val="000000"/>
                <w:kern w:val="0"/>
                <w:sz w:val="18"/>
                <w:szCs w:val="18"/>
                <w:highlight w:val="none"/>
                <w:u w:val="none"/>
                <w:lang w:val="en-US" w:eastAsia="zh-CN" w:bidi="ar"/>
              </w:rPr>
              <w:t>实现了“云”上求职登记、在线面试、在线签约、创业辅导、技能培训、电商服务等功能，有效解决四川阿坝州农村劳动力就业创业服务“最后一公里”的难题，农牧民足不出户就能在驿站或平台上精准获得浙江、海口、阿坝等地真实可靠的就业、创业等相关信息。</w:t>
            </w:r>
          </w:p>
        </w:tc>
      </w:tr>
      <w:tr w14:paraId="14829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EBEDE">
            <w:pP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1845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403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2B78A3">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全年对平台进行维护，保障平台正常运行，确保浙江省、海口市和阿坝州就业和用工数据共享和业务协同。</w:t>
            </w:r>
          </w:p>
        </w:tc>
      </w:tr>
      <w:tr w14:paraId="62FA5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BB7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4D5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271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5DE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0A5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9EB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D40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BAD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C6D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6C814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66C94">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F56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EAC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42E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063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EF8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8F7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8D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A4D84">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B907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D2C46">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4F1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C48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685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5B80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8ED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1BC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99F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9A78D">
            <w:pPr>
              <w:rPr>
                <w:rFonts w:hint="eastAsia" w:ascii="黑体" w:hAnsi="黑体" w:eastAsia="黑体" w:cs="黑体"/>
                <w:i/>
                <w:iCs/>
                <w:color w:val="000000"/>
                <w:sz w:val="18"/>
                <w:szCs w:val="18"/>
                <w:highlight w:val="none"/>
                <w:u w:val="none"/>
              </w:rPr>
            </w:pPr>
          </w:p>
        </w:tc>
      </w:tr>
      <w:tr w14:paraId="18281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15AC7">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DD0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26B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F34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B81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484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6AE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4D2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1FF00">
            <w:pPr>
              <w:rPr>
                <w:rFonts w:hint="eastAsia" w:ascii="黑体" w:hAnsi="黑体" w:eastAsia="黑体" w:cs="黑体"/>
                <w:i/>
                <w:iCs/>
                <w:color w:val="000000"/>
                <w:sz w:val="18"/>
                <w:szCs w:val="18"/>
                <w:highlight w:val="none"/>
                <w:u w:val="none"/>
              </w:rPr>
            </w:pPr>
          </w:p>
        </w:tc>
      </w:tr>
      <w:tr w14:paraId="6AF88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42722">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A4A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8B3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FE1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2BFE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89C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ACB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27D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F4979">
            <w:pPr>
              <w:rPr>
                <w:rFonts w:hint="eastAsia" w:ascii="黑体" w:hAnsi="黑体" w:eastAsia="黑体" w:cs="黑体"/>
                <w:i/>
                <w:iCs/>
                <w:color w:val="000000"/>
                <w:sz w:val="18"/>
                <w:szCs w:val="18"/>
                <w:highlight w:val="none"/>
                <w:u w:val="none"/>
              </w:rPr>
            </w:pPr>
          </w:p>
        </w:tc>
      </w:tr>
      <w:tr w14:paraId="2DCBF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870FA">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C51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7DA9F">
            <w:pPr>
              <w:jc w:val="center"/>
              <w:rPr>
                <w:rFonts w:hint="eastAsia" w:ascii="微软雅黑" w:hAnsi="微软雅黑" w:eastAsia="微软雅黑" w:cs="微软雅黑"/>
                <w:i/>
                <w:iCs/>
                <w:color w:val="000000"/>
                <w:sz w:val="16"/>
                <w:szCs w:val="16"/>
                <w:highlight w:val="none"/>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2F0FE">
            <w:pPr>
              <w:jc w:val="center"/>
              <w:rPr>
                <w:rFonts w:hint="eastAsia" w:ascii="微软雅黑" w:hAnsi="微软雅黑" w:eastAsia="微软雅黑" w:cs="微软雅黑"/>
                <w:i/>
                <w:iCs/>
                <w:color w:val="000000"/>
                <w:sz w:val="16"/>
                <w:szCs w:val="16"/>
                <w:highlight w:val="none"/>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312787">
            <w:pPr>
              <w:jc w:val="center"/>
              <w:rPr>
                <w:rFonts w:hint="eastAsia" w:ascii="微软雅黑" w:hAnsi="微软雅黑" w:eastAsia="微软雅黑" w:cs="微软雅黑"/>
                <w:i/>
                <w:iCs/>
                <w:color w:val="000000"/>
                <w:sz w:val="16"/>
                <w:szCs w:val="16"/>
                <w:highlight w:val="none"/>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9CB53">
            <w:pPr>
              <w:jc w:val="center"/>
              <w:rPr>
                <w:rFonts w:hint="eastAsia" w:ascii="微软雅黑" w:hAnsi="微软雅黑" w:eastAsia="微软雅黑" w:cs="微软雅黑"/>
                <w:i/>
                <w:iCs/>
                <w:color w:val="000000"/>
                <w:sz w:val="16"/>
                <w:szCs w:val="16"/>
                <w:highlight w:val="none"/>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457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C4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93B5A">
            <w:pPr>
              <w:rPr>
                <w:rFonts w:hint="eastAsia" w:ascii="黑体" w:hAnsi="黑体" w:eastAsia="黑体" w:cs="黑体"/>
                <w:i/>
                <w:iCs/>
                <w:color w:val="000000"/>
                <w:sz w:val="18"/>
                <w:szCs w:val="18"/>
                <w:highlight w:val="none"/>
                <w:u w:val="none"/>
              </w:rPr>
            </w:pPr>
          </w:p>
        </w:tc>
      </w:tr>
      <w:tr w14:paraId="27805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071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D8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D1A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951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CB1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D18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341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B6A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B34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ED3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5EE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736C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8A6C3">
            <w:pPr>
              <w:jc w:val="center"/>
              <w:rPr>
                <w:rFonts w:hint="eastAsia" w:ascii="宋体" w:hAnsi="宋体" w:eastAsia="宋体" w:cs="宋体"/>
                <w:i w:val="0"/>
                <w:iCs w:val="0"/>
                <w:color w:val="000000"/>
                <w:sz w:val="18"/>
                <w:szCs w:val="18"/>
                <w:highlight w:val="none"/>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C4A3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6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073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C3C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软件出现故障次数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023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8F3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04B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171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733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FB7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5A8E7">
            <w:pPr>
              <w:jc w:val="center"/>
              <w:rPr>
                <w:rFonts w:hint="eastAsia" w:ascii="微软雅黑" w:hAnsi="微软雅黑" w:eastAsia="微软雅黑" w:cs="微软雅黑"/>
                <w:i/>
                <w:iCs/>
                <w:color w:val="000000"/>
                <w:sz w:val="16"/>
                <w:szCs w:val="16"/>
                <w:highlight w:val="none"/>
                <w:u w:val="none"/>
              </w:rPr>
            </w:pPr>
          </w:p>
        </w:tc>
      </w:tr>
      <w:tr w14:paraId="00778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00B56">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9C693">
            <w:pPr>
              <w:jc w:val="center"/>
              <w:rPr>
                <w:rFonts w:hint="eastAsia" w:ascii="宋体" w:hAnsi="宋体" w:eastAsia="宋体" w:cs="宋体"/>
                <w:i w:val="0"/>
                <w:iCs w:val="0"/>
                <w:color w:val="000000"/>
                <w:sz w:val="18"/>
                <w:szCs w:val="18"/>
                <w:highlight w:val="none"/>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7F6EE">
            <w:pPr>
              <w:jc w:val="center"/>
              <w:rPr>
                <w:rFonts w:hint="eastAsia" w:ascii="宋体" w:hAnsi="宋体" w:eastAsia="宋体" w:cs="宋体"/>
                <w:i w:val="0"/>
                <w:iCs w:val="0"/>
                <w:color w:val="000000"/>
                <w:sz w:val="18"/>
                <w:szCs w:val="18"/>
                <w:highlight w:val="none"/>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173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软件维护次数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9CE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0EB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408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38DB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7</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DDA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46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B9245">
            <w:pPr>
              <w:jc w:val="center"/>
              <w:rPr>
                <w:rFonts w:hint="eastAsia" w:ascii="微软雅黑" w:hAnsi="微软雅黑" w:eastAsia="微软雅黑" w:cs="微软雅黑"/>
                <w:i/>
                <w:iCs/>
                <w:color w:val="000000"/>
                <w:sz w:val="16"/>
                <w:szCs w:val="16"/>
                <w:highlight w:val="none"/>
                <w:u w:val="none"/>
              </w:rPr>
            </w:pPr>
          </w:p>
        </w:tc>
      </w:tr>
      <w:tr w14:paraId="748AE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CD949">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D40D9">
            <w:pPr>
              <w:jc w:val="center"/>
              <w:rPr>
                <w:rFonts w:hint="eastAsia" w:ascii="宋体" w:hAnsi="宋体" w:eastAsia="宋体" w:cs="宋体"/>
                <w:i w:val="0"/>
                <w:iCs w:val="0"/>
                <w:color w:val="000000"/>
                <w:sz w:val="18"/>
                <w:szCs w:val="18"/>
                <w:highlight w:val="none"/>
                <w:u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E69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1FC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软件正常运行保障率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293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461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D3A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93AE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52B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AE0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C8BC9">
            <w:pPr>
              <w:jc w:val="center"/>
              <w:rPr>
                <w:rFonts w:hint="eastAsia" w:ascii="微软雅黑" w:hAnsi="微软雅黑" w:eastAsia="微软雅黑" w:cs="微软雅黑"/>
                <w:i/>
                <w:iCs/>
                <w:color w:val="000000"/>
                <w:sz w:val="16"/>
                <w:szCs w:val="16"/>
                <w:highlight w:val="none"/>
                <w:u w:val="none"/>
              </w:rPr>
            </w:pPr>
          </w:p>
        </w:tc>
      </w:tr>
      <w:tr w14:paraId="45BFE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843D4">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8E60E">
            <w:pPr>
              <w:jc w:val="center"/>
              <w:rPr>
                <w:rFonts w:hint="eastAsia" w:ascii="宋体" w:hAnsi="宋体" w:eastAsia="宋体" w:cs="宋体"/>
                <w:i w:val="0"/>
                <w:iCs w:val="0"/>
                <w:color w:val="000000"/>
                <w:sz w:val="18"/>
                <w:szCs w:val="18"/>
                <w:highlight w:val="none"/>
                <w:u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38B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259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项目完成时间</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D86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63A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325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F6C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9B6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F1B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44D4F">
            <w:pPr>
              <w:jc w:val="center"/>
              <w:rPr>
                <w:rFonts w:hint="eastAsia" w:ascii="微软雅黑" w:hAnsi="微软雅黑" w:eastAsia="微软雅黑" w:cs="微软雅黑"/>
                <w:i/>
                <w:iCs/>
                <w:color w:val="000000"/>
                <w:sz w:val="16"/>
                <w:szCs w:val="16"/>
                <w:highlight w:val="none"/>
                <w:u w:val="none"/>
              </w:rPr>
            </w:pPr>
          </w:p>
        </w:tc>
      </w:tr>
      <w:tr w14:paraId="4FA10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B3567">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079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074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A39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提高农民工劳务收入</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3AB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15B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有效提高</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78486">
            <w:pPr>
              <w:jc w:val="center"/>
              <w:rPr>
                <w:rFonts w:hint="eastAsia" w:ascii="宋体" w:hAnsi="宋体" w:eastAsia="宋体" w:cs="宋体"/>
                <w:i w:val="0"/>
                <w:iCs w:val="0"/>
                <w:color w:val="000000"/>
                <w:sz w:val="18"/>
                <w:szCs w:val="18"/>
                <w:highlight w:val="none"/>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A93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有效提高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4CC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8AB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95D02">
            <w:pPr>
              <w:jc w:val="center"/>
              <w:rPr>
                <w:rFonts w:hint="eastAsia" w:ascii="微软雅黑" w:hAnsi="微软雅黑" w:eastAsia="微软雅黑" w:cs="微软雅黑"/>
                <w:i/>
                <w:iCs/>
                <w:color w:val="000000"/>
                <w:sz w:val="16"/>
                <w:szCs w:val="16"/>
                <w:highlight w:val="none"/>
                <w:u w:val="none"/>
              </w:rPr>
            </w:pPr>
          </w:p>
        </w:tc>
      </w:tr>
      <w:tr w14:paraId="06DA1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298F0">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642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DDE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2EC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使用软件人员满意度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30E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0A8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0ED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FDE1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544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16C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782C">
            <w:pPr>
              <w:jc w:val="center"/>
              <w:rPr>
                <w:rFonts w:hint="eastAsia" w:ascii="微软雅黑" w:hAnsi="微软雅黑" w:eastAsia="微软雅黑" w:cs="微软雅黑"/>
                <w:i/>
                <w:iCs/>
                <w:color w:val="000000"/>
                <w:sz w:val="16"/>
                <w:szCs w:val="16"/>
                <w:highlight w:val="none"/>
                <w:u w:val="none"/>
              </w:rPr>
            </w:pPr>
          </w:p>
        </w:tc>
      </w:tr>
      <w:tr w14:paraId="53380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B3839">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0E7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ACA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2E5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实际支出费用</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6D5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AF5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476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C70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1F2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A00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E4CBB">
            <w:pPr>
              <w:jc w:val="center"/>
              <w:rPr>
                <w:rFonts w:hint="eastAsia" w:ascii="微软雅黑" w:hAnsi="微软雅黑" w:eastAsia="微软雅黑" w:cs="微软雅黑"/>
                <w:i/>
                <w:iCs/>
                <w:color w:val="000000"/>
                <w:sz w:val="16"/>
                <w:szCs w:val="16"/>
                <w:highlight w:val="none"/>
                <w:u w:val="none"/>
              </w:rPr>
            </w:pPr>
          </w:p>
        </w:tc>
      </w:tr>
      <w:tr w14:paraId="3152C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57E4A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547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FDAD8">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53B36">
            <w:pPr>
              <w:rPr>
                <w:rFonts w:hint="eastAsia" w:ascii="宋体" w:hAnsi="宋体" w:eastAsia="宋体" w:cs="宋体"/>
                <w:i w:val="0"/>
                <w:iCs w:val="0"/>
                <w:color w:val="000000"/>
                <w:sz w:val="18"/>
                <w:szCs w:val="18"/>
                <w:highlight w:val="none"/>
                <w:u w:val="none"/>
              </w:rPr>
            </w:pPr>
          </w:p>
        </w:tc>
      </w:tr>
      <w:tr w14:paraId="27C3D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B5D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F6630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自评总分：</w:t>
            </w:r>
            <w:r>
              <w:rPr>
                <w:rFonts w:hint="eastAsia" w:ascii="宋体" w:hAnsi="宋体" w:eastAsia="宋体" w:cs="宋体"/>
                <w:i w:val="0"/>
                <w:iCs w:val="0"/>
                <w:color w:val="000000"/>
                <w:kern w:val="0"/>
                <w:sz w:val="18"/>
                <w:szCs w:val="18"/>
                <w:highlight w:val="none"/>
                <w:u w:val="none"/>
                <w:lang w:val="en-US" w:eastAsia="zh-CN" w:bidi="ar"/>
              </w:rPr>
              <w:t>100分。</w:t>
            </w:r>
            <w:r>
              <w:rPr>
                <w:rFonts w:hint="eastAsia" w:ascii="黑体" w:hAnsi="黑体" w:eastAsia="黑体" w:cs="黑体"/>
                <w:i w:val="0"/>
                <w:iCs w:val="0"/>
                <w:color w:val="000000"/>
                <w:kern w:val="0"/>
                <w:sz w:val="18"/>
                <w:szCs w:val="18"/>
                <w:highlight w:val="none"/>
                <w:u w:val="none"/>
                <w:lang w:val="en-US" w:eastAsia="zh-CN" w:bidi="ar"/>
              </w:rPr>
              <w:t>“浙阿乐业云”访问人数约8万次，发布岗位信息192期，提供岗位9000余个。</w:t>
            </w:r>
            <w:r>
              <w:rPr>
                <w:rFonts w:hint="eastAsia" w:ascii="宋体" w:hAnsi="宋体" w:eastAsia="宋体" w:cs="宋体"/>
                <w:i w:val="0"/>
                <w:iCs w:val="0"/>
                <w:color w:val="000000"/>
                <w:kern w:val="0"/>
                <w:sz w:val="18"/>
                <w:szCs w:val="18"/>
                <w:highlight w:val="none"/>
                <w:u w:val="none"/>
                <w:lang w:val="en-US" w:eastAsia="zh-CN" w:bidi="ar"/>
              </w:rPr>
              <w:t>实现了“云”上求职登记、在线面试、在线签约、创业辅导、技能培训、电商服务等功能，有效解决四川阿坝州农村劳动力就业创业服务“最后一公里”的难题，农牧民足不出户就能在驿站或平台上精准获得浙江、海口、阿坝等地真实可靠的就业、创业等相关信息。</w:t>
            </w:r>
          </w:p>
        </w:tc>
      </w:tr>
      <w:tr w14:paraId="5B431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010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4D861F">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人岗匹配精准度有待提高，岗位与阿坝劳动力技能、地域、语言适配有待优化。</w:t>
            </w:r>
          </w:p>
        </w:tc>
      </w:tr>
      <w:tr w14:paraId="641F0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FC6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CEEF6A">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xml:space="preserve"> 精准匹配升级：联合浙江、海口企业及阿坝人社部门，梳理阿坝劳动力核心技能、从业偏好；增设“地域专属岗”“双语适配岗”筛选标签，提升匹配精准度。</w:t>
            </w:r>
          </w:p>
        </w:tc>
      </w:tr>
      <w:tr w14:paraId="1BA5E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93686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项目负责人：李启鹏</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BC17E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财务负责人：梅朵娜姆</w:t>
            </w:r>
          </w:p>
        </w:tc>
      </w:tr>
    </w:tbl>
    <w:p w14:paraId="269EF81C">
      <w:pPr>
        <w:rPr>
          <w:highlight w:val="none"/>
        </w:rPr>
      </w:pPr>
    </w:p>
    <w:p w14:paraId="17E07CCE">
      <w:pPr>
        <w:rPr>
          <w:highlight w:val="none"/>
        </w:rPr>
      </w:pP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9"/>
        <w:gridCol w:w="2023"/>
        <w:gridCol w:w="1742"/>
        <w:gridCol w:w="2227"/>
        <w:gridCol w:w="518"/>
        <w:gridCol w:w="1652"/>
        <w:gridCol w:w="521"/>
        <w:gridCol w:w="1306"/>
        <w:gridCol w:w="502"/>
        <w:gridCol w:w="487"/>
        <w:gridCol w:w="2517"/>
      </w:tblGrid>
      <w:tr w14:paraId="24430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FDEFCC">
            <w:pPr>
              <w:keepNext w:val="0"/>
              <w:keepLines w:val="0"/>
              <w:widowControl/>
              <w:suppressLineNumbers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7E177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5C7E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404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2CFA4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51320024T000010670331-驻外农民工党群服务中心工作经费</w:t>
            </w:r>
          </w:p>
        </w:tc>
      </w:tr>
      <w:tr w14:paraId="7AF6E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9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35EB2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235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80D08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459" w:type="pct"/>
            <w:tcBorders>
              <w:top w:val="nil"/>
              <w:left w:val="nil"/>
              <w:bottom w:val="nil"/>
              <w:right w:val="nil"/>
            </w:tcBorders>
            <w:shd w:val="clear" w:color="auto" w:fill="auto"/>
            <w:vAlign w:val="center"/>
          </w:tcPr>
          <w:p w14:paraId="444268F5">
            <w:pPr>
              <w:keepNext w:val="0"/>
              <w:keepLines w:val="0"/>
              <w:widowControl/>
              <w:suppressLineNumbers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123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F2A3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州农民工服务中心</w:t>
            </w:r>
          </w:p>
        </w:tc>
      </w:tr>
      <w:tr w14:paraId="0F894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B93F4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D98AD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235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53A2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169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9BD0C5">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5676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A732D">
            <w:pPr>
              <w:rPr>
                <w:rFonts w:hint="eastAsia" w:ascii="宋体" w:hAnsi="宋体" w:eastAsia="宋体" w:cs="宋体"/>
                <w:i w:val="0"/>
                <w:iCs w:val="0"/>
                <w:color w:val="000000"/>
                <w:sz w:val="18"/>
                <w:szCs w:val="18"/>
                <w:highlight w:val="none"/>
                <w:u w:val="none"/>
              </w:rPr>
            </w:pPr>
          </w:p>
        </w:tc>
        <w:tc>
          <w:tcPr>
            <w:tcW w:w="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56A67">
            <w:pPr>
              <w:rPr>
                <w:rFonts w:hint="eastAsia" w:ascii="宋体" w:hAnsi="宋体" w:eastAsia="宋体" w:cs="宋体"/>
                <w:i w:val="0"/>
                <w:iCs w:val="0"/>
                <w:color w:val="000000"/>
                <w:sz w:val="18"/>
                <w:szCs w:val="18"/>
                <w:highlight w:val="none"/>
                <w:u w:val="none"/>
              </w:rPr>
            </w:pPr>
          </w:p>
        </w:tc>
        <w:tc>
          <w:tcPr>
            <w:tcW w:w="235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8DE83F">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西藏拉萨市、重庆市、浙江省杭州市、北京市、成都市、深圳市、沈阳市、海口市等8个地方的阿坝州驻外农民工党群服务中心负责广泛收集当地用工企业招工信息，协助县（市）农民工服务中心组织阿坝州籍农民工到本地有实力、口碑好的企业务工就业，搭建返乡创业服务平台，维护外出务工人员合法权益。通过服务中心工作提高农民工劳务收入。</w:t>
            </w:r>
          </w:p>
        </w:tc>
        <w:tc>
          <w:tcPr>
            <w:tcW w:w="169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3F9B0F">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驻外农民工党群服务中心为在外务工的4万名阿坝州暨农民工指导服务，做好在外阿坝籍农民工的数据统计工作，及时掌握他们的就业、生活等情况，同时加强权益保障工作，帮助解决农民工在外遇到的困难和问题。</w:t>
            </w:r>
          </w:p>
        </w:tc>
      </w:tr>
      <w:tr w14:paraId="6F413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28AE4">
            <w:pPr>
              <w:rPr>
                <w:rFonts w:hint="eastAsia" w:ascii="宋体" w:hAnsi="宋体" w:eastAsia="宋体" w:cs="宋体"/>
                <w:i w:val="0"/>
                <w:iCs w:val="0"/>
                <w:color w:val="000000"/>
                <w:sz w:val="18"/>
                <w:szCs w:val="18"/>
                <w:highlight w:val="none"/>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4F62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404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B15C3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向阿坝州驻宜宾市就业服务站和阿坝州驻重庆农民工党群服务中心各支付4万元工作经费，向阿坝州驻西藏农民工党群服务中心支付3万元工作经费，向阿坝州驻沈阳农民工党群服务中心、阿坝州驻浙江温州就业服务（农民工服务）工作站、都江堰农民工党群服务中心、驻成都市金牛区农民工党群服务工作站各支付1万元工作经费，用于支持驻外农民工党群服务中心的日常运营和活动开展。</w:t>
            </w:r>
          </w:p>
        </w:tc>
      </w:tr>
      <w:tr w14:paraId="63E0D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7A4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E56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A6A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AED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9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C3D4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930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C09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42B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354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1139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A50C4">
            <w:pPr>
              <w:jc w:val="center"/>
              <w:rPr>
                <w:rFonts w:hint="eastAsia" w:ascii="宋体" w:hAnsi="宋体" w:eastAsia="宋体" w:cs="宋体"/>
                <w:i w:val="0"/>
                <w:iCs w:val="0"/>
                <w:color w:val="000000"/>
                <w:sz w:val="18"/>
                <w:szCs w:val="18"/>
                <w:highlight w:val="none"/>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0DB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A29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15.00</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3A0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15.00</w:t>
            </w:r>
          </w:p>
        </w:tc>
        <w:tc>
          <w:tcPr>
            <w:tcW w:w="9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90D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15.00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912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DCB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28C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8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2D54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6082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08F22">
            <w:pPr>
              <w:jc w:val="center"/>
              <w:rPr>
                <w:rFonts w:hint="eastAsia" w:ascii="宋体" w:hAnsi="宋体" w:eastAsia="宋体" w:cs="宋体"/>
                <w:i w:val="0"/>
                <w:iCs w:val="0"/>
                <w:color w:val="000000"/>
                <w:sz w:val="18"/>
                <w:szCs w:val="18"/>
                <w:highlight w:val="none"/>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04D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418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15.00</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3D8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15.00</w:t>
            </w:r>
          </w:p>
        </w:tc>
        <w:tc>
          <w:tcPr>
            <w:tcW w:w="9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78FB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15.00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14D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6EF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E0C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8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7ECE5">
            <w:pPr>
              <w:rPr>
                <w:rFonts w:hint="eastAsia" w:ascii="黑体" w:hAnsi="黑体" w:eastAsia="黑体" w:cs="黑体"/>
                <w:i/>
                <w:iCs/>
                <w:color w:val="000000"/>
                <w:sz w:val="18"/>
                <w:szCs w:val="18"/>
                <w:highlight w:val="none"/>
                <w:u w:val="none"/>
              </w:rPr>
            </w:pPr>
          </w:p>
        </w:tc>
      </w:tr>
      <w:tr w14:paraId="750FF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58BF7">
            <w:pPr>
              <w:jc w:val="center"/>
              <w:rPr>
                <w:rFonts w:hint="eastAsia" w:ascii="宋体" w:hAnsi="宋体" w:eastAsia="宋体" w:cs="宋体"/>
                <w:i w:val="0"/>
                <w:iCs w:val="0"/>
                <w:color w:val="000000"/>
                <w:sz w:val="18"/>
                <w:szCs w:val="18"/>
                <w:highlight w:val="none"/>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1BB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CE6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376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9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F6C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FBB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6F4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306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8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9D0F8">
            <w:pPr>
              <w:rPr>
                <w:rFonts w:hint="eastAsia" w:ascii="黑体" w:hAnsi="黑体" w:eastAsia="黑体" w:cs="黑体"/>
                <w:i/>
                <w:iCs/>
                <w:color w:val="000000"/>
                <w:sz w:val="18"/>
                <w:szCs w:val="18"/>
                <w:highlight w:val="none"/>
                <w:u w:val="none"/>
              </w:rPr>
            </w:pPr>
          </w:p>
        </w:tc>
      </w:tr>
      <w:tr w14:paraId="435F8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544DF">
            <w:pPr>
              <w:jc w:val="center"/>
              <w:rPr>
                <w:rFonts w:hint="eastAsia" w:ascii="宋体" w:hAnsi="宋体" w:eastAsia="宋体" w:cs="宋体"/>
                <w:i w:val="0"/>
                <w:iCs w:val="0"/>
                <w:color w:val="000000"/>
                <w:sz w:val="18"/>
                <w:szCs w:val="18"/>
                <w:highlight w:val="none"/>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785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965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209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9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405C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665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219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ABE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8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45E5C">
            <w:pPr>
              <w:rPr>
                <w:rFonts w:hint="eastAsia" w:ascii="黑体" w:hAnsi="黑体" w:eastAsia="黑体" w:cs="黑体"/>
                <w:i/>
                <w:iCs/>
                <w:color w:val="000000"/>
                <w:sz w:val="18"/>
                <w:szCs w:val="18"/>
                <w:highlight w:val="none"/>
                <w:u w:val="none"/>
              </w:rPr>
            </w:pPr>
          </w:p>
        </w:tc>
      </w:tr>
      <w:tr w14:paraId="7B68D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F751C">
            <w:pPr>
              <w:jc w:val="center"/>
              <w:rPr>
                <w:rFonts w:hint="eastAsia" w:ascii="宋体" w:hAnsi="宋体" w:eastAsia="宋体" w:cs="宋体"/>
                <w:i w:val="0"/>
                <w:iCs w:val="0"/>
                <w:color w:val="000000"/>
                <w:sz w:val="18"/>
                <w:szCs w:val="18"/>
                <w:highlight w:val="none"/>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3BE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EA34B">
            <w:pPr>
              <w:jc w:val="center"/>
              <w:rPr>
                <w:rFonts w:hint="eastAsia" w:ascii="微软雅黑" w:hAnsi="微软雅黑" w:eastAsia="微软雅黑" w:cs="微软雅黑"/>
                <w:i/>
                <w:iCs/>
                <w:color w:val="000000"/>
                <w:sz w:val="16"/>
                <w:szCs w:val="16"/>
                <w:highlight w:val="none"/>
                <w:u w:val="none"/>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9B006">
            <w:pPr>
              <w:jc w:val="center"/>
              <w:rPr>
                <w:rFonts w:hint="eastAsia" w:ascii="微软雅黑" w:hAnsi="微软雅黑" w:eastAsia="微软雅黑" w:cs="微软雅黑"/>
                <w:i/>
                <w:iCs/>
                <w:color w:val="000000"/>
                <w:sz w:val="16"/>
                <w:szCs w:val="16"/>
                <w:highlight w:val="none"/>
                <w:u w:val="none"/>
              </w:rPr>
            </w:pPr>
          </w:p>
        </w:tc>
        <w:tc>
          <w:tcPr>
            <w:tcW w:w="9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15CE8">
            <w:pPr>
              <w:jc w:val="center"/>
              <w:rPr>
                <w:rFonts w:hint="eastAsia" w:ascii="微软雅黑" w:hAnsi="微软雅黑" w:eastAsia="微软雅黑" w:cs="微软雅黑"/>
                <w:i/>
                <w:iCs/>
                <w:color w:val="000000"/>
                <w:sz w:val="16"/>
                <w:szCs w:val="16"/>
                <w:highlight w:val="none"/>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B5DF">
            <w:pPr>
              <w:jc w:val="center"/>
              <w:rPr>
                <w:rFonts w:hint="eastAsia" w:ascii="微软雅黑" w:hAnsi="微软雅黑" w:eastAsia="微软雅黑" w:cs="微软雅黑"/>
                <w:i/>
                <w:iCs/>
                <w:color w:val="000000"/>
                <w:sz w:val="16"/>
                <w:szCs w:val="16"/>
                <w:highlight w:val="none"/>
                <w:u w:val="none"/>
              </w:rPr>
            </w:pP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1EE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DC4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8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76D83">
            <w:pPr>
              <w:rPr>
                <w:rFonts w:hint="eastAsia" w:ascii="黑体" w:hAnsi="黑体" w:eastAsia="黑体" w:cs="黑体"/>
                <w:i/>
                <w:iCs/>
                <w:color w:val="000000"/>
                <w:sz w:val="18"/>
                <w:szCs w:val="18"/>
                <w:highlight w:val="none"/>
                <w:u w:val="none"/>
              </w:rPr>
            </w:pPr>
          </w:p>
        </w:tc>
      </w:tr>
      <w:tr w14:paraId="0FFCC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625E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2CE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C5E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B31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38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76B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993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329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21D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88A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7EC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78E6B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E7035">
            <w:pPr>
              <w:jc w:val="center"/>
              <w:rPr>
                <w:rFonts w:hint="eastAsia" w:ascii="宋体" w:hAnsi="宋体" w:eastAsia="宋体" w:cs="宋体"/>
                <w:i w:val="0"/>
                <w:iCs w:val="0"/>
                <w:color w:val="000000"/>
                <w:sz w:val="18"/>
                <w:szCs w:val="18"/>
                <w:highlight w:val="none"/>
                <w:u w:val="none"/>
              </w:rPr>
            </w:pPr>
          </w:p>
        </w:tc>
        <w:tc>
          <w:tcPr>
            <w:tcW w:w="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F04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42D6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DFD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督导次数</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4EB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201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E15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431F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3DA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8B9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332D3">
            <w:pPr>
              <w:jc w:val="center"/>
              <w:rPr>
                <w:rFonts w:hint="eastAsia" w:ascii="微软雅黑" w:hAnsi="微软雅黑" w:eastAsia="微软雅黑" w:cs="微软雅黑"/>
                <w:i/>
                <w:iCs/>
                <w:color w:val="000000"/>
                <w:sz w:val="16"/>
                <w:szCs w:val="16"/>
                <w:highlight w:val="none"/>
                <w:u w:val="none"/>
              </w:rPr>
            </w:pPr>
          </w:p>
        </w:tc>
      </w:tr>
      <w:tr w14:paraId="387D6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92CCB">
            <w:pPr>
              <w:jc w:val="center"/>
              <w:rPr>
                <w:rFonts w:hint="eastAsia" w:ascii="宋体" w:hAnsi="宋体" w:eastAsia="宋体" w:cs="宋体"/>
                <w:i w:val="0"/>
                <w:iCs w:val="0"/>
                <w:color w:val="000000"/>
                <w:sz w:val="18"/>
                <w:szCs w:val="18"/>
                <w:highlight w:val="none"/>
                <w:u w:val="none"/>
              </w:rPr>
            </w:pPr>
          </w:p>
        </w:tc>
        <w:tc>
          <w:tcPr>
            <w:tcW w:w="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0542C">
            <w:pPr>
              <w:jc w:val="center"/>
              <w:rPr>
                <w:rFonts w:hint="eastAsia" w:ascii="宋体" w:hAnsi="宋体" w:eastAsia="宋体" w:cs="宋体"/>
                <w:i w:val="0"/>
                <w:iCs w:val="0"/>
                <w:color w:val="000000"/>
                <w:sz w:val="18"/>
                <w:szCs w:val="18"/>
                <w:highlight w:val="none"/>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2EE75">
            <w:pPr>
              <w:jc w:val="center"/>
              <w:rPr>
                <w:rFonts w:hint="eastAsia" w:ascii="宋体" w:hAnsi="宋体" w:eastAsia="宋体" w:cs="宋体"/>
                <w:i w:val="0"/>
                <w:iCs w:val="0"/>
                <w:color w:val="000000"/>
                <w:sz w:val="18"/>
                <w:szCs w:val="18"/>
                <w:highlight w:val="none"/>
                <w:u w:val="none"/>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0C1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运行服务中心数量</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7E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FE2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1CA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C636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930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D4E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46B75">
            <w:pPr>
              <w:jc w:val="center"/>
              <w:rPr>
                <w:rFonts w:hint="eastAsia" w:ascii="微软雅黑" w:hAnsi="微软雅黑" w:eastAsia="微软雅黑" w:cs="微软雅黑"/>
                <w:i/>
                <w:iCs/>
                <w:color w:val="000000"/>
                <w:sz w:val="16"/>
                <w:szCs w:val="16"/>
                <w:highlight w:val="none"/>
                <w:u w:val="none"/>
              </w:rPr>
            </w:pPr>
          </w:p>
        </w:tc>
      </w:tr>
      <w:tr w14:paraId="219D0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FA91C">
            <w:pPr>
              <w:jc w:val="center"/>
              <w:rPr>
                <w:rFonts w:hint="eastAsia" w:ascii="宋体" w:hAnsi="宋体" w:eastAsia="宋体" w:cs="宋体"/>
                <w:i w:val="0"/>
                <w:iCs w:val="0"/>
                <w:color w:val="000000"/>
                <w:sz w:val="18"/>
                <w:szCs w:val="18"/>
                <w:highlight w:val="none"/>
                <w:u w:val="none"/>
              </w:rPr>
            </w:pPr>
          </w:p>
        </w:tc>
        <w:tc>
          <w:tcPr>
            <w:tcW w:w="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B6402">
            <w:pPr>
              <w:jc w:val="center"/>
              <w:rPr>
                <w:rFonts w:hint="eastAsia" w:ascii="宋体" w:hAnsi="宋体" w:eastAsia="宋体" w:cs="宋体"/>
                <w:i w:val="0"/>
                <w:iCs w:val="0"/>
                <w:color w:val="000000"/>
                <w:sz w:val="18"/>
                <w:szCs w:val="18"/>
                <w:highlight w:val="none"/>
                <w:u w:val="none"/>
              </w:rPr>
            </w:pP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3FB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A9B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服务规范达标率</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4D1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AFC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155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4CEC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439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767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75106">
            <w:pPr>
              <w:jc w:val="center"/>
              <w:rPr>
                <w:rFonts w:hint="eastAsia" w:ascii="微软雅黑" w:hAnsi="微软雅黑" w:eastAsia="微软雅黑" w:cs="微软雅黑"/>
                <w:i/>
                <w:iCs/>
                <w:color w:val="000000"/>
                <w:sz w:val="16"/>
                <w:szCs w:val="16"/>
                <w:highlight w:val="none"/>
                <w:u w:val="none"/>
              </w:rPr>
            </w:pPr>
          </w:p>
        </w:tc>
      </w:tr>
      <w:tr w14:paraId="59373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37B06">
            <w:pPr>
              <w:jc w:val="center"/>
              <w:rPr>
                <w:rFonts w:hint="eastAsia" w:ascii="宋体" w:hAnsi="宋体" w:eastAsia="宋体" w:cs="宋体"/>
                <w:i w:val="0"/>
                <w:iCs w:val="0"/>
                <w:color w:val="000000"/>
                <w:sz w:val="18"/>
                <w:szCs w:val="18"/>
                <w:highlight w:val="none"/>
                <w:u w:val="none"/>
              </w:rPr>
            </w:pPr>
          </w:p>
        </w:tc>
        <w:tc>
          <w:tcPr>
            <w:tcW w:w="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7F825">
            <w:pPr>
              <w:jc w:val="center"/>
              <w:rPr>
                <w:rFonts w:hint="eastAsia" w:ascii="宋体" w:hAnsi="宋体" w:eastAsia="宋体" w:cs="宋体"/>
                <w:i w:val="0"/>
                <w:iCs w:val="0"/>
                <w:color w:val="000000"/>
                <w:sz w:val="18"/>
                <w:szCs w:val="18"/>
                <w:highlight w:val="none"/>
                <w:u w:val="none"/>
              </w:rPr>
            </w:pP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B05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A4F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项目完成时间</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EE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FE1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ED3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0FFF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4F6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7DA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62339">
            <w:pPr>
              <w:jc w:val="center"/>
              <w:rPr>
                <w:rFonts w:hint="eastAsia" w:ascii="微软雅黑" w:hAnsi="微软雅黑" w:eastAsia="微软雅黑" w:cs="微软雅黑"/>
                <w:i/>
                <w:iCs/>
                <w:color w:val="000000"/>
                <w:sz w:val="16"/>
                <w:szCs w:val="16"/>
                <w:highlight w:val="none"/>
                <w:u w:val="none"/>
              </w:rPr>
            </w:pPr>
          </w:p>
        </w:tc>
      </w:tr>
      <w:tr w14:paraId="4631D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24549">
            <w:pPr>
              <w:jc w:val="center"/>
              <w:rPr>
                <w:rFonts w:hint="eastAsia" w:ascii="宋体" w:hAnsi="宋体" w:eastAsia="宋体" w:cs="宋体"/>
                <w:i w:val="0"/>
                <w:iCs w:val="0"/>
                <w:color w:val="000000"/>
                <w:sz w:val="18"/>
                <w:szCs w:val="18"/>
                <w:highlight w:val="none"/>
                <w:u w:val="none"/>
              </w:rPr>
            </w:pPr>
          </w:p>
        </w:tc>
        <w:tc>
          <w:tcPr>
            <w:tcW w:w="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284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DAF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D59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提高农民工外出就业创业劳务收入</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3E1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271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有效提高</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5CB86">
            <w:pPr>
              <w:jc w:val="center"/>
              <w:rPr>
                <w:rFonts w:hint="eastAsia" w:ascii="宋体" w:hAnsi="宋体" w:eastAsia="宋体" w:cs="宋体"/>
                <w:i w:val="0"/>
                <w:iCs w:val="0"/>
                <w:color w:val="000000"/>
                <w:sz w:val="18"/>
                <w:szCs w:val="18"/>
                <w:highlight w:val="none"/>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531E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有效提高</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EC7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F89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14355">
            <w:pPr>
              <w:jc w:val="center"/>
              <w:rPr>
                <w:rFonts w:hint="eastAsia" w:ascii="微软雅黑" w:hAnsi="微软雅黑" w:eastAsia="微软雅黑" w:cs="微软雅黑"/>
                <w:i/>
                <w:iCs/>
                <w:color w:val="000000"/>
                <w:sz w:val="16"/>
                <w:szCs w:val="16"/>
                <w:highlight w:val="none"/>
                <w:u w:val="none"/>
              </w:rPr>
            </w:pPr>
          </w:p>
        </w:tc>
      </w:tr>
      <w:tr w14:paraId="72803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1FBE4">
            <w:pPr>
              <w:jc w:val="center"/>
              <w:rPr>
                <w:rFonts w:hint="eastAsia" w:ascii="宋体" w:hAnsi="宋体" w:eastAsia="宋体" w:cs="宋体"/>
                <w:i w:val="0"/>
                <w:iCs w:val="0"/>
                <w:color w:val="000000"/>
                <w:sz w:val="18"/>
                <w:szCs w:val="18"/>
                <w:highlight w:val="none"/>
                <w:u w:val="none"/>
              </w:rPr>
            </w:pPr>
          </w:p>
        </w:tc>
        <w:tc>
          <w:tcPr>
            <w:tcW w:w="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AA0C6">
            <w:pPr>
              <w:jc w:val="center"/>
              <w:rPr>
                <w:rFonts w:hint="eastAsia" w:ascii="宋体" w:hAnsi="宋体" w:eastAsia="宋体" w:cs="宋体"/>
                <w:i w:val="0"/>
                <w:iCs w:val="0"/>
                <w:color w:val="000000"/>
                <w:sz w:val="18"/>
                <w:szCs w:val="18"/>
                <w:highlight w:val="none"/>
                <w:u w:val="none"/>
              </w:rPr>
            </w:pP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C2A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62E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维护外出务工人员合法权益</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C46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3F2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维护情况较好</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06EED">
            <w:pPr>
              <w:jc w:val="center"/>
              <w:rPr>
                <w:rFonts w:hint="eastAsia" w:ascii="宋体" w:hAnsi="宋体" w:eastAsia="宋体" w:cs="宋体"/>
                <w:i w:val="0"/>
                <w:iCs w:val="0"/>
                <w:color w:val="000000"/>
                <w:sz w:val="18"/>
                <w:szCs w:val="18"/>
                <w:highlight w:val="none"/>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784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维护情况较好</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77A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3A0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859D">
            <w:pPr>
              <w:jc w:val="center"/>
              <w:rPr>
                <w:rFonts w:hint="eastAsia" w:ascii="微软雅黑" w:hAnsi="微软雅黑" w:eastAsia="微软雅黑" w:cs="微软雅黑"/>
                <w:i/>
                <w:iCs/>
                <w:color w:val="000000"/>
                <w:sz w:val="16"/>
                <w:szCs w:val="16"/>
                <w:highlight w:val="none"/>
                <w:u w:val="none"/>
              </w:rPr>
            </w:pPr>
          </w:p>
        </w:tc>
      </w:tr>
      <w:tr w14:paraId="0F133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D8D07">
            <w:pPr>
              <w:jc w:val="center"/>
              <w:rPr>
                <w:rFonts w:hint="eastAsia" w:ascii="宋体" w:hAnsi="宋体" w:eastAsia="宋体" w:cs="宋体"/>
                <w:i w:val="0"/>
                <w:iCs w:val="0"/>
                <w:color w:val="000000"/>
                <w:sz w:val="18"/>
                <w:szCs w:val="18"/>
                <w:highlight w:val="none"/>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B2D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CEB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530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阿坝州外出务工农民工对驻外党群服务中心服务的满意度</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660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3EA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50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2C0B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137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A6C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C5E85">
            <w:pPr>
              <w:jc w:val="center"/>
              <w:rPr>
                <w:rFonts w:hint="eastAsia" w:ascii="微软雅黑" w:hAnsi="微软雅黑" w:eastAsia="微软雅黑" w:cs="微软雅黑"/>
                <w:i/>
                <w:iCs/>
                <w:color w:val="000000"/>
                <w:sz w:val="16"/>
                <w:szCs w:val="16"/>
                <w:highlight w:val="none"/>
                <w:u w:val="none"/>
              </w:rPr>
            </w:pPr>
          </w:p>
        </w:tc>
      </w:tr>
      <w:tr w14:paraId="20E1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0A736">
            <w:pPr>
              <w:jc w:val="center"/>
              <w:rPr>
                <w:rFonts w:hint="eastAsia" w:ascii="宋体" w:hAnsi="宋体" w:eastAsia="宋体" w:cs="宋体"/>
                <w:i w:val="0"/>
                <w:iCs w:val="0"/>
                <w:color w:val="000000"/>
                <w:sz w:val="18"/>
                <w:szCs w:val="18"/>
                <w:highlight w:val="none"/>
                <w:u w:val="none"/>
              </w:rPr>
            </w:pPr>
          </w:p>
        </w:tc>
        <w:tc>
          <w:tcPr>
            <w:tcW w:w="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F20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4A73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D7C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实际支出金额</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092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C6B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E76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C4B1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15</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365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66F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70A4A">
            <w:pPr>
              <w:jc w:val="center"/>
              <w:rPr>
                <w:rFonts w:hint="eastAsia" w:ascii="微软雅黑" w:hAnsi="微软雅黑" w:eastAsia="微软雅黑" w:cs="微软雅黑"/>
                <w:i/>
                <w:iCs/>
                <w:color w:val="000000"/>
                <w:sz w:val="16"/>
                <w:szCs w:val="16"/>
                <w:highlight w:val="none"/>
                <w:u w:val="none"/>
              </w:rPr>
            </w:pPr>
          </w:p>
        </w:tc>
      </w:tr>
      <w:tr w14:paraId="128B8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31097">
            <w:pPr>
              <w:jc w:val="center"/>
              <w:rPr>
                <w:rFonts w:hint="eastAsia" w:ascii="宋体" w:hAnsi="宋体" w:eastAsia="宋体" w:cs="宋体"/>
                <w:i w:val="0"/>
                <w:iCs w:val="0"/>
                <w:color w:val="000000"/>
                <w:sz w:val="18"/>
                <w:szCs w:val="18"/>
                <w:highlight w:val="none"/>
                <w:u w:val="none"/>
              </w:rPr>
            </w:pPr>
          </w:p>
        </w:tc>
        <w:tc>
          <w:tcPr>
            <w:tcW w:w="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CFE02">
            <w:pPr>
              <w:jc w:val="center"/>
              <w:rPr>
                <w:rFonts w:hint="eastAsia" w:ascii="宋体" w:hAnsi="宋体" w:eastAsia="宋体" w:cs="宋体"/>
                <w:i w:val="0"/>
                <w:iCs w:val="0"/>
                <w:color w:val="000000"/>
                <w:sz w:val="18"/>
                <w:szCs w:val="18"/>
                <w:highlight w:val="none"/>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B837E">
            <w:pPr>
              <w:jc w:val="center"/>
              <w:rPr>
                <w:rFonts w:hint="eastAsia" w:ascii="宋体" w:hAnsi="宋体" w:eastAsia="宋体" w:cs="宋体"/>
                <w:i w:val="0"/>
                <w:iCs w:val="0"/>
                <w:color w:val="000000"/>
                <w:sz w:val="18"/>
                <w:szCs w:val="18"/>
                <w:highlight w:val="none"/>
                <w:u w:val="none"/>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D0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资金支付保障率</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BA8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276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09B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623C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1A1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121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C77FB">
            <w:pPr>
              <w:jc w:val="center"/>
              <w:rPr>
                <w:rFonts w:hint="eastAsia" w:ascii="微软雅黑" w:hAnsi="微软雅黑" w:eastAsia="微软雅黑" w:cs="微软雅黑"/>
                <w:i/>
                <w:iCs/>
                <w:color w:val="000000"/>
                <w:sz w:val="16"/>
                <w:szCs w:val="16"/>
                <w:highlight w:val="none"/>
                <w:u w:val="none"/>
              </w:rPr>
            </w:pPr>
          </w:p>
        </w:tc>
      </w:tr>
      <w:tr w14:paraId="20EB1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B7005">
            <w:pPr>
              <w:jc w:val="center"/>
              <w:rPr>
                <w:rFonts w:hint="eastAsia" w:ascii="宋体" w:hAnsi="宋体" w:eastAsia="宋体" w:cs="宋体"/>
                <w:i w:val="0"/>
                <w:iCs w:val="0"/>
                <w:color w:val="000000"/>
                <w:sz w:val="18"/>
                <w:szCs w:val="18"/>
                <w:highlight w:val="none"/>
                <w:u w:val="none"/>
              </w:rPr>
            </w:pPr>
          </w:p>
        </w:tc>
        <w:tc>
          <w:tcPr>
            <w:tcW w:w="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C6746">
            <w:pPr>
              <w:jc w:val="center"/>
              <w:rPr>
                <w:rFonts w:hint="eastAsia" w:ascii="宋体" w:hAnsi="宋体" w:eastAsia="宋体" w:cs="宋体"/>
                <w:i w:val="0"/>
                <w:iCs w:val="0"/>
                <w:color w:val="000000"/>
                <w:sz w:val="18"/>
                <w:szCs w:val="18"/>
                <w:highlight w:val="none"/>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C7D33">
            <w:pPr>
              <w:jc w:val="center"/>
              <w:rPr>
                <w:rFonts w:hint="eastAsia" w:ascii="宋体" w:hAnsi="宋体" w:eastAsia="宋体" w:cs="宋体"/>
                <w:i w:val="0"/>
                <w:iCs w:val="0"/>
                <w:color w:val="000000"/>
                <w:sz w:val="18"/>
                <w:szCs w:val="18"/>
                <w:highlight w:val="none"/>
                <w:u w:val="none"/>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2EE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驻外党群服务中心支出费用</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A36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520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183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5976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5FA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915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C25E7">
            <w:pPr>
              <w:jc w:val="center"/>
              <w:rPr>
                <w:rFonts w:hint="eastAsia" w:ascii="微软雅黑" w:hAnsi="微软雅黑" w:eastAsia="微软雅黑" w:cs="微软雅黑"/>
                <w:i/>
                <w:iCs/>
                <w:color w:val="000000"/>
                <w:sz w:val="16"/>
                <w:szCs w:val="16"/>
                <w:highlight w:val="none"/>
                <w:u w:val="none"/>
              </w:rPr>
            </w:pPr>
          </w:p>
        </w:tc>
      </w:tr>
      <w:tr w14:paraId="02C82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6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F676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1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8AB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AE821">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86727">
            <w:pPr>
              <w:rPr>
                <w:rFonts w:hint="eastAsia" w:ascii="宋体" w:hAnsi="宋体" w:eastAsia="宋体" w:cs="宋体"/>
                <w:i w:val="0"/>
                <w:iCs w:val="0"/>
                <w:color w:val="000000"/>
                <w:sz w:val="18"/>
                <w:szCs w:val="18"/>
                <w:highlight w:val="none"/>
                <w:u w:val="none"/>
              </w:rPr>
            </w:pPr>
          </w:p>
        </w:tc>
      </w:tr>
      <w:tr w14:paraId="21727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FB9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B67B0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自评总分：100分。安排并拨付工作经费15万元，用于支持驻外农民工党群服务中心的日常运营和活动开展，指导服务中心做好在外阿坝籍农民工的数据统计工作，及时掌握他们的就业、生活等情况，同时加强权益保障工作，帮助解决农民工在外遇到的困难和问题。</w:t>
            </w:r>
          </w:p>
        </w:tc>
      </w:tr>
      <w:tr w14:paraId="661CF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98B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01BB2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是督导力度不够。州农民工服务中心作为驻外农民工党群服务中心的督导机构，因工作重心原因，对8个驻外机构的督导力度还不够；二是基础保障条件不足。《阿坝州人民政府办公室关于进一步强化州人民政府驻北京联络处职能配置的通知》文件，要求我中心负责驻地及周边地区务工人员的服务保障工作，但条件受限，无办公场所及办公人员。</w:t>
            </w:r>
          </w:p>
        </w:tc>
      </w:tr>
      <w:tr w14:paraId="24503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94E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04D03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一是持续加强对阿坝州各驻外农民工党群服务中心和农民工服务站的督导，着力关注、关心阿坝州籍在外农民工的数据统计、政策宣传、就业指导、维权帮扶、子女教育、住房保障、异地就医、社会保险等。二是积极与阿坝商会对接，协调办公场所，并派专人赴成都开展农民工服务保障工作。</w:t>
            </w:r>
          </w:p>
        </w:tc>
      </w:tr>
      <w:tr w14:paraId="3E0F7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3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6582CC">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项目负责人：李启鹏</w:t>
            </w:r>
          </w:p>
        </w:tc>
        <w:tc>
          <w:tcPr>
            <w:tcW w:w="246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15B5D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财务负责人：梅朵娜姆</w:t>
            </w:r>
          </w:p>
        </w:tc>
      </w:tr>
    </w:tbl>
    <w:p w14:paraId="3A837A1F">
      <w:pPr>
        <w:rPr>
          <w:rFonts w:ascii="Times New Roman" w:hAnsi="Times New Roman" w:eastAsia="仿宋_GB2312" w:cs="Times New Roman"/>
          <w:kern w:val="2"/>
          <w:sz w:val="32"/>
          <w:szCs w:val="24"/>
          <w:highlight w:val="none"/>
          <w:lang w:val="en-US" w:eastAsia="zh-CN" w:bidi="ar-SA"/>
        </w:rPr>
      </w:pPr>
      <w:r>
        <w:rPr>
          <w:rFonts w:ascii="Times New Roman" w:hAnsi="Times New Roman" w:eastAsia="仿宋_GB2312" w:cs="Times New Roman"/>
          <w:kern w:val="2"/>
          <w:sz w:val="32"/>
          <w:szCs w:val="24"/>
          <w:highlight w:val="none"/>
          <w:lang w:val="en-US" w:eastAsia="zh-CN" w:bidi="ar-SA"/>
        </w:rPr>
        <w:br w:type="page"/>
      </w: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6"/>
        <w:gridCol w:w="2055"/>
        <w:gridCol w:w="1777"/>
        <w:gridCol w:w="2268"/>
        <w:gridCol w:w="524"/>
        <w:gridCol w:w="1678"/>
        <w:gridCol w:w="524"/>
        <w:gridCol w:w="1100"/>
        <w:gridCol w:w="505"/>
        <w:gridCol w:w="488"/>
        <w:gridCol w:w="2569"/>
      </w:tblGrid>
      <w:tr w14:paraId="7321F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27EFA5">
            <w:pPr>
              <w:keepNext w:val="0"/>
              <w:keepLines w:val="0"/>
              <w:widowControl/>
              <w:suppressLineNumbers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6EDB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A27A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403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2666A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51320024T000010669502-川籍农民工运动会经费</w:t>
            </w:r>
          </w:p>
        </w:tc>
      </w:tr>
      <w:tr w14:paraId="12E57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9A32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5AFD9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386" w:type="pct"/>
            <w:tcBorders>
              <w:top w:val="nil"/>
              <w:left w:val="nil"/>
              <w:bottom w:val="nil"/>
              <w:right w:val="nil"/>
            </w:tcBorders>
            <w:shd w:val="clear" w:color="auto" w:fill="auto"/>
            <w:vAlign w:val="center"/>
          </w:tcPr>
          <w:p w14:paraId="1112151C">
            <w:pPr>
              <w:keepNext w:val="0"/>
              <w:keepLines w:val="0"/>
              <w:widowControl/>
              <w:suppressLineNumbers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86C8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州农民工服务中心</w:t>
            </w:r>
          </w:p>
        </w:tc>
      </w:tr>
      <w:tr w14:paraId="77BC4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CB567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3F39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D3E5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0205B3">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149B5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E46F0">
            <w:pP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A684B">
            <w:pPr>
              <w:rPr>
                <w:rFonts w:hint="eastAsia" w:ascii="宋体" w:hAnsi="宋体" w:eastAsia="宋体" w:cs="宋体"/>
                <w:i w:val="0"/>
                <w:iCs w:val="0"/>
                <w:color w:val="000000"/>
                <w:sz w:val="18"/>
                <w:szCs w:val="18"/>
                <w:highlight w:val="none"/>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D0F31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根据四川省体育局四川省人力资源和社会保障厅《关于举办第七届川籍农民工运动会（北京）的通知》要求，全力做好我州组团参赛工作，通过组织参加川籍农民工运动会，增强农民工群体的认同感、幸福感和归属感。</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F877F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组队参加川籍农民工运动会，圆满完成省上参赛任务，并取得优异成绩。</w:t>
            </w:r>
          </w:p>
        </w:tc>
      </w:tr>
      <w:tr w14:paraId="4FD75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F63C8">
            <w:pP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7754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403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A0F1F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认真组织22名参赛运动员，主要参加乒乓球、集体跳绳、跳绳（单人）、象棋、拔河、亲子接力赛、三人篮球、7个集体和个人比赛项目，并取得优异成绩。</w:t>
            </w:r>
          </w:p>
        </w:tc>
      </w:tr>
      <w:tr w14:paraId="257A6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1DCC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B39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EC7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CED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9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9D5F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260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CE5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7D4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0F3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0CC2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C3B12">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22D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7B3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2E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9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3DB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A6F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4F0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0AA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5ABA0">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AAD6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B7BC2">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AE8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350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E51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9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AEEA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DFD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7A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DA8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7F971">
            <w:pPr>
              <w:rPr>
                <w:rFonts w:hint="eastAsia" w:ascii="黑体" w:hAnsi="黑体" w:eastAsia="黑体" w:cs="黑体"/>
                <w:i/>
                <w:iCs/>
                <w:color w:val="000000"/>
                <w:sz w:val="18"/>
                <w:szCs w:val="18"/>
                <w:highlight w:val="none"/>
                <w:u w:val="none"/>
              </w:rPr>
            </w:pPr>
          </w:p>
        </w:tc>
      </w:tr>
      <w:tr w14:paraId="424A2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8FC13">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DB4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614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865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9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1CDA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D83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B65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04E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F7C2D">
            <w:pPr>
              <w:rPr>
                <w:rFonts w:hint="eastAsia" w:ascii="黑体" w:hAnsi="黑体" w:eastAsia="黑体" w:cs="黑体"/>
                <w:i/>
                <w:iCs/>
                <w:color w:val="000000"/>
                <w:sz w:val="18"/>
                <w:szCs w:val="18"/>
                <w:highlight w:val="none"/>
                <w:u w:val="none"/>
              </w:rPr>
            </w:pPr>
          </w:p>
        </w:tc>
      </w:tr>
      <w:tr w14:paraId="0A9AA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B477D">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AAC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4A9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508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9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EAFA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EDB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DE1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546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5C616">
            <w:pPr>
              <w:rPr>
                <w:rFonts w:hint="eastAsia" w:ascii="黑体" w:hAnsi="黑体" w:eastAsia="黑体" w:cs="黑体"/>
                <w:i/>
                <w:iCs/>
                <w:color w:val="000000"/>
                <w:sz w:val="18"/>
                <w:szCs w:val="18"/>
                <w:highlight w:val="none"/>
                <w:u w:val="none"/>
              </w:rPr>
            </w:pPr>
          </w:p>
        </w:tc>
      </w:tr>
      <w:tr w14:paraId="0E484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37CBC">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DB7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2DAFB">
            <w:pPr>
              <w:jc w:val="center"/>
              <w:rPr>
                <w:rFonts w:hint="eastAsia" w:ascii="微软雅黑" w:hAnsi="微软雅黑" w:eastAsia="微软雅黑" w:cs="微软雅黑"/>
                <w:i/>
                <w:iCs/>
                <w:color w:val="000000"/>
                <w:sz w:val="16"/>
                <w:szCs w:val="16"/>
                <w:highlight w:val="none"/>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CC723">
            <w:pPr>
              <w:jc w:val="center"/>
              <w:rPr>
                <w:rFonts w:hint="eastAsia" w:ascii="微软雅黑" w:hAnsi="微软雅黑" w:eastAsia="微软雅黑" w:cs="微软雅黑"/>
                <w:i/>
                <w:iCs/>
                <w:color w:val="000000"/>
                <w:sz w:val="16"/>
                <w:szCs w:val="16"/>
                <w:highlight w:val="none"/>
                <w:u w:val="none"/>
              </w:rPr>
            </w:pPr>
          </w:p>
        </w:tc>
        <w:tc>
          <w:tcPr>
            <w:tcW w:w="9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04C9C2">
            <w:pPr>
              <w:jc w:val="center"/>
              <w:rPr>
                <w:rFonts w:hint="eastAsia" w:ascii="微软雅黑" w:hAnsi="微软雅黑" w:eastAsia="微软雅黑" w:cs="微软雅黑"/>
                <w:i/>
                <w:iCs/>
                <w:color w:val="000000"/>
                <w:sz w:val="16"/>
                <w:szCs w:val="16"/>
                <w:highlight w:val="none"/>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872E7">
            <w:pPr>
              <w:jc w:val="center"/>
              <w:rPr>
                <w:rFonts w:hint="eastAsia" w:ascii="微软雅黑" w:hAnsi="微软雅黑" w:eastAsia="微软雅黑" w:cs="微软雅黑"/>
                <w:i/>
                <w:iCs/>
                <w:color w:val="000000"/>
                <w:sz w:val="16"/>
                <w:szCs w:val="16"/>
                <w:highlight w:val="none"/>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09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D61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C4E91">
            <w:pPr>
              <w:rPr>
                <w:rFonts w:hint="eastAsia" w:ascii="黑体" w:hAnsi="黑体" w:eastAsia="黑体" w:cs="黑体"/>
                <w:i/>
                <w:iCs/>
                <w:color w:val="000000"/>
                <w:sz w:val="18"/>
                <w:szCs w:val="18"/>
                <w:highlight w:val="none"/>
                <w:u w:val="none"/>
              </w:rPr>
            </w:pPr>
          </w:p>
        </w:tc>
      </w:tr>
      <w:tr w14:paraId="4DCA6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617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462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DC6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1F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604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278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147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9C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7D8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8CF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33A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1F31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C551F">
            <w:pPr>
              <w:jc w:val="center"/>
              <w:rPr>
                <w:rFonts w:hint="eastAsia" w:ascii="宋体" w:hAnsi="宋体" w:eastAsia="宋体" w:cs="宋体"/>
                <w:i w:val="0"/>
                <w:iCs w:val="0"/>
                <w:color w:val="000000"/>
                <w:sz w:val="18"/>
                <w:szCs w:val="18"/>
                <w:highlight w:val="none"/>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E43F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6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312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682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参赛人数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D1F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D69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B03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F4BE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22</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BC6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3AB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8D720">
            <w:pPr>
              <w:jc w:val="center"/>
              <w:rPr>
                <w:rFonts w:hint="eastAsia" w:ascii="微软雅黑" w:hAnsi="微软雅黑" w:eastAsia="微软雅黑" w:cs="微软雅黑"/>
                <w:i/>
                <w:iCs/>
                <w:color w:val="000000"/>
                <w:sz w:val="16"/>
                <w:szCs w:val="16"/>
                <w:highlight w:val="none"/>
                <w:u w:val="none"/>
              </w:rPr>
            </w:pPr>
          </w:p>
        </w:tc>
      </w:tr>
      <w:tr w14:paraId="42B00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9F738">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FD034">
            <w:pPr>
              <w:jc w:val="center"/>
              <w:rPr>
                <w:rFonts w:hint="eastAsia" w:ascii="宋体" w:hAnsi="宋体" w:eastAsia="宋体" w:cs="宋体"/>
                <w:i w:val="0"/>
                <w:iCs w:val="0"/>
                <w:color w:val="000000"/>
                <w:sz w:val="18"/>
                <w:szCs w:val="18"/>
                <w:highlight w:val="none"/>
                <w:u w:val="none"/>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AFC66">
            <w:pPr>
              <w:jc w:val="center"/>
              <w:rPr>
                <w:rFonts w:hint="eastAsia" w:ascii="宋体" w:hAnsi="宋体" w:eastAsia="宋体" w:cs="宋体"/>
                <w:i w:val="0"/>
                <w:iCs w:val="0"/>
                <w:color w:val="000000"/>
                <w:sz w:val="18"/>
                <w:szCs w:val="18"/>
                <w:highlight w:val="none"/>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850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参赛项目数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93C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097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F11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7AE6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4F1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34D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D3864">
            <w:pPr>
              <w:jc w:val="center"/>
              <w:rPr>
                <w:rFonts w:hint="eastAsia" w:ascii="微软雅黑" w:hAnsi="微软雅黑" w:eastAsia="微软雅黑" w:cs="微软雅黑"/>
                <w:i/>
                <w:iCs/>
                <w:color w:val="000000"/>
                <w:sz w:val="16"/>
                <w:szCs w:val="16"/>
                <w:highlight w:val="none"/>
                <w:u w:val="none"/>
              </w:rPr>
            </w:pPr>
          </w:p>
        </w:tc>
      </w:tr>
      <w:tr w14:paraId="1D0B5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9700B">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57617">
            <w:pPr>
              <w:jc w:val="center"/>
              <w:rPr>
                <w:rFonts w:hint="eastAsia" w:ascii="宋体" w:hAnsi="宋体" w:eastAsia="宋体" w:cs="宋体"/>
                <w:i w:val="0"/>
                <w:iCs w:val="0"/>
                <w:color w:val="000000"/>
                <w:sz w:val="18"/>
                <w:szCs w:val="18"/>
                <w:highlight w:val="none"/>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AC8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675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各项目参赛率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CA5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A61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BEC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668B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9D2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110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BAB48">
            <w:pPr>
              <w:jc w:val="center"/>
              <w:rPr>
                <w:rFonts w:hint="eastAsia" w:ascii="微软雅黑" w:hAnsi="微软雅黑" w:eastAsia="微软雅黑" w:cs="微软雅黑"/>
                <w:i/>
                <w:iCs/>
                <w:color w:val="000000"/>
                <w:sz w:val="16"/>
                <w:szCs w:val="16"/>
                <w:highlight w:val="none"/>
                <w:u w:val="none"/>
              </w:rPr>
            </w:pPr>
          </w:p>
        </w:tc>
      </w:tr>
      <w:tr w14:paraId="6555E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3404B">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28E33">
            <w:pPr>
              <w:jc w:val="center"/>
              <w:rPr>
                <w:rFonts w:hint="eastAsia" w:ascii="宋体" w:hAnsi="宋体" w:eastAsia="宋体" w:cs="宋体"/>
                <w:i w:val="0"/>
                <w:iCs w:val="0"/>
                <w:color w:val="000000"/>
                <w:sz w:val="18"/>
                <w:szCs w:val="18"/>
                <w:highlight w:val="none"/>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70B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84C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项目完成时间</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8B5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CF5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6A7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3408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E0D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E8E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B771E">
            <w:pPr>
              <w:jc w:val="center"/>
              <w:rPr>
                <w:rFonts w:hint="eastAsia" w:ascii="微软雅黑" w:hAnsi="微软雅黑" w:eastAsia="微软雅黑" w:cs="微软雅黑"/>
                <w:i/>
                <w:iCs/>
                <w:color w:val="000000"/>
                <w:sz w:val="16"/>
                <w:szCs w:val="16"/>
                <w:highlight w:val="none"/>
                <w:u w:val="none"/>
              </w:rPr>
            </w:pPr>
          </w:p>
        </w:tc>
      </w:tr>
      <w:tr w14:paraId="48D5F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EBBF9">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168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960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D18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增强农民工群体幸福感</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B8A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FF6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显著增强</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8E4FD">
            <w:pPr>
              <w:jc w:val="center"/>
              <w:rPr>
                <w:rFonts w:hint="eastAsia" w:ascii="宋体" w:hAnsi="宋体" w:eastAsia="宋体" w:cs="宋体"/>
                <w:i w:val="0"/>
                <w:iCs w:val="0"/>
                <w:color w:val="000000"/>
                <w:sz w:val="18"/>
                <w:szCs w:val="18"/>
                <w:highlight w:val="none"/>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D82F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显著增强</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ADF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B9D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85757">
            <w:pPr>
              <w:jc w:val="center"/>
              <w:rPr>
                <w:rFonts w:hint="eastAsia" w:ascii="微软雅黑" w:hAnsi="微软雅黑" w:eastAsia="微软雅黑" w:cs="微软雅黑"/>
                <w:i/>
                <w:iCs/>
                <w:color w:val="000000"/>
                <w:sz w:val="16"/>
                <w:szCs w:val="16"/>
                <w:highlight w:val="none"/>
                <w:u w:val="none"/>
              </w:rPr>
            </w:pPr>
          </w:p>
        </w:tc>
      </w:tr>
      <w:tr w14:paraId="3679F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D0AE0">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3CB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361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2A0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农民工参与共享满意率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03F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2CF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264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C987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858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556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CADE8">
            <w:pPr>
              <w:jc w:val="center"/>
              <w:rPr>
                <w:rFonts w:hint="eastAsia" w:ascii="微软雅黑" w:hAnsi="微软雅黑" w:eastAsia="微软雅黑" w:cs="微软雅黑"/>
                <w:i/>
                <w:iCs/>
                <w:color w:val="000000"/>
                <w:sz w:val="16"/>
                <w:szCs w:val="16"/>
                <w:highlight w:val="none"/>
                <w:u w:val="none"/>
              </w:rPr>
            </w:pPr>
          </w:p>
        </w:tc>
      </w:tr>
      <w:tr w14:paraId="21A9C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7A06A">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C12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B38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DF2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川籍农民工运动会实际支出费用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F5B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8F7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467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A3D1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D6D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BBF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CB5A">
            <w:pPr>
              <w:jc w:val="center"/>
              <w:rPr>
                <w:rFonts w:hint="eastAsia" w:ascii="微软雅黑" w:hAnsi="微软雅黑" w:eastAsia="微软雅黑" w:cs="微软雅黑"/>
                <w:i/>
                <w:iCs/>
                <w:color w:val="000000"/>
                <w:sz w:val="16"/>
                <w:szCs w:val="16"/>
                <w:highlight w:val="none"/>
                <w:u w:val="none"/>
              </w:rPr>
            </w:pPr>
          </w:p>
        </w:tc>
      </w:tr>
      <w:tr w14:paraId="2C376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DA4C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ACD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00B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F8710">
            <w:pPr>
              <w:rPr>
                <w:rFonts w:hint="eastAsia" w:ascii="宋体" w:hAnsi="宋体" w:eastAsia="宋体" w:cs="宋体"/>
                <w:i w:val="0"/>
                <w:iCs w:val="0"/>
                <w:color w:val="000000"/>
                <w:sz w:val="18"/>
                <w:szCs w:val="18"/>
                <w:highlight w:val="none"/>
                <w:u w:val="none"/>
              </w:rPr>
            </w:pPr>
          </w:p>
        </w:tc>
      </w:tr>
      <w:tr w14:paraId="500F0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43C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C6119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本项目自评总分100分。积极组织22名运动员在北京参加第七届川籍农民工运动会，并取得拔河第二名、男子三人制篮球第七名、集体跳绳第八名的优异成绩，获得组委会颁发的优秀组织奖、体育道德风尚奖。</w:t>
            </w:r>
          </w:p>
        </w:tc>
      </w:tr>
      <w:tr w14:paraId="3F266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3EE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03A51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与省内其它市相比，我州对参赛人员赛事准备投入经费较少，参赛人员组织难度较大。</w:t>
            </w:r>
          </w:p>
        </w:tc>
      </w:tr>
      <w:tr w14:paraId="361CA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F1B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7E7DC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加强对比赛项目规则的提前了解和针对性训练，选拨更优秀人员参赛，以提高比赛成绩。</w:t>
            </w:r>
          </w:p>
        </w:tc>
      </w:tr>
      <w:tr w14:paraId="7DAF2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8EDB2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项目负责人：杨锐</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D2EFB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财务负责人：梅朵娜姆</w:t>
            </w:r>
          </w:p>
        </w:tc>
      </w:tr>
    </w:tbl>
    <w:p w14:paraId="31B9679F">
      <w:pPr>
        <w:bidi w:val="0"/>
        <w:jc w:val="left"/>
        <w:rPr>
          <w:highlight w:val="none"/>
          <w:lang w:val="en-US" w:eastAsia="zh-CN"/>
        </w:rPr>
      </w:pPr>
    </w:p>
    <w:p w14:paraId="7E1AF8C6">
      <w:pPr>
        <w:rPr>
          <w:highlight w:val="none"/>
          <w:lang w:val="en-US" w:eastAsia="zh-CN"/>
        </w:rPr>
      </w:pPr>
      <w:r>
        <w:rPr>
          <w:highlight w:val="none"/>
          <w:lang w:val="en-US" w:eastAsia="zh-CN"/>
        </w:rPr>
        <w:br w:type="page"/>
      </w: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6"/>
        <w:gridCol w:w="2055"/>
        <w:gridCol w:w="1777"/>
        <w:gridCol w:w="2268"/>
        <w:gridCol w:w="524"/>
        <w:gridCol w:w="1681"/>
        <w:gridCol w:w="522"/>
        <w:gridCol w:w="1100"/>
        <w:gridCol w:w="505"/>
        <w:gridCol w:w="488"/>
        <w:gridCol w:w="2568"/>
      </w:tblGrid>
      <w:tr w14:paraId="03B0F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2F9FC6">
            <w:pPr>
              <w:keepNext w:val="0"/>
              <w:keepLines w:val="0"/>
              <w:widowControl/>
              <w:suppressLineNumbers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3659B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8C6B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403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0B6C0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51320023T000007903085-农民工服务工作保障经费项目</w:t>
            </w:r>
          </w:p>
        </w:tc>
      </w:tr>
      <w:tr w14:paraId="64EFD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A4F1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90EB3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386" w:type="pct"/>
            <w:tcBorders>
              <w:top w:val="nil"/>
              <w:left w:val="nil"/>
              <w:bottom w:val="nil"/>
              <w:right w:val="nil"/>
            </w:tcBorders>
            <w:shd w:val="clear" w:color="auto" w:fill="auto"/>
            <w:vAlign w:val="center"/>
          </w:tcPr>
          <w:p w14:paraId="680E7F5D">
            <w:pPr>
              <w:keepNext w:val="0"/>
              <w:keepLines w:val="0"/>
              <w:widowControl/>
              <w:suppressLineNumbers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12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B7A3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州农民工服务中心</w:t>
            </w:r>
          </w:p>
        </w:tc>
      </w:tr>
      <w:tr w14:paraId="754FF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24CB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7D2EC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9078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E33A8A">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7F568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F0DA6">
            <w:pP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FE479">
            <w:pPr>
              <w:rPr>
                <w:rFonts w:hint="eastAsia" w:ascii="宋体" w:hAnsi="宋体" w:eastAsia="宋体" w:cs="宋体"/>
                <w:i w:val="0"/>
                <w:iCs w:val="0"/>
                <w:color w:val="000000"/>
                <w:sz w:val="18"/>
                <w:szCs w:val="18"/>
                <w:highlight w:val="none"/>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FE2BC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中共四川省委办公厅四川省人民政府办公厅关于印发《加强农民工服务保障十六条措施》的通知，农民工权益保障工作、农民工技能培训管理工作。开展4次督导检查，慰问201名农民工，建设221个服务站点；通过开展农民工服务保障工作，有效提高农民工劳务收入。</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A07681">
            <w:pPr>
              <w:keepNext w:val="0"/>
              <w:keepLines w:val="0"/>
              <w:widowControl/>
              <w:suppressLineNumbers w:val="0"/>
              <w:jc w:val="left"/>
              <w:textAlignment w:val="center"/>
              <w:rPr>
                <w:rFonts w:hint="eastAsia" w:ascii="黑体" w:hAnsi="黑体" w:eastAsia="黑体" w:cs="黑体"/>
                <w:i w:val="0"/>
                <w:iCs w:val="0"/>
                <w:color w:val="000000"/>
                <w:sz w:val="16"/>
                <w:szCs w:val="16"/>
                <w:highlight w:val="none"/>
                <w:u w:val="none"/>
              </w:rPr>
            </w:pPr>
            <w:r>
              <w:rPr>
                <w:rFonts w:hint="eastAsia" w:ascii="黑体" w:hAnsi="黑体" w:eastAsia="黑体" w:cs="黑体"/>
                <w:i w:val="0"/>
                <w:iCs w:val="0"/>
                <w:color w:val="000000"/>
                <w:kern w:val="0"/>
                <w:sz w:val="16"/>
                <w:szCs w:val="16"/>
                <w:highlight w:val="none"/>
                <w:u w:val="none"/>
                <w:lang w:val="en-US" w:eastAsia="zh-CN" w:bidi="ar"/>
              </w:rPr>
              <w:t>围绕农民工权益保障，开展专项督导确保政策落地；走访慰问农民工并发放新春大礼包；建成服务站点提供常态化服务；开展法律进工地活动，强化权益保障。通过务实举措，农民工劳务收入显著提升，有效增强其获得感与幸福感。</w:t>
            </w:r>
          </w:p>
        </w:tc>
      </w:tr>
      <w:tr w14:paraId="4172E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3CB18">
            <w:pP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589C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403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F3AAF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围绕农民工权益保障，项目实施过程如下：制定专项督导方案，组建工作组赴各地检查政策落实与工资支付情况，现场反馈问题并督促整改。在春节等节点开展慰问活动，深入工地走访农民工，发放新春大礼包；同步开展“法律进工地”宣传，提供维权咨询与法律援助。加大农民工工作宣传力度，通过媒体平台解读政策、宣传先进典型，营造关心关爱农民工的良好氛围。统筹推进服务站点建设，整合资源打造集休息、咨询、应急等功能于一体的标准化站点。通过多措并举，切实提升农民工劳务收入与权益保障水平。</w:t>
            </w:r>
          </w:p>
        </w:tc>
      </w:tr>
      <w:tr w14:paraId="51B58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A4D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1A9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26C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237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E985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557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546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E78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9B6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7EFDA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FFD91">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2A3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314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1F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30.00</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854F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8CE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669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C52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D2403">
            <w:pPr>
              <w:keepNext w:val="0"/>
              <w:keepLines w:val="0"/>
              <w:widowControl/>
              <w:suppressLineNumbers w:val="0"/>
              <w:jc w:val="left"/>
              <w:textAlignment w:val="center"/>
              <w:rPr>
                <w:rFonts w:ascii="方正仿宋_GB2312" w:hAnsi="方正仿宋_GB2312" w:eastAsia="方正仿宋_GB2312" w:cs="方正仿宋_GB2312"/>
                <w:i w:val="0"/>
                <w:iCs w:val="0"/>
                <w:color w:val="000000"/>
                <w:sz w:val="20"/>
                <w:szCs w:val="20"/>
                <w:highlight w:val="none"/>
                <w:u w:val="none"/>
              </w:rPr>
            </w:pPr>
            <w:r>
              <w:rPr>
                <w:rFonts w:hint="default" w:ascii="方正仿宋_GB2312" w:hAnsi="方正仿宋_GB2312" w:eastAsia="方正仿宋_GB2312" w:cs="方正仿宋_GB2312"/>
                <w:i w:val="0"/>
                <w:iCs w:val="0"/>
                <w:color w:val="000000"/>
                <w:kern w:val="0"/>
                <w:sz w:val="20"/>
                <w:szCs w:val="20"/>
                <w:highlight w:val="none"/>
                <w:u w:val="none"/>
                <w:lang w:val="en-US" w:eastAsia="zh-CN" w:bidi="ar"/>
              </w:rPr>
              <w:t>本年度/本项目预算执行情况总体良好。预算资金均按照预定计划和规定用途有效运用，既保障了重点工作的资金需求，又实现了支出的合规性与合理性。</w:t>
            </w:r>
          </w:p>
        </w:tc>
      </w:tr>
      <w:tr w14:paraId="1D713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6BE1F">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C27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EDF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8B8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30.00</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67DC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5C2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C46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C49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F6D1B">
            <w:pPr>
              <w:rPr>
                <w:rFonts w:hint="default" w:ascii="方正仿宋_GB2312" w:hAnsi="方正仿宋_GB2312" w:eastAsia="方正仿宋_GB2312" w:cs="方正仿宋_GB2312"/>
                <w:i w:val="0"/>
                <w:iCs w:val="0"/>
                <w:color w:val="000000"/>
                <w:sz w:val="20"/>
                <w:szCs w:val="20"/>
                <w:highlight w:val="none"/>
                <w:u w:val="none"/>
              </w:rPr>
            </w:pPr>
          </w:p>
        </w:tc>
      </w:tr>
      <w:tr w14:paraId="0D4C9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7C546">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B5C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D4F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789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7E0E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A4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2C7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D39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7E962">
            <w:pPr>
              <w:rPr>
                <w:rFonts w:hint="default" w:ascii="方正仿宋_GB2312" w:hAnsi="方正仿宋_GB2312" w:eastAsia="方正仿宋_GB2312" w:cs="方正仿宋_GB2312"/>
                <w:i w:val="0"/>
                <w:iCs w:val="0"/>
                <w:color w:val="000000"/>
                <w:sz w:val="20"/>
                <w:szCs w:val="20"/>
                <w:highlight w:val="none"/>
                <w:u w:val="none"/>
              </w:rPr>
            </w:pPr>
          </w:p>
        </w:tc>
      </w:tr>
      <w:tr w14:paraId="062D2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A59E5">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5FF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25C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DAF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5F10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0B0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351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844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69456">
            <w:pPr>
              <w:rPr>
                <w:rFonts w:hint="default" w:ascii="方正仿宋_GB2312" w:hAnsi="方正仿宋_GB2312" w:eastAsia="方正仿宋_GB2312" w:cs="方正仿宋_GB2312"/>
                <w:i w:val="0"/>
                <w:iCs w:val="0"/>
                <w:color w:val="000000"/>
                <w:sz w:val="20"/>
                <w:szCs w:val="20"/>
                <w:highlight w:val="none"/>
                <w:u w:val="none"/>
              </w:rPr>
            </w:pPr>
          </w:p>
        </w:tc>
      </w:tr>
      <w:tr w14:paraId="1EB90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B9845">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08C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5440">
            <w:pPr>
              <w:jc w:val="center"/>
              <w:rPr>
                <w:rFonts w:hint="eastAsia" w:ascii="微软雅黑" w:hAnsi="微软雅黑" w:eastAsia="微软雅黑" w:cs="微软雅黑"/>
                <w:i/>
                <w:iCs/>
                <w:color w:val="000000"/>
                <w:sz w:val="16"/>
                <w:szCs w:val="16"/>
                <w:highlight w:val="none"/>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005A0">
            <w:pPr>
              <w:jc w:val="center"/>
              <w:rPr>
                <w:rFonts w:hint="eastAsia" w:ascii="微软雅黑" w:hAnsi="微软雅黑" w:eastAsia="微软雅黑" w:cs="微软雅黑"/>
                <w:i/>
                <w:iCs/>
                <w:color w:val="000000"/>
                <w:sz w:val="16"/>
                <w:szCs w:val="16"/>
                <w:highlight w:val="none"/>
                <w:u w:val="none"/>
              </w:rPr>
            </w:pPr>
          </w:p>
        </w:tc>
        <w:tc>
          <w:tcPr>
            <w:tcW w:w="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FE062E">
            <w:pPr>
              <w:jc w:val="center"/>
              <w:rPr>
                <w:rFonts w:hint="eastAsia" w:ascii="微软雅黑" w:hAnsi="微软雅黑" w:eastAsia="微软雅黑" w:cs="微软雅黑"/>
                <w:i/>
                <w:iCs/>
                <w:color w:val="000000"/>
                <w:sz w:val="16"/>
                <w:szCs w:val="16"/>
                <w:highlight w:val="none"/>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40745">
            <w:pPr>
              <w:jc w:val="center"/>
              <w:rPr>
                <w:rFonts w:hint="eastAsia" w:ascii="微软雅黑" w:hAnsi="微软雅黑" w:eastAsia="微软雅黑" w:cs="微软雅黑"/>
                <w:i/>
                <w:iCs/>
                <w:color w:val="000000"/>
                <w:sz w:val="16"/>
                <w:szCs w:val="16"/>
                <w:highlight w:val="none"/>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A44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CD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05E7C">
            <w:pPr>
              <w:rPr>
                <w:rFonts w:hint="default" w:ascii="方正仿宋_GB2312" w:hAnsi="方正仿宋_GB2312" w:eastAsia="方正仿宋_GB2312" w:cs="方正仿宋_GB2312"/>
                <w:i w:val="0"/>
                <w:iCs w:val="0"/>
                <w:color w:val="000000"/>
                <w:sz w:val="20"/>
                <w:szCs w:val="20"/>
                <w:highlight w:val="none"/>
                <w:u w:val="none"/>
              </w:rPr>
            </w:pPr>
          </w:p>
        </w:tc>
      </w:tr>
      <w:tr w14:paraId="4D671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B66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71D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75E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7AB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BF7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F16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CF6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5C0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E3F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742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449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160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06AE8">
            <w:pPr>
              <w:jc w:val="center"/>
              <w:rPr>
                <w:rFonts w:hint="eastAsia" w:ascii="宋体" w:hAnsi="宋体" w:eastAsia="宋体" w:cs="宋体"/>
                <w:i w:val="0"/>
                <w:iCs w:val="0"/>
                <w:color w:val="000000"/>
                <w:sz w:val="18"/>
                <w:szCs w:val="18"/>
                <w:highlight w:val="none"/>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19A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6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DF5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A35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报社对农民工服务保障工作宣传报道次数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647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2D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2DF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EB4B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400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657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96C2C">
            <w:pPr>
              <w:jc w:val="center"/>
              <w:rPr>
                <w:rFonts w:hint="eastAsia" w:ascii="微软雅黑" w:hAnsi="微软雅黑" w:eastAsia="微软雅黑" w:cs="微软雅黑"/>
                <w:i/>
                <w:iCs/>
                <w:color w:val="000000"/>
                <w:sz w:val="16"/>
                <w:szCs w:val="16"/>
                <w:highlight w:val="none"/>
                <w:u w:val="none"/>
              </w:rPr>
            </w:pPr>
          </w:p>
        </w:tc>
      </w:tr>
      <w:tr w14:paraId="74D8A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6D00E">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FFF4A">
            <w:pPr>
              <w:jc w:val="center"/>
              <w:rPr>
                <w:rFonts w:hint="eastAsia" w:ascii="宋体" w:hAnsi="宋体" w:eastAsia="宋体" w:cs="宋体"/>
                <w:i w:val="0"/>
                <w:iCs w:val="0"/>
                <w:color w:val="000000"/>
                <w:sz w:val="18"/>
                <w:szCs w:val="18"/>
                <w:highlight w:val="none"/>
                <w:u w:val="none"/>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F5151">
            <w:pPr>
              <w:jc w:val="center"/>
              <w:rPr>
                <w:rFonts w:hint="eastAsia" w:ascii="宋体" w:hAnsi="宋体" w:eastAsia="宋体" w:cs="宋体"/>
                <w:i w:val="0"/>
                <w:iCs w:val="0"/>
                <w:color w:val="000000"/>
                <w:sz w:val="18"/>
                <w:szCs w:val="18"/>
                <w:highlight w:val="none"/>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EFA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慰问农民工人数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F29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7A0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201</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877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F16F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201</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431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A0C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D3325">
            <w:pPr>
              <w:jc w:val="center"/>
              <w:rPr>
                <w:rFonts w:hint="eastAsia" w:ascii="微软雅黑" w:hAnsi="微软雅黑" w:eastAsia="微软雅黑" w:cs="微软雅黑"/>
                <w:i/>
                <w:iCs/>
                <w:color w:val="000000"/>
                <w:sz w:val="16"/>
                <w:szCs w:val="16"/>
                <w:highlight w:val="none"/>
                <w:u w:val="none"/>
              </w:rPr>
            </w:pPr>
          </w:p>
        </w:tc>
      </w:tr>
      <w:tr w14:paraId="7DD45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0E44B">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B39D6">
            <w:pPr>
              <w:jc w:val="center"/>
              <w:rPr>
                <w:rFonts w:hint="eastAsia" w:ascii="宋体" w:hAnsi="宋体" w:eastAsia="宋体" w:cs="宋体"/>
                <w:i w:val="0"/>
                <w:iCs w:val="0"/>
                <w:color w:val="000000"/>
                <w:sz w:val="18"/>
                <w:szCs w:val="18"/>
                <w:highlight w:val="none"/>
                <w:u w:val="none"/>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566AD">
            <w:pPr>
              <w:jc w:val="center"/>
              <w:rPr>
                <w:rFonts w:hint="eastAsia" w:ascii="宋体" w:hAnsi="宋体" w:eastAsia="宋体" w:cs="宋体"/>
                <w:i w:val="0"/>
                <w:iCs w:val="0"/>
                <w:color w:val="000000"/>
                <w:sz w:val="18"/>
                <w:szCs w:val="18"/>
                <w:highlight w:val="none"/>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61E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督导次数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FF5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BF6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E02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3C1C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C3F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9D4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E178B">
            <w:pPr>
              <w:jc w:val="center"/>
              <w:rPr>
                <w:rFonts w:hint="eastAsia" w:ascii="微软雅黑" w:hAnsi="微软雅黑" w:eastAsia="微软雅黑" w:cs="微软雅黑"/>
                <w:i/>
                <w:iCs/>
                <w:color w:val="000000"/>
                <w:sz w:val="16"/>
                <w:szCs w:val="16"/>
                <w:highlight w:val="none"/>
                <w:u w:val="none"/>
              </w:rPr>
            </w:pPr>
          </w:p>
        </w:tc>
      </w:tr>
      <w:tr w14:paraId="77BFF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9CEC7">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2B358">
            <w:pPr>
              <w:jc w:val="center"/>
              <w:rPr>
                <w:rFonts w:hint="eastAsia" w:ascii="宋体" w:hAnsi="宋体" w:eastAsia="宋体" w:cs="宋体"/>
                <w:i w:val="0"/>
                <w:iCs w:val="0"/>
                <w:color w:val="000000"/>
                <w:sz w:val="18"/>
                <w:szCs w:val="18"/>
                <w:highlight w:val="none"/>
                <w:u w:val="none"/>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95EC1">
            <w:pPr>
              <w:jc w:val="center"/>
              <w:rPr>
                <w:rFonts w:hint="eastAsia" w:ascii="宋体" w:hAnsi="宋体" w:eastAsia="宋体" w:cs="宋体"/>
                <w:i w:val="0"/>
                <w:iCs w:val="0"/>
                <w:color w:val="000000"/>
                <w:sz w:val="18"/>
                <w:szCs w:val="18"/>
                <w:highlight w:val="none"/>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241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活动次数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33C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7DD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A40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540A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2AC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CC5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EC259">
            <w:pPr>
              <w:jc w:val="center"/>
              <w:rPr>
                <w:rFonts w:hint="eastAsia" w:ascii="微软雅黑" w:hAnsi="微软雅黑" w:eastAsia="微软雅黑" w:cs="微软雅黑"/>
                <w:i/>
                <w:iCs/>
                <w:color w:val="000000"/>
                <w:sz w:val="16"/>
                <w:szCs w:val="16"/>
                <w:highlight w:val="none"/>
                <w:u w:val="none"/>
              </w:rPr>
            </w:pPr>
          </w:p>
        </w:tc>
      </w:tr>
      <w:tr w14:paraId="0EFA6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8D1C6">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2E3DA">
            <w:pPr>
              <w:jc w:val="center"/>
              <w:rPr>
                <w:rFonts w:hint="eastAsia" w:ascii="宋体" w:hAnsi="宋体" w:eastAsia="宋体" w:cs="宋体"/>
                <w:i w:val="0"/>
                <w:iCs w:val="0"/>
                <w:color w:val="000000"/>
                <w:sz w:val="18"/>
                <w:szCs w:val="18"/>
                <w:highlight w:val="none"/>
                <w:u w:val="none"/>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F5D11">
            <w:pPr>
              <w:jc w:val="center"/>
              <w:rPr>
                <w:rFonts w:hint="eastAsia" w:ascii="宋体" w:hAnsi="宋体" w:eastAsia="宋体" w:cs="宋体"/>
                <w:i w:val="0"/>
                <w:iCs w:val="0"/>
                <w:color w:val="000000"/>
                <w:sz w:val="18"/>
                <w:szCs w:val="18"/>
                <w:highlight w:val="none"/>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AB8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制作农民工新春慰问大礼包数量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102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0D7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DF0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份</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09DD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C5A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9B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E9C04">
            <w:pPr>
              <w:jc w:val="center"/>
              <w:rPr>
                <w:rFonts w:hint="eastAsia" w:ascii="微软雅黑" w:hAnsi="微软雅黑" w:eastAsia="微软雅黑" w:cs="微软雅黑"/>
                <w:i/>
                <w:iCs/>
                <w:color w:val="000000"/>
                <w:sz w:val="16"/>
                <w:szCs w:val="16"/>
                <w:highlight w:val="none"/>
                <w:u w:val="none"/>
              </w:rPr>
            </w:pPr>
          </w:p>
        </w:tc>
      </w:tr>
      <w:tr w14:paraId="25D72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89A5E">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B5314">
            <w:pPr>
              <w:jc w:val="center"/>
              <w:rPr>
                <w:rFonts w:hint="eastAsia" w:ascii="宋体" w:hAnsi="宋体" w:eastAsia="宋体" w:cs="宋体"/>
                <w:i w:val="0"/>
                <w:iCs w:val="0"/>
                <w:color w:val="000000"/>
                <w:sz w:val="18"/>
                <w:szCs w:val="18"/>
                <w:highlight w:val="none"/>
                <w:u w:val="none"/>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4FA53">
            <w:pPr>
              <w:jc w:val="center"/>
              <w:rPr>
                <w:rFonts w:hint="eastAsia" w:ascii="宋体" w:hAnsi="宋体" w:eastAsia="宋体" w:cs="宋体"/>
                <w:i w:val="0"/>
                <w:iCs w:val="0"/>
                <w:color w:val="000000"/>
                <w:sz w:val="18"/>
                <w:szCs w:val="18"/>
                <w:highlight w:val="none"/>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23E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制作宣传资料份数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598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760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3B2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份</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DCC5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500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550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1F9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D6D17">
            <w:pPr>
              <w:jc w:val="center"/>
              <w:rPr>
                <w:rFonts w:hint="eastAsia" w:ascii="微软雅黑" w:hAnsi="微软雅黑" w:eastAsia="微软雅黑" w:cs="微软雅黑"/>
                <w:i/>
                <w:iCs/>
                <w:color w:val="000000"/>
                <w:sz w:val="16"/>
                <w:szCs w:val="16"/>
                <w:highlight w:val="none"/>
                <w:u w:val="none"/>
              </w:rPr>
            </w:pPr>
          </w:p>
        </w:tc>
      </w:tr>
      <w:tr w14:paraId="64FCE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46F79">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5AC62">
            <w:pPr>
              <w:jc w:val="center"/>
              <w:rPr>
                <w:rFonts w:hint="eastAsia" w:ascii="宋体" w:hAnsi="宋体" w:eastAsia="宋体" w:cs="宋体"/>
                <w:i w:val="0"/>
                <w:iCs w:val="0"/>
                <w:color w:val="000000"/>
                <w:sz w:val="18"/>
                <w:szCs w:val="18"/>
                <w:highlight w:val="none"/>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64E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CA5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操作平台熟练使用达标率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F38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A66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812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89D8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8F8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6E1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9F2A7">
            <w:pPr>
              <w:jc w:val="center"/>
              <w:rPr>
                <w:rFonts w:hint="eastAsia" w:ascii="微软雅黑" w:hAnsi="微软雅黑" w:eastAsia="微软雅黑" w:cs="微软雅黑"/>
                <w:i/>
                <w:iCs/>
                <w:color w:val="000000"/>
                <w:sz w:val="16"/>
                <w:szCs w:val="16"/>
                <w:highlight w:val="none"/>
                <w:u w:val="none"/>
              </w:rPr>
            </w:pPr>
          </w:p>
        </w:tc>
      </w:tr>
      <w:tr w14:paraId="0A87D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9409A">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CFB11">
            <w:pPr>
              <w:jc w:val="center"/>
              <w:rPr>
                <w:rFonts w:hint="eastAsia" w:ascii="宋体" w:hAnsi="宋体" w:eastAsia="宋体" w:cs="宋体"/>
                <w:i w:val="0"/>
                <w:iCs w:val="0"/>
                <w:color w:val="000000"/>
                <w:sz w:val="18"/>
                <w:szCs w:val="18"/>
                <w:highlight w:val="none"/>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80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5CF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项目完成时间</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DD3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B1D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4BE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83CA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467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2E7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441A9">
            <w:pPr>
              <w:jc w:val="center"/>
              <w:rPr>
                <w:rFonts w:hint="eastAsia" w:ascii="微软雅黑" w:hAnsi="微软雅黑" w:eastAsia="微软雅黑" w:cs="微软雅黑"/>
                <w:i/>
                <w:iCs/>
                <w:color w:val="000000"/>
                <w:sz w:val="16"/>
                <w:szCs w:val="16"/>
                <w:highlight w:val="none"/>
                <w:u w:val="none"/>
              </w:rPr>
            </w:pPr>
          </w:p>
        </w:tc>
      </w:tr>
      <w:tr w14:paraId="76E6A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906D0">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32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561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713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提高农民工劳务收入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557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BF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明显提高</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3BB84">
            <w:pPr>
              <w:jc w:val="center"/>
              <w:rPr>
                <w:rFonts w:hint="eastAsia" w:ascii="宋体" w:hAnsi="宋体" w:eastAsia="宋体" w:cs="宋体"/>
                <w:i w:val="0"/>
                <w:iCs w:val="0"/>
                <w:color w:val="000000"/>
                <w:sz w:val="18"/>
                <w:szCs w:val="18"/>
                <w:highlight w:val="none"/>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57DE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明显提高</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742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E6E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B2DCC">
            <w:pPr>
              <w:jc w:val="center"/>
              <w:rPr>
                <w:rFonts w:hint="eastAsia" w:ascii="微软雅黑" w:hAnsi="微软雅黑" w:eastAsia="微软雅黑" w:cs="微软雅黑"/>
                <w:i/>
                <w:iCs/>
                <w:color w:val="000000"/>
                <w:sz w:val="16"/>
                <w:szCs w:val="16"/>
                <w:highlight w:val="none"/>
                <w:u w:val="none"/>
              </w:rPr>
            </w:pPr>
          </w:p>
        </w:tc>
      </w:tr>
      <w:tr w14:paraId="02A28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0B5D0">
            <w:pPr>
              <w:jc w:val="center"/>
              <w:rPr>
                <w:rFonts w:hint="eastAsia" w:ascii="宋体" w:hAnsi="宋体" w:eastAsia="宋体" w:cs="宋体"/>
                <w:i w:val="0"/>
                <w:iCs w:val="0"/>
                <w:color w:val="000000"/>
                <w:sz w:val="18"/>
                <w:szCs w:val="18"/>
                <w:highlight w:val="none"/>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B70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DCE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35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农民工对农民工服务保障工作的满意度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D72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94D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BD8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A212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C0B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C92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5B1BB">
            <w:pPr>
              <w:jc w:val="center"/>
              <w:rPr>
                <w:rFonts w:hint="eastAsia" w:ascii="微软雅黑" w:hAnsi="微软雅黑" w:eastAsia="微软雅黑" w:cs="微软雅黑"/>
                <w:i/>
                <w:iCs/>
                <w:color w:val="000000"/>
                <w:sz w:val="16"/>
                <w:szCs w:val="16"/>
                <w:highlight w:val="none"/>
                <w:u w:val="none"/>
              </w:rPr>
            </w:pPr>
          </w:p>
        </w:tc>
      </w:tr>
      <w:tr w14:paraId="0BDF0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2034B">
            <w:pPr>
              <w:jc w:val="center"/>
              <w:rPr>
                <w:rFonts w:hint="eastAsia" w:ascii="宋体" w:hAnsi="宋体" w:eastAsia="宋体" w:cs="宋体"/>
                <w:i w:val="0"/>
                <w:iCs w:val="0"/>
                <w:color w:val="000000"/>
                <w:sz w:val="18"/>
                <w:szCs w:val="18"/>
                <w:highlight w:val="none"/>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16C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6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738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892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实际支出费用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4CD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239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5EC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DD2A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85C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AFC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166F1">
            <w:pPr>
              <w:jc w:val="center"/>
              <w:rPr>
                <w:rFonts w:hint="eastAsia" w:ascii="微软雅黑" w:hAnsi="微软雅黑" w:eastAsia="微软雅黑" w:cs="微软雅黑"/>
                <w:i/>
                <w:iCs/>
                <w:color w:val="000000"/>
                <w:sz w:val="16"/>
                <w:szCs w:val="16"/>
                <w:highlight w:val="none"/>
                <w:u w:val="none"/>
              </w:rPr>
            </w:pPr>
          </w:p>
        </w:tc>
      </w:tr>
      <w:tr w14:paraId="3BB85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8BB6A">
            <w:pPr>
              <w:jc w:val="center"/>
              <w:rPr>
                <w:rFonts w:hint="eastAsia" w:ascii="宋体" w:hAnsi="宋体" w:eastAsia="宋体" w:cs="宋体"/>
                <w:i w:val="0"/>
                <w:iCs w:val="0"/>
                <w:color w:val="000000"/>
                <w:sz w:val="18"/>
                <w:szCs w:val="18"/>
                <w:highlight w:val="none"/>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CBE5D">
            <w:pPr>
              <w:jc w:val="center"/>
              <w:rPr>
                <w:rFonts w:hint="eastAsia" w:ascii="宋体" w:hAnsi="宋体" w:eastAsia="宋体" w:cs="宋体"/>
                <w:i w:val="0"/>
                <w:iCs w:val="0"/>
                <w:color w:val="000000"/>
                <w:sz w:val="18"/>
                <w:szCs w:val="18"/>
                <w:highlight w:val="none"/>
                <w:u w:val="none"/>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800FD">
            <w:pPr>
              <w:jc w:val="center"/>
              <w:rPr>
                <w:rFonts w:hint="eastAsia" w:ascii="宋体" w:hAnsi="宋体" w:eastAsia="宋体" w:cs="宋体"/>
                <w:i w:val="0"/>
                <w:iCs w:val="0"/>
                <w:color w:val="000000"/>
                <w:sz w:val="18"/>
                <w:szCs w:val="18"/>
                <w:highlight w:val="none"/>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CBD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慰问农民工实际支出费用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80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6FF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295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3A6D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10.05</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203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93C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28272">
            <w:pPr>
              <w:jc w:val="center"/>
              <w:rPr>
                <w:rFonts w:hint="eastAsia" w:ascii="微软雅黑" w:hAnsi="微软雅黑" w:eastAsia="微软雅黑" w:cs="微软雅黑"/>
                <w:i/>
                <w:iCs/>
                <w:color w:val="000000"/>
                <w:sz w:val="16"/>
                <w:szCs w:val="16"/>
                <w:highlight w:val="none"/>
                <w:u w:val="none"/>
              </w:rPr>
            </w:pPr>
          </w:p>
        </w:tc>
      </w:tr>
      <w:tr w14:paraId="2ACAB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A73F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CFB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9F214">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C12E1">
            <w:pPr>
              <w:rPr>
                <w:rFonts w:hint="eastAsia" w:ascii="宋体" w:hAnsi="宋体" w:eastAsia="宋体" w:cs="宋体"/>
                <w:i w:val="0"/>
                <w:iCs w:val="0"/>
                <w:color w:val="000000"/>
                <w:sz w:val="18"/>
                <w:szCs w:val="18"/>
                <w:highlight w:val="none"/>
                <w:u w:val="none"/>
              </w:rPr>
            </w:pPr>
          </w:p>
        </w:tc>
      </w:tr>
      <w:tr w14:paraId="097CB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788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E4FBEB">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本项目自评总分100分。实施成效显著：一是联合报社开展专题报道，营造了关爱农民工的良好氛围；二是开展慰问活动，增强了工友归属感；三是开展工资支付等专项督导4次，保障了合法权益；四是开展法律进工地1次，提升维权意识；五是制作并发放新春大礼包1000份，精准送达关怀。系列活动有效维护了和谐劳动关系，为项目平稳推进提供了有力保障。</w:t>
            </w:r>
          </w:p>
        </w:tc>
      </w:tr>
      <w:tr w14:paraId="75FC6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79F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FCA98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农民工保障政策宣传广度、力度比较底</w:t>
            </w:r>
          </w:p>
        </w:tc>
      </w:tr>
      <w:tr w14:paraId="7D334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1E0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91944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提高政策的知晓度，对就创优秀农民工选树宣传要加强。</w:t>
            </w:r>
          </w:p>
        </w:tc>
      </w:tr>
      <w:tr w14:paraId="5697E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BC0BA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项目负责人：向菲</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C3FA3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财务负责人：梅朵娜姆</w:t>
            </w:r>
          </w:p>
        </w:tc>
      </w:tr>
    </w:tbl>
    <w:p w14:paraId="3AD6EB13">
      <w:pPr>
        <w:pStyle w:val="2"/>
        <w:rPr>
          <w:rFonts w:hint="eastAsia"/>
          <w:highlight w:val="none"/>
          <w:lang w:val="zh-CN" w:eastAsia="zh-CN"/>
        </w:rPr>
      </w:pPr>
    </w:p>
    <w:p w14:paraId="24C61910">
      <w:pPr>
        <w:pStyle w:val="3"/>
        <w:rPr>
          <w:rFonts w:hint="eastAsia"/>
          <w:highlight w:val="none"/>
          <w:lang w:val="zh-CN" w:eastAsia="zh-CN"/>
        </w:rPr>
      </w:pPr>
    </w:p>
    <w:p w14:paraId="4CA7111A">
      <w:pPr>
        <w:rPr>
          <w:rFonts w:hint="eastAsia"/>
          <w:highlight w:val="none"/>
          <w:lang w:val="zh-CN" w:eastAsia="zh-CN"/>
        </w:rPr>
      </w:pPr>
    </w:p>
    <w:p w14:paraId="5C739677">
      <w:pPr>
        <w:rPr>
          <w:rFonts w:hint="eastAsia"/>
          <w:highlight w:val="none"/>
          <w:lang w:val="zh-CN" w:eastAsia="zh-CN"/>
        </w:rPr>
      </w:pPr>
    </w:p>
    <w:p w14:paraId="23911EBF">
      <w:pPr>
        <w:rPr>
          <w:rFonts w:hint="eastAsia"/>
          <w:highlight w:val="none"/>
          <w:lang w:val="zh-CN" w:eastAsia="zh-CN"/>
        </w:rPr>
      </w:pPr>
    </w:p>
    <w:p w14:paraId="227597E8">
      <w:pPr>
        <w:rPr>
          <w:rFonts w:hint="eastAsia"/>
          <w:highlight w:val="none"/>
          <w:lang w:val="zh-CN" w:eastAsia="zh-CN"/>
        </w:rPr>
      </w:pPr>
    </w:p>
    <w:p w14:paraId="454BBA16">
      <w:pPr>
        <w:rPr>
          <w:rFonts w:hint="eastAsia"/>
          <w:highlight w:val="none"/>
          <w:lang w:val="zh-CN" w:eastAsia="zh-CN"/>
        </w:rPr>
      </w:pPr>
    </w:p>
    <w:p w14:paraId="4214B16C">
      <w:pPr>
        <w:rPr>
          <w:rFonts w:hint="eastAsia"/>
          <w:highlight w:val="none"/>
          <w:lang w:val="zh-CN" w:eastAsia="zh-CN"/>
        </w:rPr>
      </w:pPr>
    </w:p>
    <w:p w14:paraId="21154D49">
      <w:pPr>
        <w:rPr>
          <w:rFonts w:hint="eastAsia"/>
          <w:highlight w:val="none"/>
          <w:lang w:val="zh-CN" w:eastAsia="zh-CN"/>
        </w:rPr>
      </w:pPr>
    </w:p>
    <w:p w14:paraId="095433D0">
      <w:pPr>
        <w:rPr>
          <w:rFonts w:hint="eastAsia"/>
          <w:highlight w:val="none"/>
          <w:lang w:val="zh-CN" w:eastAsia="zh-CN"/>
        </w:rPr>
      </w:pPr>
    </w:p>
    <w:p w14:paraId="2D7A28DE">
      <w:pPr>
        <w:rPr>
          <w:rFonts w:hint="eastAsia"/>
          <w:highlight w:val="none"/>
          <w:lang w:val="zh-CN" w:eastAsia="zh-CN"/>
        </w:rPr>
      </w:pPr>
    </w:p>
    <w:p w14:paraId="30A7FA71">
      <w:pPr>
        <w:rPr>
          <w:rFonts w:hint="eastAsia"/>
          <w:highlight w:val="none"/>
          <w:lang w:val="zh-CN" w:eastAsia="zh-CN"/>
        </w:rPr>
      </w:pPr>
    </w:p>
    <w:p w14:paraId="504CA852">
      <w:pPr>
        <w:rPr>
          <w:rFonts w:hint="eastAsia"/>
          <w:highlight w:val="none"/>
          <w:lang w:val="zh-CN" w:eastAsia="zh-CN"/>
        </w:rPr>
      </w:pPr>
    </w:p>
    <w:p w14:paraId="49EE1231">
      <w:pPr>
        <w:rPr>
          <w:rFonts w:hint="eastAsia"/>
          <w:highlight w:val="none"/>
          <w:lang w:val="zh-CN" w:eastAsia="zh-CN"/>
        </w:rPr>
      </w:pPr>
    </w:p>
    <w:p w14:paraId="3472766C">
      <w:pPr>
        <w:rPr>
          <w:rFonts w:hint="eastAsia"/>
          <w:highlight w:val="none"/>
          <w:lang w:val="zh-CN" w:eastAsia="zh-CN"/>
        </w:rPr>
      </w:pPr>
    </w:p>
    <w:p w14:paraId="29C8CB10">
      <w:pPr>
        <w:rPr>
          <w:rFonts w:hint="eastAsia"/>
          <w:highlight w:val="none"/>
          <w:lang w:val="zh-CN" w:eastAsia="zh-CN"/>
        </w:rPr>
      </w:pPr>
    </w:p>
    <w:p w14:paraId="1C4BBCC2">
      <w:pPr>
        <w:rPr>
          <w:rFonts w:hint="eastAsia"/>
          <w:highlight w:val="none"/>
          <w:lang w:val="zh-CN" w:eastAsia="zh-CN"/>
        </w:rPr>
      </w:pPr>
    </w:p>
    <w:p w14:paraId="6D16408C">
      <w:pPr>
        <w:rPr>
          <w:rFonts w:hint="eastAsia"/>
          <w:highlight w:val="none"/>
          <w:lang w:val="zh-CN" w:eastAsia="zh-CN"/>
        </w:rPr>
      </w:pPr>
    </w:p>
    <w:p w14:paraId="4015D19E">
      <w:pPr>
        <w:rPr>
          <w:rFonts w:hint="eastAsia"/>
          <w:highlight w:val="none"/>
          <w:lang w:val="zh-CN" w:eastAsia="zh-CN"/>
        </w:rPr>
      </w:pPr>
    </w:p>
    <w:tbl>
      <w:tblPr>
        <w:tblStyle w:val="17"/>
        <w:tblpPr w:leftFromText="180" w:rightFromText="180" w:vertAnchor="text" w:horzAnchor="page" w:tblpXSpec="center" w:tblpY="79"/>
        <w:tblOverlap w:val="never"/>
        <w:tblW w:w="480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32" w:type="dxa"/>
          <w:left w:w="64" w:type="dxa"/>
          <w:bottom w:w="32" w:type="dxa"/>
          <w:right w:w="64" w:type="dxa"/>
        </w:tblCellMar>
      </w:tblPr>
      <w:tblGrid>
        <w:gridCol w:w="920"/>
        <w:gridCol w:w="998"/>
        <w:gridCol w:w="1055"/>
        <w:gridCol w:w="2473"/>
        <w:gridCol w:w="536"/>
        <w:gridCol w:w="693"/>
        <w:gridCol w:w="530"/>
        <w:gridCol w:w="1139"/>
        <w:gridCol w:w="533"/>
        <w:gridCol w:w="533"/>
        <w:gridCol w:w="4118"/>
      </w:tblGrid>
      <w:tr w14:paraId="0063B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57"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9800502">
            <w:pPr>
              <w:keepNext/>
              <w:keepLines w:val="0"/>
              <w:widowControl/>
              <w:suppressLineNumbers w:val="0"/>
              <w:snapToGrid w:val="0"/>
              <w:jc w:val="center"/>
              <w:textAlignment w:val="center"/>
              <w:outlineLvl w:val="9"/>
              <w:rPr>
                <w:rFonts w:eastAsia="黑体"/>
                <w:b/>
                <w:bCs/>
                <w:i w:val="0"/>
                <w:iCs w:val="0"/>
                <w:color w:val="000000"/>
                <w:sz w:val="30"/>
                <w:szCs w:val="30"/>
                <w:highlight w:val="none"/>
                <w:u w:val="none"/>
              </w:rPr>
            </w:pPr>
            <w:r>
              <w:rPr>
                <w:rFonts w:eastAsia="黑体"/>
                <w:b/>
                <w:bCs/>
                <w:i w:val="0"/>
                <w:iCs w:val="0"/>
                <w:color w:val="000000"/>
                <w:kern w:val="0"/>
                <w:sz w:val="30"/>
                <w:szCs w:val="30"/>
                <w:highlight w:val="none"/>
                <w:u w:val="none"/>
                <w:lang w:val="en-US" w:eastAsia="zh-CN"/>
              </w:rPr>
              <w:t>部门预算项目支出绩效自评表（2025年度）</w:t>
            </w:r>
          </w:p>
        </w:tc>
      </w:tr>
      <w:tr w14:paraId="3D040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205" w:hRule="atLeast"/>
        </w:trPr>
        <w:tc>
          <w:tcPr>
            <w:tcW w:w="7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8533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项目名称</w:t>
            </w:r>
          </w:p>
        </w:tc>
        <w:tc>
          <w:tcPr>
            <w:tcW w:w="429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58C0BB">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51320024T000010985194-破产改制企业离退休人员原有福利性补贴</w:t>
            </w:r>
          </w:p>
        </w:tc>
      </w:tr>
      <w:tr w14:paraId="414DF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21" w:hRule="atLeast"/>
        </w:trPr>
        <w:tc>
          <w:tcPr>
            <w:tcW w:w="7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0A229">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主管部门</w:t>
            </w:r>
          </w:p>
        </w:tc>
        <w:tc>
          <w:tcPr>
            <w:tcW w:w="19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93C0C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州人社局部门</w:t>
            </w:r>
          </w:p>
        </w:tc>
        <w:tc>
          <w:tcPr>
            <w:tcW w:w="420" w:type="pct"/>
            <w:tcBorders>
              <w:top w:val="nil"/>
              <w:left w:val="nil"/>
              <w:bottom w:val="nil"/>
              <w:right w:val="nil"/>
            </w:tcBorders>
            <w:shd w:val="clear" w:color="auto" w:fill="auto"/>
            <w:vAlign w:val="center"/>
          </w:tcPr>
          <w:p w14:paraId="372568A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实施单位 （盖章）</w:t>
            </w:r>
          </w:p>
        </w:tc>
        <w:tc>
          <w:tcPr>
            <w:tcW w:w="191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81B88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州社保局</w:t>
            </w:r>
          </w:p>
        </w:tc>
      </w:tr>
      <w:tr w14:paraId="1B415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205" w:hRule="atLeast"/>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A7CDEE">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项目基本情况</w:t>
            </w:r>
          </w:p>
        </w:tc>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1EE14">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1.项目年度目标完成情况</w:t>
            </w:r>
          </w:p>
        </w:tc>
        <w:tc>
          <w:tcPr>
            <w:tcW w:w="19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372ACF">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项目年度目标</w:t>
            </w:r>
          </w:p>
        </w:tc>
        <w:tc>
          <w:tcPr>
            <w:tcW w:w="233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32BD2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年度目标完成情况</w:t>
            </w:r>
          </w:p>
        </w:tc>
      </w:tr>
      <w:tr w14:paraId="6003F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87"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7667C">
            <w:pPr>
              <w:rPr>
                <w:highlight w:val="none"/>
              </w:rPr>
            </w:pPr>
          </w:p>
        </w:tc>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0A9BE">
            <w:pPr>
              <w:rPr>
                <w:highlight w:val="none"/>
              </w:rPr>
            </w:pPr>
          </w:p>
        </w:tc>
        <w:tc>
          <w:tcPr>
            <w:tcW w:w="19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5A4602">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按时足额兑付到州属破产改制企业离退休人员手中，确保退休人员合法权益，维护社会稳定。</w:t>
            </w:r>
          </w:p>
        </w:tc>
        <w:tc>
          <w:tcPr>
            <w:tcW w:w="233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445F15">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为保证阿坝州改制企业离退休人员2626人，发放原福利性补贴257万元，确保州属破产改制企业退休职工非统费用按时足额发放，</w:t>
            </w:r>
          </w:p>
        </w:tc>
      </w:tr>
      <w:tr w14:paraId="0D76B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54"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48C72">
            <w:pPr>
              <w:rPr>
                <w:highlight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131ED">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2.项目实施内容及过程概述</w:t>
            </w:r>
          </w:p>
        </w:tc>
        <w:tc>
          <w:tcPr>
            <w:tcW w:w="429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EC2E6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社保部门对非统筹财政补贴进行财政专户管理，随同养老金发放渠道单独建账发放，按月足额发放给离退休人员。</w:t>
            </w:r>
          </w:p>
        </w:tc>
      </w:tr>
      <w:tr w14:paraId="4B21F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438" w:hRule="atLeast"/>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4A7CA">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预算执行情况（10分）</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3465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年度预算数（万元）</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1C74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年初预算</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FE30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调整后预算数</w:t>
            </w:r>
          </w:p>
        </w:tc>
        <w:tc>
          <w:tcPr>
            <w:tcW w:w="6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6676F0">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预算执行数</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DA24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预算执行率</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71B3A">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权重</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1FB6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得分</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E648B">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原因</w:t>
            </w:r>
          </w:p>
        </w:tc>
      </w:tr>
      <w:tr w14:paraId="5B1CE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205"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D1C30">
            <w:pPr>
              <w:rPr>
                <w:highlight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FAC54">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总额</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226A5">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257</w:t>
            </w:r>
            <w:r>
              <w:rPr>
                <w:rFonts w:eastAsia="宋体"/>
                <w:i w:val="0"/>
                <w:iCs w:val="0"/>
                <w:color w:val="000000"/>
                <w:kern w:val="0"/>
                <w:sz w:val="13"/>
                <w:szCs w:val="13"/>
                <w:highlight w:val="none"/>
                <w:u w:val="none"/>
                <w:lang w:val="en-US" w:eastAsia="zh-CN" w:bidi="ar-SA"/>
              </w:rPr>
              <w:t>.00</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E615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w:t>
            </w:r>
            <w:r>
              <w:rPr>
                <w:i w:val="0"/>
                <w:iCs w:val="0"/>
                <w:color w:val="000000"/>
                <w:kern w:val="0"/>
                <w:sz w:val="13"/>
                <w:szCs w:val="13"/>
                <w:highlight w:val="none"/>
                <w:u w:val="none"/>
                <w:lang w:val="en-US" w:eastAsia="zh-CN" w:bidi="ar-SA"/>
              </w:rPr>
              <w:t>42.84</w:t>
            </w:r>
          </w:p>
        </w:tc>
        <w:tc>
          <w:tcPr>
            <w:tcW w:w="6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D3CCD7">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w:t>
            </w:r>
            <w:r>
              <w:rPr>
                <w:i w:val="0"/>
                <w:iCs w:val="0"/>
                <w:color w:val="000000"/>
                <w:kern w:val="0"/>
                <w:sz w:val="13"/>
                <w:szCs w:val="13"/>
                <w:highlight w:val="none"/>
                <w:u w:val="none"/>
                <w:lang w:val="en-US" w:eastAsia="zh-CN" w:bidi="ar-SA"/>
              </w:rPr>
              <w:t>42.84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FDD4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100.00%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0B565">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84A6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5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3A5BB">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1.预算执行率=预算执行数/调整后预算数，预算执行率未达到90%的需说明原因（100字以内）;2.年中发生预算调整的（追加或调减）,应单独说明理由；3.其他资金包括：社会投入资金、银行贷款.</w:t>
            </w:r>
          </w:p>
        </w:tc>
      </w:tr>
      <w:tr w14:paraId="550F6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21"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DA284">
            <w:pPr>
              <w:rPr>
                <w:highlight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3D81B">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其中：财政资金</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B355A">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w:t>
            </w:r>
            <w:r>
              <w:rPr>
                <w:i w:val="0"/>
                <w:iCs w:val="0"/>
                <w:color w:val="000000"/>
                <w:kern w:val="0"/>
                <w:sz w:val="13"/>
                <w:szCs w:val="13"/>
                <w:highlight w:val="none"/>
                <w:u w:val="none"/>
                <w:lang w:val="en-US" w:eastAsia="zh-CN" w:bidi="ar-SA"/>
              </w:rPr>
              <w:t>57</w:t>
            </w:r>
            <w:r>
              <w:rPr>
                <w:rFonts w:eastAsia="宋体"/>
                <w:i w:val="0"/>
                <w:iCs w:val="0"/>
                <w:color w:val="000000"/>
                <w:kern w:val="0"/>
                <w:sz w:val="13"/>
                <w:szCs w:val="13"/>
                <w:highlight w:val="none"/>
                <w:u w:val="none"/>
                <w:lang w:val="en-US" w:eastAsia="zh-CN" w:bidi="ar-SA"/>
              </w:rPr>
              <w:t>.00</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3BDD4">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w:t>
            </w:r>
            <w:r>
              <w:rPr>
                <w:i w:val="0"/>
                <w:iCs w:val="0"/>
                <w:color w:val="000000"/>
                <w:kern w:val="0"/>
                <w:sz w:val="13"/>
                <w:szCs w:val="13"/>
                <w:highlight w:val="none"/>
                <w:u w:val="none"/>
                <w:lang w:val="en-US" w:eastAsia="zh-CN" w:bidi="ar-SA"/>
              </w:rPr>
              <w:t>42.84</w:t>
            </w:r>
          </w:p>
        </w:tc>
        <w:tc>
          <w:tcPr>
            <w:tcW w:w="6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7EA4CB">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w:t>
            </w:r>
            <w:r>
              <w:rPr>
                <w:i w:val="0"/>
                <w:iCs w:val="0"/>
                <w:color w:val="000000"/>
                <w:kern w:val="0"/>
                <w:sz w:val="13"/>
                <w:szCs w:val="13"/>
                <w:highlight w:val="none"/>
                <w:u w:val="none"/>
                <w:lang w:val="en-US" w:eastAsia="zh-CN" w:bidi="ar-SA"/>
              </w:rPr>
              <w:t>42.84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CA6CF">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100.00%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2B493">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7A95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207D5">
            <w:pPr>
              <w:rPr>
                <w:highlight w:val="none"/>
              </w:rPr>
            </w:pPr>
          </w:p>
        </w:tc>
      </w:tr>
      <w:tr w14:paraId="6EB64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438"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EF485">
            <w:pPr>
              <w:rPr>
                <w:highlight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595F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财政专户管理资金</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13DC4">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F69F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6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146AA4">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35D10">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4D331">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4A840">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9AEBD">
            <w:pPr>
              <w:rPr>
                <w:highlight w:val="none"/>
              </w:rPr>
            </w:pPr>
          </w:p>
        </w:tc>
      </w:tr>
      <w:tr w14:paraId="37222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21"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BA928">
            <w:pPr>
              <w:rPr>
                <w:highlight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4B35E">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单位资金</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362B7">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94E8D">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6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241D2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7202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3FEE2">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D37F">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91704">
            <w:pPr>
              <w:rPr>
                <w:highlight w:val="none"/>
              </w:rPr>
            </w:pPr>
          </w:p>
        </w:tc>
      </w:tr>
      <w:tr w14:paraId="3763D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21"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8CEA9">
            <w:pPr>
              <w:rPr>
                <w:highlight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BEF5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其他资金</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40939">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CF063">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c>
          <w:tcPr>
            <w:tcW w:w="6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397D2F">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F9AF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B8A2E">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DE0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84150">
            <w:pPr>
              <w:rPr>
                <w:highlight w:val="none"/>
              </w:rPr>
            </w:pPr>
          </w:p>
        </w:tc>
      </w:tr>
      <w:tr w14:paraId="2D081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54" w:hRule="atLeast"/>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97F53">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绩效指标（90分）</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F1E65">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一级指标</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E92E2">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二级指标</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01B35">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三级指标</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79CBE">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指标性质</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A9A64">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指标值</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7BBFA">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度量单位</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7E42">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完成值</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8198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权重</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978D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得分</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EBA74">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未完成原因分析</w:t>
            </w:r>
          </w:p>
        </w:tc>
      </w:tr>
      <w:tr w14:paraId="33174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21"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663A1">
            <w:pPr>
              <w:rPr>
                <w:highlight w:val="none"/>
              </w:rPr>
            </w:pPr>
          </w:p>
        </w:tc>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6F700">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产出指标</w:t>
            </w:r>
          </w:p>
        </w:tc>
        <w:tc>
          <w:tcPr>
            <w:tcW w:w="3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354BA">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数量指标</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D388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符合待遇领取人员覆盖率</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35517">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88470">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C7001">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D5B1E">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23B95">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3A74E">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4AF2">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7E154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205"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16422">
            <w:pPr>
              <w:rPr>
                <w:highlight w:val="none"/>
              </w:rPr>
            </w:pPr>
          </w:p>
        </w:tc>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9FE23">
            <w:pPr>
              <w:rPr>
                <w:highlight w:val="none"/>
              </w:rPr>
            </w:pPr>
          </w:p>
        </w:tc>
        <w:tc>
          <w:tcPr>
            <w:tcW w:w="3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23E61">
            <w:pPr>
              <w:rPr>
                <w:highlight w:val="none"/>
              </w:rPr>
            </w:pP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C7D90">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发放人数</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F3FDB">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145D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2626</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2A73">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人</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D69F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2626</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51C7E">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584AE">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761B4">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7D07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285"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F0B10">
            <w:pPr>
              <w:rPr>
                <w:highlight w:val="none"/>
              </w:rPr>
            </w:pPr>
          </w:p>
        </w:tc>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822C5">
            <w:pPr>
              <w:rPr>
                <w:highlight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16252">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质量指标</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09C12">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待遇足额发放率</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E24D7">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E4ECE">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97B5F">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180D5">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3EBA7">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0768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FC45F">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7BE0B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285"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90A00">
            <w:pPr>
              <w:rPr>
                <w:highlight w:val="none"/>
              </w:rPr>
            </w:pPr>
          </w:p>
        </w:tc>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6DF7B">
            <w:pPr>
              <w:rPr>
                <w:highlight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7FC9D">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时效指标</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1676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按时发放待遇</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92FD9">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2634D">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6BF3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55CA2">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73593">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45AA5">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5800D">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5089C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21"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C1944">
            <w:pPr>
              <w:rPr>
                <w:highlight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6C32D">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效益指标</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CA53D">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社会效益指标</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9784B">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破产改制企业退休人员权益保障率</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0D202">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DA8F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972D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008AD">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B312D">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ECB55">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20</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E4F1">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50F0D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438"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80EEA">
            <w:pPr>
              <w:rPr>
                <w:highlight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BA870">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满意度指标</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04DBE">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服务对象满意度指标</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1C5D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改制企业退休人员满意度</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78C04">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AD705">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95</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8FCFD">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1122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95</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2744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4ABB1">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50AD6">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73FE0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21"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26B19">
            <w:pPr>
              <w:rPr>
                <w:highlight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D3E63">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成本指标</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514DF">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经济成本指标</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75504">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人均发放待遇成本</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02AA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1741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85</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528E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元</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12DC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81.55</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CE9A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6114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20</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2192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35402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205" w:hRule="atLeast"/>
        </w:trPr>
        <w:tc>
          <w:tcPr>
            <w:tcW w:w="308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282E0FD">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合计</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E077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F9429">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D06FD">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05CDC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21"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20611">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D338C1">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结合自评情况，该项目自评总分100分，按时足额兑付到州属破产改制企业离退休人员手中。</w:t>
            </w:r>
          </w:p>
        </w:tc>
      </w:tr>
      <w:tr w14:paraId="654F7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54"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48B2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FC49CC">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1、州属破产改制企业离退休人员非统筹金项目属刚性支出，但由于与养老金领取资格认证和死亡申报业务挂钩，因此，每月实际发放人数和金额均有一定波动。</w:t>
            </w:r>
            <w:r>
              <w:rPr>
                <w:rFonts w:eastAsia="宋体"/>
                <w:i w:val="0"/>
                <w:iCs w:val="0"/>
                <w:color w:val="000000"/>
                <w:kern w:val="0"/>
                <w:sz w:val="13"/>
                <w:szCs w:val="13"/>
                <w:highlight w:val="none"/>
                <w:u w:val="none"/>
                <w:lang w:val="en-US" w:eastAsia="zh-CN" w:bidi="ar-SA"/>
              </w:rPr>
              <w:br w:type="textWrapping"/>
            </w:r>
            <w:r>
              <w:rPr>
                <w:rFonts w:eastAsia="宋体"/>
                <w:i w:val="0"/>
                <w:iCs w:val="0"/>
                <w:color w:val="000000"/>
                <w:kern w:val="0"/>
                <w:sz w:val="13"/>
                <w:szCs w:val="13"/>
                <w:highlight w:val="none"/>
                <w:u w:val="none"/>
                <w:lang w:val="en-US" w:eastAsia="zh-CN" w:bidi="ar-SA"/>
              </w:rPr>
              <w:t>2、由于家属死亡时间申报延迟影响，多发养老金可参与遗属待遇抵扣，多发非统筹金不属于社保基金，不能直接参与遗属待遇抵扣，同时金额较少，如果出现家属不配合等情况，追回有一定困难。</w:t>
            </w:r>
          </w:p>
        </w:tc>
      </w:tr>
      <w:tr w14:paraId="12CB5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21"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4AC1E">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302BD5">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 xml:space="preserve"> 建议设立销账金额底线，比如：设立销账金额底线为1000元，追回金额低于1000元，且上门追回协调难度大、办公成本高的，直接予以销账处理。</w:t>
            </w:r>
          </w:p>
        </w:tc>
      </w:tr>
      <w:tr w14:paraId="1050F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205" w:hRule="atLeast"/>
        </w:trPr>
        <w:tc>
          <w:tcPr>
            <w:tcW w:w="221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1611B8">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项目负责人：尤靖舒</w:t>
            </w:r>
          </w:p>
        </w:tc>
        <w:tc>
          <w:tcPr>
            <w:tcW w:w="27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9FB5C9">
            <w:pPr>
              <w:keepNext/>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财务负责人：施慧霞</w:t>
            </w:r>
          </w:p>
        </w:tc>
      </w:tr>
    </w:tbl>
    <w:p w14:paraId="3CB04655">
      <w:pPr>
        <w:rPr>
          <w:highlight w:val="none"/>
          <w:lang w:val="zh-CN"/>
        </w:rPr>
      </w:pPr>
      <w:r>
        <w:rPr>
          <w:rFonts w:ascii="Times New Roman" w:hAnsi="Times New Roman"/>
          <w:highlight w:val="none"/>
          <w:lang w:val="zh-CN"/>
        </w:rPr>
        <w:br w:type="page"/>
      </w:r>
    </w:p>
    <w:tbl>
      <w:tblPr>
        <w:tblStyle w:val="1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32" w:type="dxa"/>
          <w:left w:w="64" w:type="dxa"/>
          <w:bottom w:w="32" w:type="dxa"/>
          <w:right w:w="64" w:type="dxa"/>
        </w:tblCellMar>
      </w:tblPr>
      <w:tblGrid>
        <w:gridCol w:w="958"/>
        <w:gridCol w:w="1025"/>
        <w:gridCol w:w="1161"/>
        <w:gridCol w:w="1786"/>
        <w:gridCol w:w="676"/>
        <w:gridCol w:w="1287"/>
        <w:gridCol w:w="668"/>
        <w:gridCol w:w="1285"/>
        <w:gridCol w:w="558"/>
        <w:gridCol w:w="558"/>
        <w:gridCol w:w="4124"/>
      </w:tblGrid>
      <w:tr w14:paraId="5F6A8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00E55EC">
            <w:pPr>
              <w:keepNext w:val="0"/>
              <w:keepLines w:val="0"/>
              <w:widowControl/>
              <w:suppressLineNumbers w:val="0"/>
              <w:snapToGrid w:val="0"/>
              <w:jc w:val="center"/>
              <w:textAlignment w:val="center"/>
              <w:outlineLvl w:val="9"/>
              <w:rPr>
                <w:rFonts w:eastAsia="黑体"/>
                <w:b/>
                <w:bCs/>
                <w:i w:val="0"/>
                <w:iCs w:val="0"/>
                <w:color w:val="000000"/>
                <w:sz w:val="18"/>
                <w:szCs w:val="18"/>
                <w:highlight w:val="none"/>
                <w:u w:val="none"/>
              </w:rPr>
            </w:pPr>
            <w:r>
              <w:rPr>
                <w:rFonts w:eastAsia="黑体"/>
                <w:b/>
                <w:bCs/>
                <w:i w:val="0"/>
                <w:iCs w:val="0"/>
                <w:color w:val="000000"/>
                <w:kern w:val="0"/>
                <w:sz w:val="18"/>
                <w:szCs w:val="18"/>
                <w:highlight w:val="none"/>
                <w:u w:val="none"/>
                <w:lang w:val="en-US" w:eastAsia="zh-CN"/>
              </w:rPr>
              <w:t>部门预算项目支出绩效自评表（2025年度）</w:t>
            </w:r>
          </w:p>
        </w:tc>
      </w:tr>
      <w:tr w14:paraId="5CBC5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40CEE4">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项目名称</w:t>
            </w:r>
          </w:p>
        </w:tc>
        <w:tc>
          <w:tcPr>
            <w:tcW w:w="429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2550F9">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51320024T000010951738-社保政策宣传印刷费</w:t>
            </w:r>
          </w:p>
        </w:tc>
      </w:tr>
      <w:tr w14:paraId="5B26D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E3870">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主管部门</w:t>
            </w:r>
          </w:p>
        </w:tc>
        <w:tc>
          <w:tcPr>
            <w:tcW w:w="19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A1CC5C">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州人社局部门</w:t>
            </w:r>
          </w:p>
        </w:tc>
        <w:tc>
          <w:tcPr>
            <w:tcW w:w="455" w:type="pct"/>
            <w:tcBorders>
              <w:top w:val="nil"/>
              <w:left w:val="nil"/>
              <w:bottom w:val="nil"/>
              <w:right w:val="nil"/>
            </w:tcBorders>
            <w:shd w:val="clear" w:color="auto" w:fill="auto"/>
            <w:vAlign w:val="center"/>
          </w:tcPr>
          <w:p w14:paraId="4723F267">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实施单位 （盖章）</w:t>
            </w:r>
          </w:p>
        </w:tc>
        <w:tc>
          <w:tcPr>
            <w:tcW w:w="185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E652F">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州社保局</w:t>
            </w:r>
          </w:p>
        </w:tc>
      </w:tr>
      <w:tr w14:paraId="11FFF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16771">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项目基本情况</w:t>
            </w:r>
          </w:p>
        </w:tc>
        <w:tc>
          <w:tcPr>
            <w:tcW w:w="3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B965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1.项目年度目标完成情况</w:t>
            </w:r>
          </w:p>
        </w:tc>
        <w:tc>
          <w:tcPr>
            <w:tcW w:w="19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98D8E0">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项目年度目标</w:t>
            </w:r>
          </w:p>
        </w:tc>
        <w:tc>
          <w:tcPr>
            <w:tcW w:w="231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85376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年度目标完成情况</w:t>
            </w:r>
          </w:p>
        </w:tc>
      </w:tr>
      <w:tr w14:paraId="2F54D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F0715">
            <w:pPr>
              <w:rPr>
                <w:highlight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9F187">
            <w:pPr>
              <w:rPr>
                <w:highlight w:val="none"/>
              </w:rPr>
            </w:pPr>
          </w:p>
        </w:tc>
        <w:tc>
          <w:tcPr>
            <w:tcW w:w="19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B705A5">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结合人社部、省人社厅、省社保局宣传主题及我局工作实际，通过现场、媒体等多种宣传方式进行养老、工伤保险政策宣传，做好2025年社保政策宣传工作，提高全州参保对象社保政策知晓度。</w:t>
            </w:r>
            <w:r>
              <w:rPr>
                <w:rFonts w:eastAsia="宋体"/>
                <w:i w:val="0"/>
                <w:iCs w:val="0"/>
                <w:color w:val="000000"/>
                <w:kern w:val="0"/>
                <w:sz w:val="13"/>
                <w:szCs w:val="13"/>
                <w:highlight w:val="none"/>
                <w:u w:val="none"/>
                <w:lang w:val="en-US" w:eastAsia="zh-CN" w:bidi="ar-SA"/>
              </w:rPr>
              <w:tab/>
            </w:r>
            <w:r>
              <w:rPr>
                <w:rFonts w:eastAsia="宋体"/>
                <w:i w:val="0"/>
                <w:iCs w:val="0"/>
                <w:color w:val="000000"/>
                <w:kern w:val="0"/>
                <w:sz w:val="13"/>
                <w:szCs w:val="13"/>
                <w:highlight w:val="none"/>
                <w:u w:val="none"/>
                <w:lang w:val="en-US" w:eastAsia="zh-CN" w:bidi="ar-SA"/>
              </w:rPr>
              <w:tab/>
            </w:r>
            <w:r>
              <w:rPr>
                <w:rFonts w:eastAsia="宋体"/>
                <w:i w:val="0"/>
                <w:iCs w:val="0"/>
                <w:color w:val="000000"/>
                <w:kern w:val="0"/>
                <w:sz w:val="13"/>
                <w:szCs w:val="13"/>
                <w:highlight w:val="none"/>
                <w:u w:val="none"/>
                <w:lang w:val="en-US" w:eastAsia="zh-CN" w:bidi="ar-SA"/>
              </w:rPr>
              <w:tab/>
            </w:r>
            <w:r>
              <w:rPr>
                <w:rFonts w:eastAsia="宋体"/>
                <w:i w:val="0"/>
                <w:iCs w:val="0"/>
                <w:color w:val="000000"/>
                <w:kern w:val="0"/>
                <w:sz w:val="13"/>
                <w:szCs w:val="13"/>
                <w:highlight w:val="none"/>
                <w:u w:val="none"/>
                <w:lang w:val="en-US" w:eastAsia="zh-CN" w:bidi="ar-SA"/>
              </w:rPr>
              <w:tab/>
            </w:r>
          </w:p>
        </w:tc>
        <w:tc>
          <w:tcPr>
            <w:tcW w:w="231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2FFEA2">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采购印有社保政策宣传标语及四川人社APP二维码的自动折叠晴雨伞（伞下直径1米左右，10骨），共计600把，350ml双层玻璃茶杯（茶水分离）共计500个。</w:t>
            </w:r>
          </w:p>
        </w:tc>
      </w:tr>
      <w:tr w14:paraId="396C6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49B04">
            <w:pPr>
              <w:rPr>
                <w:highlight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F1791">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2.项目实施内容及过程概述</w:t>
            </w:r>
          </w:p>
        </w:tc>
        <w:tc>
          <w:tcPr>
            <w:tcW w:w="429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F65DBC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以“社会保险进万家宣传”活动、《社会保险经办条例》宣传贯彻等工作为抓手，深入“四进”场所，开展社保政策宣传讲解，通过发放宣传袋、认证贴士单、政策宣传单等方式，进一步加大社保政策宣传力度，全力提高全州参保对象社保政策知晓率。</w:t>
            </w:r>
          </w:p>
        </w:tc>
      </w:tr>
      <w:tr w14:paraId="5D702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0BC46">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预算执行情况（10分）</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42E8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年度预算数（万元）</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591D6">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年初预算</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BB400">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调整后预算数</w:t>
            </w:r>
          </w:p>
        </w:tc>
        <w:tc>
          <w:tcPr>
            <w:tcW w:w="93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E8D4A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预算执行数</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5E0C1">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预算执行率</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68899">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权重</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AF59B">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得分</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14BF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原因</w:t>
            </w:r>
          </w:p>
        </w:tc>
      </w:tr>
      <w:tr w14:paraId="1FB42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B18AB">
            <w:pPr>
              <w:rPr>
                <w:highlight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ADA4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总额</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40F2B">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1.50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A2417">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1.50</w:t>
            </w:r>
          </w:p>
        </w:tc>
        <w:tc>
          <w:tcPr>
            <w:tcW w:w="93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C0DAD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1.50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A6866">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100.00%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364DE">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4F8A0">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2A189">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1.预算执行率=预算执行数/调整后预算数，预算执行率未达到90%的需说明原因（100字以内）;2.年中发生预算调整的（追加或调减）,应单独说明理由；3.其他资金包括：社会投入资金、银行贷款.</w:t>
            </w:r>
          </w:p>
        </w:tc>
      </w:tr>
      <w:tr w14:paraId="2ACCD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A2ED0">
            <w:pPr>
              <w:rPr>
                <w:highlight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A9A91">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其中：财政资金</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C3BF2">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1.50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A6BAB">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1.50</w:t>
            </w:r>
          </w:p>
        </w:tc>
        <w:tc>
          <w:tcPr>
            <w:tcW w:w="93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B8DAC3">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1.50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32F2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100.00%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2A59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30855">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390E6">
            <w:pPr>
              <w:rPr>
                <w:highlight w:val="none"/>
              </w:rPr>
            </w:pPr>
          </w:p>
        </w:tc>
      </w:tr>
      <w:tr w14:paraId="6AC68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C5208">
            <w:pPr>
              <w:rPr>
                <w:highlight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CDE29">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财政专户管理资金</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D9E1">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CFB3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93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054DE3">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C4ED6">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2F23F">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F88E">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21DEE">
            <w:pPr>
              <w:rPr>
                <w:highlight w:val="none"/>
              </w:rPr>
            </w:pPr>
          </w:p>
        </w:tc>
      </w:tr>
      <w:tr w14:paraId="573FB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D2FC6">
            <w:pPr>
              <w:rPr>
                <w:highlight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0EEB9">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单位资金</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17840">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DCC1E">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93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918803">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8B995">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0.00%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EFAC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BAAE2">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E337D">
            <w:pPr>
              <w:rPr>
                <w:highlight w:val="none"/>
              </w:rPr>
            </w:pPr>
          </w:p>
        </w:tc>
      </w:tr>
      <w:tr w14:paraId="2728C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4D56B">
            <w:pPr>
              <w:rPr>
                <w:highlight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15FC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其他资金</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D7C62">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AAF5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c>
          <w:tcPr>
            <w:tcW w:w="93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A79647">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1DCEE">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EB7BE">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2B1D0">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1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8F257">
            <w:pPr>
              <w:rPr>
                <w:highlight w:val="none"/>
              </w:rPr>
            </w:pPr>
          </w:p>
        </w:tc>
      </w:tr>
      <w:tr w14:paraId="09DE1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3CB21">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绩效指标（90分）</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E2D4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一级指标</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61A5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二级指标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FFD20">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三级指标</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7509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指标性质</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1374C">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指标值</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80D34">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度量单位</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13662">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完成值</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4AF4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权重</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EC433">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得分</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B279F">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未完成原因分析</w:t>
            </w:r>
          </w:p>
        </w:tc>
      </w:tr>
      <w:tr w14:paraId="76964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7F870">
            <w:pPr>
              <w:rPr>
                <w:highlight w:val="none"/>
              </w:rPr>
            </w:pPr>
          </w:p>
        </w:tc>
        <w:tc>
          <w:tcPr>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E75134">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产出指标</w:t>
            </w:r>
          </w:p>
        </w:tc>
        <w:tc>
          <w:tcPr>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DA370B">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数量指标</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1EBABEA1">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宣传对象人数</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756F3DBE">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443F0F9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1000</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010B04E2">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人</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3BB9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30000（全周）</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BC9B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731C3">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6928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35D12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0799E">
            <w:pPr>
              <w:rPr>
                <w:highlight w:val="none"/>
              </w:rPr>
            </w:pPr>
          </w:p>
        </w:tc>
        <w:tc>
          <w:tcPr>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2EDA8">
            <w:pPr>
              <w:rPr>
                <w:highlight w:val="none"/>
              </w:rPr>
            </w:pPr>
          </w:p>
        </w:tc>
        <w:tc>
          <w:tcPr>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D5AB7">
            <w:pPr>
              <w:rPr>
                <w:highlight w:val="none"/>
              </w:rPr>
            </w:pP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0A9B4FD2">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宣传次数</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67334D74">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2305A494">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01C2F762">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次</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76DC0">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110场（全州）</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84EB0">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F3ED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9A3A7">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510F8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8C9EB">
            <w:pPr>
              <w:rPr>
                <w:highlight w:val="none"/>
              </w:rPr>
            </w:pPr>
          </w:p>
        </w:tc>
        <w:tc>
          <w:tcPr>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3612E">
            <w:pPr>
              <w:rPr>
                <w:highlight w:val="none"/>
              </w:rPr>
            </w:pPr>
          </w:p>
        </w:tc>
        <w:tc>
          <w:tcPr>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C9EF5">
            <w:pPr>
              <w:rPr>
                <w:highlight w:val="none"/>
              </w:rPr>
            </w:pP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23D01285">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宣传品发放份数</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7311370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0A60D1EF">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1000</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0903331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份</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F9BE7">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i w:val="0"/>
                <w:iCs w:val="0"/>
                <w:color w:val="000000"/>
                <w:kern w:val="0"/>
                <w:sz w:val="13"/>
                <w:szCs w:val="13"/>
                <w:highlight w:val="none"/>
                <w:u w:val="none"/>
                <w:lang w:val="en-US" w:eastAsia="zh-CN" w:bidi="ar-SA"/>
              </w:rPr>
              <w:t>30000（分发到县）</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269DF">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7A4F4">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BADF1">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581B7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CCF41">
            <w:pPr>
              <w:rPr>
                <w:highlight w:val="none"/>
              </w:rPr>
            </w:pPr>
          </w:p>
        </w:tc>
        <w:tc>
          <w:tcPr>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4AD95">
            <w:pPr>
              <w:rPr>
                <w:highlight w:val="none"/>
              </w:rPr>
            </w:pP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61565EA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时效指标</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4A5AB25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完成时限</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712AD199">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定性</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730163B2">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2025年12月25日前</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5F963614">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FFD1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202</w:t>
            </w:r>
            <w:r>
              <w:rPr>
                <w:i w:val="0"/>
                <w:iCs w:val="0"/>
                <w:color w:val="000000"/>
                <w:kern w:val="0"/>
                <w:sz w:val="13"/>
                <w:szCs w:val="13"/>
                <w:highlight w:val="none"/>
                <w:u w:val="none"/>
                <w:lang w:val="en-US" w:eastAsia="zh-CN" w:bidi="ar-SA"/>
              </w:rPr>
              <w:t>5</w:t>
            </w:r>
            <w:r>
              <w:rPr>
                <w:rFonts w:eastAsia="宋体"/>
                <w:i w:val="0"/>
                <w:iCs w:val="0"/>
                <w:color w:val="000000"/>
                <w:kern w:val="0"/>
                <w:sz w:val="13"/>
                <w:szCs w:val="13"/>
                <w:highlight w:val="none"/>
                <w:u w:val="none"/>
                <w:lang w:val="en-US" w:eastAsia="zh-CN" w:bidi="ar-SA"/>
              </w:rPr>
              <w:t>年11月底已完成宣传</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39EA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DE1E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174C">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3EB8B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DC713">
            <w:pPr>
              <w:rPr>
                <w:highlight w:val="none"/>
              </w:rPr>
            </w:pP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0F3CD21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效益指标</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357EB7A7">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社会效益指标</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24C3B0A7">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知晓度明显提高</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7C395AF9">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定性</w:t>
            </w:r>
          </w:p>
        </w:tc>
        <w:tc>
          <w:tcPr>
            <w:tcBorders>
              <w:top w:val="nil"/>
              <w:left w:val="nil"/>
              <w:bottom w:val="nil"/>
              <w:right w:val="nil"/>
            </w:tcBorders>
            <w:shd w:val="clear" w:color="auto" w:fill="auto"/>
            <w:noWrap/>
            <w:vAlign w:val="center"/>
          </w:tcPr>
          <w:p w14:paraId="57E8ACC9">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知晓度明显提高</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235EEC07">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B6FF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有效提高</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1294E">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14D2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20</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98BDB">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418F5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A6103">
            <w:pPr>
              <w:rPr>
                <w:highlight w:val="none"/>
              </w:rPr>
            </w:pP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097D1A3C">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满意度指标</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53DE1730">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服务对象满意度指标</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18ED2314">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被宣传人员满意度</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3DF17C24">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283FABB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90</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011C738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ACAFE">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90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EE14B">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A2EC6">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BAB34">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008C5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BAD6F">
            <w:pPr>
              <w:rPr>
                <w:highlight w:val="none"/>
              </w:rPr>
            </w:pP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07A7046C">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成本指标</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0E79C56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经济成本指标</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22D36741">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人均宣传成本</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52BC7A5B">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62CE2D34">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15</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51319D01">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元/人</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B9E9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0.5元/人</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D335C">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0CC9C">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20</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346AB">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611BF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314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D5CD2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合计</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A2264">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9F47A">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100</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E6097">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p>
        </w:tc>
      </w:tr>
      <w:tr w14:paraId="093D8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44DA3">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B07CC5">
            <w:pPr>
              <w:pStyle w:val="9"/>
              <w:keepNext w:val="0"/>
              <w:keepLines w:val="0"/>
              <w:pageBreakBefore w:val="0"/>
              <w:widowControl w:val="0"/>
              <w:tabs>
                <w:tab w:val="left" w:pos="2160"/>
              </w:tabs>
              <w:kinsoku/>
              <w:wordWrap/>
              <w:overflowPunct/>
              <w:topLinePunct w:val="0"/>
              <w:autoSpaceDE/>
              <w:autoSpaceDN/>
              <w:bidi w:val="0"/>
              <w:adjustRightInd/>
              <w:snapToGrid/>
              <w:spacing w:line="240" w:lineRule="atLeast"/>
              <w:ind w:left="0" w:firstLine="260" w:firstLineChars="200"/>
              <w:jc w:val="both"/>
              <w:textAlignment w:val="auto"/>
              <w:rPr>
                <w:rFonts w:ascii="Times New Roman" w:hAnsi="Times New Roman" w:eastAsia="宋体"/>
                <w:i w:val="0"/>
                <w:iCs w:val="0"/>
                <w:color w:val="000000"/>
                <w:kern w:val="0"/>
                <w:sz w:val="13"/>
                <w:szCs w:val="13"/>
                <w:highlight w:val="none"/>
                <w:u w:val="none"/>
                <w:lang w:val="en-US" w:eastAsia="zh-CN" w:bidi="ar-SA"/>
              </w:rPr>
            </w:pPr>
            <w:r>
              <w:rPr>
                <w:rFonts w:ascii="Times New Roman" w:hAnsi="Times New Roman" w:eastAsia="宋体"/>
                <w:i w:val="0"/>
                <w:iCs w:val="0"/>
                <w:color w:val="000000"/>
                <w:kern w:val="0"/>
                <w:sz w:val="13"/>
                <w:szCs w:val="13"/>
                <w:highlight w:val="none"/>
                <w:u w:val="none"/>
                <w:lang w:val="en-US" w:eastAsia="zh-CN" w:bidi="ar-SA"/>
              </w:rPr>
              <w:t>结合自评情况，该项目自评总分100分。通过形式多样的宣传方式和内容，让更多群众了解到养老保险和工伤保险惠民政策，切实提高了广大群众的参保积极性和政策知晓率。</w:t>
            </w:r>
          </w:p>
        </w:tc>
      </w:tr>
      <w:tr w14:paraId="4C1F3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C767B">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ACA391">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无</w:t>
            </w:r>
          </w:p>
        </w:tc>
      </w:tr>
      <w:tr w14:paraId="1F6DF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119AE">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19BD1D">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无</w:t>
            </w:r>
          </w:p>
        </w:tc>
      </w:tr>
      <w:tr w14:paraId="56C66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jc w:val="center"/>
        </w:trPr>
        <w:tc>
          <w:tcPr>
            <w:tcW w:w="19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BE675E">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项目负责人：马庆颖</w:t>
            </w:r>
          </w:p>
        </w:tc>
        <w:tc>
          <w:tcPr>
            <w:tcW w:w="300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7CF138">
            <w:pPr>
              <w:keepNext w:val="0"/>
              <w:keepLines w:val="0"/>
              <w:widowControl/>
              <w:suppressLineNumbers w:val="0"/>
              <w:snapToGrid w:val="0"/>
              <w:jc w:val="left"/>
              <w:textAlignment w:val="center"/>
              <w:outlineLvl w:val="9"/>
              <w:rPr>
                <w:rFonts w:eastAsia="宋体"/>
                <w:i w:val="0"/>
                <w:iCs w:val="0"/>
                <w:color w:val="000000"/>
                <w:kern w:val="0"/>
                <w:sz w:val="13"/>
                <w:szCs w:val="13"/>
                <w:highlight w:val="none"/>
                <w:u w:val="none"/>
                <w:lang w:val="en-US" w:eastAsia="zh-CN" w:bidi="ar-SA"/>
              </w:rPr>
            </w:pPr>
            <w:r>
              <w:rPr>
                <w:rFonts w:eastAsia="宋体"/>
                <w:i w:val="0"/>
                <w:iCs w:val="0"/>
                <w:color w:val="000000"/>
                <w:kern w:val="0"/>
                <w:sz w:val="13"/>
                <w:szCs w:val="13"/>
                <w:highlight w:val="none"/>
                <w:u w:val="none"/>
                <w:lang w:val="en-US" w:eastAsia="zh-CN" w:bidi="ar-SA"/>
              </w:rPr>
              <w:t>财务负责人：施慧霞</w:t>
            </w:r>
          </w:p>
        </w:tc>
      </w:tr>
    </w:tbl>
    <w:p w14:paraId="33BA0E3A">
      <w:pPr>
        <w:rPr>
          <w:rFonts w:hint="eastAsia"/>
          <w:highlight w:val="none"/>
          <w:lang w:val="zh-CN" w:eastAsia="zh-CN"/>
        </w:rPr>
        <w:sectPr>
          <w:pgSz w:w="16838" w:h="11906" w:orient="landscape"/>
          <w:pgMar w:top="1800" w:right="1440" w:bottom="1800" w:left="1440" w:header="851" w:footer="992" w:gutter="0"/>
          <w:pgNumType w:fmt="decimal"/>
          <w:cols w:space="425" w:num="1"/>
          <w:titlePg/>
          <w:docGrid w:type="lines" w:linePitch="312" w:charSpace="0"/>
        </w:sectPr>
      </w:pPr>
    </w:p>
    <w:p w14:paraId="72F6FFC3">
      <w:pPr>
        <w:pStyle w:val="9"/>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511EC3B7">
      <w:pPr>
        <w:pStyle w:val="36"/>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Times New Roman" w:hAnsi="Times New Roman" w:eastAsia="方正小标宋简体" w:cs="方正小标宋简体"/>
          <w:color w:val="auto"/>
          <w:kern w:val="2"/>
          <w:sz w:val="44"/>
          <w:szCs w:val="44"/>
          <w:highlight w:val="none"/>
          <w:lang w:val="en-US" w:eastAsia="zh-CN"/>
        </w:rPr>
      </w:pPr>
    </w:p>
    <w:p w14:paraId="15B87970">
      <w:pPr>
        <w:spacing w:line="560" w:lineRule="exact"/>
        <w:jc w:val="center"/>
        <w:rPr>
          <w:rFonts w:ascii="Times New Roman" w:hAnsi="Times New Roman" w:eastAsia="方正小标宋简体" w:cs="Times New Roman"/>
          <w:sz w:val="44"/>
          <w:szCs w:val="44"/>
          <w:highlight w:val="none"/>
        </w:rPr>
      </w:pPr>
      <w:r>
        <w:rPr>
          <w:rFonts w:ascii="Times New Roman" w:hAnsi="Times New Roman" w:eastAsia="方正小标宋简体" w:cs="Times New Roman"/>
          <w:sz w:val="44"/>
          <w:szCs w:val="44"/>
          <w:highlight w:val="none"/>
        </w:rPr>
        <w:t>阿坝州社会保险事业管理局</w:t>
      </w:r>
    </w:p>
    <w:p w14:paraId="25AD0D0C">
      <w:pPr>
        <w:spacing w:line="560" w:lineRule="exact"/>
        <w:jc w:val="center"/>
        <w:rPr>
          <w:rFonts w:ascii="Times New Roman" w:hAnsi="Times New Roman" w:eastAsia="方正小标宋简体" w:cs="Times New Roman"/>
          <w:sz w:val="44"/>
          <w:szCs w:val="44"/>
          <w:highlight w:val="none"/>
        </w:rPr>
      </w:pPr>
      <w:r>
        <w:rPr>
          <w:rFonts w:ascii="Times New Roman" w:hAnsi="Times New Roman" w:eastAsia="方正小标宋简体" w:cs="Times New Roman"/>
          <w:sz w:val="44"/>
          <w:szCs w:val="44"/>
          <w:highlight w:val="none"/>
        </w:rPr>
        <w:t>关于2025年城乡居民基本养老保险基金</w:t>
      </w:r>
    </w:p>
    <w:p w14:paraId="3A1C3D9F">
      <w:pPr>
        <w:spacing w:line="560" w:lineRule="exact"/>
        <w:jc w:val="center"/>
        <w:rPr>
          <w:rFonts w:ascii="Times New Roman" w:hAnsi="Times New Roman" w:eastAsia="方正小标宋简体" w:cs="Times New Roman"/>
          <w:sz w:val="44"/>
          <w:szCs w:val="44"/>
          <w:highlight w:val="none"/>
        </w:rPr>
      </w:pPr>
      <w:r>
        <w:rPr>
          <w:rFonts w:ascii="Times New Roman" w:hAnsi="Times New Roman" w:eastAsia="方正小标宋简体" w:cs="Times New Roman"/>
          <w:sz w:val="44"/>
          <w:szCs w:val="44"/>
          <w:highlight w:val="none"/>
        </w:rPr>
        <w:t>预算绩效自评报告</w:t>
      </w:r>
    </w:p>
    <w:p w14:paraId="62746A4A">
      <w:pPr>
        <w:widowControl w:val="0"/>
        <w:ind w:firstLine="424" w:firstLineChars="202"/>
        <w:jc w:val="both"/>
        <w:rPr>
          <w:rFonts w:ascii="Times New Roman" w:hAnsi="Times New Roman" w:eastAsia="等线" w:cs="Times New Roman"/>
          <w:kern w:val="2"/>
          <w:sz w:val="21"/>
          <w:szCs w:val="28"/>
          <w:highlight w:val="none"/>
          <w:lang w:val="en-US" w:eastAsia="zh-CN" w:bidi="ar-SA"/>
        </w:rPr>
      </w:pPr>
    </w:p>
    <w:p w14:paraId="12516059">
      <w:pPr>
        <w:widowControl w:val="0"/>
        <w:spacing w:line="560" w:lineRule="exact"/>
        <w:ind w:firstLine="0" w:firstLineChars="0"/>
        <w:jc w:val="both"/>
        <w:rPr>
          <w:rFonts w:ascii="Times New Roman" w:hAnsi="Times New Roman" w:eastAsia="仿宋_GB2312" w:cs="Times New Roman"/>
          <w:kern w:val="2"/>
          <w:sz w:val="32"/>
          <w:szCs w:val="32"/>
          <w:highlight w:val="none"/>
          <w:lang w:val="en-US" w:eastAsia="zh-CN" w:bidi="ar-SA"/>
        </w:rPr>
      </w:pPr>
      <w:r>
        <w:rPr>
          <w:rFonts w:ascii="Times New Roman" w:hAnsi="Times New Roman" w:eastAsia="仿宋_GB2312" w:cs="Times New Roman"/>
          <w:kern w:val="2"/>
          <w:sz w:val="32"/>
          <w:szCs w:val="32"/>
          <w:highlight w:val="none"/>
          <w:lang w:val="en-US" w:eastAsia="zh-CN" w:bidi="ar-SA"/>
        </w:rPr>
        <w:t>州人社局：</w:t>
      </w:r>
    </w:p>
    <w:p w14:paraId="092D00B8">
      <w:pPr>
        <w:widowControl w:val="0"/>
        <w:spacing w:line="560" w:lineRule="exact"/>
        <w:ind w:firstLine="640" w:firstLineChars="200"/>
        <w:jc w:val="both"/>
        <w:rPr>
          <w:rFonts w:ascii="Times New Roman" w:hAnsi="Times New Roman" w:eastAsia="仿宋_GB2312" w:cs="Times New Roman"/>
          <w:kern w:val="2"/>
          <w:sz w:val="32"/>
          <w:szCs w:val="32"/>
          <w:highlight w:val="none"/>
          <w:lang w:val="en-US" w:eastAsia="zh-CN" w:bidi="ar-SA"/>
        </w:rPr>
      </w:pPr>
      <w:r>
        <w:rPr>
          <w:rFonts w:ascii="Times New Roman" w:hAnsi="Times New Roman" w:eastAsia="仿宋_GB2312" w:cs="Times New Roman"/>
          <w:kern w:val="2"/>
          <w:sz w:val="32"/>
          <w:szCs w:val="32"/>
          <w:highlight w:val="none"/>
          <w:lang w:val="en-US" w:eastAsia="zh-CN" w:bidi="ar-SA"/>
        </w:rPr>
        <w:t>按照《财政部办公厅 人力资源社会保障部办公厅 税务总局办公厅 国家医保局办公室关于印发&lt;社会保险基金预算绩效管理指引&gt;的通知》（财办社〔2024〕15号）要求，结合工作实际，现将我州2025年城乡居民基本养老保险基金预算绩效自评情况报告如下。</w:t>
      </w:r>
    </w:p>
    <w:p w14:paraId="4B2FA4F7">
      <w:pPr>
        <w:widowControl w:val="0"/>
        <w:spacing w:line="560" w:lineRule="exact"/>
        <w:ind w:left="420" w:leftChars="200" w:firstLine="320" w:firstLineChars="100"/>
        <w:jc w:val="both"/>
        <w:rPr>
          <w:rFonts w:ascii="Times New Roman" w:hAnsi="Times New Roman" w:eastAsia="黑体" w:cs="Times New Roman"/>
          <w:kern w:val="2"/>
          <w:sz w:val="32"/>
          <w:szCs w:val="32"/>
          <w:highlight w:val="none"/>
          <w:lang w:val="en-US" w:eastAsia="zh-CN" w:bidi="ar-SA"/>
        </w:rPr>
      </w:pPr>
      <w:r>
        <w:rPr>
          <w:rFonts w:ascii="Times New Roman" w:hAnsi="Times New Roman" w:eastAsia="黑体" w:cs="Times New Roman"/>
          <w:kern w:val="2"/>
          <w:sz w:val="32"/>
          <w:szCs w:val="32"/>
          <w:highlight w:val="none"/>
          <w:lang w:val="en-US" w:eastAsia="zh-CN" w:bidi="ar-SA"/>
        </w:rPr>
        <w:t>一、基本情况</w:t>
      </w:r>
    </w:p>
    <w:p w14:paraId="3529239C">
      <w:pPr>
        <w:widowControl w:val="0"/>
        <w:spacing w:line="560" w:lineRule="exact"/>
        <w:ind w:firstLine="643" w:firstLineChars="200"/>
        <w:jc w:val="both"/>
        <w:rPr>
          <w:rFonts w:ascii="Times New Roman" w:hAnsi="Times New Roman" w:eastAsia="楷体_GB2312" w:cs="Times New Roman"/>
          <w:b/>
          <w:bCs/>
          <w:kern w:val="2"/>
          <w:sz w:val="32"/>
          <w:szCs w:val="32"/>
          <w:highlight w:val="none"/>
          <w:lang w:val="en-US" w:eastAsia="zh-CN" w:bidi="ar-SA"/>
        </w:rPr>
      </w:pPr>
      <w:r>
        <w:rPr>
          <w:rFonts w:ascii="Times New Roman" w:hAnsi="Times New Roman" w:eastAsia="楷体_GB2312" w:cs="Times New Roman"/>
          <w:b/>
          <w:bCs/>
          <w:kern w:val="2"/>
          <w:sz w:val="32"/>
          <w:szCs w:val="32"/>
          <w:highlight w:val="none"/>
          <w:lang w:val="en-US" w:eastAsia="zh-CN" w:bidi="ar-SA"/>
        </w:rPr>
        <w:t>（一）城乡居民基本养老保险基金预算和绩效目标情况</w:t>
      </w:r>
    </w:p>
    <w:p w14:paraId="4FB6685F">
      <w:pPr>
        <w:adjustRightInd w:val="0"/>
        <w:snapToGrid w:val="0"/>
        <w:spacing w:line="560" w:lineRule="exact"/>
        <w:ind w:right="-153" w:rightChars="-73" w:firstLine="643" w:firstLineChars="200"/>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1.预算情况。一是</w:t>
      </w:r>
      <w:r>
        <w:rPr>
          <w:rFonts w:ascii="Times New Roman" w:hAnsi="Times New Roman" w:eastAsia="仿宋_GB2312" w:cs="Times New Roman"/>
          <w:sz w:val="32"/>
          <w:szCs w:val="32"/>
          <w:highlight w:val="none"/>
        </w:rPr>
        <w:t>严格按照指标口径科学、合理编制基金的预算；</w:t>
      </w:r>
      <w:r>
        <w:rPr>
          <w:rFonts w:ascii="Times New Roman" w:hAnsi="Times New Roman" w:eastAsia="仿宋_GB2312" w:cs="Times New Roman"/>
          <w:b/>
          <w:bCs/>
          <w:sz w:val="32"/>
          <w:szCs w:val="32"/>
          <w:highlight w:val="none"/>
        </w:rPr>
        <w:t>二是</w:t>
      </w:r>
      <w:r>
        <w:rPr>
          <w:rFonts w:ascii="Times New Roman" w:hAnsi="Times New Roman" w:eastAsia="仿宋_GB2312" w:cs="Times New Roman"/>
          <w:sz w:val="32"/>
          <w:szCs w:val="32"/>
          <w:highlight w:val="none"/>
        </w:rPr>
        <w:t>因特殊政策执行情况进行预算调整；</w:t>
      </w:r>
      <w:r>
        <w:rPr>
          <w:rFonts w:ascii="Times New Roman" w:hAnsi="Times New Roman" w:eastAsia="仿宋_GB2312" w:cs="Times New Roman"/>
          <w:b/>
          <w:bCs/>
          <w:sz w:val="32"/>
          <w:szCs w:val="32"/>
          <w:highlight w:val="none"/>
        </w:rPr>
        <w:t>三是</w:t>
      </w:r>
      <w:r>
        <w:rPr>
          <w:rFonts w:ascii="Times New Roman" w:hAnsi="Times New Roman" w:eastAsia="仿宋_GB2312" w:cs="Times New Roman"/>
          <w:sz w:val="32"/>
          <w:szCs w:val="32"/>
          <w:highlight w:val="none"/>
        </w:rPr>
        <w:t>通过预算达到年度基金收支平衡，增强基金可持续性。</w:t>
      </w:r>
    </w:p>
    <w:p w14:paraId="5104CCA1">
      <w:pPr>
        <w:adjustRightInd w:val="0"/>
        <w:snapToGrid w:val="0"/>
        <w:spacing w:line="560" w:lineRule="exact"/>
        <w:ind w:right="-153" w:rightChars="-73" w:firstLine="643" w:firstLineChars="200"/>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2.绩效目标管理情况。一是</w:t>
      </w:r>
      <w:r>
        <w:rPr>
          <w:rFonts w:ascii="Times New Roman" w:hAnsi="Times New Roman" w:eastAsia="仿宋_GB2312" w:cs="Times New Roman"/>
          <w:sz w:val="32"/>
          <w:szCs w:val="32"/>
          <w:highlight w:val="none"/>
        </w:rPr>
        <w:t>严格按照相关要求，加强2025年度基金预算收支编制审核，将绩效目标作为社会保险基金预算安排的前置条件，确保绩效目标完整、规范、合理；</w:t>
      </w:r>
      <w:r>
        <w:rPr>
          <w:rFonts w:ascii="Times New Roman" w:hAnsi="Times New Roman" w:eastAsia="仿宋_GB2312" w:cs="Times New Roman"/>
          <w:b/>
          <w:bCs/>
          <w:sz w:val="32"/>
          <w:szCs w:val="32"/>
          <w:highlight w:val="none"/>
        </w:rPr>
        <w:t>二是</w:t>
      </w:r>
      <w:r>
        <w:rPr>
          <w:rFonts w:ascii="Times New Roman" w:hAnsi="Times New Roman" w:eastAsia="仿宋_GB2312" w:cs="Times New Roman"/>
          <w:sz w:val="32"/>
          <w:szCs w:val="32"/>
          <w:highlight w:val="none"/>
        </w:rPr>
        <w:t>结合基金收支范围，合理分解、细化预算绩效指标，遵循指标可取、可比、可测、可用。</w:t>
      </w:r>
    </w:p>
    <w:p w14:paraId="2758D2F2">
      <w:pPr>
        <w:adjustRightInd w:val="0"/>
        <w:snapToGrid w:val="0"/>
        <w:spacing w:line="560" w:lineRule="exact"/>
        <w:ind w:right="-153" w:rightChars="-73" w:firstLine="643" w:firstLineChars="200"/>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3.绩效运行监控情况。</w:t>
      </w:r>
      <w:r>
        <w:rPr>
          <w:rFonts w:ascii="Times New Roman" w:hAnsi="Times New Roman" w:eastAsia="仿宋_GB2312" w:cs="Times New Roman"/>
          <w:sz w:val="32"/>
          <w:szCs w:val="32"/>
          <w:highlight w:val="none"/>
        </w:rPr>
        <w:t>定期开展基金运行分析及绩效运行监控，对社会保险基金目标实现程度和预算执行进度进行跟踪、分析和监测，确保绩效目标如期保质保量实现。</w:t>
      </w:r>
    </w:p>
    <w:p w14:paraId="39A31904">
      <w:pPr>
        <w:adjustRightInd w:val="0"/>
        <w:snapToGrid w:val="0"/>
        <w:spacing w:line="560" w:lineRule="exact"/>
        <w:ind w:right="-153" w:rightChars="-73" w:firstLine="643" w:firstLineChars="200"/>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4.绩效评价及结果运用情况。一是</w:t>
      </w:r>
      <w:r>
        <w:rPr>
          <w:rFonts w:ascii="Times New Roman" w:hAnsi="Times New Roman" w:eastAsia="仿宋_GB2312" w:cs="Times New Roman"/>
          <w:sz w:val="32"/>
          <w:szCs w:val="32"/>
          <w:highlight w:val="none"/>
        </w:rPr>
        <w:t>按照相关要求及结合自评表，认真开展绩效自评工作；</w:t>
      </w:r>
      <w:r>
        <w:rPr>
          <w:rFonts w:ascii="Times New Roman" w:hAnsi="Times New Roman" w:eastAsia="仿宋_GB2312" w:cs="Times New Roman"/>
          <w:b/>
          <w:bCs/>
          <w:sz w:val="32"/>
          <w:szCs w:val="32"/>
          <w:highlight w:val="none"/>
        </w:rPr>
        <w:t>二是</w:t>
      </w:r>
      <w:r>
        <w:rPr>
          <w:rFonts w:ascii="Times New Roman" w:hAnsi="Times New Roman" w:eastAsia="仿宋_GB2312" w:cs="Times New Roman"/>
          <w:sz w:val="32"/>
          <w:szCs w:val="32"/>
          <w:highlight w:val="none"/>
        </w:rPr>
        <w:t>对执行中存在绩效目标实现偏离、预算进度执行偏差等问题，认真分析原因</w:t>
      </w:r>
      <w:r>
        <w:rPr>
          <w:rFonts w:ascii="Times New Roman" w:hAnsi="Times New Roman" w:eastAsia="仿宋_GB2312" w:cs="Times New Roman"/>
          <w:sz w:val="32"/>
          <w:szCs w:val="32"/>
          <w:highlight w:val="none"/>
          <w:lang w:eastAsia="zh-CN"/>
        </w:rPr>
        <w:t>并</w:t>
      </w:r>
      <w:r>
        <w:rPr>
          <w:rFonts w:ascii="Times New Roman" w:hAnsi="Times New Roman" w:eastAsia="仿宋_GB2312" w:cs="Times New Roman"/>
          <w:sz w:val="32"/>
          <w:szCs w:val="32"/>
          <w:highlight w:val="none"/>
        </w:rPr>
        <w:t>改进，将绩效评价结果作为社会保险基金管理相关政策、改进管理的重要依据，逐步在预算执行中应用绩效评价结果。</w:t>
      </w:r>
    </w:p>
    <w:p w14:paraId="7C1E5708">
      <w:pPr>
        <w:widowControl w:val="0"/>
        <w:spacing w:line="560" w:lineRule="exact"/>
        <w:ind w:firstLine="643" w:firstLineChars="200"/>
        <w:jc w:val="both"/>
        <w:rPr>
          <w:rFonts w:ascii="Times New Roman" w:hAnsi="Times New Roman" w:eastAsia="楷体_GB2312" w:cs="Times New Roman"/>
          <w:b/>
          <w:bCs/>
          <w:kern w:val="2"/>
          <w:sz w:val="32"/>
          <w:szCs w:val="32"/>
          <w:highlight w:val="none"/>
          <w:lang w:val="en-US" w:eastAsia="zh-CN" w:bidi="ar-SA"/>
        </w:rPr>
      </w:pPr>
      <w:r>
        <w:rPr>
          <w:rFonts w:ascii="Times New Roman" w:hAnsi="Times New Roman" w:eastAsia="楷体_GB2312" w:cs="Times New Roman"/>
          <w:b/>
          <w:bCs/>
          <w:kern w:val="2"/>
          <w:sz w:val="32"/>
          <w:szCs w:val="32"/>
          <w:highlight w:val="none"/>
          <w:lang w:val="en-US" w:eastAsia="zh-CN" w:bidi="ar-SA"/>
        </w:rPr>
        <w:t>（二）省内分解下达预算和绩效目标情况</w:t>
      </w:r>
    </w:p>
    <w:p w14:paraId="7BA74D70">
      <w:pPr>
        <w:widowControl w:val="0"/>
        <w:spacing w:line="560" w:lineRule="exact"/>
        <w:ind w:firstLine="643" w:firstLineChars="200"/>
        <w:jc w:val="both"/>
        <w:rPr>
          <w:rFonts w:ascii="Times New Roman" w:hAnsi="Times New Roman" w:eastAsia="仿宋_GB2312" w:cs="Times New Roman"/>
          <w:b/>
          <w:bCs/>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1.省内分解下达预算情况。</w:t>
      </w:r>
    </w:p>
    <w:p w14:paraId="0121C927">
      <w:pPr>
        <w:widowControl w:val="0"/>
        <w:spacing w:line="560" w:lineRule="exact"/>
        <w:ind w:firstLine="640" w:firstLineChars="200"/>
        <w:jc w:val="both"/>
        <w:rPr>
          <w:rFonts w:ascii="Times New Roman" w:hAnsi="Times New Roman" w:eastAsia="仿宋_GB2312" w:cs="Times New Roman"/>
          <w:kern w:val="2"/>
          <w:sz w:val="32"/>
          <w:szCs w:val="32"/>
          <w:highlight w:val="none"/>
          <w:lang w:val="en-US" w:eastAsia="zh-CN" w:bidi="ar-SA"/>
        </w:rPr>
      </w:pPr>
      <w:r>
        <w:rPr>
          <w:rFonts w:ascii="Times New Roman" w:hAnsi="Times New Roman" w:eastAsia="仿宋_GB2312" w:cs="Times New Roman"/>
          <w:kern w:val="2"/>
          <w:sz w:val="32"/>
          <w:szCs w:val="32"/>
          <w:highlight w:val="none"/>
          <w:lang w:val="en-US" w:eastAsia="zh-CN" w:bidi="ar-SA"/>
        </w:rPr>
        <w:t>2025年社会保险费收入预算数15764万元，财政补助收入预算数22206万元，利息收入预算数444万元，委托投资收益预算数3404万元。2025年全州个人账户养老金支出预算数4323万元，基础养老金支出预算数21688万元，丧葬抚恤金支出预算数783万元。</w:t>
      </w:r>
    </w:p>
    <w:p w14:paraId="5F7F05AB">
      <w:pPr>
        <w:widowControl w:val="0"/>
        <w:spacing w:line="560" w:lineRule="exact"/>
        <w:ind w:firstLine="643" w:firstLineChars="200"/>
        <w:jc w:val="both"/>
        <w:rPr>
          <w:rFonts w:ascii="Times New Roman" w:hAnsi="Times New Roman" w:eastAsia="仿宋_GB2312" w:cs="Times New Roman"/>
          <w:b/>
          <w:bCs/>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2.省内分解下达绩效目标情况。</w:t>
      </w:r>
    </w:p>
    <w:p w14:paraId="320A2A6D">
      <w:pPr>
        <w:widowControl w:val="0"/>
        <w:spacing w:line="560" w:lineRule="exact"/>
        <w:ind w:firstLine="643" w:firstLineChars="200"/>
        <w:jc w:val="both"/>
        <w:rPr>
          <w:rFonts w:ascii="Times New Roman" w:hAnsi="Times New Roman" w:eastAsia="仿宋_GB2312" w:cs="Times New Roman"/>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总体目标：一是</w:t>
      </w:r>
      <w:r>
        <w:rPr>
          <w:rFonts w:ascii="Times New Roman" w:hAnsi="Times New Roman" w:eastAsia="仿宋_GB2312" w:cs="Times New Roman"/>
          <w:kern w:val="2"/>
          <w:sz w:val="32"/>
          <w:szCs w:val="32"/>
          <w:highlight w:val="none"/>
          <w:lang w:val="en-US" w:eastAsia="zh-CN" w:bidi="ar-SA"/>
        </w:rPr>
        <w:t>基金中长期收支平衡，增强基金可持续性；</w:t>
      </w:r>
      <w:r>
        <w:rPr>
          <w:rFonts w:ascii="Times New Roman" w:hAnsi="Times New Roman" w:eastAsia="仿宋_GB2312" w:cs="Times New Roman"/>
          <w:b/>
          <w:bCs/>
          <w:kern w:val="2"/>
          <w:sz w:val="32"/>
          <w:szCs w:val="32"/>
          <w:highlight w:val="none"/>
          <w:lang w:val="en-US" w:eastAsia="zh-CN" w:bidi="ar-SA"/>
        </w:rPr>
        <w:t>二是</w:t>
      </w:r>
      <w:r>
        <w:rPr>
          <w:rFonts w:ascii="Times New Roman" w:hAnsi="Times New Roman" w:eastAsia="仿宋_GB2312" w:cs="Times New Roman"/>
          <w:kern w:val="2"/>
          <w:sz w:val="32"/>
          <w:szCs w:val="32"/>
          <w:highlight w:val="none"/>
          <w:lang w:val="en-US" w:eastAsia="zh-CN" w:bidi="ar-SA"/>
        </w:rPr>
        <w:t>基金运行规范安全；</w:t>
      </w:r>
      <w:r>
        <w:rPr>
          <w:rFonts w:ascii="Times New Roman" w:hAnsi="Times New Roman" w:eastAsia="仿宋_GB2312" w:cs="Times New Roman"/>
          <w:b/>
          <w:bCs/>
          <w:kern w:val="2"/>
          <w:sz w:val="32"/>
          <w:szCs w:val="32"/>
          <w:highlight w:val="none"/>
          <w:lang w:val="en-US" w:eastAsia="zh-CN" w:bidi="ar-SA"/>
        </w:rPr>
        <w:t>三是</w:t>
      </w:r>
      <w:r>
        <w:rPr>
          <w:rFonts w:ascii="Times New Roman" w:hAnsi="Times New Roman" w:eastAsia="仿宋_GB2312" w:cs="Times New Roman"/>
          <w:kern w:val="2"/>
          <w:sz w:val="32"/>
          <w:szCs w:val="32"/>
          <w:highlight w:val="none"/>
          <w:lang w:val="en-US" w:eastAsia="zh-CN" w:bidi="ar-SA"/>
        </w:rPr>
        <w:t>基金使用效率逐步提升。</w:t>
      </w:r>
    </w:p>
    <w:p w14:paraId="5C6967F1">
      <w:pPr>
        <w:widowControl w:val="0"/>
        <w:spacing w:line="560" w:lineRule="exact"/>
        <w:ind w:firstLine="643" w:firstLineChars="200"/>
        <w:jc w:val="both"/>
        <w:rPr>
          <w:rFonts w:ascii="Times New Roman" w:hAnsi="Times New Roman" w:eastAsia="仿宋_GB2312" w:cs="Times New Roman"/>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年度目标：一是</w:t>
      </w:r>
      <w:r>
        <w:rPr>
          <w:rFonts w:ascii="Times New Roman" w:hAnsi="Times New Roman" w:eastAsia="仿宋_GB2312" w:cs="Times New Roman"/>
          <w:kern w:val="2"/>
          <w:sz w:val="32"/>
          <w:szCs w:val="32"/>
          <w:highlight w:val="none"/>
          <w:lang w:val="en-US" w:eastAsia="zh-CN" w:bidi="ar-SA"/>
        </w:rPr>
        <w:t>本年度内基金收支平衡；</w:t>
      </w:r>
      <w:r>
        <w:rPr>
          <w:rFonts w:ascii="Times New Roman" w:hAnsi="Times New Roman" w:eastAsia="仿宋_GB2312" w:cs="Times New Roman"/>
          <w:b/>
          <w:bCs/>
          <w:kern w:val="2"/>
          <w:sz w:val="32"/>
          <w:szCs w:val="32"/>
          <w:highlight w:val="none"/>
          <w:lang w:val="en-US" w:eastAsia="zh-CN" w:bidi="ar-SA"/>
        </w:rPr>
        <w:t>二是</w:t>
      </w:r>
      <w:r>
        <w:rPr>
          <w:rFonts w:ascii="Times New Roman" w:hAnsi="Times New Roman" w:eastAsia="仿宋_GB2312" w:cs="Times New Roman"/>
          <w:kern w:val="2"/>
          <w:sz w:val="32"/>
          <w:szCs w:val="32"/>
          <w:highlight w:val="none"/>
          <w:lang w:val="en-US" w:eastAsia="zh-CN" w:bidi="ar-SA"/>
        </w:rPr>
        <w:t>本年度内基金运行规范，收支管理方面无突出问题；</w:t>
      </w:r>
      <w:r>
        <w:rPr>
          <w:rFonts w:ascii="Times New Roman" w:hAnsi="Times New Roman" w:eastAsia="仿宋_GB2312" w:cs="Times New Roman"/>
          <w:b/>
          <w:bCs/>
          <w:kern w:val="2"/>
          <w:sz w:val="32"/>
          <w:szCs w:val="32"/>
          <w:highlight w:val="none"/>
          <w:lang w:val="en-US" w:eastAsia="zh-CN" w:bidi="ar-SA"/>
        </w:rPr>
        <w:t>三是</w:t>
      </w:r>
      <w:r>
        <w:rPr>
          <w:rFonts w:ascii="Times New Roman" w:hAnsi="Times New Roman" w:eastAsia="仿宋_GB2312" w:cs="Times New Roman"/>
          <w:kern w:val="2"/>
          <w:sz w:val="32"/>
          <w:szCs w:val="32"/>
          <w:highlight w:val="none"/>
          <w:lang w:val="en-US" w:eastAsia="zh-CN" w:bidi="ar-SA"/>
        </w:rPr>
        <w:t>本年度内基金使用效率得到提升。</w:t>
      </w:r>
    </w:p>
    <w:p w14:paraId="12DFE3C6">
      <w:pPr>
        <w:widowControl w:val="0"/>
        <w:spacing w:line="560" w:lineRule="exact"/>
        <w:ind w:left="420" w:leftChars="200" w:firstLine="320" w:firstLineChars="100"/>
        <w:jc w:val="both"/>
        <w:rPr>
          <w:rFonts w:ascii="Times New Roman" w:hAnsi="Times New Roman" w:eastAsia="黑体" w:cs="Times New Roman"/>
          <w:kern w:val="2"/>
          <w:sz w:val="32"/>
          <w:szCs w:val="32"/>
          <w:highlight w:val="none"/>
          <w:lang w:val="en-US" w:eastAsia="zh-CN" w:bidi="ar-SA"/>
        </w:rPr>
      </w:pPr>
      <w:r>
        <w:rPr>
          <w:rFonts w:ascii="Times New Roman" w:hAnsi="Times New Roman" w:eastAsia="黑体" w:cs="Times New Roman"/>
          <w:kern w:val="2"/>
          <w:sz w:val="32"/>
          <w:szCs w:val="32"/>
          <w:highlight w:val="none"/>
          <w:lang w:val="en-US" w:eastAsia="zh-CN" w:bidi="ar-SA"/>
        </w:rPr>
        <w:t>二、绩效自评工作开展情况</w:t>
      </w:r>
    </w:p>
    <w:p w14:paraId="3E2A63E0">
      <w:pPr>
        <w:widowControl w:val="0"/>
        <w:spacing w:line="560" w:lineRule="exact"/>
        <w:ind w:firstLine="643" w:firstLineChars="200"/>
        <w:jc w:val="both"/>
        <w:rPr>
          <w:rFonts w:ascii="Times New Roman" w:hAnsi="Times New Roman" w:eastAsia="仿宋_GB2312" w:cs="Times New Roman"/>
          <w:kern w:val="2"/>
          <w:sz w:val="32"/>
          <w:szCs w:val="32"/>
          <w:highlight w:val="none"/>
          <w:lang w:val="en-US" w:eastAsia="zh-CN" w:bidi="ar-SA"/>
        </w:rPr>
      </w:pPr>
      <w:r>
        <w:rPr>
          <w:rFonts w:ascii="Times New Roman" w:hAnsi="Times New Roman" w:eastAsia="楷体_GB2312" w:cs="Times New Roman"/>
          <w:b/>
          <w:bCs/>
          <w:kern w:val="2"/>
          <w:sz w:val="32"/>
          <w:szCs w:val="32"/>
          <w:highlight w:val="none"/>
          <w:lang w:val="en-US" w:eastAsia="zh-CN" w:bidi="ar-SA"/>
        </w:rPr>
        <w:t>（一）前期准备。</w:t>
      </w:r>
      <w:r>
        <w:rPr>
          <w:rFonts w:ascii="Times New Roman" w:hAnsi="Times New Roman" w:eastAsia="仿宋_GB2312" w:cs="Times New Roman"/>
          <w:b/>
          <w:bCs/>
          <w:kern w:val="2"/>
          <w:sz w:val="32"/>
          <w:szCs w:val="32"/>
          <w:highlight w:val="none"/>
          <w:lang w:val="en-US" w:eastAsia="zh-CN" w:bidi="ar-SA"/>
        </w:rPr>
        <w:t>一是</w:t>
      </w:r>
      <w:r>
        <w:rPr>
          <w:rFonts w:ascii="Times New Roman" w:hAnsi="Times New Roman" w:eastAsia="仿宋_GB2312" w:cs="Times New Roman"/>
          <w:kern w:val="2"/>
          <w:sz w:val="32"/>
          <w:szCs w:val="32"/>
          <w:highlight w:val="none"/>
          <w:lang w:val="en-US" w:eastAsia="zh-CN" w:bidi="ar-SA"/>
        </w:rPr>
        <w:t>确定城乡居民基本养老金绩效评价内容；</w:t>
      </w:r>
      <w:r>
        <w:rPr>
          <w:rFonts w:ascii="Times New Roman" w:hAnsi="Times New Roman" w:eastAsia="仿宋_GB2312" w:cs="Times New Roman"/>
          <w:b/>
          <w:bCs/>
          <w:kern w:val="2"/>
          <w:sz w:val="32"/>
          <w:szCs w:val="32"/>
          <w:highlight w:val="none"/>
          <w:lang w:val="en-US" w:eastAsia="zh-CN" w:bidi="ar-SA"/>
        </w:rPr>
        <w:t>二是</w:t>
      </w:r>
      <w:r>
        <w:rPr>
          <w:rFonts w:ascii="Times New Roman" w:hAnsi="Times New Roman" w:eastAsia="仿宋_GB2312" w:cs="Times New Roman"/>
          <w:kern w:val="2"/>
          <w:sz w:val="32"/>
          <w:szCs w:val="32"/>
          <w:highlight w:val="none"/>
          <w:lang w:val="en-US" w:eastAsia="zh-CN" w:bidi="ar-SA"/>
        </w:rPr>
        <w:t>确定年度总体目标和年度目标；</w:t>
      </w:r>
      <w:r>
        <w:rPr>
          <w:rFonts w:ascii="Times New Roman" w:hAnsi="Times New Roman" w:eastAsia="仿宋_GB2312" w:cs="Times New Roman"/>
          <w:b/>
          <w:bCs/>
          <w:kern w:val="2"/>
          <w:sz w:val="32"/>
          <w:szCs w:val="32"/>
          <w:highlight w:val="none"/>
          <w:lang w:val="en-US" w:eastAsia="zh-CN" w:bidi="ar-SA"/>
        </w:rPr>
        <w:t>三是</w:t>
      </w:r>
      <w:r>
        <w:rPr>
          <w:rFonts w:ascii="Times New Roman" w:hAnsi="Times New Roman" w:eastAsia="仿宋_GB2312" w:cs="Times New Roman"/>
          <w:kern w:val="2"/>
          <w:sz w:val="32"/>
          <w:szCs w:val="32"/>
          <w:highlight w:val="none"/>
          <w:lang w:val="en-US" w:eastAsia="zh-CN" w:bidi="ar-SA"/>
        </w:rPr>
        <w:t>设置并细化绩效指标内容及指标值；</w:t>
      </w:r>
      <w:r>
        <w:rPr>
          <w:rFonts w:ascii="Times New Roman" w:hAnsi="Times New Roman" w:eastAsia="仿宋_GB2312" w:cs="Times New Roman"/>
          <w:b/>
          <w:bCs/>
          <w:kern w:val="2"/>
          <w:sz w:val="32"/>
          <w:szCs w:val="32"/>
          <w:highlight w:val="none"/>
          <w:lang w:val="en-US" w:eastAsia="zh-CN" w:bidi="ar-SA"/>
        </w:rPr>
        <w:t>四是</w:t>
      </w:r>
      <w:r>
        <w:rPr>
          <w:rFonts w:ascii="Times New Roman" w:hAnsi="Times New Roman" w:eastAsia="仿宋_GB2312" w:cs="Times New Roman"/>
          <w:kern w:val="2"/>
          <w:sz w:val="32"/>
          <w:szCs w:val="32"/>
          <w:highlight w:val="none"/>
          <w:lang w:val="en-US" w:eastAsia="zh-CN" w:bidi="ar-SA"/>
        </w:rPr>
        <w:t>搜集相关基础数据。</w:t>
      </w:r>
    </w:p>
    <w:p w14:paraId="00D32643">
      <w:pPr>
        <w:spacing w:line="560" w:lineRule="exact"/>
        <w:ind w:firstLine="643" w:firstLineChars="200"/>
        <w:rPr>
          <w:rFonts w:ascii="Times New Roman" w:hAnsi="Times New Roman" w:eastAsia="仿宋_GB2312" w:cs="Times New Roman"/>
          <w:sz w:val="32"/>
          <w:szCs w:val="32"/>
          <w:highlight w:val="none"/>
        </w:rPr>
      </w:pPr>
      <w:r>
        <w:rPr>
          <w:rFonts w:ascii="Times New Roman" w:hAnsi="Times New Roman" w:eastAsia="楷体_GB2312" w:cs="Times New Roman"/>
          <w:b/>
          <w:bCs/>
          <w:sz w:val="32"/>
          <w:szCs w:val="32"/>
          <w:highlight w:val="none"/>
        </w:rPr>
        <w:t>（二）组织过程。</w:t>
      </w:r>
      <w:r>
        <w:rPr>
          <w:rFonts w:ascii="Times New Roman" w:hAnsi="Times New Roman" w:eastAsia="仿宋_GB2312" w:cs="Times New Roman"/>
          <w:sz w:val="32"/>
          <w:szCs w:val="32"/>
          <w:highlight w:val="none"/>
        </w:rPr>
        <w:t>根据2025年全州城乡居民基本养老保险基金管理、使用情况结合年度绩效目标及自评表逐项进行自评，并将自评结果报主管部门审核。</w:t>
      </w:r>
    </w:p>
    <w:p w14:paraId="65BC36FF">
      <w:pPr>
        <w:widowControl w:val="0"/>
        <w:spacing w:line="560" w:lineRule="exact"/>
        <w:ind w:firstLine="640" w:firstLineChars="200"/>
        <w:jc w:val="both"/>
        <w:rPr>
          <w:rFonts w:ascii="Times New Roman" w:hAnsi="Times New Roman" w:eastAsia="黑体" w:cs="Times New Roman"/>
          <w:kern w:val="2"/>
          <w:sz w:val="32"/>
          <w:szCs w:val="32"/>
          <w:highlight w:val="none"/>
          <w:lang w:val="en-US" w:eastAsia="zh-CN" w:bidi="ar-SA"/>
        </w:rPr>
      </w:pPr>
      <w:r>
        <w:rPr>
          <w:rFonts w:ascii="Times New Roman" w:hAnsi="Times New Roman" w:eastAsia="黑体" w:cs="Times New Roman"/>
          <w:kern w:val="2"/>
          <w:sz w:val="32"/>
          <w:szCs w:val="32"/>
          <w:highlight w:val="none"/>
          <w:lang w:val="en-US" w:eastAsia="zh-CN" w:bidi="ar-SA"/>
        </w:rPr>
        <w:t>三、综合评价结论</w:t>
      </w:r>
    </w:p>
    <w:p w14:paraId="65CB7461">
      <w:pPr>
        <w:widowControl w:val="0"/>
        <w:spacing w:line="560" w:lineRule="exact"/>
        <w:ind w:firstLine="643" w:firstLineChars="200"/>
        <w:jc w:val="both"/>
        <w:rPr>
          <w:rFonts w:ascii="Times New Roman" w:hAnsi="Times New Roman" w:eastAsia="仿宋_GB2312" w:cs="Times New Roman"/>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一是</w:t>
      </w:r>
      <w:r>
        <w:rPr>
          <w:rFonts w:ascii="Times New Roman" w:hAnsi="Times New Roman" w:eastAsia="仿宋_GB2312" w:cs="Times New Roman"/>
          <w:kern w:val="2"/>
          <w:sz w:val="32"/>
          <w:szCs w:val="32"/>
          <w:highlight w:val="none"/>
          <w:lang w:val="en-US" w:eastAsia="zh-CN" w:bidi="ar-SA"/>
        </w:rPr>
        <w:t>我局通过加大宣传力度，引导城乡居民积极参加城乡居民养老保险，鼓励提高缴费档次，不断扩大参保覆盖面。完善城乡居民基本养老保险制度，按时足额发放城乡居民养老保险待遇，兑现参保缴费人员缴费补贴，对低保对象、特困人员、返贫致贫人口等缴费困难群体按100元标准代缴城乡居民基本养老保险费，代缴率达100%。实现法定人员全覆盖，逐步提高社会保险待遇水平。全年，城乡居民基本养老保险制度总体运行平稳；</w:t>
      </w:r>
      <w:r>
        <w:rPr>
          <w:rFonts w:ascii="Times New Roman" w:hAnsi="Times New Roman" w:eastAsia="仿宋_GB2312" w:cs="Times New Roman"/>
          <w:b/>
          <w:bCs/>
          <w:kern w:val="2"/>
          <w:sz w:val="32"/>
          <w:szCs w:val="32"/>
          <w:highlight w:val="none"/>
          <w:lang w:val="en-US" w:eastAsia="zh-CN" w:bidi="ar-SA"/>
        </w:rPr>
        <w:t>二是</w:t>
      </w:r>
      <w:r>
        <w:rPr>
          <w:rFonts w:ascii="Times New Roman" w:hAnsi="Times New Roman" w:eastAsia="仿宋_GB2312" w:cs="Times New Roman"/>
          <w:kern w:val="2"/>
          <w:sz w:val="32"/>
          <w:szCs w:val="32"/>
          <w:highlight w:val="none"/>
          <w:lang w:val="en-US" w:eastAsia="zh-CN" w:bidi="ar-SA"/>
        </w:rPr>
        <w:t>严格按照城乡居民养老保险基金预算绩效目标自评表及标准进行自评，2025年城乡居民养老保险基金预算绩效自评得分95.5分。</w:t>
      </w:r>
    </w:p>
    <w:p w14:paraId="5B24326E">
      <w:pPr>
        <w:widowControl w:val="0"/>
        <w:spacing w:line="560" w:lineRule="exact"/>
        <w:ind w:firstLine="640" w:firstLineChars="200"/>
        <w:jc w:val="both"/>
        <w:rPr>
          <w:rFonts w:ascii="Times New Roman" w:hAnsi="Times New Roman" w:eastAsia="黑体" w:cs="Times New Roman"/>
          <w:kern w:val="2"/>
          <w:sz w:val="32"/>
          <w:szCs w:val="32"/>
          <w:highlight w:val="none"/>
          <w:lang w:val="en-US" w:eastAsia="zh-CN" w:bidi="ar-SA"/>
        </w:rPr>
      </w:pPr>
      <w:r>
        <w:rPr>
          <w:rFonts w:ascii="Times New Roman" w:hAnsi="Times New Roman" w:eastAsia="黑体" w:cs="Times New Roman"/>
          <w:kern w:val="2"/>
          <w:sz w:val="32"/>
          <w:szCs w:val="32"/>
          <w:highlight w:val="none"/>
          <w:lang w:val="en-US" w:eastAsia="zh-CN" w:bidi="ar-SA"/>
        </w:rPr>
        <w:t>四、绩效目标实现情况分析</w:t>
      </w:r>
    </w:p>
    <w:p w14:paraId="72B39C9D">
      <w:pPr>
        <w:widowControl w:val="0"/>
        <w:spacing w:line="560" w:lineRule="exact"/>
        <w:ind w:firstLine="643" w:firstLineChars="200"/>
        <w:jc w:val="both"/>
        <w:rPr>
          <w:rFonts w:ascii="Times New Roman" w:hAnsi="Times New Roman" w:eastAsia="楷体_GB2312" w:cs="Times New Roman"/>
          <w:b/>
          <w:bCs/>
          <w:kern w:val="2"/>
          <w:sz w:val="32"/>
          <w:szCs w:val="32"/>
          <w:highlight w:val="none"/>
          <w:lang w:val="en-US" w:eastAsia="zh-CN" w:bidi="ar-SA"/>
        </w:rPr>
      </w:pPr>
      <w:r>
        <w:rPr>
          <w:rFonts w:ascii="Times New Roman" w:hAnsi="Times New Roman" w:eastAsia="楷体_GB2312" w:cs="Times New Roman"/>
          <w:b/>
          <w:bCs/>
          <w:kern w:val="2"/>
          <w:sz w:val="32"/>
          <w:szCs w:val="32"/>
          <w:highlight w:val="none"/>
          <w:lang w:val="en-US" w:eastAsia="zh-CN" w:bidi="ar-SA"/>
        </w:rPr>
        <w:t>（一）预算执行情况分析</w:t>
      </w:r>
    </w:p>
    <w:p w14:paraId="08C9DFF6">
      <w:pPr>
        <w:widowControl w:val="0"/>
        <w:spacing w:line="560" w:lineRule="exact"/>
        <w:ind w:firstLine="643" w:firstLineChars="200"/>
        <w:jc w:val="both"/>
        <w:rPr>
          <w:rFonts w:ascii="Times New Roman" w:hAnsi="Times New Roman" w:eastAsia="仿宋_GB2312" w:cs="Times New Roman"/>
          <w:b/>
          <w:bCs/>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1.收入预算执行情况分析。</w:t>
      </w:r>
    </w:p>
    <w:p w14:paraId="3D0534A5">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2025年社会保险费收入17653万元（包括被征地农民缴费补贴收入1233万元），同比减少2269万元</w:t>
      </w:r>
      <w:r>
        <w:rPr>
          <w:rFonts w:ascii="Times New Roman" w:hAnsi="Times New Roman" w:eastAsia="仿宋_GB2312" w:cs="Times New Roman"/>
          <w:color w:val="auto"/>
          <w:sz w:val="32"/>
          <w:szCs w:val="32"/>
          <w:highlight w:val="none"/>
        </w:rPr>
        <w:t>，下降11</w:t>
      </w:r>
      <w:r>
        <w:rPr>
          <w:rFonts w:ascii="Times New Roman" w:hAnsi="Times New Roman" w:eastAsia="仿宋_GB2312" w:cs="Times New Roman"/>
          <w:color w:val="auto"/>
          <w:sz w:val="32"/>
          <w:szCs w:val="32"/>
          <w:highlight w:val="none"/>
          <w:lang w:val="en-US" w:eastAsia="zh-CN"/>
        </w:rPr>
        <w:t>.39</w:t>
      </w:r>
      <w:r>
        <w:rPr>
          <w:rFonts w:ascii="Times New Roman" w:hAnsi="Times New Roman" w:eastAsia="仿宋_GB2312" w:cs="Times New Roman"/>
          <w:color w:val="auto"/>
          <w:sz w:val="32"/>
          <w:szCs w:val="32"/>
          <w:highlight w:val="none"/>
        </w:rPr>
        <w:t>%，</w:t>
      </w:r>
      <w:r>
        <w:rPr>
          <w:rFonts w:ascii="Times New Roman" w:hAnsi="Times New Roman" w:eastAsia="仿宋_GB2312" w:cs="Times New Roman"/>
          <w:sz w:val="32"/>
          <w:szCs w:val="32"/>
          <w:highlight w:val="none"/>
        </w:rPr>
        <w:t>完成预算调整数的11</w:t>
      </w:r>
      <w:r>
        <w:rPr>
          <w:rFonts w:ascii="Times New Roman" w:hAnsi="Times New Roman" w:eastAsia="仿宋_GB2312" w:cs="Times New Roman"/>
          <w:sz w:val="32"/>
          <w:szCs w:val="32"/>
          <w:highlight w:val="none"/>
          <w:lang w:val="en-US" w:eastAsia="zh-CN"/>
        </w:rPr>
        <w:t>1.99</w:t>
      </w:r>
      <w:r>
        <w:rPr>
          <w:rFonts w:ascii="Times New Roman" w:hAnsi="Times New Roman" w:eastAsia="仿宋_GB2312" w:cs="Times New Roman"/>
          <w:sz w:val="32"/>
          <w:szCs w:val="32"/>
          <w:highlight w:val="none"/>
        </w:rPr>
        <w:t>%。2025年财政补助收入22185万元（其中丧葬补贴收入732万），同比增加3478万元，增长1</w:t>
      </w:r>
      <w:r>
        <w:rPr>
          <w:rFonts w:ascii="Times New Roman" w:hAnsi="Times New Roman" w:eastAsia="仿宋_GB2312" w:cs="Times New Roman"/>
          <w:sz w:val="32"/>
          <w:szCs w:val="32"/>
          <w:highlight w:val="none"/>
          <w:lang w:val="en-US" w:eastAsia="zh-CN"/>
        </w:rPr>
        <w:t>8.59</w:t>
      </w:r>
      <w:r>
        <w:rPr>
          <w:rFonts w:ascii="Times New Roman" w:hAnsi="Times New Roman" w:eastAsia="仿宋_GB2312" w:cs="Times New Roman"/>
          <w:sz w:val="32"/>
          <w:szCs w:val="32"/>
          <w:highlight w:val="none"/>
        </w:rPr>
        <w:t>%，完成预算调整数的9</w:t>
      </w:r>
      <w:r>
        <w:rPr>
          <w:rFonts w:ascii="Times New Roman" w:hAnsi="Times New Roman" w:eastAsia="仿宋_GB2312" w:cs="Times New Roman"/>
          <w:sz w:val="32"/>
          <w:szCs w:val="32"/>
          <w:highlight w:val="none"/>
          <w:lang w:val="en-US" w:eastAsia="zh-CN"/>
        </w:rPr>
        <w:t>9.91</w:t>
      </w:r>
      <w:r>
        <w:rPr>
          <w:rFonts w:ascii="Times New Roman" w:hAnsi="Times New Roman" w:eastAsia="仿宋_GB2312" w:cs="Times New Roman"/>
          <w:sz w:val="32"/>
          <w:szCs w:val="32"/>
          <w:highlight w:val="none"/>
        </w:rPr>
        <w:t>%。其中，财政对基础养老金的补贴20415万元，完成预算调整数的</w:t>
      </w:r>
      <w:r>
        <w:rPr>
          <w:rFonts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%；财政对个人缴费的补贴1038万元，完成预算调整数的98</w:t>
      </w:r>
      <w:r>
        <w:rPr>
          <w:rFonts w:ascii="Times New Roman" w:hAnsi="Times New Roman" w:eastAsia="仿宋_GB2312" w:cs="Times New Roman"/>
          <w:sz w:val="32"/>
          <w:szCs w:val="32"/>
          <w:highlight w:val="none"/>
          <w:lang w:val="en-US" w:eastAsia="zh-CN"/>
        </w:rPr>
        <w:t>.02</w:t>
      </w:r>
      <w:r>
        <w:rPr>
          <w:rFonts w:ascii="Times New Roman" w:hAnsi="Times New Roman" w:eastAsia="仿宋_GB2312" w:cs="Times New Roman"/>
          <w:sz w:val="32"/>
          <w:szCs w:val="32"/>
          <w:highlight w:val="none"/>
        </w:rPr>
        <w:t>%。</w:t>
      </w:r>
    </w:p>
    <w:p w14:paraId="569009E9">
      <w:pPr>
        <w:widowControl w:val="0"/>
        <w:spacing w:line="560" w:lineRule="exact"/>
        <w:ind w:firstLine="643" w:firstLineChars="200"/>
        <w:jc w:val="both"/>
        <w:rPr>
          <w:rFonts w:ascii="Times New Roman" w:hAnsi="Times New Roman" w:eastAsia="仿宋_GB2312" w:cs="Times New Roman"/>
          <w:b/>
          <w:bCs/>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2.支出</w:t>
      </w:r>
      <w:r>
        <w:rPr>
          <w:rFonts w:ascii="Times New Roman" w:hAnsi="Times New Roman" w:eastAsia="仿宋_GB2312" w:cs="Times New Roman"/>
          <w:b/>
          <w:bCs/>
          <w:color w:val="auto"/>
          <w:kern w:val="2"/>
          <w:sz w:val="32"/>
          <w:szCs w:val="32"/>
          <w:highlight w:val="none"/>
          <w:lang w:val="en-US" w:eastAsia="zh-CN" w:bidi="ar-SA"/>
        </w:rPr>
        <w:t>预算执行情况分析</w:t>
      </w:r>
      <w:r>
        <w:rPr>
          <w:rFonts w:ascii="Times New Roman" w:hAnsi="Times New Roman" w:eastAsia="仿宋_GB2312" w:cs="Times New Roman"/>
          <w:b/>
          <w:bCs/>
          <w:kern w:val="2"/>
          <w:sz w:val="32"/>
          <w:szCs w:val="32"/>
          <w:highlight w:val="none"/>
          <w:lang w:val="en-US" w:eastAsia="zh-CN" w:bidi="ar-SA"/>
        </w:rPr>
        <w:t>。</w:t>
      </w:r>
    </w:p>
    <w:p w14:paraId="4E5EF1EB">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2025年</w:t>
      </w:r>
      <w:r>
        <w:rPr>
          <w:rFonts w:ascii="Times New Roman" w:hAnsi="Times New Roman" w:eastAsia="仿宋_GB2312" w:cs="Times New Roman"/>
          <w:sz w:val="32"/>
          <w:szCs w:val="32"/>
          <w:highlight w:val="none"/>
          <w:lang w:eastAsia="zh-CN"/>
        </w:rPr>
        <w:t>年末</w:t>
      </w:r>
      <w:r>
        <w:rPr>
          <w:rFonts w:ascii="Times New Roman" w:hAnsi="Times New Roman" w:eastAsia="仿宋_GB2312" w:cs="Times New Roman"/>
          <w:sz w:val="32"/>
          <w:szCs w:val="32"/>
          <w:highlight w:val="none"/>
        </w:rPr>
        <w:t>待遇领取人100187人，同比增加3110人。全年发放全州社会保险待遇支出合计27112万元，同比增加5391万元，增长2</w:t>
      </w:r>
      <w:r>
        <w:rPr>
          <w:rFonts w:ascii="Times New Roman" w:hAnsi="Times New Roman" w:eastAsia="仿宋_GB2312" w:cs="Times New Roman"/>
          <w:sz w:val="32"/>
          <w:szCs w:val="32"/>
          <w:highlight w:val="none"/>
          <w:lang w:val="en-US" w:eastAsia="zh-CN"/>
        </w:rPr>
        <w:t>4.82</w:t>
      </w:r>
      <w:r>
        <w:rPr>
          <w:rFonts w:ascii="Times New Roman" w:hAnsi="Times New Roman" w:eastAsia="仿宋_GB2312" w:cs="Times New Roman"/>
          <w:sz w:val="32"/>
          <w:szCs w:val="32"/>
          <w:highlight w:val="none"/>
        </w:rPr>
        <w:t>%，完成预算调整数的101</w:t>
      </w:r>
      <w:r>
        <w:rPr>
          <w:rFonts w:ascii="Times New Roman" w:hAnsi="Times New Roman" w:eastAsia="仿宋_GB2312" w:cs="Times New Roman"/>
          <w:sz w:val="32"/>
          <w:szCs w:val="32"/>
          <w:highlight w:val="none"/>
          <w:lang w:val="en-US" w:eastAsia="zh-CN"/>
        </w:rPr>
        <w:t>.19</w:t>
      </w:r>
      <w:r>
        <w:rPr>
          <w:rFonts w:ascii="Times New Roman" w:hAnsi="Times New Roman" w:eastAsia="仿宋_GB2312" w:cs="Times New Roman"/>
          <w:sz w:val="32"/>
          <w:szCs w:val="32"/>
          <w:highlight w:val="none"/>
        </w:rPr>
        <w:t>%，其中：个人账户支出4504万元，同比增加859万元，增长2</w:t>
      </w:r>
      <w:r>
        <w:rPr>
          <w:rFonts w:ascii="Times New Roman" w:hAnsi="Times New Roman" w:eastAsia="仿宋_GB2312" w:cs="Times New Roman"/>
          <w:sz w:val="32"/>
          <w:szCs w:val="32"/>
          <w:highlight w:val="none"/>
          <w:lang w:val="en-US" w:eastAsia="zh-CN"/>
        </w:rPr>
        <w:t>3.56</w:t>
      </w:r>
      <w:r>
        <w:rPr>
          <w:rFonts w:ascii="Times New Roman" w:hAnsi="Times New Roman" w:eastAsia="仿宋_GB2312" w:cs="Times New Roman"/>
          <w:sz w:val="32"/>
          <w:szCs w:val="32"/>
          <w:highlight w:val="none"/>
        </w:rPr>
        <w:t>%，完成预算调整数的104</w:t>
      </w:r>
      <w:r>
        <w:rPr>
          <w:rFonts w:ascii="Times New Roman" w:hAnsi="Times New Roman" w:eastAsia="仿宋_GB2312" w:cs="Times New Roman"/>
          <w:sz w:val="32"/>
          <w:szCs w:val="32"/>
          <w:highlight w:val="none"/>
          <w:lang w:val="en-US" w:eastAsia="zh-CN"/>
        </w:rPr>
        <w:t>.19</w:t>
      </w:r>
      <w:r>
        <w:rPr>
          <w:rFonts w:ascii="Times New Roman" w:hAnsi="Times New Roman" w:eastAsia="仿宋_GB2312" w:cs="Times New Roman"/>
          <w:sz w:val="32"/>
          <w:szCs w:val="32"/>
          <w:highlight w:val="none"/>
        </w:rPr>
        <w:t>%；基础养老金支出21810万元，同比增加4336万元，增长2</w:t>
      </w:r>
      <w:r>
        <w:rPr>
          <w:rFonts w:ascii="Times New Roman" w:hAnsi="Times New Roman" w:eastAsia="仿宋_GB2312" w:cs="Times New Roman"/>
          <w:sz w:val="32"/>
          <w:szCs w:val="32"/>
          <w:highlight w:val="none"/>
          <w:lang w:val="en-US" w:eastAsia="zh-CN"/>
        </w:rPr>
        <w:t>4.81</w:t>
      </w:r>
      <w:r>
        <w:rPr>
          <w:rFonts w:ascii="Times New Roman" w:hAnsi="Times New Roman" w:eastAsia="仿宋_GB2312" w:cs="Times New Roman"/>
          <w:sz w:val="32"/>
          <w:szCs w:val="32"/>
          <w:highlight w:val="none"/>
        </w:rPr>
        <w:t>%，完成预算调整数的10</w:t>
      </w:r>
      <w:r>
        <w:rPr>
          <w:rFonts w:ascii="Times New Roman" w:hAnsi="Times New Roman" w:eastAsia="仿宋_GB2312" w:cs="Times New Roman"/>
          <w:sz w:val="32"/>
          <w:szCs w:val="32"/>
          <w:highlight w:val="none"/>
          <w:lang w:val="en-US" w:eastAsia="zh-CN"/>
        </w:rPr>
        <w:t>0.56</w:t>
      </w:r>
      <w:r>
        <w:rPr>
          <w:rFonts w:ascii="Times New Roman" w:hAnsi="Times New Roman" w:eastAsia="仿宋_GB2312" w:cs="Times New Roman"/>
          <w:sz w:val="32"/>
          <w:szCs w:val="32"/>
          <w:highlight w:val="none"/>
        </w:rPr>
        <w:t>%；丧葬抚恤金支出799万元，同比增加196万元，增长</w:t>
      </w:r>
      <w:r>
        <w:rPr>
          <w:rFonts w:ascii="Times New Roman" w:hAnsi="Times New Roman" w:eastAsia="仿宋_GB2312" w:cs="Times New Roman"/>
          <w:sz w:val="32"/>
          <w:szCs w:val="32"/>
          <w:highlight w:val="none"/>
          <w:lang w:val="en-US" w:eastAsia="zh-CN"/>
        </w:rPr>
        <w:t>32.5</w:t>
      </w:r>
      <w:r>
        <w:rPr>
          <w:rFonts w:ascii="Times New Roman" w:hAnsi="Times New Roman" w:eastAsia="仿宋_GB2312" w:cs="Times New Roman"/>
          <w:sz w:val="32"/>
          <w:szCs w:val="32"/>
          <w:highlight w:val="none"/>
        </w:rPr>
        <w:t>%，完成预算调整数的102</w:t>
      </w:r>
      <w:r>
        <w:rPr>
          <w:rFonts w:ascii="Times New Roman" w:hAnsi="Times New Roman" w:eastAsia="仿宋_GB2312" w:cs="Times New Roman"/>
          <w:sz w:val="32"/>
          <w:szCs w:val="32"/>
          <w:highlight w:val="none"/>
          <w:lang w:val="en-US" w:eastAsia="zh-CN"/>
        </w:rPr>
        <w:t>.11</w:t>
      </w:r>
      <w:r>
        <w:rPr>
          <w:rFonts w:ascii="Times New Roman" w:hAnsi="Times New Roman" w:eastAsia="仿宋_GB2312" w:cs="Times New Roman"/>
          <w:sz w:val="32"/>
          <w:szCs w:val="32"/>
          <w:highlight w:val="none"/>
        </w:rPr>
        <w:t>%。</w:t>
      </w:r>
    </w:p>
    <w:p w14:paraId="6BC1AAF2">
      <w:pPr>
        <w:widowControl w:val="0"/>
        <w:spacing w:line="560" w:lineRule="exact"/>
        <w:ind w:firstLine="643" w:firstLineChars="200"/>
        <w:jc w:val="both"/>
        <w:rPr>
          <w:rFonts w:ascii="Times New Roman" w:hAnsi="Times New Roman" w:eastAsia="仿宋_GB2312" w:cs="Times New Roman"/>
          <w:b/>
          <w:bCs/>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3.收支平衡情况分析。</w:t>
      </w:r>
    </w:p>
    <w:p w14:paraId="5EC5A897">
      <w:pPr>
        <w:widowControl w:val="0"/>
        <w:spacing w:line="560" w:lineRule="exact"/>
        <w:ind w:firstLine="643" w:firstLineChars="200"/>
        <w:jc w:val="both"/>
        <w:rPr>
          <w:rFonts w:ascii="Times New Roman" w:hAnsi="Times New Roman" w:eastAsia="仿宋_GB2312" w:cs="Times New Roman"/>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一是</w:t>
      </w:r>
      <w:r>
        <w:rPr>
          <w:rFonts w:ascii="Times New Roman" w:hAnsi="Times New Roman" w:eastAsia="仿宋_GB2312" w:cs="Times New Roman"/>
          <w:kern w:val="2"/>
          <w:sz w:val="32"/>
          <w:szCs w:val="32"/>
          <w:highlight w:val="none"/>
          <w:lang w:val="en-US" w:eastAsia="zh-CN" w:bidi="ar-SA"/>
        </w:rPr>
        <w:t>每年度综合考虑统筹地区上年度基金预算执行情况、本年度经济社会发展水平及待遇发放政策等因素，科学、合理编制收入、支出预算；</w:t>
      </w:r>
      <w:r>
        <w:rPr>
          <w:rFonts w:ascii="Times New Roman" w:hAnsi="Times New Roman" w:eastAsia="仿宋_GB2312" w:cs="Times New Roman"/>
          <w:b/>
          <w:bCs/>
          <w:kern w:val="2"/>
          <w:sz w:val="32"/>
          <w:szCs w:val="32"/>
          <w:highlight w:val="none"/>
          <w:lang w:val="en-US" w:eastAsia="zh-CN" w:bidi="ar-SA"/>
        </w:rPr>
        <w:t>二是</w:t>
      </w:r>
      <w:r>
        <w:rPr>
          <w:rFonts w:ascii="Times New Roman" w:hAnsi="Times New Roman" w:eastAsia="仿宋_GB2312" w:cs="Times New Roman"/>
          <w:kern w:val="2"/>
          <w:sz w:val="32"/>
          <w:szCs w:val="32"/>
          <w:highlight w:val="none"/>
          <w:lang w:val="en-US" w:eastAsia="zh-CN" w:bidi="ar-SA"/>
        </w:rPr>
        <w:t>严格按照州财政部门批复的基金预算和规定的程序执行，并定期开展基金预算执行分析；</w:t>
      </w:r>
      <w:r>
        <w:rPr>
          <w:rFonts w:ascii="Times New Roman" w:hAnsi="Times New Roman" w:eastAsia="仿宋_GB2312" w:cs="Times New Roman"/>
          <w:b/>
          <w:bCs/>
          <w:kern w:val="2"/>
          <w:sz w:val="32"/>
          <w:szCs w:val="32"/>
          <w:highlight w:val="none"/>
          <w:lang w:val="en-US" w:eastAsia="zh-CN" w:bidi="ar-SA"/>
        </w:rPr>
        <w:t>三是</w:t>
      </w:r>
      <w:r>
        <w:rPr>
          <w:rFonts w:ascii="Times New Roman" w:hAnsi="Times New Roman" w:eastAsia="仿宋_GB2312" w:cs="Times New Roman"/>
          <w:kern w:val="2"/>
          <w:sz w:val="32"/>
          <w:szCs w:val="32"/>
          <w:highlight w:val="none"/>
          <w:lang w:val="en-US" w:eastAsia="zh-CN" w:bidi="ar-SA"/>
        </w:rPr>
        <w:t>在执行中对因特殊情况需要调整基金收支预算的，编制预算调整方案，报财政及主管部门审批；</w:t>
      </w:r>
      <w:r>
        <w:rPr>
          <w:rFonts w:ascii="Times New Roman" w:hAnsi="Times New Roman" w:eastAsia="仿宋_GB2312" w:cs="Times New Roman"/>
          <w:b/>
          <w:bCs/>
          <w:kern w:val="2"/>
          <w:sz w:val="32"/>
          <w:szCs w:val="32"/>
          <w:highlight w:val="none"/>
          <w:lang w:val="en-US" w:eastAsia="zh-CN" w:bidi="ar-SA"/>
        </w:rPr>
        <w:t>四是</w:t>
      </w:r>
      <w:r>
        <w:rPr>
          <w:rFonts w:ascii="Times New Roman" w:hAnsi="Times New Roman" w:eastAsia="仿宋_GB2312" w:cs="Times New Roman"/>
          <w:kern w:val="2"/>
          <w:sz w:val="32"/>
          <w:szCs w:val="32"/>
          <w:highlight w:val="none"/>
          <w:lang w:val="en-US" w:eastAsia="zh-CN" w:bidi="ar-SA"/>
        </w:rPr>
        <w:t>城乡居民养老保险基金通过预算实现收支平衡，2025年当期收支结余17394万元，年末滚存结余126163万元。</w:t>
      </w:r>
    </w:p>
    <w:p w14:paraId="57FC2136">
      <w:pPr>
        <w:widowControl w:val="0"/>
        <w:spacing w:line="560" w:lineRule="exact"/>
        <w:ind w:firstLine="643" w:firstLineChars="200"/>
        <w:jc w:val="both"/>
        <w:rPr>
          <w:rFonts w:ascii="Times New Roman" w:hAnsi="Times New Roman" w:eastAsia="楷体_GB2312" w:cs="Times New Roman"/>
          <w:b/>
          <w:bCs/>
          <w:kern w:val="2"/>
          <w:sz w:val="32"/>
          <w:szCs w:val="32"/>
          <w:highlight w:val="none"/>
          <w:lang w:val="en-US" w:eastAsia="zh-CN" w:bidi="ar-SA"/>
        </w:rPr>
      </w:pPr>
      <w:r>
        <w:rPr>
          <w:rFonts w:ascii="Times New Roman" w:hAnsi="Times New Roman" w:eastAsia="楷体_GB2312" w:cs="Times New Roman"/>
          <w:b/>
          <w:bCs/>
          <w:kern w:val="2"/>
          <w:sz w:val="32"/>
          <w:szCs w:val="32"/>
          <w:highlight w:val="none"/>
          <w:lang w:val="en-US" w:eastAsia="zh-CN" w:bidi="ar-SA"/>
        </w:rPr>
        <w:t>（二）绩效指标完成情况分析</w:t>
      </w:r>
    </w:p>
    <w:p w14:paraId="0EC13785">
      <w:pPr>
        <w:widowControl w:val="0"/>
        <w:spacing w:line="560" w:lineRule="exact"/>
        <w:ind w:firstLine="643" w:firstLineChars="200"/>
        <w:jc w:val="both"/>
        <w:rPr>
          <w:rFonts w:ascii="Times New Roman" w:hAnsi="Times New Roman" w:eastAsia="仿宋_GB2312" w:cs="Times New Roman"/>
          <w:b/>
          <w:bCs/>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1.决策指标完成情况分析。</w:t>
      </w:r>
    </w:p>
    <w:p w14:paraId="750950FD">
      <w:pPr>
        <w:spacing w:line="560" w:lineRule="exact"/>
        <w:ind w:firstLine="643" w:firstLineChars="200"/>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政策制定指标。</w:t>
      </w:r>
      <w:r>
        <w:rPr>
          <w:rFonts w:ascii="Times New Roman" w:hAnsi="Times New Roman" w:eastAsia="仿宋_GB2312" w:cs="Times New Roman"/>
          <w:sz w:val="32"/>
          <w:szCs w:val="32"/>
          <w:highlight w:val="none"/>
        </w:rPr>
        <w:t>在国家授权范围内，依法依规、按照法定程序制定社会保险基金管理相关政策。根据《四川省人力资源和社会保障厅 四川省财政厅关于进一步完善城乡居民基本养老保险制度的通知》（川人社发〔2022〕20号），2023年1月1日起全面实施州级统筹制度，我州结合实际，制定《阿坝州城乡居民基本养老保险州级统筹实施办法》（阿州</w:t>
      </w:r>
      <w:r>
        <w:rPr>
          <w:rFonts w:ascii="Times New Roman" w:hAnsi="Times New Roman" w:eastAsia="仿宋_GB2312" w:cs="Times New Roman"/>
          <w:spacing w:val="-8"/>
          <w:sz w:val="32"/>
          <w:szCs w:val="32"/>
          <w:highlight w:val="none"/>
        </w:rPr>
        <w:t>人社发〔2022〕35 号），不存在违反政策依据及程序等情况。</w:t>
      </w:r>
    </w:p>
    <w:p w14:paraId="3A89AFF7">
      <w:pPr>
        <w:widowControl w:val="0"/>
        <w:spacing w:line="560" w:lineRule="exact"/>
        <w:ind w:firstLine="643" w:firstLineChars="200"/>
        <w:jc w:val="both"/>
        <w:rPr>
          <w:rFonts w:ascii="Times New Roman" w:hAnsi="Times New Roman" w:eastAsia="仿宋_GB2312" w:cs="Times New Roman"/>
          <w:b/>
          <w:bCs/>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2.过程指标完成情况分析。</w:t>
      </w:r>
    </w:p>
    <w:p w14:paraId="5102329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w:t>
      </w:r>
      <w:r>
        <w:rPr>
          <w:rFonts w:ascii="Times New Roman" w:hAnsi="Times New Roman" w:eastAsia="仿宋_GB2312" w:cs="Times New Roman"/>
          <w:b/>
          <w:bCs/>
          <w:sz w:val="32"/>
          <w:szCs w:val="32"/>
          <w:highlight w:val="none"/>
        </w:rPr>
        <w:t>基金预算管理指标。一是</w:t>
      </w:r>
      <w:r>
        <w:rPr>
          <w:rFonts w:ascii="Times New Roman" w:hAnsi="Times New Roman" w:eastAsia="仿宋_GB2312" w:cs="Times New Roman"/>
          <w:sz w:val="32"/>
          <w:szCs w:val="32"/>
          <w:highlight w:val="none"/>
        </w:rPr>
        <w:t>严格按照相关要求编制基金预决算，预决算报表无漏填、错填，编报说明合理；</w:t>
      </w:r>
      <w:r>
        <w:rPr>
          <w:rFonts w:ascii="Times New Roman" w:hAnsi="Times New Roman" w:eastAsia="仿宋_GB2312" w:cs="Times New Roman"/>
          <w:b/>
          <w:bCs/>
          <w:sz w:val="32"/>
          <w:szCs w:val="32"/>
          <w:highlight w:val="none"/>
        </w:rPr>
        <w:t>二是</w:t>
      </w:r>
      <w:r>
        <w:rPr>
          <w:rFonts w:ascii="Times New Roman" w:hAnsi="Times New Roman" w:eastAsia="仿宋_GB2312" w:cs="Times New Roman"/>
          <w:sz w:val="32"/>
          <w:szCs w:val="32"/>
          <w:highlight w:val="none"/>
        </w:rPr>
        <w:t>严格按照州财政部门批复执行预算，预算执行报表报送及时准确；</w:t>
      </w:r>
      <w:r>
        <w:rPr>
          <w:rFonts w:ascii="Times New Roman" w:hAnsi="Times New Roman" w:eastAsia="仿宋_GB2312" w:cs="Times New Roman"/>
          <w:b/>
          <w:bCs/>
          <w:sz w:val="32"/>
          <w:szCs w:val="32"/>
          <w:highlight w:val="none"/>
        </w:rPr>
        <w:t>三是</w:t>
      </w:r>
      <w:r>
        <w:rPr>
          <w:rFonts w:ascii="Times New Roman" w:hAnsi="Times New Roman" w:eastAsia="仿宋_GB2312" w:cs="Times New Roman"/>
          <w:sz w:val="32"/>
          <w:szCs w:val="32"/>
          <w:highlight w:val="none"/>
        </w:rPr>
        <w:t>按照国家规定及预算执行情况进行预算调整。</w:t>
      </w:r>
    </w:p>
    <w:p w14:paraId="6E4DD319">
      <w:pPr>
        <w:spacing w:line="560" w:lineRule="exact"/>
        <w:ind w:firstLine="640"/>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（2）政策执行指标。一是</w:t>
      </w:r>
      <w:r>
        <w:rPr>
          <w:rFonts w:ascii="Times New Roman" w:hAnsi="Times New Roman" w:eastAsia="仿宋_GB2312" w:cs="Times New Roman"/>
          <w:sz w:val="32"/>
          <w:szCs w:val="32"/>
          <w:highlight w:val="none"/>
        </w:rPr>
        <w:t>严格按照国家、省、州政策，执行参保缴费、养老保险关系转移接续，落实政府为困难群体代缴城乡居民养老保险费政策，代缴资金足额到位；</w:t>
      </w:r>
      <w:r>
        <w:rPr>
          <w:rFonts w:ascii="Times New Roman" w:hAnsi="Times New Roman" w:eastAsia="仿宋_GB2312" w:cs="Times New Roman"/>
          <w:b/>
          <w:bCs/>
          <w:sz w:val="32"/>
          <w:szCs w:val="32"/>
          <w:highlight w:val="none"/>
        </w:rPr>
        <w:t>二是</w:t>
      </w:r>
      <w:r>
        <w:rPr>
          <w:rFonts w:ascii="Times New Roman" w:hAnsi="Times New Roman" w:eastAsia="仿宋_GB2312" w:cs="Times New Roman"/>
          <w:sz w:val="32"/>
          <w:szCs w:val="32"/>
          <w:highlight w:val="none"/>
        </w:rPr>
        <w:t>严格按照国家、省规定的待遇领取条件、项目和标准计发养老金以及统一要求提高基础养老金标准；</w:t>
      </w:r>
      <w:r>
        <w:rPr>
          <w:rFonts w:ascii="Times New Roman" w:hAnsi="Times New Roman" w:eastAsia="仿宋_GB2312" w:cs="Times New Roman"/>
          <w:b/>
          <w:bCs/>
          <w:sz w:val="32"/>
          <w:szCs w:val="32"/>
          <w:highlight w:val="none"/>
        </w:rPr>
        <w:t>三是</w:t>
      </w:r>
      <w:r>
        <w:rPr>
          <w:rFonts w:ascii="Times New Roman" w:hAnsi="Times New Roman" w:eastAsia="仿宋_GB2312" w:cs="Times New Roman"/>
          <w:sz w:val="32"/>
          <w:szCs w:val="32"/>
          <w:highlight w:val="none"/>
        </w:rPr>
        <w:t>严格执行被征地农民养老保障政策</w:t>
      </w:r>
      <w:r>
        <w:rPr>
          <w:rFonts w:ascii="Times New Roman" w:hAnsi="Times New Roman" w:eastAsia="仿宋_GB2312" w:cs="Times New Roman"/>
          <w:sz w:val="32"/>
          <w:szCs w:val="32"/>
          <w:highlight w:val="none"/>
          <w:lang w:eastAsia="zh-CN"/>
        </w:rPr>
        <w:t>，为被征地农民代缴的社会保险费收入及时转入收入户</w:t>
      </w:r>
      <w:r>
        <w:rPr>
          <w:rFonts w:ascii="Times New Roman" w:hAnsi="Times New Roman" w:eastAsia="仿宋_GB2312" w:cs="Times New Roman"/>
          <w:sz w:val="32"/>
          <w:szCs w:val="32"/>
          <w:highlight w:val="none"/>
        </w:rPr>
        <w:t>；</w:t>
      </w:r>
      <w:r>
        <w:rPr>
          <w:rFonts w:ascii="Times New Roman" w:hAnsi="Times New Roman" w:eastAsia="仿宋_GB2312" w:cs="Times New Roman"/>
          <w:b/>
          <w:bCs/>
          <w:sz w:val="32"/>
          <w:szCs w:val="32"/>
          <w:highlight w:val="none"/>
        </w:rPr>
        <w:t>四是</w:t>
      </w:r>
      <w:r>
        <w:rPr>
          <w:rFonts w:ascii="Times New Roman" w:hAnsi="Times New Roman" w:eastAsia="仿宋_GB2312" w:cs="Times New Roman"/>
          <w:sz w:val="32"/>
          <w:szCs w:val="32"/>
          <w:highlight w:val="none"/>
        </w:rPr>
        <w:t>严格按政策规定对死亡冒领、重复领取、服刑期间领待等违规领取待遇人员进行处理等。</w:t>
      </w:r>
    </w:p>
    <w:p w14:paraId="17B263C8">
      <w:pPr>
        <w:spacing w:line="560" w:lineRule="exact"/>
        <w:ind w:firstLine="640"/>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（3）风险控制指标。一是</w:t>
      </w:r>
      <w:r>
        <w:rPr>
          <w:rFonts w:ascii="Times New Roman" w:hAnsi="Times New Roman" w:eastAsia="仿宋_GB2312" w:cs="Times New Roman"/>
          <w:sz w:val="32"/>
          <w:szCs w:val="32"/>
          <w:highlight w:val="none"/>
        </w:rPr>
        <w:t>扎实开展社保基金管理巩固提升行动，持续筑牢“四位一体”风险防控体系，强化“四防”协同，加强省州县联动，进一步构建上下联动、横向协同的社保风险防控工作新格局。</w:t>
      </w:r>
      <w:r>
        <w:rPr>
          <w:rFonts w:ascii="Times New Roman" w:hAnsi="Times New Roman" w:eastAsia="仿宋_GB2312" w:cs="Times New Roman"/>
          <w:b/>
          <w:bCs/>
          <w:sz w:val="32"/>
          <w:szCs w:val="32"/>
          <w:highlight w:val="none"/>
        </w:rPr>
        <w:t>二是</w:t>
      </w:r>
      <w:r>
        <w:rPr>
          <w:rFonts w:ascii="Times New Roman" w:hAnsi="Times New Roman" w:eastAsia="仿宋_GB2312" w:cs="Times New Roman"/>
          <w:sz w:val="32"/>
          <w:szCs w:val="32"/>
          <w:highlight w:val="none"/>
        </w:rPr>
        <w:t>随机抽查全州高风险业务4600余条，审核反馈“省风险防控子系统”下发预警信息2645条、部中台疑点数据1112条、数据稽核模块疑点数据750余条、部基金监管平台疑点数据1200余条，整改“部稽核考核系统”下发疑点数据70余条。</w:t>
      </w:r>
      <w:r>
        <w:rPr>
          <w:rFonts w:ascii="Times New Roman" w:hAnsi="Times New Roman" w:eastAsia="仿宋_GB2312" w:cs="Times New Roman"/>
          <w:b/>
          <w:bCs/>
          <w:sz w:val="32"/>
          <w:szCs w:val="32"/>
          <w:highlight w:val="none"/>
        </w:rPr>
        <w:t>三是</w:t>
      </w:r>
      <w:r>
        <w:rPr>
          <w:rFonts w:ascii="Times New Roman" w:hAnsi="Times New Roman" w:eastAsia="仿宋_GB2312" w:cs="Times New Roman"/>
          <w:sz w:val="32"/>
          <w:szCs w:val="32"/>
          <w:highlight w:val="none"/>
        </w:rPr>
        <w:t>持续加强数据稽核、在线巡查、交叉检查和警示教育，依法严厉打击涉及社保基金违法违纪问题，持续巩固高压震慑态势。全年累计依法追缴冒领城乡居民养老保险待遇109人，追缴金额10.59万元，重复领待9人，追缴金额7.95万元</w:t>
      </w:r>
      <w:r>
        <w:rPr>
          <w:rFonts w:ascii="Times New Roman" w:hAnsi="Times New Roman" w:eastAsia="仿宋_GB2312" w:cs="Times New Roman"/>
          <w:sz w:val="32"/>
          <w:szCs w:val="32"/>
          <w:highlight w:val="none"/>
          <w:lang w:eastAsia="zh-CN"/>
        </w:rPr>
        <w:t>；</w:t>
      </w:r>
      <w:r>
        <w:rPr>
          <w:rFonts w:ascii="Times New Roman" w:hAnsi="Times New Roman" w:eastAsia="仿宋_GB2312" w:cs="Times New Roman"/>
          <w:b/>
          <w:bCs/>
          <w:sz w:val="32"/>
          <w:szCs w:val="32"/>
          <w:highlight w:val="none"/>
        </w:rPr>
        <w:t>四是</w:t>
      </w:r>
      <w:r>
        <w:rPr>
          <w:rFonts w:ascii="Times New Roman" w:hAnsi="Times New Roman" w:eastAsia="仿宋_GB2312" w:cs="Times New Roman"/>
          <w:sz w:val="32"/>
          <w:szCs w:val="32"/>
          <w:highlight w:val="none"/>
        </w:rPr>
        <w:t>定期开展基金运行情况分析，全州城乡居民基本养老保险基金暂未出现支付风险。</w:t>
      </w:r>
    </w:p>
    <w:p w14:paraId="1071AE67">
      <w:pPr>
        <w:widowControl w:val="0"/>
        <w:spacing w:line="560" w:lineRule="exact"/>
        <w:ind w:firstLine="643" w:firstLineChars="200"/>
        <w:jc w:val="both"/>
        <w:rPr>
          <w:rFonts w:ascii="Times New Roman" w:hAnsi="Times New Roman" w:eastAsia="仿宋_GB2312" w:cs="Times New Roman"/>
          <w:b/>
          <w:bCs/>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3.产出指标完成情况分析。</w:t>
      </w:r>
    </w:p>
    <w:p w14:paraId="393A2582">
      <w:pPr>
        <w:spacing w:line="560" w:lineRule="exact"/>
        <w:ind w:firstLine="643" w:firstLineChars="200"/>
        <w:rPr>
          <w:rFonts w:ascii="Times New Roman" w:hAnsi="Times New Roman" w:eastAsia="仿宋_GB2312" w:cs="Times New Roman"/>
          <w:sz w:val="32"/>
          <w:szCs w:val="32"/>
          <w:highlight w:val="none"/>
          <w:lang w:eastAsia="zh-CN"/>
        </w:rPr>
      </w:pPr>
      <w:r>
        <w:rPr>
          <w:rFonts w:ascii="Times New Roman" w:hAnsi="Times New Roman" w:eastAsia="仿宋_GB2312" w:cs="Times New Roman"/>
          <w:b/>
          <w:bCs/>
          <w:sz w:val="32"/>
          <w:szCs w:val="32"/>
          <w:highlight w:val="none"/>
        </w:rPr>
        <w:t>（1）完成数量。一是</w:t>
      </w:r>
      <w:r>
        <w:rPr>
          <w:rFonts w:ascii="Times New Roman" w:hAnsi="Times New Roman" w:eastAsia="仿宋_GB2312" w:cs="Times New Roman"/>
          <w:sz w:val="32"/>
          <w:szCs w:val="32"/>
          <w:highlight w:val="none"/>
        </w:rPr>
        <w:t>2025年社会保险费收入17653万元（包括被征地农民缴费补贴收入1233万元），完成预算调整数的111.99%</w:t>
      </w:r>
      <w:r>
        <w:rPr>
          <w:rFonts w:ascii="Times New Roman" w:hAnsi="Times New Roman" w:eastAsia="仿宋_GB2312" w:cs="Times New Roman"/>
          <w:sz w:val="32"/>
          <w:szCs w:val="32"/>
          <w:highlight w:val="none"/>
          <w:lang w:eastAsia="zh-CN"/>
        </w:rPr>
        <w:t>，超审核上限</w:t>
      </w:r>
      <w:r>
        <w:rPr>
          <w:rFonts w:ascii="Times New Roman" w:hAnsi="Times New Roman" w:eastAsia="仿宋_GB2312" w:cs="Times New Roman"/>
          <w:sz w:val="32"/>
          <w:szCs w:val="32"/>
          <w:highlight w:val="none"/>
          <w:lang w:val="en-US" w:eastAsia="zh-CN"/>
        </w:rPr>
        <w:t>6.99%</w:t>
      </w:r>
      <w:r>
        <w:rPr>
          <w:rFonts w:ascii="Times New Roman" w:hAnsi="Times New Roman" w:eastAsia="仿宋_GB2312" w:cs="Times New Roman"/>
          <w:sz w:val="32"/>
          <w:szCs w:val="32"/>
          <w:highlight w:val="none"/>
          <w:lang w:eastAsia="zh-CN"/>
        </w:rPr>
        <w:t>；</w:t>
      </w:r>
      <w:r>
        <w:rPr>
          <w:rFonts w:ascii="Times New Roman" w:hAnsi="Times New Roman" w:eastAsia="仿宋_GB2312" w:cs="Times New Roman"/>
          <w:b/>
          <w:bCs/>
          <w:sz w:val="32"/>
          <w:szCs w:val="32"/>
          <w:highlight w:val="none"/>
        </w:rPr>
        <w:t>二是</w:t>
      </w:r>
      <w:r>
        <w:rPr>
          <w:rFonts w:ascii="Times New Roman" w:hAnsi="Times New Roman" w:eastAsia="仿宋_GB2312" w:cs="Times New Roman"/>
          <w:sz w:val="32"/>
          <w:szCs w:val="32"/>
          <w:highlight w:val="none"/>
          <w:lang w:val="en-US" w:eastAsia="zh-CN"/>
        </w:rPr>
        <w:t>2025</w:t>
      </w:r>
      <w:r>
        <w:rPr>
          <w:rFonts w:ascii="Times New Roman" w:hAnsi="Times New Roman" w:eastAsia="仿宋_GB2312" w:cs="Times New Roman"/>
          <w:sz w:val="32"/>
          <w:szCs w:val="32"/>
          <w:highlight w:val="none"/>
        </w:rPr>
        <w:t>年发放全州社会保险待遇支出合计27112万元，完成预算调整数的101</w:t>
      </w:r>
      <w:r>
        <w:rPr>
          <w:rFonts w:ascii="Times New Roman" w:hAnsi="Times New Roman" w:eastAsia="仿宋_GB2312" w:cs="Times New Roman"/>
          <w:sz w:val="32"/>
          <w:szCs w:val="32"/>
          <w:highlight w:val="none"/>
          <w:lang w:val="en-US" w:eastAsia="zh-CN"/>
        </w:rPr>
        <w:t>.19</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lang w:eastAsia="zh-CN"/>
        </w:rPr>
        <w:t>，超审核上限</w:t>
      </w:r>
      <w:r>
        <w:rPr>
          <w:rFonts w:ascii="Times New Roman" w:hAnsi="Times New Roman" w:eastAsia="仿宋_GB2312" w:cs="Times New Roman"/>
          <w:sz w:val="32"/>
          <w:szCs w:val="32"/>
          <w:highlight w:val="none"/>
          <w:lang w:val="en-US" w:eastAsia="zh-CN"/>
        </w:rPr>
        <w:t>1.19%</w:t>
      </w:r>
      <w:r>
        <w:rPr>
          <w:rFonts w:ascii="Times New Roman" w:hAnsi="Times New Roman" w:eastAsia="仿宋_GB2312" w:cs="Times New Roman"/>
          <w:sz w:val="32"/>
          <w:szCs w:val="32"/>
          <w:highlight w:val="none"/>
          <w:lang w:eastAsia="zh-CN"/>
        </w:rPr>
        <w:t>。</w:t>
      </w:r>
    </w:p>
    <w:p w14:paraId="6CC3007B">
      <w:pPr>
        <w:spacing w:line="560" w:lineRule="exact"/>
        <w:ind w:firstLine="643" w:firstLineChars="200"/>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（2）完成质量。一是</w:t>
      </w:r>
      <w:r>
        <w:rPr>
          <w:rFonts w:ascii="Times New Roman" w:hAnsi="Times New Roman" w:eastAsia="仿宋_GB2312" w:cs="Times New Roman"/>
          <w:sz w:val="32"/>
          <w:szCs w:val="32"/>
          <w:highlight w:val="none"/>
        </w:rPr>
        <w:t>2025年社会保险费收入17653万元，2025年基金收入小计44631万元，社会保险费收入占基金收入</w:t>
      </w:r>
      <w:r>
        <w:rPr>
          <w:rFonts w:ascii="Times New Roman" w:hAnsi="Times New Roman" w:eastAsia="仿宋_GB2312" w:cs="Times New Roman"/>
          <w:sz w:val="32"/>
          <w:szCs w:val="32"/>
          <w:highlight w:val="none"/>
          <w:lang w:val="en-US" w:eastAsia="zh-CN"/>
        </w:rPr>
        <w:t>39.55</w:t>
      </w:r>
      <w:r>
        <w:rPr>
          <w:rFonts w:ascii="Times New Roman" w:hAnsi="Times New Roman" w:eastAsia="仿宋_GB2312" w:cs="Times New Roman"/>
          <w:sz w:val="32"/>
          <w:szCs w:val="32"/>
          <w:highlight w:val="none"/>
        </w:rPr>
        <w:t>%；</w:t>
      </w:r>
      <w:r>
        <w:rPr>
          <w:rFonts w:ascii="Times New Roman" w:hAnsi="Times New Roman" w:eastAsia="仿宋_GB2312" w:cs="Times New Roman"/>
          <w:b/>
          <w:bCs/>
          <w:sz w:val="32"/>
          <w:szCs w:val="32"/>
          <w:highlight w:val="none"/>
        </w:rPr>
        <w:t>二是</w:t>
      </w:r>
      <w:r>
        <w:rPr>
          <w:rFonts w:ascii="Times New Roman" w:hAnsi="Times New Roman" w:eastAsia="仿宋_GB2312" w:cs="Times New Roman"/>
          <w:sz w:val="32"/>
          <w:szCs w:val="32"/>
          <w:highlight w:val="none"/>
        </w:rPr>
        <w:t>2025年社会保险待遇支出27112万元，2025年基金支出小计27238万元，社会保险待遇支出占基金支出99</w:t>
      </w:r>
      <w:r>
        <w:rPr>
          <w:rFonts w:ascii="Times New Roman" w:hAnsi="Times New Roman" w:eastAsia="仿宋_GB2312" w:cs="Times New Roman"/>
          <w:sz w:val="32"/>
          <w:szCs w:val="32"/>
          <w:highlight w:val="none"/>
          <w:lang w:val="en-US" w:eastAsia="zh-CN"/>
        </w:rPr>
        <w:t>.54</w:t>
      </w:r>
      <w:r>
        <w:rPr>
          <w:rFonts w:ascii="Times New Roman" w:hAnsi="Times New Roman" w:eastAsia="仿宋_GB2312" w:cs="Times New Roman"/>
          <w:sz w:val="32"/>
          <w:szCs w:val="32"/>
          <w:highlight w:val="none"/>
        </w:rPr>
        <w:t>%；</w:t>
      </w:r>
      <w:r>
        <w:rPr>
          <w:rFonts w:ascii="Times New Roman" w:hAnsi="Times New Roman" w:eastAsia="仿宋_GB2312" w:cs="Times New Roman"/>
          <w:b/>
          <w:bCs/>
          <w:sz w:val="32"/>
          <w:szCs w:val="32"/>
          <w:highlight w:val="none"/>
        </w:rPr>
        <w:t>三是</w:t>
      </w:r>
      <w:r>
        <w:rPr>
          <w:rFonts w:ascii="Times New Roman" w:hAnsi="Times New Roman" w:eastAsia="仿宋_GB2312" w:cs="Times New Roman"/>
          <w:sz w:val="32"/>
          <w:szCs w:val="32"/>
          <w:highlight w:val="none"/>
        </w:rPr>
        <w:t>2025年其他支出10万元，其他支出占基金支出0.04%。</w:t>
      </w:r>
    </w:p>
    <w:p w14:paraId="7C58B279">
      <w:pPr>
        <w:spacing w:line="560" w:lineRule="exact"/>
        <w:ind w:firstLine="643"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sz w:val="32"/>
          <w:szCs w:val="32"/>
          <w:highlight w:val="none"/>
        </w:rPr>
        <w:t>（3）实施进度。一是</w:t>
      </w:r>
      <w:r>
        <w:rPr>
          <w:rFonts w:ascii="Times New Roman" w:hAnsi="Times New Roman" w:eastAsia="仿宋_GB2312" w:cs="Times New Roman"/>
          <w:sz w:val="32"/>
          <w:szCs w:val="32"/>
          <w:highlight w:val="none"/>
        </w:rPr>
        <w:t>2025年各级财政补贴资金在规定时限内拨付到位；</w:t>
      </w:r>
      <w:r>
        <w:rPr>
          <w:rFonts w:ascii="Times New Roman" w:hAnsi="Times New Roman" w:eastAsia="仿宋_GB2312" w:cs="Times New Roman"/>
          <w:b/>
          <w:bCs/>
          <w:color w:val="auto"/>
          <w:sz w:val="32"/>
          <w:szCs w:val="32"/>
          <w:highlight w:val="none"/>
        </w:rPr>
        <w:t>二是</w:t>
      </w:r>
      <w:r>
        <w:rPr>
          <w:rFonts w:ascii="Times New Roman" w:hAnsi="Times New Roman" w:eastAsia="仿宋_GB2312" w:cs="Times New Roman"/>
          <w:color w:val="auto"/>
          <w:sz w:val="32"/>
          <w:szCs w:val="32"/>
          <w:highlight w:val="none"/>
        </w:rPr>
        <w:t>按照《阿坝州社会保险事业管理局关于进一步规范社会保险待遇发放有关事项的通知》（阿州社险办〔2024〕9号）要求，业务部门于每月15日（如遇法定节假日或休息日，提前至最后工作日）统一报盘推送代发银行进行上账操作，做到按时、足额发放城乡居民养老待遇。</w:t>
      </w:r>
    </w:p>
    <w:p w14:paraId="7CA128F3">
      <w:pPr>
        <w:widowControl w:val="0"/>
        <w:spacing w:line="560" w:lineRule="exact"/>
        <w:ind w:firstLine="649" w:firstLineChars="202"/>
        <w:jc w:val="both"/>
        <w:rPr>
          <w:rFonts w:ascii="Times New Roman" w:hAnsi="Times New Roman" w:eastAsia="等线" w:cs="Times New Roman"/>
          <w:kern w:val="2"/>
          <w:sz w:val="21"/>
          <w:szCs w:val="28"/>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（4）成本指标。</w:t>
      </w:r>
      <w:r>
        <w:rPr>
          <w:rFonts w:ascii="Times New Roman" w:hAnsi="Times New Roman" w:eastAsia="仿宋_GB2312" w:cs="Times New Roman"/>
          <w:kern w:val="2"/>
          <w:sz w:val="32"/>
          <w:szCs w:val="32"/>
          <w:highlight w:val="none"/>
          <w:lang w:val="en-US" w:eastAsia="zh-CN" w:bidi="ar-SA"/>
        </w:rPr>
        <w:t>未设置成本指标。</w:t>
      </w:r>
    </w:p>
    <w:p w14:paraId="4ABA1C27">
      <w:pPr>
        <w:widowControl w:val="0"/>
        <w:spacing w:line="560" w:lineRule="exact"/>
        <w:ind w:left="0" w:firstLine="643" w:firstLineChars="200"/>
        <w:jc w:val="both"/>
        <w:rPr>
          <w:rFonts w:ascii="Times New Roman" w:hAnsi="Times New Roman" w:eastAsia="仿宋_GB2312" w:cs="Times New Roman"/>
          <w:b/>
          <w:bCs/>
          <w:kern w:val="2"/>
          <w:sz w:val="32"/>
          <w:szCs w:val="32"/>
          <w:highlight w:val="none"/>
          <w:lang w:val="en-US" w:eastAsia="zh-CN" w:bidi="ar-SA"/>
        </w:rPr>
      </w:pPr>
      <w:r>
        <w:rPr>
          <w:rFonts w:ascii="Times New Roman" w:hAnsi="Times New Roman" w:eastAsia="仿宋_GB2312" w:cs="Times New Roman"/>
          <w:b/>
          <w:bCs/>
          <w:kern w:val="2"/>
          <w:sz w:val="32"/>
          <w:szCs w:val="32"/>
          <w:highlight w:val="none"/>
          <w:lang w:val="en-US" w:eastAsia="zh-CN" w:bidi="ar-SA"/>
        </w:rPr>
        <w:t>4.效益指标完成情况分析。</w:t>
      </w:r>
    </w:p>
    <w:p w14:paraId="5A183AFC">
      <w:pPr>
        <w:spacing w:line="560" w:lineRule="exact"/>
        <w:ind w:firstLine="643" w:firstLineChars="200"/>
        <w:rPr>
          <w:rFonts w:ascii="Times New Roman" w:hAnsi="Times New Roman" w:eastAsia="仿宋_GB2312" w:cs="Times New Roman"/>
          <w:sz w:val="32"/>
          <w:szCs w:val="32"/>
          <w:highlight w:val="none"/>
          <w:lang w:val="en-US" w:eastAsia="zh-CN"/>
        </w:rPr>
      </w:pPr>
      <w:r>
        <w:rPr>
          <w:rFonts w:ascii="Times New Roman" w:hAnsi="Times New Roman" w:eastAsia="仿宋_GB2312" w:cs="Times New Roman"/>
          <w:b/>
          <w:bCs/>
          <w:sz w:val="32"/>
          <w:szCs w:val="32"/>
          <w:highlight w:val="none"/>
        </w:rPr>
        <w:t>（1）经济效益分析。</w:t>
      </w:r>
      <w:r>
        <w:rPr>
          <w:rFonts w:ascii="Times New Roman" w:hAnsi="Times New Roman" w:eastAsia="仿宋_GB2312" w:cs="Times New Roman"/>
          <w:sz w:val="32"/>
          <w:szCs w:val="32"/>
          <w:highlight w:val="none"/>
        </w:rPr>
        <w:t>2025年城乡居民基本养老保险</w:t>
      </w:r>
      <w:r>
        <w:rPr>
          <w:rFonts w:ascii="Times New Roman" w:hAnsi="Times New Roman" w:eastAsia="仿宋_GB2312" w:cs="Times New Roman"/>
          <w:sz w:val="32"/>
          <w:szCs w:val="32"/>
          <w:highlight w:val="none"/>
          <w:lang w:eastAsia="zh-CN"/>
        </w:rPr>
        <w:t>利息收入</w:t>
      </w:r>
      <w:r>
        <w:rPr>
          <w:rFonts w:ascii="Times New Roman" w:hAnsi="Times New Roman" w:eastAsia="仿宋_GB2312" w:cs="Times New Roman"/>
          <w:sz w:val="32"/>
          <w:szCs w:val="32"/>
          <w:highlight w:val="none"/>
          <w:lang w:val="en-US" w:eastAsia="zh-CN"/>
        </w:rPr>
        <w:t>426.8万元，委托投资收益3943万元。按公式计算，综合利息收益率为12.07%，大于等于1.1%。</w:t>
      </w:r>
    </w:p>
    <w:p w14:paraId="7E577730">
      <w:pPr>
        <w:spacing w:line="560" w:lineRule="exact"/>
        <w:ind w:firstLine="643" w:firstLineChars="200"/>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（2）社会效益分析。</w:t>
      </w:r>
      <w:r>
        <w:rPr>
          <w:rFonts w:ascii="Times New Roman" w:hAnsi="Times New Roman" w:eastAsia="仿宋_GB2312" w:cs="Times New Roman"/>
          <w:sz w:val="32"/>
          <w:szCs w:val="32"/>
          <w:highlight w:val="none"/>
        </w:rPr>
        <w:t>2025年人均基础养老金支出2208万元，月基础养老金水平</w:t>
      </w:r>
      <w:r>
        <w:rPr>
          <w:rFonts w:ascii="Times New Roman" w:hAnsi="Times New Roman" w:eastAsia="仿宋_GB2312" w:cs="Times New Roman"/>
          <w:sz w:val="32"/>
          <w:szCs w:val="32"/>
          <w:highlight w:val="none"/>
          <w:lang w:val="en-US" w:eastAsia="zh-CN"/>
        </w:rPr>
        <w:t>184</w:t>
      </w:r>
      <w:r>
        <w:rPr>
          <w:rFonts w:ascii="Times New Roman" w:hAnsi="Times New Roman" w:eastAsia="仿宋_GB2312" w:cs="Times New Roman"/>
          <w:sz w:val="32"/>
          <w:szCs w:val="32"/>
          <w:highlight w:val="none"/>
        </w:rPr>
        <w:t>元/月。</w:t>
      </w:r>
    </w:p>
    <w:p w14:paraId="4840535B">
      <w:pPr>
        <w:spacing w:line="560" w:lineRule="exact"/>
        <w:ind w:firstLine="643" w:firstLineChars="200"/>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（3）满意度指标完成情况分析。</w:t>
      </w:r>
      <w:r>
        <w:rPr>
          <w:rFonts w:ascii="Times New Roman" w:hAnsi="Times New Roman" w:eastAsia="仿宋_GB2312" w:cs="Times New Roman"/>
          <w:sz w:val="32"/>
          <w:szCs w:val="32"/>
          <w:highlight w:val="none"/>
        </w:rPr>
        <w:t>通过查看业务可视化子系统阿坝州社会保险好差评情况，全州好评率100%。</w:t>
      </w:r>
    </w:p>
    <w:p w14:paraId="6115099D">
      <w:pPr>
        <w:widowControl w:val="0"/>
        <w:spacing w:line="560" w:lineRule="exact"/>
        <w:ind w:firstLine="640" w:firstLineChars="200"/>
        <w:jc w:val="both"/>
        <w:rPr>
          <w:rFonts w:ascii="Times New Roman" w:hAnsi="Times New Roman" w:eastAsia="黑体" w:cs="Times New Roman"/>
          <w:kern w:val="2"/>
          <w:sz w:val="32"/>
          <w:szCs w:val="32"/>
          <w:highlight w:val="none"/>
          <w:lang w:val="en-US" w:eastAsia="zh-CN" w:bidi="ar-SA"/>
        </w:rPr>
      </w:pPr>
      <w:r>
        <w:rPr>
          <w:rFonts w:ascii="Times New Roman" w:hAnsi="Times New Roman" w:eastAsia="黑体" w:cs="Times New Roman"/>
          <w:kern w:val="2"/>
          <w:sz w:val="32"/>
          <w:szCs w:val="32"/>
          <w:highlight w:val="none"/>
          <w:lang w:val="en-US" w:eastAsia="zh-CN" w:bidi="ar-SA"/>
        </w:rPr>
        <w:t>五、绩效目标未完成原因和下一步改进措施</w:t>
      </w:r>
    </w:p>
    <w:p w14:paraId="3644BBDB">
      <w:pPr>
        <w:adjustRightInd w:val="0"/>
        <w:snapToGrid w:val="0"/>
        <w:spacing w:line="560" w:lineRule="exact"/>
        <w:ind w:firstLine="643" w:firstLineChars="200"/>
        <w:rPr>
          <w:rFonts w:ascii="Times New Roman" w:hAnsi="Times New Roman" w:eastAsia="楷体_GB2312" w:cs="Times New Roman"/>
          <w:b/>
          <w:bCs/>
          <w:sz w:val="32"/>
          <w:szCs w:val="32"/>
          <w:highlight w:val="none"/>
        </w:rPr>
      </w:pPr>
      <w:r>
        <w:rPr>
          <w:rFonts w:ascii="Times New Roman" w:hAnsi="Times New Roman" w:eastAsia="楷体_GB2312" w:cs="Times New Roman"/>
          <w:b/>
          <w:bCs/>
          <w:sz w:val="32"/>
          <w:szCs w:val="32"/>
          <w:highlight w:val="none"/>
        </w:rPr>
        <w:t>（一）存在的问题</w:t>
      </w:r>
    </w:p>
    <w:p w14:paraId="1839234F">
      <w:pPr>
        <w:adjustRightInd w:val="0"/>
        <w:snapToGrid w:val="0"/>
        <w:spacing w:line="560" w:lineRule="exact"/>
        <w:ind w:firstLine="640" w:firstLineChars="200"/>
        <w:rPr>
          <w:rFonts w:ascii="Times New Roman" w:hAnsi="Times New Roman" w:eastAsia="仿宋_GB2312" w:cs="Times New Roman"/>
          <w:color w:val="FF0000"/>
          <w:sz w:val="32"/>
          <w:szCs w:val="32"/>
          <w:highlight w:val="none"/>
        </w:rPr>
      </w:pPr>
      <w:r>
        <w:rPr>
          <w:rFonts w:ascii="Times New Roman" w:hAnsi="Times New Roman" w:eastAsia="仿宋_GB2312" w:cs="Times New Roman"/>
          <w:color w:val="auto"/>
          <w:sz w:val="32"/>
          <w:szCs w:val="32"/>
          <w:highlight w:val="none"/>
          <w:lang w:val="en-US" w:eastAsia="zh-CN"/>
        </w:rPr>
        <w:t>一是</w:t>
      </w:r>
      <w:r>
        <w:rPr>
          <w:rFonts w:ascii="Times New Roman" w:hAnsi="Times New Roman" w:eastAsia="仿宋_GB2312" w:cs="Times New Roman"/>
          <w:sz w:val="32"/>
          <w:szCs w:val="32"/>
          <w:highlight w:val="none"/>
        </w:rPr>
        <w:t>2025年社会保险费收入17653万元，完成预算调整数的111.99%</w:t>
      </w:r>
      <w:r>
        <w:rPr>
          <w:rFonts w:ascii="Times New Roman" w:hAnsi="Times New Roman" w:eastAsia="仿宋_GB2312" w:cs="Times New Roman"/>
          <w:sz w:val="32"/>
          <w:szCs w:val="32"/>
          <w:highlight w:val="none"/>
          <w:lang w:eastAsia="zh-CN"/>
        </w:rPr>
        <w:t>，超预算</w:t>
      </w:r>
      <w:r>
        <w:rPr>
          <w:rFonts w:ascii="Times New Roman" w:hAnsi="Times New Roman" w:eastAsia="仿宋_GB2312" w:cs="Times New Roman"/>
          <w:sz w:val="32"/>
          <w:szCs w:val="32"/>
          <w:highlight w:val="none"/>
          <w:lang w:val="en-US" w:eastAsia="zh-CN"/>
        </w:rPr>
        <w:t>11.99%；</w:t>
      </w:r>
      <w:r>
        <w:rPr>
          <w:rFonts w:ascii="Times New Roman" w:hAnsi="Times New Roman" w:eastAsia="仿宋_GB2312" w:cs="Times New Roman"/>
          <w:color w:val="auto"/>
          <w:sz w:val="32"/>
          <w:szCs w:val="32"/>
          <w:highlight w:val="none"/>
          <w:lang w:val="en-US" w:eastAsia="zh-CN"/>
        </w:rPr>
        <w:t>二是2025年</w:t>
      </w:r>
      <w:r>
        <w:rPr>
          <w:rFonts w:ascii="Times New Roman" w:hAnsi="Times New Roman" w:eastAsia="仿宋_GB2312" w:cs="Times New Roman"/>
          <w:color w:val="auto"/>
          <w:sz w:val="32"/>
          <w:szCs w:val="32"/>
          <w:highlight w:val="none"/>
        </w:rPr>
        <w:t>社会保险待遇支出27112万元，完成预算调整数的101</w:t>
      </w:r>
      <w:r>
        <w:rPr>
          <w:rFonts w:ascii="Times New Roman" w:hAnsi="Times New Roman" w:eastAsia="仿宋_GB2312" w:cs="Times New Roman"/>
          <w:color w:val="auto"/>
          <w:sz w:val="32"/>
          <w:szCs w:val="32"/>
          <w:highlight w:val="none"/>
          <w:lang w:val="en-US" w:eastAsia="zh-CN"/>
        </w:rPr>
        <w:t>.19</w:t>
      </w:r>
      <w:r>
        <w:rPr>
          <w:rFonts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lang w:eastAsia="zh-CN"/>
        </w:rPr>
        <w:t>，超预算</w:t>
      </w:r>
      <w:r>
        <w:rPr>
          <w:rFonts w:ascii="Times New Roman" w:hAnsi="Times New Roman" w:eastAsia="仿宋_GB2312" w:cs="Times New Roman"/>
          <w:color w:val="auto"/>
          <w:sz w:val="32"/>
          <w:szCs w:val="32"/>
          <w:highlight w:val="none"/>
          <w:lang w:val="en-US" w:eastAsia="zh-CN"/>
        </w:rPr>
        <w:t>1.19%</w:t>
      </w:r>
      <w:r>
        <w:rPr>
          <w:rFonts w:ascii="Times New Roman" w:hAnsi="Times New Roman" w:eastAsia="仿宋_GB2312" w:cs="Times New Roman"/>
          <w:color w:val="auto"/>
          <w:sz w:val="32"/>
          <w:szCs w:val="32"/>
          <w:highlight w:val="none"/>
        </w:rPr>
        <w:t>。</w:t>
      </w:r>
    </w:p>
    <w:p w14:paraId="4F6B01A4">
      <w:pPr>
        <w:adjustRightInd w:val="0"/>
        <w:snapToGrid w:val="0"/>
        <w:spacing w:line="560" w:lineRule="exact"/>
        <w:ind w:firstLine="643" w:firstLineChars="200"/>
        <w:rPr>
          <w:rFonts w:ascii="Times New Roman" w:hAnsi="Times New Roman" w:eastAsia="楷体_GB2312" w:cs="Times New Roman"/>
          <w:b/>
          <w:bCs/>
          <w:sz w:val="32"/>
          <w:szCs w:val="32"/>
          <w:highlight w:val="none"/>
        </w:rPr>
      </w:pPr>
      <w:r>
        <w:rPr>
          <w:rFonts w:ascii="Times New Roman" w:hAnsi="Times New Roman" w:eastAsia="楷体_GB2312" w:cs="Times New Roman"/>
          <w:b/>
          <w:bCs/>
          <w:sz w:val="32"/>
          <w:szCs w:val="32"/>
          <w:highlight w:val="none"/>
        </w:rPr>
        <w:t>（二）偏离绩效目标的原因</w:t>
      </w:r>
    </w:p>
    <w:p w14:paraId="22C65E5A">
      <w:pPr>
        <w:widowControl w:val="0"/>
        <w:spacing w:line="560" w:lineRule="exact"/>
        <w:ind w:firstLine="640" w:firstLineChars="200"/>
        <w:jc w:val="both"/>
        <w:rPr>
          <w:rFonts w:ascii="Times New Roman" w:hAnsi="Times New Roman" w:eastAsia="仿宋_GB2312" w:cs="Times New Roman"/>
          <w:color w:val="auto"/>
          <w:kern w:val="2"/>
          <w:sz w:val="32"/>
          <w:szCs w:val="32"/>
          <w:highlight w:val="none"/>
          <w:lang w:val="en-US" w:eastAsia="zh-CN" w:bidi="ar-SA"/>
        </w:rPr>
      </w:pPr>
      <w:r>
        <w:rPr>
          <w:rFonts w:ascii="Times New Roman" w:hAnsi="Times New Roman" w:eastAsia="仿宋_GB2312" w:cs="Times New Roman"/>
          <w:color w:val="auto"/>
          <w:kern w:val="2"/>
          <w:sz w:val="32"/>
          <w:szCs w:val="32"/>
          <w:highlight w:val="none"/>
          <w:lang w:val="en-US" w:eastAsia="zh-CN" w:bidi="ar-SA"/>
        </w:rPr>
        <w:t>因个人选择高档次缴费及一次性补缴收入具有不确定性，个人缴费收入及社会保险待遇支出均超预算调整数。</w:t>
      </w:r>
    </w:p>
    <w:p w14:paraId="2E511BEB">
      <w:pPr>
        <w:adjustRightInd w:val="0"/>
        <w:snapToGrid w:val="0"/>
        <w:spacing w:line="560" w:lineRule="exact"/>
        <w:ind w:firstLine="643" w:firstLineChars="200"/>
        <w:rPr>
          <w:rFonts w:ascii="Times New Roman" w:hAnsi="Times New Roman" w:eastAsia="楷体_GB2312" w:cs="Times New Roman"/>
          <w:b/>
          <w:bCs/>
          <w:sz w:val="32"/>
          <w:szCs w:val="32"/>
          <w:highlight w:val="none"/>
        </w:rPr>
      </w:pPr>
      <w:r>
        <w:rPr>
          <w:rFonts w:ascii="Times New Roman" w:hAnsi="Times New Roman" w:eastAsia="楷体_GB2312" w:cs="Times New Roman"/>
          <w:b/>
          <w:bCs/>
          <w:sz w:val="32"/>
          <w:szCs w:val="32"/>
          <w:highlight w:val="none"/>
        </w:rPr>
        <w:t>（三）下一步改进措施</w:t>
      </w:r>
    </w:p>
    <w:p w14:paraId="3AA48A9E">
      <w:pPr>
        <w:adjustRightInd w:val="0"/>
        <w:snapToGrid w:val="0"/>
        <w:spacing w:line="560" w:lineRule="exact"/>
        <w:ind w:firstLine="640" w:firstLineChars="200"/>
        <w:rPr>
          <w:rFonts w:ascii="Times New Roman" w:hAnsi="Times New Roman" w:eastAsia="楷体_GB2312" w:cs="Times New Roman"/>
          <w:b/>
          <w:bCs/>
          <w:sz w:val="32"/>
          <w:szCs w:val="32"/>
          <w:highlight w:val="none"/>
        </w:rPr>
      </w:pPr>
      <w:r>
        <w:rPr>
          <w:rFonts w:ascii="Times New Roman" w:hAnsi="Times New Roman" w:eastAsia="仿宋_GB2312" w:cs="Times New Roman"/>
          <w:bCs/>
          <w:sz w:val="32"/>
          <w:szCs w:val="32"/>
          <w:highlight w:val="none"/>
        </w:rPr>
        <w:t>一是</w:t>
      </w:r>
      <w:r>
        <w:rPr>
          <w:rFonts w:ascii="Times New Roman" w:hAnsi="Times New Roman" w:eastAsia="仿宋_GB2312" w:cs="Times New Roman"/>
          <w:sz w:val="32"/>
          <w:szCs w:val="32"/>
          <w:highlight w:val="none"/>
        </w:rPr>
        <w:t>加强各级经办机构基金收支预算测算工作，科学、规范进行年初预算及预算调整，进一步提高预算编制的预见性、准确性、完整性和科学性；</w:t>
      </w:r>
      <w:r>
        <w:rPr>
          <w:rFonts w:ascii="Times New Roman" w:hAnsi="Times New Roman" w:eastAsia="仿宋_GB2312" w:cs="Times New Roman"/>
          <w:bCs/>
          <w:sz w:val="32"/>
          <w:szCs w:val="32"/>
          <w:highlight w:val="none"/>
        </w:rPr>
        <w:t>二是</w:t>
      </w:r>
      <w:r>
        <w:rPr>
          <w:rFonts w:ascii="Times New Roman" w:hAnsi="Times New Roman" w:eastAsia="仿宋_GB2312" w:cs="Times New Roman"/>
          <w:sz w:val="32"/>
          <w:szCs w:val="32"/>
          <w:highlight w:val="none"/>
        </w:rPr>
        <w:t>定期跟踪预算执行情况，认真分析上年及本年前三季度预算执行情况，综合考虑享受待遇领取人数、待遇标准变化及待遇政策调整等因素，按照规定的支出范围、项目和标准，做到精准调整；</w:t>
      </w:r>
      <w:r>
        <w:rPr>
          <w:rFonts w:ascii="Times New Roman" w:hAnsi="Times New Roman" w:eastAsia="仿宋_GB2312" w:cs="Times New Roman"/>
          <w:bCs/>
          <w:sz w:val="32"/>
          <w:szCs w:val="32"/>
          <w:highlight w:val="none"/>
        </w:rPr>
        <w:t>三是</w:t>
      </w:r>
      <w:r>
        <w:rPr>
          <w:rFonts w:ascii="Times New Roman" w:hAnsi="Times New Roman" w:eastAsia="仿宋_GB2312" w:cs="Times New Roman"/>
          <w:sz w:val="32"/>
          <w:szCs w:val="32"/>
          <w:highlight w:val="none"/>
        </w:rPr>
        <w:t>继续推进实施城乡居民基本养老保险州级统筹工作，确保各项政策落实到位；</w:t>
      </w:r>
      <w:r>
        <w:rPr>
          <w:rFonts w:ascii="Times New Roman" w:hAnsi="Times New Roman" w:eastAsia="仿宋_GB2312" w:cs="Times New Roman"/>
          <w:bCs/>
          <w:sz w:val="32"/>
          <w:szCs w:val="32"/>
          <w:highlight w:val="none"/>
        </w:rPr>
        <w:t>四是</w:t>
      </w:r>
      <w:r>
        <w:rPr>
          <w:rFonts w:ascii="Times New Roman" w:hAnsi="Times New Roman" w:eastAsia="仿宋_GB2312" w:cs="Times New Roman"/>
          <w:sz w:val="32"/>
          <w:szCs w:val="32"/>
          <w:highlight w:val="none"/>
          <w:lang w:eastAsia="zh-CN"/>
        </w:rPr>
        <w:t>持续提升</w:t>
      </w:r>
      <w:r>
        <w:rPr>
          <w:rFonts w:ascii="Times New Roman" w:hAnsi="Times New Roman" w:eastAsia="仿宋_GB2312" w:cs="Times New Roman"/>
          <w:sz w:val="32"/>
          <w:szCs w:val="32"/>
          <w:highlight w:val="none"/>
        </w:rPr>
        <w:t>基金财务管理</w:t>
      </w:r>
      <w:r>
        <w:rPr>
          <w:rFonts w:ascii="Times New Roman" w:hAnsi="Times New Roman" w:eastAsia="仿宋_GB2312" w:cs="Times New Roman"/>
          <w:sz w:val="32"/>
          <w:szCs w:val="32"/>
          <w:highlight w:val="none"/>
          <w:lang w:eastAsia="zh-CN"/>
        </w:rPr>
        <w:t>水平</w:t>
      </w:r>
      <w:r>
        <w:rPr>
          <w:rFonts w:ascii="Times New Roman" w:hAnsi="Times New Roman" w:eastAsia="仿宋_GB2312" w:cs="Times New Roman"/>
          <w:sz w:val="32"/>
          <w:szCs w:val="32"/>
          <w:highlight w:val="none"/>
        </w:rPr>
        <w:t>，做好资金划转、</w:t>
      </w:r>
    </w:p>
    <w:p w14:paraId="241CB595">
      <w:pPr>
        <w:keepNext/>
        <w:keepLines w:val="0"/>
        <w:widowControl/>
        <w:suppressLineNumbers w:val="0"/>
        <w:snapToGrid w:val="0"/>
        <w:spacing w:line="560" w:lineRule="exact"/>
        <w:jc w:val="left"/>
        <w:textAlignment w:val="center"/>
        <w:outlineLvl w:val="9"/>
        <w:rPr>
          <w:rFonts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lang w:val="en-US" w:eastAsia="zh-CN"/>
        </w:rPr>
        <w:t>会计核算、报表核查、账户管理等工作。</w:t>
      </w:r>
    </w:p>
    <w:p w14:paraId="75F4473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D1411D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26C28B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7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144B5A96">
      <w:pPr>
        <w:widowControl/>
        <w:jc w:val="center"/>
        <w:outlineLvl w:val="0"/>
        <w:rPr>
          <w:rFonts w:hint="eastAsia" w:ascii="Times New Roman" w:hAnsi="Times New Roman" w:eastAsia="仿宋_GB2312" w:cs="仿宋_GB2312"/>
          <w:color w:val="auto"/>
          <w:sz w:val="32"/>
          <w:szCs w:val="32"/>
          <w:highlight w:val="none"/>
        </w:rPr>
      </w:pPr>
      <w:bookmarkStart w:id="75" w:name="_Toc18328"/>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 xml:space="preserve">五部分 </w:t>
      </w:r>
      <w:r>
        <w:rPr>
          <w:rStyle w:val="30"/>
          <w:rFonts w:hint="eastAsia" w:eastAsia="黑体"/>
          <w:b w:val="0"/>
          <w:color w:val="auto"/>
          <w:highlight w:val="none"/>
          <w:lang w:val="en-US" w:eastAsia="zh-CN"/>
        </w:rPr>
        <w:t xml:space="preserve"> </w:t>
      </w:r>
      <w:r>
        <w:rPr>
          <w:rStyle w:val="30"/>
          <w:rFonts w:hint="eastAsia" w:ascii="Times New Roman" w:hAnsi="Times New Roman" w:eastAsia="黑体"/>
          <w:b w:val="0"/>
          <w:color w:val="auto"/>
          <w:highlight w:val="none"/>
        </w:rPr>
        <w:t>附表</w:t>
      </w:r>
      <w:bookmarkEnd w:id="70"/>
      <w:bookmarkEnd w:id="74"/>
      <w:bookmarkEnd w:id="75"/>
      <w:bookmarkStart w:id="76" w:name="_Toc15396619"/>
    </w:p>
    <w:p w14:paraId="5B76F92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7" w:name="_Toc3436"/>
      <w:r>
        <w:rPr>
          <w:rFonts w:hint="eastAsia" w:ascii="Times New Roman" w:hAnsi="Times New Roman" w:eastAsia="仿宋_GB2312" w:cs="仿宋_GB2312"/>
          <w:color w:val="auto"/>
          <w:sz w:val="32"/>
          <w:szCs w:val="32"/>
          <w:highlight w:val="none"/>
        </w:rPr>
        <w:t>一、收入支出决算总表</w:t>
      </w:r>
      <w:bookmarkEnd w:id="76"/>
      <w:bookmarkEnd w:id="77"/>
    </w:p>
    <w:p w14:paraId="585E52D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8" w:name="_Toc15396620"/>
      <w:bookmarkStart w:id="79" w:name="_Toc10614"/>
      <w:r>
        <w:rPr>
          <w:rFonts w:hint="eastAsia" w:ascii="Times New Roman" w:hAnsi="Times New Roman" w:eastAsia="仿宋_GB2312" w:cs="仿宋_GB2312"/>
          <w:color w:val="auto"/>
          <w:sz w:val="32"/>
          <w:szCs w:val="32"/>
          <w:highlight w:val="none"/>
        </w:rPr>
        <w:t>二、收入决算表</w:t>
      </w:r>
      <w:bookmarkEnd w:id="78"/>
      <w:bookmarkEnd w:id="79"/>
    </w:p>
    <w:p w14:paraId="61C5EB4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0" w:name="_Toc14774"/>
      <w:bookmarkStart w:id="81" w:name="_Toc15396621"/>
      <w:r>
        <w:rPr>
          <w:rFonts w:hint="eastAsia" w:ascii="Times New Roman" w:hAnsi="Times New Roman" w:eastAsia="仿宋_GB2312" w:cs="仿宋_GB2312"/>
          <w:color w:val="auto"/>
          <w:sz w:val="32"/>
          <w:szCs w:val="32"/>
          <w:highlight w:val="none"/>
        </w:rPr>
        <w:t>三、支出决算表</w:t>
      </w:r>
      <w:bookmarkEnd w:id="80"/>
      <w:bookmarkEnd w:id="81"/>
    </w:p>
    <w:p w14:paraId="2B40FB6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2" w:name="_Toc5392"/>
      <w:bookmarkStart w:id="83" w:name="_Toc15396622"/>
      <w:r>
        <w:rPr>
          <w:rFonts w:hint="eastAsia" w:ascii="Times New Roman" w:hAnsi="Times New Roman" w:eastAsia="仿宋_GB2312" w:cs="仿宋_GB2312"/>
          <w:color w:val="auto"/>
          <w:sz w:val="32"/>
          <w:szCs w:val="32"/>
          <w:highlight w:val="none"/>
        </w:rPr>
        <w:t>四、财政拨款收入支出决算总表</w:t>
      </w:r>
      <w:bookmarkEnd w:id="82"/>
      <w:bookmarkEnd w:id="83"/>
    </w:p>
    <w:p w14:paraId="0221BCA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4" w:name="_Toc29475"/>
      <w:bookmarkStart w:id="85" w:name="_Toc15396623"/>
      <w:r>
        <w:rPr>
          <w:rFonts w:hint="eastAsia" w:ascii="Times New Roman" w:hAnsi="Times New Roman" w:eastAsia="仿宋_GB2312" w:cs="仿宋_GB2312"/>
          <w:color w:val="auto"/>
          <w:sz w:val="32"/>
          <w:szCs w:val="32"/>
          <w:highlight w:val="none"/>
        </w:rPr>
        <w:t>五、财政拨款支出决算明细表</w:t>
      </w:r>
      <w:bookmarkEnd w:id="84"/>
      <w:bookmarkEnd w:id="85"/>
      <w:bookmarkStart w:id="86" w:name="_Toc15396624"/>
    </w:p>
    <w:p w14:paraId="53FD6F5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7" w:name="_Toc2870"/>
      <w:r>
        <w:rPr>
          <w:rFonts w:hint="eastAsia" w:ascii="Times New Roman" w:hAnsi="Times New Roman" w:eastAsia="仿宋_GB2312" w:cs="仿宋_GB2312"/>
          <w:color w:val="auto"/>
          <w:sz w:val="32"/>
          <w:szCs w:val="32"/>
          <w:highlight w:val="none"/>
        </w:rPr>
        <w:t>六、一般公共预算财政拨款支出决算表</w:t>
      </w:r>
      <w:bookmarkEnd w:id="86"/>
      <w:bookmarkEnd w:id="87"/>
    </w:p>
    <w:p w14:paraId="2B8EE2E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8" w:name="_Toc25605"/>
      <w:bookmarkStart w:id="89" w:name="_Toc15396625"/>
      <w:r>
        <w:rPr>
          <w:rFonts w:hint="eastAsia" w:ascii="Times New Roman" w:hAnsi="Times New Roman" w:eastAsia="仿宋_GB2312" w:cs="仿宋_GB2312"/>
          <w:color w:val="auto"/>
          <w:sz w:val="32"/>
          <w:szCs w:val="32"/>
          <w:highlight w:val="none"/>
        </w:rPr>
        <w:t>七、一般公共预算财政拨款支出决算明细表</w:t>
      </w:r>
      <w:bookmarkEnd w:id="88"/>
      <w:bookmarkEnd w:id="89"/>
    </w:p>
    <w:p w14:paraId="7A3EDB4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0" w:name="_Toc3760"/>
      <w:bookmarkStart w:id="91" w:name="_Toc15396626"/>
      <w:r>
        <w:rPr>
          <w:rFonts w:hint="eastAsia" w:ascii="Times New Roman" w:hAnsi="Times New Roman" w:eastAsia="仿宋_GB2312" w:cs="仿宋_GB2312"/>
          <w:color w:val="auto"/>
          <w:sz w:val="32"/>
          <w:szCs w:val="32"/>
          <w:highlight w:val="none"/>
        </w:rPr>
        <w:t>八、一般公共预算财政拨款基本支出决算表</w:t>
      </w:r>
      <w:bookmarkEnd w:id="90"/>
      <w:bookmarkEnd w:id="91"/>
    </w:p>
    <w:p w14:paraId="71633B3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2" w:name="_Toc15396627"/>
      <w:bookmarkStart w:id="93" w:name="_Toc26330"/>
      <w:r>
        <w:rPr>
          <w:rFonts w:hint="eastAsia" w:ascii="Times New Roman" w:hAnsi="Times New Roman" w:eastAsia="仿宋_GB2312" w:cs="仿宋_GB2312"/>
          <w:color w:val="auto"/>
          <w:sz w:val="32"/>
          <w:szCs w:val="32"/>
          <w:highlight w:val="none"/>
        </w:rPr>
        <w:t>九、一般公共预算财政拨款项目支出决算表</w:t>
      </w:r>
      <w:bookmarkEnd w:id="92"/>
      <w:bookmarkEnd w:id="93"/>
    </w:p>
    <w:p w14:paraId="5C8191B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4" w:name="_Toc15396628"/>
      <w:bookmarkStart w:id="95" w:name="_Toc12171"/>
      <w:r>
        <w:rPr>
          <w:rFonts w:hint="eastAsia" w:ascii="Times New Roman" w:hAnsi="Times New Roman" w:eastAsia="仿宋_GB2312" w:cs="仿宋_GB2312"/>
          <w:color w:val="auto"/>
          <w:sz w:val="32"/>
          <w:szCs w:val="32"/>
          <w:highlight w:val="none"/>
        </w:rPr>
        <w:t>十、</w:t>
      </w:r>
      <w:bookmarkEnd w:id="94"/>
      <w:r>
        <w:rPr>
          <w:rFonts w:hint="eastAsia" w:ascii="Times New Roman" w:hAnsi="Times New Roman" w:eastAsia="仿宋_GB2312" w:cs="仿宋_GB2312"/>
          <w:color w:val="auto"/>
          <w:sz w:val="32"/>
          <w:szCs w:val="32"/>
          <w:highlight w:val="none"/>
        </w:rPr>
        <w:t>政府性基金预算财政拨款收入支出决算表</w:t>
      </w:r>
      <w:bookmarkEnd w:id="95"/>
    </w:p>
    <w:p w14:paraId="2554C6A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6" w:name="_Toc15396629"/>
      <w:bookmarkStart w:id="97" w:name="_Toc5335"/>
      <w:r>
        <w:rPr>
          <w:rFonts w:hint="eastAsia" w:ascii="Times New Roman" w:hAnsi="Times New Roman" w:eastAsia="仿宋_GB2312" w:cs="仿宋_GB2312"/>
          <w:color w:val="auto"/>
          <w:sz w:val="32"/>
          <w:szCs w:val="32"/>
          <w:highlight w:val="none"/>
        </w:rPr>
        <w:t>十一、</w:t>
      </w:r>
      <w:bookmarkEnd w:id="9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97"/>
    </w:p>
    <w:p w14:paraId="54F8AF3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8" w:name="_Toc15396630"/>
      <w:bookmarkStart w:id="99" w:name="_Toc19972"/>
      <w:r>
        <w:rPr>
          <w:rFonts w:hint="eastAsia" w:ascii="Times New Roman" w:hAnsi="Times New Roman" w:eastAsia="仿宋_GB2312" w:cs="仿宋_GB2312"/>
          <w:color w:val="auto"/>
          <w:sz w:val="32"/>
          <w:szCs w:val="32"/>
          <w:highlight w:val="none"/>
        </w:rPr>
        <w:t>十二、</w:t>
      </w:r>
      <w:bookmarkEnd w:id="98"/>
      <w:r>
        <w:rPr>
          <w:rFonts w:hint="eastAsia" w:ascii="Times New Roman" w:hAnsi="Times New Roman" w:eastAsia="仿宋_GB2312" w:cs="仿宋_GB2312"/>
          <w:color w:val="auto"/>
          <w:sz w:val="32"/>
          <w:szCs w:val="32"/>
          <w:highlight w:val="none"/>
          <w:lang w:eastAsia="zh-CN"/>
        </w:rPr>
        <w:t>国有资本经营预算财政拨款支出决算表</w:t>
      </w:r>
      <w:bookmarkEnd w:id="99"/>
    </w:p>
    <w:p w14:paraId="4790827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100" w:name="_Toc15396631"/>
      <w:bookmarkStart w:id="101" w:name="_Toc12736"/>
      <w:r>
        <w:rPr>
          <w:rFonts w:hint="eastAsia" w:ascii="Times New Roman" w:hAnsi="Times New Roman" w:eastAsia="仿宋_GB2312" w:cs="仿宋_GB2312"/>
          <w:color w:val="auto"/>
          <w:sz w:val="32"/>
          <w:szCs w:val="32"/>
          <w:highlight w:val="none"/>
        </w:rPr>
        <w:t>十三、</w:t>
      </w:r>
      <w:bookmarkEnd w:id="100"/>
      <w:r>
        <w:rPr>
          <w:rFonts w:hint="eastAsia" w:ascii="Times New Roman" w:hAnsi="Times New Roman" w:eastAsia="仿宋_GB2312" w:cs="仿宋_GB2312"/>
          <w:color w:val="auto"/>
          <w:sz w:val="32"/>
          <w:szCs w:val="32"/>
          <w:highlight w:val="none"/>
          <w:lang w:eastAsia="zh-CN"/>
        </w:rPr>
        <w:t>财政拨款“三公”经费支出决算表</w:t>
      </w:r>
      <w:bookmarkEnd w:id="101"/>
    </w:p>
    <w:p w14:paraId="08966D4F">
      <w:pPr>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8853E42-E2CB-43DF-A949-50C8B80D29D1}"/>
  </w:font>
  <w:font w:name="黑体">
    <w:panose1 w:val="02010609060101010101"/>
    <w:charset w:val="86"/>
    <w:family w:val="auto"/>
    <w:pitch w:val="default"/>
    <w:sig w:usb0="800002BF" w:usb1="38CF7CFA" w:usb2="00000016" w:usb3="00000000" w:csb0="00040001" w:csb1="00000000"/>
    <w:embedRegular r:id="rId2" w:fontKey="{6C5F7E26-8D5F-489E-A57B-14D90A79807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EEF597D1-9313-4A58-9518-45E6F70A6E96}"/>
  </w:font>
  <w:font w:name="仿宋">
    <w:panose1 w:val="02010609060101010101"/>
    <w:charset w:val="86"/>
    <w:family w:val="modern"/>
    <w:pitch w:val="default"/>
    <w:sig w:usb0="800002BF" w:usb1="38CF7CFA" w:usb2="00000016" w:usb3="00000000" w:csb0="00040001" w:csb1="00000000"/>
    <w:embedRegular r:id="rId4" w:fontKey="{5D205113-B541-4322-AE59-950E39CAD056}"/>
  </w:font>
  <w:font w:name="Calibri Light">
    <w:panose1 w:val="020F0302020204030204"/>
    <w:charset w:val="00"/>
    <w:family w:val="swiss"/>
    <w:pitch w:val="default"/>
    <w:sig w:usb0="E4002EFF" w:usb1="C200247B" w:usb2="00000009" w:usb3="00000000" w:csb0="200001FF"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embedRegular r:id="rId5" w:fontKey="{2EA40B3F-DF75-43F1-85C5-FC0691276198}"/>
  </w:font>
  <w:font w:name="方正小标宋简体">
    <w:panose1 w:val="02010600010101010101"/>
    <w:charset w:val="86"/>
    <w:family w:val="script"/>
    <w:pitch w:val="default"/>
    <w:sig w:usb0="00000001" w:usb1="080E0000" w:usb2="00000000" w:usb3="00000000" w:csb0="00040000" w:csb1="00000000"/>
    <w:embedRegular r:id="rId6" w:fontKey="{24116A98-3FA5-485D-9E87-8D7CCBB016CD}"/>
  </w:font>
  <w:font w:name="楷体_GB2312">
    <w:altName w:val="楷体"/>
    <w:panose1 w:val="02010609030101010101"/>
    <w:charset w:val="86"/>
    <w:family w:val="auto"/>
    <w:pitch w:val="default"/>
    <w:sig w:usb0="00000000" w:usb1="00000000" w:usb2="00000000" w:usb3="00000000" w:csb0="00040000" w:csb1="00000000"/>
    <w:embedRegular r:id="rId7" w:fontKey="{738D6C25-7C03-4F0E-9F87-D8A88954DA24}"/>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embedRegular r:id="rId8" w:fontKey="{8D165BD7-3C9A-481B-91E2-8131B64C007D}"/>
  </w:font>
  <w:font w:name="微软雅黑">
    <w:panose1 w:val="020B0503020204020204"/>
    <w:charset w:val="86"/>
    <w:family w:val="auto"/>
    <w:pitch w:val="default"/>
    <w:sig w:usb0="80000287" w:usb1="2ACF3C50" w:usb2="00000016" w:usb3="00000000" w:csb0="0004001F" w:csb1="00000000"/>
    <w:embedRegular r:id="rId9" w:fontKey="{6125E7AF-CFFA-4EA3-AF91-CAD6318A6FD4}"/>
  </w:font>
  <w:font w:name="方正仿宋_GB2312">
    <w:panose1 w:val="02000000000000000000"/>
    <w:charset w:val="86"/>
    <w:family w:val="auto"/>
    <w:pitch w:val="default"/>
    <w:sig w:usb0="A00002BF" w:usb1="184F6CFA" w:usb2="00000012" w:usb3="00000000" w:csb0="00040001" w:csb1="00000000"/>
    <w:embedRegular r:id="rId10" w:fontKey="{1E9D2166-8215-40C4-9787-37BA586E438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24F0">
    <w:pPr>
      <w:pStyle w:val="12"/>
      <w:jc w:val="center"/>
    </w:pPr>
  </w:p>
  <w:p w14:paraId="3777894B">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2"/>
      <w:jc w:val="center"/>
    </w:pPr>
  </w:p>
  <w:p w14:paraId="031821C6">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499CD2"/>
    <w:multiLevelType w:val="singleLevel"/>
    <w:tmpl w:val="CE499CD2"/>
    <w:lvl w:ilvl="0" w:tentative="0">
      <w:start w:val="2"/>
      <w:numFmt w:val="decimal"/>
      <w:lvlText w:val="%1."/>
      <w:lvlJc w:val="left"/>
      <w:pPr>
        <w:tabs>
          <w:tab w:val="left" w:pos="312"/>
        </w:tabs>
      </w:pPr>
    </w:lvl>
  </w:abstractNum>
  <w:abstractNum w:abstractNumId="1">
    <w:nsid w:val="D5484518"/>
    <w:multiLevelType w:val="singleLevel"/>
    <w:tmpl w:val="D5484518"/>
    <w:lvl w:ilvl="0" w:tentative="0">
      <w:start w:val="1"/>
      <w:numFmt w:val="decimal"/>
      <w:lvlText w:val="%1."/>
      <w:lvlJc w:val="left"/>
      <w:pPr>
        <w:tabs>
          <w:tab w:val="left" w:pos="312"/>
        </w:tabs>
      </w:pPr>
    </w:lvl>
  </w:abstractNum>
  <w:abstractNum w:abstractNumId="2">
    <w:nsid w:val="F0403DA4"/>
    <w:multiLevelType w:val="singleLevel"/>
    <w:tmpl w:val="F0403DA4"/>
    <w:lvl w:ilvl="0" w:tentative="0">
      <w:start w:val="1"/>
      <w:numFmt w:val="decimal"/>
      <w:suff w:val="nothing"/>
      <w:lvlText w:val="%1．"/>
      <w:lvlJc w:val="left"/>
      <w:pPr>
        <w:ind w:left="0" w:firstLine="400"/>
      </w:pPr>
      <w:rPr>
        <w:rFonts w:hint="default"/>
        <w:sz w:val="32"/>
        <w:szCs w:val="32"/>
      </w:rPr>
    </w:lvl>
  </w:abstractNum>
  <w:abstractNum w:abstractNumId="3">
    <w:nsid w:val="1E66A714"/>
    <w:multiLevelType w:val="singleLevel"/>
    <w:tmpl w:val="1E66A714"/>
    <w:lvl w:ilvl="0" w:tentative="0">
      <w:start w:val="1"/>
      <w:numFmt w:val="decimal"/>
      <w:suff w:val="nothing"/>
      <w:lvlText w:val="%1．"/>
      <w:lvlJc w:val="left"/>
      <w:pPr>
        <w:ind w:left="0" w:firstLine="400"/>
      </w:pPr>
      <w:rPr>
        <w:rFonts w:hint="default"/>
        <w:sz w:val="32"/>
        <w:szCs w:val="32"/>
      </w:rPr>
    </w:lvl>
  </w:abstractNum>
  <w:abstractNum w:abstractNumId="4">
    <w:nsid w:val="284A8198"/>
    <w:multiLevelType w:val="singleLevel"/>
    <w:tmpl w:val="284A8198"/>
    <w:lvl w:ilvl="0" w:tentative="0">
      <w:start w:val="2"/>
      <w:numFmt w:val="chineseCounting"/>
      <w:suff w:val="nothing"/>
      <w:lvlText w:val="（%1）"/>
      <w:lvlJc w:val="left"/>
      <w:rPr>
        <w:rFonts w:hint="eastAsia"/>
      </w:rPr>
    </w:lvl>
  </w:abstractNum>
  <w:abstractNum w:abstractNumId="5">
    <w:nsid w:val="3F1F8009"/>
    <w:multiLevelType w:val="singleLevel"/>
    <w:tmpl w:val="3F1F8009"/>
    <w:lvl w:ilvl="0" w:tentative="0">
      <w:start w:val="2"/>
      <w:numFmt w:val="chineseCounting"/>
      <w:suff w:val="nothing"/>
      <w:lvlText w:val="（%1）"/>
      <w:lvlJc w:val="left"/>
      <w:rPr>
        <w:rFonts w:hint="eastAsia"/>
      </w:rPr>
    </w:lvl>
  </w:abstractNum>
  <w:abstractNum w:abstractNumId="6">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6"/>
  </w:num>
  <w:num w:numId="2">
    <w:abstractNumId w:val="2"/>
  </w:num>
  <w:num w:numId="3">
    <w:abstractNumId w:val="3"/>
  </w:num>
  <w:num w:numId="4">
    <w:abstractNumId w:val="5"/>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5688F"/>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9C7664"/>
    <w:rsid w:val="02FEBE30"/>
    <w:rsid w:val="03030BB2"/>
    <w:rsid w:val="04916F1E"/>
    <w:rsid w:val="04DB26FC"/>
    <w:rsid w:val="057228FE"/>
    <w:rsid w:val="061E35DE"/>
    <w:rsid w:val="06523F87"/>
    <w:rsid w:val="066E0107"/>
    <w:rsid w:val="07375BAD"/>
    <w:rsid w:val="07996F6E"/>
    <w:rsid w:val="07DFD8BA"/>
    <w:rsid w:val="0841638B"/>
    <w:rsid w:val="08713341"/>
    <w:rsid w:val="09257549"/>
    <w:rsid w:val="09867E8F"/>
    <w:rsid w:val="0A2032A3"/>
    <w:rsid w:val="0A670558"/>
    <w:rsid w:val="0BA457DB"/>
    <w:rsid w:val="0C7D16A3"/>
    <w:rsid w:val="0CA8290A"/>
    <w:rsid w:val="0CBB28B8"/>
    <w:rsid w:val="0D35B1ED"/>
    <w:rsid w:val="0DF54607"/>
    <w:rsid w:val="0E063231"/>
    <w:rsid w:val="0E254B6B"/>
    <w:rsid w:val="0F98263C"/>
    <w:rsid w:val="101860EC"/>
    <w:rsid w:val="101F47CC"/>
    <w:rsid w:val="10C055FF"/>
    <w:rsid w:val="11694EBD"/>
    <w:rsid w:val="11772AA4"/>
    <w:rsid w:val="118107EC"/>
    <w:rsid w:val="12266F4A"/>
    <w:rsid w:val="125C0BBE"/>
    <w:rsid w:val="12E24EE2"/>
    <w:rsid w:val="13390EFF"/>
    <w:rsid w:val="13D50BC4"/>
    <w:rsid w:val="14B17F78"/>
    <w:rsid w:val="14BD4B65"/>
    <w:rsid w:val="15397A06"/>
    <w:rsid w:val="165E0673"/>
    <w:rsid w:val="16AB2E5D"/>
    <w:rsid w:val="16B831D5"/>
    <w:rsid w:val="16BB723D"/>
    <w:rsid w:val="175400B6"/>
    <w:rsid w:val="175B488E"/>
    <w:rsid w:val="17E50567"/>
    <w:rsid w:val="186504BB"/>
    <w:rsid w:val="188744BB"/>
    <w:rsid w:val="19A445FC"/>
    <w:rsid w:val="1BE8440E"/>
    <w:rsid w:val="1CBF06C7"/>
    <w:rsid w:val="1CC6347C"/>
    <w:rsid w:val="1D155CEE"/>
    <w:rsid w:val="1D1638FE"/>
    <w:rsid w:val="1DEA3522"/>
    <w:rsid w:val="1E312DEB"/>
    <w:rsid w:val="1E740ACF"/>
    <w:rsid w:val="1F413615"/>
    <w:rsid w:val="1FF35744"/>
    <w:rsid w:val="1FF6BC77"/>
    <w:rsid w:val="205F522A"/>
    <w:rsid w:val="208642F4"/>
    <w:rsid w:val="2186353C"/>
    <w:rsid w:val="21DE16AF"/>
    <w:rsid w:val="22791318"/>
    <w:rsid w:val="23540202"/>
    <w:rsid w:val="23860B96"/>
    <w:rsid w:val="23C72304"/>
    <w:rsid w:val="240371BF"/>
    <w:rsid w:val="241E5CD3"/>
    <w:rsid w:val="244F3473"/>
    <w:rsid w:val="24C97D99"/>
    <w:rsid w:val="250E6DEB"/>
    <w:rsid w:val="25A718F0"/>
    <w:rsid w:val="25BB59F6"/>
    <w:rsid w:val="260F557C"/>
    <w:rsid w:val="261E020C"/>
    <w:rsid w:val="26970054"/>
    <w:rsid w:val="27316648"/>
    <w:rsid w:val="277F117F"/>
    <w:rsid w:val="27FA446F"/>
    <w:rsid w:val="281408E2"/>
    <w:rsid w:val="29656152"/>
    <w:rsid w:val="29FD04D3"/>
    <w:rsid w:val="2ABD43F8"/>
    <w:rsid w:val="2BFF7BC6"/>
    <w:rsid w:val="2C715B69"/>
    <w:rsid w:val="2C8A61B5"/>
    <w:rsid w:val="2D305A3B"/>
    <w:rsid w:val="2D964B2C"/>
    <w:rsid w:val="2DA41CE1"/>
    <w:rsid w:val="2DC27430"/>
    <w:rsid w:val="2DF04E50"/>
    <w:rsid w:val="2E184C68"/>
    <w:rsid w:val="2E586DFA"/>
    <w:rsid w:val="2F040D46"/>
    <w:rsid w:val="2F320885"/>
    <w:rsid w:val="2F5F53F2"/>
    <w:rsid w:val="2F6B035B"/>
    <w:rsid w:val="2FAE5751"/>
    <w:rsid w:val="2FB1A395"/>
    <w:rsid w:val="2FD9A7D8"/>
    <w:rsid w:val="2FDBF714"/>
    <w:rsid w:val="30AB6865"/>
    <w:rsid w:val="311C359A"/>
    <w:rsid w:val="315C7E3B"/>
    <w:rsid w:val="316B62D0"/>
    <w:rsid w:val="319E48F7"/>
    <w:rsid w:val="319F7F4E"/>
    <w:rsid w:val="31AB4AC2"/>
    <w:rsid w:val="32BD1EF1"/>
    <w:rsid w:val="3304709D"/>
    <w:rsid w:val="33A773CB"/>
    <w:rsid w:val="34665331"/>
    <w:rsid w:val="349D6851"/>
    <w:rsid w:val="3521172E"/>
    <w:rsid w:val="35D755E7"/>
    <w:rsid w:val="36637A9D"/>
    <w:rsid w:val="368F0CB2"/>
    <w:rsid w:val="36AA5135"/>
    <w:rsid w:val="36BE0DA7"/>
    <w:rsid w:val="36DD2F4E"/>
    <w:rsid w:val="376B6AA6"/>
    <w:rsid w:val="376D39B2"/>
    <w:rsid w:val="37C678CF"/>
    <w:rsid w:val="37E16F03"/>
    <w:rsid w:val="37F53A3B"/>
    <w:rsid w:val="389B6C89"/>
    <w:rsid w:val="38D469F0"/>
    <w:rsid w:val="3913458B"/>
    <w:rsid w:val="393A4D47"/>
    <w:rsid w:val="39627CCD"/>
    <w:rsid w:val="397BAF1F"/>
    <w:rsid w:val="39C80763"/>
    <w:rsid w:val="3AB79AF3"/>
    <w:rsid w:val="3AC9498B"/>
    <w:rsid w:val="3AD81A2B"/>
    <w:rsid w:val="3AE834C0"/>
    <w:rsid w:val="3AFB2473"/>
    <w:rsid w:val="3B7EF35A"/>
    <w:rsid w:val="3B9FDB6C"/>
    <w:rsid w:val="3BF5BC2F"/>
    <w:rsid w:val="3CAB7EC8"/>
    <w:rsid w:val="3CEBA265"/>
    <w:rsid w:val="3D98207C"/>
    <w:rsid w:val="3D982857"/>
    <w:rsid w:val="3DEE7CF3"/>
    <w:rsid w:val="3E4707A5"/>
    <w:rsid w:val="3E740A63"/>
    <w:rsid w:val="3E78745D"/>
    <w:rsid w:val="3EDE0BF0"/>
    <w:rsid w:val="3EE17838"/>
    <w:rsid w:val="3F536D21"/>
    <w:rsid w:val="3F55381A"/>
    <w:rsid w:val="3F7F7599"/>
    <w:rsid w:val="3FE37CCF"/>
    <w:rsid w:val="3FF4CAE0"/>
    <w:rsid w:val="3FF7B227"/>
    <w:rsid w:val="40416B7A"/>
    <w:rsid w:val="40A47108"/>
    <w:rsid w:val="41067DC3"/>
    <w:rsid w:val="412F2E76"/>
    <w:rsid w:val="416F7D53"/>
    <w:rsid w:val="42B0448A"/>
    <w:rsid w:val="43164D0D"/>
    <w:rsid w:val="434D1CD9"/>
    <w:rsid w:val="43911BC6"/>
    <w:rsid w:val="44890DCE"/>
    <w:rsid w:val="44E268DA"/>
    <w:rsid w:val="450D13D7"/>
    <w:rsid w:val="454C31E3"/>
    <w:rsid w:val="45506656"/>
    <w:rsid w:val="45B7168C"/>
    <w:rsid w:val="463902F3"/>
    <w:rsid w:val="46CE31F1"/>
    <w:rsid w:val="48131E90"/>
    <w:rsid w:val="48313923"/>
    <w:rsid w:val="483C5908"/>
    <w:rsid w:val="486A6C7A"/>
    <w:rsid w:val="4A627F82"/>
    <w:rsid w:val="4B0E749A"/>
    <w:rsid w:val="4B2477C4"/>
    <w:rsid w:val="4B4F25DA"/>
    <w:rsid w:val="4BE068DB"/>
    <w:rsid w:val="4CD8280E"/>
    <w:rsid w:val="4D510618"/>
    <w:rsid w:val="4D577224"/>
    <w:rsid w:val="4DBA7040"/>
    <w:rsid w:val="4DBF1CEB"/>
    <w:rsid w:val="4DF0007C"/>
    <w:rsid w:val="4EAB630A"/>
    <w:rsid w:val="4ECE2238"/>
    <w:rsid w:val="4F477F24"/>
    <w:rsid w:val="4F833267"/>
    <w:rsid w:val="4FB862CC"/>
    <w:rsid w:val="4FE9BD67"/>
    <w:rsid w:val="4FFB052F"/>
    <w:rsid w:val="52D47D21"/>
    <w:rsid w:val="533B7DA0"/>
    <w:rsid w:val="537E6D0A"/>
    <w:rsid w:val="53A828E9"/>
    <w:rsid w:val="53F74C96"/>
    <w:rsid w:val="53FD0BB2"/>
    <w:rsid w:val="55170BA8"/>
    <w:rsid w:val="553218C9"/>
    <w:rsid w:val="55772500"/>
    <w:rsid w:val="55CB540B"/>
    <w:rsid w:val="564372DA"/>
    <w:rsid w:val="567E1AA5"/>
    <w:rsid w:val="56E47B74"/>
    <w:rsid w:val="57175D52"/>
    <w:rsid w:val="57906374"/>
    <w:rsid w:val="57A7338F"/>
    <w:rsid w:val="57BD3DD4"/>
    <w:rsid w:val="584E2B8F"/>
    <w:rsid w:val="5A0D6898"/>
    <w:rsid w:val="5A3B68D8"/>
    <w:rsid w:val="5A9F6E67"/>
    <w:rsid w:val="5AF92295"/>
    <w:rsid w:val="5B250254"/>
    <w:rsid w:val="5BDD79E6"/>
    <w:rsid w:val="5BF561CA"/>
    <w:rsid w:val="5BFF5DFC"/>
    <w:rsid w:val="5C7779C1"/>
    <w:rsid w:val="5C8D7611"/>
    <w:rsid w:val="5CD71FC4"/>
    <w:rsid w:val="5D1F11B5"/>
    <w:rsid w:val="5D695134"/>
    <w:rsid w:val="5D8272F5"/>
    <w:rsid w:val="5DAE1B18"/>
    <w:rsid w:val="5DE7D9E5"/>
    <w:rsid w:val="5ECEC941"/>
    <w:rsid w:val="5FBF9FF3"/>
    <w:rsid w:val="5FCD4E2C"/>
    <w:rsid w:val="5FEF394A"/>
    <w:rsid w:val="5FF67715"/>
    <w:rsid w:val="5FFB68ED"/>
    <w:rsid w:val="60BB7E2A"/>
    <w:rsid w:val="612E2892"/>
    <w:rsid w:val="62BF3928"/>
    <w:rsid w:val="632C3261"/>
    <w:rsid w:val="63B3701E"/>
    <w:rsid w:val="647F5392"/>
    <w:rsid w:val="651951E5"/>
    <w:rsid w:val="65E66580"/>
    <w:rsid w:val="664B1D71"/>
    <w:rsid w:val="664B4E8E"/>
    <w:rsid w:val="66547382"/>
    <w:rsid w:val="66B477F6"/>
    <w:rsid w:val="66D206EE"/>
    <w:rsid w:val="66EE65DC"/>
    <w:rsid w:val="67277B67"/>
    <w:rsid w:val="674A63AC"/>
    <w:rsid w:val="675F3C06"/>
    <w:rsid w:val="678E7ECB"/>
    <w:rsid w:val="67AA3209"/>
    <w:rsid w:val="698D0931"/>
    <w:rsid w:val="6A6F3CED"/>
    <w:rsid w:val="6A7FE5F3"/>
    <w:rsid w:val="6AD541DF"/>
    <w:rsid w:val="6B053271"/>
    <w:rsid w:val="6B555ED8"/>
    <w:rsid w:val="6BDD78B3"/>
    <w:rsid w:val="6C4A05C8"/>
    <w:rsid w:val="6C612FA7"/>
    <w:rsid w:val="6C8742B8"/>
    <w:rsid w:val="6CDB575B"/>
    <w:rsid w:val="6D013069"/>
    <w:rsid w:val="6DBF5E93"/>
    <w:rsid w:val="6DFF077E"/>
    <w:rsid w:val="6E714EF0"/>
    <w:rsid w:val="6E7E3605"/>
    <w:rsid w:val="6E7FDCC7"/>
    <w:rsid w:val="6EC46A44"/>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343D24"/>
    <w:rsid w:val="744731E5"/>
    <w:rsid w:val="74BBD01D"/>
    <w:rsid w:val="74ED5379"/>
    <w:rsid w:val="75DEEEC2"/>
    <w:rsid w:val="75E32345"/>
    <w:rsid w:val="766A0CA5"/>
    <w:rsid w:val="76E3355F"/>
    <w:rsid w:val="76FF5125"/>
    <w:rsid w:val="776F6FFA"/>
    <w:rsid w:val="778769C8"/>
    <w:rsid w:val="77A75DCA"/>
    <w:rsid w:val="77DC22F5"/>
    <w:rsid w:val="783E271A"/>
    <w:rsid w:val="78616DE9"/>
    <w:rsid w:val="78C95383"/>
    <w:rsid w:val="78E35DB2"/>
    <w:rsid w:val="78E875D7"/>
    <w:rsid w:val="79086DAD"/>
    <w:rsid w:val="79D7FD79"/>
    <w:rsid w:val="79EE5BA4"/>
    <w:rsid w:val="7A0174D5"/>
    <w:rsid w:val="7A5779CE"/>
    <w:rsid w:val="7A894339"/>
    <w:rsid w:val="7ABB5DEB"/>
    <w:rsid w:val="7AD284E8"/>
    <w:rsid w:val="7AFF7572"/>
    <w:rsid w:val="7B264BB7"/>
    <w:rsid w:val="7B6145EC"/>
    <w:rsid w:val="7B6C7DFB"/>
    <w:rsid w:val="7B8C6B3B"/>
    <w:rsid w:val="7BBFBED0"/>
    <w:rsid w:val="7BC3E394"/>
    <w:rsid w:val="7C1F3737"/>
    <w:rsid w:val="7CBFC87B"/>
    <w:rsid w:val="7CE8640F"/>
    <w:rsid w:val="7CFE0F48"/>
    <w:rsid w:val="7D272ABC"/>
    <w:rsid w:val="7D7EC23E"/>
    <w:rsid w:val="7DE70964"/>
    <w:rsid w:val="7DF84014"/>
    <w:rsid w:val="7E8ADEBF"/>
    <w:rsid w:val="7EEF11D3"/>
    <w:rsid w:val="7EFE4840"/>
    <w:rsid w:val="7F0971A6"/>
    <w:rsid w:val="7F1B454B"/>
    <w:rsid w:val="7F1D62E7"/>
    <w:rsid w:val="7F3F679B"/>
    <w:rsid w:val="7F4FC4EF"/>
    <w:rsid w:val="7F5E4D54"/>
    <w:rsid w:val="7F6E0135"/>
    <w:rsid w:val="7F79F205"/>
    <w:rsid w:val="7FA30C79"/>
    <w:rsid w:val="7FA79C44"/>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unhideWhenUsed/>
    <w:qFormat/>
    <w:uiPriority w:val="99"/>
    <w:pPr>
      <w:ind w:firstLine="680"/>
    </w:pPr>
  </w:style>
  <w:style w:type="paragraph" w:styleId="9">
    <w:name w:val="Body Text"/>
    <w:basedOn w:val="1"/>
    <w:next w:val="1"/>
    <w:link w:val="27"/>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Subtitle"/>
    <w:basedOn w:val="1"/>
    <w:next w:val="1"/>
    <w:qFormat/>
    <w:uiPriority w:val="0"/>
    <w:pPr>
      <w:spacing w:before="240" w:after="60" w:line="312" w:lineRule="auto"/>
      <w:jc w:val="center"/>
      <w:outlineLvl w:val="1"/>
    </w:pPr>
    <w:rPr>
      <w:rFonts w:ascii="Calibri Light" w:hAnsi="Calibri Light"/>
      <w:b/>
      <w:bCs/>
      <w:kern w:val="28"/>
      <w:sz w:val="32"/>
      <w:szCs w:val="32"/>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9"/>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5"/>
    <w:qFormat/>
    <w:uiPriority w:val="9"/>
    <w:rPr>
      <w:rFonts w:ascii="Times New Roman" w:hAnsi="Times New Roman"/>
      <w:b/>
      <w:bCs/>
      <w:kern w:val="44"/>
      <w:sz w:val="44"/>
      <w:szCs w:val="44"/>
    </w:rPr>
  </w:style>
  <w:style w:type="character" w:customStyle="1" w:styleId="31">
    <w:name w:val="标题 2 Char"/>
    <w:basedOn w:val="18"/>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7"/>
    <w:qFormat/>
    <w:uiPriority w:val="9"/>
    <w:rPr>
      <w:rFonts w:ascii="Times New Roman" w:hAnsi="Times New Roman"/>
      <w:b/>
      <w:bCs/>
      <w:kern w:val="2"/>
      <w:sz w:val="32"/>
      <w:szCs w:val="32"/>
    </w:rPr>
  </w:style>
  <w:style w:type="paragraph" w:customStyle="1" w:styleId="35">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7">
    <w:name w:val="font121"/>
    <w:basedOn w:val="18"/>
    <w:uiPriority w:val="0"/>
    <w:rPr>
      <w:rFonts w:hint="eastAsia" w:ascii="宋体" w:hAnsi="宋体" w:eastAsia="宋体" w:cs="宋体"/>
      <w:color w:val="000000"/>
      <w:sz w:val="18"/>
      <w:szCs w:val="18"/>
      <w:u w:val="none"/>
    </w:rPr>
  </w:style>
  <w:style w:type="character" w:customStyle="1" w:styleId="38">
    <w:name w:val="font131"/>
    <w:basedOn w:val="18"/>
    <w:uiPriority w:val="0"/>
    <w:rPr>
      <w:rFonts w:ascii="Arial" w:hAnsi="Arial" w:cs="Arial"/>
      <w:color w:val="000000"/>
      <w:sz w:val="18"/>
      <w:szCs w:val="18"/>
      <w:u w:val="none"/>
    </w:rPr>
  </w:style>
  <w:style w:type="paragraph" w:customStyle="1" w:styleId="39">
    <w:name w:val="实施方案正文"/>
    <w:basedOn w:val="1"/>
    <w:qFormat/>
    <w:uiPriority w:val="0"/>
    <w:pPr>
      <w:ind w:firstLine="202" w:firstLineChars="202"/>
    </w:pPr>
    <w:rPr>
      <w:rFonts w:ascii="等线" w:eastAsia="等线"/>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6388.59</c:v>
                </c:pt>
                <c:pt idx="1">
                  <c:v>6946.85</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1dcebafc-ba78-4c43-bffe-1d5cdf17d59e}"/>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其他收入</c:v>
                </c:pt>
              </c:strCache>
            </c:strRef>
          </c:cat>
          <c:val>
            <c:numRef>
              <c:f>Sheet1!$B$2:$B$3</c:f>
              <c:numCache>
                <c:formatCode>General</c:formatCode>
                <c:ptCount val="2"/>
                <c:pt idx="0">
                  <c:v>6493.85</c:v>
                </c:pt>
                <c:pt idx="1">
                  <c:v>453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5185.73</c:v>
                </c:pt>
                <c:pt idx="1">
                  <c:v>1512.28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6388.59</c:v>
                </c:pt>
                <c:pt idx="1">
                  <c:v>6946.85</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6388.59</c:v>
                </c:pt>
                <c:pt idx="1">
                  <c:v>6493.85</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社会保障和就业支出</c:v>
                </c:pt>
                <c:pt idx="1">
                  <c:v>卫生健康支出</c:v>
                </c:pt>
                <c:pt idx="2">
                  <c:v>住房保障支出</c:v>
                </c:pt>
              </c:strCache>
            </c:strRef>
          </c:cat>
          <c:val>
            <c:numRef>
              <c:f>Sheet1!$B$2:$B$4</c:f>
              <c:numCache>
                <c:formatCode>General</c:formatCode>
                <c:ptCount val="3"/>
                <c:pt idx="0">
                  <c:v>6118.35</c:v>
                </c:pt>
                <c:pt idx="1">
                  <c:v>244.21</c:v>
                </c:pt>
                <c:pt idx="2">
                  <c:v>131.29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46a54d-594c-40f2-b5cf-af3b2d5997e8}"/>
      </c:ext>
    </c:extLst>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90.6</c:v>
                </c:pt>
                <c:pt idx="2">
                  <c:v>1.31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5925bff-242a-4b51-a2bb-806cb12a3a27}"/>
      </c:ext>
    </c:extLst>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123</Pages>
  <Words>16194</Words>
  <Characters>17700</Characters>
  <Lines>61</Lines>
  <Paragraphs>17</Paragraphs>
  <TotalTime>3</TotalTime>
  <ScaleCrop>false</ScaleCrop>
  <LinksUpToDate>false</LinksUpToDate>
  <CharactersWithSpaces>17785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Tong</cp:lastModifiedBy>
  <cp:lastPrinted>2025-08-06T17:34:00Z</cp:lastPrinted>
  <dcterms:modified xsi:type="dcterms:W3CDTF">2026-09-17T06:59:49Z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D9D4482941234FB3BFA69E318180794B_13</vt:lpwstr>
  </property>
  <property fmtid="{D5CDD505-2E9C-101B-9397-08002B2CF9AE}" pid="4" name="KSOTemplateDocerSaveRecord">
    <vt:lpwstr>eyJoZGlkIjoiYzE2MDBlMDAzMTNhMThlOTQzMDNjNjFlZWI4YmVjZjAiLCJ1c2VySWQiOiI1MTQ3MzUwMTcifQ==</vt:lpwstr>
  </property>
</Properties>
</file>