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FF1CFD"/>
    <w:p w14:paraId="1F63754C"/>
    <w:p w14:paraId="1046DD5B"/>
    <w:p w14:paraId="545BC6BE">
      <w:pPr>
        <w:ind w:firstLine="1050" w:firstLineChars="500"/>
      </w:pPr>
    </w:p>
    <w:p w14:paraId="5197DE74">
      <w:pPr>
        <w:ind w:firstLine="1050" w:firstLineChars="500"/>
      </w:pPr>
    </w:p>
    <w:p w14:paraId="7BC50CE9">
      <w:pPr>
        <w:ind w:firstLine="1760" w:firstLineChars="400"/>
        <w:rPr>
          <w:rFonts w:ascii="黑体" w:eastAsia="黑体"/>
          <w:sz w:val="44"/>
          <w:szCs w:val="44"/>
        </w:rPr>
      </w:pPr>
    </w:p>
    <w:p w14:paraId="32A1E0C3">
      <w:pPr>
        <w:ind w:firstLine="1760" w:firstLineChars="400"/>
        <w:rPr>
          <w:rFonts w:ascii="黑体" w:eastAsia="黑体"/>
          <w:sz w:val="44"/>
          <w:szCs w:val="44"/>
        </w:rPr>
      </w:pPr>
    </w:p>
    <w:p w14:paraId="1E4479FE">
      <w:pPr>
        <w:jc w:val="center"/>
        <w:rPr>
          <w:rFonts w:hint="eastAsia" w:ascii="黑体" w:eastAsia="黑体"/>
          <w:sz w:val="44"/>
          <w:szCs w:val="44"/>
          <w:lang w:eastAsia="zh-CN"/>
        </w:rPr>
      </w:pPr>
      <w:r>
        <w:rPr>
          <w:rFonts w:hint="eastAsia" w:ascii="黑体" w:eastAsia="黑体"/>
          <w:sz w:val="44"/>
          <w:szCs w:val="44"/>
        </w:rPr>
        <w:t>阿坝州</w:t>
      </w:r>
      <w:r>
        <w:rPr>
          <w:rFonts w:hint="eastAsia" w:ascii="黑体" w:eastAsia="黑体"/>
          <w:sz w:val="44"/>
          <w:szCs w:val="44"/>
          <w:lang w:eastAsia="zh-CN"/>
        </w:rPr>
        <w:t>人力资源和社会保障局</w:t>
      </w:r>
    </w:p>
    <w:p w14:paraId="1C2716B8">
      <w:pPr>
        <w:jc w:val="center"/>
        <w:rPr>
          <w:rFonts w:ascii="黑体" w:eastAsia="黑体"/>
          <w:sz w:val="44"/>
          <w:szCs w:val="44"/>
        </w:rPr>
      </w:pPr>
      <w:r>
        <w:rPr>
          <w:rFonts w:ascii="黑体" w:eastAsia="黑体"/>
          <w:sz w:val="44"/>
          <w:szCs w:val="44"/>
        </w:rPr>
        <w:t>202</w:t>
      </w:r>
      <w:r>
        <w:rPr>
          <w:rFonts w:hint="eastAsia" w:ascii="黑体" w:eastAsia="黑体"/>
          <w:sz w:val="44"/>
          <w:szCs w:val="44"/>
          <w:lang w:val="en-US" w:eastAsia="zh-CN"/>
        </w:rPr>
        <w:t>6</w:t>
      </w:r>
      <w:r>
        <w:rPr>
          <w:rFonts w:hint="eastAsia" w:ascii="黑体" w:eastAsia="黑体"/>
          <w:sz w:val="44"/>
          <w:szCs w:val="44"/>
        </w:rPr>
        <w:t>年部门预算</w:t>
      </w:r>
      <w:r>
        <w:rPr>
          <w:rFonts w:ascii="黑体" w:eastAsia="黑体"/>
          <w:sz w:val="44"/>
          <w:szCs w:val="44"/>
        </w:rPr>
        <w:t>（部门汇总）</w:t>
      </w:r>
    </w:p>
    <w:p w14:paraId="4DCC2BBC">
      <w:pPr>
        <w:ind w:firstLine="1760" w:firstLineChars="400"/>
        <w:rPr>
          <w:rFonts w:ascii="黑体" w:eastAsia="黑体"/>
          <w:sz w:val="44"/>
          <w:szCs w:val="44"/>
        </w:rPr>
      </w:pPr>
    </w:p>
    <w:p w14:paraId="13A4BAFA">
      <w:pPr>
        <w:ind w:firstLine="1760" w:firstLineChars="400"/>
        <w:rPr>
          <w:rFonts w:ascii="黑体" w:eastAsia="黑体"/>
          <w:sz w:val="44"/>
          <w:szCs w:val="44"/>
        </w:rPr>
      </w:pPr>
    </w:p>
    <w:p w14:paraId="09F5D300">
      <w:pPr>
        <w:ind w:firstLine="1760" w:firstLineChars="400"/>
        <w:rPr>
          <w:rFonts w:ascii="黑体" w:eastAsia="黑体"/>
          <w:sz w:val="44"/>
          <w:szCs w:val="44"/>
        </w:rPr>
      </w:pPr>
    </w:p>
    <w:p w14:paraId="5F4AC4CF">
      <w:pPr>
        <w:ind w:firstLine="1760" w:firstLineChars="400"/>
        <w:rPr>
          <w:rFonts w:ascii="黑体" w:eastAsia="黑体"/>
          <w:sz w:val="44"/>
          <w:szCs w:val="44"/>
        </w:rPr>
      </w:pPr>
    </w:p>
    <w:p w14:paraId="7DFA05AD">
      <w:pPr>
        <w:ind w:firstLine="1760" w:firstLineChars="400"/>
        <w:rPr>
          <w:rFonts w:ascii="黑体" w:eastAsia="黑体"/>
          <w:sz w:val="44"/>
          <w:szCs w:val="44"/>
        </w:rPr>
      </w:pPr>
    </w:p>
    <w:p w14:paraId="3F5D6197">
      <w:pPr>
        <w:ind w:firstLine="1760" w:firstLineChars="400"/>
        <w:rPr>
          <w:rFonts w:ascii="黑体" w:eastAsia="黑体"/>
          <w:sz w:val="44"/>
          <w:szCs w:val="44"/>
        </w:rPr>
      </w:pPr>
    </w:p>
    <w:p w14:paraId="37F5C24A">
      <w:pPr>
        <w:ind w:firstLine="1760" w:firstLineChars="400"/>
        <w:rPr>
          <w:rFonts w:ascii="黑体" w:eastAsia="黑体"/>
          <w:sz w:val="44"/>
          <w:szCs w:val="44"/>
        </w:rPr>
      </w:pPr>
    </w:p>
    <w:p w14:paraId="4076EE7E">
      <w:pPr>
        <w:ind w:firstLine="1760" w:firstLineChars="400"/>
        <w:rPr>
          <w:rFonts w:ascii="黑体" w:eastAsia="黑体"/>
          <w:sz w:val="44"/>
          <w:szCs w:val="44"/>
        </w:rPr>
      </w:pPr>
    </w:p>
    <w:p w14:paraId="0C524113">
      <w:pPr>
        <w:ind w:firstLine="1760" w:firstLineChars="400"/>
        <w:rPr>
          <w:rFonts w:ascii="黑体" w:eastAsia="黑体"/>
          <w:sz w:val="44"/>
          <w:szCs w:val="44"/>
        </w:rPr>
      </w:pPr>
    </w:p>
    <w:p w14:paraId="48E98D04">
      <w:pPr>
        <w:ind w:firstLine="1760" w:firstLineChars="400"/>
        <w:rPr>
          <w:rFonts w:ascii="黑体" w:eastAsia="黑体"/>
          <w:sz w:val="44"/>
          <w:szCs w:val="44"/>
        </w:rPr>
      </w:pPr>
    </w:p>
    <w:p w14:paraId="19B5D9F1">
      <w:pPr>
        <w:ind w:firstLine="1760" w:firstLineChars="400"/>
        <w:rPr>
          <w:rFonts w:ascii="黑体" w:eastAsia="黑体"/>
          <w:sz w:val="44"/>
          <w:szCs w:val="44"/>
        </w:rPr>
      </w:pPr>
    </w:p>
    <w:p w14:paraId="2BE2FF7B">
      <w:pPr>
        <w:ind w:firstLine="1760" w:firstLineChars="400"/>
        <w:rPr>
          <w:rFonts w:ascii="黑体" w:eastAsia="黑体"/>
          <w:sz w:val="44"/>
          <w:szCs w:val="44"/>
        </w:rPr>
      </w:pPr>
    </w:p>
    <w:p w14:paraId="08CDACD2">
      <w:pPr>
        <w:ind w:firstLine="1760" w:firstLineChars="400"/>
        <w:rPr>
          <w:rFonts w:ascii="黑体" w:eastAsia="黑体"/>
          <w:sz w:val="44"/>
          <w:szCs w:val="44"/>
        </w:rPr>
      </w:pPr>
    </w:p>
    <w:p w14:paraId="243DE85E">
      <w:pPr>
        <w:ind w:firstLine="1760" w:firstLineChars="400"/>
        <w:rPr>
          <w:rFonts w:ascii="黑体" w:eastAsia="黑体"/>
          <w:sz w:val="44"/>
          <w:szCs w:val="44"/>
        </w:rPr>
      </w:pPr>
    </w:p>
    <w:p w14:paraId="5B56A7B6">
      <w:pPr>
        <w:rPr>
          <w:rFonts w:ascii="黑体" w:eastAsia="黑体"/>
          <w:sz w:val="44"/>
          <w:szCs w:val="44"/>
        </w:rPr>
      </w:pPr>
    </w:p>
    <w:p w14:paraId="77927446">
      <w:pPr>
        <w:ind w:firstLine="3120" w:firstLineChars="600"/>
        <w:rPr>
          <w:rFonts w:ascii="黑体" w:eastAsia="黑体"/>
          <w:sz w:val="52"/>
          <w:szCs w:val="52"/>
        </w:rPr>
      </w:pPr>
      <w:r>
        <w:rPr>
          <w:rFonts w:hint="eastAsia" w:ascii="黑体" w:eastAsia="黑体"/>
          <w:sz w:val="52"/>
          <w:szCs w:val="52"/>
        </w:rPr>
        <w:t>目录</w:t>
      </w:r>
    </w:p>
    <w:p w14:paraId="686BEDD2">
      <w:pPr>
        <w:ind w:firstLine="3080" w:firstLineChars="700"/>
        <w:rPr>
          <w:rFonts w:ascii="黑体" w:eastAsia="黑体"/>
          <w:sz w:val="44"/>
          <w:szCs w:val="44"/>
        </w:rPr>
      </w:pPr>
    </w:p>
    <w:p w14:paraId="7C57BF94">
      <w:pPr>
        <w:pStyle w:val="18"/>
        <w:ind w:firstLine="0" w:firstLineChars="0"/>
        <w:rPr>
          <w:rFonts w:ascii="黑体" w:eastAsia="黑体"/>
          <w:sz w:val="32"/>
          <w:szCs w:val="32"/>
        </w:rPr>
      </w:pPr>
      <w:r>
        <w:rPr>
          <w:rFonts w:hint="eastAsia" w:ascii="黑体" w:eastAsia="黑体"/>
          <w:sz w:val="32"/>
          <w:szCs w:val="32"/>
        </w:rPr>
        <w:t>一、基本职能及主要工作</w:t>
      </w:r>
    </w:p>
    <w:p w14:paraId="38A373E5">
      <w:pPr>
        <w:rPr>
          <w:rFonts w:ascii="楷体" w:eastAsia="楷体"/>
          <w:sz w:val="32"/>
          <w:szCs w:val="32"/>
        </w:rPr>
      </w:pPr>
      <w:r>
        <w:rPr>
          <w:rFonts w:hint="eastAsia" w:ascii="楷体" w:eastAsia="楷体"/>
          <w:sz w:val="32"/>
          <w:szCs w:val="32"/>
        </w:rPr>
        <w:t>（一）部门职能简介</w:t>
      </w:r>
    </w:p>
    <w:p w14:paraId="47B22207">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645ED0F3">
      <w:pPr>
        <w:rPr>
          <w:rFonts w:ascii="黑体" w:eastAsia="黑体"/>
          <w:sz w:val="32"/>
          <w:szCs w:val="32"/>
        </w:rPr>
      </w:pPr>
      <w:r>
        <w:rPr>
          <w:rFonts w:hint="eastAsia" w:ascii="黑体" w:eastAsia="黑体"/>
          <w:sz w:val="32"/>
          <w:szCs w:val="32"/>
        </w:rPr>
        <w:t>二、部门预算单位构成</w:t>
      </w:r>
    </w:p>
    <w:p w14:paraId="369D1E5E">
      <w:pPr>
        <w:rPr>
          <w:rFonts w:ascii="黑体" w:eastAsia="黑体"/>
          <w:sz w:val="32"/>
          <w:szCs w:val="32"/>
        </w:rPr>
      </w:pPr>
      <w:r>
        <w:rPr>
          <w:rFonts w:hint="eastAsia" w:ascii="黑体" w:eastAsia="黑体"/>
          <w:sz w:val="32"/>
          <w:szCs w:val="32"/>
        </w:rPr>
        <w:t>三、收支预算情况说明</w:t>
      </w:r>
    </w:p>
    <w:p w14:paraId="6847C0FC">
      <w:pPr>
        <w:rPr>
          <w:rFonts w:ascii="楷体" w:eastAsia="楷体"/>
          <w:sz w:val="32"/>
          <w:szCs w:val="32"/>
        </w:rPr>
      </w:pPr>
      <w:r>
        <w:rPr>
          <w:rFonts w:hint="eastAsia" w:ascii="楷体" w:eastAsia="楷体"/>
          <w:sz w:val="32"/>
          <w:szCs w:val="32"/>
        </w:rPr>
        <w:t>（一）收入预算情况</w:t>
      </w:r>
    </w:p>
    <w:p w14:paraId="7DC7FFDD">
      <w:pPr>
        <w:rPr>
          <w:rFonts w:ascii="楷体" w:eastAsia="楷体"/>
          <w:sz w:val="32"/>
          <w:szCs w:val="32"/>
        </w:rPr>
      </w:pPr>
      <w:r>
        <w:rPr>
          <w:rFonts w:hint="eastAsia" w:ascii="楷体" w:eastAsia="楷体"/>
          <w:sz w:val="32"/>
          <w:szCs w:val="32"/>
        </w:rPr>
        <w:t>（二）支出预算情况</w:t>
      </w:r>
    </w:p>
    <w:p w14:paraId="34A426E4">
      <w:pPr>
        <w:rPr>
          <w:rFonts w:ascii="黑体" w:eastAsia="黑体"/>
          <w:sz w:val="32"/>
          <w:szCs w:val="32"/>
        </w:rPr>
      </w:pPr>
      <w:r>
        <w:rPr>
          <w:rFonts w:hint="eastAsia" w:ascii="黑体" w:eastAsia="黑体"/>
          <w:sz w:val="32"/>
          <w:szCs w:val="32"/>
        </w:rPr>
        <w:t>四、财政拨款收支预算情况说明</w:t>
      </w:r>
    </w:p>
    <w:p w14:paraId="35CB204A">
      <w:pPr>
        <w:rPr>
          <w:rFonts w:ascii="黑体" w:eastAsia="黑体"/>
          <w:sz w:val="32"/>
          <w:szCs w:val="32"/>
        </w:rPr>
      </w:pPr>
      <w:r>
        <w:rPr>
          <w:rFonts w:hint="eastAsia" w:ascii="黑体" w:eastAsia="黑体"/>
          <w:sz w:val="32"/>
          <w:szCs w:val="32"/>
        </w:rPr>
        <w:t>五、一般公共预算当年拨款情况说明</w:t>
      </w:r>
    </w:p>
    <w:p w14:paraId="5E5B0626">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106092A4">
      <w:pPr>
        <w:rPr>
          <w:rFonts w:ascii="黑体" w:eastAsia="黑体"/>
          <w:sz w:val="32"/>
          <w:szCs w:val="32"/>
        </w:rPr>
      </w:pPr>
    </w:p>
    <w:p w14:paraId="018725EF">
      <w:pPr>
        <w:widowControl/>
        <w:shd w:val="clear" w:color="auto" w:fill="FFFFFF"/>
        <w:spacing w:before="100" w:beforeAutospacing="1" w:after="100" w:afterAutospacing="1" w:line="290" w:lineRule="atLeast"/>
        <w:ind w:right="300"/>
        <w:jc w:val="left"/>
        <w:rPr>
          <w:rFonts w:ascii="??" w:hAnsi="??" w:cs="宋体"/>
          <w:kern w:val="0"/>
          <w:sz w:val="12"/>
          <w:szCs w:val="12"/>
        </w:rPr>
      </w:pPr>
    </w:p>
    <w:p w14:paraId="6659E244">
      <w:pPr>
        <w:pStyle w:val="18"/>
        <w:rPr>
          <w:rFonts w:ascii="黑体" w:eastAsia="黑体"/>
          <w:sz w:val="32"/>
          <w:szCs w:val="32"/>
        </w:rPr>
      </w:pPr>
      <w:r>
        <w:rPr>
          <w:rFonts w:hint="eastAsia" w:ascii="黑体" w:eastAsia="黑体"/>
          <w:sz w:val="32"/>
          <w:szCs w:val="32"/>
        </w:rPr>
        <w:t>一、基本职能及主要工作</w:t>
      </w:r>
    </w:p>
    <w:p w14:paraId="390BB545">
      <w:pPr>
        <w:ind w:firstLine="640" w:firstLineChars="200"/>
        <w:rPr>
          <w:rFonts w:hint="eastAsia" w:ascii="楷体" w:eastAsia="楷体"/>
          <w:sz w:val="32"/>
          <w:szCs w:val="32"/>
        </w:rPr>
      </w:pPr>
      <w:r>
        <w:rPr>
          <w:rFonts w:hint="eastAsia" w:ascii="楷体" w:eastAsia="楷体"/>
          <w:sz w:val="32"/>
          <w:szCs w:val="32"/>
        </w:rPr>
        <w:t>（一）部门职能简介</w:t>
      </w:r>
    </w:p>
    <w:p w14:paraId="45AC1AF5">
      <w:pPr>
        <w:spacing w:line="560" w:lineRule="exact"/>
        <w:ind w:firstLine="800" w:firstLineChars="250"/>
        <w:rPr>
          <w:rFonts w:ascii="仿宋_GB2312" w:eastAsia="仿宋_GB2312"/>
          <w:sz w:val="32"/>
          <w:szCs w:val="32"/>
        </w:rPr>
      </w:pPr>
      <w:r>
        <w:rPr>
          <w:rFonts w:hint="eastAsia" w:ascii="仿宋_GB2312" w:eastAsia="仿宋_GB2312"/>
          <w:sz w:val="32"/>
          <w:szCs w:val="32"/>
        </w:rPr>
        <w:t>拟订人力资源和社会保障事业发展政策、规划，起草 相关民族自治法规和规范性文件草案</w:t>
      </w:r>
      <w:r>
        <w:rPr>
          <w:rFonts w:hint="eastAsia" w:ascii="仿宋_GB2312" w:eastAsia="仿宋_GB2312"/>
          <w:sz w:val="32"/>
          <w:szCs w:val="32"/>
          <w:lang w:eastAsia="zh-CN"/>
        </w:rPr>
        <w:t>；</w:t>
      </w:r>
      <w:r>
        <w:rPr>
          <w:rFonts w:hint="eastAsia" w:ascii="仿宋_GB2312" w:eastAsia="仿宋_GB2312"/>
          <w:sz w:val="32"/>
          <w:szCs w:val="32"/>
        </w:rPr>
        <w:t>拟订人力资源市场发展规划和人力资源服务业发展、 人力资源流动政策，促进人力资源合理流动、有效配置</w:t>
      </w:r>
      <w:r>
        <w:rPr>
          <w:rFonts w:hint="eastAsia" w:ascii="仿宋_GB2312" w:eastAsia="仿宋_GB2312"/>
          <w:sz w:val="32"/>
          <w:szCs w:val="32"/>
          <w:lang w:eastAsia="zh-CN"/>
        </w:rPr>
        <w:t>；</w:t>
      </w:r>
      <w:r>
        <w:rPr>
          <w:rFonts w:hint="eastAsia" w:ascii="仿宋_GB2312" w:eastAsia="仿宋_GB2312"/>
          <w:sz w:val="32"/>
          <w:szCs w:val="32"/>
        </w:rPr>
        <w:t>负责促进就业工作，拟订统筹城乡的就业发展规划和 政策，完善公共就业创业服务体系，统筹建立面向城乡劳动者的 职业技能培训制度，拟订并组织落实创业、就业援助制度，牵头 拟订高校毕业生就业政策</w:t>
      </w:r>
      <w:r>
        <w:rPr>
          <w:rFonts w:hint="eastAsia" w:ascii="仿宋_GB2312" w:eastAsia="仿宋_GB2312"/>
          <w:sz w:val="32"/>
          <w:szCs w:val="32"/>
          <w:lang w:eastAsia="zh-CN"/>
        </w:rPr>
        <w:t>；</w:t>
      </w:r>
      <w:r>
        <w:rPr>
          <w:rFonts w:hint="eastAsia" w:ascii="仿宋_GB2312" w:eastAsia="仿宋_GB2312"/>
          <w:sz w:val="32"/>
          <w:szCs w:val="32"/>
        </w:rPr>
        <w:t>统筹推进建立覆盖城乡的多层次社会保障体系。执行 养老、失业、工伤等社会保险及其补充保险政策和标准。贯彻落 实养老保险全国统筹办法和全国统一的养老、失业、工伤保险关 系转续办法。组织拟订养老、失业、工伤等社会保险及其补充保 险基金管理和监督办法，编制相关社会保险基金预决算草案，参 与拟订相关社会保障基金投资政策。会同有关部门实施全民参保 计划并参与建立全国统一的社会保险公共服务平台。拟订人力资 源和社会保障信息化建设总体规划、年度计划，制定相关制度、 标准和规范并组织实施。指导、督促企业参加工伤保险</w:t>
      </w:r>
      <w:r>
        <w:rPr>
          <w:rFonts w:hint="eastAsia" w:ascii="仿宋_GB2312" w:eastAsia="仿宋_GB2312"/>
          <w:sz w:val="32"/>
          <w:szCs w:val="32"/>
          <w:lang w:eastAsia="zh-CN"/>
        </w:rPr>
        <w:t>；</w:t>
      </w:r>
      <w:r>
        <w:rPr>
          <w:rFonts w:hint="eastAsia" w:ascii="仿宋_GB2312" w:eastAsia="仿宋_GB2312"/>
          <w:sz w:val="32"/>
          <w:szCs w:val="32"/>
        </w:rPr>
        <w:t>负责就业、失业和相关社会保险基金预测预警和信息 引导，拟订应对预案，实施预防、调节和控制，保持就业形势稳 定和相关社会保险基金总体收支平衡</w:t>
      </w:r>
      <w:r>
        <w:rPr>
          <w:rFonts w:hint="eastAsia" w:ascii="仿宋_GB2312" w:eastAsia="仿宋_GB2312"/>
          <w:sz w:val="32"/>
          <w:szCs w:val="32"/>
          <w:lang w:eastAsia="zh-CN"/>
        </w:rPr>
        <w:t>；</w:t>
      </w:r>
      <w:r>
        <w:rPr>
          <w:rFonts w:hint="eastAsia" w:ascii="仿宋_GB2312" w:eastAsia="仿宋_GB2312"/>
          <w:sz w:val="32"/>
          <w:szCs w:val="32"/>
        </w:rPr>
        <w:t>统筹拟订劳动人事争议调解仲裁制度和劳动关系政策， 完善劳动关系协商协调机制，贯彻职工工作时间、休息休假和假 期制度，落实消除非法使用童工政策和女工、未成年工特殊劳动 保护政策。依法督促用人单位在劳动用工、合同签订与履约时， 载明劳动保护、劳动条件和职业危害防护等条款。负责全州劳动保障重大违法案件查处、督办和跨区域执法的组织协调。组织实 施劳动保障监察，协调劳动者维权工作，依法查处重大案件</w:t>
      </w:r>
      <w:r>
        <w:rPr>
          <w:rFonts w:hint="eastAsia" w:ascii="仿宋_GB2312" w:eastAsia="仿宋_GB2312"/>
          <w:sz w:val="32"/>
          <w:szCs w:val="32"/>
          <w:lang w:eastAsia="zh-CN"/>
        </w:rPr>
        <w:t>；</w:t>
      </w:r>
      <w:r>
        <w:rPr>
          <w:rFonts w:hint="eastAsia" w:ascii="仿宋_GB2312" w:eastAsia="仿宋_GB2312"/>
          <w:sz w:val="32"/>
          <w:szCs w:val="32"/>
        </w:rPr>
        <w:t>牵头推进深化职称制度改革，拟订专业技术人员管理、 继续教育和博士后管理等政策，负责高层次专业技术人才选拔和 培养工作，贯彻落实吸引留学人员来州（回州）工作或定居政策。 组织拟订技能人才培养、评价、使用和激励制度。贯彻落实职业 资格制度，健全职业技能多元化评价政策。指导、监督各级各类 技工学校、民办职业培训机构按国家和省、州有关规定履行安全 管理责任</w:t>
      </w:r>
      <w:r>
        <w:rPr>
          <w:rFonts w:hint="eastAsia" w:ascii="仿宋_GB2312" w:eastAsia="仿宋_GB2312"/>
          <w:sz w:val="32"/>
          <w:szCs w:val="32"/>
          <w:lang w:eastAsia="zh-CN"/>
        </w:rPr>
        <w:t>；</w:t>
      </w:r>
      <w:r>
        <w:rPr>
          <w:rFonts w:hint="eastAsia" w:ascii="仿宋_GB2312" w:eastAsia="仿宋_GB2312"/>
          <w:sz w:val="32"/>
          <w:szCs w:val="32"/>
        </w:rPr>
        <w:t>会同有关部门指导事业单位人事制度改革，按照管理权限负责规范事业单位岗位设置、公开招聘、聘用合同等人事综合管理工作，落实规范事业单位工作人员和机关工勤人员管理政策，将安全生产及生态环境保护责任履行情况作为事业单位工作人员奖惩、考核的重要内容</w:t>
      </w:r>
      <w:r>
        <w:rPr>
          <w:rFonts w:hint="eastAsia" w:ascii="仿宋_GB2312" w:eastAsia="仿宋_GB2312"/>
          <w:sz w:val="32"/>
          <w:szCs w:val="32"/>
          <w:lang w:eastAsia="zh-CN"/>
        </w:rPr>
        <w:t>；</w:t>
      </w:r>
      <w:r>
        <w:rPr>
          <w:rFonts w:hint="eastAsia" w:ascii="仿宋_GB2312" w:eastAsia="仿宋_GB2312"/>
          <w:sz w:val="32"/>
          <w:szCs w:val="32"/>
        </w:rPr>
        <w:t>组织实施国家表彰奖励制度，综合管理政府表彰奖励 工作，承担评比达标表彰等工作，根据授权组织以州委、州政府 名义开展的表彰奖励活动。承办提请州人大常委会和州政府决定 的人事任免事项</w:t>
      </w:r>
      <w:r>
        <w:rPr>
          <w:rFonts w:hint="eastAsia" w:ascii="仿宋_GB2312" w:eastAsia="仿宋_GB2312"/>
          <w:sz w:val="32"/>
          <w:szCs w:val="32"/>
          <w:lang w:eastAsia="zh-CN"/>
        </w:rPr>
        <w:t>；</w:t>
      </w:r>
      <w:r>
        <w:rPr>
          <w:rFonts w:hint="eastAsia" w:ascii="仿宋_GB2312" w:eastAsia="仿宋_GB2312"/>
          <w:sz w:val="32"/>
          <w:szCs w:val="32"/>
        </w:rPr>
        <w:t>会同有关部门拟订事业单位人员工资收入分配政策，建立企事业单位人员工资决定、正常增长和支付保障机制。拟订企事业单位人员福利和离退休政策</w:t>
      </w:r>
      <w:r>
        <w:rPr>
          <w:rFonts w:hint="eastAsia" w:ascii="仿宋_GB2312" w:eastAsia="仿宋_GB2312"/>
          <w:sz w:val="32"/>
          <w:szCs w:val="32"/>
          <w:lang w:eastAsia="zh-CN"/>
        </w:rPr>
        <w:t>；</w:t>
      </w:r>
      <w:r>
        <w:rPr>
          <w:rFonts w:hint="eastAsia" w:ascii="仿宋_GB2312" w:eastAsia="仿宋_GB2312"/>
          <w:sz w:val="32"/>
          <w:szCs w:val="32"/>
        </w:rPr>
        <w:t>会同有关部门拟订农民工工作的综合性政策和规划</w:t>
      </w:r>
      <w:r>
        <w:rPr>
          <w:rFonts w:hint="eastAsia" w:ascii="仿宋_GB2312" w:eastAsia="仿宋_GB2312"/>
          <w:sz w:val="32"/>
          <w:szCs w:val="32"/>
          <w:lang w:eastAsia="zh-CN"/>
        </w:rPr>
        <w:t>，</w:t>
      </w:r>
      <w:r>
        <w:rPr>
          <w:rFonts w:hint="eastAsia" w:ascii="仿宋_GB2312" w:eastAsia="仿宋_GB2312"/>
          <w:sz w:val="32"/>
          <w:szCs w:val="32"/>
        </w:rPr>
        <w:t>推动相关政策落实，协调解决重点难点问题，维护农民工合法权益。负责将安全生产纳入农民工技能培训内容</w:t>
      </w:r>
      <w:r>
        <w:rPr>
          <w:rFonts w:hint="eastAsia" w:ascii="仿宋_GB2312" w:eastAsia="仿宋_GB2312"/>
          <w:sz w:val="32"/>
          <w:szCs w:val="32"/>
          <w:lang w:eastAsia="zh-CN"/>
        </w:rPr>
        <w:t>；</w:t>
      </w:r>
      <w:r>
        <w:rPr>
          <w:rFonts w:hint="eastAsia" w:ascii="仿宋_GB2312" w:eastAsia="仿宋_GB2312"/>
          <w:sz w:val="32"/>
          <w:szCs w:val="32"/>
        </w:rPr>
        <w:t>负责人力资源和社会保障领域内的对外交流与合作 工作</w:t>
      </w:r>
      <w:r>
        <w:rPr>
          <w:rFonts w:hint="eastAsia" w:ascii="仿宋_GB2312" w:eastAsia="仿宋_GB2312"/>
          <w:sz w:val="32"/>
          <w:szCs w:val="32"/>
          <w:lang w:eastAsia="zh-CN"/>
        </w:rPr>
        <w:t>；</w:t>
      </w:r>
      <w:r>
        <w:rPr>
          <w:rFonts w:hint="eastAsia" w:ascii="仿宋_GB2312" w:eastAsia="仿宋_GB2312"/>
          <w:sz w:val="32"/>
          <w:szCs w:val="32"/>
        </w:rPr>
        <w:t>承担职责范围内的安全生产和职业健康、生态环境保护、审批服务便民化等工作</w:t>
      </w:r>
      <w:r>
        <w:rPr>
          <w:rFonts w:hint="eastAsia" w:ascii="仿宋_GB2312" w:eastAsia="仿宋_GB2312"/>
          <w:sz w:val="32"/>
          <w:szCs w:val="32"/>
          <w:lang w:eastAsia="zh-CN"/>
        </w:rPr>
        <w:t>；</w:t>
      </w:r>
      <w:r>
        <w:rPr>
          <w:rFonts w:hint="eastAsia" w:ascii="仿宋_GB2312" w:eastAsia="仿宋_GB2312"/>
          <w:sz w:val="32"/>
          <w:szCs w:val="32"/>
        </w:rPr>
        <w:t>完成州委、州政府交办的其他任务。</w:t>
      </w:r>
    </w:p>
    <w:p w14:paraId="4F020267">
      <w:pPr>
        <w:spacing w:line="560" w:lineRule="exact"/>
        <w:ind w:left="0"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贯彻执行国家、省、州有关社会保险政策和法律、法规，负责全州企业职工基本养老保险、机关事业单位基本养老保险、城乡居民基本养老保险、工伤保险、职业年金等社会保险工作。负责州本级养老、工伤保险的参保登记、变更登记、注销登记，职工参保关系转移接续；负责养老、工伤社会保险费申报核定；负责审核参保职工待遇享受条件、计算其待遇，并按时足额发放；负责稽核参保单位缴费基数、比例及缴费情况；负责参保、缴费业务档案管理等具体业务工作</w:t>
      </w:r>
      <w:r>
        <w:rPr>
          <w:rFonts w:ascii="仿宋_GB2312" w:eastAsia="仿宋_GB2312" w:cs="仿宋_GB2312"/>
          <w:kern w:val="2"/>
          <w:sz w:val="32"/>
          <w:szCs w:val="32"/>
          <w:lang w:val="en-US" w:eastAsia="zh-CN" w:bidi="ar-SA"/>
        </w:rPr>
        <w:t>。</w:t>
      </w:r>
      <w:r>
        <w:rPr>
          <w:rFonts w:hint="eastAsia" w:ascii="仿宋_GB2312" w:eastAsia="仿宋_GB2312" w:cs="仿宋_GB2312"/>
          <w:kern w:val="2"/>
          <w:sz w:val="32"/>
          <w:szCs w:val="32"/>
          <w:lang w:val="en-US" w:eastAsia="zh-CN" w:bidi="ar-SA"/>
        </w:rPr>
        <w:t>负责州本级参保职工个人账户建立和管理工作。负责全州养老、工伤等社会保险的扩面参保工作,分解落实社会保险参保扩面目标任务。负责组织实施各项社会保险州级统筹办法，编制全州社会保险基金预决算报告，做好州级统筹基金的管理、划拨、上解工作及基金运行情况分析，准确及时汇总上报各项财务报表。负责全州社会保险信息化建设，收集、汇总全州社会保险统计信息，填报各类社会保险统计报表，开展统计分析。负责全州社会保险内部控制制度建设，制定并组织实施社会保险经办规程，监督检查全州社会保险基金的管理，确保基金的安全完整。负责州本级参保离退休人员的管理服务工作。指导县（市）社会保险机构和城乡居民养老保险机构的业务工作。为参保单位和个人提供有关养老、工伤保险的政策咨询服务，受理群众来信来访。</w:t>
      </w:r>
    </w:p>
    <w:p w14:paraId="265B0D0D">
      <w:pPr>
        <w:pStyle w:val="17"/>
        <w:ind w:left="0" w:leftChars="0" w:firstLine="638" w:firstLineChars="0"/>
        <w:rPr>
          <w:rFonts w:hint="eastAsia" w:ascii="仿宋_GB2312" w:eastAsia="仿宋_GB2312" w:cs="仿宋_GB2312"/>
          <w:kern w:val="0"/>
          <w:sz w:val="32"/>
          <w:szCs w:val="32"/>
        </w:rPr>
      </w:pPr>
      <w:r>
        <w:rPr>
          <w:rFonts w:hint="eastAsia" w:ascii="仿宋_GB2312" w:eastAsia="仿宋_GB2312" w:cs="仿宋_GB2312"/>
          <w:kern w:val="0"/>
          <w:sz w:val="32"/>
          <w:szCs w:val="32"/>
        </w:rPr>
        <w:t>贯彻落实</w:t>
      </w:r>
      <w:r>
        <w:rPr>
          <w:rFonts w:hint="eastAsia" w:ascii="仿宋_GB2312" w:eastAsia="仿宋_GB2312" w:cs="仿宋_GB2312"/>
          <w:kern w:val="0"/>
          <w:sz w:val="32"/>
          <w:szCs w:val="32"/>
          <w:lang w:val="en-US" w:eastAsia="zh-CN"/>
        </w:rPr>
        <w:t>党</w:t>
      </w:r>
      <w:bookmarkStart w:id="0" w:name="_GoBack"/>
      <w:bookmarkEnd w:id="0"/>
      <w:r>
        <w:rPr>
          <w:rFonts w:hint="eastAsia" w:ascii="仿宋_GB2312" w:eastAsia="仿宋_GB2312" w:cs="仿宋_GB2312"/>
          <w:kern w:val="0"/>
          <w:sz w:val="32"/>
          <w:szCs w:val="32"/>
        </w:rPr>
        <w:t>中央、国务院、省委、省政府、州委、州政府关于劳务经济和农民工工作的方针政策，统一指导、协调全州劳务开发暨农民工工作；制定劳务经济发展规划和年度计划，负责开展劳务开发政策调研、统筹协调、督查指导、信息交流、综合培训、就业转移、权益维护等工作；负责建立健全农民工工资保障制度、劳动和社会管理制度、社会保障制度、职业技能培训机制、合法权益维护机制等各项工作制度；督促指导全州劳动力市场开展公共就业服务，延伸和拓展就业服务功能；督促检查各县、州级有关部门落实相关政策和完成目标任务的情况；总结推广各县的先进经验和做法；承办州委、州人民政府交办的其它事项。</w:t>
      </w:r>
    </w:p>
    <w:p w14:paraId="47F4A870">
      <w:pPr>
        <w:pStyle w:val="11"/>
        <w:ind w:firstLine="640" w:firstLineChars="0"/>
        <w:rPr>
          <w:rStyle w:val="20"/>
          <w:rFonts w:ascii="黑体" w:eastAsia="黑体" w:cs="黑体"/>
          <w:sz w:val="32"/>
          <w:lang w:val="zh-CN"/>
        </w:rPr>
      </w:pPr>
      <w:r>
        <w:rPr>
          <w:rFonts w:hint="eastAsia" w:ascii="仿宋_GB2312" w:eastAsia="仿宋_GB2312" w:cs="仿宋_GB2312"/>
        </w:rPr>
        <w:t>为辖区内城乡劳动者提供就业创业、职业技能培训和失业保险政策法规咨询，为用工单位和求职者搭建招聘求职平台，开展职业指导、职业介绍等服务，对就业困难人员等群体实施就业援助。落实各项就业创业、职业技能培训和失业保险政策，办理就业失业登记及相关证件的发放和管理，为就业困难人员、零就业家庭劳动者、大中专毕业生、失业人员等群体提供就业帮扶和创业服务；实施创业引领计划，为有创业意愿的城乡劳动者提供创业政策咨询、创业担保贷款、创业培训、项目推介等创业服务；组织城镇失业人员等重点群体和企业职工开展职业技能培训。按照《中华人民共和国社会保险法》《失业保险条例》《四川省失业保险条例》等相关法律法规，经办失业保险业务。</w:t>
      </w:r>
    </w:p>
    <w:p w14:paraId="087C7D88">
      <w:pPr>
        <w:rPr>
          <w:rFonts w:hint="eastAsia"/>
        </w:rPr>
      </w:pPr>
    </w:p>
    <w:p w14:paraId="5EEF370C">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w:t>
      </w:r>
      <w:r>
        <w:rPr>
          <w:rFonts w:hint="eastAsia" w:ascii="楷体" w:eastAsia="楷体"/>
          <w:sz w:val="32"/>
          <w:szCs w:val="32"/>
          <w:lang w:val="en-US" w:eastAsia="zh-CN"/>
        </w:rPr>
        <w:t>6</w:t>
      </w:r>
      <w:r>
        <w:rPr>
          <w:rFonts w:hint="eastAsia" w:ascii="楷体" w:eastAsia="楷体"/>
          <w:sz w:val="32"/>
          <w:szCs w:val="32"/>
        </w:rPr>
        <w:t>年重点工作</w:t>
      </w:r>
    </w:p>
    <w:p w14:paraId="57EBD1F6">
      <w:pPr>
        <w:spacing w:line="560" w:lineRule="exact"/>
        <w:ind w:firstLine="803" w:firstLineChars="250"/>
        <w:rPr>
          <w:rFonts w:eastAsia="楷体_GB2312"/>
          <w:b/>
          <w:bCs/>
          <w:color w:val="000000"/>
          <w:sz w:val="32"/>
          <w:szCs w:val="32"/>
          <w:lang w:eastAsia="zh-CN" w:bidi="ar-SA"/>
        </w:rPr>
      </w:pPr>
      <w:r>
        <w:rPr>
          <w:rFonts w:eastAsia="楷体_GB2312"/>
          <w:b/>
          <w:bCs/>
          <w:color w:val="000000"/>
          <w:sz w:val="32"/>
          <w:szCs w:val="32"/>
          <w:lang w:eastAsia="zh-CN" w:bidi="ar-SA"/>
        </w:rPr>
        <w:t>州人社局202</w:t>
      </w:r>
      <w:r>
        <w:rPr>
          <w:rFonts w:hint="eastAsia" w:eastAsia="楷体_GB2312"/>
          <w:b/>
          <w:bCs/>
          <w:color w:val="000000"/>
          <w:sz w:val="32"/>
          <w:szCs w:val="32"/>
          <w:lang w:val="en-US" w:eastAsia="zh-CN" w:bidi="ar-SA"/>
        </w:rPr>
        <w:t>6</w:t>
      </w:r>
      <w:r>
        <w:rPr>
          <w:rFonts w:eastAsia="楷体_GB2312"/>
          <w:b/>
          <w:bCs/>
          <w:color w:val="000000"/>
          <w:sz w:val="32"/>
          <w:szCs w:val="32"/>
          <w:lang w:eastAsia="zh-CN" w:bidi="ar-SA"/>
        </w:rPr>
        <w:t>年重点工作：</w:t>
      </w:r>
    </w:p>
    <w:p w14:paraId="0E8BE08A">
      <w:pPr>
        <w:spacing w:line="560" w:lineRule="exact"/>
        <w:ind w:firstLine="803" w:firstLineChars="250"/>
        <w:rPr>
          <w:rFonts w:hint="default" w:ascii="仿宋_GB2312" w:eastAsia="仿宋_GB2312" w:cs="Times New Roman"/>
          <w:sz w:val="32"/>
          <w:szCs w:val="32"/>
        </w:rPr>
      </w:pPr>
      <w:r>
        <w:rPr>
          <w:rFonts w:hint="eastAsia" w:eastAsia="楷体_GB2312" w:cs="Times New Roman"/>
          <w:b/>
          <w:bCs/>
          <w:color w:val="000000"/>
          <w:sz w:val="32"/>
          <w:szCs w:val="32"/>
          <w:lang w:val="en-US" w:eastAsia="zh-CN" w:bidi="ar-SA"/>
        </w:rPr>
        <w:t>1.</w:t>
      </w:r>
      <w:r>
        <w:rPr>
          <w:rFonts w:hint="eastAsia" w:eastAsia="楷体_GB2312" w:cs="Times New Roman"/>
          <w:b/>
          <w:bCs/>
          <w:color w:val="000000"/>
          <w:sz w:val="32"/>
          <w:szCs w:val="32"/>
          <w:lang w:eastAsia="zh-CN" w:bidi="ar-SA"/>
        </w:rPr>
        <w:t>聚焦稳就业保民生，提升就业创业质量</w:t>
      </w:r>
      <w:r>
        <w:rPr>
          <w:rFonts w:hint="default" w:eastAsia="楷体_GB2312" w:cs="Times New Roman"/>
          <w:b/>
          <w:bCs/>
          <w:color w:val="000000"/>
          <w:sz w:val="32"/>
          <w:szCs w:val="32"/>
          <w:lang w:eastAsia="zh-CN" w:bidi="ar-SA"/>
        </w:rPr>
        <w:t>。</w:t>
      </w:r>
      <w:r>
        <w:rPr>
          <w:rFonts w:hint="default" w:ascii="仿宋_GB2312" w:eastAsia="仿宋_GB2312" w:cs="Times New Roman"/>
          <w:sz w:val="32"/>
          <w:szCs w:val="32"/>
          <w:lang w:eastAsia="zh-CN"/>
        </w:rPr>
        <w:t>全力</w:t>
      </w:r>
      <w:r>
        <w:rPr>
          <w:rFonts w:hint="default" w:ascii="仿宋_GB2312" w:eastAsia="仿宋_GB2312" w:cs="Times New Roman"/>
          <w:sz w:val="32"/>
          <w:szCs w:val="32"/>
          <w:lang w:val="en-US" w:eastAsia="zh-CN"/>
        </w:rPr>
        <w:t>抓</w:t>
      </w:r>
      <w:r>
        <w:rPr>
          <w:rFonts w:hint="default" w:ascii="仿宋_GB2312" w:eastAsia="仿宋_GB2312" w:cs="Times New Roman"/>
          <w:sz w:val="32"/>
          <w:szCs w:val="32"/>
          <w:lang w:eastAsia="zh-CN"/>
        </w:rPr>
        <w:t>好拓展</w:t>
      </w:r>
      <w:r>
        <w:rPr>
          <w:rFonts w:hint="eastAsia" w:ascii="仿宋_GB2312" w:eastAsia="仿宋_GB2312" w:cs="Times New Roman"/>
          <w:sz w:val="32"/>
          <w:szCs w:val="32"/>
          <w:lang w:eastAsia="zh-CN"/>
        </w:rPr>
        <w:t>产业就业岗位</w:t>
      </w:r>
      <w:r>
        <w:rPr>
          <w:rFonts w:hint="default" w:ascii="仿宋_GB2312" w:eastAsia="仿宋_GB2312" w:cs="Times New Roman"/>
          <w:sz w:val="32"/>
          <w:szCs w:val="32"/>
          <w:lang w:eastAsia="zh-CN"/>
        </w:rPr>
        <w:t>、</w:t>
      </w:r>
      <w:r>
        <w:rPr>
          <w:rFonts w:hint="eastAsia" w:ascii="仿宋_GB2312" w:eastAsia="仿宋_GB2312" w:cs="Times New Roman"/>
          <w:sz w:val="32"/>
          <w:szCs w:val="32"/>
          <w:lang w:eastAsia="zh-CN"/>
        </w:rPr>
        <w:t>大中专毕业生就业</w:t>
      </w:r>
      <w:r>
        <w:rPr>
          <w:rFonts w:hint="default" w:ascii="仿宋_GB2312" w:eastAsia="仿宋_GB2312" w:cs="Times New Roman"/>
          <w:sz w:val="32"/>
          <w:szCs w:val="32"/>
          <w:lang w:eastAsia="zh-CN"/>
        </w:rPr>
        <w:t>、</w:t>
      </w:r>
      <w:r>
        <w:rPr>
          <w:rFonts w:hint="eastAsia" w:ascii="仿宋_GB2312" w:eastAsia="仿宋_GB2312" w:cs="Times New Roman"/>
          <w:sz w:val="32"/>
          <w:szCs w:val="32"/>
          <w:lang w:eastAsia="zh-CN"/>
        </w:rPr>
        <w:t>就业工坊建设</w:t>
      </w:r>
      <w:r>
        <w:rPr>
          <w:rFonts w:hint="default" w:ascii="仿宋_GB2312" w:eastAsia="仿宋_GB2312" w:cs="Times New Roman"/>
          <w:sz w:val="32"/>
          <w:szCs w:val="32"/>
          <w:lang w:val="en-US" w:eastAsia="zh-CN"/>
        </w:rPr>
        <w:t>培训强技赋能</w:t>
      </w:r>
      <w:r>
        <w:rPr>
          <w:rFonts w:hint="default" w:ascii="仿宋_GB2312" w:eastAsia="仿宋_GB2312" w:cs="Times New Roman"/>
          <w:sz w:val="32"/>
          <w:szCs w:val="32"/>
          <w:lang w:eastAsia="zh-CN"/>
        </w:rPr>
        <w:t>、</w:t>
      </w:r>
      <w:r>
        <w:rPr>
          <w:rFonts w:hint="default" w:ascii="仿宋_GB2312" w:eastAsia="仿宋_GB2312" w:cs="Times New Roman"/>
          <w:sz w:val="32"/>
          <w:szCs w:val="32"/>
          <w:lang w:val="en-US" w:eastAsia="zh-CN"/>
        </w:rPr>
        <w:t>创业带动就业</w:t>
      </w:r>
      <w:r>
        <w:rPr>
          <w:rFonts w:hint="default" w:ascii="仿宋_GB2312" w:eastAsia="仿宋_GB2312" w:cs="Times New Roman"/>
          <w:sz w:val="32"/>
          <w:szCs w:val="32"/>
          <w:lang w:eastAsia="zh-CN"/>
        </w:rPr>
        <w:t>等重点工作，通过</w:t>
      </w:r>
      <w:r>
        <w:rPr>
          <w:rFonts w:hint="default" w:ascii="仿宋_GB2312" w:eastAsia="仿宋_GB2312" w:cs="Times New Roman"/>
          <w:sz w:val="32"/>
          <w:szCs w:val="32"/>
          <w:lang w:val="en-US" w:eastAsia="zh-CN"/>
        </w:rPr>
        <w:t>“扩岗、提能、优服、强基、兴创”等关键</w:t>
      </w:r>
      <w:r>
        <w:rPr>
          <w:rFonts w:hint="default" w:ascii="仿宋_GB2312" w:eastAsia="仿宋_GB2312" w:cs="Times New Roman"/>
          <w:sz w:val="32"/>
          <w:szCs w:val="32"/>
          <w:lang w:eastAsia="zh-CN"/>
        </w:rPr>
        <w:t>举措</w:t>
      </w:r>
      <w:r>
        <w:rPr>
          <w:rFonts w:hint="default" w:ascii="仿宋_GB2312" w:eastAsia="仿宋_GB2312" w:cs="Times New Roman"/>
          <w:sz w:val="32"/>
          <w:szCs w:val="32"/>
          <w:lang w:val="en-US" w:eastAsia="zh-CN"/>
        </w:rPr>
        <w:t>，推动就业工作从“保基本”向“提品质”跨越。</w:t>
      </w:r>
      <w:r>
        <w:rPr>
          <w:rFonts w:hint="default" w:ascii="仿宋_GB2312" w:eastAsia="仿宋_GB2312" w:cs="Times New Roman"/>
          <w:sz w:val="32"/>
          <w:szCs w:val="32"/>
        </w:rPr>
        <w:t>推进就业服务提质。搭建“就在阿坝”数智平台，落地州级人力资源服务产业园，深化川甘青人力资源协同发展。强化重点群体帮扶，持续开展大中专毕业生就业“回头看”，联合国省企业及兄弟市州拓展岗位；打造“家门口就业工坊”，依托以工代赈项目促进脱贫人口就业。健全技能培育体系，推动阿坝职业学院增挂阿坝技师学院，深化“校地企”合作，开办“技能提升+岗位链接”示范培训班，构建终身职业技能培训体系。促进创业带动就业，培育新就业形态，打造创业品牌，建设公平就业环境，扩容就业见习基地。</w:t>
      </w:r>
    </w:p>
    <w:p w14:paraId="3B30DDB4">
      <w:pPr>
        <w:spacing w:line="560" w:lineRule="exact"/>
        <w:ind w:firstLine="803" w:firstLineChars="250"/>
        <w:rPr>
          <w:rFonts w:hint="default" w:ascii="仿宋_GB2312" w:eastAsia="仿宋_GB2312" w:cs="Times New Roman"/>
          <w:sz w:val="32"/>
          <w:szCs w:val="32"/>
        </w:rPr>
      </w:pPr>
      <w:r>
        <w:rPr>
          <w:rFonts w:hint="eastAsia" w:eastAsia="楷体_GB2312" w:cs="Times New Roman"/>
          <w:b/>
          <w:bCs/>
          <w:color w:val="000000"/>
          <w:sz w:val="32"/>
          <w:szCs w:val="32"/>
          <w:lang w:val="en-US" w:eastAsia="zh-CN" w:bidi="ar-SA"/>
        </w:rPr>
        <w:t>2.</w:t>
      </w:r>
      <w:r>
        <w:rPr>
          <w:rFonts w:hint="default" w:eastAsia="楷体_GB2312" w:cs="Times New Roman"/>
          <w:b/>
          <w:bCs/>
          <w:color w:val="000000"/>
          <w:sz w:val="32"/>
          <w:szCs w:val="32"/>
          <w:lang w:eastAsia="zh-CN" w:bidi="ar-SA"/>
        </w:rPr>
        <w:t>聚焦提质扩面保安全，健全社会保障体系</w:t>
      </w:r>
    </w:p>
    <w:p w14:paraId="3CA25B62">
      <w:pPr>
        <w:spacing w:line="560" w:lineRule="exact"/>
        <w:ind w:firstLine="800" w:firstLineChars="250"/>
        <w:rPr>
          <w:rFonts w:hint="default" w:ascii="仿宋_GB2312" w:eastAsia="仿宋_GB2312" w:cs="Times New Roman"/>
          <w:sz w:val="32"/>
          <w:szCs w:val="32"/>
        </w:rPr>
      </w:pPr>
      <w:r>
        <w:rPr>
          <w:rFonts w:hint="default" w:ascii="仿宋_GB2312" w:eastAsia="仿宋_GB2312" w:cs="Times New Roman"/>
          <w:sz w:val="32"/>
          <w:szCs w:val="32"/>
          <w:lang w:eastAsia="zh-CN"/>
        </w:rPr>
        <w:t>围绕“全民参保扩面、社保制度优化、待遇调整落实、基金监管强化、经办服务提升”五大任务，健全社会保障体系。精准推进参保扩面。利用城乡居民到龄一次性补缴政策2年窗口期开展“精准滴灌”式宣传，优化参保转移接续流程；针对新业态从业人员、应届毕业生、灵活就业人员等重点群体，推进全民参保扩面。深化社保制度改革。巩固养老保险、工伤保险待遇提级发放试点成效，落实失业及工伤保险省级统筹，推进工伤保险参保扩面与康复机构建设。强化社保基金监管。持续实施社保基金管理巩固提升行动，健全经办风险防控机制，严厉打击欺诈骗保行为，确保社保基金安全。提升基层服务效能。优化经办服务标准化建设，升级社保服务便捷度，满足群众多样化社保需求。</w:t>
      </w:r>
    </w:p>
    <w:p w14:paraId="6C7E0DF1">
      <w:pPr>
        <w:spacing w:line="560" w:lineRule="exact"/>
        <w:ind w:firstLine="803" w:firstLineChars="250"/>
        <w:rPr>
          <w:rFonts w:hint="default" w:eastAsia="楷体_GB2312" w:cs="Times New Roman"/>
          <w:b/>
          <w:bCs/>
          <w:color w:val="000000"/>
          <w:sz w:val="32"/>
          <w:szCs w:val="32"/>
          <w:lang w:eastAsia="zh-CN" w:bidi="ar-SA"/>
        </w:rPr>
      </w:pPr>
      <w:r>
        <w:rPr>
          <w:rFonts w:hint="eastAsia" w:eastAsia="楷体_GB2312" w:cs="Times New Roman"/>
          <w:b/>
          <w:bCs/>
          <w:color w:val="000000"/>
          <w:sz w:val="32"/>
          <w:szCs w:val="32"/>
          <w:lang w:val="en-US" w:eastAsia="zh-CN" w:bidi="ar-SA"/>
        </w:rPr>
        <w:t>3.</w:t>
      </w:r>
      <w:r>
        <w:rPr>
          <w:rFonts w:hint="default" w:eastAsia="楷体_GB2312" w:cs="Times New Roman"/>
          <w:b/>
          <w:bCs/>
          <w:color w:val="000000"/>
          <w:sz w:val="32"/>
          <w:szCs w:val="32"/>
          <w:lang w:eastAsia="zh-CN" w:bidi="ar-SA"/>
        </w:rPr>
        <w:t>聚焦引育用留强支撑，强化人才队伍建设</w:t>
      </w:r>
    </w:p>
    <w:p w14:paraId="6BDE5A45">
      <w:pPr>
        <w:spacing w:line="560" w:lineRule="exact"/>
        <w:ind w:firstLine="800" w:firstLineChars="250"/>
        <w:rPr>
          <w:rFonts w:hint="default" w:ascii="仿宋_GB2312" w:eastAsia="仿宋_GB2312" w:cs="Times New Roman"/>
          <w:sz w:val="32"/>
          <w:szCs w:val="32"/>
        </w:rPr>
      </w:pPr>
      <w:r>
        <w:rPr>
          <w:rFonts w:hint="default" w:ascii="仿宋_GB2312" w:eastAsia="仿宋_GB2312" w:cs="Times New Roman"/>
          <w:sz w:val="32"/>
          <w:szCs w:val="32"/>
          <w:lang w:eastAsia="zh-CN"/>
        </w:rPr>
        <w:t>聚焦“专业技术人才培育、技能人才队伍建设、人才引进提质、事业单位人事改革、表彰奖励规范”五大任务，重点健全人事管理制度，加强高层次人才培养、急需紧缺人才引进，推动民办培训学校高质量发展及技能人才多元评价体系建设。全面推行事业单位职称“定向评价、定向使用”机制，县以下管理岗位职员等级晋升制度落地见效。</w:t>
      </w:r>
    </w:p>
    <w:p w14:paraId="7B58D846">
      <w:pPr>
        <w:spacing w:line="560" w:lineRule="exact"/>
        <w:ind w:firstLine="803" w:firstLineChars="250"/>
        <w:rPr>
          <w:rFonts w:hint="default" w:eastAsia="楷体_GB2312" w:cs="Times New Roman"/>
          <w:b/>
          <w:bCs/>
          <w:color w:val="000000"/>
          <w:sz w:val="32"/>
          <w:szCs w:val="32"/>
          <w:lang w:eastAsia="zh-CN" w:bidi="ar-SA"/>
        </w:rPr>
      </w:pPr>
      <w:r>
        <w:rPr>
          <w:rFonts w:hint="eastAsia" w:eastAsia="楷体_GB2312" w:cs="Times New Roman"/>
          <w:b/>
          <w:bCs/>
          <w:color w:val="000000"/>
          <w:sz w:val="32"/>
          <w:szCs w:val="32"/>
          <w:lang w:val="en-US" w:eastAsia="zh-CN" w:bidi="ar-SA"/>
        </w:rPr>
        <w:t>4.</w:t>
      </w:r>
      <w:r>
        <w:rPr>
          <w:rFonts w:hint="default" w:eastAsia="楷体_GB2312" w:cs="Times New Roman"/>
          <w:b/>
          <w:bCs/>
          <w:color w:val="000000"/>
          <w:sz w:val="32"/>
          <w:szCs w:val="32"/>
          <w:lang w:eastAsia="zh-CN" w:bidi="ar-SA"/>
        </w:rPr>
        <w:t>聚焦和谐稳定筑防线，规范劳动关系治理</w:t>
      </w:r>
    </w:p>
    <w:p w14:paraId="72BAFDBF">
      <w:pPr>
        <w:spacing w:line="560" w:lineRule="exact"/>
        <w:ind w:firstLine="800" w:firstLineChars="250"/>
        <w:rPr>
          <w:rFonts w:ascii="仿宋_GB2312" w:eastAsia="仿宋_GB2312"/>
          <w:sz w:val="32"/>
          <w:szCs w:val="32"/>
        </w:rPr>
      </w:pPr>
      <w:r>
        <w:rPr>
          <w:rFonts w:hint="default" w:ascii="仿宋_GB2312" w:eastAsia="仿宋_GB2312" w:cs="Times New Roman"/>
          <w:sz w:val="32"/>
          <w:szCs w:val="32"/>
          <w:lang w:val="en-US" w:eastAsia="zh-CN"/>
        </w:rPr>
        <w:t>紧扣劳动保障监察案件结案率、农民工举报投诉案件结案率均达99%以上，欠薪线索动态办结率98%以上，确保劳动关系总体和谐稳定的要求，重点完善劳动保障监察执法制度，创新执法方式，健全跨地区执法横向协作网络；开展“保障农民工工资支付示范工地”创建，推进汶川县省级试点建设，健全部门联动机制与讨薪应急处置预案，加强项目资金监管；加大新就业形态劳动者权益保障力度，强化风险监测研判，同时加强与相关执法部门沟通配合，共同推进劳动保障监察工作。</w:t>
      </w:r>
    </w:p>
    <w:p w14:paraId="6205BAF4">
      <w:pPr>
        <w:ind w:firstLine="643" w:firstLineChars="200"/>
        <w:rPr>
          <w:rFonts w:hint="default" w:ascii="仿宋_GB2312" w:hAnsi="仿宋_GB2312" w:eastAsia="仿宋_GB2312" w:cs="仿宋_GB2312"/>
          <w:kern w:val="0"/>
          <w:sz w:val="32"/>
          <w:szCs w:val="32"/>
          <w:lang w:val="en-US" w:eastAsia="zh-CN" w:bidi="ar-SA"/>
        </w:rPr>
      </w:pPr>
      <w:r>
        <w:rPr>
          <w:rFonts w:eastAsia="楷体_GB2312"/>
          <w:b/>
          <w:bCs/>
          <w:color w:val="000000"/>
          <w:sz w:val="32"/>
          <w:szCs w:val="32"/>
          <w:lang w:eastAsia="zh-CN" w:bidi="ar-SA"/>
        </w:rPr>
        <w:t>州社保局202</w:t>
      </w:r>
      <w:r>
        <w:rPr>
          <w:rFonts w:hint="eastAsia" w:eastAsia="楷体_GB2312"/>
          <w:b/>
          <w:bCs/>
          <w:color w:val="000000"/>
          <w:sz w:val="32"/>
          <w:szCs w:val="32"/>
          <w:lang w:val="en-US" w:eastAsia="zh-CN" w:bidi="ar-SA"/>
        </w:rPr>
        <w:t>6</w:t>
      </w:r>
      <w:r>
        <w:rPr>
          <w:rFonts w:eastAsia="楷体_GB2312"/>
          <w:b/>
          <w:bCs/>
          <w:color w:val="000000"/>
          <w:sz w:val="32"/>
          <w:szCs w:val="32"/>
          <w:lang w:eastAsia="zh-CN" w:bidi="ar-SA"/>
        </w:rPr>
        <w:t>年重点工作：</w:t>
      </w:r>
      <w:r>
        <w:rPr>
          <w:rFonts w:hint="default" w:ascii="仿宋_GB2312" w:hAnsi="仿宋_GB2312" w:eastAsia="仿宋_GB2312" w:cs="仿宋_GB2312"/>
          <w:kern w:val="0"/>
          <w:sz w:val="32"/>
          <w:szCs w:val="32"/>
          <w:lang w:val="en-US" w:eastAsia="zh-CN" w:bidi="ar-SA"/>
        </w:rPr>
        <w:t>坚持以习近平新时代中国特色社会主义思想为指导，深入贯彻落实州委、州政府及州人社局党组决策部署，紧扣“讲政治、促就业、稳社保、防风险、强服务”核心任务，聚焦“12</w:t>
      </w:r>
      <w:r>
        <w:rPr>
          <w:rFonts w:hint="eastAsia" w:ascii="仿宋_GB2312" w:hAnsi="仿宋_GB2312" w:eastAsia="仿宋_GB2312" w:cs="仿宋_GB2312"/>
          <w:kern w:val="0"/>
          <w:sz w:val="32"/>
          <w:szCs w:val="32"/>
          <w:lang w:val="en-US" w:eastAsia="zh-CN" w:bidi="ar-SA"/>
        </w:rPr>
        <w:t>12</w:t>
      </w:r>
      <w:r>
        <w:rPr>
          <w:rFonts w:hint="default" w:ascii="仿宋_GB2312" w:hAnsi="仿宋_GB2312" w:eastAsia="仿宋_GB2312" w:cs="仿宋_GB2312"/>
          <w:kern w:val="0"/>
          <w:sz w:val="32"/>
          <w:szCs w:val="32"/>
          <w:lang w:val="en-US" w:eastAsia="zh-CN" w:bidi="ar-SA"/>
        </w:rPr>
        <w:t>”工作思路，锐意进取，狠抓落实，各项工作取得显著成效。</w:t>
      </w:r>
    </w:p>
    <w:p w14:paraId="721CFC72">
      <w:pPr>
        <w:ind w:firstLine="640" w:firstLineChars="200"/>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1.</w:t>
      </w:r>
      <w:r>
        <w:rPr>
          <w:rFonts w:hint="default" w:ascii="仿宋_GB2312" w:hAnsi="仿宋_GB2312" w:eastAsia="仿宋_GB2312" w:cs="仿宋_GB2312"/>
          <w:kern w:val="0"/>
          <w:sz w:val="32"/>
          <w:szCs w:val="32"/>
          <w:lang w:val="en-US" w:eastAsia="zh-CN" w:bidi="ar-SA"/>
        </w:rPr>
        <w:t>扩面提质精准有效。以《社会保险高质量扩面专项行动工作方案》和《2025年社保政策宣传方案》为抓手，紧抓城乡居民</w:t>
      </w:r>
      <w:r>
        <w:rPr>
          <w:rFonts w:hint="eastAsia" w:ascii="仿宋_GB2312" w:hAnsi="仿宋_GB2312" w:eastAsia="仿宋_GB2312" w:cs="仿宋_GB2312"/>
          <w:kern w:val="0"/>
          <w:sz w:val="32"/>
          <w:szCs w:val="32"/>
          <w:lang w:val="en-US" w:eastAsia="zh-CN" w:bidi="ar-SA"/>
        </w:rPr>
        <w:t>基本</w:t>
      </w:r>
      <w:r>
        <w:rPr>
          <w:rFonts w:hint="default" w:ascii="仿宋_GB2312" w:hAnsi="仿宋_GB2312" w:eastAsia="仿宋_GB2312" w:cs="仿宋_GB2312"/>
          <w:kern w:val="0"/>
          <w:sz w:val="32"/>
          <w:szCs w:val="32"/>
          <w:lang w:val="en-US" w:eastAsia="zh-CN" w:bidi="ar-SA"/>
        </w:rPr>
        <w:t>养老保险补缴政策窗口期，精准推动各类补缴</w:t>
      </w:r>
      <w:r>
        <w:rPr>
          <w:rFonts w:hint="eastAsia" w:ascii="仿宋_GB2312" w:hAnsi="仿宋_GB2312" w:eastAsia="仿宋_GB2312" w:cs="仿宋_GB2312"/>
          <w:kern w:val="0"/>
          <w:sz w:val="32"/>
          <w:szCs w:val="32"/>
          <w:lang w:val="en-US" w:eastAsia="zh-CN" w:bidi="ar-SA"/>
        </w:rPr>
        <w:t>5863人</w:t>
      </w:r>
      <w:r>
        <w:rPr>
          <w:rFonts w:hint="default" w:ascii="仿宋_GB2312" w:hAnsi="仿宋_GB2312" w:eastAsia="仿宋_GB2312" w:cs="仿宋_GB2312"/>
          <w:kern w:val="0"/>
          <w:sz w:val="32"/>
          <w:szCs w:val="32"/>
          <w:lang w:val="en-US" w:eastAsia="zh-CN" w:bidi="ar-SA"/>
        </w:rPr>
        <w:t>。全面落实困难群体代缴政策，惠及45492人，代缴率100%。全州企业职工基本养老保险新增参保6735人，城乡居民基本养老保险新增参保15619人，扩面成效显著。</w:t>
      </w:r>
    </w:p>
    <w:p w14:paraId="76995233">
      <w:pPr>
        <w:ind w:firstLine="640" w:firstLineChars="200"/>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w:t>
      </w:r>
      <w:r>
        <w:rPr>
          <w:rFonts w:hint="default" w:ascii="仿宋_GB2312" w:hAnsi="仿宋_GB2312" w:eastAsia="仿宋_GB2312" w:cs="仿宋_GB2312"/>
          <w:kern w:val="0"/>
          <w:sz w:val="32"/>
          <w:szCs w:val="32"/>
          <w:lang w:val="en-US" w:eastAsia="zh-CN" w:bidi="ar-SA"/>
        </w:rPr>
        <w:t>待遇发放率先提级。</w:t>
      </w:r>
      <w:r>
        <w:rPr>
          <w:rFonts w:hint="eastAsia" w:ascii="仿宋_GB2312" w:hAnsi="仿宋_GB2312" w:eastAsia="仿宋_GB2312" w:cs="仿宋_GB2312"/>
          <w:kern w:val="0"/>
          <w:sz w:val="32"/>
          <w:szCs w:val="32"/>
          <w:lang w:val="en-US" w:eastAsia="zh-CN" w:bidi="ar-SA"/>
        </w:rPr>
        <w:t>创新采用</w:t>
      </w:r>
      <w:r>
        <w:rPr>
          <w:rFonts w:hint="default" w:ascii="仿宋_GB2312" w:hAnsi="仿宋_GB2312" w:eastAsia="仿宋_GB2312" w:cs="仿宋_GB2312"/>
          <w:kern w:val="0"/>
          <w:sz w:val="32"/>
          <w:szCs w:val="32"/>
          <w:lang w:val="en-US" w:eastAsia="zh-CN" w:bidi="ar-SA"/>
        </w:rPr>
        <w:t>"试点先行、流程再造、制度构建"三步走策略，</w:t>
      </w:r>
      <w:r>
        <w:rPr>
          <w:rFonts w:hint="eastAsia" w:ascii="仿宋_GB2312" w:hAnsi="仿宋_GB2312" w:eastAsia="仿宋_GB2312" w:cs="仿宋_GB2312"/>
          <w:kern w:val="0"/>
          <w:sz w:val="32"/>
          <w:szCs w:val="32"/>
          <w:lang w:val="en-US" w:eastAsia="zh-CN" w:bidi="ar-SA"/>
        </w:rPr>
        <w:t>在</w:t>
      </w:r>
      <w:r>
        <w:rPr>
          <w:rFonts w:hint="default" w:ascii="仿宋_GB2312" w:hAnsi="仿宋_GB2312" w:eastAsia="仿宋_GB2312" w:cs="仿宋_GB2312"/>
          <w:kern w:val="0"/>
          <w:sz w:val="32"/>
          <w:szCs w:val="32"/>
          <w:lang w:val="en-US" w:eastAsia="zh-CN" w:bidi="ar-SA"/>
        </w:rPr>
        <w:t>全省率先实现企业职工、城乡居民养老保险和工伤保险待遇由州本级统一发放。改革实施以来，为全州132.49万人次发放待遇15.28亿元，实现基层减负与风险防控双赢、服务质效与群众满意度双提升、促进经办效能与社会稳定双巩固的显著成效。</w:t>
      </w:r>
    </w:p>
    <w:p w14:paraId="2C6F0AD0">
      <w:pPr>
        <w:ind w:firstLine="640" w:firstLineChars="200"/>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3.</w:t>
      </w:r>
      <w:r>
        <w:rPr>
          <w:rFonts w:hint="default" w:ascii="仿宋_GB2312" w:hAnsi="仿宋_GB2312" w:eastAsia="仿宋_GB2312" w:cs="仿宋_GB2312"/>
          <w:kern w:val="0"/>
          <w:sz w:val="32"/>
          <w:szCs w:val="32"/>
          <w:lang w:val="en-US" w:eastAsia="zh-CN" w:bidi="ar-SA"/>
        </w:rPr>
        <w:t>集体代缴探索破冰。将探索集体经济代缴城乡居民养老保险作为拓展参保扩面的</w:t>
      </w:r>
      <w:r>
        <w:rPr>
          <w:rFonts w:hint="eastAsia" w:ascii="仿宋_GB2312" w:hAnsi="仿宋_GB2312" w:eastAsia="仿宋_GB2312" w:cs="仿宋_GB2312"/>
          <w:kern w:val="0"/>
          <w:sz w:val="32"/>
          <w:szCs w:val="32"/>
          <w:lang w:val="en-US" w:eastAsia="zh-CN" w:bidi="ar-SA"/>
        </w:rPr>
        <w:t>有力举措</w:t>
      </w:r>
      <w:r>
        <w:rPr>
          <w:rFonts w:hint="default" w:ascii="仿宋_GB2312" w:hAnsi="仿宋_GB2312" w:eastAsia="仿宋_GB2312" w:cs="仿宋_GB2312"/>
          <w:kern w:val="0"/>
          <w:sz w:val="32"/>
          <w:szCs w:val="32"/>
          <w:lang w:val="en-US" w:eastAsia="zh-CN" w:bidi="ar-SA"/>
        </w:rPr>
        <w:t>，在阿坝、红原两县成功开展集体经济代缴城乡居民养老保险试点，为</w:t>
      </w:r>
      <w:r>
        <w:rPr>
          <w:rFonts w:hint="eastAsia" w:ascii="仿宋_GB2312" w:hAnsi="仿宋_GB2312" w:eastAsia="仿宋_GB2312" w:cs="仿宋_GB2312"/>
          <w:kern w:val="0"/>
          <w:sz w:val="32"/>
          <w:szCs w:val="32"/>
          <w:lang w:val="en-US" w:eastAsia="zh-CN" w:bidi="ar-SA"/>
        </w:rPr>
        <w:t>1714</w:t>
      </w:r>
      <w:r>
        <w:rPr>
          <w:rFonts w:hint="default" w:ascii="仿宋_GB2312" w:hAnsi="仿宋_GB2312" w:eastAsia="仿宋_GB2312" w:cs="仿宋_GB2312"/>
          <w:kern w:val="0"/>
          <w:sz w:val="32"/>
          <w:szCs w:val="32"/>
          <w:lang w:val="en-US" w:eastAsia="zh-CN" w:bidi="ar-SA"/>
        </w:rPr>
        <w:t>人落实代缴资金</w:t>
      </w:r>
      <w:r>
        <w:rPr>
          <w:rFonts w:hint="eastAsia" w:ascii="仿宋_GB2312" w:hAnsi="仿宋_GB2312" w:eastAsia="仿宋_GB2312" w:cs="仿宋_GB2312"/>
          <w:kern w:val="0"/>
          <w:sz w:val="32"/>
          <w:szCs w:val="32"/>
          <w:lang w:val="en-US" w:eastAsia="zh-CN" w:bidi="ar-SA"/>
        </w:rPr>
        <w:t>25.84万元，</w:t>
      </w:r>
      <w:r>
        <w:rPr>
          <w:rFonts w:hint="default" w:ascii="仿宋_GB2312" w:hAnsi="仿宋_GB2312" w:eastAsia="仿宋_GB2312" w:cs="仿宋_GB2312"/>
          <w:kern w:val="0"/>
          <w:sz w:val="32"/>
          <w:szCs w:val="32"/>
          <w:lang w:val="en-US" w:eastAsia="zh-CN" w:bidi="ar-SA"/>
        </w:rPr>
        <w:t>为全州推广积累了宝贵经验。</w:t>
      </w:r>
    </w:p>
    <w:p w14:paraId="2789F97D">
      <w:pPr>
        <w:ind w:firstLine="640" w:firstLineChars="200"/>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4.</w:t>
      </w:r>
      <w:r>
        <w:rPr>
          <w:rFonts w:hint="default" w:ascii="仿宋_GB2312" w:hAnsi="仿宋_GB2312" w:eastAsia="仿宋_GB2312" w:cs="仿宋_GB2312"/>
          <w:kern w:val="0"/>
          <w:sz w:val="32"/>
          <w:szCs w:val="32"/>
          <w:lang w:val="en-US" w:eastAsia="zh-CN" w:bidi="ar-SA"/>
        </w:rPr>
        <w:t>机保缴费规范堵漏。联合税务部门出台规范机关事业单位养老保险与职业年金缴费基数文件，建立“社保审核、税务复核”双审机制，有效堵塞了</w:t>
      </w:r>
      <w:r>
        <w:rPr>
          <w:rFonts w:hint="eastAsia" w:ascii="仿宋_GB2312" w:hAnsi="仿宋_GB2312" w:eastAsia="仿宋_GB2312" w:cs="仿宋_GB2312"/>
          <w:kern w:val="0"/>
          <w:sz w:val="32"/>
          <w:szCs w:val="32"/>
          <w:lang w:val="en-US" w:eastAsia="zh-CN" w:bidi="ar-SA"/>
        </w:rPr>
        <w:t>基数核定</w:t>
      </w:r>
      <w:r>
        <w:rPr>
          <w:rFonts w:hint="default" w:ascii="仿宋_GB2312" w:hAnsi="仿宋_GB2312" w:eastAsia="仿宋_GB2312" w:cs="仿宋_GB2312"/>
          <w:kern w:val="0"/>
          <w:sz w:val="32"/>
          <w:szCs w:val="32"/>
          <w:lang w:val="en-US" w:eastAsia="zh-CN" w:bidi="ar-SA"/>
        </w:rPr>
        <w:t>漏洞，维护了基金安全与参保人权益，典型经验在全省交流。</w:t>
      </w:r>
    </w:p>
    <w:p w14:paraId="7E99CE6A">
      <w:pPr>
        <w:ind w:firstLine="640" w:firstLineChars="200"/>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5.</w:t>
      </w:r>
      <w:r>
        <w:rPr>
          <w:rFonts w:hint="default" w:ascii="仿宋_GB2312" w:hAnsi="仿宋_GB2312" w:eastAsia="仿宋_GB2312" w:cs="仿宋_GB2312"/>
          <w:kern w:val="0"/>
          <w:sz w:val="32"/>
          <w:szCs w:val="32"/>
          <w:lang w:val="en-US" w:eastAsia="zh-CN" w:bidi="ar-SA"/>
        </w:rPr>
        <w:t>职业年金征缴领跑。制定《职业年金征收“领跑保位”工作方案》，实施“包保攻坚”行动，强化欠费催缴，征缴工作持续稳居全省前列，有力保障了制度平稳运行。</w:t>
      </w:r>
    </w:p>
    <w:p w14:paraId="13B08A9F">
      <w:pPr>
        <w:ind w:firstLine="640" w:firstLineChars="200"/>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6.数据治理成效显著。开展</w:t>
      </w:r>
      <w:r>
        <w:rPr>
          <w:rFonts w:hint="default" w:ascii="仿宋_GB2312" w:hAnsi="仿宋_GB2312" w:eastAsia="仿宋_GB2312" w:cs="仿宋_GB2312"/>
          <w:kern w:val="0"/>
          <w:sz w:val="32"/>
          <w:szCs w:val="32"/>
          <w:lang w:val="en-US" w:eastAsia="zh-CN" w:bidi="ar-SA"/>
        </w:rPr>
        <w:t>“减存量、遏增量”攻坚，分类清理历史数据</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严把新增录入审核关，全州核心数据质量合格率达99.99%，治理成效持续全省领先。</w:t>
      </w:r>
    </w:p>
    <w:p w14:paraId="4BE09415">
      <w:pPr>
        <w:ind w:firstLine="640" w:firstLineChars="200"/>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7.</w:t>
      </w:r>
      <w:r>
        <w:rPr>
          <w:rFonts w:hint="default" w:ascii="仿宋_GB2312" w:hAnsi="仿宋_GB2312" w:eastAsia="仿宋_GB2312" w:cs="仿宋_GB2312"/>
          <w:kern w:val="0"/>
          <w:sz w:val="32"/>
          <w:szCs w:val="32"/>
          <w:lang w:val="en-US" w:eastAsia="zh-CN" w:bidi="ar-SA"/>
        </w:rPr>
        <w:t>适老服务温暖人心。常态化开展都江堰驻点服务、重点群体上门服务及跨省走访慰问省管森工退休人员并赠送文体器材，将便捷与关怀延伸到退休人员身边。全年服务离退休人员3500余人，推送认证短信80万余条，慰问省管森工107户，发放慰问金6.42万元。</w:t>
      </w:r>
    </w:p>
    <w:p w14:paraId="7266584A">
      <w:pPr>
        <w:ind w:firstLine="640" w:firstLineChars="200"/>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8.</w:t>
      </w:r>
      <w:r>
        <w:rPr>
          <w:rFonts w:hint="default" w:ascii="仿宋_GB2312" w:hAnsi="仿宋_GB2312" w:eastAsia="仿宋_GB2312" w:cs="仿宋_GB2312"/>
          <w:kern w:val="0"/>
          <w:sz w:val="32"/>
          <w:szCs w:val="32"/>
          <w:lang w:val="en-US" w:eastAsia="zh-CN" w:bidi="ar-SA"/>
        </w:rPr>
        <w:t>通办服务便捷高效。加强养老保险关系转移接续督办，提升退役军人养老保险关系“总对总”转移效率</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圆满完成</w:t>
      </w:r>
      <w:r>
        <w:rPr>
          <w:rFonts w:hint="eastAsia" w:ascii="仿宋_GB2312" w:hAnsi="仿宋_GB2312" w:eastAsia="仿宋_GB2312" w:cs="仿宋_GB2312"/>
          <w:kern w:val="0"/>
          <w:sz w:val="32"/>
          <w:szCs w:val="32"/>
          <w:lang w:val="en-US" w:eastAsia="zh-CN" w:bidi="ar-SA"/>
        </w:rPr>
        <w:t>239名</w:t>
      </w:r>
      <w:r>
        <w:rPr>
          <w:rFonts w:hint="default" w:ascii="仿宋_GB2312" w:hAnsi="仿宋_GB2312" w:eastAsia="仿宋_GB2312" w:cs="仿宋_GB2312"/>
          <w:kern w:val="0"/>
          <w:sz w:val="32"/>
          <w:szCs w:val="32"/>
          <w:lang w:val="en-US" w:eastAsia="zh-CN" w:bidi="ar-SA"/>
        </w:rPr>
        <w:t>退役军人</w:t>
      </w:r>
      <w:r>
        <w:rPr>
          <w:rFonts w:hint="eastAsia" w:ascii="仿宋_GB2312" w:hAnsi="仿宋_GB2312" w:eastAsia="仿宋_GB2312" w:cs="仿宋_GB2312"/>
          <w:kern w:val="0"/>
          <w:sz w:val="32"/>
          <w:szCs w:val="32"/>
          <w:lang w:val="en-US" w:eastAsia="zh-CN" w:bidi="ar-SA"/>
        </w:rPr>
        <w:t>及56名川渝、川粤企业职工基本养老保险关系转移工作，涉及资金共计1893.8万元。</w:t>
      </w:r>
    </w:p>
    <w:p w14:paraId="557B7FF1">
      <w:pPr>
        <w:ind w:firstLine="640" w:firstLineChars="200"/>
      </w:pPr>
      <w:r>
        <w:rPr>
          <w:rFonts w:hint="eastAsia" w:ascii="仿宋_GB2312" w:hAnsi="仿宋_GB2312" w:eastAsia="仿宋_GB2312" w:cs="仿宋_GB2312"/>
          <w:kern w:val="0"/>
          <w:sz w:val="32"/>
          <w:szCs w:val="32"/>
          <w:lang w:val="en-US" w:eastAsia="zh-CN" w:bidi="ar-SA"/>
        </w:rPr>
        <w:t>9.重点改革稳步落地。 </w:t>
      </w:r>
      <w:r>
        <w:rPr>
          <w:rFonts w:hint="default" w:ascii="仿宋_GB2312" w:hAnsi="仿宋_GB2312" w:eastAsia="仿宋_GB2312" w:cs="仿宋_GB2312"/>
          <w:kern w:val="0"/>
          <w:sz w:val="32"/>
          <w:szCs w:val="32"/>
          <w:lang w:val="en-US" w:eastAsia="zh-CN" w:bidi="ar-SA"/>
        </w:rPr>
        <w:t>平稳实施弹性退休制度，开展“预退休·送温暖”上门服务</w:t>
      </w:r>
      <w:r>
        <w:rPr>
          <w:rFonts w:hint="eastAsia" w:ascii="仿宋_GB2312" w:hAnsi="仿宋_GB2312" w:eastAsia="仿宋_GB2312" w:cs="仿宋_GB2312"/>
          <w:kern w:val="0"/>
          <w:sz w:val="32"/>
          <w:szCs w:val="32"/>
          <w:lang w:val="en-US" w:eastAsia="zh-CN" w:bidi="ar-SA"/>
        </w:rPr>
        <w:t>，全年受理</w:t>
      </w:r>
      <w:r>
        <w:rPr>
          <w:rFonts w:hint="default" w:ascii="仿宋_GB2312" w:hAnsi="仿宋_GB2312" w:eastAsia="仿宋_GB2312" w:cs="仿宋_GB2312"/>
          <w:kern w:val="0"/>
          <w:sz w:val="32"/>
          <w:szCs w:val="32"/>
          <w:lang w:val="en-US" w:eastAsia="zh-CN" w:bidi="ar-SA"/>
        </w:rPr>
        <w:t>弹性提前退休</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法定年龄退休</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弹性延迟退休1900余人；</w:t>
      </w:r>
      <w:r>
        <w:rPr>
          <w:rFonts w:hint="eastAsia" w:ascii="仿宋_GB2312" w:hAnsi="仿宋_GB2312" w:eastAsia="仿宋_GB2312" w:cs="仿宋_GB2312"/>
          <w:kern w:val="0"/>
          <w:sz w:val="32"/>
          <w:szCs w:val="32"/>
          <w:lang w:val="en-US" w:eastAsia="zh-CN" w:bidi="ar-SA"/>
        </w:rPr>
        <w:t>扎实推进</w:t>
      </w:r>
      <w:r>
        <w:rPr>
          <w:rFonts w:hint="default" w:ascii="仿宋_GB2312" w:hAnsi="仿宋_GB2312" w:eastAsia="仿宋_GB2312" w:cs="仿宋_GB2312"/>
          <w:kern w:val="0"/>
          <w:sz w:val="32"/>
          <w:szCs w:val="32"/>
          <w:lang w:val="en-US" w:eastAsia="zh-CN" w:bidi="ar-SA"/>
        </w:rPr>
        <w:t>新就业形态人员职业伤害保障试点，将工伤预防宣传延伸至职业伤害群体，增强新就业形态人员安全意识与政策知晓度；巩固机保改革成效，完成2024年2144名退休人员待遇重算，重算率达99.95%；确保企业职工基本养老保险全国统筹</w:t>
      </w:r>
      <w:r>
        <w:rPr>
          <w:rFonts w:hint="eastAsia" w:ascii="仿宋_GB2312" w:hAnsi="仿宋_GB2312" w:eastAsia="仿宋_GB2312" w:cs="仿宋_GB2312"/>
          <w:kern w:val="0"/>
          <w:sz w:val="32"/>
          <w:szCs w:val="32"/>
          <w:lang w:val="en-US" w:eastAsia="zh-CN" w:bidi="ar-SA"/>
        </w:rPr>
        <w:t>在内的</w:t>
      </w:r>
      <w:r>
        <w:rPr>
          <w:rFonts w:hint="default" w:ascii="仿宋_GB2312" w:hAnsi="仿宋_GB2312" w:eastAsia="仿宋_GB2312" w:cs="仿宋_GB2312"/>
          <w:kern w:val="0"/>
          <w:sz w:val="32"/>
          <w:szCs w:val="32"/>
          <w:lang w:val="en-US" w:eastAsia="zh-CN" w:bidi="ar-SA"/>
        </w:rPr>
        <w:t>各项统筹制度平稳运行</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确保基金上解率保持100%。</w:t>
      </w:r>
      <w:r>
        <w:t xml:space="preserve">  </w:t>
      </w:r>
    </w:p>
    <w:p w14:paraId="6808BAA7">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lang w:val="en-US" w:eastAsia="zh-CN"/>
        </w:rPr>
      </w:pPr>
      <w:r>
        <w:rPr>
          <w:rFonts w:eastAsia="楷体_GB2312"/>
          <w:b/>
          <w:bCs/>
          <w:color w:val="000000"/>
          <w:sz w:val="32"/>
          <w:szCs w:val="32"/>
          <w:lang w:eastAsia="zh-CN" w:bidi="ar-SA"/>
        </w:rPr>
        <w:t>州农民工服务中心202</w:t>
      </w:r>
      <w:r>
        <w:rPr>
          <w:rFonts w:hint="eastAsia" w:eastAsia="楷体_GB2312"/>
          <w:b/>
          <w:bCs/>
          <w:color w:val="000000"/>
          <w:sz w:val="32"/>
          <w:szCs w:val="32"/>
          <w:lang w:val="en-US" w:eastAsia="zh-CN" w:bidi="ar-SA"/>
        </w:rPr>
        <w:t>6</w:t>
      </w:r>
      <w:r>
        <w:rPr>
          <w:rFonts w:eastAsia="楷体_GB2312"/>
          <w:b/>
          <w:bCs/>
          <w:color w:val="000000"/>
          <w:sz w:val="32"/>
          <w:szCs w:val="32"/>
          <w:lang w:eastAsia="zh-CN" w:bidi="ar-SA"/>
        </w:rPr>
        <w:t>年重点工作：</w:t>
      </w:r>
      <w:r>
        <w:rPr>
          <w:rFonts w:hint="eastAsia" w:ascii="仿宋_GB2312" w:hAnsi="仿宋_GB2312" w:eastAsia="仿宋_GB2312" w:cs="仿宋_GB2312"/>
          <w:sz w:val="32"/>
          <w:szCs w:val="32"/>
          <w:lang w:val="en-US" w:eastAsia="zh-CN"/>
        </w:rPr>
        <w:t>为深入贯彻落实就业优先战略促进高质量充分就业，全面推进乡村振兴与城乡融合发展，切实提升农民工就业质量与幸福感，结合阿坝州资源禀赋与发展实际，2026年州农民工服务中心按照全州群众工作“石榴籽”工程就业创业行动部署要求，聚焦围绕“五大指标”（劳务输出转移、劳务经济收</w:t>
      </w:r>
      <w:r>
        <w:rPr>
          <w:rFonts w:hint="default" w:ascii="仿宋_GB2312" w:hAnsi="仿宋_GB2312" w:eastAsia="仿宋_GB2312" w:cs="仿宋_GB2312"/>
          <w:sz w:val="32"/>
          <w:szCs w:val="32"/>
          <w:lang w:eastAsia="zh-CN"/>
        </w:rPr>
        <w:t>入</w:t>
      </w:r>
      <w:r>
        <w:rPr>
          <w:rFonts w:hint="eastAsia" w:ascii="仿宋_GB2312" w:hAnsi="仿宋_GB2312" w:eastAsia="仿宋_GB2312" w:cs="仿宋_GB2312"/>
          <w:sz w:val="32"/>
          <w:szCs w:val="32"/>
          <w:lang w:val="en-US" w:eastAsia="zh-CN"/>
        </w:rPr>
        <w:t>、脱贫人口就业</w:t>
      </w:r>
      <w:r>
        <w:rPr>
          <w:rFonts w:hint="default" w:ascii="仿宋_GB2312" w:hAnsi="仿宋_GB2312" w:eastAsia="仿宋_GB2312" w:cs="仿宋_GB2312"/>
          <w:sz w:val="32"/>
          <w:szCs w:val="32"/>
          <w:lang w:eastAsia="zh-CN"/>
        </w:rPr>
        <w:t>及其</w:t>
      </w:r>
      <w:r>
        <w:rPr>
          <w:rFonts w:hint="eastAsia" w:ascii="仿宋_GB2312" w:hAnsi="仿宋_GB2312" w:eastAsia="仿宋_GB2312" w:cs="仿宋_GB2312"/>
          <w:sz w:val="32"/>
          <w:szCs w:val="32"/>
          <w:lang w:val="en-US" w:eastAsia="zh-CN"/>
        </w:rPr>
        <w:t>跨区</w:t>
      </w:r>
      <w:r>
        <w:rPr>
          <w:rFonts w:hint="default" w:ascii="仿宋_GB2312" w:hAnsi="仿宋_GB2312" w:eastAsia="仿宋_GB2312" w:cs="仿宋_GB2312"/>
          <w:sz w:val="32"/>
          <w:szCs w:val="32"/>
          <w:lang w:eastAsia="zh-CN"/>
        </w:rPr>
        <w:t>域</w:t>
      </w:r>
      <w:r>
        <w:rPr>
          <w:rFonts w:hint="eastAsia" w:ascii="仿宋_GB2312" w:hAnsi="仿宋_GB2312" w:eastAsia="仿宋_GB2312" w:cs="仿宋_GB2312"/>
          <w:sz w:val="32"/>
          <w:szCs w:val="32"/>
          <w:lang w:val="en-US" w:eastAsia="zh-CN"/>
        </w:rPr>
        <w:t>务工交通补贴、县乡村三级劳务服务体系建成率、劳务品牌和返乡创业培训任务），扎实推进“大美阿坝.就业工坊”建设工程、“大美阿坝.劳务服务”提升工程、“大美阿坝.劳务品牌”培育工程、“大美阿坝.返乡创业〞促进工程、“大美阿坝.技能工匠”培训工程“五大工程”的工作思路，着力构建“就近就业有载体、外出务工有保障、劳务品牌有特色、返乡创业有平台、技能提升有路径”“五有目标”的农民工服务保障新格局。</w:t>
      </w:r>
    </w:p>
    <w:p w14:paraId="4B436320">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1.“大美阿坝·就业工坊”建设工程</w:t>
      </w:r>
    </w:p>
    <w:p w14:paraId="4579C2BB">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工作目标：全州认定80家以上就业工坊，评价认定40家星级就业工坊（其中包括推进建设浙阿振兴工坊20家）。跨省组织举办一场“大美阿坝.就业工坊”产品营销推介活动。</w:t>
      </w:r>
    </w:p>
    <w:p w14:paraId="2FC25A9E">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思路：坚持以“‘就业工坊’绘就万家灯火‘幸福画卷’”为主题，促进本地劳动力就近就地就业为目标，整合各方优势资源，认定打造一批具有阿坝特色的家门口就业工坊和浙.阿振兴工坊，着力建设“家门口”就业服务圈，努力实现“县县有品牌、乡乡有工坊、坊坊有就业”目标。</w:t>
      </w:r>
    </w:p>
    <w:p w14:paraId="702C989E">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措施：一是制定出台政策。结合全州工作实际，拟定出台《阿坝州家门口就业工坊十条政策措施（试行）》等“1+6”系列政策文件。二是筹措扶持资金。州级每年统筹就业工坊专项扶持资金1000万元，县市级每年统筹就业工坊专项扶持资金650万元（50万元/县市）。三是创新方式推进。按照三个一批的方式，全力推进就业工坊建设。科学评价认定一批。全面摸排了解全州现有就业工坊建设发展情况，根据家门口就业工坊评星定级考核办法，科学评价认定一批星级就业工坊，进一步规范管理、有效促进就业工坊健康有序发展。创新规划新建一批。结合当地特色产业、文化旅游、农牧产品加工、野生资源加工等，充分利用整合现有资源，鼓励支持创业主体，创新规划新建一批家门口就业工坊，为农村劳动力提供就近就地就业岗位。赋能升级提升一批。对现有的闲置厂房、老旧校舍、村社区阵地等进行改造升级，对已有的就业工坊进行技术、设备和管理等方面的改造提升，赋能升级一批就业工坊，不断提高生产效率、扩大生产规模、提升产品质量，增强市场竞争力。</w:t>
      </w:r>
    </w:p>
    <w:p w14:paraId="2FE62BEE">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2.“大美阿坝·劳务服务”提升工程</w:t>
      </w:r>
    </w:p>
    <w:p w14:paraId="74253F25">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工作目标：推进劳务转移输出农村劳动力15.5万人（其中，力争脱贫人口稳定就业达到4.5万人，发放脱贫人口跨区域交通补贴不低于800万元），努力实现劳务经济收入55亿元，县乡村三级劳务服务体系建成覆盖率达到80%，组织推进今冬明春服务农民工七个专项行动130场次。</w:t>
      </w:r>
    </w:p>
    <w:p w14:paraId="0BCF2840">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思路：深入实施服务保障农民工战略工程，围绕“服务体系组织化、服务机制协同化、服务能力专业化”的工作目标，构建“覆盖全域、精准对接、全程服务”的县乡村三级劳务服务体系，聚焦农民工特别是贫困劳动力，畅通外出务工和就地就近就业渠道，健全劳务输入地和输出地协作机制，稳定脱贫人口务工规模。</w:t>
      </w:r>
    </w:p>
    <w:p w14:paraId="0E745C45">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措施：一是强化服务基础工作。加强就业信息资源库建设，健全就业公共服务体系，实施“人工智能＋就业”、“大数据＋铁脚板”服务模式，分类提供便捷服务。深化对口帮扶劳务协作，推动以工代赈，聚焦就业困难群体，特别是大龄、残疾、较长时间失业人员，开展就业帮扶专项行动，组织“小而美、专而精”的分类招聘，推行直播带岗、远程面试，推进岗位信息定向推送，扩大有组织劳务输出。二是推进服务专项行动。组织开展今冬明春农民工服务七项专项行动，为广大农民工提供温心、暖心、安心的服务保障，充分传达党委、政府的关心、关爱、关注。加强驻外农民工党群服务中心（站点）建设与服务管理，加大农民工流动党组织建设和农民工党员培育力度。完善农民工权益保障制度，构建和谐劳动关系。实现农民工从“出得去”到“干得好、留得下、有保障”的升级，提高劳务服务的质量和效率，促进劳动力的有序流动和稳定就业，不断提升广大农民工的获得感、幸福感、安全感。三是创新服务多元方式。探索建立“政府引导、企业主导、社会参与、劳动者主体〞的多元方式，制定相关政策，加强对劳务服务行业的监管和指导，引导劳务服务企业规范发展。鼓励劳务企业、劳务专合社、劳务经纪人积极参与劳务服务，通过建立劳务合作基地、开展劳务外包等方式，满足企业的用工需求。发挥社会组织、行业协会等的作用，为劳务服务提供信息咨询、技能培训等服务。加强对劳动者的宣传教育，提高其就业意识和职业技能，掌握运用“蜀我.会找活”信息平台，引导劳动者积极参与劳务服务。</w:t>
      </w:r>
    </w:p>
    <w:p w14:paraId="015EEC73">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3.“大美阿坝·劳务品牌”培育工程</w:t>
      </w:r>
    </w:p>
    <w:p w14:paraId="3BA715FD">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目标：持续培育“大美阿坝”劳务品牌14个，巩固提升“川字号〞省级劳务品牌2个，组织评定新一轮“大美阿坝”州级劳务品牌4个，积极申报“川字号”省级劳务品牌2个，组织开展劳务品牌培训10期以上1000余人次。</w:t>
      </w:r>
    </w:p>
    <w:p w14:paraId="6948FBCA">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工作思路：坚持以“大美阿坝”为区域品牌，大力推进劳务品牌建设，打造培育具有阿坝特色的劳务品牌，积极申报四川省“川字号”劳务品牌，提升劳务品牌的知名度和影响力，促进劳动力的高质量就业。</w:t>
      </w:r>
    </w:p>
    <w:p w14:paraId="33EB4E75">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措施：一是标准化建设。制定劳务品牌建设的标准和规范，从技能培训、服务质量、劳动保障等方面进行标准化管理。二是专业化培训。针对不同劳务品牌的特点，开展专业化的技能培训，提高劳动者的技能水平和就业能力。三是品牌化推广。通过多种渠道，加强对劳务品牌的宣传推广，鼓励支持劳务品牌企业产品积极参加“蜀创优品”营销展示推介，提高劳务品牌的知名度和美誉度。四是产业化发展。推动劳务品牌与相关产业的融合发展，形成产业集群，提高劳务品牌的经济效益和社会效益。</w:t>
      </w:r>
    </w:p>
    <w:p w14:paraId="6938CE49">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4.“大美阿坝·返乡创业”促进工程</w:t>
      </w:r>
    </w:p>
    <w:p w14:paraId="09E2D2D0">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目标：鼓励支持新增返乡创业企业50家，发放创业担保贷款不低于1500万元，发放创业补贴不低于80万元，实现创业带动就业1200人，组织2场返乡创业专家指导和创业巡诊活动，开展13场返乡创业项目产品推介活动和返乡创业专题培训10期以上。</w:t>
      </w:r>
    </w:p>
    <w:p w14:paraId="1863AF6B">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思路：推进“雁归大美阿坝”行动，鼓励创业带动就业，注重强化模式引领、因地制宜、分类施策，有针对性地的推广“科技成果＋创业”、“产业发展＋创业”、“职业技能＋创业”、“民生需求＋创业”模式，鼓励和引导外出务工人员返乡创业，以创业带动就业，促进当地经济发展。</w:t>
      </w:r>
    </w:p>
    <w:p w14:paraId="345B97AC">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措施：一是落实创业政策。打好担保贷款、创业补贴、场地支持、税费减免等政策组合拳，加大创业支持力度，优化创业环境、强化服务保障，着力构建政府鼓励创业、市场引导创业、社会支持创业、劳动者勇于创业的新格局，降低创业成本，激发创业热情。二是组织创业培训。提供创业专家指导和组织开展创业培训巡诊活动，组织开展返乡创业项目和产品推介活动，提高返乡创业人员创业能力和创业产品影响力。三是引导产业发展。引导返乡创业人员结合当地资源优势，主动参与特色农牧、乡村旅游等产业创业发展，切实增强创业带动就业效应。</w:t>
      </w:r>
    </w:p>
    <w:p w14:paraId="075C7C19">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5.“大美阿坝.技能工匠”培训工程</w:t>
      </w:r>
    </w:p>
    <w:p w14:paraId="5F0EA05E">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工作目标：开展农民工各类职业技能培训10期以上，特色劳务品牌培训10期以上，实现培训1500人次，示范培训培育“阿坝工匠”20人，组织一场浙阿跨区域农民工技能大赛。</w:t>
      </w:r>
    </w:p>
    <w:p w14:paraId="7624B0CF">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思路：开展大规模职业技能提升培训，组织多元化农民工技能大赛，实施“技能照亮前程”培训行动，聚焦康养托育、现化服务、劳务品牌、特色产业、新职业等重点领域，构建多元化培养体系，调动多方资源，全面推行“岗位需求＋技能培训＋技能评价＋就业服务”联动模式，进一步推进技能培训成果精准转化为就业竞争力，大力推动培训模式的现代化、多元化、网络化。</w:t>
      </w:r>
    </w:p>
    <w:p w14:paraId="7758EAE3">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Style w:val="19"/>
          <w:rFonts w:ascii="黑体" w:eastAsia="黑体"/>
          <w:sz w:val="32"/>
          <w:szCs w:val="32"/>
          <w:lang w:val="en-US" w:eastAsia="zh-CN"/>
        </w:rPr>
      </w:pPr>
      <w:r>
        <w:rPr>
          <w:rFonts w:hint="eastAsia" w:ascii="仿宋_GB2312" w:hAnsi="仿宋_GB2312" w:eastAsia="仿宋_GB2312" w:cs="仿宋_GB2312"/>
          <w:sz w:val="32"/>
          <w:szCs w:val="32"/>
          <w:lang w:val="en-US" w:eastAsia="zh-CN"/>
        </w:rPr>
        <w:t>工作措施：一是数字赋能，推行“网络+”培训。开发本土化、精品化的线上课程资源库，利用远程教育平台与移动学习终端，突破时空限制，为劳动者提供泛在、灵活的个性化学习路径。二是实战为本，强化“实操+”培训。坚持产教融合、工学一体，严格确保实训课时占比。充分发挥各级各类实训基地作用，让学员在真练实操中锤炼过硬技能。三是供需匹配，开展“定制+”培训。紧密对接产业链与人才链，携手重点企业、技工院校等共同开设蓝鹰班、定向班、定制班，实现“招生即招工、入学即入职、结业即上岗”，打通从培训到就业的“最后一公里”。四是复合培养，探索“技能+”培训。面向现代服务业升级需求，积极探索“技能+语言”、“技能+礼仪”、“技能+电商”等复合型培训模式，全面提升劳动者的职业素养与市场适应能力。</w:t>
      </w:r>
    </w:p>
    <w:p w14:paraId="4F085CE1">
      <w:pPr>
        <w:pStyle w:val="22"/>
        <w:keepNext w:val="0"/>
        <w:keepLines w:val="0"/>
        <w:pageBreakBefore w:val="0"/>
        <w:widowControl w:val="0"/>
        <w:kinsoku/>
        <w:wordWrap/>
        <w:overflowPunct/>
        <w:topLinePunct w:val="0"/>
        <w:bidi w:val="0"/>
        <w:snapToGrid/>
        <w:spacing w:line="560" w:lineRule="exact"/>
        <w:ind w:firstLine="643" w:firstLineChars="200"/>
        <w:textAlignment w:val="auto"/>
        <w:rPr>
          <w:rFonts w:eastAsia="楷体_GB2312"/>
          <w:b/>
          <w:bCs/>
          <w:color w:val="000000"/>
          <w:sz w:val="32"/>
          <w:szCs w:val="32"/>
          <w:lang w:eastAsia="zh-CN" w:bidi="ar-SA"/>
        </w:rPr>
      </w:pPr>
      <w:r>
        <w:rPr>
          <w:rFonts w:eastAsia="楷体_GB2312"/>
          <w:b/>
          <w:bCs/>
          <w:color w:val="000000"/>
          <w:sz w:val="32"/>
          <w:szCs w:val="32"/>
          <w:lang w:eastAsia="zh-CN" w:bidi="ar-SA"/>
        </w:rPr>
        <w:t>州就业局202</w:t>
      </w:r>
      <w:r>
        <w:rPr>
          <w:rFonts w:hint="eastAsia" w:eastAsia="楷体_GB2312"/>
          <w:b/>
          <w:bCs/>
          <w:color w:val="000000"/>
          <w:sz w:val="32"/>
          <w:szCs w:val="32"/>
          <w:lang w:val="en-US" w:eastAsia="zh-CN" w:bidi="ar-SA"/>
        </w:rPr>
        <w:t>6</w:t>
      </w:r>
      <w:r>
        <w:rPr>
          <w:rFonts w:eastAsia="楷体_GB2312"/>
          <w:b/>
          <w:bCs/>
          <w:color w:val="000000"/>
          <w:sz w:val="32"/>
          <w:szCs w:val="32"/>
          <w:lang w:eastAsia="zh-CN" w:bidi="ar-SA"/>
        </w:rPr>
        <w:t>年重点工作：</w:t>
      </w:r>
    </w:p>
    <w:p w14:paraId="75A4D0F5">
      <w:pPr>
        <w:pStyle w:val="22"/>
        <w:keepNext w:val="0"/>
        <w:keepLines w:val="0"/>
        <w:pageBreakBefore w:val="0"/>
        <w:widowControl w:val="0"/>
        <w:kinsoku/>
        <w:wordWrap/>
        <w:overflowPunct/>
        <w:topLinePunct w:val="0"/>
        <w:bidi w:val="0"/>
        <w:snapToGrid/>
        <w:spacing w:line="560" w:lineRule="exact"/>
        <w:ind w:firstLine="643" w:firstLineChars="200"/>
        <w:textAlignment w:val="auto"/>
        <w:rPr>
          <w:rFonts w:hint="default" w:ascii="Times New Roman" w:hAnsi="Times New Roman" w:eastAsia="仿宋_GB2312" w:cs="Times New Roman"/>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1.</w:t>
      </w:r>
      <w:r>
        <w:rPr>
          <w:rFonts w:hint="default" w:ascii="楷体_GB2312" w:hAnsi="楷体_GB2312" w:eastAsia="楷体_GB2312" w:cs="楷体_GB2312"/>
          <w:b/>
          <w:bCs/>
          <w:color w:val="auto"/>
          <w:kern w:val="2"/>
          <w:sz w:val="32"/>
          <w:szCs w:val="32"/>
          <w:lang w:val="en-US" w:eastAsia="zh-CN" w:bidi="ar-SA"/>
        </w:rPr>
        <w:t>深化重点群体就业帮扶，全力稳住就业基本盘。</w:t>
      </w:r>
      <w:r>
        <w:rPr>
          <w:rFonts w:hint="default" w:ascii="Times New Roman" w:hAnsi="Times New Roman" w:eastAsia="仿宋_GB2312" w:cs="Times New Roman"/>
          <w:color w:val="auto"/>
          <w:kern w:val="2"/>
          <w:sz w:val="32"/>
          <w:szCs w:val="32"/>
          <w:lang w:val="en-US" w:eastAsia="zh-CN" w:bidi="ar-SA"/>
        </w:rPr>
        <w:t>持续攻坚</w:t>
      </w:r>
      <w:r>
        <w:rPr>
          <w:rFonts w:hint="eastAsia" w:ascii="Times New Roman" w:hAnsi="Times New Roman" w:eastAsia="仿宋_GB2312" w:cs="Times New Roman"/>
          <w:color w:val="auto"/>
          <w:kern w:val="2"/>
          <w:sz w:val="32"/>
          <w:szCs w:val="32"/>
          <w:lang w:val="en-US" w:eastAsia="zh-CN" w:bidi="ar-SA"/>
        </w:rPr>
        <w:t>大中专</w:t>
      </w:r>
      <w:r>
        <w:rPr>
          <w:rFonts w:hint="default" w:ascii="Times New Roman" w:hAnsi="Times New Roman" w:eastAsia="仿宋_GB2312" w:cs="Times New Roman"/>
          <w:color w:val="auto"/>
          <w:kern w:val="2"/>
          <w:sz w:val="32"/>
          <w:szCs w:val="32"/>
          <w:lang w:val="en-US" w:eastAsia="zh-CN" w:bidi="ar-SA"/>
        </w:rPr>
        <w:t>毕业生就业</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深入推进离校未就业高校毕业生服务攻坚行动，全面落实实名制管理和“1131”精准服务，确保帮扶就业率稳定在90%以上。继续实施青年就业见习计划，力争见习基地数量与岗位质量双提升</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加强校地合作</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推动公共就业服务常态化进校园。兜牢困难群体就业底线</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加大就业困难人员认定和帮扶力度，深化分类援助和“一对一”服务</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动态用好公益性岗位兜底安置功能，确保零就业家庭动态清零。</w:t>
      </w:r>
    </w:p>
    <w:p w14:paraId="0D31400B">
      <w:pPr>
        <w:pStyle w:val="22"/>
        <w:keepNext w:val="0"/>
        <w:keepLines w:val="0"/>
        <w:pageBreakBefore w:val="0"/>
        <w:widowControl w:val="0"/>
        <w:kinsoku/>
        <w:wordWrap/>
        <w:overflowPunct/>
        <w:topLinePunct w:val="0"/>
        <w:bidi w:val="0"/>
        <w:snapToGrid/>
        <w:spacing w:line="560" w:lineRule="exact"/>
        <w:ind w:firstLine="643" w:firstLineChars="200"/>
        <w:textAlignment w:val="auto"/>
        <w:rPr>
          <w:rFonts w:hint="default" w:ascii="Times New Roman" w:hAnsi="Times New Roman" w:eastAsia="仿宋_GB2312" w:cs="Times New Roman"/>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2.</w:t>
      </w:r>
      <w:r>
        <w:rPr>
          <w:rFonts w:hint="default" w:ascii="楷体_GB2312" w:hAnsi="楷体_GB2312" w:eastAsia="楷体_GB2312" w:cs="楷体_GB2312"/>
          <w:b/>
          <w:bCs/>
          <w:color w:val="auto"/>
          <w:kern w:val="2"/>
          <w:sz w:val="32"/>
          <w:szCs w:val="32"/>
          <w:lang w:val="en-US" w:eastAsia="zh-CN" w:bidi="ar-SA"/>
        </w:rPr>
        <w:t>优化创业生态与服务，提升创业带动就业能力。</w:t>
      </w:r>
      <w:r>
        <w:rPr>
          <w:rFonts w:hint="default" w:ascii="Times New Roman" w:hAnsi="Times New Roman" w:eastAsia="仿宋_GB2312" w:cs="Times New Roman"/>
          <w:color w:val="auto"/>
          <w:kern w:val="2"/>
          <w:sz w:val="32"/>
          <w:szCs w:val="32"/>
          <w:lang w:val="en-US" w:eastAsia="zh-CN" w:bidi="ar-SA"/>
        </w:rPr>
        <w:t>建强创业服务平台</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完善创业指导专家志愿团和创业项目库动态管理机制，提升创业孵化基地（园区）服务效能。探索新建创业孵化载体，为创业者提供低成本、全要素服务。加大创业融资支持。 持续优化创业担保贷款政策落实流程，加强部门协同和发放调度，确保符合条件的创业者和市场主体应贷尽贷，有效发挥贷款促创业、带就业的倍增效应。丰富创业服务活动。 持续举办“创业阿坝·筑梦未来”系列服务活动，积极开展创业巡诊、大赛、训练营和资源对接。选树宣传一批创业典型，营造鼓励创新、支持创业的浓厚氛围。</w:t>
      </w:r>
    </w:p>
    <w:p w14:paraId="0F0BBAEC">
      <w:pPr>
        <w:pStyle w:val="22"/>
        <w:keepNext w:val="0"/>
        <w:keepLines w:val="0"/>
        <w:pageBreakBefore w:val="0"/>
        <w:widowControl w:val="0"/>
        <w:kinsoku/>
        <w:wordWrap/>
        <w:overflowPunct/>
        <w:topLinePunct w:val="0"/>
        <w:bidi w:val="0"/>
        <w:snapToGrid/>
        <w:spacing w:line="560" w:lineRule="exact"/>
        <w:ind w:firstLine="643" w:firstLineChars="200"/>
        <w:textAlignment w:val="auto"/>
        <w:rPr>
          <w:rFonts w:hint="default" w:ascii="Times New Roman" w:hAnsi="Times New Roman" w:eastAsia="仿宋_GB2312" w:cs="Times New Roman"/>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3.</w:t>
      </w:r>
      <w:r>
        <w:rPr>
          <w:rFonts w:hint="default" w:ascii="楷体_GB2312" w:hAnsi="楷体_GB2312" w:eastAsia="楷体_GB2312" w:cs="楷体_GB2312"/>
          <w:b/>
          <w:bCs/>
          <w:color w:val="auto"/>
          <w:kern w:val="2"/>
          <w:sz w:val="32"/>
          <w:szCs w:val="32"/>
          <w:lang w:val="en-US" w:eastAsia="zh-CN" w:bidi="ar-SA"/>
        </w:rPr>
        <w:t>推动职业技能培训提质增效，促进技能就业增收。</w:t>
      </w:r>
      <w:r>
        <w:rPr>
          <w:rFonts w:hint="default" w:ascii="Times New Roman" w:hAnsi="Times New Roman" w:eastAsia="仿宋_GB2312" w:cs="Times New Roman"/>
          <w:color w:val="auto"/>
          <w:kern w:val="2"/>
          <w:sz w:val="32"/>
          <w:szCs w:val="32"/>
          <w:lang w:val="en-US" w:eastAsia="zh-CN" w:bidi="ar-SA"/>
        </w:rPr>
        <w:t>实施“技能照亮前程”专项行动</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围绕文旅、特色农牧、新能源等重点产业发展需求，以及新业态、新职业发展趋势</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大力开展“岗位需求+技能培训+技能评价+就业服务”四位一体的职业技能培训增强培训针对性和实效性。深化培训需求调查，健全“需求+培训+就业”服务链条。加强校企合作、产教融合，推广“订单式、定向式、定岗式”培训。强化培训全过程监管</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全面应用就业创业培训监管平台和实名制信息系统，严格落实“凡补必进，不进不补”要求，构建“人防+技防”监管体系，保障培训资金安全与培训质量。</w:t>
      </w:r>
    </w:p>
    <w:p w14:paraId="2ECBE60A">
      <w:pPr>
        <w:pStyle w:val="22"/>
        <w:keepNext w:val="0"/>
        <w:keepLines w:val="0"/>
        <w:pageBreakBefore w:val="0"/>
        <w:widowControl w:val="0"/>
        <w:kinsoku/>
        <w:wordWrap/>
        <w:overflowPunct/>
        <w:topLinePunct w:val="0"/>
        <w:bidi w:val="0"/>
        <w:snapToGrid/>
        <w:spacing w:line="560" w:lineRule="exact"/>
        <w:ind w:firstLine="643" w:firstLineChars="200"/>
        <w:textAlignment w:val="auto"/>
        <w:rPr>
          <w:rFonts w:hint="default" w:ascii="Times New Roman" w:hAnsi="Times New Roman" w:eastAsia="仿宋_GB2312" w:cs="Times New Roman"/>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4.</w:t>
      </w:r>
      <w:r>
        <w:rPr>
          <w:rFonts w:hint="default" w:ascii="楷体_GB2312" w:hAnsi="楷体_GB2312" w:eastAsia="楷体_GB2312" w:cs="楷体_GB2312"/>
          <w:b/>
          <w:bCs/>
          <w:color w:val="auto"/>
          <w:kern w:val="2"/>
          <w:sz w:val="32"/>
          <w:szCs w:val="32"/>
          <w:lang w:val="en-US" w:eastAsia="zh-CN" w:bidi="ar-SA"/>
        </w:rPr>
        <w:t>优化公共就业服务供给，提升供需匹配效率。</w:t>
      </w:r>
      <w:r>
        <w:rPr>
          <w:rFonts w:hint="eastAsia" w:ascii="仿宋_GB2312" w:hAnsi="仿宋_GB2312" w:eastAsia="仿宋_GB2312" w:cs="仿宋_GB2312"/>
          <w:i w:val="0"/>
          <w:iCs w:val="0"/>
          <w:caps w:val="0"/>
          <w:color w:val="0F1115"/>
          <w:spacing w:val="-6"/>
          <w:sz w:val="32"/>
          <w:szCs w:val="32"/>
          <w:shd w:val="clear" w:color="auto" w:fill="FFFFFF"/>
        </w:rPr>
        <w:t>规划建设基层公共就业服务站</w:t>
      </w:r>
      <w:r>
        <w:rPr>
          <w:rStyle w:val="16"/>
          <w:rFonts w:hint="eastAsia" w:ascii="仿宋_GB2312" w:hAnsi="仿宋_GB2312" w:eastAsia="仿宋_GB2312" w:cs="仿宋_GB2312"/>
          <w:b w:val="0"/>
          <w:bCs w:val="0"/>
          <w:i w:val="0"/>
          <w:iCs w:val="0"/>
          <w:caps w:val="0"/>
          <w:color w:val="0F1115"/>
          <w:spacing w:val="-6"/>
          <w:sz w:val="32"/>
          <w:szCs w:val="32"/>
          <w:shd w:val="clear" w:color="auto" w:fill="FFFFFF"/>
        </w:rPr>
        <w:t>31个</w:t>
      </w:r>
      <w:r>
        <w:rPr>
          <w:rStyle w:val="16"/>
          <w:rFonts w:hint="eastAsia" w:ascii="仿宋_GB2312" w:hAnsi="仿宋_GB2312" w:eastAsia="仿宋_GB2312" w:cs="仿宋_GB2312"/>
          <w:b w:val="0"/>
          <w:bCs w:val="0"/>
          <w:i w:val="0"/>
          <w:iCs w:val="0"/>
          <w:caps w:val="0"/>
          <w:color w:val="0F1115"/>
          <w:spacing w:val="-6"/>
          <w:sz w:val="32"/>
          <w:szCs w:val="32"/>
          <w:shd w:val="clear" w:color="auto" w:fill="FFFFFF"/>
          <w:lang w:val="en-US" w:eastAsia="zh-CN"/>
        </w:rPr>
        <w:t>,覆盖州内两所高校和13个县（市）的重点乡镇，</w:t>
      </w:r>
      <w:r>
        <w:rPr>
          <w:rStyle w:val="16"/>
          <w:rFonts w:hint="eastAsia" w:ascii="仿宋_GB2312" w:hAnsi="仿宋_GB2312" w:eastAsia="仿宋_GB2312" w:cs="仿宋_GB2312"/>
          <w:b w:val="0"/>
          <w:bCs w:val="0"/>
          <w:i w:val="0"/>
          <w:iCs w:val="0"/>
          <w:caps w:val="0"/>
          <w:color w:val="0F1115"/>
          <w:spacing w:val="0"/>
          <w:sz w:val="32"/>
          <w:szCs w:val="32"/>
          <w:shd w:val="clear" w:color="auto" w:fill="FFFFFF"/>
          <w:lang w:val="en-US" w:eastAsia="zh-CN"/>
        </w:rPr>
        <w:t>布局打造“家门口”基层公共就业服务站，提升公共就业服务便捷性和可及性。</w:t>
      </w:r>
      <w:r>
        <w:rPr>
          <w:rFonts w:hint="default" w:ascii="Times New Roman" w:hAnsi="Times New Roman" w:eastAsia="仿宋_GB2312" w:cs="Times New Roman"/>
          <w:color w:val="auto"/>
          <w:kern w:val="2"/>
          <w:sz w:val="32"/>
          <w:szCs w:val="32"/>
          <w:lang w:val="en-US" w:eastAsia="zh-CN" w:bidi="ar-SA"/>
        </w:rPr>
        <w:t>以“春风行动”、“民营企业服务月”、“金秋招聘月”、“就业援助月”等为主线，打造“四季有主题、月月有活动、州县齐联动”的公共就业服务新格局</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常态化开展线上线下招聘、送岗下乡活动。 推广“精准画像+智能匹配+高效对接”的招聘模式，提升人岗匹配率和签约成功率。持续开展“直播带岗”、“访企探岗”等新型招聘活动。 加强对基层平台工作人员的业务培训和指导，提升服务标准化、专业化水平。</w:t>
      </w:r>
    </w:p>
    <w:p w14:paraId="60E07721">
      <w:pPr>
        <w:pStyle w:val="22"/>
        <w:keepNext w:val="0"/>
        <w:keepLines w:val="0"/>
        <w:pageBreakBefore w:val="0"/>
        <w:widowControl w:val="0"/>
        <w:kinsoku/>
        <w:wordWrap/>
        <w:overflowPunct/>
        <w:topLinePunct w:val="0"/>
        <w:bidi w:val="0"/>
        <w:snapToGrid/>
        <w:spacing w:line="560" w:lineRule="exact"/>
        <w:ind w:firstLine="643" w:firstLineChars="200"/>
        <w:textAlignment w:val="auto"/>
        <w:rPr>
          <w:rFonts w:hint="default" w:ascii="Times New Roman" w:hAnsi="Times New Roman" w:eastAsia="仿宋_GB2312" w:cs="Times New Roman"/>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5.</w:t>
      </w:r>
      <w:r>
        <w:rPr>
          <w:rFonts w:hint="default" w:ascii="楷体_GB2312" w:hAnsi="楷体_GB2312" w:eastAsia="楷体_GB2312" w:cs="楷体_GB2312"/>
          <w:b/>
          <w:bCs/>
          <w:color w:val="auto"/>
          <w:kern w:val="2"/>
          <w:sz w:val="32"/>
          <w:szCs w:val="32"/>
          <w:lang w:val="en-US" w:eastAsia="zh-CN" w:bidi="ar-SA"/>
        </w:rPr>
        <w:t>强化失业保险保障功能，筑牢风险防控底线。</w:t>
      </w:r>
      <w:r>
        <w:rPr>
          <w:rFonts w:hint="default" w:ascii="Times New Roman" w:hAnsi="Times New Roman" w:eastAsia="仿宋_GB2312" w:cs="Times New Roman"/>
          <w:color w:val="auto"/>
          <w:kern w:val="2"/>
          <w:sz w:val="32"/>
          <w:szCs w:val="32"/>
          <w:lang w:val="en-US" w:eastAsia="zh-CN" w:bidi="ar-SA"/>
        </w:rPr>
        <w:t>优化经办服务管理</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持续推进失业保险待遇“畅通领、安全办”，深化“免跑即领、免证即办”服务模式</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按时足额发放各项失业保险待遇，切实保障失业人员基本生活。落实落细惠企政策</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继续实施失业保险稳岗返还、技能提升补贴等政策，推行“免申即享”，助力企业稳定岗位、职工提升技能。加强基金风险防控</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完善内控制度，强化技术监管手段应用，常态化开展数据核查和警示教育，严厉打击欺诈骗保行为，坚决守好失业保险基金安全防线。</w:t>
      </w:r>
    </w:p>
    <w:p w14:paraId="3D89944E">
      <w:pPr>
        <w:overflowPunct w:val="0"/>
        <w:spacing w:line="520" w:lineRule="exact"/>
        <w:ind w:firstLine="643" w:firstLineChars="200"/>
        <w:rPr>
          <w:rFonts w:hint="eastAsia"/>
        </w:rPr>
      </w:pPr>
      <w:r>
        <w:rPr>
          <w:rFonts w:hint="eastAsia" w:ascii="楷体_GB2312" w:hAnsi="楷体_GB2312" w:eastAsia="楷体_GB2312" w:cs="楷体_GB2312"/>
          <w:b/>
          <w:bCs/>
          <w:color w:val="auto"/>
          <w:kern w:val="2"/>
          <w:sz w:val="32"/>
          <w:szCs w:val="32"/>
          <w:lang w:val="en-US" w:eastAsia="zh-CN" w:bidi="ar-SA"/>
        </w:rPr>
        <w:t>6.</w:t>
      </w:r>
      <w:r>
        <w:rPr>
          <w:rFonts w:hint="default" w:ascii="楷体_GB2312" w:hAnsi="楷体_GB2312" w:eastAsia="楷体_GB2312" w:cs="楷体_GB2312"/>
          <w:b/>
          <w:bCs/>
          <w:color w:val="auto"/>
          <w:kern w:val="2"/>
          <w:sz w:val="32"/>
          <w:szCs w:val="32"/>
          <w:lang w:val="en-US" w:eastAsia="zh-CN" w:bidi="ar-SA"/>
        </w:rPr>
        <w:t>坚持和加强党的全面领导，为事业发展提供坚强保障。</w:t>
      </w:r>
      <w:r>
        <w:rPr>
          <w:rFonts w:hint="default" w:ascii="Times New Roman" w:hAnsi="Times New Roman" w:eastAsia="仿宋_GB2312" w:cs="Times New Roman"/>
          <w:color w:val="auto"/>
          <w:kern w:val="2"/>
          <w:sz w:val="32"/>
          <w:szCs w:val="32"/>
          <w:lang w:val="en-US" w:eastAsia="zh-CN" w:bidi="ar-SA"/>
        </w:rPr>
        <w:t>持续巩固拓展主题教育成果，引导党员干部坚定拥护“两个确立”、坚决做到“两个维护”。推动党建工作与就业创业业务深度融合，以“温暖人社”建设为抓手，持续转作风、提效能、优服务。严格落实全面从严治党主体责任，加强廉政风险防控，营造风清气正的政治生态，以高质量党建引领就业创业工作高质量发展。</w:t>
      </w:r>
    </w:p>
    <w:p w14:paraId="03C57A52">
      <w:pPr>
        <w:pStyle w:val="18"/>
        <w:numPr>
          <w:ilvl w:val="0"/>
          <w:numId w:val="1"/>
        </w:numPr>
        <w:ind w:firstLineChars="0"/>
        <w:rPr>
          <w:rFonts w:hint="eastAsia" w:ascii="Times New Roman" w:hAnsi="Times New Roman" w:eastAsia="仿宋_GB2312" w:cs="Times New Roman"/>
          <w:b w:val="0"/>
          <w:kern w:val="2"/>
          <w:sz w:val="32"/>
          <w:szCs w:val="32"/>
          <w:lang w:val="en-US" w:eastAsia="zh-CN" w:bidi="ar-SA"/>
        </w:rPr>
      </w:pPr>
      <w:r>
        <w:rPr>
          <w:rFonts w:hint="eastAsia" w:ascii="黑体" w:eastAsia="黑体"/>
          <w:sz w:val="32"/>
          <w:szCs w:val="32"/>
        </w:rPr>
        <w:t>部门预算单位构成</w:t>
      </w:r>
    </w:p>
    <w:p w14:paraId="354D7536">
      <w:pPr>
        <w:pStyle w:val="18"/>
        <w:numPr>
          <w:ilvl w:val="0"/>
          <w:numId w:val="0"/>
        </w:numPr>
        <w:ind w:left="640" w:leftChars="0"/>
        <w:rPr>
          <w:rFonts w:hint="eastAsia" w:ascii="Times New Roman" w:hAnsi="Times New Roman" w:eastAsia="仿宋_GB2312" w:cs="Times New Roman"/>
          <w:b w:val="0"/>
          <w:kern w:val="2"/>
          <w:sz w:val="32"/>
          <w:szCs w:val="32"/>
          <w:lang w:val="en-US" w:eastAsia="zh-CN" w:bidi="ar-SA"/>
        </w:rPr>
      </w:pPr>
      <w:r>
        <w:rPr>
          <w:rFonts w:hint="eastAsia" w:ascii="Times New Roman" w:hAnsi="Times New Roman" w:eastAsia="仿宋_GB2312" w:cs="Times New Roman"/>
          <w:b w:val="0"/>
          <w:kern w:val="2"/>
          <w:sz w:val="32"/>
          <w:szCs w:val="32"/>
          <w:lang w:val="en-US" w:eastAsia="zh-CN" w:bidi="ar-SA"/>
        </w:rPr>
        <w:t xml:space="preserve"> 阿坝州人力资源和社会保障局</w:t>
      </w:r>
      <w:r>
        <w:rPr>
          <w:rFonts w:ascii="Times New Roman" w:hAnsi="Times New Roman" w:eastAsia="仿宋_GB2312" w:cs="Times New Roman"/>
          <w:b w:val="0"/>
          <w:kern w:val="2"/>
          <w:sz w:val="32"/>
          <w:szCs w:val="32"/>
          <w:lang w:val="en-US" w:eastAsia="zh-CN" w:bidi="ar-SA"/>
        </w:rPr>
        <w:t>部门</w:t>
      </w:r>
      <w:r>
        <w:rPr>
          <w:rFonts w:hint="eastAsia" w:ascii="Times New Roman" w:hAnsi="Times New Roman" w:eastAsia="仿宋_GB2312" w:cs="Times New Roman"/>
          <w:b w:val="0"/>
          <w:kern w:val="2"/>
          <w:sz w:val="32"/>
          <w:szCs w:val="32"/>
          <w:lang w:val="en-US" w:eastAsia="zh-CN" w:bidi="ar-SA"/>
        </w:rPr>
        <w:t>属一级预算单位，其中：行政机关预算</w:t>
      </w:r>
      <w:r>
        <w:rPr>
          <w:rFonts w:ascii="Times New Roman" w:hAnsi="Times New Roman" w:eastAsia="仿宋_GB2312" w:cs="Times New Roman"/>
          <w:b w:val="0"/>
          <w:kern w:val="2"/>
          <w:sz w:val="32"/>
          <w:szCs w:val="32"/>
          <w:lang w:val="en-US" w:eastAsia="zh-CN" w:bidi="ar-SA"/>
        </w:rPr>
        <w:t>4</w:t>
      </w:r>
      <w:r>
        <w:rPr>
          <w:rFonts w:hint="eastAsia" w:ascii="Times New Roman" w:hAnsi="Times New Roman" w:eastAsia="仿宋_GB2312" w:cs="Times New Roman"/>
          <w:b w:val="0"/>
          <w:kern w:val="2"/>
          <w:sz w:val="32"/>
          <w:szCs w:val="32"/>
          <w:lang w:val="en-US" w:eastAsia="zh-CN" w:bidi="ar-SA"/>
        </w:rPr>
        <w:t>个，事业机构预算</w:t>
      </w:r>
      <w:r>
        <w:rPr>
          <w:rFonts w:ascii="Times New Roman" w:hAnsi="Times New Roman" w:eastAsia="仿宋_GB2312" w:cs="Times New Roman"/>
          <w:b w:val="0"/>
          <w:kern w:val="2"/>
          <w:sz w:val="32"/>
          <w:szCs w:val="32"/>
          <w:lang w:val="en-US" w:eastAsia="zh-CN" w:bidi="ar-SA"/>
        </w:rPr>
        <w:t>1</w:t>
      </w:r>
      <w:r>
        <w:rPr>
          <w:rFonts w:hint="eastAsia" w:ascii="Times New Roman" w:hAnsi="Times New Roman" w:eastAsia="仿宋_GB2312" w:cs="Times New Roman"/>
          <w:b w:val="0"/>
          <w:kern w:val="2"/>
          <w:sz w:val="32"/>
          <w:szCs w:val="32"/>
          <w:lang w:val="en-US" w:eastAsia="zh-CN" w:bidi="ar-SA"/>
        </w:rPr>
        <w:t>个。</w:t>
      </w:r>
    </w:p>
    <w:p w14:paraId="597A66CC">
      <w:pPr>
        <w:pStyle w:val="18"/>
        <w:numPr>
          <w:ilvl w:val="0"/>
          <w:numId w:val="1"/>
        </w:numPr>
        <w:ind w:left="1360" w:hanging="720" w:firstLineChars="0"/>
        <w:rPr>
          <w:rFonts w:hint="eastAsia" w:ascii="黑体" w:eastAsia="黑体"/>
          <w:sz w:val="32"/>
          <w:szCs w:val="32"/>
        </w:rPr>
      </w:pPr>
      <w:r>
        <w:rPr>
          <w:rFonts w:hint="eastAsia" w:ascii="黑体" w:eastAsia="黑体"/>
          <w:sz w:val="32"/>
          <w:szCs w:val="32"/>
          <w:lang w:eastAsia="zh-CN"/>
        </w:rPr>
        <w:t>阿坝州</w:t>
      </w:r>
      <w:r>
        <w:rPr>
          <w:rFonts w:hint="eastAsia" w:ascii="黑体" w:eastAsia="黑体"/>
          <w:sz w:val="32"/>
          <w:szCs w:val="32"/>
        </w:rPr>
        <w:t>收支预算情况说明</w:t>
      </w:r>
    </w:p>
    <w:p w14:paraId="2E238F30">
      <w:pPr>
        <w:numPr>
          <w:ilvl w:val="0"/>
          <w:numId w:val="2"/>
        </w:numPr>
        <w:ind w:left="0" w:firstLine="640" w:firstLineChars="200"/>
        <w:rPr>
          <w:rFonts w:hint="eastAsia" w:ascii="楷体" w:eastAsia="楷体"/>
          <w:sz w:val="32"/>
          <w:szCs w:val="32"/>
        </w:rPr>
      </w:pPr>
      <w:r>
        <w:rPr>
          <w:rFonts w:hint="eastAsia" w:ascii="楷体" w:eastAsia="楷体"/>
          <w:sz w:val="32"/>
          <w:szCs w:val="32"/>
        </w:rPr>
        <w:t>收入预算情况</w:t>
      </w:r>
    </w:p>
    <w:p w14:paraId="152FB675">
      <w:pPr>
        <w:ind w:left="0" w:firstLine="640" w:firstLineChars="200"/>
        <w:rPr>
          <w:rFonts w:hint="default" w:ascii="楷体" w:eastAsia="仿宋_GB2312" w:cs="仿宋_GB2312"/>
          <w:sz w:val="32"/>
          <w:szCs w:val="32"/>
          <w:lang w:val="en-US" w:eastAsia="zh-CN"/>
        </w:rPr>
      </w:pPr>
      <w:r>
        <w:rPr>
          <w:rFonts w:hint="eastAsia" w:ascii="仿宋_GB2312" w:eastAsia="仿宋_GB2312"/>
          <w:color w:val="000000"/>
          <w:sz w:val="32"/>
          <w:szCs w:val="32"/>
        </w:rPr>
        <w:t>阿坝州</w:t>
      </w:r>
      <w:r>
        <w:rPr>
          <w:rFonts w:hint="eastAsia" w:ascii="仿宋_GB2312" w:eastAsia="仿宋_GB2312"/>
          <w:color w:val="000000"/>
          <w:sz w:val="32"/>
          <w:szCs w:val="32"/>
          <w:lang w:eastAsia="zh-CN"/>
        </w:rPr>
        <w:t>人力资源和社会保障局</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年收入预算</w:t>
      </w:r>
      <w:r>
        <w:rPr>
          <w:rFonts w:hint="eastAsia" w:ascii="仿宋_GB2312" w:eastAsia="仿宋_GB2312"/>
          <w:color w:val="000000"/>
          <w:sz w:val="32"/>
          <w:szCs w:val="32"/>
          <w:lang w:val="en-US" w:eastAsia="zh-CN"/>
        </w:rPr>
        <w:t>6016.93</w:t>
      </w:r>
      <w:r>
        <w:rPr>
          <w:rFonts w:hint="eastAsia" w:ascii="仿宋_GB2312" w:eastAsia="仿宋_GB2312"/>
          <w:color w:val="000000"/>
          <w:sz w:val="32"/>
          <w:szCs w:val="32"/>
        </w:rPr>
        <w:t>万元，其中：上年结转0万元，占0%；一般公共预算拨款收入</w:t>
      </w:r>
      <w:r>
        <w:rPr>
          <w:rFonts w:hint="eastAsia" w:ascii="仿宋_GB2312" w:eastAsia="仿宋_GB2312"/>
          <w:color w:val="000000"/>
          <w:sz w:val="32"/>
          <w:szCs w:val="32"/>
          <w:lang w:val="en-US" w:eastAsia="zh-CN"/>
        </w:rPr>
        <w:t>5641.1</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93.75</w:t>
      </w:r>
      <w:r>
        <w:rPr>
          <w:rFonts w:hint="eastAsia" w:ascii="仿宋_GB2312" w:eastAsia="仿宋_GB2312"/>
          <w:color w:val="000000"/>
          <w:sz w:val="32"/>
          <w:szCs w:val="32"/>
        </w:rPr>
        <w:t>%；</w:t>
      </w:r>
      <w:r>
        <w:rPr>
          <w:rFonts w:hint="eastAsia" w:ascii="仿宋_GB2312" w:hAnsi="黑体" w:eastAsia="仿宋_GB2312"/>
          <w:color w:val="000000" w:themeColor="text1"/>
          <w:sz w:val="32"/>
          <w:szCs w:val="32"/>
          <w14:textFill>
            <w14:solidFill>
              <w14:schemeClr w14:val="tx1"/>
            </w14:solidFill>
          </w14:textFill>
        </w:rPr>
        <w:t>无事业收入；其他收入</w:t>
      </w:r>
      <w:r>
        <w:rPr>
          <w:rFonts w:hint="eastAsia" w:ascii="楷体" w:eastAsia="楷体" w:cs="仿宋_GB2312"/>
          <w:sz w:val="32"/>
          <w:szCs w:val="32"/>
          <w:lang w:val="en-US" w:eastAsia="zh-CN"/>
        </w:rPr>
        <w:t>375.83万元，</w:t>
      </w:r>
      <w:r>
        <w:rPr>
          <w:rFonts w:hint="eastAsia" w:ascii="仿宋_GB2312" w:eastAsia="仿宋_GB2312"/>
          <w:color w:val="000000"/>
          <w:sz w:val="32"/>
          <w:szCs w:val="32"/>
        </w:rPr>
        <w:t>占</w:t>
      </w:r>
      <w:r>
        <w:rPr>
          <w:rFonts w:hint="eastAsia" w:ascii="仿宋_GB2312" w:eastAsia="仿宋_GB2312"/>
          <w:color w:val="000000"/>
          <w:sz w:val="32"/>
          <w:szCs w:val="32"/>
          <w:lang w:val="en-US" w:eastAsia="zh-CN"/>
        </w:rPr>
        <w:t>6.25</w:t>
      </w:r>
      <w:r>
        <w:rPr>
          <w:rFonts w:hint="eastAsia" w:ascii="仿宋_GB2312" w:eastAsia="仿宋_GB2312"/>
          <w:color w:val="000000"/>
          <w:sz w:val="32"/>
          <w:szCs w:val="32"/>
        </w:rPr>
        <w:t>%；</w:t>
      </w:r>
    </w:p>
    <w:p w14:paraId="639A176C">
      <w:pPr>
        <w:keepNext w:val="0"/>
        <w:keepLines w:val="0"/>
        <w:pageBreakBefore w:val="0"/>
        <w:widowControl/>
        <w:kinsoku/>
        <w:topLinePunct w:val="0"/>
        <w:autoSpaceDE/>
        <w:autoSpaceDN/>
        <w:bidi w:val="0"/>
        <w:spacing w:line="560" w:lineRule="exact"/>
        <w:ind w:firstLine="640" w:firstLineChars="200"/>
        <w:jc w:val="left"/>
        <w:rPr>
          <w:rFonts w:hint="eastAsia" w:ascii="楷体" w:eastAsia="楷体" w:cs="仿宋_GB2312"/>
          <w:sz w:val="32"/>
          <w:szCs w:val="32"/>
        </w:rPr>
      </w:pPr>
      <w:r>
        <w:rPr>
          <w:rFonts w:hint="eastAsia" w:ascii="仿宋_GB2312" w:eastAsia="仿宋_GB2312"/>
          <w:color w:val="000000"/>
          <w:sz w:val="32"/>
          <w:szCs w:val="32"/>
        </w:rPr>
        <w:t>阿坝州</w:t>
      </w:r>
      <w:r>
        <w:rPr>
          <w:rFonts w:hint="eastAsia" w:ascii="仿宋_GB2312" w:eastAsia="仿宋_GB2312"/>
          <w:color w:val="000000"/>
          <w:sz w:val="32"/>
          <w:szCs w:val="32"/>
          <w:lang w:eastAsia="zh-CN"/>
        </w:rPr>
        <w:t>人力资源和社会保障局</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年支出预算</w:t>
      </w:r>
      <w:r>
        <w:rPr>
          <w:rFonts w:hint="eastAsia" w:ascii="仿宋_GB2312" w:eastAsia="仿宋_GB2312"/>
          <w:color w:val="000000"/>
          <w:sz w:val="32"/>
          <w:szCs w:val="32"/>
          <w:lang w:val="en-US" w:eastAsia="zh-CN"/>
        </w:rPr>
        <w:t>6016.93</w:t>
      </w:r>
      <w:r>
        <w:rPr>
          <w:rFonts w:hint="eastAsia" w:ascii="仿宋_GB2312" w:eastAsia="仿宋_GB2312"/>
          <w:color w:val="000000"/>
          <w:sz w:val="32"/>
          <w:szCs w:val="32"/>
        </w:rPr>
        <w:t>万元，其中：基本支出</w:t>
      </w:r>
      <w:r>
        <w:rPr>
          <w:rFonts w:hint="eastAsia" w:ascii="仿宋_GB2312" w:eastAsia="仿宋_GB2312"/>
          <w:color w:val="000000"/>
          <w:sz w:val="32"/>
          <w:szCs w:val="32"/>
          <w:lang w:val="en-US" w:eastAsia="zh-CN"/>
        </w:rPr>
        <w:t>4640.36</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77.12</w:t>
      </w:r>
      <w:r>
        <w:rPr>
          <w:rFonts w:hint="eastAsia" w:ascii="仿宋_GB2312" w:eastAsia="仿宋_GB2312"/>
          <w:color w:val="000000"/>
          <w:sz w:val="32"/>
          <w:szCs w:val="32"/>
        </w:rPr>
        <w:t>%；项目支出</w:t>
      </w:r>
      <w:r>
        <w:rPr>
          <w:rFonts w:hint="eastAsia" w:ascii="仿宋_GB2312" w:eastAsia="仿宋_GB2312"/>
          <w:color w:val="000000"/>
          <w:sz w:val="32"/>
          <w:szCs w:val="32"/>
          <w:lang w:val="en-US" w:eastAsia="zh-CN"/>
        </w:rPr>
        <w:t>1376.56</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22.88</w:t>
      </w:r>
      <w:r>
        <w:rPr>
          <w:rFonts w:hint="eastAsia" w:ascii="仿宋_GB2312" w:eastAsia="仿宋_GB2312"/>
          <w:color w:val="000000"/>
          <w:sz w:val="32"/>
          <w:szCs w:val="32"/>
        </w:rPr>
        <w:t>%。</w:t>
      </w:r>
    </w:p>
    <w:p w14:paraId="5726B836">
      <w:pPr>
        <w:keepNext w:val="0"/>
        <w:keepLines w:val="0"/>
        <w:pageBreakBefore w:val="0"/>
        <w:widowControl/>
        <w:numPr>
          <w:ilvl w:val="0"/>
          <w:numId w:val="1"/>
        </w:numPr>
        <w:kinsoku/>
        <w:topLinePunct w:val="0"/>
        <w:autoSpaceDE/>
        <w:autoSpaceDN/>
        <w:bidi w:val="0"/>
        <w:spacing w:line="560" w:lineRule="exact"/>
        <w:ind w:left="1360" w:hanging="720"/>
        <w:jc w:val="left"/>
        <w:rPr>
          <w:rFonts w:ascii="仿宋_GB2312" w:eastAsia="仿宋_GB2312"/>
          <w:sz w:val="32"/>
          <w:szCs w:val="32"/>
        </w:rPr>
      </w:pPr>
      <w:r>
        <w:rPr>
          <w:rFonts w:hint="eastAsia" w:ascii="黑体" w:eastAsia="黑体"/>
          <w:sz w:val="32"/>
          <w:szCs w:val="32"/>
        </w:rPr>
        <w:t>财政拨款收支预算情况说明</w:t>
      </w:r>
    </w:p>
    <w:p w14:paraId="185FA31D">
      <w:pPr>
        <w:keepNext w:val="0"/>
        <w:keepLines w:val="0"/>
        <w:pageBreakBefore w:val="0"/>
        <w:widowControl/>
        <w:kinsoku/>
        <w:topLinePunct w:val="0"/>
        <w:autoSpaceDE/>
        <w:autoSpaceDN/>
        <w:bidi w:val="0"/>
        <w:spacing w:line="560" w:lineRule="exact"/>
        <w:ind w:firstLine="640" w:firstLineChars="200"/>
        <w:jc w:val="left"/>
        <w:rPr>
          <w:rFonts w:ascii="仿宋_GB2312" w:eastAsia="仿宋_GB2312" w:cs="宋体"/>
          <w:kern w:val="0"/>
          <w:sz w:val="32"/>
          <w:szCs w:val="32"/>
          <w:lang w:val="en-US" w:eastAsia="zh-CN"/>
        </w:rPr>
      </w:pPr>
      <w:r>
        <w:rPr>
          <w:rFonts w:hint="eastAsia" w:ascii="仿宋_GB2312" w:eastAsia="仿宋_GB2312"/>
          <w:color w:val="000000"/>
          <w:sz w:val="32"/>
          <w:szCs w:val="32"/>
        </w:rPr>
        <w:t>阿坝州</w:t>
      </w:r>
      <w:r>
        <w:rPr>
          <w:rFonts w:hint="eastAsia" w:ascii="仿宋_GB2312" w:eastAsia="仿宋_GB2312"/>
          <w:color w:val="000000"/>
          <w:sz w:val="32"/>
          <w:szCs w:val="32"/>
          <w:lang w:eastAsia="zh-CN"/>
        </w:rPr>
        <w:t>人力资源和社会保障局</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年财政拨款收支总预算</w:t>
      </w:r>
      <w:r>
        <w:rPr>
          <w:rFonts w:hint="eastAsia" w:ascii="仿宋_GB2312" w:eastAsia="仿宋_GB2312"/>
          <w:color w:val="000000"/>
          <w:sz w:val="32"/>
          <w:szCs w:val="32"/>
          <w:lang w:val="en-US" w:eastAsia="zh-CN"/>
        </w:rPr>
        <w:t>6016.93</w:t>
      </w:r>
      <w:r>
        <w:rPr>
          <w:rFonts w:hint="eastAsia" w:ascii="仿宋_GB2312" w:eastAsia="仿宋_GB2312"/>
          <w:color w:val="000000"/>
          <w:sz w:val="32"/>
          <w:szCs w:val="32"/>
        </w:rPr>
        <w:t>万元</w:t>
      </w:r>
      <w:r>
        <w:rPr>
          <w:rFonts w:hint="eastAsia" w:ascii="仿宋_GB2312" w:eastAsia="仿宋_GB2312"/>
          <w:sz w:val="32"/>
          <w:szCs w:val="32"/>
        </w:rPr>
        <w:t>,比202</w:t>
      </w:r>
      <w:r>
        <w:rPr>
          <w:rFonts w:hint="eastAsia" w:ascii="仿宋_GB2312" w:eastAsia="仿宋_GB2312"/>
          <w:sz w:val="32"/>
          <w:szCs w:val="32"/>
          <w:lang w:val="en-US" w:eastAsia="zh-CN"/>
        </w:rPr>
        <w:t>5</w:t>
      </w:r>
      <w:r>
        <w:rPr>
          <w:rFonts w:hint="eastAsia" w:ascii="仿宋_GB2312" w:eastAsia="仿宋_GB2312"/>
          <w:sz w:val="32"/>
          <w:szCs w:val="32"/>
        </w:rPr>
        <w:t>年财政拨款收支总预算</w:t>
      </w:r>
      <w:r>
        <w:rPr>
          <w:rFonts w:hint="eastAsia" w:ascii="仿宋_GB2312" w:eastAsia="仿宋_GB2312"/>
          <w:sz w:val="32"/>
          <w:szCs w:val="32"/>
          <w:lang w:val="en-US" w:eastAsia="zh-CN"/>
        </w:rPr>
        <w:t>增加609.75</w:t>
      </w:r>
      <w:r>
        <w:rPr>
          <w:rFonts w:hint="eastAsia" w:ascii="仿宋_GB2312" w:eastAsia="仿宋_GB2312"/>
          <w:sz w:val="32"/>
          <w:szCs w:val="32"/>
        </w:rPr>
        <w:t>万元，</w:t>
      </w:r>
      <w:r>
        <w:rPr>
          <w:rFonts w:hint="eastAsia" w:ascii="仿宋_GB2312" w:eastAsia="仿宋_GB2312"/>
          <w:color w:val="000000"/>
          <w:sz w:val="32"/>
          <w:szCs w:val="32"/>
        </w:rPr>
        <w:t xml:space="preserve"> 基本</w:t>
      </w:r>
      <w:r>
        <w:rPr>
          <w:rFonts w:ascii="仿宋_GB2312" w:eastAsia="仿宋_GB2312"/>
          <w:color w:val="000000"/>
          <w:sz w:val="32"/>
          <w:szCs w:val="32"/>
        </w:rPr>
        <w:t>支出</w:t>
      </w:r>
      <w:r>
        <w:rPr>
          <w:rFonts w:ascii="仿宋_GB2312" w:eastAsia="仿宋_GB2312"/>
          <w:color w:val="000000"/>
          <w:sz w:val="32"/>
          <w:szCs w:val="32"/>
          <w:lang w:eastAsia="zh-CN"/>
        </w:rPr>
        <w:t>增加</w:t>
      </w:r>
      <w:r>
        <w:rPr>
          <w:rFonts w:hint="eastAsia" w:ascii="仿宋_GB2312" w:eastAsia="仿宋_GB2312"/>
          <w:color w:val="000000"/>
          <w:sz w:val="32"/>
          <w:szCs w:val="32"/>
          <w:lang w:eastAsia="zh-CN"/>
        </w:rPr>
        <w:t>了</w:t>
      </w:r>
      <w:r>
        <w:rPr>
          <w:rFonts w:hint="eastAsia" w:ascii="仿宋_GB2312" w:eastAsia="仿宋_GB2312"/>
          <w:color w:val="000000"/>
          <w:sz w:val="32"/>
          <w:szCs w:val="32"/>
          <w:lang w:val="en-US" w:eastAsia="zh-CN"/>
        </w:rPr>
        <w:t>340.83</w:t>
      </w:r>
      <w:r>
        <w:rPr>
          <w:rFonts w:hint="eastAsia" w:ascii="仿宋_GB2312" w:eastAsia="仿宋_GB2312"/>
          <w:color w:val="000000"/>
          <w:sz w:val="32"/>
          <w:szCs w:val="32"/>
        </w:rPr>
        <w:t>万元</w:t>
      </w:r>
      <w:r>
        <w:rPr>
          <w:rFonts w:ascii="仿宋_GB2312" w:eastAsia="仿宋_GB2312"/>
          <w:color w:val="000000"/>
          <w:sz w:val="32"/>
          <w:szCs w:val="32"/>
        </w:rPr>
        <w:t>，</w:t>
      </w:r>
      <w:r>
        <w:rPr>
          <w:rFonts w:hint="eastAsia" w:ascii="仿宋_GB2312" w:eastAsia="仿宋_GB2312" w:cs="宋体"/>
          <w:kern w:val="0"/>
          <w:sz w:val="32"/>
          <w:szCs w:val="32"/>
        </w:rPr>
        <w:t>项</w:t>
      </w:r>
      <w:r>
        <w:rPr>
          <w:rFonts w:hint="eastAsia" w:ascii="仿宋_GB2312" w:eastAsia="仿宋_GB2312" w:cs="Dotum"/>
          <w:kern w:val="0"/>
          <w:sz w:val="32"/>
          <w:szCs w:val="32"/>
        </w:rPr>
        <w:t>目支出</w:t>
      </w:r>
      <w:r>
        <w:rPr>
          <w:rFonts w:hint="eastAsia" w:ascii="仿宋_GB2312" w:eastAsia="仿宋_GB2312" w:cs="Dotum"/>
          <w:kern w:val="0"/>
          <w:sz w:val="32"/>
          <w:szCs w:val="32"/>
          <w:lang w:val="en-US" w:eastAsia="zh-CN"/>
        </w:rPr>
        <w:t>增加468.91</w:t>
      </w:r>
      <w:r>
        <w:rPr>
          <w:rFonts w:hint="eastAsia" w:ascii="仿宋_GB2312" w:eastAsia="仿宋_GB2312" w:cs="Dotum"/>
          <w:kern w:val="0"/>
          <w:sz w:val="32"/>
          <w:szCs w:val="32"/>
        </w:rPr>
        <w:t>万</w:t>
      </w:r>
      <w:r>
        <w:rPr>
          <w:rFonts w:hint="eastAsia" w:ascii="仿宋_GB2312" w:eastAsia="仿宋_GB2312" w:cs="宋体"/>
          <w:kern w:val="0"/>
          <w:sz w:val="32"/>
          <w:szCs w:val="32"/>
        </w:rPr>
        <w:t>元，主要原因：</w:t>
      </w:r>
      <w:r>
        <w:rPr>
          <w:rFonts w:ascii="仿宋_GB2312" w:eastAsia="仿宋_GB2312" w:cs="宋体"/>
          <w:kern w:val="0"/>
          <w:sz w:val="32"/>
          <w:szCs w:val="32"/>
        </w:rPr>
        <w:t>人员变动导致基本支出</w:t>
      </w:r>
      <w:r>
        <w:rPr>
          <w:rFonts w:hint="eastAsia" w:ascii="仿宋_GB2312" w:eastAsia="仿宋_GB2312" w:cs="宋体"/>
          <w:kern w:val="0"/>
          <w:sz w:val="32"/>
          <w:szCs w:val="32"/>
        </w:rPr>
        <w:t>在去</w:t>
      </w:r>
      <w:r>
        <w:rPr>
          <w:rFonts w:ascii="仿宋_GB2312" w:eastAsia="仿宋_GB2312" w:cs="宋体"/>
          <w:kern w:val="0"/>
          <w:sz w:val="32"/>
          <w:szCs w:val="32"/>
        </w:rPr>
        <w:t>年基础上</w:t>
      </w:r>
      <w:r>
        <w:rPr>
          <w:rFonts w:hint="eastAsia" w:ascii="仿宋_GB2312" w:eastAsia="仿宋_GB2312" w:cs="宋体"/>
          <w:kern w:val="0"/>
          <w:sz w:val="32"/>
          <w:szCs w:val="32"/>
          <w:lang w:eastAsia="zh-CN"/>
        </w:rPr>
        <w:t>均</w:t>
      </w:r>
      <w:r>
        <w:rPr>
          <w:rFonts w:ascii="仿宋_GB2312" w:eastAsia="仿宋_GB2312" w:cs="宋体"/>
          <w:kern w:val="0"/>
          <w:sz w:val="32"/>
          <w:szCs w:val="32"/>
        </w:rPr>
        <w:t>有所</w:t>
      </w:r>
      <w:r>
        <w:rPr>
          <w:rFonts w:ascii="仿宋_GB2312" w:eastAsia="仿宋_GB2312" w:cs="宋体"/>
          <w:kern w:val="0"/>
          <w:sz w:val="32"/>
          <w:szCs w:val="32"/>
          <w:lang w:eastAsia="zh-CN"/>
        </w:rPr>
        <w:t>增加</w:t>
      </w:r>
      <w:r>
        <w:rPr>
          <w:rFonts w:hint="eastAsia" w:ascii="仿宋_GB2312" w:eastAsia="仿宋_GB2312" w:cs="宋体"/>
          <w:kern w:val="0"/>
          <w:sz w:val="32"/>
          <w:szCs w:val="32"/>
          <w:lang w:eastAsia="zh-CN"/>
        </w:rPr>
        <w:t>。主要原因分析：</w:t>
      </w:r>
      <w:r>
        <w:rPr>
          <w:rFonts w:hint="eastAsia" w:ascii="仿宋_GB2312" w:eastAsia="仿宋_GB2312" w:cs="仿宋_GB2312"/>
          <w:b/>
          <w:bCs/>
          <w:sz w:val="32"/>
          <w:szCs w:val="32"/>
        </w:rPr>
        <w:t>一是</w:t>
      </w:r>
      <w:r>
        <w:rPr>
          <w:rFonts w:ascii="仿宋_GB2312" w:eastAsia="仿宋_GB2312" w:cs="仿宋_GB2312"/>
          <w:sz w:val="32"/>
          <w:szCs w:val="32"/>
        </w:rPr>
        <w:t>机构改革人员增加</w:t>
      </w:r>
      <w:r>
        <w:rPr>
          <w:rFonts w:hint="eastAsia" w:ascii="仿宋_GB2312" w:eastAsia="仿宋_GB2312" w:cs="仿宋"/>
          <w:color w:val="000000"/>
          <w:sz w:val="32"/>
          <w:szCs w:val="32"/>
          <w:lang w:val="en-US" w:eastAsia="zh-CN"/>
        </w:rPr>
        <w:t>，人员经费相应</w:t>
      </w:r>
      <w:r>
        <w:rPr>
          <w:rFonts w:ascii="仿宋_GB2312" w:eastAsia="仿宋_GB2312" w:cs="仿宋"/>
          <w:color w:val="000000"/>
          <w:sz w:val="32"/>
          <w:szCs w:val="32"/>
          <w:lang w:val="en-US" w:eastAsia="zh-CN"/>
        </w:rPr>
        <w:t>增加</w:t>
      </w:r>
      <w:r>
        <w:rPr>
          <w:rFonts w:hint="eastAsia" w:ascii="仿宋_GB2312" w:eastAsia="仿宋_GB2312" w:cs="仿宋"/>
          <w:color w:val="000000"/>
          <w:sz w:val="32"/>
          <w:szCs w:val="32"/>
          <w:lang w:val="en-US" w:eastAsia="zh-CN"/>
        </w:rPr>
        <w:t>，从而基本支出</w:t>
      </w:r>
      <w:r>
        <w:rPr>
          <w:rFonts w:ascii="仿宋_GB2312" w:eastAsia="仿宋_GB2312" w:cs="仿宋"/>
          <w:color w:val="000000"/>
          <w:sz w:val="32"/>
          <w:szCs w:val="32"/>
          <w:lang w:val="en-US" w:eastAsia="zh-CN"/>
        </w:rPr>
        <w:t>增加</w:t>
      </w:r>
      <w:r>
        <w:rPr>
          <w:rFonts w:hint="eastAsia" w:ascii="仿宋_GB2312" w:eastAsia="仿宋_GB2312" w:cs="宋体"/>
          <w:kern w:val="0"/>
          <w:sz w:val="32"/>
          <w:szCs w:val="32"/>
          <w:lang w:val="en-US" w:eastAsia="zh-CN"/>
        </w:rPr>
        <w:t>；</w:t>
      </w:r>
      <w:r>
        <w:rPr>
          <w:rFonts w:hint="eastAsia" w:ascii="仿宋_GB2312" w:eastAsia="仿宋_GB2312" w:cs="宋体"/>
          <w:b/>
          <w:bCs/>
          <w:kern w:val="0"/>
          <w:sz w:val="32"/>
          <w:szCs w:val="32"/>
          <w:lang w:val="en-US" w:eastAsia="zh-CN"/>
        </w:rPr>
        <w:t>二</w:t>
      </w:r>
      <w:r>
        <w:rPr>
          <w:rFonts w:hint="eastAsia" w:ascii="仿宋_GB2312" w:eastAsia="仿宋_GB2312" w:cs="宋体"/>
          <w:b/>
          <w:bCs/>
          <w:kern w:val="0"/>
          <w:sz w:val="32"/>
          <w:szCs w:val="32"/>
          <w:lang w:eastAsia="zh-CN"/>
        </w:rPr>
        <w:t>是</w:t>
      </w:r>
      <w:r>
        <w:rPr>
          <w:rFonts w:hint="eastAsia" w:ascii="仿宋_GB2312" w:eastAsia="仿宋_GB2312" w:cs="宋体"/>
          <w:kern w:val="0"/>
          <w:sz w:val="32"/>
          <w:szCs w:val="32"/>
        </w:rPr>
        <w:t>项目</w:t>
      </w:r>
      <w:r>
        <w:rPr>
          <w:rFonts w:ascii="仿宋_GB2312" w:eastAsia="仿宋_GB2312" w:cs="宋体"/>
          <w:kern w:val="0"/>
          <w:sz w:val="32"/>
          <w:szCs w:val="32"/>
        </w:rPr>
        <w:t>支出根据</w:t>
      </w:r>
      <w:r>
        <w:rPr>
          <w:rFonts w:hint="eastAsia" w:ascii="仿宋_GB2312" w:eastAsia="仿宋_GB2312" w:cs="宋体"/>
          <w:kern w:val="0"/>
          <w:sz w:val="32"/>
          <w:szCs w:val="32"/>
          <w:lang w:val="en-US" w:eastAsia="zh-CN"/>
        </w:rPr>
        <w:t>2026年</w:t>
      </w:r>
      <w:r>
        <w:rPr>
          <w:rFonts w:ascii="仿宋_GB2312" w:eastAsia="仿宋_GB2312" w:cs="宋体"/>
          <w:kern w:val="0"/>
          <w:sz w:val="32"/>
          <w:szCs w:val="32"/>
        </w:rPr>
        <w:t>工作</w:t>
      </w:r>
      <w:r>
        <w:rPr>
          <w:rFonts w:hint="eastAsia" w:ascii="仿宋_GB2312" w:eastAsia="仿宋_GB2312" w:cs="宋体"/>
          <w:kern w:val="0"/>
          <w:sz w:val="32"/>
          <w:szCs w:val="32"/>
          <w:lang w:eastAsia="zh-CN"/>
        </w:rPr>
        <w:t>计划及相关工作要求</w:t>
      </w:r>
      <w:r>
        <w:rPr>
          <w:rFonts w:hint="eastAsia" w:ascii="仿宋_GB2312" w:eastAsia="仿宋_GB2312" w:cs="宋体"/>
          <w:kern w:val="0"/>
          <w:sz w:val="32"/>
          <w:szCs w:val="32"/>
          <w:lang w:val="en-US" w:eastAsia="zh-CN"/>
        </w:rPr>
        <w:t>新增了项目</w:t>
      </w:r>
      <w:r>
        <w:rPr>
          <w:rFonts w:hint="eastAsia" w:ascii="仿宋_GB2312" w:eastAsia="仿宋_GB2312" w:cs="宋体"/>
          <w:kern w:val="0"/>
          <w:sz w:val="32"/>
          <w:szCs w:val="32"/>
          <w:lang w:eastAsia="zh-CN"/>
        </w:rPr>
        <w:t>，</w:t>
      </w:r>
      <w:r>
        <w:rPr>
          <w:rFonts w:hint="eastAsia" w:ascii="仿宋_GB2312" w:eastAsia="仿宋_GB2312" w:cs="宋体"/>
          <w:kern w:val="0"/>
          <w:sz w:val="32"/>
          <w:szCs w:val="32"/>
          <w:lang w:val="en-US" w:eastAsia="zh-CN"/>
        </w:rPr>
        <w:t>故</w:t>
      </w:r>
      <w:r>
        <w:rPr>
          <w:rFonts w:hint="eastAsia" w:ascii="仿宋_GB2312" w:eastAsia="仿宋_GB2312" w:cs="宋体"/>
          <w:kern w:val="0"/>
          <w:sz w:val="32"/>
          <w:szCs w:val="32"/>
          <w:lang w:eastAsia="zh-CN"/>
        </w:rPr>
        <w:t>项目经费在</w:t>
      </w:r>
      <w:r>
        <w:rPr>
          <w:rFonts w:hint="eastAsia" w:ascii="仿宋_GB2312" w:eastAsia="仿宋_GB2312" w:cs="宋体"/>
          <w:kern w:val="0"/>
          <w:sz w:val="32"/>
          <w:szCs w:val="32"/>
          <w:lang w:val="en-US" w:eastAsia="zh-CN"/>
        </w:rPr>
        <w:t>2025年基础上有所增加</w:t>
      </w:r>
      <w:r>
        <w:rPr>
          <w:rFonts w:ascii="仿宋_GB2312" w:eastAsia="仿宋_GB2312" w:cs="宋体"/>
          <w:kern w:val="0"/>
          <w:sz w:val="32"/>
          <w:szCs w:val="32"/>
          <w:lang w:val="en-US" w:eastAsia="zh-CN"/>
        </w:rPr>
        <w:t>。</w:t>
      </w:r>
    </w:p>
    <w:p w14:paraId="4795578D">
      <w:pPr>
        <w:keepNext w:val="0"/>
        <w:keepLines w:val="0"/>
        <w:pageBreakBefore w:val="0"/>
        <w:widowControl/>
        <w:kinsoku/>
        <w:topLinePunct w:val="0"/>
        <w:autoSpaceDE/>
        <w:autoSpaceDN/>
        <w:bidi w:val="0"/>
        <w:spacing w:line="56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s="仿宋_GB2312"/>
          <w:sz w:val="32"/>
          <w:szCs w:val="32"/>
        </w:rPr>
        <w:t>收入包括：</w:t>
      </w:r>
      <w:r>
        <w:rPr>
          <w:rFonts w:hint="eastAsia" w:ascii="仿宋_GB2312" w:eastAsia="仿宋_GB2312"/>
          <w:color w:val="000000"/>
          <w:sz w:val="32"/>
          <w:szCs w:val="32"/>
        </w:rPr>
        <w:t>本年一般公共预算拨款收入</w:t>
      </w:r>
      <w:r>
        <w:rPr>
          <w:rFonts w:hint="eastAsia" w:ascii="仿宋_GB2312" w:eastAsia="仿宋_GB2312"/>
          <w:color w:val="000000"/>
          <w:sz w:val="32"/>
          <w:szCs w:val="32"/>
          <w:lang w:val="en-US" w:eastAsia="zh-CN"/>
        </w:rPr>
        <w:t>6016.93万</w:t>
      </w:r>
      <w:r>
        <w:rPr>
          <w:rFonts w:hint="eastAsia" w:ascii="仿宋_GB2312" w:eastAsia="仿宋_GB2312"/>
          <w:color w:val="000000"/>
          <w:sz w:val="32"/>
          <w:szCs w:val="32"/>
        </w:rPr>
        <w:t>元，上年结转财政拨款资金0万元；</w:t>
      </w:r>
    </w:p>
    <w:p w14:paraId="56D8FF5D">
      <w:pPr>
        <w:spacing w:line="540" w:lineRule="exact"/>
        <w:ind w:firstLine="640" w:firstLineChars="200"/>
        <w:rPr>
          <w:rFonts w:ascii="仿宋_GB2312" w:eastAsia="仿宋_GB2312"/>
          <w:sz w:val="32"/>
          <w:szCs w:val="32"/>
        </w:rPr>
      </w:pPr>
      <w:r>
        <w:rPr>
          <w:rFonts w:hint="eastAsia" w:ascii="仿宋_GB2312" w:eastAsia="仿宋_GB2312" w:cs="仿宋_GB2312"/>
          <w:sz w:val="32"/>
          <w:szCs w:val="32"/>
        </w:rPr>
        <w:t>支出包括：</w:t>
      </w:r>
      <w:r>
        <w:rPr>
          <w:rFonts w:hint="eastAsia" w:ascii="仿宋_GB2312" w:eastAsia="仿宋_GB2312"/>
          <w:color w:val="000000"/>
          <w:sz w:val="32"/>
          <w:szCs w:val="32"/>
        </w:rPr>
        <w:t>社会保障和就业支出</w:t>
      </w:r>
      <w:r>
        <w:rPr>
          <w:rFonts w:hint="eastAsia" w:ascii="仿宋_GB2312" w:eastAsia="仿宋_GB2312"/>
          <w:color w:val="000000"/>
          <w:sz w:val="32"/>
          <w:szCs w:val="32"/>
          <w:lang w:val="en-US" w:eastAsia="zh-CN"/>
        </w:rPr>
        <w:t>5074.64</w:t>
      </w:r>
      <w:r>
        <w:rPr>
          <w:rFonts w:hint="eastAsia" w:ascii="仿宋_GB2312" w:eastAsia="仿宋_GB2312"/>
          <w:color w:val="000000"/>
          <w:sz w:val="32"/>
          <w:szCs w:val="32"/>
        </w:rPr>
        <w:t>万元，卫生健康支出</w:t>
      </w:r>
      <w:r>
        <w:rPr>
          <w:rFonts w:hint="eastAsia" w:ascii="仿宋_GB2312" w:eastAsia="仿宋_GB2312"/>
          <w:color w:val="000000"/>
          <w:sz w:val="32"/>
          <w:szCs w:val="32"/>
          <w:lang w:val="en-US" w:eastAsia="zh-CN"/>
        </w:rPr>
        <w:t>245.1</w:t>
      </w:r>
      <w:r>
        <w:rPr>
          <w:rFonts w:hint="eastAsia" w:ascii="仿宋_GB2312" w:eastAsia="仿宋_GB2312"/>
          <w:color w:val="000000"/>
          <w:sz w:val="32"/>
          <w:szCs w:val="32"/>
        </w:rPr>
        <w:t>万元，住房保障支出</w:t>
      </w:r>
      <w:r>
        <w:rPr>
          <w:rFonts w:hint="eastAsia" w:ascii="仿宋_GB2312" w:eastAsia="仿宋_GB2312"/>
          <w:color w:val="000000"/>
          <w:sz w:val="32"/>
          <w:szCs w:val="32"/>
          <w:lang w:val="en-US" w:eastAsia="zh-CN"/>
        </w:rPr>
        <w:t>321.36</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14:paraId="065F9FE1">
      <w:pPr>
        <w:numPr>
          <w:ilvl w:val="0"/>
          <w:numId w:val="1"/>
        </w:numPr>
        <w:ind w:left="1360" w:hanging="720"/>
        <w:rPr>
          <w:rFonts w:hint="eastAsia" w:ascii="黑体" w:eastAsia="黑体"/>
          <w:sz w:val="32"/>
          <w:szCs w:val="32"/>
        </w:rPr>
      </w:pPr>
      <w:r>
        <w:rPr>
          <w:rFonts w:hint="eastAsia" w:ascii="黑体" w:eastAsia="黑体"/>
          <w:sz w:val="32"/>
          <w:szCs w:val="32"/>
        </w:rPr>
        <w:t>一般公共预算当年拨款情况说明</w:t>
      </w:r>
    </w:p>
    <w:p w14:paraId="724DA736">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45C4EAC8">
      <w:pPr>
        <w:keepNext w:val="0"/>
        <w:keepLines w:val="0"/>
        <w:pageBreakBefore w:val="0"/>
        <w:widowControl/>
        <w:kinsoku/>
        <w:topLinePunct w:val="0"/>
        <w:autoSpaceDE/>
        <w:autoSpaceDN/>
        <w:bidi w:val="0"/>
        <w:spacing w:line="560" w:lineRule="exact"/>
        <w:ind w:firstLine="640" w:firstLineChars="200"/>
        <w:jc w:val="left"/>
        <w:rPr>
          <w:rFonts w:ascii="仿宋_GB2312" w:eastAsia="仿宋_GB2312" w:cs="宋体"/>
          <w:kern w:val="0"/>
          <w:sz w:val="32"/>
          <w:szCs w:val="32"/>
          <w:lang w:val="en-US" w:eastAsia="zh-CN"/>
        </w:rPr>
      </w:pPr>
      <w:r>
        <w:rPr>
          <w:rFonts w:hint="eastAsia" w:ascii="仿宋_GB2312" w:eastAsia="仿宋_GB2312"/>
          <w:color w:val="000000"/>
          <w:sz w:val="32"/>
          <w:szCs w:val="32"/>
        </w:rPr>
        <w:t>阿坝州</w:t>
      </w:r>
      <w:r>
        <w:rPr>
          <w:rFonts w:hint="eastAsia" w:ascii="仿宋_GB2312" w:eastAsia="仿宋_GB2312"/>
          <w:color w:val="000000"/>
          <w:sz w:val="32"/>
          <w:szCs w:val="32"/>
          <w:lang w:eastAsia="zh-CN"/>
        </w:rPr>
        <w:t>人力资源和社会保障局</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年一般公共预算当年拨款</w:t>
      </w:r>
      <w:r>
        <w:rPr>
          <w:rFonts w:hint="eastAsia" w:ascii="仿宋_GB2312" w:eastAsia="仿宋_GB2312"/>
          <w:color w:val="000000"/>
          <w:sz w:val="32"/>
          <w:szCs w:val="32"/>
          <w:lang w:val="en-US" w:eastAsia="zh-CN"/>
        </w:rPr>
        <w:t>5641.1</w:t>
      </w:r>
      <w:r>
        <w:rPr>
          <w:rFonts w:hint="eastAsia" w:ascii="仿宋_GB2312" w:eastAsia="仿宋_GB2312"/>
          <w:color w:val="000000"/>
          <w:sz w:val="32"/>
          <w:szCs w:val="32"/>
        </w:rPr>
        <w:t>万元</w:t>
      </w:r>
      <w:r>
        <w:rPr>
          <w:rFonts w:hint="eastAsia" w:ascii="仿宋_GB2312" w:eastAsia="仿宋_GB2312"/>
          <w:sz w:val="32"/>
          <w:szCs w:val="32"/>
        </w:rPr>
        <w:t>,比202</w:t>
      </w:r>
      <w:r>
        <w:rPr>
          <w:rFonts w:hint="eastAsia" w:ascii="仿宋_GB2312" w:eastAsia="仿宋_GB2312"/>
          <w:sz w:val="32"/>
          <w:szCs w:val="32"/>
          <w:lang w:val="en-US" w:eastAsia="zh-CN"/>
        </w:rPr>
        <w:t>5</w:t>
      </w:r>
      <w:r>
        <w:rPr>
          <w:rFonts w:hint="eastAsia" w:ascii="仿宋_GB2312" w:eastAsia="仿宋_GB2312"/>
          <w:sz w:val="32"/>
          <w:szCs w:val="32"/>
        </w:rPr>
        <w:t>年财政拨款收支总预算</w:t>
      </w:r>
      <w:r>
        <w:rPr>
          <w:rFonts w:hint="eastAsia" w:ascii="仿宋_GB2312" w:eastAsia="仿宋_GB2312"/>
          <w:sz w:val="32"/>
          <w:szCs w:val="32"/>
          <w:lang w:val="en-US" w:eastAsia="zh-CN"/>
        </w:rPr>
        <w:t>增加433.92</w:t>
      </w:r>
      <w:r>
        <w:rPr>
          <w:rFonts w:hint="eastAsia" w:ascii="仿宋_GB2312" w:eastAsia="仿宋_GB2312"/>
          <w:sz w:val="32"/>
          <w:szCs w:val="32"/>
        </w:rPr>
        <w:t>万元，</w:t>
      </w:r>
      <w:r>
        <w:rPr>
          <w:rFonts w:hint="eastAsia" w:ascii="仿宋_GB2312" w:eastAsia="仿宋_GB2312"/>
          <w:color w:val="000000"/>
          <w:sz w:val="32"/>
          <w:szCs w:val="32"/>
        </w:rPr>
        <w:t>基本</w:t>
      </w:r>
      <w:r>
        <w:rPr>
          <w:rFonts w:ascii="仿宋_GB2312" w:eastAsia="仿宋_GB2312"/>
          <w:color w:val="000000"/>
          <w:sz w:val="32"/>
          <w:szCs w:val="32"/>
        </w:rPr>
        <w:t>支出</w:t>
      </w:r>
      <w:r>
        <w:rPr>
          <w:rFonts w:ascii="仿宋_GB2312" w:eastAsia="仿宋_GB2312"/>
          <w:color w:val="000000"/>
          <w:sz w:val="32"/>
          <w:szCs w:val="32"/>
          <w:lang w:eastAsia="zh-CN"/>
        </w:rPr>
        <w:t>增加</w:t>
      </w:r>
      <w:r>
        <w:rPr>
          <w:rFonts w:hint="eastAsia" w:ascii="仿宋_GB2312" w:eastAsia="仿宋_GB2312"/>
          <w:color w:val="000000"/>
          <w:sz w:val="32"/>
          <w:szCs w:val="32"/>
          <w:lang w:eastAsia="zh-CN"/>
        </w:rPr>
        <w:t>了</w:t>
      </w:r>
      <w:r>
        <w:rPr>
          <w:rFonts w:hint="eastAsia" w:ascii="仿宋_GB2312" w:eastAsia="仿宋_GB2312"/>
          <w:color w:val="000000"/>
          <w:sz w:val="32"/>
          <w:szCs w:val="32"/>
          <w:lang w:val="en-US" w:eastAsia="zh-CN"/>
        </w:rPr>
        <w:t>340.83</w:t>
      </w:r>
      <w:r>
        <w:rPr>
          <w:rFonts w:hint="eastAsia" w:ascii="仿宋_GB2312" w:eastAsia="仿宋_GB2312"/>
          <w:color w:val="000000"/>
          <w:sz w:val="32"/>
          <w:szCs w:val="32"/>
        </w:rPr>
        <w:t>万元</w:t>
      </w:r>
      <w:r>
        <w:rPr>
          <w:rFonts w:ascii="仿宋_GB2312" w:eastAsia="仿宋_GB2312"/>
          <w:color w:val="000000"/>
          <w:sz w:val="32"/>
          <w:szCs w:val="32"/>
        </w:rPr>
        <w:t>，</w:t>
      </w:r>
      <w:r>
        <w:rPr>
          <w:rFonts w:hint="eastAsia" w:ascii="仿宋_GB2312" w:eastAsia="仿宋_GB2312" w:cs="宋体"/>
          <w:kern w:val="0"/>
          <w:sz w:val="32"/>
          <w:szCs w:val="32"/>
        </w:rPr>
        <w:t>项</w:t>
      </w:r>
      <w:r>
        <w:rPr>
          <w:rFonts w:hint="eastAsia" w:ascii="仿宋_GB2312" w:eastAsia="仿宋_GB2312" w:cs="Dotum"/>
          <w:kern w:val="0"/>
          <w:sz w:val="32"/>
          <w:szCs w:val="32"/>
        </w:rPr>
        <w:t>目支出</w:t>
      </w:r>
      <w:r>
        <w:rPr>
          <w:rFonts w:hint="eastAsia" w:ascii="仿宋_GB2312" w:eastAsia="仿宋_GB2312" w:cs="Dotum"/>
          <w:kern w:val="0"/>
          <w:sz w:val="32"/>
          <w:szCs w:val="32"/>
          <w:lang w:val="en-US" w:eastAsia="zh-CN"/>
        </w:rPr>
        <w:t>增加468.91</w:t>
      </w:r>
      <w:r>
        <w:rPr>
          <w:rFonts w:hint="eastAsia" w:ascii="仿宋_GB2312" w:eastAsia="仿宋_GB2312" w:cs="Dotum"/>
          <w:kern w:val="0"/>
          <w:sz w:val="32"/>
          <w:szCs w:val="32"/>
        </w:rPr>
        <w:t>万</w:t>
      </w:r>
      <w:r>
        <w:rPr>
          <w:rFonts w:hint="eastAsia" w:ascii="仿宋_GB2312" w:eastAsia="仿宋_GB2312" w:cs="宋体"/>
          <w:kern w:val="0"/>
          <w:sz w:val="32"/>
          <w:szCs w:val="32"/>
        </w:rPr>
        <w:t>元，主要原因：</w:t>
      </w:r>
      <w:r>
        <w:rPr>
          <w:rFonts w:ascii="仿宋_GB2312" w:eastAsia="仿宋_GB2312" w:cs="宋体"/>
          <w:kern w:val="0"/>
          <w:sz w:val="32"/>
          <w:szCs w:val="32"/>
        </w:rPr>
        <w:t>人员变动导致基本支出</w:t>
      </w:r>
      <w:r>
        <w:rPr>
          <w:rFonts w:hint="eastAsia" w:ascii="仿宋_GB2312" w:eastAsia="仿宋_GB2312" w:cs="宋体"/>
          <w:kern w:val="0"/>
          <w:sz w:val="32"/>
          <w:szCs w:val="32"/>
        </w:rPr>
        <w:t>在去</w:t>
      </w:r>
      <w:r>
        <w:rPr>
          <w:rFonts w:ascii="仿宋_GB2312" w:eastAsia="仿宋_GB2312" w:cs="宋体"/>
          <w:kern w:val="0"/>
          <w:sz w:val="32"/>
          <w:szCs w:val="32"/>
        </w:rPr>
        <w:t>年基础上</w:t>
      </w:r>
      <w:r>
        <w:rPr>
          <w:rFonts w:hint="eastAsia" w:ascii="仿宋_GB2312" w:eastAsia="仿宋_GB2312" w:cs="宋体"/>
          <w:kern w:val="0"/>
          <w:sz w:val="32"/>
          <w:szCs w:val="32"/>
          <w:lang w:eastAsia="zh-CN"/>
        </w:rPr>
        <w:t>均</w:t>
      </w:r>
      <w:r>
        <w:rPr>
          <w:rFonts w:ascii="仿宋_GB2312" w:eastAsia="仿宋_GB2312" w:cs="宋体"/>
          <w:kern w:val="0"/>
          <w:sz w:val="32"/>
          <w:szCs w:val="32"/>
        </w:rPr>
        <w:t>有所</w:t>
      </w:r>
      <w:r>
        <w:rPr>
          <w:rFonts w:ascii="仿宋_GB2312" w:eastAsia="仿宋_GB2312" w:cs="宋体"/>
          <w:kern w:val="0"/>
          <w:sz w:val="32"/>
          <w:szCs w:val="32"/>
          <w:lang w:eastAsia="zh-CN"/>
        </w:rPr>
        <w:t>增加</w:t>
      </w:r>
      <w:r>
        <w:rPr>
          <w:rFonts w:hint="eastAsia" w:ascii="仿宋_GB2312" w:eastAsia="仿宋_GB2312" w:cs="宋体"/>
          <w:kern w:val="0"/>
          <w:sz w:val="32"/>
          <w:szCs w:val="32"/>
          <w:lang w:eastAsia="zh-CN"/>
        </w:rPr>
        <w:t>。主要原因分析：</w:t>
      </w:r>
      <w:r>
        <w:rPr>
          <w:rFonts w:hint="eastAsia" w:ascii="仿宋_GB2312" w:eastAsia="仿宋_GB2312" w:cs="仿宋_GB2312"/>
          <w:b/>
          <w:bCs/>
          <w:sz w:val="32"/>
          <w:szCs w:val="32"/>
        </w:rPr>
        <w:t>一是</w:t>
      </w:r>
      <w:r>
        <w:rPr>
          <w:rFonts w:ascii="仿宋_GB2312" w:eastAsia="仿宋_GB2312" w:cs="仿宋_GB2312"/>
          <w:sz w:val="32"/>
          <w:szCs w:val="32"/>
        </w:rPr>
        <w:t>机构改革人员增加</w:t>
      </w:r>
      <w:r>
        <w:rPr>
          <w:rFonts w:hint="eastAsia" w:ascii="仿宋_GB2312" w:eastAsia="仿宋_GB2312" w:cs="仿宋"/>
          <w:color w:val="000000"/>
          <w:sz w:val="32"/>
          <w:szCs w:val="32"/>
          <w:lang w:val="en-US" w:eastAsia="zh-CN"/>
        </w:rPr>
        <w:t>，人员经费相应</w:t>
      </w:r>
      <w:r>
        <w:rPr>
          <w:rFonts w:ascii="仿宋_GB2312" w:eastAsia="仿宋_GB2312" w:cs="仿宋"/>
          <w:color w:val="000000"/>
          <w:sz w:val="32"/>
          <w:szCs w:val="32"/>
          <w:lang w:val="en-US" w:eastAsia="zh-CN"/>
        </w:rPr>
        <w:t>增加</w:t>
      </w:r>
      <w:r>
        <w:rPr>
          <w:rFonts w:hint="eastAsia" w:ascii="仿宋_GB2312" w:eastAsia="仿宋_GB2312" w:cs="仿宋"/>
          <w:color w:val="000000"/>
          <w:sz w:val="32"/>
          <w:szCs w:val="32"/>
          <w:lang w:val="en-US" w:eastAsia="zh-CN"/>
        </w:rPr>
        <w:t>，从而基本支出</w:t>
      </w:r>
      <w:r>
        <w:rPr>
          <w:rFonts w:ascii="仿宋_GB2312" w:eastAsia="仿宋_GB2312" w:cs="仿宋"/>
          <w:color w:val="000000"/>
          <w:sz w:val="32"/>
          <w:szCs w:val="32"/>
          <w:lang w:val="en-US" w:eastAsia="zh-CN"/>
        </w:rPr>
        <w:t>增加</w:t>
      </w:r>
      <w:r>
        <w:rPr>
          <w:rFonts w:hint="eastAsia" w:ascii="仿宋_GB2312" w:eastAsia="仿宋_GB2312" w:cs="宋体"/>
          <w:kern w:val="0"/>
          <w:sz w:val="32"/>
          <w:szCs w:val="32"/>
          <w:lang w:val="en-US" w:eastAsia="zh-CN"/>
        </w:rPr>
        <w:t>；</w:t>
      </w:r>
      <w:r>
        <w:rPr>
          <w:rFonts w:hint="eastAsia" w:ascii="仿宋_GB2312" w:eastAsia="仿宋_GB2312" w:cs="宋体"/>
          <w:b/>
          <w:bCs/>
          <w:kern w:val="0"/>
          <w:sz w:val="32"/>
          <w:szCs w:val="32"/>
          <w:lang w:val="en-US" w:eastAsia="zh-CN"/>
        </w:rPr>
        <w:t>二</w:t>
      </w:r>
      <w:r>
        <w:rPr>
          <w:rFonts w:hint="eastAsia" w:ascii="仿宋_GB2312" w:eastAsia="仿宋_GB2312" w:cs="宋体"/>
          <w:b/>
          <w:bCs/>
          <w:kern w:val="0"/>
          <w:sz w:val="32"/>
          <w:szCs w:val="32"/>
          <w:lang w:eastAsia="zh-CN"/>
        </w:rPr>
        <w:t>是</w:t>
      </w:r>
      <w:r>
        <w:rPr>
          <w:rFonts w:hint="eastAsia" w:ascii="仿宋_GB2312" w:eastAsia="仿宋_GB2312" w:cs="宋体"/>
          <w:kern w:val="0"/>
          <w:sz w:val="32"/>
          <w:szCs w:val="32"/>
        </w:rPr>
        <w:t>项目</w:t>
      </w:r>
      <w:r>
        <w:rPr>
          <w:rFonts w:ascii="仿宋_GB2312" w:eastAsia="仿宋_GB2312" w:cs="宋体"/>
          <w:kern w:val="0"/>
          <w:sz w:val="32"/>
          <w:szCs w:val="32"/>
        </w:rPr>
        <w:t>支出根据</w:t>
      </w:r>
      <w:r>
        <w:rPr>
          <w:rFonts w:hint="eastAsia" w:ascii="仿宋_GB2312" w:eastAsia="仿宋_GB2312" w:cs="宋体"/>
          <w:kern w:val="0"/>
          <w:sz w:val="32"/>
          <w:szCs w:val="32"/>
          <w:lang w:val="en-US" w:eastAsia="zh-CN"/>
        </w:rPr>
        <w:t>2026年</w:t>
      </w:r>
      <w:r>
        <w:rPr>
          <w:rFonts w:ascii="仿宋_GB2312" w:eastAsia="仿宋_GB2312" w:cs="宋体"/>
          <w:kern w:val="0"/>
          <w:sz w:val="32"/>
          <w:szCs w:val="32"/>
        </w:rPr>
        <w:t>工作</w:t>
      </w:r>
      <w:r>
        <w:rPr>
          <w:rFonts w:hint="eastAsia" w:ascii="仿宋_GB2312" w:eastAsia="仿宋_GB2312" w:cs="宋体"/>
          <w:kern w:val="0"/>
          <w:sz w:val="32"/>
          <w:szCs w:val="32"/>
          <w:lang w:eastAsia="zh-CN"/>
        </w:rPr>
        <w:t>计划及相关工作要求</w:t>
      </w:r>
      <w:r>
        <w:rPr>
          <w:rFonts w:hint="eastAsia" w:ascii="仿宋_GB2312" w:eastAsia="仿宋_GB2312" w:cs="宋体"/>
          <w:kern w:val="0"/>
          <w:sz w:val="32"/>
          <w:szCs w:val="32"/>
          <w:lang w:val="en-US" w:eastAsia="zh-CN"/>
        </w:rPr>
        <w:t>新增了项目</w:t>
      </w:r>
      <w:r>
        <w:rPr>
          <w:rFonts w:hint="eastAsia" w:ascii="仿宋_GB2312" w:eastAsia="仿宋_GB2312" w:cs="宋体"/>
          <w:kern w:val="0"/>
          <w:sz w:val="32"/>
          <w:szCs w:val="32"/>
          <w:lang w:eastAsia="zh-CN"/>
        </w:rPr>
        <w:t>，</w:t>
      </w:r>
      <w:r>
        <w:rPr>
          <w:rFonts w:hint="eastAsia" w:ascii="仿宋_GB2312" w:eastAsia="仿宋_GB2312" w:cs="宋体"/>
          <w:kern w:val="0"/>
          <w:sz w:val="32"/>
          <w:szCs w:val="32"/>
          <w:lang w:val="en-US" w:eastAsia="zh-CN"/>
        </w:rPr>
        <w:t>故</w:t>
      </w:r>
      <w:r>
        <w:rPr>
          <w:rFonts w:hint="eastAsia" w:ascii="仿宋_GB2312" w:eastAsia="仿宋_GB2312" w:cs="宋体"/>
          <w:kern w:val="0"/>
          <w:sz w:val="32"/>
          <w:szCs w:val="32"/>
          <w:lang w:eastAsia="zh-CN"/>
        </w:rPr>
        <w:t>项目经费在</w:t>
      </w:r>
      <w:r>
        <w:rPr>
          <w:rFonts w:hint="eastAsia" w:ascii="仿宋_GB2312" w:eastAsia="仿宋_GB2312" w:cs="宋体"/>
          <w:kern w:val="0"/>
          <w:sz w:val="32"/>
          <w:szCs w:val="32"/>
          <w:lang w:val="en-US" w:eastAsia="zh-CN"/>
        </w:rPr>
        <w:t>2025年基础上有所增加</w:t>
      </w:r>
      <w:r>
        <w:rPr>
          <w:rFonts w:ascii="仿宋_GB2312" w:eastAsia="仿宋_GB2312" w:cs="宋体"/>
          <w:kern w:val="0"/>
          <w:sz w:val="32"/>
          <w:szCs w:val="32"/>
          <w:lang w:val="en-US" w:eastAsia="zh-CN"/>
        </w:rPr>
        <w:t>。</w:t>
      </w:r>
    </w:p>
    <w:p w14:paraId="76F5317E">
      <w:pPr>
        <w:pStyle w:val="12"/>
        <w:spacing w:before="0" w:line="360" w:lineRule="auto"/>
        <w:ind w:firstLine="320" w:firstLineChars="100"/>
        <w:jc w:val="left"/>
        <w:rPr>
          <w:rFonts w:hint="eastAsia" w:cs="宋体"/>
          <w:sz w:val="32"/>
          <w:szCs w:val="32"/>
        </w:rPr>
      </w:pPr>
      <w:r>
        <w:rPr>
          <w:rFonts w:hint="eastAsia" w:ascii="楷体" w:eastAsia="楷体" w:cs="宋体"/>
          <w:sz w:val="32"/>
          <w:szCs w:val="32"/>
        </w:rPr>
        <w:t>（二）一般公共预算当年拨款结构情况</w:t>
      </w:r>
    </w:p>
    <w:p w14:paraId="23FF9409">
      <w:pPr>
        <w:keepNext w:val="0"/>
        <w:keepLines w:val="0"/>
        <w:pageBreakBefore w:val="0"/>
        <w:widowControl w:val="0"/>
        <w:kinsoku/>
        <w:topLinePunct w:val="0"/>
        <w:autoSpaceDE/>
        <w:autoSpaceDN/>
        <w:bidi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社会保障和就业支出</w:t>
      </w:r>
      <w:r>
        <w:rPr>
          <w:rFonts w:hint="eastAsia" w:ascii="仿宋_GB2312" w:eastAsia="仿宋_GB2312"/>
          <w:color w:val="000000"/>
          <w:sz w:val="32"/>
          <w:szCs w:val="32"/>
          <w:lang w:val="en-US" w:eastAsia="zh-CN"/>
        </w:rPr>
        <w:t>5074.64</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89.96</w:t>
      </w:r>
      <w:r>
        <w:rPr>
          <w:rFonts w:hint="eastAsia" w:ascii="仿宋_GB2312" w:eastAsia="仿宋_GB2312"/>
          <w:color w:val="000000"/>
          <w:sz w:val="32"/>
          <w:szCs w:val="32"/>
        </w:rPr>
        <w:t>%；卫生健康支出</w:t>
      </w:r>
      <w:r>
        <w:rPr>
          <w:rFonts w:hint="eastAsia" w:ascii="仿宋_GB2312" w:eastAsia="仿宋_GB2312"/>
          <w:color w:val="000000"/>
          <w:sz w:val="32"/>
          <w:szCs w:val="32"/>
          <w:lang w:val="en-US" w:eastAsia="zh-CN"/>
        </w:rPr>
        <w:t>245.1</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4.34%</w:t>
      </w:r>
      <w:r>
        <w:rPr>
          <w:rFonts w:hint="eastAsia" w:ascii="仿宋_GB2312" w:eastAsia="仿宋_GB2312"/>
          <w:color w:val="000000"/>
          <w:sz w:val="32"/>
          <w:szCs w:val="32"/>
        </w:rPr>
        <w:t>；住房保障支出</w:t>
      </w:r>
      <w:r>
        <w:rPr>
          <w:rFonts w:hint="eastAsia" w:ascii="仿宋_GB2312" w:eastAsia="仿宋_GB2312"/>
          <w:color w:val="000000"/>
          <w:sz w:val="32"/>
          <w:szCs w:val="32"/>
          <w:lang w:val="en-US" w:eastAsia="zh-CN"/>
        </w:rPr>
        <w:t>375.83</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6.66</w:t>
      </w:r>
      <w:r>
        <w:rPr>
          <w:rFonts w:hint="eastAsia" w:ascii="仿宋_GB2312" w:eastAsia="仿宋_GB2312"/>
          <w:color w:val="000000"/>
          <w:sz w:val="32"/>
          <w:szCs w:val="32"/>
        </w:rPr>
        <w:t>%。</w:t>
      </w:r>
    </w:p>
    <w:p w14:paraId="07DF2012">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3F273FA8">
      <w:pPr>
        <w:keepNext w:val="0"/>
        <w:keepLines w:val="0"/>
        <w:pageBreakBefore w:val="0"/>
        <w:widowControl w:val="0"/>
        <w:kinsoku/>
        <w:topLinePunct w:val="0"/>
        <w:autoSpaceDE/>
        <w:autoSpaceDN/>
        <w:bidi w:val="0"/>
        <w:spacing w:line="56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1．社会保障和就业支出202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5074.64</w:t>
      </w:r>
      <w:r>
        <w:rPr>
          <w:rFonts w:hint="eastAsia" w:ascii="仿宋_GB2312" w:eastAsia="仿宋_GB2312"/>
          <w:color w:val="000000"/>
          <w:sz w:val="32"/>
          <w:szCs w:val="32"/>
        </w:rPr>
        <w:t>万元，主要用于单位人员工资、其他社会保障缴费、养老保险、职业年金，维持单位日常工作运行公用经费；单位项目工作的开展和实施。</w:t>
      </w:r>
    </w:p>
    <w:p w14:paraId="75D637D8">
      <w:pPr>
        <w:keepNext w:val="0"/>
        <w:keepLines w:val="0"/>
        <w:pageBreakBefore w:val="0"/>
        <w:widowControl w:val="0"/>
        <w:kinsoku/>
        <w:topLinePunct w:val="0"/>
        <w:autoSpaceDE/>
        <w:autoSpaceDN/>
        <w:bidi w:val="0"/>
        <w:spacing w:line="560" w:lineRule="exact"/>
        <w:ind w:firstLine="320" w:firstLineChars="100"/>
        <w:rPr>
          <w:rFonts w:ascii="仿宋_GB2312" w:eastAsia="仿宋_GB2312"/>
          <w:sz w:val="32"/>
          <w:szCs w:val="32"/>
        </w:rPr>
      </w:pPr>
      <w:r>
        <w:rPr>
          <w:rFonts w:hint="eastAsia" w:ascii="仿宋_GB2312" w:eastAsia="仿宋_GB2312"/>
          <w:color w:val="000000"/>
          <w:sz w:val="32"/>
          <w:szCs w:val="32"/>
        </w:rPr>
        <w:t>　2.卫生健康支出202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245.1</w:t>
      </w:r>
      <w:r>
        <w:rPr>
          <w:rFonts w:hint="eastAsia" w:ascii="仿宋_GB2312" w:eastAsia="仿宋_GB2312"/>
          <w:color w:val="000000"/>
          <w:sz w:val="32"/>
          <w:szCs w:val="32"/>
        </w:rPr>
        <w:t xml:space="preserve">万元，主要用于单位人员医疗保险缴费、公务员医疗补助缴费。        </w:t>
      </w:r>
    </w:p>
    <w:p w14:paraId="70A769FC">
      <w:pPr>
        <w:keepNext w:val="0"/>
        <w:keepLines w:val="0"/>
        <w:pageBreakBefore w:val="0"/>
        <w:widowControl w:val="0"/>
        <w:kinsoku/>
        <w:topLinePunct w:val="0"/>
        <w:autoSpaceDE/>
        <w:autoSpaceDN/>
        <w:bidi w:val="0"/>
        <w:spacing w:line="560" w:lineRule="exact"/>
        <w:ind w:firstLine="640" w:firstLineChars="200"/>
        <w:rPr>
          <w:rFonts w:hint="eastAsia" w:ascii="楷体" w:eastAsia="楷体"/>
          <w:sz w:val="32"/>
          <w:szCs w:val="32"/>
          <w:lang w:eastAsia="zh-CN"/>
        </w:rPr>
      </w:pPr>
      <w:r>
        <w:rPr>
          <w:rFonts w:ascii="仿宋_GB2312" w:eastAsia="仿宋_GB2312"/>
          <w:color w:val="000000"/>
          <w:sz w:val="32"/>
          <w:szCs w:val="32"/>
        </w:rPr>
        <w:t>3.</w:t>
      </w:r>
      <w:r>
        <w:rPr>
          <w:rFonts w:hint="eastAsia" w:ascii="仿宋_GB2312" w:eastAsia="仿宋_GB2312"/>
          <w:color w:val="000000"/>
          <w:sz w:val="32"/>
          <w:szCs w:val="32"/>
        </w:rPr>
        <w:t>住房保障支出202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375.83</w:t>
      </w:r>
      <w:r>
        <w:rPr>
          <w:rFonts w:hint="eastAsia" w:ascii="仿宋_GB2312" w:eastAsia="仿宋_GB2312"/>
          <w:color w:val="000000"/>
          <w:sz w:val="32"/>
          <w:szCs w:val="32"/>
        </w:rPr>
        <w:t>万元，主要用于单位人员住房公积金的缴纳。</w:t>
      </w:r>
    </w:p>
    <w:p w14:paraId="7B75231C">
      <w:pPr>
        <w:pStyle w:val="12"/>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48E2904E">
      <w:pPr>
        <w:keepNext w:val="0"/>
        <w:keepLines w:val="0"/>
        <w:pageBreakBefore w:val="0"/>
        <w:widowControl w:val="0"/>
        <w:kinsoku/>
        <w:topLinePunct w:val="0"/>
        <w:autoSpaceDE/>
        <w:autoSpaceDN/>
        <w:bidi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阿坝州</w:t>
      </w:r>
      <w:r>
        <w:rPr>
          <w:rFonts w:hint="eastAsia" w:ascii="仿宋_GB2312" w:eastAsia="仿宋_GB2312"/>
          <w:color w:val="000000"/>
          <w:sz w:val="32"/>
          <w:szCs w:val="32"/>
          <w:lang w:eastAsia="zh-CN"/>
        </w:rPr>
        <w:t>人力资源和社会保障局</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年一般公共预算基本支出</w:t>
      </w:r>
      <w:r>
        <w:rPr>
          <w:rFonts w:hint="eastAsia" w:ascii="仿宋_GB2312" w:eastAsia="仿宋_GB2312"/>
          <w:color w:val="000000"/>
          <w:sz w:val="32"/>
          <w:szCs w:val="32"/>
          <w:lang w:val="en-US" w:eastAsia="zh-CN"/>
        </w:rPr>
        <w:t>4640.36</w:t>
      </w:r>
      <w:r>
        <w:rPr>
          <w:rFonts w:hint="eastAsia" w:ascii="仿宋_GB2312" w:eastAsia="仿宋_GB2312"/>
          <w:color w:val="000000"/>
          <w:sz w:val="32"/>
          <w:szCs w:val="32"/>
        </w:rPr>
        <w:t>万元，其中：人员经费</w:t>
      </w:r>
      <w:r>
        <w:rPr>
          <w:rFonts w:hint="eastAsia" w:ascii="仿宋_GB2312" w:eastAsia="仿宋_GB2312"/>
          <w:color w:val="000000"/>
          <w:sz w:val="32"/>
          <w:szCs w:val="32"/>
          <w:lang w:val="en-US" w:eastAsia="zh-CN"/>
        </w:rPr>
        <w:t>4057.61</w:t>
      </w:r>
      <w:r>
        <w:rPr>
          <w:rFonts w:hint="eastAsia" w:ascii="仿宋_GB2312" w:eastAsia="仿宋_GB2312"/>
          <w:color w:val="000000"/>
          <w:sz w:val="32"/>
          <w:szCs w:val="32"/>
        </w:rPr>
        <w:t>万元，主要包括：基本工资、津贴补贴、奖金、其他社会保障缴费、机关事业单位基本养老保险缴费、职业年金缴费、职工基本医疗保险缴费、公务员医疗补助缴纳、其他</w:t>
      </w:r>
      <w:r>
        <w:rPr>
          <w:rFonts w:ascii="仿宋_GB2312" w:eastAsia="仿宋_GB2312"/>
          <w:color w:val="000000"/>
          <w:sz w:val="32"/>
          <w:szCs w:val="32"/>
        </w:rPr>
        <w:t>社会保障缴费、</w:t>
      </w:r>
      <w:r>
        <w:rPr>
          <w:rFonts w:hint="eastAsia" w:ascii="仿宋_GB2312" w:eastAsia="仿宋_GB2312"/>
          <w:color w:val="000000"/>
          <w:sz w:val="32"/>
          <w:szCs w:val="32"/>
        </w:rPr>
        <w:t>住房公积金、</w:t>
      </w:r>
      <w:r>
        <w:rPr>
          <w:rFonts w:hint="eastAsia" w:ascii="仿宋_GB2312" w:eastAsia="仿宋_GB2312"/>
          <w:color w:val="000000"/>
          <w:sz w:val="32"/>
          <w:szCs w:val="32"/>
          <w:lang w:eastAsia="zh-CN"/>
        </w:rPr>
        <w:t>奖励金、</w:t>
      </w:r>
      <w:r>
        <w:rPr>
          <w:rFonts w:hint="eastAsia" w:ascii="仿宋_GB2312" w:eastAsia="仿宋_GB2312"/>
          <w:color w:val="000000"/>
          <w:sz w:val="32"/>
          <w:szCs w:val="32"/>
        </w:rPr>
        <w:t>其他</w:t>
      </w:r>
      <w:r>
        <w:rPr>
          <w:rFonts w:ascii="仿宋_GB2312" w:eastAsia="仿宋_GB2312"/>
          <w:color w:val="000000"/>
          <w:sz w:val="32"/>
          <w:szCs w:val="32"/>
        </w:rPr>
        <w:t>工资福利支出</w:t>
      </w:r>
      <w:r>
        <w:rPr>
          <w:rFonts w:hint="eastAsia" w:ascii="仿宋_GB2312" w:eastAsia="仿宋_GB2312"/>
          <w:color w:val="000000"/>
          <w:sz w:val="32"/>
          <w:szCs w:val="32"/>
          <w:lang w:eastAsia="zh-CN"/>
        </w:rPr>
        <w:t>、</w:t>
      </w:r>
      <w:r>
        <w:rPr>
          <w:rFonts w:hint="eastAsia" w:ascii="仿宋_GB2312" w:eastAsia="仿宋_GB2312"/>
          <w:color w:val="000000"/>
          <w:sz w:val="32"/>
          <w:szCs w:val="32"/>
        </w:rPr>
        <w:t>对个人和家庭的补助</w:t>
      </w:r>
      <w:r>
        <w:rPr>
          <w:rFonts w:hint="eastAsia" w:ascii="仿宋_GB2312" w:eastAsia="仿宋_GB2312"/>
          <w:color w:val="000000"/>
          <w:sz w:val="32"/>
          <w:szCs w:val="32"/>
          <w:lang w:eastAsia="zh-CN"/>
        </w:rPr>
        <w:t>等</w:t>
      </w:r>
      <w:r>
        <w:rPr>
          <w:rFonts w:hint="eastAsia" w:ascii="仿宋_GB2312" w:eastAsia="仿宋_GB2312"/>
          <w:color w:val="000000"/>
          <w:sz w:val="32"/>
          <w:szCs w:val="32"/>
        </w:rPr>
        <w:t>。</w:t>
      </w:r>
    </w:p>
    <w:p w14:paraId="4EAFA2CD">
      <w:pPr>
        <w:keepNext w:val="0"/>
        <w:keepLines w:val="0"/>
        <w:pageBreakBefore w:val="0"/>
        <w:widowControl w:val="0"/>
        <w:kinsoku/>
        <w:topLinePunct w:val="0"/>
        <w:autoSpaceDE/>
        <w:autoSpaceDN/>
        <w:bidi w:val="0"/>
        <w:spacing w:line="560" w:lineRule="exact"/>
        <w:ind w:firstLine="640" w:firstLineChars="200"/>
        <w:rPr>
          <w:rFonts w:ascii="黑体" w:eastAsia="黑体"/>
          <w:sz w:val="32"/>
          <w:szCs w:val="32"/>
        </w:rPr>
      </w:pPr>
      <w:r>
        <w:rPr>
          <w:rFonts w:hint="eastAsia" w:ascii="仿宋_GB2312" w:eastAsia="仿宋_GB2312"/>
          <w:color w:val="000000"/>
          <w:sz w:val="32"/>
          <w:szCs w:val="32"/>
        </w:rPr>
        <w:t>公用经费</w:t>
      </w:r>
      <w:r>
        <w:rPr>
          <w:rFonts w:hint="eastAsia" w:ascii="仿宋_GB2312" w:eastAsia="仿宋_GB2312"/>
          <w:color w:val="000000"/>
          <w:sz w:val="32"/>
          <w:szCs w:val="32"/>
          <w:lang w:val="en-US" w:eastAsia="zh-CN"/>
        </w:rPr>
        <w:t>582.75</w:t>
      </w:r>
      <w:r>
        <w:rPr>
          <w:rFonts w:hint="eastAsia" w:ascii="仿宋_GB2312" w:eastAsia="仿宋_GB2312"/>
          <w:color w:val="000000"/>
          <w:sz w:val="32"/>
          <w:szCs w:val="32"/>
        </w:rPr>
        <w:t>万元，主要包括：办公费、水费、邮电费、取暖费、差旅费、维修（护）费、</w:t>
      </w:r>
      <w:r>
        <w:rPr>
          <w:rFonts w:hint="eastAsia" w:ascii="仿宋_GB2312" w:eastAsia="仿宋_GB2312"/>
          <w:color w:val="000000"/>
          <w:sz w:val="32"/>
          <w:szCs w:val="32"/>
          <w:lang w:eastAsia="zh-CN"/>
        </w:rPr>
        <w:t>租赁费、会议费、</w:t>
      </w:r>
      <w:r>
        <w:rPr>
          <w:rFonts w:hint="eastAsia" w:ascii="仿宋_GB2312" w:eastAsia="仿宋_GB2312"/>
          <w:color w:val="000000"/>
          <w:sz w:val="32"/>
          <w:szCs w:val="32"/>
        </w:rPr>
        <w:t>培训费、公务接待费、</w:t>
      </w:r>
      <w:r>
        <w:rPr>
          <w:rFonts w:hint="eastAsia" w:ascii="仿宋_GB2312" w:eastAsia="仿宋_GB2312"/>
          <w:color w:val="000000"/>
          <w:sz w:val="32"/>
          <w:szCs w:val="32"/>
          <w:lang w:eastAsia="zh-CN"/>
        </w:rPr>
        <w:t>专用材料费、劳务费、委托业务费、</w:t>
      </w:r>
      <w:r>
        <w:rPr>
          <w:rFonts w:hint="eastAsia" w:ascii="仿宋_GB2312" w:eastAsia="仿宋_GB2312"/>
          <w:color w:val="000000"/>
          <w:sz w:val="32"/>
          <w:szCs w:val="32"/>
        </w:rPr>
        <w:t>福利费、公务用车运行维护费、</w:t>
      </w:r>
      <w:r>
        <w:rPr>
          <w:rFonts w:hint="eastAsia" w:ascii="仿宋_GB2312" w:eastAsia="仿宋_GB2312"/>
          <w:color w:val="000000"/>
          <w:sz w:val="32"/>
          <w:szCs w:val="32"/>
          <w:lang w:eastAsia="zh-CN"/>
        </w:rPr>
        <w:t>其他交通费用、党组织活动经费、</w:t>
      </w:r>
      <w:r>
        <w:rPr>
          <w:rFonts w:hint="eastAsia" w:ascii="仿宋_GB2312" w:eastAsia="仿宋_GB2312"/>
          <w:color w:val="000000"/>
          <w:sz w:val="32"/>
          <w:szCs w:val="32"/>
        </w:rPr>
        <w:t>其他商品和服务支出</w:t>
      </w:r>
      <w:r>
        <w:rPr>
          <w:rFonts w:hint="eastAsia" w:ascii="仿宋_GB2312" w:eastAsia="仿宋_GB2312"/>
          <w:color w:val="000000"/>
          <w:sz w:val="32"/>
          <w:szCs w:val="32"/>
          <w:lang w:eastAsia="zh-CN"/>
        </w:rPr>
        <w:t>等</w:t>
      </w:r>
      <w:r>
        <w:rPr>
          <w:rFonts w:hint="eastAsia" w:ascii="仿宋_GB2312" w:eastAsia="仿宋_GB2312"/>
          <w:color w:val="000000"/>
          <w:sz w:val="32"/>
          <w:szCs w:val="32"/>
        </w:rPr>
        <w:t>。</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25CD9400">
      <w:pPr>
        <w:keepNext w:val="0"/>
        <w:keepLines w:val="0"/>
        <w:pageBreakBefore w:val="0"/>
        <w:widowControl w:val="0"/>
        <w:kinsoku/>
        <w:topLinePunct w:val="0"/>
        <w:autoSpaceDE/>
        <w:autoSpaceDN/>
        <w:bidi w:val="0"/>
        <w:spacing w:line="560" w:lineRule="exact"/>
        <w:ind w:firstLine="640" w:firstLineChars="200"/>
        <w:rPr>
          <w:rFonts w:ascii="仿宋_GB2312" w:eastAsia="仿宋_GB2312"/>
          <w:sz w:val="32"/>
          <w:szCs w:val="32"/>
        </w:rPr>
      </w:pPr>
      <w:r>
        <w:rPr>
          <w:rFonts w:hint="eastAsia" w:ascii="仿宋_GB2312" w:eastAsia="仿宋_GB2312"/>
          <w:color w:val="000000"/>
          <w:sz w:val="32"/>
          <w:szCs w:val="32"/>
        </w:rPr>
        <w:t>阿坝州</w:t>
      </w:r>
      <w:r>
        <w:rPr>
          <w:rFonts w:hint="eastAsia" w:ascii="仿宋_GB2312" w:eastAsia="仿宋_GB2312"/>
          <w:color w:val="000000"/>
          <w:sz w:val="32"/>
          <w:szCs w:val="32"/>
          <w:lang w:eastAsia="zh-CN"/>
        </w:rPr>
        <w:t>人力资源和社会保障局</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年“三公”经费财政拨款预算数</w:t>
      </w:r>
      <w:r>
        <w:rPr>
          <w:rFonts w:hint="eastAsia" w:ascii="仿宋_GB2312" w:eastAsia="仿宋_GB2312"/>
          <w:color w:val="000000"/>
          <w:sz w:val="32"/>
          <w:szCs w:val="32"/>
          <w:lang w:val="en-US" w:eastAsia="zh-CN"/>
        </w:rPr>
        <w:t>109.22</w:t>
      </w:r>
      <w:r>
        <w:rPr>
          <w:rFonts w:hint="eastAsia" w:ascii="仿宋_GB2312" w:eastAsia="仿宋_GB2312"/>
          <w:color w:val="000000"/>
          <w:sz w:val="32"/>
          <w:szCs w:val="32"/>
        </w:rPr>
        <w:t>万元，其中：因公出国（境）经费</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，公务接待费</w:t>
      </w:r>
      <w:r>
        <w:rPr>
          <w:rFonts w:hint="eastAsia" w:ascii="仿宋_GB2312" w:eastAsia="仿宋_GB2312"/>
          <w:color w:val="000000"/>
          <w:sz w:val="32"/>
          <w:szCs w:val="32"/>
          <w:lang w:val="en-US" w:eastAsia="zh-CN"/>
        </w:rPr>
        <w:t>8.87</w:t>
      </w:r>
      <w:r>
        <w:rPr>
          <w:rFonts w:hint="eastAsia" w:ascii="仿宋_GB2312" w:eastAsia="仿宋_GB2312"/>
          <w:color w:val="000000"/>
          <w:sz w:val="32"/>
          <w:szCs w:val="32"/>
        </w:rPr>
        <w:t>万元，公务用车购置及运行</w:t>
      </w:r>
      <w:r>
        <w:rPr>
          <w:rFonts w:hint="eastAsia" w:ascii="仿宋_GB2312" w:eastAsia="仿宋_GB2312"/>
          <w:color w:val="000000"/>
          <w:sz w:val="32"/>
          <w:szCs w:val="32"/>
          <w:lang w:eastAsia="zh-CN"/>
        </w:rPr>
        <w:t>维护</w:t>
      </w:r>
      <w:r>
        <w:rPr>
          <w:rFonts w:hint="eastAsia" w:ascii="仿宋_GB2312" w:eastAsia="仿宋_GB2312"/>
          <w:color w:val="000000"/>
          <w:sz w:val="32"/>
          <w:szCs w:val="32"/>
        </w:rPr>
        <w:t>费</w:t>
      </w:r>
      <w:r>
        <w:rPr>
          <w:rFonts w:hint="eastAsia" w:ascii="仿宋_GB2312" w:eastAsia="仿宋_GB2312"/>
          <w:color w:val="000000"/>
          <w:sz w:val="32"/>
          <w:szCs w:val="32"/>
          <w:lang w:val="en-US" w:eastAsia="zh-CN"/>
        </w:rPr>
        <w:t>100.35</w:t>
      </w:r>
      <w:r>
        <w:rPr>
          <w:rFonts w:hint="eastAsia" w:ascii="仿宋_GB2312" w:eastAsia="仿宋_GB2312"/>
          <w:color w:val="000000"/>
          <w:sz w:val="32"/>
          <w:szCs w:val="32"/>
        </w:rPr>
        <w:t>万元。</w:t>
      </w:r>
    </w:p>
    <w:p w14:paraId="0F524584">
      <w:pPr>
        <w:keepNext w:val="0"/>
        <w:keepLines w:val="0"/>
        <w:pageBreakBefore w:val="0"/>
        <w:widowControl w:val="0"/>
        <w:kinsoku/>
        <w:topLinePunct w:val="0"/>
        <w:autoSpaceDE/>
        <w:autoSpaceDN/>
        <w:bidi w:val="0"/>
        <w:spacing w:line="560" w:lineRule="exact"/>
        <w:rPr>
          <w:rFonts w:ascii="仿宋_GB2312" w:eastAsia="仿宋_GB2312"/>
          <w:sz w:val="32"/>
          <w:szCs w:val="32"/>
        </w:rPr>
      </w:pPr>
      <w:r>
        <w:rPr>
          <w:rFonts w:hint="eastAsia" w:ascii="楷体_GB2312" w:eastAsia="楷体_GB2312" w:cs="楷体_GB2312"/>
          <w:b/>
          <w:bCs/>
          <w:sz w:val="32"/>
          <w:szCs w:val="32"/>
        </w:rPr>
        <w:t>（一）202</w:t>
      </w:r>
      <w:r>
        <w:rPr>
          <w:rFonts w:hint="eastAsia" w:ascii="楷体_GB2312" w:eastAsia="楷体_GB2312" w:cs="楷体_GB2312"/>
          <w:b/>
          <w:bCs/>
          <w:sz w:val="32"/>
          <w:szCs w:val="32"/>
          <w:lang w:val="en-US" w:eastAsia="zh-CN"/>
        </w:rPr>
        <w:t>6</w:t>
      </w:r>
      <w:r>
        <w:rPr>
          <w:rFonts w:hint="eastAsia" w:ascii="楷体_GB2312" w:eastAsia="楷体_GB2312" w:cs="楷体_GB2312"/>
          <w:b/>
          <w:bCs/>
          <w:sz w:val="32"/>
          <w:szCs w:val="32"/>
        </w:rPr>
        <w:t>年因公出国（境）经费</w:t>
      </w:r>
      <w:r>
        <w:rPr>
          <w:rFonts w:hint="eastAsia" w:ascii="楷体_GB2312" w:eastAsia="楷体_GB2312" w:cs="楷体_GB2312"/>
          <w:b/>
          <w:bCs/>
          <w:sz w:val="32"/>
          <w:szCs w:val="32"/>
          <w:lang w:val="en-US" w:eastAsia="zh-CN"/>
        </w:rPr>
        <w:t>0万元</w:t>
      </w:r>
      <w:r>
        <w:rPr>
          <w:rFonts w:hint="eastAsia" w:ascii="楷体_GB2312" w:eastAsia="楷体_GB2312" w:cs="楷体_GB2312"/>
          <w:b/>
          <w:bCs/>
          <w:sz w:val="32"/>
          <w:szCs w:val="32"/>
        </w:rPr>
        <w:t>。</w:t>
      </w:r>
      <w:r>
        <w:rPr>
          <w:rFonts w:hint="eastAsia" w:ascii="仿宋_GB2312" w:eastAsia="仿宋_GB2312"/>
          <w:sz w:val="32"/>
          <w:szCs w:val="32"/>
        </w:rPr>
        <w:t>较202</w:t>
      </w:r>
      <w:r>
        <w:rPr>
          <w:rFonts w:hint="eastAsia" w:ascii="仿宋_GB2312" w:eastAsia="仿宋_GB2312"/>
          <w:sz w:val="32"/>
          <w:szCs w:val="32"/>
          <w:lang w:val="en-US" w:eastAsia="zh-CN"/>
        </w:rPr>
        <w:t>5</w:t>
      </w:r>
      <w:r>
        <w:rPr>
          <w:rFonts w:hint="eastAsia" w:ascii="仿宋_GB2312" w:eastAsia="仿宋_GB2312"/>
          <w:sz w:val="32"/>
          <w:szCs w:val="32"/>
        </w:rPr>
        <w:t xml:space="preserve">年预算经费无变化。 </w:t>
      </w:r>
    </w:p>
    <w:p w14:paraId="6C469091">
      <w:pPr>
        <w:pStyle w:val="12"/>
        <w:spacing w:before="0" w:line="360" w:lineRule="auto"/>
        <w:ind w:firstLine="643" w:firstLineChars="200"/>
        <w:rPr>
          <w:rFonts w:ascii="仿宋_GB2312" w:eastAsia="仿宋_GB2312"/>
          <w:color w:val="000000"/>
          <w:sz w:val="32"/>
          <w:szCs w:val="32"/>
          <w:lang w:val="en-US"/>
        </w:rPr>
      </w:pPr>
      <w:r>
        <w:rPr>
          <w:rFonts w:hint="eastAsia" w:ascii="楷体_GB2312" w:eastAsia="楷体_GB2312" w:cs="楷体_GB2312"/>
          <w:b/>
          <w:bCs/>
          <w:color w:val="000000"/>
          <w:sz w:val="32"/>
          <w:szCs w:val="32"/>
        </w:rPr>
        <w:t>（二）202</w:t>
      </w:r>
      <w:r>
        <w:rPr>
          <w:rFonts w:hint="eastAsia" w:ascii="楷体_GB2312" w:eastAsia="楷体_GB2312" w:cs="楷体_GB2312"/>
          <w:b/>
          <w:bCs/>
          <w:color w:val="000000"/>
          <w:sz w:val="32"/>
          <w:szCs w:val="32"/>
          <w:lang w:val="en-US" w:eastAsia="zh-CN"/>
        </w:rPr>
        <w:t>6</w:t>
      </w:r>
      <w:r>
        <w:rPr>
          <w:rFonts w:hint="eastAsia" w:ascii="楷体_GB2312" w:eastAsia="楷体_GB2312" w:cs="楷体_GB2312"/>
          <w:b/>
          <w:bCs/>
          <w:color w:val="000000"/>
          <w:sz w:val="32"/>
          <w:szCs w:val="32"/>
        </w:rPr>
        <w:t>年公务接待费</w:t>
      </w:r>
      <w:r>
        <w:rPr>
          <w:rFonts w:hint="eastAsia" w:ascii="楷体_GB2312" w:eastAsia="楷体_GB2312" w:cs="楷体_GB2312"/>
          <w:b/>
          <w:bCs/>
          <w:color w:val="000000"/>
          <w:sz w:val="32"/>
          <w:szCs w:val="32"/>
          <w:lang w:val="en-US" w:eastAsia="zh-CN"/>
        </w:rPr>
        <w:t>8.87</w:t>
      </w:r>
      <w:r>
        <w:rPr>
          <w:rFonts w:hint="eastAsia" w:ascii="楷体_GB2312" w:eastAsia="楷体_GB2312" w:cs="楷体_GB2312"/>
          <w:b/>
          <w:bCs/>
          <w:color w:val="000000"/>
          <w:sz w:val="32"/>
          <w:szCs w:val="32"/>
        </w:rPr>
        <w:t>万元。</w:t>
      </w:r>
      <w:r>
        <w:rPr>
          <w:rFonts w:hint="eastAsia" w:ascii="仿宋_GB2312" w:eastAsia="仿宋_GB2312"/>
          <w:color w:val="000000"/>
          <w:sz w:val="32"/>
          <w:szCs w:val="32"/>
        </w:rPr>
        <w:t>较202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年预算经费</w:t>
      </w:r>
      <w:r>
        <w:rPr>
          <w:rFonts w:hint="eastAsia" w:ascii="仿宋_GB2312" w:eastAsia="仿宋_GB2312"/>
          <w:color w:val="000000"/>
          <w:sz w:val="32"/>
          <w:szCs w:val="32"/>
          <w:lang w:val="en-US" w:eastAsia="zh-CN"/>
        </w:rPr>
        <w:t>增加1.1</w:t>
      </w:r>
      <w:r>
        <w:rPr>
          <w:rFonts w:hint="eastAsia"/>
          <w:color w:val="000000"/>
          <w:sz w:val="32"/>
          <w:szCs w:val="32"/>
          <w:lang w:val="en-US" w:eastAsia="zh-CN"/>
        </w:rPr>
        <w:t>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增加14.5</w:t>
      </w:r>
      <w:r>
        <w:rPr>
          <w:rFonts w:hint="eastAsia"/>
          <w:color w:val="000000"/>
          <w:sz w:val="32"/>
          <w:szCs w:val="32"/>
          <w:lang w:val="en-US" w:eastAsia="zh-CN"/>
        </w:rPr>
        <w:t>7</w:t>
      </w:r>
      <w:r>
        <w:rPr>
          <w:rFonts w:hint="eastAsia" w:ascii="仿宋_GB2312" w:eastAsia="仿宋_GB2312"/>
          <w:color w:val="000000"/>
          <w:sz w:val="32"/>
          <w:szCs w:val="32"/>
        </w:rPr>
        <w:t>%</w:t>
      </w:r>
      <w:r>
        <w:rPr>
          <w:rFonts w:hint="eastAsia" w:ascii="仿宋_GB2312" w:eastAsia="仿宋_GB2312"/>
          <w:color w:val="000000"/>
          <w:sz w:val="32"/>
          <w:szCs w:val="32"/>
          <w:lang w:eastAsia="zh-CN"/>
        </w:rPr>
        <w:t>，主要原因是</w:t>
      </w:r>
      <w:r>
        <w:rPr>
          <w:rFonts w:hint="eastAsia"/>
          <w:color w:val="000000"/>
          <w:sz w:val="32"/>
          <w:szCs w:val="32"/>
          <w:lang w:val="en-US" w:eastAsia="zh-CN"/>
        </w:rPr>
        <w:t>机构改革人员增加，故</w:t>
      </w:r>
      <w:r>
        <w:rPr>
          <w:rFonts w:hint="eastAsia" w:ascii="仿宋_GB2312" w:hAnsi="黑体" w:eastAsia="仿宋_GB2312" w:cs="Times New Roman"/>
          <w:color w:val="000000" w:themeColor="text1"/>
          <w:sz w:val="32"/>
          <w:szCs w:val="32"/>
          <w:lang w:val="en-US" w:eastAsia="zh-CN"/>
          <w14:textFill>
            <w14:solidFill>
              <w14:schemeClr w14:val="tx1"/>
            </w14:solidFill>
          </w14:textFill>
        </w:rPr>
        <w:t>2026年</w:t>
      </w:r>
      <w:r>
        <w:rPr>
          <w:rFonts w:hint="eastAsia" w:hAnsi="黑体" w:cs="Times New Roman"/>
          <w:color w:val="000000" w:themeColor="text1"/>
          <w:sz w:val="32"/>
          <w:szCs w:val="32"/>
          <w:lang w:val="en-US" w:eastAsia="zh-CN"/>
          <w14:textFill>
            <w14:solidFill>
              <w14:schemeClr w14:val="tx1"/>
            </w14:solidFill>
          </w14:textFill>
        </w:rPr>
        <w:t>公务接待费较上年年初预算数有所增长。</w:t>
      </w:r>
    </w:p>
    <w:p w14:paraId="64A10DBC">
      <w:pPr>
        <w:pStyle w:val="12"/>
        <w:spacing w:before="0" w:line="360" w:lineRule="auto"/>
        <w:ind w:firstLine="643" w:firstLineChars="200"/>
        <w:rPr>
          <w:rFonts w:hint="eastAsia" w:ascii="仿宋_GB2312" w:hAnsi="黑体" w:eastAsia="仿宋_GB2312" w:cs="Times New Roman"/>
          <w:color w:val="000000" w:themeColor="text1"/>
          <w:kern w:val="0"/>
          <w:sz w:val="32"/>
          <w:szCs w:val="32"/>
          <w:lang w:val="en-US" w:eastAsia="zh-CN" w:bidi="ar-SA"/>
          <w14:textFill>
            <w14:solidFill>
              <w14:schemeClr w14:val="tx1"/>
            </w14:solidFill>
          </w14:textFill>
        </w:rPr>
      </w:pPr>
      <w:r>
        <w:rPr>
          <w:rFonts w:hint="eastAsia" w:ascii="楷体_GB2312" w:eastAsia="楷体_GB2312" w:cs="楷体_GB2312"/>
          <w:b/>
          <w:bCs/>
          <w:color w:val="000000"/>
          <w:sz w:val="32"/>
          <w:szCs w:val="32"/>
        </w:rPr>
        <w:t>（三）202</w:t>
      </w:r>
      <w:r>
        <w:rPr>
          <w:rFonts w:hint="eastAsia" w:ascii="楷体_GB2312" w:eastAsia="楷体_GB2312" w:cs="楷体_GB2312"/>
          <w:b/>
          <w:bCs/>
          <w:color w:val="000000"/>
          <w:sz w:val="32"/>
          <w:szCs w:val="32"/>
          <w:lang w:val="en-US" w:eastAsia="zh-CN"/>
        </w:rPr>
        <w:t>6</w:t>
      </w:r>
      <w:r>
        <w:rPr>
          <w:rFonts w:hint="eastAsia" w:ascii="楷体_GB2312" w:eastAsia="楷体_GB2312" w:cs="楷体_GB2312"/>
          <w:b/>
          <w:bCs/>
          <w:color w:val="000000"/>
          <w:sz w:val="32"/>
          <w:szCs w:val="32"/>
        </w:rPr>
        <w:t>年公务用车购置及运行</w:t>
      </w:r>
      <w:r>
        <w:rPr>
          <w:rFonts w:hint="eastAsia" w:ascii="楷体_GB2312" w:eastAsia="楷体_GB2312" w:cs="楷体_GB2312"/>
          <w:b/>
          <w:bCs/>
          <w:color w:val="000000"/>
          <w:sz w:val="32"/>
          <w:szCs w:val="32"/>
          <w:lang w:eastAsia="zh-CN"/>
        </w:rPr>
        <w:t>维护</w:t>
      </w:r>
      <w:r>
        <w:rPr>
          <w:rFonts w:hint="eastAsia" w:ascii="楷体_GB2312" w:eastAsia="楷体_GB2312" w:cs="楷体_GB2312"/>
          <w:b/>
          <w:bCs/>
          <w:color w:val="000000"/>
          <w:sz w:val="32"/>
          <w:szCs w:val="32"/>
        </w:rPr>
        <w:t>费</w:t>
      </w:r>
      <w:r>
        <w:rPr>
          <w:rFonts w:hint="eastAsia" w:ascii="楷体_GB2312" w:eastAsia="楷体_GB2312" w:cs="楷体_GB2312"/>
          <w:b/>
          <w:bCs/>
          <w:color w:val="000000"/>
          <w:sz w:val="32"/>
          <w:szCs w:val="32"/>
          <w:lang w:val="en-US" w:eastAsia="zh-CN"/>
        </w:rPr>
        <w:t>100.35</w:t>
      </w:r>
      <w:r>
        <w:rPr>
          <w:rFonts w:hint="eastAsia" w:ascii="楷体_GB2312" w:eastAsia="楷体_GB2312" w:cs="楷体_GB2312"/>
          <w:b/>
          <w:bCs/>
          <w:color w:val="000000"/>
          <w:sz w:val="32"/>
          <w:szCs w:val="32"/>
        </w:rPr>
        <w:t>万元。</w:t>
      </w:r>
      <w:r>
        <w:rPr>
          <w:rFonts w:hint="eastAsia" w:ascii="仿宋_GB2312" w:eastAsia="仿宋_GB2312"/>
          <w:color w:val="000000"/>
          <w:sz w:val="32"/>
          <w:szCs w:val="32"/>
          <w:lang w:eastAsia="zh-CN"/>
        </w:rPr>
        <w:t>较202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lang w:eastAsia="zh-CN"/>
        </w:rPr>
        <w:t>年预算经费</w:t>
      </w:r>
      <w:r>
        <w:rPr>
          <w:rFonts w:hint="eastAsia" w:ascii="仿宋_GB2312" w:eastAsia="仿宋_GB2312"/>
          <w:color w:val="000000"/>
          <w:sz w:val="32"/>
          <w:szCs w:val="32"/>
          <w:lang w:val="en-US" w:eastAsia="zh-CN"/>
        </w:rPr>
        <w:t>增加4.8</w:t>
      </w:r>
      <w:r>
        <w:rPr>
          <w:rFonts w:hint="eastAsia" w:ascii="仿宋_GB2312" w:eastAsia="仿宋_GB2312"/>
          <w:color w:val="000000"/>
          <w:sz w:val="32"/>
          <w:szCs w:val="32"/>
          <w:lang w:eastAsia="zh-CN"/>
        </w:rPr>
        <w:t>万元，</w:t>
      </w:r>
      <w:r>
        <w:rPr>
          <w:rFonts w:hint="eastAsia" w:ascii="仿宋_GB2312" w:eastAsia="仿宋_GB2312"/>
          <w:color w:val="000000"/>
          <w:sz w:val="32"/>
          <w:szCs w:val="32"/>
          <w:lang w:val="en-US" w:eastAsia="zh-CN"/>
        </w:rPr>
        <w:t>增长4.46</w:t>
      </w:r>
      <w:r>
        <w:rPr>
          <w:rFonts w:hint="eastAsia" w:ascii="仿宋_GB2312" w:eastAsia="仿宋_GB2312"/>
          <w:color w:val="000000"/>
          <w:sz w:val="32"/>
          <w:szCs w:val="32"/>
          <w:lang w:eastAsia="zh-CN"/>
        </w:rPr>
        <w:t>%。</w:t>
      </w:r>
      <w:r>
        <w:rPr>
          <w:rFonts w:hint="eastAsia" w:cs="仿宋_GB2312"/>
          <w:color w:val="000000"/>
          <w:kern w:val="2"/>
          <w:sz w:val="32"/>
          <w:szCs w:val="32"/>
        </w:rPr>
        <w:t>主要原因</w:t>
      </w:r>
      <w:r>
        <w:rPr>
          <w:rFonts w:hint="eastAsia" w:cs="仿宋_GB2312"/>
          <w:color w:val="000000"/>
          <w:kern w:val="2"/>
          <w:sz w:val="32"/>
          <w:szCs w:val="32"/>
          <w:lang w:eastAsia="zh-CN"/>
        </w:rPr>
        <w:t>是</w:t>
      </w:r>
      <w:r>
        <w:rPr>
          <w:rFonts w:hint="eastAsia" w:ascii="仿宋_GB2312" w:eastAsia="仿宋_GB2312"/>
          <w:color w:val="000000" w:themeColor="text1"/>
          <w:sz w:val="32"/>
          <w:szCs w:val="32"/>
          <w:lang w:val="en-US" w:eastAsia="zh-CN"/>
          <w14:textFill>
            <w14:solidFill>
              <w14:schemeClr w14:val="tx1"/>
            </w14:solidFill>
          </w14:textFill>
        </w:rPr>
        <w:t>保障单位的正常运转</w:t>
      </w:r>
      <w:r>
        <w:rPr>
          <w:rFonts w:hint="eastAsia" w:ascii="仿宋_GB2312" w:eastAsia="仿宋_GB2312"/>
          <w:color w:val="000000" w:themeColor="text1"/>
          <w:sz w:val="32"/>
          <w:szCs w:val="32"/>
          <w14:textFill>
            <w14:solidFill>
              <w14:schemeClr w14:val="tx1"/>
            </w14:solidFill>
          </w14:textFill>
        </w:rPr>
        <w:t>。</w:t>
      </w:r>
    </w:p>
    <w:p w14:paraId="64CFC5DC">
      <w:pPr>
        <w:pStyle w:val="12"/>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23A1BC2F">
      <w:pPr>
        <w:pStyle w:val="12"/>
        <w:spacing w:before="0" w:line="360" w:lineRule="auto"/>
        <w:ind w:firstLine="640" w:firstLineChars="200"/>
        <w:rPr>
          <w:rFonts w:hint="eastAsia" w:cs="仿宋_GB2312"/>
          <w:kern w:val="2"/>
          <w:sz w:val="32"/>
          <w:szCs w:val="32"/>
        </w:rPr>
      </w:pPr>
      <w:r>
        <w:rPr>
          <w:rFonts w:hint="eastAsia" w:ascii="仿宋_GB2312" w:eastAsia="仿宋_GB2312"/>
          <w:color w:val="000000"/>
          <w:sz w:val="32"/>
          <w:szCs w:val="32"/>
        </w:rPr>
        <w:t>阿坝州</w:t>
      </w:r>
      <w:r>
        <w:rPr>
          <w:rFonts w:hint="eastAsia" w:ascii="仿宋_GB2312" w:eastAsia="仿宋_GB2312"/>
          <w:color w:val="000000"/>
          <w:sz w:val="32"/>
          <w:szCs w:val="32"/>
          <w:lang w:eastAsia="zh-CN"/>
        </w:rPr>
        <w:t>人力资源和社会保障局</w:t>
      </w:r>
      <w:r>
        <w:rPr>
          <w:rFonts w:hint="eastAsia" w:ascii="仿宋_GB2312" w:eastAsia="仿宋_GB2312"/>
          <w:sz w:val="32"/>
          <w:szCs w:val="32"/>
        </w:rPr>
        <w:t>202</w:t>
      </w:r>
      <w:r>
        <w:rPr>
          <w:rFonts w:hint="eastAsia"/>
          <w:sz w:val="32"/>
          <w:szCs w:val="32"/>
          <w:lang w:val="en-US" w:eastAsia="zh-CN"/>
        </w:rPr>
        <w:t>6</w:t>
      </w:r>
      <w:r>
        <w:rPr>
          <w:rFonts w:hint="eastAsia" w:ascii="仿宋_GB2312" w:eastAsia="仿宋_GB2312"/>
          <w:sz w:val="32"/>
          <w:szCs w:val="32"/>
        </w:rPr>
        <w:t>年政府性基金预算拨款安排的支出</w:t>
      </w:r>
      <w:r>
        <w:rPr>
          <w:rFonts w:hint="eastAsia" w:ascii="仿宋_GB2312" w:eastAsia="仿宋_GB2312"/>
          <w:sz w:val="32"/>
          <w:szCs w:val="32"/>
          <w:lang w:val="en-US" w:eastAsia="zh-CN"/>
        </w:rPr>
        <w:t>0万元</w:t>
      </w:r>
      <w:r>
        <w:rPr>
          <w:rFonts w:hint="eastAsia" w:ascii="仿宋_GB2312" w:eastAsia="仿宋_GB2312"/>
          <w:sz w:val="32"/>
          <w:szCs w:val="32"/>
        </w:rPr>
        <w:t>。较202</w:t>
      </w:r>
      <w:r>
        <w:rPr>
          <w:rFonts w:hint="eastAsia"/>
          <w:sz w:val="32"/>
          <w:szCs w:val="32"/>
          <w:lang w:val="en-US" w:eastAsia="zh-CN"/>
        </w:rPr>
        <w:t>5</w:t>
      </w:r>
      <w:r>
        <w:rPr>
          <w:rFonts w:hint="eastAsia" w:ascii="仿宋_GB2312" w:eastAsia="仿宋_GB2312"/>
          <w:sz w:val="32"/>
          <w:szCs w:val="32"/>
        </w:rPr>
        <w:t>年预算经费无变化。</w:t>
      </w:r>
    </w:p>
    <w:p w14:paraId="70603093">
      <w:pPr>
        <w:pStyle w:val="12"/>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029EB606">
      <w:pPr>
        <w:pStyle w:val="12"/>
        <w:spacing w:before="0" w:line="360" w:lineRule="auto"/>
        <w:ind w:firstLine="640" w:firstLineChars="200"/>
        <w:rPr>
          <w:rFonts w:hint="eastAsia" w:cs="仿宋_GB2312"/>
          <w:color w:val="000000"/>
          <w:kern w:val="2"/>
          <w:sz w:val="32"/>
          <w:szCs w:val="32"/>
        </w:rPr>
      </w:pPr>
      <w:r>
        <w:rPr>
          <w:rFonts w:hint="eastAsia" w:ascii="楷体" w:eastAsia="楷体" w:cs="仿宋_GB2312"/>
          <w:kern w:val="2"/>
          <w:sz w:val="32"/>
          <w:szCs w:val="32"/>
        </w:rPr>
        <w:t>（一）机关运行经费</w:t>
      </w:r>
    </w:p>
    <w:p w14:paraId="4D4D5A4B">
      <w:pPr>
        <w:pStyle w:val="12"/>
        <w:spacing w:before="0" w:line="360" w:lineRule="auto"/>
        <w:ind w:firstLine="640" w:firstLineChars="200"/>
        <w:rPr>
          <w:rFonts w:hint="eastAsia" w:cs="仿宋_GB2312"/>
          <w:color w:val="000000"/>
          <w:kern w:val="2"/>
          <w:sz w:val="32"/>
          <w:szCs w:val="32"/>
        </w:rPr>
      </w:pPr>
      <w:r>
        <w:rPr>
          <w:rFonts w:hint="eastAsia" w:cs="Arial"/>
          <w:kern w:val="2"/>
          <w:sz w:val="32"/>
          <w:szCs w:val="32"/>
        </w:rPr>
        <w:t xml:space="preserve">  </w:t>
      </w:r>
      <w:r>
        <w:rPr>
          <w:rFonts w:hint="eastAsia" w:ascii="仿宋_GB2312" w:eastAsia="仿宋_GB2312"/>
          <w:color w:val="000000"/>
          <w:sz w:val="32"/>
          <w:szCs w:val="32"/>
        </w:rPr>
        <w:t>阿坝州</w:t>
      </w:r>
      <w:r>
        <w:rPr>
          <w:rFonts w:hint="eastAsia" w:ascii="仿宋_GB2312" w:eastAsia="仿宋_GB2312"/>
          <w:color w:val="000000"/>
          <w:sz w:val="32"/>
          <w:szCs w:val="32"/>
          <w:lang w:eastAsia="zh-CN"/>
        </w:rPr>
        <w:t>人力资源和社会保障局</w:t>
      </w:r>
      <w:r>
        <w:rPr>
          <w:rFonts w:hint="eastAsia" w:cs="Arial"/>
          <w:color w:val="000000"/>
          <w:kern w:val="2"/>
          <w:sz w:val="32"/>
          <w:szCs w:val="32"/>
        </w:rPr>
        <w:t>202</w:t>
      </w:r>
      <w:r>
        <w:rPr>
          <w:rFonts w:hint="eastAsia" w:cs="Arial"/>
          <w:color w:val="000000"/>
          <w:kern w:val="2"/>
          <w:sz w:val="32"/>
          <w:szCs w:val="32"/>
          <w:lang w:val="en-US" w:eastAsia="zh-CN"/>
        </w:rPr>
        <w:t>6</w:t>
      </w:r>
      <w:r>
        <w:rPr>
          <w:rFonts w:hint="eastAsia" w:cs="Arial"/>
          <w:color w:val="000000"/>
          <w:kern w:val="2"/>
          <w:sz w:val="32"/>
          <w:szCs w:val="32"/>
        </w:rPr>
        <w:t>年机关运行经费财政拨款预算为</w:t>
      </w:r>
      <w:r>
        <w:rPr>
          <w:rFonts w:hint="eastAsia" w:cs="Arial"/>
          <w:color w:val="000000"/>
          <w:kern w:val="2"/>
          <w:sz w:val="32"/>
          <w:szCs w:val="32"/>
          <w:lang w:val="en-US" w:eastAsia="zh-CN"/>
        </w:rPr>
        <w:t>582.75</w:t>
      </w:r>
      <w:r>
        <w:rPr>
          <w:rFonts w:hint="eastAsia" w:cs="Arial"/>
          <w:color w:val="000000"/>
          <w:kern w:val="2"/>
          <w:sz w:val="32"/>
          <w:szCs w:val="32"/>
        </w:rPr>
        <w:t>万元，比202</w:t>
      </w:r>
      <w:r>
        <w:rPr>
          <w:rFonts w:hint="eastAsia" w:cs="Arial"/>
          <w:color w:val="000000"/>
          <w:kern w:val="2"/>
          <w:sz w:val="32"/>
          <w:szCs w:val="32"/>
          <w:lang w:val="en-US" w:eastAsia="zh-CN"/>
        </w:rPr>
        <w:t>5</w:t>
      </w:r>
      <w:r>
        <w:rPr>
          <w:rFonts w:hint="eastAsia" w:cs="Arial"/>
          <w:color w:val="000000"/>
          <w:kern w:val="2"/>
          <w:sz w:val="32"/>
          <w:szCs w:val="32"/>
        </w:rPr>
        <w:t>年预算</w:t>
      </w:r>
      <w:r>
        <w:rPr>
          <w:rFonts w:hint="eastAsia" w:cs="Arial"/>
          <w:color w:val="000000"/>
          <w:kern w:val="2"/>
          <w:sz w:val="32"/>
          <w:szCs w:val="32"/>
          <w:lang w:val="en-US" w:eastAsia="zh-CN"/>
        </w:rPr>
        <w:t>增加41.19</w:t>
      </w:r>
      <w:r>
        <w:rPr>
          <w:rFonts w:hint="eastAsia" w:cs="Arial"/>
          <w:color w:val="000000"/>
          <w:kern w:val="2"/>
          <w:sz w:val="32"/>
          <w:szCs w:val="32"/>
        </w:rPr>
        <w:t>万元，</w:t>
      </w:r>
      <w:r>
        <w:rPr>
          <w:rFonts w:hint="eastAsia" w:cs="Arial"/>
          <w:color w:val="000000"/>
          <w:kern w:val="2"/>
          <w:sz w:val="32"/>
          <w:szCs w:val="32"/>
          <w:lang w:eastAsia="zh-CN"/>
        </w:rPr>
        <w:t>下降</w:t>
      </w:r>
      <w:r>
        <w:rPr>
          <w:rFonts w:hint="eastAsia" w:cs="Arial"/>
          <w:color w:val="000000"/>
          <w:kern w:val="2"/>
          <w:sz w:val="32"/>
          <w:szCs w:val="32"/>
          <w:lang w:val="en-US" w:eastAsia="zh-CN"/>
        </w:rPr>
        <w:t>7.61</w:t>
      </w:r>
      <w:r>
        <w:rPr>
          <w:rFonts w:hint="eastAsia" w:cs="Arial"/>
          <w:color w:val="000000"/>
          <w:kern w:val="2"/>
          <w:sz w:val="32"/>
          <w:szCs w:val="32"/>
        </w:rPr>
        <w:t>%。</w:t>
      </w:r>
    </w:p>
    <w:p w14:paraId="1D7D094C">
      <w:pPr>
        <w:pStyle w:val="12"/>
        <w:spacing w:before="0" w:line="360" w:lineRule="auto"/>
        <w:ind w:left="420" w:leftChars="200"/>
        <w:rPr>
          <w:rFonts w:hint="eastAsia" w:cs="仿宋_GB2312"/>
          <w:color w:val="000000"/>
          <w:kern w:val="2"/>
          <w:sz w:val="32"/>
          <w:szCs w:val="32"/>
        </w:rPr>
      </w:pPr>
      <w:r>
        <w:rPr>
          <w:rFonts w:hint="eastAsia" w:ascii="楷体" w:eastAsia="楷体" w:cs="仿宋_GB2312"/>
          <w:kern w:val="2"/>
          <w:sz w:val="32"/>
          <w:szCs w:val="32"/>
          <w:lang w:eastAsia="zh-CN"/>
        </w:rPr>
        <w:t>（二）</w:t>
      </w:r>
      <w:r>
        <w:rPr>
          <w:rFonts w:hint="eastAsia" w:ascii="楷体" w:eastAsia="楷体" w:cs="仿宋_GB2312"/>
          <w:kern w:val="2"/>
          <w:sz w:val="32"/>
          <w:szCs w:val="32"/>
        </w:rPr>
        <w:t>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xml:space="preserve"> 202</w:t>
      </w:r>
      <w:r>
        <w:rPr>
          <w:rFonts w:hint="eastAsia" w:cs="仿宋_GB2312"/>
          <w:color w:val="000000"/>
          <w:kern w:val="2"/>
          <w:sz w:val="32"/>
          <w:szCs w:val="32"/>
          <w:lang w:val="en-US" w:eastAsia="zh-CN"/>
        </w:rPr>
        <w:t>6</w:t>
      </w:r>
      <w:r>
        <w:rPr>
          <w:rFonts w:hint="eastAsia" w:cs="仿宋_GB2312"/>
          <w:color w:val="000000"/>
          <w:kern w:val="2"/>
          <w:sz w:val="32"/>
          <w:szCs w:val="32"/>
        </w:rPr>
        <w:t>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14.93</w:t>
      </w:r>
      <w:r>
        <w:rPr>
          <w:rFonts w:hint="eastAsia" w:cs="仿宋_GB2312"/>
          <w:color w:val="000000"/>
          <w:kern w:val="2"/>
          <w:sz w:val="32"/>
          <w:szCs w:val="32"/>
        </w:rPr>
        <w:t>万元</w:t>
      </w:r>
      <w:r>
        <w:rPr>
          <w:rFonts w:hint="eastAsia" w:cs="仿宋_GB2312"/>
          <w:color w:val="000000"/>
          <w:kern w:val="2"/>
          <w:sz w:val="32"/>
          <w:szCs w:val="32"/>
          <w:lang w:eastAsia="zh-CN"/>
        </w:rPr>
        <w:t>。</w:t>
      </w:r>
      <w:r>
        <w:rPr>
          <w:rFonts w:hint="eastAsia" w:cs="仿宋_GB2312"/>
          <w:color w:val="000000"/>
          <w:kern w:val="2"/>
          <w:sz w:val="32"/>
          <w:szCs w:val="32"/>
          <w:lang w:val="en-US" w:eastAsia="zh-CN"/>
        </w:rPr>
        <w:t>其中：</w:t>
      </w:r>
      <w:r>
        <w:rPr>
          <w:rFonts w:hint="eastAsia" w:ascii="仿宋_GB2312" w:eastAsia="仿宋_GB2312"/>
          <w:color w:val="000000"/>
          <w:sz w:val="32"/>
          <w:szCs w:val="32"/>
        </w:rPr>
        <w:t>阿坝州</w:t>
      </w:r>
      <w:r>
        <w:rPr>
          <w:rFonts w:hint="eastAsia" w:ascii="仿宋_GB2312" w:eastAsia="仿宋_GB2312"/>
          <w:color w:val="000000"/>
          <w:sz w:val="32"/>
          <w:szCs w:val="32"/>
          <w:lang w:eastAsia="zh-CN"/>
        </w:rPr>
        <w:t>人力资源和社会保障局</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8.25</w:t>
      </w:r>
      <w:r>
        <w:rPr>
          <w:rFonts w:hint="eastAsia" w:cs="仿宋_GB2312"/>
          <w:color w:val="000000"/>
          <w:kern w:val="2"/>
          <w:sz w:val="32"/>
          <w:szCs w:val="32"/>
        </w:rPr>
        <w:t>万元</w:t>
      </w:r>
      <w:r>
        <w:rPr>
          <w:rFonts w:hint="eastAsia" w:cs="仿宋_GB2312"/>
          <w:color w:val="000000"/>
          <w:kern w:val="2"/>
          <w:sz w:val="32"/>
          <w:szCs w:val="32"/>
          <w:lang w:eastAsia="zh-CN"/>
        </w:rPr>
        <w:t>，</w:t>
      </w:r>
      <w:r>
        <w:rPr>
          <w:rFonts w:hint="eastAsia" w:cs="仿宋_GB2312"/>
          <w:color w:val="000000"/>
          <w:kern w:val="2"/>
          <w:sz w:val="32"/>
          <w:szCs w:val="32"/>
        </w:rPr>
        <w:t>主要</w:t>
      </w:r>
      <w:r>
        <w:rPr>
          <w:rFonts w:hint="eastAsia" w:cs="仿宋_GB2312"/>
          <w:kern w:val="2"/>
          <w:sz w:val="32"/>
          <w:szCs w:val="32"/>
        </w:rPr>
        <w:t>用于</w:t>
      </w:r>
      <w:r>
        <w:rPr>
          <w:rFonts w:hint="eastAsia" w:cs="仿宋_GB2312"/>
          <w:kern w:val="2"/>
          <w:sz w:val="32"/>
          <w:szCs w:val="32"/>
          <w:lang w:eastAsia="zh-CN"/>
        </w:rPr>
        <w:t>日常</w:t>
      </w:r>
      <w:r>
        <w:rPr>
          <w:rFonts w:hint="eastAsia" w:cs="仿宋_GB2312"/>
          <w:sz w:val="32"/>
          <w:szCs w:val="32"/>
          <w:u w:val="none"/>
          <w:lang w:val="en-US" w:eastAsia="zh-CN"/>
        </w:rPr>
        <w:t>办公，办公设备老旧等情况，办公设备不足，为保障日常工作正常运转，需购置笔记本电脑6台、黑白打印机3台、多功能一体机1台、扫描仪器2个</w:t>
      </w:r>
      <w:r>
        <w:rPr>
          <w:rFonts w:hint="eastAsia" w:cs="仿宋_GB2312"/>
          <w:kern w:val="2"/>
          <w:sz w:val="32"/>
          <w:szCs w:val="32"/>
          <w:lang w:val="en-US" w:eastAsia="zh-CN"/>
        </w:rPr>
        <w:t>。</w:t>
      </w:r>
      <w:r>
        <w:rPr>
          <w:rFonts w:hint="eastAsia" w:cs="仿宋_GB2312"/>
          <w:kern w:val="2"/>
          <w:sz w:val="32"/>
          <w:szCs w:val="32"/>
          <w:lang w:eastAsia="zh-CN"/>
        </w:rPr>
        <w:t>阿坝州农民工服务中心</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6.68</w:t>
      </w:r>
      <w:r>
        <w:rPr>
          <w:rFonts w:hint="eastAsia" w:cs="仿宋_GB2312"/>
          <w:color w:val="000000"/>
          <w:kern w:val="2"/>
          <w:sz w:val="32"/>
          <w:szCs w:val="32"/>
        </w:rPr>
        <w:t>万元，主要</w:t>
      </w:r>
      <w:r>
        <w:rPr>
          <w:rFonts w:hint="eastAsia" w:cs="仿宋_GB2312"/>
          <w:kern w:val="2"/>
          <w:sz w:val="32"/>
          <w:szCs w:val="32"/>
        </w:rPr>
        <w:t>用于</w:t>
      </w:r>
      <w:r>
        <w:rPr>
          <w:rFonts w:hint="eastAsia" w:cs="仿宋_GB2312"/>
          <w:kern w:val="2"/>
          <w:sz w:val="32"/>
          <w:szCs w:val="32"/>
          <w:lang w:eastAsia="zh-CN"/>
        </w:rPr>
        <w:t>日常</w:t>
      </w:r>
      <w:r>
        <w:rPr>
          <w:rFonts w:hint="eastAsia" w:cs="仿宋_GB2312"/>
          <w:sz w:val="32"/>
          <w:szCs w:val="32"/>
          <w:u w:val="none"/>
          <w:lang w:val="en-US" w:eastAsia="zh-CN"/>
        </w:rPr>
        <w:t>办公。一是</w:t>
      </w:r>
      <w:r>
        <w:rPr>
          <w:rFonts w:hint="eastAsia" w:ascii="仿宋_GB2312" w:eastAsia="仿宋_GB2312" w:cs="仿宋_GB2312"/>
          <w:sz w:val="32"/>
          <w:szCs w:val="32"/>
          <w:u w:val="none"/>
          <w:lang w:val="en-US" w:eastAsia="zh-CN"/>
        </w:rPr>
        <w:t>2025年7名转隶人员到单位上班，需购置</w:t>
      </w:r>
      <w:r>
        <w:rPr>
          <w:rFonts w:ascii="仿宋_GB2312" w:eastAsia="仿宋_GB2312" w:cs="仿宋_GB2312"/>
          <w:sz w:val="32"/>
          <w:szCs w:val="32"/>
          <w:u w:val="none"/>
          <w:lang w:val="en-US" w:eastAsia="zh-CN"/>
        </w:rPr>
        <w:t>2台台式计算机，1台打印机和1台便捷式计算机和7把单椅用于日常办公；</w:t>
      </w:r>
      <w:r>
        <w:rPr>
          <w:rFonts w:hint="eastAsia" w:cs="仿宋_GB2312"/>
          <w:sz w:val="32"/>
          <w:szCs w:val="32"/>
          <w:u w:val="none"/>
          <w:lang w:val="en-US" w:eastAsia="zh-CN"/>
        </w:rPr>
        <w:t>二是</w:t>
      </w:r>
      <w:r>
        <w:rPr>
          <w:rFonts w:ascii="仿宋_GB2312" w:eastAsia="仿宋_GB2312" w:cs="仿宋_GB2312"/>
          <w:sz w:val="32"/>
          <w:szCs w:val="32"/>
          <w:u w:val="none"/>
          <w:lang w:val="en-US" w:eastAsia="zh-CN"/>
        </w:rPr>
        <w:t>2025年11月5日收到《阿坝州人民政府办公室关于进一步强化州人民政府驻北京联络处职能配置的通知》文件，其中要求州农民工服务中心负责驻地及周边地区务工人员的服务保障日常工作，州驻京联络处协作。我中心庚即决定将在成都建设办公点，派专人</w:t>
      </w:r>
      <w:r>
        <w:rPr>
          <w:rFonts w:hint="eastAsia" w:ascii="仿宋_GB2312" w:eastAsia="仿宋_GB2312" w:cs="Times New Roman"/>
          <w:sz w:val="32"/>
          <w:szCs w:val="32"/>
          <w:u w:val="none"/>
          <w:lang w:bidi="ar-SA"/>
        </w:rPr>
        <w:t>收集</w:t>
      </w:r>
      <w:r>
        <w:rPr>
          <w:rFonts w:ascii="仿宋_GB2312" w:eastAsia="仿宋_GB2312"/>
          <w:sz w:val="32"/>
          <w:szCs w:val="32"/>
          <w:u w:val="none"/>
        </w:rPr>
        <w:t>成都周边及宜宾市的</w:t>
      </w:r>
      <w:r>
        <w:rPr>
          <w:rFonts w:hint="eastAsia" w:ascii="仿宋_GB2312" w:eastAsia="仿宋_GB2312"/>
          <w:sz w:val="32"/>
          <w:szCs w:val="32"/>
          <w:u w:val="none"/>
        </w:rPr>
        <w:t>用工企业招工信息，协助县（市）农民工服务中心组织阿坝州</w:t>
      </w:r>
      <w:r>
        <w:rPr>
          <w:rFonts w:hint="eastAsia" w:ascii="仿宋_GB2312" w:eastAsia="仿宋_GB2312" w:cs="Times New Roman"/>
          <w:sz w:val="32"/>
          <w:szCs w:val="32"/>
          <w:u w:val="none"/>
          <w:lang w:bidi="ar-SA"/>
        </w:rPr>
        <w:t>籍农民工到</w:t>
      </w:r>
      <w:r>
        <w:rPr>
          <w:rFonts w:hint="eastAsia" w:ascii="仿宋_GB2312" w:eastAsia="仿宋_GB2312"/>
          <w:sz w:val="32"/>
          <w:szCs w:val="32"/>
          <w:u w:val="none"/>
        </w:rPr>
        <w:t>本地</w:t>
      </w:r>
      <w:r>
        <w:rPr>
          <w:rFonts w:hint="eastAsia" w:ascii="仿宋_GB2312" w:eastAsia="仿宋_GB2312" w:cs="Times New Roman"/>
          <w:sz w:val="32"/>
          <w:szCs w:val="32"/>
          <w:u w:val="none"/>
          <w:lang w:bidi="ar-SA"/>
        </w:rPr>
        <w:t>有实力、口碑好的企业务工就业，</w:t>
      </w:r>
      <w:r>
        <w:rPr>
          <w:rFonts w:hint="eastAsia" w:ascii="仿宋_GB2312" w:eastAsia="仿宋_GB2312"/>
          <w:sz w:val="32"/>
          <w:szCs w:val="32"/>
          <w:u w:val="none"/>
        </w:rPr>
        <w:t>搭建返乡创业服务平台，维护外出务工人员合</w:t>
      </w:r>
      <w:r>
        <w:rPr>
          <w:rFonts w:hint="eastAsia" w:ascii="仿宋_GB2312" w:eastAsia="仿宋_GB2312"/>
          <w:sz w:val="32"/>
          <w:szCs w:val="32"/>
          <w:u w:val="none"/>
          <w:lang w:val="en-US" w:eastAsia="zh-CN"/>
        </w:rPr>
        <w:t>法权</w:t>
      </w:r>
      <w:r>
        <w:rPr>
          <w:rFonts w:hint="eastAsia" w:ascii="仿宋_GB2312" w:eastAsia="仿宋_GB2312"/>
          <w:sz w:val="32"/>
          <w:szCs w:val="32"/>
          <w:u w:val="none"/>
        </w:rPr>
        <w:t>益</w:t>
      </w:r>
      <w:r>
        <w:rPr>
          <w:rFonts w:ascii="仿宋_GB2312" w:eastAsia="仿宋_GB2312"/>
          <w:sz w:val="32"/>
          <w:szCs w:val="32"/>
          <w:u w:val="none"/>
        </w:rPr>
        <w:t>，因此</w:t>
      </w:r>
      <w:r>
        <w:rPr>
          <w:rFonts w:hint="eastAsia" w:ascii="仿宋_GB2312" w:eastAsia="仿宋_GB2312" w:cs="仿宋_GB2312"/>
          <w:sz w:val="32"/>
          <w:szCs w:val="32"/>
          <w:u w:val="none"/>
          <w:lang w:val="en-US" w:eastAsia="zh-CN"/>
        </w:rPr>
        <w:t>购买台式计算机</w:t>
      </w:r>
      <w:r>
        <w:rPr>
          <w:rFonts w:ascii="仿宋_GB2312" w:eastAsia="仿宋_GB2312" w:cs="仿宋_GB2312"/>
          <w:sz w:val="32"/>
          <w:szCs w:val="32"/>
          <w:u w:val="none"/>
          <w:lang w:val="en-US" w:eastAsia="zh-CN"/>
        </w:rPr>
        <w:t>2</w:t>
      </w:r>
      <w:r>
        <w:rPr>
          <w:rFonts w:hint="eastAsia" w:ascii="仿宋_GB2312" w:eastAsia="仿宋_GB2312" w:cs="仿宋_GB2312"/>
          <w:sz w:val="32"/>
          <w:szCs w:val="32"/>
          <w:u w:val="none"/>
          <w:lang w:val="en-US" w:eastAsia="zh-CN"/>
        </w:rPr>
        <w:t>台、激光打印机</w:t>
      </w:r>
      <w:r>
        <w:rPr>
          <w:rFonts w:ascii="仿宋_GB2312" w:eastAsia="仿宋_GB2312" w:cs="仿宋_GB2312"/>
          <w:sz w:val="32"/>
          <w:szCs w:val="32"/>
          <w:u w:val="none"/>
          <w:lang w:val="en-US" w:eastAsia="zh-CN"/>
        </w:rPr>
        <w:t>1</w:t>
      </w:r>
      <w:r>
        <w:rPr>
          <w:rFonts w:hint="eastAsia" w:ascii="仿宋_GB2312" w:eastAsia="仿宋_GB2312" w:cs="仿宋_GB2312"/>
          <w:sz w:val="32"/>
          <w:szCs w:val="32"/>
          <w:u w:val="none"/>
          <w:lang w:val="en-US" w:eastAsia="zh-CN"/>
        </w:rPr>
        <w:t>台</w:t>
      </w:r>
      <w:r>
        <w:rPr>
          <w:rFonts w:ascii="仿宋_GB2312" w:eastAsia="仿宋_GB2312" w:cs="仿宋_GB2312"/>
          <w:sz w:val="32"/>
          <w:szCs w:val="32"/>
          <w:u w:val="none"/>
          <w:lang w:val="en-US" w:eastAsia="zh-CN"/>
        </w:rPr>
        <w:t>、</w:t>
      </w:r>
      <w:r>
        <w:rPr>
          <w:rFonts w:ascii="仿宋_GB2312" w:eastAsia="仿宋_GB2312" w:cs="Times New Roman"/>
          <w:kern w:val="2"/>
          <w:sz w:val="32"/>
          <w:szCs w:val="32"/>
          <w:u w:val="none"/>
          <w:lang w:val="en-US" w:eastAsia="zh-CN" w:bidi="ar-SA"/>
        </w:rPr>
        <w:t>复印机1台、文件柜4组、1.6m办公桌椅2套、沙发单人1套、三人沙发1套、3P空调1台、1.5P空调2台、碎纸机1台、饮水机1台、茶几1</w:t>
      </w:r>
      <w:r>
        <w:rPr>
          <w:rFonts w:hint="eastAsia" w:ascii="仿宋_GB2312" w:eastAsia="仿宋_GB2312" w:cs="Times New Roman"/>
          <w:kern w:val="2"/>
          <w:sz w:val="32"/>
          <w:szCs w:val="32"/>
          <w:u w:val="none"/>
          <w:lang w:val="en-US" w:eastAsia="zh-CN" w:bidi="ar-SA"/>
        </w:rPr>
        <w:t>张</w:t>
      </w:r>
      <w:r>
        <w:rPr>
          <w:rFonts w:ascii="仿宋_GB2312" w:eastAsia="仿宋_GB2312" w:cs="Times New Roman"/>
          <w:kern w:val="2"/>
          <w:sz w:val="32"/>
          <w:szCs w:val="32"/>
          <w:u w:val="none"/>
          <w:lang w:val="en-US" w:eastAsia="zh-CN" w:bidi="ar-SA"/>
        </w:rPr>
        <w:t>，确保办公点的正常运作</w:t>
      </w:r>
      <w:r>
        <w:rPr>
          <w:rFonts w:hint="eastAsia" w:ascii="仿宋_GB2312" w:eastAsia="仿宋_GB2312" w:cs="仿宋_GB2312"/>
          <w:sz w:val="32"/>
          <w:szCs w:val="32"/>
          <w:u w:val="none"/>
          <w:lang w:val="en-US" w:eastAsia="zh-CN"/>
        </w:rPr>
        <w:t>。</w:t>
      </w:r>
    </w:p>
    <w:p w14:paraId="58E5BB27">
      <w:pPr>
        <w:pStyle w:val="12"/>
        <w:numPr>
          <w:ilvl w:val="0"/>
          <w:numId w:val="2"/>
        </w:numPr>
        <w:spacing w:before="0" w:line="360" w:lineRule="auto"/>
        <w:ind w:left="0" w:firstLine="640" w:firstLineChars="200"/>
        <w:rPr>
          <w:rFonts w:hint="eastAsia" w:cs="仿宋_GB2312"/>
          <w:color w:val="000000"/>
          <w:kern w:val="2"/>
          <w:sz w:val="32"/>
          <w:szCs w:val="32"/>
        </w:rPr>
      </w:pPr>
      <w:r>
        <w:rPr>
          <w:rFonts w:hint="eastAsia" w:cs="仿宋_GB2312"/>
          <w:color w:val="000000"/>
          <w:kern w:val="2"/>
          <w:sz w:val="32"/>
          <w:szCs w:val="32"/>
        </w:rPr>
        <w:t>国有资产占有使用情况</w:t>
      </w:r>
    </w:p>
    <w:p w14:paraId="4E382448">
      <w:pPr>
        <w:pStyle w:val="12"/>
        <w:spacing w:before="0" w:line="360" w:lineRule="auto"/>
        <w:ind w:firstLine="640" w:firstLineChars="200"/>
        <w:rPr>
          <w:rFonts w:hint="eastAsia" w:cs="仿宋_GB2312"/>
          <w:color w:val="000000"/>
          <w:kern w:val="2"/>
          <w:sz w:val="32"/>
          <w:szCs w:val="32"/>
        </w:rPr>
      </w:pPr>
      <w:r>
        <w:rPr>
          <w:rFonts w:hint="eastAsia" w:cs="仿宋_GB2312"/>
          <w:color w:val="000000"/>
          <w:kern w:val="2"/>
          <w:sz w:val="32"/>
          <w:szCs w:val="32"/>
        </w:rPr>
        <w:t>截至2024年12月31日，我部门固定资产</w:t>
      </w:r>
      <w:r>
        <w:rPr>
          <w:rFonts w:hint="eastAsia" w:cs="仿宋_GB2312"/>
          <w:color w:val="000000"/>
          <w:kern w:val="2"/>
          <w:sz w:val="32"/>
          <w:szCs w:val="32"/>
          <w:lang w:val="en-US" w:eastAsia="zh-CN"/>
        </w:rPr>
        <w:t>5578.14</w:t>
      </w:r>
      <w:r>
        <w:rPr>
          <w:rFonts w:hint="eastAsia" w:cs="仿宋_GB2312"/>
          <w:color w:val="000000"/>
          <w:kern w:val="2"/>
          <w:sz w:val="32"/>
          <w:szCs w:val="32"/>
        </w:rPr>
        <w:t>万元。</w:t>
      </w:r>
    </w:p>
    <w:p w14:paraId="5E06FB43">
      <w:pPr>
        <w:pStyle w:val="12"/>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2025年部门（单位）通用项目和专用项目均按要求实行绩效目标管理，涉及一般公共预算当年拨款</w:t>
      </w:r>
      <w:r>
        <w:rPr>
          <w:rFonts w:hint="eastAsia" w:ascii="仿宋_GB2312" w:eastAsia="仿宋_GB2312"/>
          <w:color w:val="000000"/>
          <w:sz w:val="32"/>
          <w:szCs w:val="32"/>
          <w:lang w:val="en-US" w:eastAsia="zh-CN"/>
        </w:rPr>
        <w:t>5641.1</w:t>
      </w:r>
      <w:r>
        <w:rPr>
          <w:rFonts w:hint="eastAsia" w:cs="仿宋_GB2312"/>
          <w:kern w:val="2"/>
          <w:sz w:val="32"/>
          <w:szCs w:val="32"/>
        </w:rPr>
        <w:t>万元。</w:t>
      </w:r>
    </w:p>
    <w:p w14:paraId="69B627B5">
      <w:pPr>
        <w:pStyle w:val="12"/>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118C7CBA">
      <w:pPr>
        <w:rPr>
          <w:rFonts w:ascii="仿宋_GB2312" w:eastAsia="仿宋_GB2312" w:cs="仿宋_GB2312"/>
          <w:sz w:val="32"/>
          <w:szCs w:val="32"/>
        </w:rPr>
      </w:pPr>
    </w:p>
    <w:p w14:paraId="238E297B">
      <w:pPr>
        <w:bidi w:val="0"/>
        <w:rPr>
          <w:rFonts w:ascii="Calibri" w:hAnsi="Calibri" w:eastAsia="宋体" w:cs="Times New Roman"/>
          <w:kern w:val="2"/>
          <w:sz w:val="21"/>
          <w:szCs w:val="22"/>
          <w:lang w:val="en-US" w:eastAsia="zh-CN" w:bidi="ar-SA"/>
        </w:rPr>
      </w:pPr>
    </w:p>
    <w:p w14:paraId="34FC1468">
      <w:pPr>
        <w:bidi w:val="0"/>
        <w:rPr>
          <w:lang w:val="en-US" w:eastAsia="zh-CN"/>
        </w:rPr>
      </w:pPr>
    </w:p>
    <w:p w14:paraId="0165638D">
      <w:pPr>
        <w:bidi w:val="0"/>
        <w:rPr>
          <w:lang w:val="en-US" w:eastAsia="zh-CN"/>
        </w:rPr>
      </w:pPr>
    </w:p>
    <w:p w14:paraId="793D7E0F">
      <w:pPr>
        <w:bidi w:val="0"/>
        <w:rPr>
          <w:lang w:val="en-US" w:eastAsia="zh-CN"/>
        </w:rPr>
      </w:pPr>
    </w:p>
    <w:p w14:paraId="402E6807">
      <w:pPr>
        <w:bidi w:val="0"/>
        <w:rPr>
          <w:lang w:val="en-US" w:eastAsia="zh-CN"/>
        </w:rPr>
      </w:pPr>
    </w:p>
    <w:p w14:paraId="44BF4D7A">
      <w:pPr>
        <w:bidi w:val="0"/>
        <w:rPr>
          <w:lang w:val="en-US" w:eastAsia="zh-CN"/>
        </w:rPr>
      </w:pPr>
    </w:p>
    <w:p w14:paraId="251E1D8E">
      <w:pPr>
        <w:bidi w:val="0"/>
        <w:rPr>
          <w:lang w:val="en-US" w:eastAsia="zh-CN"/>
        </w:rPr>
      </w:pPr>
    </w:p>
    <w:p w14:paraId="66A06661">
      <w:pPr>
        <w:bidi w:val="0"/>
        <w:rPr>
          <w:lang w:val="en-US" w:eastAsia="zh-CN"/>
        </w:rPr>
      </w:pPr>
    </w:p>
    <w:p w14:paraId="4CB12823">
      <w:pPr>
        <w:bidi w:val="0"/>
        <w:rPr>
          <w:lang w:val="en-US" w:eastAsia="zh-CN"/>
        </w:rPr>
      </w:pPr>
    </w:p>
    <w:p w14:paraId="6337F53B">
      <w:pPr>
        <w:bidi w:val="0"/>
        <w:rPr>
          <w:lang w:val="en-US" w:eastAsia="zh-CN"/>
        </w:rPr>
      </w:pPr>
    </w:p>
    <w:p w14:paraId="41F275C3">
      <w:pPr>
        <w:bidi w:val="0"/>
        <w:rPr>
          <w:lang w:val="en-US" w:eastAsia="zh-CN"/>
        </w:rPr>
      </w:pPr>
    </w:p>
    <w:p w14:paraId="0061AA2C">
      <w:pPr>
        <w:bidi w:val="0"/>
        <w:rPr>
          <w:lang w:val="en-US" w:eastAsia="zh-CN"/>
        </w:rPr>
      </w:pPr>
    </w:p>
    <w:p w14:paraId="6F9743FA">
      <w:pPr>
        <w:bidi w:val="0"/>
        <w:rPr>
          <w:lang w:val="en-US" w:eastAsia="zh-CN"/>
        </w:rPr>
      </w:pPr>
    </w:p>
    <w:p w14:paraId="6B463C6D">
      <w:pPr>
        <w:bidi w:val="0"/>
        <w:rPr>
          <w:lang w:val="en-US" w:eastAsia="zh-CN"/>
        </w:rPr>
      </w:pPr>
    </w:p>
    <w:p w14:paraId="780B5690">
      <w:pPr>
        <w:bidi w:val="0"/>
        <w:rPr>
          <w:lang w:val="en-US" w:eastAsia="zh-CN"/>
        </w:rPr>
      </w:pPr>
    </w:p>
    <w:p w14:paraId="373170A0">
      <w:pPr>
        <w:keepNext w:val="0"/>
        <w:keepLines w:val="0"/>
        <w:pageBreakBefore w:val="0"/>
        <w:widowControl w:val="0"/>
        <w:kinsoku/>
        <w:topLinePunct w:val="0"/>
        <w:autoSpaceDE/>
        <w:autoSpaceDN/>
        <w:bidi w:val="0"/>
        <w:spacing w:line="560" w:lineRule="exact"/>
        <w:ind w:firstLine="2730" w:firstLineChars="1300"/>
        <w:rPr>
          <w:rFonts w:hint="eastAsia" w:ascii="仿宋_GB2312" w:eastAsia="仿宋_GB2312"/>
          <w:bCs/>
          <w:sz w:val="32"/>
          <w:szCs w:val="32"/>
          <w:lang w:eastAsia="zh-CN"/>
        </w:rPr>
      </w:pPr>
      <w:r>
        <w:rPr>
          <w:rFonts w:hint="eastAsia"/>
          <w:lang w:val="en-US" w:eastAsia="zh-CN"/>
        </w:rPr>
        <w:tab/>
      </w:r>
      <w:r>
        <w:rPr>
          <w:rFonts w:ascii="仿宋_GB2312" w:eastAsia="仿宋_GB2312" w:cs="仿宋_GB2312"/>
          <w:sz w:val="32"/>
          <w:szCs w:val="32"/>
        </w:rPr>
        <w:tab/>
      </w:r>
      <w:r>
        <w:rPr>
          <w:rFonts w:hint="eastAsia" w:ascii="仿宋_GB2312" w:eastAsia="仿宋_GB2312"/>
          <w:bCs/>
          <w:sz w:val="32"/>
          <w:szCs w:val="32"/>
        </w:rPr>
        <w:t>阿坝州</w:t>
      </w:r>
      <w:r>
        <w:rPr>
          <w:rFonts w:hint="eastAsia" w:ascii="仿宋_GB2312" w:eastAsia="仿宋_GB2312"/>
          <w:bCs/>
          <w:sz w:val="32"/>
          <w:szCs w:val="32"/>
          <w:lang w:eastAsia="zh-CN"/>
        </w:rPr>
        <w:t>人力资源和社会保障局</w:t>
      </w:r>
    </w:p>
    <w:p w14:paraId="734CB9B4">
      <w:pPr>
        <w:keepNext w:val="0"/>
        <w:keepLines w:val="0"/>
        <w:pageBreakBefore w:val="0"/>
        <w:widowControl w:val="0"/>
        <w:kinsoku/>
        <w:topLinePunct w:val="0"/>
        <w:autoSpaceDE/>
        <w:autoSpaceDN/>
        <w:bidi w:val="0"/>
        <w:spacing w:line="560" w:lineRule="exact"/>
        <w:rPr>
          <w:rFonts w:ascii="仿宋_GB2312" w:eastAsia="仿宋_GB2312" w:cs="仿宋_GB2312"/>
          <w:sz w:val="32"/>
          <w:szCs w:val="32"/>
        </w:rPr>
      </w:pPr>
      <w:r>
        <w:rPr>
          <w:rFonts w:hint="eastAsia" w:ascii="仿宋_GB2312" w:eastAsia="仿宋_GB2312"/>
          <w:bCs/>
          <w:sz w:val="32"/>
          <w:szCs w:val="32"/>
        </w:rPr>
        <w:t xml:space="preserve">                       </w:t>
      </w:r>
      <w:r>
        <w:rPr>
          <w:rFonts w:hint="eastAsia" w:ascii="仿宋_GB2312" w:eastAsia="仿宋_GB2312"/>
          <w:bCs/>
          <w:sz w:val="32"/>
          <w:szCs w:val="32"/>
          <w:lang w:val="en-US" w:eastAsia="zh-CN"/>
        </w:rPr>
        <w:t xml:space="preserve"> </w:t>
      </w:r>
      <w:r>
        <w:rPr>
          <w:rFonts w:hint="eastAsia" w:ascii="仿宋_GB2312" w:eastAsia="仿宋_GB2312"/>
          <w:bCs/>
          <w:sz w:val="32"/>
          <w:szCs w:val="32"/>
        </w:rPr>
        <w:t xml:space="preserve"> 202</w:t>
      </w:r>
      <w:r>
        <w:rPr>
          <w:rFonts w:hint="eastAsia" w:ascii="仿宋_GB2312" w:eastAsia="仿宋_GB2312"/>
          <w:bCs/>
          <w:sz w:val="32"/>
          <w:szCs w:val="32"/>
          <w:lang w:val="en-US" w:eastAsia="zh-CN"/>
        </w:rPr>
        <w:t>6</w:t>
      </w:r>
      <w:r>
        <w:rPr>
          <w:rFonts w:hint="eastAsia" w:ascii="仿宋_GB2312" w:eastAsia="仿宋_GB2312"/>
          <w:bCs/>
          <w:sz w:val="32"/>
          <w:szCs w:val="32"/>
        </w:rPr>
        <w:t>年</w:t>
      </w:r>
      <w:r>
        <w:rPr>
          <w:rFonts w:hint="eastAsia" w:ascii="仿宋_GB2312" w:eastAsia="仿宋_GB2312"/>
          <w:bCs/>
          <w:sz w:val="32"/>
          <w:szCs w:val="32"/>
          <w:lang w:val="en-US" w:eastAsia="zh-CN"/>
        </w:rPr>
        <w:t>2</w:t>
      </w:r>
      <w:r>
        <w:rPr>
          <w:rFonts w:hint="eastAsia" w:ascii="仿宋_GB2312" w:eastAsia="仿宋_GB2312"/>
          <w:bCs/>
          <w:sz w:val="32"/>
          <w:szCs w:val="32"/>
        </w:rPr>
        <w:t>月</w:t>
      </w:r>
      <w:r>
        <w:rPr>
          <w:rFonts w:hint="eastAsia" w:ascii="仿宋_GB2312" w:eastAsia="仿宋_GB2312"/>
          <w:bCs/>
          <w:sz w:val="32"/>
          <w:szCs w:val="32"/>
          <w:lang w:val="en-US" w:eastAsia="zh-CN"/>
        </w:rPr>
        <w:t>2</w:t>
      </w:r>
      <w:r>
        <w:rPr>
          <w:rFonts w:hint="eastAsia" w:ascii="仿宋_GB2312" w:eastAsia="仿宋_GB2312"/>
          <w:bCs/>
          <w:sz w:val="32"/>
          <w:szCs w:val="32"/>
        </w:rPr>
        <w:t>日</w:t>
      </w:r>
    </w:p>
    <w:p w14:paraId="1FB24E8E">
      <w:pPr>
        <w:tabs>
          <w:tab w:val="left" w:pos="5213"/>
        </w:tabs>
        <w:bidi w:val="0"/>
        <w:jc w:val="left"/>
        <w:rPr>
          <w:lang w:val="en-US" w:eastAsia="zh-CN"/>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Dotum">
    <w:altName w:val="Malgun Gothic"/>
    <w:panose1 w:val="020B0600000101010101"/>
    <w:charset w:val="81"/>
    <w:family w:val="swiss"/>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CB2EE">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FF8447"/>
    <w:multiLevelType w:val="singleLevel"/>
    <w:tmpl w:val="43FF8447"/>
    <w:lvl w:ilvl="0" w:tentative="0">
      <w:start w:val="1"/>
      <w:numFmt w:val="chineseCounting"/>
      <w:suff w:val="nothing"/>
      <w:lvlText w:val="（%1）"/>
      <w:lvlJc w:val="left"/>
      <w:pPr>
        <w:ind w:left="0" w:firstLine="0"/>
      </w:pPr>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
  <w:rsids>
    <w:rsidRoot w:val="00000000"/>
    <w:rsid w:val="0D490F8E"/>
    <w:rsid w:val="0E3270CE"/>
    <w:rsid w:val="15DF7B3C"/>
    <w:rsid w:val="16DA718D"/>
    <w:rsid w:val="24DA4DCD"/>
    <w:rsid w:val="2CD02561"/>
    <w:rsid w:val="30560313"/>
    <w:rsid w:val="39CA5162"/>
    <w:rsid w:val="41BB153D"/>
    <w:rsid w:val="615734FE"/>
    <w:rsid w:val="615C23AC"/>
    <w:rsid w:val="6A9A316C"/>
    <w:rsid w:val="6EE45E80"/>
    <w:rsid w:val="799043B8"/>
    <w:rsid w:val="7DB9757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paragraph" w:styleId="5">
    <w:name w:val="heading 5"/>
    <w:basedOn w:val="1"/>
    <w:next w:val="1"/>
    <w:qFormat/>
    <w:uiPriority w:val="0"/>
    <w:pPr>
      <w:keepNext/>
      <w:keepLines/>
      <w:widowControl w:val="0"/>
      <w:spacing w:before="280" w:beforeAutospacing="0" w:after="290" w:afterAutospacing="0" w:line="372" w:lineRule="auto"/>
      <w:outlineLvl w:val="4"/>
    </w:pPr>
    <w:rPr>
      <w:b/>
      <w:sz w:val="28"/>
    </w:rPr>
  </w:style>
  <w:style w:type="character" w:default="1" w:styleId="15">
    <w:name w:val="Default Paragraph Font"/>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6">
    <w:name w:val="Body Text Indent"/>
    <w:basedOn w:val="1"/>
    <w:next w:val="7"/>
    <w:qFormat/>
    <w:uiPriority w:val="0"/>
    <w:pPr>
      <w:spacing w:after="120"/>
      <w:ind w:left="200" w:leftChars="200"/>
    </w:pPr>
  </w:style>
  <w:style w:type="paragraph" w:styleId="7">
    <w:name w:val="HTML Preformatted"/>
    <w:next w:val="8"/>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bidi w:val="0"/>
      <w:jc w:val="left"/>
    </w:pPr>
    <w:rPr>
      <w:rFonts w:ascii="宋体" w:hAnsi="Times New Roman" w:eastAsia="宋体" w:cs="宋体"/>
      <w:color w:val="auto"/>
      <w:kern w:val="0"/>
      <w:sz w:val="24"/>
      <w:szCs w:val="24"/>
      <w:lang w:val="en-US" w:eastAsia="zh-CN" w:bidi="ar-SA"/>
    </w:rPr>
  </w:style>
  <w:style w:type="paragraph" w:customStyle="1" w:styleId="8">
    <w:name w:val="HtmlNormal"/>
    <w:qFormat/>
    <w:uiPriority w:val="0"/>
    <w:pPr>
      <w:widowControl/>
      <w:pBdr>
        <w:top w:val="none" w:color="auto" w:sz="0" w:space="0"/>
        <w:left w:val="none" w:color="auto" w:sz="0" w:space="0"/>
        <w:bottom w:val="none" w:color="auto" w:sz="0" w:space="0"/>
        <w:right w:val="none" w:color="auto" w:sz="0" w:space="0"/>
      </w:pBdr>
      <w:kinsoku/>
      <w:wordWrap/>
      <w:overflowPunct/>
      <w:autoSpaceDE/>
      <w:autoSpaceDN/>
      <w:bidi w:val="0"/>
      <w:spacing w:before="100" w:beforeAutospacing="1" w:after="100" w:afterAutospacing="1" w:line="240" w:lineRule="auto"/>
      <w:ind w:left="0" w:right="0" w:firstLine="0"/>
      <w:jc w:val="left"/>
      <w:textAlignment w:val="auto"/>
    </w:pPr>
    <w:rPr>
      <w:rFonts w:ascii="宋体" w:hAnsi="Times New Roman" w:eastAsia="宋体" w:cs="Times New Roman"/>
      <w:color w:val="000000"/>
      <w:kern w:val="0"/>
      <w:position w:val="0"/>
      <w:sz w:val="24"/>
      <w:szCs w:val="21"/>
      <w:lang w:val="en-US" w:eastAsia="zh-CN" w:bidi="ar-SA"/>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next w:val="12"/>
    <w:qFormat/>
    <w:uiPriority w:val="0"/>
    <w:pPr>
      <w:widowControl/>
      <w:spacing w:line="540" w:lineRule="exact"/>
      <w:ind w:firstLine="200" w:firstLineChars="200"/>
      <w:jc w:val="left"/>
    </w:pPr>
    <w:rPr>
      <w:rFonts w:ascii="宋体" w:eastAsia="宋体" w:cs="楷体_GB2312"/>
      <w:bCs/>
      <w:kern w:val="0"/>
      <w:sz w:val="32"/>
      <w:szCs w:val="32"/>
      <w:lang w:val="en-US" w:eastAsia="zh-CN" w:bidi="ar-SA"/>
    </w:rPr>
  </w:style>
  <w:style w:type="paragraph" w:customStyle="1" w:styleId="12">
    <w:name w:val="正文文本1"/>
    <w:basedOn w:val="1"/>
    <w:qFormat/>
    <w:uiPriority w:val="0"/>
    <w:pPr>
      <w:spacing w:before="93"/>
    </w:pPr>
    <w:rPr>
      <w:rFonts w:ascii="仿宋_GB2312" w:eastAsia="仿宋_GB2312"/>
      <w:kern w:val="0"/>
      <w:sz w:val="30"/>
      <w:szCs w:val="20"/>
    </w:rPr>
  </w:style>
  <w:style w:type="paragraph" w:styleId="13">
    <w:name w:val="Body Text First Indent 2"/>
    <w:basedOn w:val="6"/>
    <w:qFormat/>
    <w:uiPriority w:val="0"/>
    <w:pPr>
      <w:ind w:firstLine="200" w:firstLineChars="200"/>
    </w:pPr>
    <w:rPr>
      <w:rFonts w:cs="Arial"/>
    </w:rPr>
  </w:style>
  <w:style w:type="character" w:styleId="16">
    <w:name w:val="Strong"/>
    <w:basedOn w:val="15"/>
    <w:qFormat/>
    <w:uiPriority w:val="0"/>
    <w:rPr>
      <w:b/>
    </w:rPr>
  </w:style>
  <w:style w:type="paragraph" w:customStyle="1" w:styleId="17">
    <w:name w:val="图表目录1"/>
    <w:basedOn w:val="1"/>
    <w:next w:val="1"/>
    <w:qFormat/>
    <w:uiPriority w:val="0"/>
    <w:pPr>
      <w:ind w:left="400" w:leftChars="200" w:hanging="200" w:hangingChars="200"/>
    </w:pPr>
    <w:rPr>
      <w:szCs w:val="22"/>
    </w:rPr>
  </w:style>
  <w:style w:type="paragraph" w:styleId="18">
    <w:name w:val="List Paragraph"/>
    <w:basedOn w:val="1"/>
    <w:qFormat/>
    <w:uiPriority w:val="0"/>
    <w:pPr>
      <w:ind w:firstLine="200" w:firstLineChars="200"/>
    </w:pPr>
  </w:style>
  <w:style w:type="character" w:customStyle="1" w:styleId="19">
    <w:name w:val="NormalCharacter"/>
    <w:autoRedefine/>
    <w:qFormat/>
    <w:uiPriority w:val="0"/>
  </w:style>
  <w:style w:type="character" w:customStyle="1" w:styleId="20">
    <w:name w:val="默认段落字体1"/>
    <w:qFormat/>
    <w:uiPriority w:val="0"/>
    <w:rPr>
      <w:sz w:val="22"/>
    </w:rPr>
  </w:style>
  <w:style w:type="paragraph" w:customStyle="1" w:styleId="21">
    <w:name w:val="列出段落1"/>
    <w:qFormat/>
    <w:uiPriority w:val="0"/>
    <w:pPr>
      <w:widowControl w:val="0"/>
      <w:ind w:firstLine="200" w:firstLineChars="200"/>
      <w:jc w:val="both"/>
    </w:pPr>
    <w:rPr>
      <w:rFonts w:ascii="Times New Roman" w:hAnsi="Times New Roman" w:eastAsia="宋体" w:cs="Times New Roman"/>
      <w:kern w:val="2"/>
      <w:sz w:val="21"/>
      <w:szCs w:val="20"/>
      <w:lang w:val="en-US" w:eastAsia="zh-CN" w:bidi="ar-SA"/>
    </w:rPr>
  </w:style>
  <w:style w:type="paragraph" w:customStyle="1" w:styleId="2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25</Pages>
  <Words>12267</Words>
  <Characters>12803</Characters>
  <Lines>400</Lines>
  <Paragraphs>64</Paragraphs>
  <TotalTime>34</TotalTime>
  <ScaleCrop>false</ScaleCrop>
  <LinksUpToDate>false</LinksUpToDate>
  <CharactersWithSpaces>12906</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WPS_1544932437</cp:lastModifiedBy>
  <cp:lastPrinted>2025-02-20T07:05:00Z</cp:lastPrinted>
  <dcterms:modified xsi:type="dcterms:W3CDTF">2026-04-27T07:59:00Z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eyJoZGlkIjoiYTBkODQxZGJhZmQyN2M5ZGFmMTUwM2QxY2MxNTdlZjEiLCJ1c2VySWQiOiI0NDQ3NTEyNTgifQ==</vt:lpwstr>
  </property>
  <property fmtid="{D5CDD505-2E9C-101B-9397-08002B2CF9AE}" pid="4" name="ICV">
    <vt:lpwstr>969D7549AA2E4201A25D71A8C5437F47_13</vt:lpwstr>
  </property>
</Properties>
</file>