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51AF5">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96597"/>
      <w:bookmarkStart w:id="1" w:name="_Toc15377193"/>
      <w:bookmarkStart w:id="2" w:name="_Toc15306267"/>
      <w:bookmarkStart w:id="3" w:name="_Toc15377425"/>
      <w:bookmarkStart w:id="4" w:name="_Toc15396475"/>
      <w:bookmarkStart w:id="5" w:name="_Toc15378441"/>
    </w:p>
    <w:p w14:paraId="0E6C1299">
      <w:pPr>
        <w:pStyle w:val="2"/>
        <w:rPr>
          <w:rFonts w:hint="eastAsia" w:ascii="Times New Roman" w:hAnsi="Times New Roman" w:eastAsia="方正小标宋简体" w:cs="Times New Roman"/>
          <w:color w:val="auto"/>
          <w:kern w:val="2"/>
          <w:sz w:val="72"/>
          <w:szCs w:val="72"/>
          <w:highlight w:val="none"/>
          <w:lang w:val="en-US" w:eastAsia="zh-CN" w:bidi="ar-SA"/>
        </w:rPr>
      </w:pPr>
    </w:p>
    <w:p w14:paraId="792D7DB9">
      <w:pPr>
        <w:pStyle w:val="2"/>
        <w:rPr>
          <w:rFonts w:hint="eastAsia" w:ascii="Times New Roman" w:hAnsi="Times New Roman" w:eastAsia="方正小标宋简体" w:cs="Times New Roman"/>
          <w:color w:val="auto"/>
          <w:kern w:val="2"/>
          <w:sz w:val="72"/>
          <w:szCs w:val="72"/>
          <w:highlight w:val="none"/>
          <w:lang w:val="en-US" w:eastAsia="zh-CN" w:bidi="ar-SA"/>
        </w:rPr>
      </w:pPr>
    </w:p>
    <w:p w14:paraId="458714F0">
      <w:pPr>
        <w:pStyle w:val="2"/>
        <w:jc w:val="center"/>
        <w:rPr>
          <w:rFonts w:hint="eastAsia" w:ascii="Times New Roman" w:hAnsi="Times New Roman" w:eastAsia="方正小标宋简体" w:cs="Times New Roman"/>
          <w:b/>
          <w:bCs/>
          <w:color w:val="auto"/>
          <w:kern w:val="2"/>
          <w:sz w:val="48"/>
          <w:szCs w:val="48"/>
          <w:highlight w:val="none"/>
          <w:lang w:val="en-US" w:eastAsia="zh-CN" w:bidi="ar-SA"/>
        </w:rPr>
      </w:pPr>
      <w:r>
        <w:rPr>
          <w:rFonts w:hint="eastAsia" w:ascii="Times New Roman" w:hAnsi="Times New Roman" w:eastAsia="方正小标宋简体" w:cs="Times New Roman"/>
          <w:b/>
          <w:bCs/>
          <w:color w:val="auto"/>
          <w:kern w:val="2"/>
          <w:sz w:val="48"/>
          <w:szCs w:val="48"/>
          <w:highlight w:val="none"/>
          <w:lang w:val="en-US" w:eastAsia="zh-CN" w:bidi="ar-SA"/>
        </w:rPr>
        <w:t>2024年度</w:t>
      </w:r>
    </w:p>
    <w:p w14:paraId="674490D4">
      <w:pPr>
        <w:pStyle w:val="2"/>
        <w:jc w:val="center"/>
        <w:rPr>
          <w:rFonts w:ascii="Times New Roman" w:hAnsi="Times New Roman" w:eastAsia="方正小标宋简体" w:cs="Times New Roman"/>
          <w:b/>
          <w:bCs/>
          <w:color w:val="auto"/>
          <w:kern w:val="2"/>
          <w:sz w:val="48"/>
          <w:szCs w:val="48"/>
          <w:highlight w:val="none"/>
          <w:lang w:val="en-US" w:eastAsia="zh-CN" w:bidi="ar-SA"/>
        </w:rPr>
      </w:pPr>
      <w:r>
        <w:rPr>
          <w:rFonts w:ascii="Times New Roman" w:hAnsi="Times New Roman" w:eastAsia="方正小标宋简体" w:cs="Times New Roman"/>
          <w:b/>
          <w:bCs/>
          <w:color w:val="auto"/>
          <w:kern w:val="2"/>
          <w:sz w:val="48"/>
          <w:szCs w:val="48"/>
          <w:highlight w:val="none"/>
          <w:lang w:val="en-US" w:eastAsia="zh-CN" w:bidi="ar-SA"/>
        </w:rPr>
        <w:t>四川</w:t>
      </w:r>
      <w:r>
        <w:rPr>
          <w:rFonts w:hint="eastAsia" w:ascii="Times New Roman" w:hAnsi="Times New Roman" w:eastAsia="方正小标宋简体" w:cs="Times New Roman"/>
          <w:b/>
          <w:bCs/>
          <w:color w:val="auto"/>
          <w:kern w:val="2"/>
          <w:sz w:val="48"/>
          <w:szCs w:val="48"/>
          <w:highlight w:val="none"/>
          <w:lang w:val="en-US" w:eastAsia="zh-CN" w:bidi="ar-SA"/>
        </w:rPr>
        <w:t>省</w:t>
      </w:r>
      <w:r>
        <w:rPr>
          <w:rFonts w:ascii="Times New Roman" w:hAnsi="Times New Roman" w:eastAsia="方正小标宋简体" w:cs="Times New Roman"/>
          <w:b/>
          <w:bCs/>
          <w:color w:val="auto"/>
          <w:kern w:val="2"/>
          <w:sz w:val="48"/>
          <w:szCs w:val="48"/>
          <w:highlight w:val="none"/>
          <w:lang w:val="en-US" w:eastAsia="zh-CN" w:bidi="ar-SA"/>
        </w:rPr>
        <w:t>阿坝州人力资源和社会保障局</w:t>
      </w:r>
    </w:p>
    <w:p w14:paraId="53EDCC8A">
      <w:pPr>
        <w:pStyle w:val="2"/>
        <w:jc w:val="center"/>
        <w:rPr>
          <w:rFonts w:hint="eastAsia" w:ascii="Times New Roman" w:hAnsi="Times New Roman" w:eastAsia="方正小标宋简体" w:cs="Times New Roman"/>
          <w:b/>
          <w:bCs/>
          <w:color w:val="auto"/>
          <w:kern w:val="2"/>
          <w:sz w:val="48"/>
          <w:szCs w:val="48"/>
          <w:highlight w:val="none"/>
          <w:lang w:val="en-US" w:eastAsia="zh-CN" w:bidi="ar-SA"/>
        </w:rPr>
      </w:pPr>
      <w:r>
        <w:rPr>
          <w:rFonts w:hint="eastAsia" w:ascii="Times New Roman" w:eastAsia="方正小标宋简体" w:cs="Times New Roman"/>
          <w:b/>
          <w:bCs/>
          <w:color w:val="auto"/>
          <w:kern w:val="2"/>
          <w:sz w:val="48"/>
          <w:szCs w:val="48"/>
          <w:highlight w:val="none"/>
          <w:lang w:val="en-US" w:eastAsia="zh-CN" w:bidi="ar-SA"/>
        </w:rPr>
        <w:t xml:space="preserve">部 门 </w:t>
      </w:r>
      <w:r>
        <w:rPr>
          <w:rFonts w:hint="eastAsia" w:ascii="Times New Roman" w:hAnsi="Times New Roman" w:eastAsia="方正小标宋简体" w:cs="Times New Roman"/>
          <w:b/>
          <w:bCs/>
          <w:color w:val="auto"/>
          <w:kern w:val="2"/>
          <w:sz w:val="48"/>
          <w:szCs w:val="48"/>
          <w:highlight w:val="none"/>
          <w:lang w:val="en-US" w:eastAsia="zh-CN" w:bidi="ar-SA"/>
        </w:rPr>
        <w:t>决</w:t>
      </w:r>
      <w:r>
        <w:rPr>
          <w:rFonts w:hint="eastAsia" w:ascii="Times New Roman" w:eastAsia="方正小标宋简体" w:cs="Times New Roman"/>
          <w:b/>
          <w:bCs/>
          <w:color w:val="auto"/>
          <w:kern w:val="2"/>
          <w:sz w:val="48"/>
          <w:szCs w:val="48"/>
          <w:highlight w:val="none"/>
          <w:lang w:val="en-US" w:eastAsia="zh-CN" w:bidi="ar-SA"/>
        </w:rPr>
        <w:t xml:space="preserve"> </w:t>
      </w:r>
      <w:r>
        <w:rPr>
          <w:rFonts w:hint="eastAsia" w:ascii="Times New Roman" w:hAnsi="Times New Roman" w:eastAsia="方正小标宋简体" w:cs="Times New Roman"/>
          <w:b/>
          <w:bCs/>
          <w:color w:val="auto"/>
          <w:kern w:val="2"/>
          <w:sz w:val="48"/>
          <w:szCs w:val="48"/>
          <w:highlight w:val="none"/>
          <w:lang w:val="en-US" w:eastAsia="zh-CN" w:bidi="ar-SA"/>
        </w:rPr>
        <w:t>算</w:t>
      </w:r>
    </w:p>
    <w:p w14:paraId="2D14AA50">
      <w:pPr>
        <w:pStyle w:val="22"/>
        <w:rPr>
          <w:rFonts w:ascii="Times New Roman" w:hAnsi="Times New Roman"/>
          <w:b/>
          <w:bCs/>
          <w:sz w:val="48"/>
          <w:szCs w:val="48"/>
        </w:rPr>
        <w:sectPr>
          <w:footerReference r:id="rId5" w:type="first"/>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bookmarkEnd w:id="0"/>
    <w:bookmarkEnd w:id="1"/>
    <w:bookmarkEnd w:id="2"/>
    <w:bookmarkEnd w:id="3"/>
    <w:bookmarkEnd w:id="4"/>
    <w:bookmarkEnd w:id="5"/>
    <w:p w14:paraId="457A3EE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1D74C0B7">
      <w:pPr>
        <w:widowControl/>
        <w:jc w:val="center"/>
        <w:rPr>
          <w:rFonts w:ascii="Times New Roman" w:hAnsi="Times New Roman" w:eastAsia="黑体" w:cs="Arial"/>
          <w:color w:val="auto"/>
          <w:sz w:val="28"/>
          <w:szCs w:val="28"/>
          <w:highlight w:val="none"/>
        </w:rPr>
      </w:pPr>
    </w:p>
    <w:p w14:paraId="144FF63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w:t>
      </w:r>
      <w:r>
        <w:rPr>
          <w:rFonts w:hint="eastAsia" w:asci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w:t>
      </w:r>
      <w:r>
        <w:rPr>
          <w:rFonts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eastAsia="仿宋_GB2312" w:cs="仿宋_GB2312"/>
          <w:color w:val="auto"/>
          <w:sz w:val="32"/>
          <w:szCs w:val="32"/>
          <w:highlight w:val="none"/>
          <w:lang w:val="en-US" w:eastAsia="zh-CN"/>
        </w:rPr>
        <w:t>19</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日</w:t>
      </w:r>
    </w:p>
    <w:p w14:paraId="353903F7">
      <w:pPr>
        <w:rPr>
          <w:rFonts w:ascii="Times New Roman" w:hAnsi="Times New Roman"/>
          <w:color w:val="auto"/>
          <w:highlight w:val="none"/>
        </w:rPr>
      </w:pPr>
    </w:p>
    <w:p w14:paraId="52AB7BF4">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...................................................................1</w:t>
      </w:r>
    </w:p>
    <w:p w14:paraId="61F51E2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ascii="Times New Roman" w:hAnsi="Times New Roman" w:eastAsia="黑体" w:cs="黑体"/>
          <w:color w:val="auto"/>
          <w:sz w:val="32"/>
          <w:szCs w:val="32"/>
          <w:highlight w:val="none"/>
          <w:lang w:val="en-US" w:eastAsia="zh-CN"/>
        </w:rPr>
        <w:t>.....................................................................1</w:t>
      </w:r>
    </w:p>
    <w:p w14:paraId="0D2F0C0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二、机构设置</w:t>
      </w:r>
      <w:r>
        <w:rPr>
          <w:rFonts w:hint="eastAsia" w:ascii="Times New Roman" w:hAnsi="Times New Roman" w:eastAsia="黑体" w:cs="黑体"/>
          <w:color w:val="auto"/>
          <w:sz w:val="32"/>
          <w:szCs w:val="32"/>
          <w:highlight w:val="none"/>
          <w:lang w:val="en-US" w:eastAsia="zh-CN"/>
        </w:rPr>
        <w:t>.....................................................................5</w:t>
      </w:r>
    </w:p>
    <w:p w14:paraId="1AB04913">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..................................6</w:t>
      </w:r>
    </w:p>
    <w:p w14:paraId="43AD937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一、收入支出决算总体情况说明</w:t>
      </w:r>
      <w:r>
        <w:rPr>
          <w:rFonts w:hint="eastAsia" w:ascii="Times New Roman" w:hAnsi="Times New Roman" w:eastAsia="黑体" w:cs="黑体"/>
          <w:color w:val="auto"/>
          <w:sz w:val="32"/>
          <w:szCs w:val="32"/>
          <w:highlight w:val="none"/>
          <w:lang w:val="en-US" w:eastAsia="zh-CN"/>
        </w:rPr>
        <w:t>....................................6</w:t>
      </w:r>
    </w:p>
    <w:p w14:paraId="2D07FD2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二、收入决算情况说明</w:t>
      </w:r>
      <w:r>
        <w:rPr>
          <w:rFonts w:hint="eastAsia" w:ascii="Times New Roman" w:hAnsi="Times New Roman" w:eastAsia="黑体" w:cs="黑体"/>
          <w:color w:val="auto"/>
          <w:sz w:val="32"/>
          <w:szCs w:val="32"/>
          <w:highlight w:val="none"/>
          <w:lang w:val="en-US" w:eastAsia="zh-CN"/>
        </w:rPr>
        <w:t>....................................................6</w:t>
      </w:r>
    </w:p>
    <w:p w14:paraId="1FA58BB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三、支出决算情况说明</w:t>
      </w:r>
      <w:r>
        <w:rPr>
          <w:rFonts w:hint="eastAsia" w:ascii="Times New Roman" w:hAnsi="Times New Roman" w:eastAsia="黑体" w:cs="黑体"/>
          <w:color w:val="auto"/>
          <w:sz w:val="32"/>
          <w:szCs w:val="32"/>
          <w:highlight w:val="none"/>
          <w:lang w:val="en-US" w:eastAsia="zh-CN"/>
        </w:rPr>
        <w:t>....................................................7</w:t>
      </w:r>
    </w:p>
    <w:p w14:paraId="0776448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....................8</w:t>
      </w:r>
    </w:p>
    <w:p w14:paraId="43A6C92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............9</w:t>
      </w:r>
    </w:p>
    <w:p w14:paraId="10F301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..12</w:t>
      </w:r>
    </w:p>
    <w:p w14:paraId="5D77FED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..........13</w:t>
      </w:r>
    </w:p>
    <w:p w14:paraId="5127E86E">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......................15</w:t>
      </w:r>
    </w:p>
    <w:p w14:paraId="202B0D8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..................15</w:t>
      </w:r>
    </w:p>
    <w:p w14:paraId="1319E04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......................................15</w:t>
      </w:r>
    </w:p>
    <w:p w14:paraId="40DF4097">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eastAsia="黑体" w:cs="黑体"/>
          <w:color w:val="auto"/>
          <w:sz w:val="32"/>
          <w:szCs w:val="32"/>
          <w:highlight w:val="none"/>
          <w:lang w:val="en-US" w:eastAsia="zh-CN"/>
        </w:rPr>
        <w:t>................................................................17</w:t>
      </w:r>
    </w:p>
    <w:p w14:paraId="33B8EF5B">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eastAsia="黑体" w:cs="黑体"/>
          <w:color w:val="auto"/>
          <w:sz w:val="32"/>
          <w:szCs w:val="32"/>
          <w:highlight w:val="none"/>
          <w:lang w:val="en-US" w:eastAsia="zh-CN"/>
        </w:rPr>
        <w:t>........................................................................20</w:t>
      </w:r>
    </w:p>
    <w:p w14:paraId="79F4A5C3">
      <w:pPr>
        <w:pStyle w:val="13"/>
        <w:keepNext w:val="0"/>
        <w:keepLines w:val="0"/>
        <w:pageBreakBefore w:val="0"/>
        <w:widowControl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eastAsia="黑体" w:cs="黑体"/>
          <w:color w:val="auto"/>
          <w:sz w:val="32"/>
          <w:szCs w:val="32"/>
          <w:highlight w:val="none"/>
          <w:lang w:val="en-US" w:eastAsia="zh-CN"/>
        </w:rPr>
        <w:t>........................................................................86</w:t>
      </w:r>
    </w:p>
    <w:p w14:paraId="513647C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p>
    <w:p w14:paraId="64AE9EA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4DB1D1D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21AFF79C">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四、财政拨款收入支出决算总表</w:t>
      </w:r>
    </w:p>
    <w:p w14:paraId="4B9C64E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五、财政拨款支出决算明细表</w:t>
      </w:r>
    </w:p>
    <w:p w14:paraId="02E588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705E643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2AE66773">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51A9A29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7623AFD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十、政府性基金预算财政拨款收入支出决算表</w:t>
      </w:r>
    </w:p>
    <w:p w14:paraId="6B0751B7">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十一、国有资本经营预算财政拨款收入支出决算表</w:t>
      </w:r>
    </w:p>
    <w:p w14:paraId="037B52C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6326DB14">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十三、财政拨款“三公”经费支出决算表</w:t>
      </w:r>
    </w:p>
    <w:p w14:paraId="0FADE4CC">
      <w:pPr>
        <w:pStyle w:val="4"/>
        <w:jc w:val="center"/>
        <w:rPr>
          <w:rFonts w:hint="eastAsia" w:ascii="Times New Roman" w:hAnsi="Times New Roman" w:eastAsia="方正小标宋简体" w:cs="方正小标宋简体"/>
          <w:b w:val="0"/>
          <w:color w:val="auto"/>
          <w:highlight w:val="none"/>
        </w:rPr>
        <w:sectPr>
          <w:footerReference r:id="rId7" w:type="first"/>
          <w:footerReference r:id="rId6" w:type="default"/>
          <w:pgSz w:w="11906" w:h="16838"/>
          <w:pgMar w:top="1440" w:right="1800" w:bottom="1440" w:left="1800" w:header="851" w:footer="992" w:gutter="0"/>
          <w:pgNumType w:fmt="numberInDash" w:start="1"/>
          <w:cols w:space="720" w:num="1"/>
          <w:docGrid w:type="lines" w:linePitch="312" w:charSpace="0"/>
        </w:sectPr>
      </w:pPr>
      <w:bookmarkStart w:id="6" w:name="_Toc15377196"/>
      <w:bookmarkStart w:id="7" w:name="_Toc15396599"/>
    </w:p>
    <w:p w14:paraId="56EB60DC">
      <w:pPr>
        <w:pStyle w:val="4"/>
        <w:jc w:val="center"/>
        <w:rPr>
          <w:rStyle w:val="2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0"/>
          <w:rFonts w:hint="eastAsia" w:ascii="Times New Roman" w:hAnsi="Times New Roman" w:eastAsia="方正小标宋简体" w:cs="方正小标宋简体"/>
          <w:b w:val="0"/>
          <w:bCs w:val="0"/>
          <w:color w:val="auto"/>
          <w:highlight w:val="none"/>
        </w:rPr>
        <w:t>部门概况</w:t>
      </w:r>
      <w:bookmarkEnd w:id="6"/>
      <w:bookmarkEnd w:id="7"/>
    </w:p>
    <w:p w14:paraId="75BF0C75">
      <w:pPr>
        <w:widowControl/>
        <w:jc w:val="left"/>
        <w:rPr>
          <w:rFonts w:ascii="Times New Roman" w:hAnsi="Times New Roman" w:eastAsia="黑体"/>
          <w:color w:val="auto"/>
          <w:sz w:val="32"/>
          <w:szCs w:val="32"/>
          <w:highlight w:val="none"/>
        </w:rPr>
      </w:pPr>
    </w:p>
    <w:p w14:paraId="199BFC95">
      <w:pPr>
        <w:pStyle w:val="5"/>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24DC0EA1">
      <w:pPr>
        <w:snapToGrid w:val="0"/>
        <w:spacing w:line="520" w:lineRule="exact"/>
        <w:ind w:firstLine="420" w:firstLineChars="200"/>
        <w:rPr>
          <w:rFonts w:ascii="仿宋_GB2312" w:eastAsia="仿宋_GB2312"/>
          <w:sz w:val="32"/>
          <w:szCs w:val="32"/>
          <w:highlight w:val="none"/>
          <w:lang w:val="en-US" w:eastAsia="zh-CN"/>
        </w:rPr>
      </w:pPr>
      <w:r>
        <w:rPr>
          <w:rFonts w:hint="eastAsia"/>
          <w:lang w:val="en-US" w:eastAsia="zh-CN"/>
        </w:rPr>
        <w:t xml:space="preserve">    </w:t>
      </w:r>
      <w:r>
        <w:rPr>
          <w:rFonts w:hint="eastAsia" w:ascii="仿宋_GB2312" w:eastAsia="仿宋_GB2312"/>
          <w:sz w:val="32"/>
          <w:szCs w:val="32"/>
          <w:highlight w:val="none"/>
          <w:lang w:val="en-US" w:eastAsia="zh-CN"/>
        </w:rPr>
        <w:t>1、拟订人力资源和社会保障事业发展政策、规划，起草相关民族自治法规和规范性文件草案。2、拟订人力资源市场发展规划和人力资源服务业发展、人力资源流动政策，促进人力资源合理流动、有效配置。3、负责促进就业工作，拟订统筹城乡的就业发展规划和政策，完善公共就业创业服务体系，统筹建立面向城乡劳动者的职业技能培训制度，拟订并组织落实创业、就业援助制度，牵头拟订高校毕业生就业政策。4、统筹推进建立覆盖城乡的多层次社会保障体系。拟订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5、负责就业、失业和相关社会保险基金预测预警和信息引导，拟订应对预案，实施预防、调节和控制，保持就业形势稳定和相关社会保险基金总体收支平衡。6、统筹拟订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7、牵头推进深化职称制度改革，拟订专业技术人员管理、继续教育和博士后管理等政策，负责高层次专业技术人才选拔和培养工作，贯彻落实吸引留学人员来州（回州）工作或定居政策。组织拟订技能人才培养、评价、使用和激励制度。贯彻落实职业资格制度，健全职业技能多元化评价政策。指导、监督各级各类技工学校、民办职业培训机构按国家和省、州有关规定履行安全管理责任。8、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9、组织实施国家表彰奖励制度，综合管理政府表彰奖励工作，承担评比达标表彰等工作，根据授权承办以州委、州政府名义开展的表彰奖励活动。承办提请州人大常委会和州政府决定的人事任免事项。10、会同有关部门拟订事业单位人员工资收入分配政策，建立企事业单位人员工资决定、正常增长和支付保障机制。拟订企事业单位人员福利和离退休政策。11、会同有关部门拟订农民工工作的综合性政策和规划，推动相关政策落实，协调解决重点难点问题，维护农民工合法权益。负责将安全生产纳入农民工技能培训内容。12、负责人力资源和社会保障领域内的对外交流与合作工作。13、承担职责范围内的安全生产和职业健康、生态环境保护、审批服务便民化等工作。14.统筹拟订劳动、人事争议调解仲裁制度和劳动关系政策并组织和监督实施，完善劳动关系协调机制，贯彻企业职工工作时间、休息休假制度、消除非法使用童工政策和女工、未成年工的特殊劳动保护政策，组织实施劳动监察，协调劳动者维权工作，依法查处重大案件。15、完成州委、州政府交办的其他任务。16、职能转变。深入推进简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17、有关职责分工。与州教育局的有关职责分工。高校毕业生就业政策由州人力资源社会保障局牵头，会同州教育局等部门拟订。高校毕业生离校前的就业指导和服务工作，由州教育局负责；高校毕业生离校后的就业指导和服务工作，由州人力资源社会保障局负责。18、负责阿坝州劳动人事争议仲裁委员会的日常工作； 依法处理州本级管理范围内的劳动争议案件及上级交办、外地委托的案件;根据阿坝州劳动人事争议仲裁委员会授权，负责仲裁员的培训、考核、聘任工作,并对全州仲裁员调解员进行管理；参与调解和仲裁涉及劳动人事突发事件、群体、疑难及重大案件; 承担本行政区域内企业及职工开展劳动人事争议预防工作和处理程序方面的法律、法规、政策知识宣传和培训工作。19、负责宣传人力资源和社会保障政策、法规、 规章、制度；受理人力资源和社会保障举报、投诉；负责完善人力资源和社会保障政策法规知识库，并提供咨询服务；负责收集人力资源和社会保障业务办理流程并录入系统，引导群众按流程办理相关人社业务；负责有关人事招录方面的咨询服务；负责养老、失业、工伤保险和职业年金的参保缴费和待遇领取等信息的电话查询服务，负责个人社保权益的电话查询服务；负责惠民惠农财政补贴资金社会保障卡“一卡通”和社会保障卡业务办理查询服务。20、贯彻执行国家和人力资源社会保障部信息化建设有关法律、法规和技术规范，严格执行数据的定义、标准和分类，确保人力资源和社会保障信息化建设和数据符合国家统一要求；建立健全各项规章制度和应急预案；负责全州人力资源社会保障信息系统建设和业务数据管理维护；负责信息化建设硬件设备预算采购、配备等工作；负责人力资源社会保障公共服务系统建设；负责社会保障卡跨地区、跨部门推广应用和数据交换；负责社会保障卡“一卡通”信息系统运行、管理、维护；负责社会保障卡的信息采集、制作、发放、密码重置、密码修改、激活等业务；推进社会保障卡功能拓展应 用；组织开展社会保障卡宣传和业务培训；承担局信息化领导小组办公室的日常工作；指导各县（市）完成信息化建设、信息系统应用和相关业务工作。21、承担各类执业（职业）资格考试、专业技术资格考试、事业单位公开招聘考试、社会化考试的组织实施工作，协助做好公务员录用、公开遴选、公开选调等考试的考务组织工作。22、贯彻执行《中华人民共和国档案法》等档案法律法 规，向社会各界和群众无偿提供档案查阅利用服务；建立健全局机关档案工作规章制度；负责局机关档案收集、整理、保管、统计、利用服务和期满档案移交工作；统一代管局属各事业单位和经办机构档案。</w:t>
      </w:r>
    </w:p>
    <w:p w14:paraId="47ECAF22">
      <w:pPr>
        <w:numPr>
          <w:ilvl w:val="0"/>
          <w:numId w:val="0"/>
        </w:numPr>
        <w:rPr>
          <w:rFonts w:hint="default"/>
          <w:lang w:val="en-US" w:eastAsia="zh-CN"/>
        </w:rPr>
      </w:pPr>
    </w:p>
    <w:p w14:paraId="35CF1F2D">
      <w:pPr>
        <w:pStyle w:val="5"/>
        <w:rPr>
          <w:rStyle w:val="21"/>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21"/>
          <w:rFonts w:hint="eastAsia" w:ascii="Times New Roman" w:hAnsi="Times New Roman" w:eastAsia="黑体"/>
          <w:b w:val="0"/>
          <w:bCs w:val="0"/>
          <w:color w:val="auto"/>
          <w:highlight w:val="none"/>
        </w:rPr>
        <w:t>构设置</w:t>
      </w:r>
      <w:bookmarkEnd w:id="8"/>
      <w:bookmarkEnd w:id="9"/>
    </w:p>
    <w:p w14:paraId="21B22F03">
      <w:pPr>
        <w:ind w:firstLine="800" w:firstLineChars="250"/>
        <w:rPr>
          <w:rFonts w:hint="eastAsia" w:ascii="Times New Roman" w:hAnsi="Times New Roman" w:eastAsia="仿宋_GB2312" w:cs="仿宋_GB2312"/>
          <w:color w:val="auto"/>
          <w:sz w:val="32"/>
          <w:szCs w:val="32"/>
          <w:highlight w:val="none"/>
        </w:rPr>
      </w:pPr>
      <w:r>
        <w:rPr>
          <w:rFonts w:hint="eastAsia" w:ascii="仿宋_GB2312" w:eastAsia="仿宋_GB2312" w:cs="仿宋_GB2312"/>
          <w:color w:val="auto"/>
          <w:sz w:val="32"/>
          <w:szCs w:val="32"/>
          <w:highlight w:val="none"/>
        </w:rPr>
        <w:t>阿坝藏族羌族自治州人力资源和社会保障局</w:t>
      </w:r>
      <w:r>
        <w:rPr>
          <w:rFonts w:hint="eastAsia" w:ascii="Times New Roman" w:hAnsi="Times New Roman" w:eastAsia="仿宋_GB2312" w:cs="仿宋_GB2312"/>
          <w:color w:val="auto"/>
          <w:sz w:val="32"/>
          <w:szCs w:val="32"/>
          <w:highlight w:val="none"/>
        </w:rPr>
        <w:t>下属二级</w:t>
      </w:r>
      <w:r>
        <w:rPr>
          <w:rFonts w:hint="eastAsia" w:ascii="Times New Roman" w:hAnsi="Times New Roman" w:eastAsia="仿宋_GB2312" w:cs="仿宋_GB2312"/>
          <w:color w:val="auto"/>
          <w:sz w:val="32"/>
          <w:szCs w:val="32"/>
          <w:highlight w:val="none"/>
          <w:lang w:eastAsia="zh-CN"/>
        </w:rPr>
        <w:t>预算</w:t>
      </w:r>
      <w:r>
        <w:rPr>
          <w:rFonts w:hint="eastAsia" w:ascii="Times New Roman" w:hAnsi="Times New Roman" w:eastAsia="仿宋_GB2312" w:cs="仿宋_GB2312"/>
          <w:color w:val="auto"/>
          <w:sz w:val="32"/>
          <w:szCs w:val="32"/>
          <w:highlight w:val="none"/>
        </w:rPr>
        <w:t>单位</w:t>
      </w:r>
      <w:r>
        <w:rPr>
          <w:rFonts w:hint="eastAsia"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rPr>
        <w:t>个，其中行政单位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个，参照公务员法管理的事业单位</w:t>
      </w:r>
      <w:r>
        <w:rPr>
          <w:rFonts w:hint="eastAsia"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个，其他事业单位</w:t>
      </w:r>
      <w:r>
        <w:rPr>
          <w:rFonts w:hint="eastAsia" w:eastAsia="仿宋_GB2312" w:cs="仿宋_GB2312"/>
          <w:color w:val="auto"/>
          <w:sz w:val="32"/>
          <w:szCs w:val="32"/>
          <w:highlight w:val="none"/>
          <w:lang w:val="en-US" w:eastAsia="zh-CN"/>
        </w:rPr>
        <w:t>1</w:t>
      </w:r>
      <w:r>
        <w:rPr>
          <w:rFonts w:hint="eastAsia" w:ascii="Times New Roman" w:hAnsi="Times New Roman" w:eastAsia="仿宋_GB2312" w:cs="仿宋_GB2312"/>
          <w:color w:val="auto"/>
          <w:sz w:val="32"/>
          <w:szCs w:val="32"/>
          <w:highlight w:val="none"/>
        </w:rPr>
        <w:t>个。</w:t>
      </w:r>
    </w:p>
    <w:p w14:paraId="4D2267C3">
      <w:pPr>
        <w:pStyle w:val="2"/>
        <w:adjustRightInd w:val="0"/>
        <w:snapToGrid w:val="0"/>
        <w:spacing w:before="93" w:beforeLines="0" w:line="600" w:lineRule="exact"/>
        <w:ind w:firstLine="668" w:firstLineChars="209"/>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纳入</w:t>
      </w:r>
      <w:r>
        <w:rPr>
          <w:sz w:val="32"/>
          <w:szCs w:val="32"/>
        </w:rPr>
        <w:t>阿坝藏族羌族自治州人力资源和社会保障局（本级）</w:t>
      </w:r>
      <w:r>
        <w:rPr>
          <w:rFonts w:hint="eastAsia" w:ascii="Times New Roman" w:hAnsi="Times New Roman" w:eastAsia="仿宋_GB2312" w:cs="仿宋_GB2312"/>
          <w:color w:val="auto"/>
          <w:sz w:val="32"/>
          <w:szCs w:val="32"/>
          <w:highlight w:val="none"/>
          <w:lang w:eastAsia="zh-CN"/>
        </w:rPr>
        <w:t>2024年度</w:t>
      </w:r>
      <w:r>
        <w:rPr>
          <w:rFonts w:hint="eastAsia" w:ascii="Times New Roman" w:hAnsi="Times New Roman" w:eastAsia="仿宋_GB2312" w:cs="仿宋_GB2312"/>
          <w:color w:val="auto"/>
          <w:sz w:val="32"/>
          <w:szCs w:val="32"/>
          <w:highlight w:val="none"/>
        </w:rPr>
        <w:t>部门决算编制范围的二级预算单位包括：</w:t>
      </w:r>
    </w:p>
    <w:p w14:paraId="1CB35F1A">
      <w:pPr>
        <w:pStyle w:val="2"/>
        <w:numPr>
          <w:ilvl w:val="0"/>
          <w:numId w:val="2"/>
        </w:numPr>
        <w:adjustRightInd w:val="0"/>
        <w:snapToGrid w:val="0"/>
        <w:spacing w:before="93" w:beforeLines="0" w:line="600" w:lineRule="exact"/>
        <w:outlineLvl w:val="2"/>
        <w:rPr>
          <w:rFonts w:ascii="仿宋" w:eastAsia="仿宋"/>
          <w:sz w:val="32"/>
          <w:szCs w:val="32"/>
        </w:rPr>
      </w:pPr>
      <w:bookmarkStart w:id="10" w:name="_Toc15377202"/>
      <w:bookmarkStart w:id="11" w:name="_Toc15306276"/>
      <w:bookmarkStart w:id="12" w:name="_Toc15377433"/>
      <w:bookmarkStart w:id="13" w:name="_Toc15378449"/>
      <w:r>
        <w:rPr>
          <w:rFonts w:hint="eastAsia" w:ascii="仿宋" w:eastAsia="仿宋"/>
          <w:sz w:val="32"/>
          <w:szCs w:val="32"/>
          <w:lang w:eastAsia="zh-CN"/>
        </w:rPr>
        <w:t>阿坝州人力资源和社会保障局</w:t>
      </w:r>
    </w:p>
    <w:bookmarkEnd w:id="10"/>
    <w:bookmarkEnd w:id="11"/>
    <w:bookmarkEnd w:id="12"/>
    <w:bookmarkEnd w:id="13"/>
    <w:p w14:paraId="11678954">
      <w:pPr>
        <w:pStyle w:val="2"/>
        <w:numPr>
          <w:ilvl w:val="0"/>
          <w:numId w:val="2"/>
        </w:numPr>
        <w:adjustRightInd w:val="0"/>
        <w:snapToGrid w:val="0"/>
        <w:spacing w:before="93" w:beforeLines="0" w:line="600" w:lineRule="exact"/>
        <w:outlineLvl w:val="2"/>
        <w:rPr>
          <w:rFonts w:hint="eastAsia" w:ascii="Times New Roman" w:hAnsi="Times New Roman" w:eastAsia="仿宋_GB2312" w:cs="仿宋_GB2312"/>
          <w:color w:val="auto"/>
          <w:sz w:val="32"/>
          <w:szCs w:val="32"/>
          <w:highlight w:val="none"/>
        </w:rPr>
      </w:pPr>
      <w:bookmarkStart w:id="14" w:name="_Toc15378450"/>
      <w:bookmarkStart w:id="15" w:name="_Toc15377434"/>
      <w:bookmarkStart w:id="16" w:name="_Toc15377203"/>
      <w:bookmarkStart w:id="17" w:name="_Toc15306277"/>
      <w:r>
        <w:rPr>
          <w:rFonts w:hint="eastAsia" w:ascii="仿宋" w:eastAsia="仿宋"/>
          <w:sz w:val="32"/>
          <w:szCs w:val="32"/>
          <w:lang w:eastAsia="zh-CN"/>
        </w:rPr>
        <w:t>阿坝州人力资源和社会保障信息中心</w:t>
      </w:r>
    </w:p>
    <w:bookmarkEnd w:id="14"/>
    <w:bookmarkEnd w:id="15"/>
    <w:bookmarkEnd w:id="16"/>
    <w:bookmarkEnd w:id="17"/>
    <w:p w14:paraId="3E614715">
      <w:pPr>
        <w:pStyle w:val="2"/>
        <w:numPr>
          <w:ilvl w:val="0"/>
          <w:numId w:val="2"/>
        </w:numPr>
        <w:adjustRightInd w:val="0"/>
        <w:snapToGrid w:val="0"/>
        <w:spacing w:before="93" w:beforeLines="0" w:line="600" w:lineRule="exact"/>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阿坝州就业服务管理局</w:t>
      </w:r>
    </w:p>
    <w:p w14:paraId="29D78F64">
      <w:pPr>
        <w:numPr>
          <w:ilvl w:val="0"/>
          <w:numId w:val="2"/>
        </w:numPr>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阿坝州农民工服务中心</w:t>
      </w:r>
    </w:p>
    <w:p w14:paraId="246C7E1E">
      <w:pPr>
        <w:numPr>
          <w:ilvl w:val="0"/>
          <w:numId w:val="2"/>
        </w:numPr>
        <w:ind w:left="1152" w:leftChars="0" w:hanging="480" w:firstLineChars="0"/>
        <w:rPr>
          <w:rFonts w:hint="eastAsia" w:ascii="仿宋" w:hAnsi="Times New Roman" w:eastAsia="仿宋" w:cs="Times New Roman"/>
          <w:b w:val="0"/>
          <w:bCs w:val="0"/>
          <w:kern w:val="0"/>
          <w:sz w:val="32"/>
          <w:szCs w:val="32"/>
          <w:lang w:val="en-US" w:eastAsia="zh-CN" w:bidi="ar-SA"/>
        </w:rPr>
      </w:pPr>
      <w:r>
        <w:rPr>
          <w:rFonts w:hint="eastAsia" w:ascii="仿宋" w:hAnsi="Times New Roman" w:eastAsia="仿宋" w:cs="Times New Roman"/>
          <w:b w:val="0"/>
          <w:bCs w:val="0"/>
          <w:kern w:val="0"/>
          <w:sz w:val="32"/>
          <w:szCs w:val="32"/>
          <w:lang w:val="en-US" w:eastAsia="zh-CN" w:bidi="ar-SA"/>
        </w:rPr>
        <w:t>阿坝州社会保险事业管理局</w:t>
      </w:r>
    </w:p>
    <w:p w14:paraId="73CE03FA">
      <w:pPr>
        <w:pStyle w:val="2"/>
        <w:numPr>
          <w:ilvl w:val="0"/>
          <w:numId w:val="0"/>
        </w:numPr>
        <w:adjustRightInd w:val="0"/>
        <w:snapToGrid w:val="0"/>
        <w:spacing w:before="93" w:beforeLines="0" w:line="600" w:lineRule="exact"/>
        <w:rPr>
          <w:rFonts w:hint="eastAsia" w:ascii="仿宋" w:hAnsi="Times New Roman" w:eastAsia="仿宋" w:cs="Times New Roman"/>
          <w:b w:val="0"/>
          <w:bCs w:val="0"/>
          <w:kern w:val="0"/>
          <w:sz w:val="32"/>
          <w:szCs w:val="32"/>
          <w:lang w:val="en-US" w:eastAsia="zh-CN" w:bidi="ar-SA"/>
        </w:rPr>
      </w:pPr>
    </w:p>
    <w:p w14:paraId="40440125">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369F7345">
      <w:pPr>
        <w:pStyle w:val="4"/>
        <w:jc w:val="center"/>
        <w:rPr>
          <w:rFonts w:hint="eastAsia" w:ascii="Times New Roman" w:hAnsi="Times New Roman" w:eastAsia="方正小标宋简体" w:cs="方正小标宋简体"/>
          <w:b w:val="0"/>
          <w:color w:val="auto"/>
          <w:highlight w:val="none"/>
        </w:rPr>
      </w:pPr>
      <w:bookmarkStart w:id="18" w:name="_Toc15377204"/>
      <w:bookmarkStart w:id="19"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14:paraId="0D324ACD">
      <w:pPr>
        <w:rPr>
          <w:rFonts w:ascii="Times New Roman" w:hAnsi="Times New Roman"/>
          <w:color w:val="auto"/>
          <w:highlight w:val="none"/>
        </w:rPr>
      </w:pPr>
    </w:p>
    <w:p w14:paraId="1E101391">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20" w:name="_Toc15396603"/>
      <w:bookmarkStart w:id="21"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1"/>
          <w:rFonts w:hint="eastAsia" w:ascii="Times New Roman" w:hAnsi="Times New Roman" w:eastAsia="黑体"/>
          <w:b w:val="0"/>
          <w:color w:val="auto"/>
          <w:highlight w:val="none"/>
        </w:rPr>
        <w:t>入支出决算总体情况说明</w:t>
      </w:r>
      <w:bookmarkEnd w:id="20"/>
      <w:bookmarkEnd w:id="21"/>
    </w:p>
    <w:p w14:paraId="6A15C792">
      <w:pPr>
        <w:spacing w:line="600" w:lineRule="exact"/>
        <w:ind w:firstLine="640" w:firstLineChars="200"/>
        <w:rPr>
          <w:rFonts w:hint="eastAsia" w:ascii="仿宋" w:eastAsia="仿宋"/>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eastAsia="仿宋_GB2312" w:cs="仿宋_GB2312"/>
          <w:sz w:val="32"/>
          <w:szCs w:val="32"/>
        </w:rPr>
        <w:t>2765.01</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总计各减少</w:t>
      </w:r>
      <w:r>
        <w:rPr>
          <w:rFonts w:hint="eastAsia" w:eastAsia="仿宋_GB2312" w:cs="仿宋_GB2312"/>
          <w:color w:val="auto"/>
          <w:sz w:val="32"/>
          <w:szCs w:val="32"/>
          <w:highlight w:val="none"/>
          <w:lang w:val="en-US" w:eastAsia="zh-CN"/>
        </w:rPr>
        <w:t>3081.39</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52.71</w:t>
      </w:r>
      <w:r>
        <w:rPr>
          <w:rFonts w:hint="eastAsia" w:ascii="Times New Roman" w:hAnsi="Times New Roman" w:eastAsia="仿宋_GB2312" w:cs="仿宋_GB2312"/>
          <w:color w:val="auto"/>
          <w:sz w:val="32"/>
          <w:szCs w:val="32"/>
          <w:highlight w:val="none"/>
        </w:rPr>
        <w:t>%。主要变动原因是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26E5C851">
      <w:pPr>
        <w:keepNext w:val="0"/>
        <w:keepLines w:val="0"/>
        <w:widowControl/>
        <w:suppressLineNumbers w:val="0"/>
        <w:jc w:val="left"/>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w:t>
      </w:r>
      <w:r>
        <w:rPr>
          <w:rFonts w:ascii="仿宋_GB2312" w:hAnsi="仿宋_GB2312" w:eastAsia="仿宋_GB2312" w:cs="仿宋_GB2312"/>
          <w:color w:val="000000"/>
          <w:kern w:val="0"/>
          <w:sz w:val="31"/>
          <w:szCs w:val="31"/>
          <w:lang w:val="en-US" w:eastAsia="zh-CN" w:bidi="ar"/>
        </w:rPr>
        <w:t>（单位：万元）</w:t>
      </w:r>
    </w:p>
    <w:p w14:paraId="247857C8">
      <w:pPr>
        <w:keepNext w:val="0"/>
        <w:keepLines w:val="0"/>
        <w:pageBreakBefore w:val="0"/>
        <w:widowControl w:val="0"/>
        <w:kinsoku/>
        <w:wordWrap/>
        <w:overflowPunct/>
        <w:topLinePunct w:val="0"/>
        <w:autoSpaceDE/>
        <w:autoSpaceDN/>
        <w:bidi w:val="0"/>
        <w:adjustRightInd/>
        <w:snapToGrid/>
        <w:textAlignment w:val="auto"/>
        <w:rPr>
          <w:rFonts w:hint="eastAsia" w:ascii="Times New Roman" w:hAnsi="Times New Roman" w:eastAsia="仿宋_GB2312" w:cs="仿宋_GB2312"/>
          <w:color w:val="auto"/>
          <w:sz w:val="32"/>
          <w:szCs w:val="32"/>
          <w:highlight w:val="none"/>
          <w:lang w:eastAsia="zh-CN"/>
        </w:rPr>
      </w:pPr>
    </w:p>
    <w:p w14:paraId="145776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20E045">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r>
        <w:rPr>
          <w:rFonts w:hint="eastAsia" w:ascii="Times New Roman" w:hAnsi="Times New Roman" w:eastAsia="黑体"/>
          <w:color w:val="auto"/>
          <w:sz w:val="32"/>
          <w:szCs w:val="32"/>
          <w:highlight w:val="none"/>
          <w:lang w:eastAsia="zh-CN"/>
        </w:rPr>
        <w:t>二、收入决算情况说明</w:t>
      </w:r>
      <w:bookmarkEnd w:id="22"/>
      <w:bookmarkEnd w:id="23"/>
    </w:p>
    <w:p w14:paraId="7ECD8B9C">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2024年度本年收入合计</w:t>
      </w:r>
      <w:r>
        <w:rPr>
          <w:rFonts w:hint="eastAsia" w:ascii="仿宋_GB2312" w:eastAsia="仿宋_GB2312" w:cs="仿宋_GB2312"/>
          <w:sz w:val="32"/>
          <w:szCs w:val="32"/>
        </w:rPr>
        <w:t>2765.01万元，其中：一般公共预算财政拨款收入2765.01</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100</w:t>
      </w:r>
      <w:r>
        <w:rPr>
          <w:rFonts w:hint="eastAsia" w:ascii="仿宋_GB2312" w:eastAsia="仿宋_GB2312" w:cs="仿宋_GB2312"/>
          <w:color w:val="auto"/>
          <w:sz w:val="32"/>
          <w:szCs w:val="32"/>
          <w:highlight w:val="none"/>
          <w:lang w:eastAsia="zh-CN"/>
        </w:rPr>
        <w:t>%；政府性基金预算财政拨款收入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%；国有资本经营预算财政拨款收入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%；上级补助收入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%；事业收入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%；附属单位上缴收入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%；其他收入</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p>
    <w:p w14:paraId="74C1BA60">
      <w:pPr>
        <w:keepNext w:val="0"/>
        <w:keepLines w:val="0"/>
        <w:widowControl/>
        <w:suppressLineNumbers w:val="0"/>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w:t>
      </w:r>
      <w:r>
        <w:rPr>
          <w:rFonts w:ascii="仿宋_GB2312" w:hAnsi="仿宋_GB2312" w:eastAsia="仿宋_GB2312" w:cs="仿宋_GB2312"/>
          <w:color w:val="000000"/>
          <w:kern w:val="0"/>
          <w:sz w:val="31"/>
          <w:szCs w:val="31"/>
          <w:lang w:val="en-US" w:eastAsia="zh-CN" w:bidi="ar"/>
        </w:rPr>
        <w:t>（单位：万元）</w:t>
      </w:r>
    </w:p>
    <w:p w14:paraId="7568A373">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502F7E1">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textAlignment w:val="auto"/>
        <w:outlineLvl w:val="1"/>
        <w:rPr>
          <w:rStyle w:val="21"/>
          <w:rFonts w:hint="eastAsia" w:ascii="Times New Roman" w:hAnsi="Times New Roman" w:eastAsia="黑体"/>
          <w:b w:val="0"/>
          <w:color w:val="auto"/>
          <w:highlight w:val="none"/>
        </w:rPr>
      </w:pPr>
      <w:bookmarkStart w:id="24" w:name="_Toc15396605"/>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1"/>
          <w:rFonts w:hint="eastAsia" w:ascii="Times New Roman" w:hAnsi="Times New Roman" w:eastAsia="黑体"/>
          <w:b w:val="0"/>
          <w:color w:val="auto"/>
          <w:highlight w:val="none"/>
        </w:rPr>
        <w:t>出决算情况说明</w:t>
      </w:r>
      <w:bookmarkEnd w:id="24"/>
      <w:bookmarkEnd w:id="25"/>
    </w:p>
    <w:p w14:paraId="78A70CBE">
      <w:pPr>
        <w:pStyle w:val="27"/>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lang w:eastAsia="zh-CN"/>
        </w:rPr>
        <w:t>2024年度本年支出合计</w:t>
      </w:r>
      <w:r>
        <w:rPr>
          <w:rFonts w:hint="eastAsia" w:ascii="仿宋_GB2312" w:eastAsia="仿宋_GB2312" w:cs="仿宋_GB2312"/>
          <w:sz w:val="32"/>
          <w:szCs w:val="32"/>
        </w:rPr>
        <w:t>2765.01</w:t>
      </w:r>
      <w:r>
        <w:rPr>
          <w:rFonts w:hint="eastAsia" w:ascii="仿宋_GB2312" w:eastAsia="仿宋_GB2312" w:cs="仿宋_GB2312"/>
          <w:color w:val="auto"/>
          <w:sz w:val="32"/>
          <w:szCs w:val="32"/>
          <w:highlight w:val="none"/>
          <w:lang w:eastAsia="zh-CN"/>
        </w:rPr>
        <w:t>万元，其中：基本支出</w:t>
      </w:r>
      <w:r>
        <w:rPr>
          <w:rFonts w:hint="eastAsia" w:ascii="仿宋_GB2312" w:eastAsia="仿宋_GB2312" w:cs="仿宋_GB2312"/>
          <w:sz w:val="32"/>
          <w:szCs w:val="32"/>
        </w:rPr>
        <w:t>1732.15</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62.64</w:t>
      </w:r>
      <w:r>
        <w:rPr>
          <w:rFonts w:hint="eastAsia" w:ascii="仿宋_GB2312" w:eastAsia="仿宋_GB2312" w:cs="仿宋_GB2312"/>
          <w:color w:val="auto"/>
          <w:sz w:val="32"/>
          <w:szCs w:val="32"/>
          <w:highlight w:val="none"/>
          <w:lang w:eastAsia="zh-CN"/>
        </w:rPr>
        <w:t>%；项目支出</w:t>
      </w:r>
      <w:r>
        <w:rPr>
          <w:rFonts w:hint="eastAsia" w:ascii="仿宋_GB2312" w:eastAsia="仿宋_GB2312" w:cs="仿宋_GB2312"/>
          <w:sz w:val="32"/>
          <w:szCs w:val="32"/>
        </w:rPr>
        <w:t>1032.87</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37.35</w:t>
      </w:r>
      <w:r>
        <w:rPr>
          <w:rFonts w:hint="eastAsia" w:ascii="仿宋_GB2312" w:eastAsia="仿宋_GB2312" w:cs="仿宋_GB2312"/>
          <w:color w:val="auto"/>
          <w:sz w:val="32"/>
          <w:szCs w:val="32"/>
          <w:highlight w:val="none"/>
          <w:lang w:eastAsia="zh-CN"/>
        </w:rPr>
        <w:t>%；上缴上级支出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%；经营支出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%；对附属单位补助支出</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万元，占</w:t>
      </w:r>
      <w:r>
        <w:rPr>
          <w:rFonts w:hint="eastAsia" w:ascii="仿宋_GB2312" w:eastAsia="仿宋_GB2312" w:cs="仿宋_GB2312"/>
          <w:sz w:val="32"/>
          <w:szCs w:val="32"/>
        </w:rPr>
        <w:t>0%</w:t>
      </w:r>
      <w:r>
        <w:rPr>
          <w:rFonts w:hint="eastAsia" w:asci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（注：仅罗列本部门涉及的支出）</w:t>
      </w:r>
    </w:p>
    <w:p w14:paraId="197FEC1E">
      <w:pPr>
        <w:keepNext w:val="0"/>
        <w:keepLines w:val="0"/>
        <w:widowControl/>
        <w:suppressLineNumbers w:val="0"/>
        <w:jc w:val="lef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w:t>
      </w:r>
      <w:r>
        <w:rPr>
          <w:rFonts w:ascii="仿宋_GB2312" w:hAnsi="仿宋_GB2312" w:eastAsia="仿宋_GB2312" w:cs="仿宋_GB2312"/>
          <w:color w:val="000000"/>
          <w:kern w:val="0"/>
          <w:sz w:val="31"/>
          <w:szCs w:val="31"/>
          <w:lang w:val="en-US" w:eastAsia="zh-CN" w:bidi="ar"/>
        </w:rPr>
        <w:t>（单位：万元）</w:t>
      </w:r>
    </w:p>
    <w:p w14:paraId="6D040784">
      <w:pPr>
        <w:ind w:firstLine="800" w:firstLineChars="250"/>
        <w:rPr>
          <w:rFonts w:hint="eastAsia" w:ascii="Times New Roman" w:hAnsi="Times New Roman" w:eastAsia="仿宋_GB2312" w:cs="仿宋_GB2312"/>
          <w:color w:val="auto"/>
          <w:sz w:val="32"/>
          <w:szCs w:val="32"/>
          <w:highlight w:val="none"/>
          <w:lang w:eastAsia="zh-CN"/>
        </w:rPr>
      </w:pPr>
    </w:p>
    <w:p w14:paraId="43FCFEB7">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3CDDFE3">
      <w:pPr>
        <w:ind w:firstLine="800" w:firstLineChars="250"/>
        <w:rPr>
          <w:rFonts w:hint="eastAsia" w:ascii="Times New Roman" w:hAnsi="Times New Roman" w:eastAsia="仿宋_GB2312" w:cs="仿宋_GB2312"/>
          <w:color w:val="auto"/>
          <w:sz w:val="32"/>
          <w:szCs w:val="32"/>
          <w:highlight w:val="none"/>
          <w:lang w:eastAsia="zh-CN"/>
        </w:rPr>
      </w:pPr>
    </w:p>
    <w:p w14:paraId="55217622">
      <w:pPr>
        <w:ind w:firstLine="800" w:firstLineChars="250"/>
        <w:rPr>
          <w:rFonts w:hint="eastAsia" w:ascii="Times New Roman" w:hAnsi="Times New Roman" w:eastAsia="仿宋_GB2312" w:cs="仿宋_GB2312"/>
          <w:color w:val="auto"/>
          <w:sz w:val="32"/>
          <w:szCs w:val="32"/>
          <w:highlight w:val="none"/>
          <w:lang w:eastAsia="zh-CN"/>
        </w:rPr>
      </w:pPr>
    </w:p>
    <w:p w14:paraId="13424A6C">
      <w:pPr>
        <w:ind w:firstLine="800" w:firstLineChars="250"/>
        <w:rPr>
          <w:rFonts w:hint="eastAsia" w:ascii="Times New Roman" w:hAnsi="Times New Roman" w:eastAsia="仿宋_GB2312" w:cs="仿宋_GB2312"/>
          <w:color w:val="auto"/>
          <w:sz w:val="32"/>
          <w:szCs w:val="32"/>
          <w:highlight w:val="none"/>
          <w:lang w:eastAsia="zh-CN"/>
        </w:rPr>
      </w:pPr>
    </w:p>
    <w:p w14:paraId="74BF1A0E">
      <w:pPr>
        <w:spacing w:line="600" w:lineRule="exact"/>
        <w:ind w:firstLine="640" w:firstLineChars="200"/>
        <w:outlineLvl w:val="1"/>
        <w:rPr>
          <w:rStyle w:val="21"/>
          <w:rFonts w:ascii="Times New Roman" w:hAnsi="Times New Roman" w:eastAsia="黑体"/>
          <w:b w:val="0"/>
          <w:color w:val="auto"/>
          <w:highlight w:val="none"/>
        </w:rPr>
      </w:pPr>
      <w:bookmarkStart w:id="26" w:name="_Toc15377208"/>
      <w:bookmarkStart w:id="27" w:name="_Toc15396606"/>
      <w:r>
        <w:rPr>
          <w:rFonts w:hint="eastAsia" w:ascii="Times New Roman" w:hAnsi="Times New Roman" w:eastAsia="黑体"/>
          <w:color w:val="auto"/>
          <w:sz w:val="32"/>
          <w:szCs w:val="32"/>
          <w:highlight w:val="none"/>
        </w:rPr>
        <w:t>四、财</w:t>
      </w:r>
      <w:r>
        <w:rPr>
          <w:rStyle w:val="21"/>
          <w:rFonts w:hint="eastAsia" w:ascii="Times New Roman" w:hAnsi="Times New Roman" w:eastAsia="黑体"/>
          <w:b w:val="0"/>
          <w:color w:val="auto"/>
          <w:highlight w:val="none"/>
        </w:rPr>
        <w:t>政拨款收入支出决算总体情况说明</w:t>
      </w:r>
      <w:bookmarkEnd w:id="26"/>
      <w:bookmarkEnd w:id="27"/>
    </w:p>
    <w:p w14:paraId="5EA6D9A8">
      <w:pPr>
        <w:spacing w:line="600" w:lineRule="exact"/>
        <w:ind w:firstLine="640" w:firstLineChars="200"/>
        <w:rPr>
          <w:rFonts w:hint="eastAsia" w:ascii="仿宋" w:eastAsia="仿宋"/>
          <w:color w:val="auto"/>
          <w:sz w:val="32"/>
          <w:szCs w:val="32"/>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eastAsia="仿宋_GB2312" w:cs="仿宋_GB2312"/>
          <w:sz w:val="32"/>
          <w:szCs w:val="32"/>
        </w:rPr>
        <w:t>2765.01</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万元。与2023年度相比，财政拨款收入总计、支出总计各减少</w:t>
      </w:r>
      <w:r>
        <w:rPr>
          <w:rFonts w:hint="eastAsia" w:eastAsia="仿宋_GB2312" w:cs="仿宋_GB2312"/>
          <w:color w:val="auto"/>
          <w:kern w:val="2"/>
          <w:sz w:val="32"/>
          <w:szCs w:val="32"/>
          <w:highlight w:val="none"/>
          <w:lang w:val="en-US" w:eastAsia="zh-CN" w:bidi="ar-SA"/>
        </w:rPr>
        <w:t>3081.39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52.71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5E00C1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w:t>
      </w:r>
      <w:r>
        <w:rPr>
          <w:rFonts w:hint="eastAsia" w:eastAsia="仿宋_GB2312" w:cs="仿宋_GB2312"/>
          <w:color w:val="auto"/>
          <w:kern w:val="2"/>
          <w:sz w:val="32"/>
          <w:szCs w:val="32"/>
          <w:highlight w:val="none"/>
          <w:lang w:val="en-US" w:eastAsia="zh-CN" w:bidi="ar-SA"/>
        </w:rPr>
        <w:t>（单位：万元）</w:t>
      </w:r>
    </w:p>
    <w:p w14:paraId="6197ADAC">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7F187AC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CD3BA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528EB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2C8C4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4F237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0288" behindDoc="0" locked="0" layoutInCell="1" allowOverlap="1">
            <wp:simplePos x="0" y="0"/>
            <wp:positionH relativeFrom="column">
              <wp:posOffset>5080</wp:posOffset>
            </wp:positionH>
            <wp:positionV relativeFrom="paragraph">
              <wp:posOffset>-728980</wp:posOffset>
            </wp:positionV>
            <wp:extent cx="5256530" cy="3655060"/>
            <wp:effectExtent l="4445" t="4445" r="15875" b="1714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4A737F45">
      <w:pPr>
        <w:spacing w:line="600" w:lineRule="exact"/>
        <w:ind w:firstLine="640" w:firstLineChars="200"/>
        <w:outlineLvl w:val="1"/>
        <w:rPr>
          <w:rStyle w:val="21"/>
          <w:rFonts w:ascii="Times New Roman" w:hAnsi="Times New Roman" w:eastAsia="黑体"/>
          <w:b w:val="0"/>
          <w:color w:val="auto"/>
          <w:highlight w:val="none"/>
        </w:rPr>
      </w:pPr>
      <w:bookmarkStart w:id="28" w:name="_Toc15377209"/>
      <w:bookmarkStart w:id="2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般公共预算财政拨款支出决算情况说明</w:t>
      </w:r>
      <w:bookmarkEnd w:id="28"/>
      <w:bookmarkEnd w:id="29"/>
    </w:p>
    <w:p w14:paraId="662F8EB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14:paraId="4AFB157D">
      <w:pPr>
        <w:spacing w:line="600" w:lineRule="exact"/>
        <w:ind w:firstLine="640" w:firstLineChars="200"/>
        <w:rPr>
          <w:rFonts w:hint="eastAsia" w:ascii="仿宋" w:eastAsia="仿宋"/>
          <w:color w:val="auto"/>
          <w:sz w:val="32"/>
          <w:szCs w:val="32"/>
          <w:highlight w:val="none"/>
          <w:lang w:eastAsia="zh-CN"/>
        </w:rPr>
      </w:pPr>
      <w:r>
        <w:rPr>
          <w:rFonts w:hint="eastAsia" w:ascii="仿宋_GB2312"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%。与2023年度相比，一般公共预算财政拨款支出减少3081.39万元，下降52.71%。主要变动原因是</w:t>
      </w:r>
      <w:r>
        <w:rPr>
          <w:rFonts w:hint="eastAsia" w:ascii="仿宋" w:eastAsia="仿宋"/>
          <w:color w:val="auto"/>
          <w:sz w:val="32"/>
          <w:szCs w:val="32"/>
          <w:highlight w:val="none"/>
        </w:rPr>
        <w:t>一是人员变动导致工资性支出减少，二是项目资金在202</w:t>
      </w:r>
      <w:r>
        <w:rPr>
          <w:rFonts w:hint="eastAsia" w:ascii="仿宋" w:eastAsia="仿宋"/>
          <w:color w:val="auto"/>
          <w:sz w:val="32"/>
          <w:szCs w:val="32"/>
          <w:highlight w:val="none"/>
          <w:lang w:val="en-US" w:eastAsia="zh-CN"/>
        </w:rPr>
        <w:t>3</w:t>
      </w:r>
      <w:r>
        <w:rPr>
          <w:rFonts w:hint="eastAsia" w:ascii="仿宋" w:eastAsia="仿宋"/>
          <w:color w:val="auto"/>
          <w:sz w:val="32"/>
          <w:szCs w:val="32"/>
          <w:highlight w:val="none"/>
        </w:rPr>
        <w:t>年度基础上压减</w:t>
      </w:r>
      <w:r>
        <w:rPr>
          <w:rFonts w:hint="eastAsia" w:ascii="仿宋" w:eastAsia="仿宋"/>
          <w:color w:val="auto"/>
          <w:sz w:val="32"/>
          <w:szCs w:val="32"/>
          <w:highlight w:val="none"/>
          <w:lang w:val="en-US" w:eastAsia="zh-CN"/>
        </w:rPr>
        <w:t>24.25</w:t>
      </w:r>
      <w:r>
        <w:rPr>
          <w:rFonts w:hint="eastAsia" w:ascii="仿宋" w:eastAsia="仿宋"/>
          <w:color w:val="auto"/>
          <w:sz w:val="32"/>
          <w:szCs w:val="32"/>
          <w:highlight w:val="none"/>
        </w:rPr>
        <w:t>%</w:t>
      </w:r>
      <w:r>
        <w:rPr>
          <w:rFonts w:hint="eastAsia" w:ascii="仿宋" w:eastAsia="仿宋"/>
          <w:color w:val="auto"/>
          <w:sz w:val="32"/>
          <w:szCs w:val="32"/>
          <w:highlight w:val="none"/>
          <w:lang w:eastAsia="zh-CN"/>
        </w:rPr>
        <w:t>。</w:t>
      </w:r>
    </w:p>
    <w:p w14:paraId="64F16D8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w:t>
      </w:r>
      <w:r>
        <w:rPr>
          <w:rFonts w:hint="eastAsia" w:eastAsia="仿宋_GB2312" w:cs="仿宋_GB2312"/>
          <w:color w:val="auto"/>
          <w:kern w:val="2"/>
          <w:sz w:val="32"/>
          <w:szCs w:val="32"/>
          <w:highlight w:val="none"/>
          <w:lang w:val="en-US" w:eastAsia="zh-CN" w:bidi="ar-SA"/>
        </w:rPr>
        <w:t>（单位：万元）</w:t>
      </w:r>
    </w:p>
    <w:p w14:paraId="7482084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8CEFF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31BF75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16D2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C596A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59942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EB3268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2FAC02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C313E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02653C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15B80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8492B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D46D38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411480</wp:posOffset>
            </wp:positionH>
            <wp:positionV relativeFrom="paragraph">
              <wp:posOffset>-2700655</wp:posOffset>
            </wp:positionV>
            <wp:extent cx="4437380" cy="2493645"/>
            <wp:effectExtent l="4445" t="5080" r="15875" b="1587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14:paraId="47AAA15C">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14:paraId="4259E0D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57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2.06</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2542.28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91.94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73.72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2.67</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92.01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3.33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AA5B58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3155604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2336" behindDoc="0" locked="0" layoutInCell="1" allowOverlap="1">
            <wp:simplePos x="0" y="0"/>
            <wp:positionH relativeFrom="column">
              <wp:posOffset>411480</wp:posOffset>
            </wp:positionH>
            <wp:positionV relativeFrom="paragraph">
              <wp:posOffset>289560</wp:posOffset>
            </wp:positionV>
            <wp:extent cx="4609465" cy="2828290"/>
            <wp:effectExtent l="4445" t="4445" r="15240" b="571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07D8BF8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2DF0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F8B8CD7">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DBF2A0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D070D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76E13C8">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327A9D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1BFAFB5">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83C5CED">
      <w:pPr>
        <w:numPr>
          <w:ilvl w:val="0"/>
          <w:numId w:val="3"/>
        </w:num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一般公共预算财政拨款支出决算具体情况</w:t>
      </w:r>
      <w:bookmarkEnd w:id="32"/>
    </w:p>
    <w:p w14:paraId="2E760A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3" w:name="_Toc15377444"/>
      <w:bookmarkStart w:id="34" w:name="_Toc15377213"/>
      <w:bookmarkStart w:id="35" w:name="_Toc15378460"/>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eastAsia="仿宋_GB2312" w:cs="仿宋_GB2312"/>
          <w:sz w:val="32"/>
          <w:szCs w:val="32"/>
        </w:rPr>
        <w:t>2765.01</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3"/>
      <w:bookmarkEnd w:id="34"/>
      <w:bookmarkEnd w:id="35"/>
    </w:p>
    <w:p w14:paraId="5CE3FA40">
      <w:pPr>
        <w:numPr>
          <w:ilvl w:val="0"/>
          <w:numId w:val="4"/>
        </w:numPr>
        <w:spacing w:line="600" w:lineRule="exact"/>
        <w:ind w:firstLine="643" w:firstLineChars="200"/>
        <w:rPr>
          <w:rStyle w:val="18"/>
          <w:rFonts w:hint="eastAsia" w:ascii="仿宋" w:eastAsia="仿宋"/>
          <w:b w:val="0"/>
          <w:bCs/>
          <w:color w:val="auto"/>
          <w:sz w:val="32"/>
          <w:szCs w:val="32"/>
          <w:highlight w:val="none"/>
          <w:lang w:eastAsia="zh-CN"/>
        </w:rPr>
      </w:pPr>
      <w:r>
        <w:rPr>
          <w:rStyle w:val="18"/>
          <w:rFonts w:hint="eastAsia" w:ascii="仿宋" w:eastAsia="仿宋"/>
          <w:bCs/>
          <w:color w:val="auto"/>
          <w:sz w:val="32"/>
          <w:szCs w:val="32"/>
          <w:highlight w:val="none"/>
        </w:rPr>
        <w:t>社会保障和就业208:</w:t>
      </w:r>
      <w:r>
        <w:rPr>
          <w:rStyle w:val="18"/>
          <w:rFonts w:hint="eastAsia" w:ascii="仿宋" w:eastAsia="仿宋"/>
          <w:b w:val="0"/>
          <w:bCs/>
          <w:color w:val="auto"/>
          <w:sz w:val="32"/>
          <w:szCs w:val="32"/>
          <w:highlight w:val="none"/>
        </w:rPr>
        <w:t xml:space="preserve"> 支出决算为</w:t>
      </w:r>
      <w:r>
        <w:rPr>
          <w:rStyle w:val="18"/>
          <w:rFonts w:hint="eastAsia" w:ascii="仿宋" w:eastAsia="仿宋"/>
          <w:b w:val="0"/>
          <w:bCs/>
          <w:color w:val="auto"/>
          <w:sz w:val="32"/>
          <w:szCs w:val="32"/>
          <w:highlight w:val="none"/>
          <w:lang w:val="en-US" w:eastAsia="zh-CN"/>
        </w:rPr>
        <w:t>2542.08</w:t>
      </w:r>
      <w:r>
        <w:rPr>
          <w:rStyle w:val="18"/>
          <w:rFonts w:hint="eastAsia" w:ascii="仿宋" w:eastAsia="仿宋"/>
          <w:b w:val="0"/>
          <w:bCs/>
          <w:color w:val="auto"/>
          <w:sz w:val="32"/>
          <w:szCs w:val="32"/>
          <w:highlight w:val="none"/>
        </w:rPr>
        <w:t>万元，完成预算100%，决算数等于预算数。其中：2080101行政运行支出决算为</w:t>
      </w:r>
      <w:r>
        <w:rPr>
          <w:rStyle w:val="18"/>
          <w:rFonts w:hint="eastAsia" w:ascii="仿宋" w:eastAsia="仿宋"/>
          <w:b w:val="0"/>
          <w:bCs/>
          <w:color w:val="auto"/>
          <w:sz w:val="32"/>
          <w:szCs w:val="32"/>
          <w:highlight w:val="none"/>
          <w:lang w:val="en-US" w:eastAsia="zh-CN"/>
        </w:rPr>
        <w:t>1386.78</w:t>
      </w:r>
      <w:r>
        <w:rPr>
          <w:rStyle w:val="18"/>
          <w:rFonts w:hint="eastAsia" w:ascii="仿宋" w:eastAsia="仿宋"/>
          <w:b w:val="0"/>
          <w:bCs/>
          <w:color w:val="auto"/>
          <w:sz w:val="32"/>
          <w:szCs w:val="32"/>
          <w:highlight w:val="none"/>
        </w:rPr>
        <w:t>万元，完成预算100%，决算数等于预算数；2080102一般行政管理事务支出决算为</w:t>
      </w:r>
      <w:r>
        <w:rPr>
          <w:rStyle w:val="18"/>
          <w:rFonts w:hint="eastAsia" w:ascii="仿宋" w:eastAsia="仿宋"/>
          <w:b w:val="0"/>
          <w:bCs/>
          <w:color w:val="auto"/>
          <w:sz w:val="32"/>
          <w:szCs w:val="32"/>
          <w:highlight w:val="none"/>
          <w:lang w:val="en-US" w:eastAsia="zh-CN"/>
        </w:rPr>
        <w:t>580.58</w:t>
      </w:r>
      <w:r>
        <w:rPr>
          <w:rStyle w:val="18"/>
          <w:rFonts w:hint="eastAsia" w:ascii="仿宋" w:eastAsia="仿宋"/>
          <w:b w:val="0"/>
          <w:bCs/>
          <w:color w:val="auto"/>
          <w:sz w:val="32"/>
          <w:szCs w:val="32"/>
          <w:highlight w:val="none"/>
        </w:rPr>
        <w:t>万元，完成预算100%，决算数等于预算数；2080105劳动保障监察支出决算为1</w:t>
      </w:r>
      <w:r>
        <w:rPr>
          <w:rStyle w:val="18"/>
          <w:rFonts w:hint="eastAsia" w:ascii="仿宋" w:eastAsia="仿宋"/>
          <w:b w:val="0"/>
          <w:bCs/>
          <w:color w:val="auto"/>
          <w:sz w:val="32"/>
          <w:szCs w:val="32"/>
          <w:highlight w:val="none"/>
          <w:lang w:val="en-US" w:eastAsia="zh-CN"/>
        </w:rPr>
        <w:t>4.16</w:t>
      </w:r>
      <w:r>
        <w:rPr>
          <w:rStyle w:val="18"/>
          <w:rFonts w:hint="eastAsia" w:ascii="仿宋" w:eastAsia="仿宋"/>
          <w:b w:val="0"/>
          <w:bCs/>
          <w:color w:val="auto"/>
          <w:sz w:val="32"/>
          <w:szCs w:val="32"/>
          <w:highlight w:val="none"/>
        </w:rPr>
        <w:t>万元，完成预算100%，决算数等于预算数；2080107社会保险业务管理事务支出决算为</w:t>
      </w:r>
      <w:r>
        <w:rPr>
          <w:rStyle w:val="18"/>
          <w:rFonts w:hint="eastAsia" w:ascii="仿宋" w:eastAsia="仿宋"/>
          <w:b w:val="0"/>
          <w:bCs/>
          <w:color w:val="auto"/>
          <w:sz w:val="32"/>
          <w:szCs w:val="32"/>
          <w:highlight w:val="none"/>
          <w:lang w:val="en-US" w:eastAsia="zh-CN"/>
        </w:rPr>
        <w:t>49.9</w:t>
      </w:r>
      <w:r>
        <w:rPr>
          <w:rStyle w:val="18"/>
          <w:rFonts w:hint="eastAsia" w:ascii="仿宋" w:eastAsia="仿宋"/>
          <w:b w:val="0"/>
          <w:bCs/>
          <w:color w:val="auto"/>
          <w:sz w:val="32"/>
          <w:szCs w:val="32"/>
          <w:highlight w:val="none"/>
        </w:rPr>
        <w:t>万元，完成预算100%，决算数等于预算数；2080108信息化建设支出决算为</w:t>
      </w:r>
      <w:r>
        <w:rPr>
          <w:rStyle w:val="18"/>
          <w:rFonts w:hint="eastAsia" w:ascii="仿宋" w:eastAsia="仿宋"/>
          <w:b w:val="0"/>
          <w:bCs/>
          <w:color w:val="auto"/>
          <w:sz w:val="32"/>
          <w:szCs w:val="32"/>
          <w:highlight w:val="none"/>
          <w:lang w:val="en-US" w:eastAsia="zh-CN"/>
        </w:rPr>
        <w:t>308.9</w:t>
      </w:r>
      <w:r>
        <w:rPr>
          <w:rStyle w:val="18"/>
          <w:rFonts w:hint="eastAsia" w:ascii="仿宋" w:eastAsia="仿宋"/>
          <w:b w:val="0"/>
          <w:bCs/>
          <w:color w:val="auto"/>
          <w:sz w:val="32"/>
          <w:szCs w:val="32"/>
          <w:highlight w:val="none"/>
        </w:rPr>
        <w:t>万元，完成预算100%，决算数等于预算数；2080110劳动关系和维权支出决算为5万元，完成预算100%，决算数等于预算数；2080112劳动人事争议调解仲裁支出决算为2万元，完成预算100%，决算数等于预算数；2080199</w:t>
      </w:r>
      <w:r>
        <w:rPr>
          <w:rStyle w:val="18"/>
          <w:rFonts w:hint="eastAsia" w:ascii="仿宋" w:eastAsia="仿宋"/>
          <w:b w:val="0"/>
          <w:bCs/>
          <w:sz w:val="32"/>
          <w:szCs w:val="32"/>
        </w:rPr>
        <w:t>其他人力资源和社会保障管理事务</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15.32</w:t>
      </w:r>
      <w:r>
        <w:rPr>
          <w:rStyle w:val="18"/>
          <w:rFonts w:hint="eastAsia" w:ascii="仿宋" w:eastAsia="仿宋"/>
          <w:b w:val="0"/>
          <w:bCs/>
          <w:color w:val="auto"/>
          <w:sz w:val="32"/>
          <w:szCs w:val="32"/>
          <w:highlight w:val="none"/>
        </w:rPr>
        <w:t>万元，完成预算100%，决算数等于预算数；2080505</w:t>
      </w:r>
      <w:r>
        <w:rPr>
          <w:rStyle w:val="18"/>
          <w:rFonts w:hint="eastAsia" w:ascii="仿宋" w:eastAsia="仿宋"/>
          <w:b w:val="0"/>
          <w:bCs/>
          <w:sz w:val="32"/>
          <w:szCs w:val="32"/>
        </w:rPr>
        <w:t>机关事业单位基本养老保险缴费支出</w:t>
      </w:r>
      <w:r>
        <w:rPr>
          <w:rStyle w:val="18"/>
          <w:rFonts w:hint="eastAsia" w:ascii="仿宋" w:eastAsia="仿宋"/>
          <w:b w:val="0"/>
          <w:bCs/>
          <w:color w:val="auto"/>
          <w:sz w:val="32"/>
          <w:szCs w:val="32"/>
          <w:highlight w:val="none"/>
        </w:rPr>
        <w:t>决算为</w:t>
      </w:r>
      <w:r>
        <w:rPr>
          <w:rStyle w:val="18"/>
          <w:rFonts w:hint="eastAsia" w:ascii="仿宋" w:eastAsia="仿宋"/>
          <w:b w:val="0"/>
          <w:bCs/>
          <w:color w:val="auto"/>
          <w:sz w:val="32"/>
          <w:szCs w:val="32"/>
          <w:highlight w:val="none"/>
          <w:lang w:val="en-US" w:eastAsia="zh-CN"/>
        </w:rPr>
        <w:t>120.75</w:t>
      </w:r>
      <w:r>
        <w:rPr>
          <w:rStyle w:val="18"/>
          <w:rFonts w:hint="eastAsia" w:ascii="仿宋" w:eastAsia="仿宋"/>
          <w:b w:val="0"/>
          <w:bCs/>
          <w:color w:val="auto"/>
          <w:sz w:val="32"/>
          <w:szCs w:val="32"/>
          <w:highlight w:val="none"/>
        </w:rPr>
        <w:t>万元，完成预算100%，决算数等于预算数；2080506</w:t>
      </w:r>
      <w:r>
        <w:rPr>
          <w:rStyle w:val="18"/>
          <w:rFonts w:hint="eastAsia" w:ascii="仿宋" w:eastAsia="仿宋"/>
          <w:b w:val="0"/>
          <w:bCs/>
          <w:sz w:val="32"/>
          <w:szCs w:val="32"/>
        </w:rPr>
        <w:t>机关事业单位基本职业年金支出决算为</w:t>
      </w:r>
      <w:r>
        <w:rPr>
          <w:rStyle w:val="18"/>
          <w:rFonts w:hint="eastAsia" w:ascii="仿宋" w:eastAsia="仿宋"/>
          <w:b w:val="0"/>
          <w:bCs/>
          <w:sz w:val="32"/>
          <w:szCs w:val="32"/>
          <w:lang w:val="en-US" w:eastAsia="zh-CN"/>
        </w:rPr>
        <w:t>58.89</w:t>
      </w:r>
      <w:r>
        <w:rPr>
          <w:rStyle w:val="18"/>
          <w:rFonts w:hint="eastAsia" w:ascii="仿宋" w:eastAsia="仿宋"/>
          <w:b w:val="0"/>
          <w:bCs/>
          <w:color w:val="auto"/>
          <w:sz w:val="32"/>
          <w:szCs w:val="32"/>
          <w:highlight w:val="none"/>
        </w:rPr>
        <w:t>万元，完成预算100%，决算数等于预算数</w:t>
      </w:r>
      <w:r>
        <w:rPr>
          <w:rStyle w:val="18"/>
          <w:rFonts w:hint="eastAsia" w:ascii="仿宋" w:eastAsia="仿宋"/>
          <w:b w:val="0"/>
          <w:bCs/>
          <w:color w:val="auto"/>
          <w:sz w:val="32"/>
          <w:szCs w:val="32"/>
          <w:highlight w:val="none"/>
          <w:lang w:eastAsia="zh-CN"/>
        </w:rPr>
        <w:t>。</w:t>
      </w:r>
    </w:p>
    <w:p w14:paraId="1121C868">
      <w:pPr>
        <w:numPr>
          <w:ilvl w:val="0"/>
          <w:numId w:val="0"/>
        </w:numPr>
        <w:spacing w:line="600" w:lineRule="exact"/>
        <w:ind w:firstLine="643" w:firstLineChars="200"/>
        <w:rPr>
          <w:rStyle w:val="18"/>
          <w:rFonts w:hint="eastAsia" w:ascii="仿宋" w:eastAsia="仿宋"/>
          <w:b w:val="0"/>
          <w:bCs/>
          <w:color w:val="auto"/>
          <w:sz w:val="32"/>
          <w:szCs w:val="32"/>
          <w:highlight w:val="none"/>
        </w:rPr>
      </w:pPr>
      <w:r>
        <w:rPr>
          <w:rStyle w:val="18"/>
          <w:rFonts w:hint="eastAsia" w:ascii="仿宋" w:eastAsia="仿宋"/>
          <w:bCs/>
          <w:color w:val="auto"/>
          <w:sz w:val="32"/>
          <w:szCs w:val="32"/>
          <w:highlight w:val="none"/>
        </w:rPr>
        <w:t>2.</w:t>
      </w:r>
      <w:r>
        <w:rPr>
          <w:rFonts w:hint="eastAsia" w:ascii="仿宋" w:eastAsia="仿宋"/>
          <w:b/>
          <w:bCs/>
          <w:color w:val="auto"/>
          <w:sz w:val="32"/>
          <w:szCs w:val="32"/>
          <w:highlight w:val="none"/>
        </w:rPr>
        <w:t>卫生健康210</w:t>
      </w:r>
      <w:r>
        <w:rPr>
          <w:rStyle w:val="18"/>
          <w:rFonts w:hint="eastAsia" w:ascii="仿宋" w:eastAsia="仿宋"/>
          <w:bCs/>
          <w:color w:val="auto"/>
          <w:sz w:val="32"/>
          <w:szCs w:val="32"/>
          <w:highlight w:val="none"/>
        </w:rPr>
        <w:t>:</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73.72</w:t>
      </w:r>
      <w:r>
        <w:rPr>
          <w:rStyle w:val="18"/>
          <w:rFonts w:hint="eastAsia" w:ascii="仿宋" w:eastAsia="仿宋"/>
          <w:b w:val="0"/>
          <w:bCs/>
          <w:color w:val="auto"/>
          <w:sz w:val="32"/>
          <w:szCs w:val="32"/>
          <w:highlight w:val="none"/>
        </w:rPr>
        <w:t>万元，完成预算100%，决算数等于预算数。其中：2101101行政单位医疗支出决算为</w:t>
      </w:r>
      <w:r>
        <w:rPr>
          <w:rStyle w:val="18"/>
          <w:rFonts w:hint="eastAsia" w:ascii="仿宋" w:eastAsia="仿宋"/>
          <w:b w:val="0"/>
          <w:bCs/>
          <w:color w:val="auto"/>
          <w:sz w:val="32"/>
          <w:szCs w:val="32"/>
          <w:highlight w:val="none"/>
          <w:lang w:val="en-US" w:eastAsia="zh-CN"/>
        </w:rPr>
        <w:t>53.14</w:t>
      </w:r>
      <w:r>
        <w:rPr>
          <w:rStyle w:val="18"/>
          <w:rFonts w:hint="eastAsia" w:ascii="仿宋" w:eastAsia="仿宋"/>
          <w:b w:val="0"/>
          <w:bCs/>
          <w:color w:val="auto"/>
          <w:sz w:val="32"/>
          <w:szCs w:val="32"/>
          <w:highlight w:val="none"/>
        </w:rPr>
        <w:t>万元，完成预算100%，决算数等于预算数；2101103公务员医疗补助支出决算为</w:t>
      </w:r>
      <w:r>
        <w:rPr>
          <w:rStyle w:val="18"/>
          <w:rFonts w:hint="eastAsia" w:ascii="仿宋" w:eastAsia="仿宋"/>
          <w:b w:val="0"/>
          <w:bCs/>
          <w:color w:val="auto"/>
          <w:sz w:val="32"/>
          <w:szCs w:val="32"/>
          <w:highlight w:val="none"/>
          <w:lang w:val="en-US" w:eastAsia="zh-CN"/>
        </w:rPr>
        <w:t>20.59</w:t>
      </w:r>
      <w:r>
        <w:rPr>
          <w:rStyle w:val="18"/>
          <w:rFonts w:hint="eastAsia" w:ascii="仿宋" w:eastAsia="仿宋"/>
          <w:b w:val="0"/>
          <w:bCs/>
          <w:color w:val="auto"/>
          <w:sz w:val="32"/>
          <w:szCs w:val="32"/>
          <w:highlight w:val="none"/>
        </w:rPr>
        <w:t>万元，完成预算100%，决算数等于预算数。</w:t>
      </w:r>
    </w:p>
    <w:p w14:paraId="7B380116">
      <w:pPr>
        <w:pStyle w:val="14"/>
        <w:spacing w:line="360" w:lineRule="auto"/>
        <w:ind w:firstLine="643" w:firstLineChars="200"/>
        <w:rPr>
          <w:rFonts w:hint="eastAsia" w:ascii="Times New Roman" w:hAnsi="Times New Roman" w:eastAsia="仿宋_GB2312" w:cs="仿宋_GB2312"/>
          <w:color w:val="auto"/>
          <w:kern w:val="2"/>
          <w:sz w:val="32"/>
          <w:szCs w:val="32"/>
          <w:highlight w:val="none"/>
          <w:lang w:val="en-US" w:eastAsia="zh-CN" w:bidi="ar-SA"/>
        </w:rPr>
      </w:pPr>
      <w:r>
        <w:rPr>
          <w:rStyle w:val="18"/>
          <w:rFonts w:hint="eastAsia" w:ascii="仿宋" w:eastAsia="仿宋"/>
          <w:bCs/>
          <w:sz w:val="32"/>
          <w:szCs w:val="32"/>
        </w:rPr>
        <w:t>3.住房保障支出221：</w:t>
      </w:r>
      <w:r>
        <w:rPr>
          <w:rStyle w:val="18"/>
          <w:rFonts w:hint="eastAsia" w:ascii="仿宋" w:eastAsia="仿宋"/>
          <w:b w:val="0"/>
          <w:bCs/>
          <w:color w:val="auto"/>
          <w:sz w:val="32"/>
          <w:szCs w:val="32"/>
          <w:highlight w:val="none"/>
        </w:rPr>
        <w:t>支出决算为</w:t>
      </w:r>
      <w:r>
        <w:rPr>
          <w:rStyle w:val="18"/>
          <w:rFonts w:hint="eastAsia" w:ascii="仿宋" w:eastAsia="仿宋"/>
          <w:b w:val="0"/>
          <w:bCs/>
          <w:color w:val="auto"/>
          <w:sz w:val="32"/>
          <w:szCs w:val="32"/>
          <w:highlight w:val="none"/>
          <w:lang w:val="en-US" w:eastAsia="zh-CN"/>
        </w:rPr>
        <w:t>92.01</w:t>
      </w:r>
      <w:r>
        <w:rPr>
          <w:rStyle w:val="18"/>
          <w:rFonts w:hint="eastAsia" w:ascii="仿宋" w:eastAsia="仿宋"/>
          <w:b w:val="0"/>
          <w:bCs/>
          <w:color w:val="auto"/>
          <w:sz w:val="32"/>
          <w:szCs w:val="32"/>
          <w:highlight w:val="none"/>
        </w:rPr>
        <w:t>万元，完成预</w:t>
      </w:r>
      <w:r>
        <w:rPr>
          <w:rStyle w:val="18"/>
          <w:rFonts w:hint="eastAsia" w:ascii="仿宋" w:eastAsia="仿宋"/>
          <w:b w:val="0"/>
          <w:bCs/>
          <w:sz w:val="32"/>
          <w:szCs w:val="32"/>
          <w:highlight w:val="none"/>
        </w:rPr>
        <w:t>算100%，决算数等于预算数。其中：2210201住房公积金支出决算为</w:t>
      </w:r>
      <w:r>
        <w:rPr>
          <w:rStyle w:val="18"/>
          <w:rFonts w:hint="eastAsia" w:ascii="仿宋" w:eastAsia="仿宋"/>
          <w:b w:val="0"/>
          <w:bCs/>
          <w:sz w:val="32"/>
          <w:szCs w:val="32"/>
          <w:highlight w:val="none"/>
          <w:lang w:val="en-US" w:eastAsia="zh-CN"/>
        </w:rPr>
        <w:t>88.81</w:t>
      </w:r>
      <w:r>
        <w:rPr>
          <w:rStyle w:val="18"/>
          <w:rFonts w:hint="eastAsia" w:ascii="仿宋" w:eastAsia="仿宋"/>
          <w:b w:val="0"/>
          <w:bCs/>
          <w:sz w:val="32"/>
          <w:szCs w:val="32"/>
          <w:highlight w:val="none"/>
        </w:rPr>
        <w:t>万元，完成预算100%，决算数等于预算数；2210203购房补贴支出决算为</w:t>
      </w:r>
      <w:r>
        <w:rPr>
          <w:rStyle w:val="18"/>
          <w:rFonts w:hint="eastAsia" w:ascii="仿宋" w:eastAsia="仿宋"/>
          <w:b w:val="0"/>
          <w:bCs/>
          <w:sz w:val="32"/>
          <w:szCs w:val="32"/>
          <w:highlight w:val="none"/>
          <w:lang w:val="en-US" w:eastAsia="zh-CN"/>
        </w:rPr>
        <w:t>3.2</w:t>
      </w:r>
      <w:r>
        <w:rPr>
          <w:rStyle w:val="18"/>
          <w:rFonts w:hint="eastAsia" w:ascii="仿宋" w:eastAsia="仿宋"/>
          <w:b w:val="0"/>
          <w:bCs/>
          <w:sz w:val="32"/>
          <w:szCs w:val="32"/>
          <w:highlight w:val="none"/>
        </w:rPr>
        <w:t>万元，完成预算100%，决算数等于预算数。</w:t>
      </w:r>
    </w:p>
    <w:p w14:paraId="76C9E24E">
      <w:pPr>
        <w:tabs>
          <w:tab w:val="right" w:pos="8306"/>
        </w:tabs>
        <w:spacing w:line="600" w:lineRule="exact"/>
        <w:ind w:firstLine="640"/>
        <w:outlineLvl w:val="1"/>
        <w:rPr>
          <w:rStyle w:val="21"/>
          <w:rFonts w:ascii="Times New Roman" w:hAnsi="Times New Roman"/>
          <w:color w:val="auto"/>
          <w:highlight w:val="none"/>
        </w:rPr>
      </w:pPr>
      <w:bookmarkStart w:id="36" w:name="_Toc15377214"/>
      <w:bookmarkStart w:id="3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1"/>
          <w:rFonts w:hint="eastAsia" w:ascii="Times New Roman" w:hAnsi="Times New Roman" w:eastAsia="黑体"/>
          <w:b w:val="0"/>
          <w:color w:val="auto"/>
          <w:highlight w:val="none"/>
        </w:rPr>
        <w:t>般公共预算财政拨款基本支出决算情况说明</w:t>
      </w:r>
      <w:bookmarkEnd w:id="36"/>
      <w:bookmarkEnd w:id="37"/>
      <w:r>
        <w:rPr>
          <w:rStyle w:val="21"/>
          <w:rFonts w:ascii="Times New Roman" w:hAnsi="Times New Roman" w:eastAsia="黑体"/>
          <w:b w:val="0"/>
          <w:color w:val="auto"/>
          <w:highlight w:val="none"/>
        </w:rPr>
        <w:tab/>
      </w:r>
    </w:p>
    <w:p w14:paraId="2ABB735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eastAsia="仿宋_GB2312" w:cs="仿宋_GB2312"/>
          <w:sz w:val="32"/>
          <w:szCs w:val="32"/>
        </w:rPr>
        <w:t>1732.15</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748E2F8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eastAsia="仿宋_GB2312" w:cs="仿宋_GB2312"/>
          <w:sz w:val="32"/>
          <w:szCs w:val="32"/>
        </w:rPr>
        <w:t>1410.57</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元，主要包括：基本工资、津贴补贴、奖金、伙食补助费、机关事业单位基本养老保险缴费、职业年金缴费、其他社会保障缴费、其他工资福利支出、生活补助、医疗费补助、奖励金、住房公积金等。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公用经费321.58万元，主要包括：办公费、水费、电费、邮电费、差旅费、维修（护）费、会议费、培训费、公务接待费、劳务费、委托业务费、福利费、公务用车运行维护费、其他交通费、其他商品和服务支出、</w:t>
      </w:r>
      <w:r>
        <w:rPr>
          <w:rFonts w:hint="eastAsia" w:eastAsia="仿宋_GB2312" w:cs="仿宋_GB2312"/>
          <w:color w:val="auto"/>
          <w:kern w:val="2"/>
          <w:sz w:val="32"/>
          <w:szCs w:val="32"/>
          <w:highlight w:val="none"/>
          <w:lang w:val="en-US" w:eastAsia="zh-CN" w:bidi="ar-SA"/>
        </w:rPr>
        <w:t>办公设备购置、</w:t>
      </w:r>
      <w:r>
        <w:rPr>
          <w:rFonts w:hint="eastAsia" w:ascii="Times New Roman" w:hAnsi="Times New Roman" w:eastAsia="仿宋_GB2312" w:cs="仿宋_GB2312"/>
          <w:color w:val="auto"/>
          <w:kern w:val="2"/>
          <w:sz w:val="32"/>
          <w:szCs w:val="32"/>
          <w:highlight w:val="none"/>
          <w:lang w:val="en-US" w:eastAsia="zh-CN" w:bidi="ar-SA"/>
        </w:rPr>
        <w:t>等。</w:t>
      </w:r>
    </w:p>
    <w:p w14:paraId="77057114">
      <w:pPr>
        <w:spacing w:line="600" w:lineRule="exact"/>
        <w:ind w:firstLine="640"/>
        <w:outlineLvl w:val="1"/>
        <w:rPr>
          <w:rStyle w:val="21"/>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21"/>
          <w:rFonts w:hint="eastAsia" w:ascii="Times New Roman" w:hAnsi="Times New Roman" w:eastAsia="黑体"/>
          <w:b w:val="0"/>
          <w:color w:val="auto"/>
          <w:highlight w:val="none"/>
        </w:rPr>
        <w:t>财政拨款</w:t>
      </w:r>
      <w:r>
        <w:rPr>
          <w:rStyle w:val="21"/>
          <w:rFonts w:hint="eastAsia" w:ascii="Times New Roman" w:hAnsi="Times New Roman" w:eastAsia="黑体"/>
          <w:color w:val="auto"/>
          <w:highlight w:val="none"/>
        </w:rPr>
        <w:t>“</w:t>
      </w:r>
      <w:r>
        <w:rPr>
          <w:rStyle w:val="21"/>
          <w:rFonts w:hint="eastAsia" w:ascii="Times New Roman" w:hAnsi="Times New Roman" w:eastAsia="黑体"/>
          <w:b w:val="0"/>
          <w:color w:val="auto"/>
          <w:highlight w:val="none"/>
        </w:rPr>
        <w:t>三公”经费支出决算情况说明</w:t>
      </w:r>
      <w:bookmarkEnd w:id="38"/>
      <w:bookmarkEnd w:id="39"/>
    </w:p>
    <w:p w14:paraId="6CA12FB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14:paraId="156FE4D1">
      <w:pPr>
        <w:keepNext w:val="0"/>
        <w:keepLines w:val="0"/>
        <w:widowControl/>
        <w:suppressLineNumbers w:val="0"/>
        <w:ind w:firstLine="640" w:firstLineChars="200"/>
        <w:jc w:val="left"/>
        <w:rPr>
          <w:rFonts w:hint="eastAsia" w:ascii="Times New Roman" w:hAnsi="Times New Roman" w:eastAsia="仿宋_GB2312" w:cs="仿宋_GB2312"/>
          <w:b/>
          <w:bCs/>
          <w:color w:val="FF0000"/>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58.08</w:t>
      </w:r>
      <w:r>
        <w:rPr>
          <w:rFonts w:hint="eastAsia" w:ascii="仿宋_GB2312" w:eastAsia="仿宋_GB2312" w:cs="仿宋_GB2312"/>
          <w:color w:val="auto"/>
          <w:kern w:val="2"/>
          <w:sz w:val="32"/>
          <w:szCs w:val="32"/>
          <w:highlight w:val="none"/>
          <w:lang w:val="en-US" w:eastAsia="zh-CN" w:bidi="ar-SA"/>
        </w:rPr>
        <w:t>万元，完成预算95.18%，</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57.65</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49.81</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ascii="仿宋_GB2312" w:eastAsia="仿宋_GB2312" w:cs="仿宋_GB2312"/>
          <w:color w:val="auto"/>
          <w:kern w:val="2"/>
          <w:sz w:val="32"/>
          <w:szCs w:val="32"/>
          <w:highlight w:val="none"/>
          <w:lang w:val="en-US" w:eastAsia="zh-CN" w:bidi="ar-SA"/>
        </w:rPr>
        <w:t>小于预算数的主要原因是严格执行</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过紧日子</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要求，厉行节约， 从严控制</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三公</w:t>
      </w:r>
      <w:r>
        <w:rPr>
          <w:rFonts w:hint="default" w:ascii="仿宋_GB2312" w:eastAsia="仿宋_GB2312" w:cs="仿宋_GB2312"/>
          <w:color w:val="auto"/>
          <w:kern w:val="2"/>
          <w:sz w:val="32"/>
          <w:szCs w:val="32"/>
          <w:highlight w:val="none"/>
          <w:lang w:val="en-US" w:eastAsia="zh-CN" w:bidi="ar-SA"/>
        </w:rPr>
        <w:t>”</w:t>
      </w:r>
      <w:r>
        <w:rPr>
          <w:rFonts w:hint="eastAsia" w:ascii="仿宋_GB2312" w:eastAsia="仿宋_GB2312" w:cs="仿宋_GB2312"/>
          <w:color w:val="auto"/>
          <w:kern w:val="2"/>
          <w:sz w:val="32"/>
          <w:szCs w:val="32"/>
          <w:highlight w:val="none"/>
          <w:lang w:val="en-US" w:eastAsia="zh-CN" w:bidi="ar-SA"/>
        </w:rPr>
        <w:t>经费开支。</w:t>
      </w:r>
    </w:p>
    <w:p w14:paraId="5E45EC7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14:paraId="0B609350">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eastAsia="仿宋_GB2312" w:cs="仿宋_GB2312"/>
          <w:sz w:val="32"/>
          <w:szCs w:val="32"/>
        </w:rPr>
        <w:t>57.59</w:t>
      </w:r>
      <w:r>
        <w:rPr>
          <w:rFonts w:hint="eastAsia" w:ascii="仿宋_GB2312" w:eastAsia="仿宋_GB2312" w:cs="仿宋_GB2312"/>
          <w:color w:val="auto"/>
          <w:kern w:val="2"/>
          <w:sz w:val="32"/>
          <w:szCs w:val="32"/>
          <w:highlight w:val="none"/>
          <w:lang w:val="en-US" w:eastAsia="zh-CN" w:bidi="ar-SA"/>
        </w:rPr>
        <w:t>万元，占99.16%；公务接待费支出决算</w:t>
      </w:r>
      <w:r>
        <w:rPr>
          <w:rFonts w:hint="eastAsia" w:ascii="仿宋_GB2312" w:eastAsia="仿宋_GB2312" w:cs="仿宋_GB2312"/>
          <w:sz w:val="32"/>
          <w:szCs w:val="32"/>
        </w:rPr>
        <w:t>0.48</w:t>
      </w:r>
      <w:r>
        <w:rPr>
          <w:rFonts w:hint="eastAsia" w:ascii="仿宋_GB2312" w:eastAsia="仿宋_GB2312" w:cs="仿宋_GB2312"/>
          <w:color w:val="auto"/>
          <w:kern w:val="2"/>
          <w:sz w:val="32"/>
          <w:szCs w:val="32"/>
          <w:highlight w:val="none"/>
          <w:lang w:val="en-US" w:eastAsia="zh-CN" w:bidi="ar-SA"/>
        </w:rPr>
        <w:t>万元，占0.83%。具体情况如下：</w:t>
      </w:r>
    </w:p>
    <w:p w14:paraId="4A4D73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74ABB92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C73B9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D33D07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5BA5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DC48AC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07269C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69037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FB0097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BF02A7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411480</wp:posOffset>
            </wp:positionH>
            <wp:positionV relativeFrom="paragraph">
              <wp:posOffset>-2700655</wp:posOffset>
            </wp:positionV>
            <wp:extent cx="4408805" cy="2654935"/>
            <wp:effectExtent l="4445" t="5080" r="6350" b="6985"/>
            <wp:wrapSquare wrapText="bothSides"/>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62570F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color w:val="auto"/>
          <w:sz w:val="32"/>
          <w:szCs w:val="32"/>
          <w:highlight w:val="none"/>
        </w:rPr>
        <w:t>当年无相关预算及支出。</w:t>
      </w:r>
    </w:p>
    <w:p w14:paraId="603B4AD5">
      <w:pPr>
        <w:keepNext w:val="0"/>
        <w:keepLines w:val="0"/>
        <w:widowControl/>
        <w:suppressLineNumbers w:val="0"/>
        <w:ind w:firstLine="643" w:firstLineChars="200"/>
        <w:jc w:val="left"/>
        <w:rPr>
          <w:rFonts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57.59万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57.56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49.99</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上一年度新购置公务用车</w:t>
      </w:r>
      <w:r>
        <w:rPr>
          <w:rFonts w:ascii="仿宋_GB2312" w:hAnsi="仿宋_GB2312" w:eastAsia="仿宋_GB2312" w:cs="仿宋_GB2312"/>
          <w:color w:val="000000"/>
          <w:kern w:val="0"/>
          <w:sz w:val="31"/>
          <w:szCs w:val="31"/>
          <w:lang w:val="en-US" w:eastAsia="zh-CN" w:bidi="ar"/>
        </w:rPr>
        <w:t>，</w:t>
      </w:r>
      <w:r>
        <w:rPr>
          <w:rFonts w:hint="eastAsia" w:ascii="仿宋_GB2312" w:hAnsi="仿宋_GB2312" w:eastAsia="仿宋_GB2312" w:cs="仿宋_GB2312"/>
          <w:color w:val="000000"/>
          <w:kern w:val="0"/>
          <w:sz w:val="31"/>
          <w:szCs w:val="31"/>
          <w:lang w:val="en-US" w:eastAsia="zh-CN" w:bidi="ar"/>
        </w:rPr>
        <w:t>本年未发生该类购置费，相应费用减少。</w:t>
      </w:r>
    </w:p>
    <w:p w14:paraId="243D567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w:t>
      </w:r>
      <w:r>
        <w:rPr>
          <w:rFonts w:hint="eastAsia" w:ascii="仿宋_GB2312" w:eastAsia="仿宋_GB2312"/>
          <w:color w:val="auto"/>
          <w:sz w:val="32"/>
          <w:szCs w:val="32"/>
          <w:highlight w:val="none"/>
        </w:rPr>
        <w:t>当年无相关预算及支出。</w:t>
      </w:r>
      <w:r>
        <w:rPr>
          <w:rFonts w:hint="eastAsia" w:ascii="Times New Roman" w:hAnsi="Times New Roman" w:eastAsia="仿宋_GB2312" w:cs="仿宋_GB2312"/>
          <w:color w:val="auto"/>
          <w:kern w:val="2"/>
          <w:sz w:val="32"/>
          <w:szCs w:val="32"/>
          <w:highlight w:val="none"/>
          <w:lang w:val="en-US" w:eastAsia="zh-CN" w:bidi="ar-SA"/>
        </w:rPr>
        <w:t>截至2024年12月31日，单位共有公务用车8辆，其中：轿车1辆、越野车7辆。</w:t>
      </w:r>
    </w:p>
    <w:p w14:paraId="31B337FD">
      <w:pPr>
        <w:keepNext w:val="0"/>
        <w:keepLines w:val="0"/>
        <w:widowControl/>
        <w:suppressLineNumbers w:val="0"/>
        <w:ind w:firstLine="640" w:firstLineChars="200"/>
        <w:jc w:val="left"/>
        <w:rPr>
          <w:rFonts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57.59</w:t>
      </w:r>
      <w:r>
        <w:rPr>
          <w:rFonts w:hint="eastAsia" w:ascii="Times New Roman" w:hAnsi="Times New Roman" w:eastAsia="仿宋_GB2312" w:cs="仿宋_GB2312"/>
          <w:color w:val="auto"/>
          <w:kern w:val="2"/>
          <w:sz w:val="32"/>
          <w:szCs w:val="32"/>
          <w:highlight w:val="none"/>
          <w:lang w:val="en-US" w:eastAsia="zh-CN" w:bidi="ar-SA"/>
        </w:rPr>
        <w:t>万元。主要用于</w:t>
      </w:r>
      <w:r>
        <w:rPr>
          <w:rFonts w:ascii="仿宋_GB2312" w:hAnsi="仿宋_GB2312" w:eastAsia="仿宋_GB2312" w:cs="仿宋_GB2312"/>
          <w:color w:val="000000"/>
          <w:kern w:val="0"/>
          <w:sz w:val="31"/>
          <w:szCs w:val="31"/>
          <w:lang w:val="en-US" w:eastAsia="zh-CN" w:bidi="ar"/>
        </w:rPr>
        <w:t xml:space="preserve">主要用于人社系统政策调研、规划统计、就业促进、三支一扶、技能人才队伍建设、专业技术人才队伍建设、事业单位人事制度改革、劳务开发和农民工工作、劳动关系、工资收入分配制度改革、社会保险、基金监督、争议仲裁调解、劳动监察、考试考务等工作所需的公务用车燃料费、维修费、过路过桥费、保险费等支出。 </w:t>
      </w:r>
    </w:p>
    <w:p w14:paraId="02C7EDEE">
      <w:pPr>
        <w:keepNext w:val="0"/>
        <w:keepLines w:val="0"/>
        <w:widowControl/>
        <w:suppressLineNumbers w:val="0"/>
        <w:ind w:firstLine="643"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b/>
          <w:bCs/>
          <w:color w:val="auto"/>
          <w:kern w:val="2"/>
          <w:sz w:val="32"/>
          <w:szCs w:val="32"/>
          <w:highlight w:val="none"/>
          <w:lang w:val="en-US" w:eastAsia="zh-CN" w:bidi="ar-SA"/>
        </w:rPr>
        <w:t>3.</w:t>
      </w: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eastAsia="仿宋_GB2312" w:cs="仿宋_GB2312"/>
          <w:b/>
          <w:bCs/>
          <w:color w:val="auto"/>
          <w:kern w:val="2"/>
          <w:sz w:val="32"/>
          <w:szCs w:val="32"/>
          <w:highlight w:val="none"/>
          <w:lang w:val="en-US" w:eastAsia="zh-CN" w:bidi="ar-SA"/>
        </w:rPr>
        <w:t>0.48万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14.04</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0.69</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58.97</w:t>
      </w:r>
      <w:r>
        <w:rPr>
          <w:rFonts w:hint="eastAsia" w:ascii="Times New Roman" w:hAnsi="Times New Roman" w:eastAsia="仿宋_GB2312" w:cs="仿宋_GB2312"/>
          <w:color w:val="auto"/>
          <w:kern w:val="2"/>
          <w:sz w:val="32"/>
          <w:szCs w:val="32"/>
          <w:highlight w:val="none"/>
          <w:lang w:val="en-US" w:eastAsia="zh-CN" w:bidi="ar-SA"/>
        </w:rPr>
        <w:t>%。主要原因是</w:t>
      </w:r>
      <w:r>
        <w:rPr>
          <w:rFonts w:ascii="仿宋_GB2312" w:hAnsi="仿宋_GB2312" w:eastAsia="仿宋_GB2312" w:cs="仿宋_GB2312"/>
          <w:color w:val="000000"/>
          <w:kern w:val="0"/>
          <w:sz w:val="31"/>
          <w:szCs w:val="31"/>
          <w:lang w:val="en-US" w:eastAsia="zh-CN" w:bidi="ar"/>
        </w:rPr>
        <w:t>贯彻厉行节约规定，公务接待批次、人次减少</w:t>
      </w:r>
      <w:r>
        <w:rPr>
          <w:rFonts w:hint="eastAsia" w:ascii="Times New Roman" w:hAnsi="Times New Roman" w:eastAsia="仿宋_GB2312" w:cs="仿宋_GB2312"/>
          <w:color w:val="auto"/>
          <w:kern w:val="2"/>
          <w:sz w:val="32"/>
          <w:szCs w:val="32"/>
          <w:highlight w:val="none"/>
          <w:lang w:val="en-US" w:eastAsia="zh-CN" w:bidi="ar-SA"/>
        </w:rPr>
        <w:t>。</w:t>
      </w:r>
    </w:p>
    <w:p w14:paraId="0CCAA0B5">
      <w:pPr>
        <w:keepNext w:val="0"/>
        <w:keepLines w:val="0"/>
        <w:widowControl/>
        <w:suppressLineNumbers w:val="0"/>
        <w:jc w:val="left"/>
        <w:rPr>
          <w:rFonts w:hint="eastAsia" w:ascii="仿宋_GB2312" w:hAnsi="仿宋_GB2312" w:eastAsia="仿宋_GB2312" w:cs="仿宋_GB2312"/>
          <w:color w:val="000000"/>
          <w:kern w:val="0"/>
          <w:sz w:val="31"/>
          <w:szCs w:val="31"/>
          <w:lang w:val="en-US" w:eastAsia="zh-CN" w:bidi="ar"/>
        </w:rPr>
      </w:pPr>
      <w:r>
        <w:rPr>
          <w:rFonts w:hint="eastAsia" w:ascii="Times New Roman" w:hAnsi="Times New Roman" w:eastAsia="仿宋_GB2312" w:cs="仿宋_GB2312"/>
          <w:color w:val="auto"/>
          <w:kern w:val="2"/>
          <w:sz w:val="32"/>
          <w:szCs w:val="32"/>
          <w:highlight w:val="none"/>
          <w:lang w:val="en-US" w:eastAsia="zh-CN" w:bidi="ar-SA"/>
        </w:rPr>
        <w:t>其中：国内公务接待支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0.48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ascii="仿宋_GB2312" w:hAnsi="仿宋_GB2312" w:eastAsia="仿宋_GB2312" w:cs="仿宋_GB2312"/>
          <w:color w:val="000000"/>
          <w:kern w:val="0"/>
          <w:sz w:val="31"/>
          <w:szCs w:val="31"/>
          <w:lang w:val="en-US" w:eastAsia="zh-CN" w:bidi="ar"/>
        </w:rPr>
        <w:t>我</w:t>
      </w:r>
      <w:r>
        <w:rPr>
          <w:rFonts w:hint="eastAsia" w:ascii="仿宋_GB2312" w:hAnsi="仿宋_GB2312" w:eastAsia="仿宋_GB2312" w:cs="仿宋_GB2312"/>
          <w:color w:val="000000"/>
          <w:kern w:val="0"/>
          <w:sz w:val="31"/>
          <w:szCs w:val="31"/>
          <w:lang w:val="en-US" w:eastAsia="zh-CN" w:bidi="ar"/>
        </w:rPr>
        <w:t>局</w:t>
      </w:r>
      <w:r>
        <w:rPr>
          <w:rFonts w:ascii="仿宋_GB2312" w:hAnsi="仿宋_GB2312" w:eastAsia="仿宋_GB2312" w:cs="仿宋_GB2312"/>
          <w:color w:val="000000"/>
          <w:kern w:val="0"/>
          <w:sz w:val="31"/>
          <w:szCs w:val="31"/>
          <w:lang w:val="en-US" w:eastAsia="zh-CN" w:bidi="ar"/>
        </w:rPr>
        <w:t>开展业务检查、工作调研等活动，按规定安排的工作餐费等。</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eastAsia="仿宋_GB2312" w:cs="仿宋_GB2312"/>
          <w:color w:val="auto"/>
          <w:kern w:val="2"/>
          <w:sz w:val="32"/>
          <w:szCs w:val="32"/>
          <w:highlight w:val="none"/>
          <w:lang w:val="en-US" w:eastAsia="zh-CN" w:bidi="ar-SA"/>
        </w:rPr>
        <w:t>待</w:t>
      </w:r>
      <w:r>
        <w:rPr>
          <w:rFonts w:hint="eastAsia" w:ascii="仿宋_GB2312" w:eastAsia="仿宋_GB2312" w:cs="仿宋_GB2312"/>
          <w:sz w:val="32"/>
          <w:szCs w:val="32"/>
        </w:rPr>
        <w:t>6</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rPr>
        <w:t>38</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0.48</w:t>
      </w:r>
      <w:r>
        <w:rPr>
          <w:rFonts w:hint="eastAsia" w:ascii="Times New Roman" w:hAnsi="Times New Roman" w:eastAsia="仿宋_GB2312" w:cs="仿宋_GB2312"/>
          <w:color w:val="auto"/>
          <w:kern w:val="2"/>
          <w:sz w:val="32"/>
          <w:szCs w:val="32"/>
          <w:highlight w:val="none"/>
          <w:lang w:val="en-US" w:eastAsia="zh-CN" w:bidi="ar-SA"/>
        </w:rPr>
        <w:t>万元，具体内容包</w:t>
      </w:r>
      <w:r>
        <w:rPr>
          <w:rFonts w:hint="eastAsia" w:ascii="仿宋_GB2312" w:eastAsia="仿宋_GB2312" w:cs="仿宋_GB2312"/>
          <w:color w:val="auto"/>
          <w:kern w:val="2"/>
          <w:sz w:val="32"/>
          <w:szCs w:val="32"/>
          <w:highlight w:val="none"/>
          <w:lang w:val="en-US" w:eastAsia="zh-CN" w:bidi="ar-SA"/>
        </w:rPr>
        <w:t>括：接待上级部门到我局调研和考察等开支0.3</w:t>
      </w:r>
      <w:r>
        <w:rPr>
          <w:rFonts w:hint="default" w:ascii="仿宋_GB2312" w:eastAsia="仿宋_GB2312" w:cs="仿宋_GB2312"/>
          <w:color w:val="auto"/>
          <w:kern w:val="2"/>
          <w:sz w:val="32"/>
          <w:szCs w:val="32"/>
          <w:highlight w:val="none"/>
          <w:lang w:val="en-US" w:eastAsia="zh-CN" w:bidi="ar-SA"/>
        </w:rPr>
        <w:t xml:space="preserve"> </w:t>
      </w:r>
      <w:r>
        <w:rPr>
          <w:rFonts w:hint="eastAsia" w:ascii="仿宋_GB2312" w:eastAsia="仿宋_GB2312" w:cs="仿宋_GB2312"/>
          <w:color w:val="auto"/>
          <w:kern w:val="2"/>
          <w:sz w:val="32"/>
          <w:szCs w:val="32"/>
          <w:highlight w:val="none"/>
          <w:lang w:val="en-US" w:eastAsia="zh-CN" w:bidi="ar-SA"/>
        </w:rPr>
        <w:t>万元；接待同级部门学习、交叉交流等开支 0.18万元</w:t>
      </w:r>
      <w:r>
        <w:rPr>
          <w:rFonts w:ascii="仿宋_GB2312" w:hAnsi="仿宋_GB2312" w:eastAsia="仿宋_GB2312" w:cs="仿宋_GB2312"/>
          <w:color w:val="000000"/>
          <w:kern w:val="0"/>
          <w:sz w:val="31"/>
          <w:szCs w:val="31"/>
          <w:lang w:val="en-US" w:eastAsia="zh-CN" w:bidi="ar"/>
        </w:rPr>
        <w:t>。</w:t>
      </w:r>
    </w:p>
    <w:p w14:paraId="0D9DA61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w:t>
      </w:r>
      <w:bookmarkStart w:id="42" w:name="_Toc15396610"/>
      <w:bookmarkStart w:id="43" w:name="_Toc15377218"/>
      <w:r>
        <w:rPr>
          <w:rFonts w:hint="eastAsia" w:ascii="仿宋_GB2312" w:eastAsia="仿宋_GB2312" w:cs="仿宋_GB2312"/>
          <w:color w:val="auto"/>
          <w:kern w:val="2"/>
          <w:sz w:val="32"/>
          <w:szCs w:val="32"/>
          <w:highlight w:val="none"/>
          <w:lang w:val="en-US" w:eastAsia="zh-CN" w:bidi="ar-SA"/>
        </w:rPr>
        <w:t>。</w:t>
      </w:r>
    </w:p>
    <w:p w14:paraId="4418A5FF">
      <w:pPr>
        <w:spacing w:line="600" w:lineRule="exact"/>
        <w:ind w:firstLine="640"/>
        <w:outlineLvl w:val="1"/>
        <w:rPr>
          <w:rStyle w:val="21"/>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1"/>
          <w:rFonts w:hint="eastAsia" w:ascii="Times New Roman" w:hAnsi="Times New Roman" w:eastAsia="黑体"/>
          <w:b w:val="0"/>
          <w:color w:val="auto"/>
          <w:highlight w:val="none"/>
        </w:rPr>
        <w:t>政府性基金预算支出决算情况说明</w:t>
      </w:r>
      <w:bookmarkEnd w:id="42"/>
      <w:bookmarkEnd w:id="43"/>
    </w:p>
    <w:p w14:paraId="1709E4DF">
      <w:pPr>
        <w:keepNext w:val="0"/>
        <w:keepLines w:val="0"/>
        <w:widowControl/>
        <w:suppressLineNumbers w:val="0"/>
        <w:ind w:firstLine="620" w:firstLineChars="200"/>
        <w:jc w:val="left"/>
      </w:pPr>
      <w:bookmarkStart w:id="44" w:name="_Toc15377219"/>
      <w:bookmarkStart w:id="45" w:name="_Toc15396611"/>
      <w:r>
        <w:rPr>
          <w:rFonts w:hint="default" w:ascii="Times New Roman" w:hAnsi="Times New Roman" w:eastAsia="宋体" w:cs="Times New Roman"/>
          <w:color w:val="000000"/>
          <w:kern w:val="0"/>
          <w:sz w:val="31"/>
          <w:szCs w:val="31"/>
          <w:lang w:val="en-US" w:eastAsia="zh-CN" w:bidi="ar"/>
        </w:rPr>
        <w:t xml:space="preserve">2024 </w:t>
      </w:r>
      <w:r>
        <w:rPr>
          <w:rFonts w:ascii="仿宋_GB2312" w:hAnsi="仿宋_GB2312" w:eastAsia="仿宋_GB2312" w:cs="仿宋_GB2312"/>
          <w:color w:val="000000"/>
          <w:kern w:val="0"/>
          <w:sz w:val="31"/>
          <w:szCs w:val="31"/>
          <w:lang w:val="en-US" w:eastAsia="zh-CN" w:bidi="ar"/>
        </w:rPr>
        <w:t xml:space="preserve">年度政府性基金预算财政拨款支出 </w:t>
      </w:r>
      <w:r>
        <w:rPr>
          <w:rFonts w:hint="default" w:ascii="Times New Roman" w:hAnsi="Times New Roman" w:eastAsia="宋体" w:cs="Times New Roman"/>
          <w:color w:val="000000"/>
          <w:kern w:val="0"/>
          <w:sz w:val="31"/>
          <w:szCs w:val="31"/>
          <w:lang w:val="en-US" w:eastAsia="zh-CN" w:bidi="ar"/>
        </w:rPr>
        <w:t xml:space="preserve">0 </w:t>
      </w:r>
      <w:r>
        <w:rPr>
          <w:rFonts w:ascii="仿宋_GB2312" w:hAnsi="仿宋_GB2312" w:eastAsia="仿宋_GB2312" w:cs="仿宋_GB2312"/>
          <w:color w:val="000000"/>
          <w:kern w:val="0"/>
          <w:sz w:val="31"/>
          <w:szCs w:val="31"/>
          <w:lang w:val="en-US" w:eastAsia="zh-CN" w:bidi="ar"/>
        </w:rPr>
        <w:t>万元。</w:t>
      </w:r>
    </w:p>
    <w:p w14:paraId="0DFBB7C8">
      <w:pPr>
        <w:numPr>
          <w:ilvl w:val="0"/>
          <w:numId w:val="5"/>
        </w:numPr>
        <w:spacing w:line="600" w:lineRule="exact"/>
        <w:ind w:left="630"/>
        <w:outlineLvl w:val="1"/>
        <w:rPr>
          <w:rStyle w:val="21"/>
          <w:rFonts w:hint="eastAsia" w:ascii="Times New Roman" w:hAnsi="Times New Roman" w:eastAsia="黑体"/>
          <w:b w:val="0"/>
          <w:color w:val="auto"/>
          <w:highlight w:val="none"/>
        </w:rPr>
      </w:pPr>
      <w:r>
        <w:rPr>
          <w:rStyle w:val="21"/>
          <w:rFonts w:hint="eastAsia" w:ascii="Times New Roman" w:hAnsi="Times New Roman" w:eastAsia="黑体"/>
          <w:b w:val="0"/>
          <w:color w:val="auto"/>
          <w:highlight w:val="none"/>
        </w:rPr>
        <w:t>国有资本经营预算支出决算情况说明</w:t>
      </w:r>
      <w:bookmarkEnd w:id="44"/>
      <w:bookmarkEnd w:id="45"/>
    </w:p>
    <w:p w14:paraId="51342D78">
      <w:pPr>
        <w:keepNext w:val="0"/>
        <w:keepLines w:val="0"/>
        <w:widowControl/>
        <w:suppressLineNumbers w:val="0"/>
        <w:ind w:firstLine="620" w:firstLineChars="200"/>
        <w:jc w:val="left"/>
        <w:rPr>
          <w:rStyle w:val="21"/>
          <w:rFonts w:hint="eastAsia" w:ascii="Times New Roman" w:hAnsi="Times New Roman" w:eastAsia="黑体"/>
          <w:b w:val="0"/>
          <w:color w:val="auto"/>
          <w:highlight w:val="none"/>
        </w:rPr>
      </w:pPr>
      <w:r>
        <w:rPr>
          <w:rFonts w:hint="default" w:ascii="Times New Roman" w:hAnsi="Times New Roman" w:eastAsia="宋体" w:cs="Times New Roman"/>
          <w:color w:val="000000"/>
          <w:kern w:val="0"/>
          <w:sz w:val="31"/>
          <w:szCs w:val="31"/>
          <w:lang w:val="en-US" w:eastAsia="zh-CN" w:bidi="ar"/>
        </w:rPr>
        <w:t xml:space="preserve">2024 </w:t>
      </w:r>
      <w:r>
        <w:rPr>
          <w:rFonts w:ascii="仿宋_GB2312" w:hAnsi="仿宋_GB2312" w:eastAsia="仿宋_GB2312" w:cs="仿宋_GB2312"/>
          <w:color w:val="000000"/>
          <w:kern w:val="0"/>
          <w:sz w:val="31"/>
          <w:szCs w:val="31"/>
          <w:lang w:val="en-US" w:eastAsia="zh-CN" w:bidi="ar"/>
        </w:rPr>
        <w:t xml:space="preserve">年度国有资本经营预算财政拨款支出 </w:t>
      </w:r>
      <w:r>
        <w:rPr>
          <w:rFonts w:hint="default" w:ascii="Times New Roman" w:hAnsi="Times New Roman" w:eastAsia="宋体" w:cs="Times New Roman"/>
          <w:color w:val="000000"/>
          <w:kern w:val="0"/>
          <w:sz w:val="31"/>
          <w:szCs w:val="31"/>
          <w:lang w:val="en-US" w:eastAsia="zh-CN" w:bidi="ar"/>
        </w:rPr>
        <w:t xml:space="preserve">0 </w:t>
      </w:r>
      <w:r>
        <w:rPr>
          <w:rFonts w:ascii="仿宋_GB2312" w:hAnsi="仿宋_GB2312" w:eastAsia="仿宋_GB2312" w:cs="仿宋_GB2312"/>
          <w:color w:val="000000"/>
          <w:kern w:val="0"/>
          <w:sz w:val="31"/>
          <w:szCs w:val="31"/>
          <w:lang w:val="en-US" w:eastAsia="zh-CN" w:bidi="ar"/>
        </w:rPr>
        <w:t>万元。</w:t>
      </w:r>
    </w:p>
    <w:p w14:paraId="47E31AD8">
      <w:pPr>
        <w:spacing w:line="600" w:lineRule="exact"/>
        <w:ind w:left="630"/>
        <w:outlineLvl w:val="1"/>
        <w:rPr>
          <w:rStyle w:val="21"/>
          <w:rFonts w:hint="eastAsia" w:ascii="Times New Roman" w:hAnsi="Times New Roman" w:eastAsia="黑体"/>
          <w:b w:val="0"/>
          <w:color w:val="auto"/>
          <w:highlight w:val="none"/>
        </w:rPr>
      </w:pPr>
      <w:bookmarkStart w:id="46" w:name="_Toc15377221"/>
      <w:bookmarkStart w:id="47" w:name="_Toc15396612"/>
      <w:r>
        <w:rPr>
          <w:rStyle w:val="21"/>
          <w:rFonts w:hint="eastAsia" w:ascii="Times New Roman" w:hAnsi="Times New Roman" w:eastAsia="黑体"/>
          <w:b w:val="0"/>
          <w:color w:val="auto"/>
          <w:highlight w:val="none"/>
          <w:lang w:eastAsia="zh-CN"/>
        </w:rPr>
        <w:t>十、</w:t>
      </w:r>
      <w:r>
        <w:rPr>
          <w:rStyle w:val="21"/>
          <w:rFonts w:hint="eastAsia" w:ascii="Times New Roman" w:hAnsi="Times New Roman" w:eastAsia="黑体"/>
          <w:b w:val="0"/>
          <w:color w:val="auto"/>
          <w:highlight w:val="none"/>
        </w:rPr>
        <w:t>其他重要事项的情况说明</w:t>
      </w:r>
      <w:bookmarkEnd w:id="46"/>
      <w:bookmarkEnd w:id="47"/>
    </w:p>
    <w:p w14:paraId="23F17E50">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14:paraId="2A953506">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eastAsia="仿宋_GB2312" w:cs="仿宋_GB2312"/>
          <w:color w:val="auto"/>
          <w:kern w:val="2"/>
          <w:sz w:val="32"/>
          <w:szCs w:val="32"/>
          <w:highlight w:val="none"/>
          <w:lang w:val="en-US" w:eastAsia="zh-CN" w:bidi="ar-SA"/>
        </w:rPr>
        <w:t>，</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机关运行经费支出</w:t>
      </w:r>
      <w:r>
        <w:rPr>
          <w:rFonts w:hint="eastAsia" w:ascii="仿宋_GB2312" w:eastAsia="仿宋_GB2312" w:cs="仿宋_GB2312"/>
          <w:sz w:val="32"/>
          <w:szCs w:val="32"/>
        </w:rPr>
        <w:t>321.58</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81.47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33.93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ascii="仿宋_GB2312" w:eastAsia="仿宋_GB2312"/>
          <w:color w:val="auto"/>
          <w:sz w:val="32"/>
          <w:szCs w:val="32"/>
          <w:highlight w:val="none"/>
        </w:rPr>
        <w:t>调研、出差等工作次数增加，导致日常公用经</w:t>
      </w:r>
      <w:r>
        <w:rPr>
          <w:rFonts w:hint="eastAsia" w:ascii="仿宋_GB2312" w:eastAsia="仿宋_GB2312"/>
          <w:color w:val="auto"/>
          <w:sz w:val="32"/>
          <w:szCs w:val="32"/>
          <w:highlight w:val="none"/>
          <w:lang w:val="en-US" w:eastAsia="zh-CN"/>
        </w:rPr>
        <w:t>费</w:t>
      </w:r>
      <w:r>
        <w:rPr>
          <w:rFonts w:hint="eastAsia" w:ascii="仿宋_GB2312" w:eastAsia="仿宋_GB2312"/>
          <w:color w:val="auto"/>
          <w:sz w:val="32"/>
          <w:szCs w:val="32"/>
          <w:highlight w:val="none"/>
        </w:rPr>
        <w:t>增加。</w:t>
      </w:r>
    </w:p>
    <w:p w14:paraId="29BAEA1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14:paraId="5B6A9D5D">
      <w:pPr>
        <w:keepNext w:val="0"/>
        <w:keepLines w:val="0"/>
        <w:widowControl/>
        <w:suppressLineNumbers w:val="0"/>
        <w:jc w:val="left"/>
        <w:rPr>
          <w:rFonts w:hint="default"/>
          <w:lang w:val="en-US"/>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296.7</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72.89</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223.8</w:t>
      </w:r>
      <w:r>
        <w:rPr>
          <w:rFonts w:hint="eastAsia" w:ascii="仿宋_GB2312" w:eastAsia="仿宋_GB2312" w:cs="仿宋_GB2312"/>
          <w:color w:val="auto"/>
          <w:kern w:val="2"/>
          <w:sz w:val="32"/>
          <w:szCs w:val="32"/>
          <w:highlight w:val="none"/>
          <w:lang w:val="en-US" w:eastAsia="zh-CN" w:bidi="ar-SA"/>
        </w:rPr>
        <w:t>万元。主要用于</w:t>
      </w:r>
      <w:r>
        <w:rPr>
          <w:rFonts w:ascii="仿宋_GB2312" w:hAnsi="仿宋_GB2312" w:eastAsia="仿宋_GB2312" w:cs="仿宋_GB2312"/>
          <w:color w:val="000000"/>
          <w:kern w:val="0"/>
          <w:sz w:val="31"/>
          <w:szCs w:val="31"/>
          <w:lang w:val="en-US" w:eastAsia="zh-CN" w:bidi="ar"/>
        </w:rPr>
        <w:t>单位办公设备购置</w:t>
      </w:r>
      <w:r>
        <w:rPr>
          <w:rFonts w:hint="eastAsia" w:ascii="仿宋_GB2312" w:hAnsi="仿宋_GB2312" w:eastAsia="仿宋_GB2312" w:cs="仿宋_GB2312"/>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公务用车维修保险</w:t>
      </w:r>
      <w:r>
        <w:rPr>
          <w:rFonts w:hint="eastAsia" w:ascii="仿宋_GB2312" w:hAnsi="仿宋_GB2312" w:eastAsia="仿宋_GB2312" w:cs="仿宋_GB2312"/>
          <w:color w:val="000000"/>
          <w:kern w:val="0"/>
          <w:sz w:val="31"/>
          <w:szCs w:val="31"/>
          <w:lang w:val="en-US" w:eastAsia="zh-CN" w:bidi="ar"/>
        </w:rPr>
        <w:t>、主干网络线路租赁、单位数据库核心设备维护保养、数据中心机房蓄电池采购、视频会议系统维护保养服务、阿坝州惠民惠农“一卡通”发放监管平台和阳光审批平台运行维护保养服务项目等。</w:t>
      </w:r>
    </w:p>
    <w:p w14:paraId="3D67C372">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授予中小企业合同金额</w:t>
      </w:r>
      <w:r>
        <w:rPr>
          <w:rFonts w:hint="eastAsia" w:ascii="仿宋_GB2312" w:eastAsia="仿宋_GB2312" w:cs="仿宋_GB2312"/>
          <w:sz w:val="32"/>
          <w:szCs w:val="32"/>
        </w:rPr>
        <w:t>7.6</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2.55</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7.6</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2.55</w:t>
      </w:r>
      <w:r>
        <w:rPr>
          <w:rFonts w:hint="eastAsia" w:ascii="仿宋_GB2312" w:eastAsia="仿宋_GB2312" w:cs="仿宋_GB2312"/>
          <w:color w:val="auto"/>
          <w:kern w:val="2"/>
          <w:sz w:val="32"/>
          <w:szCs w:val="32"/>
          <w:highlight w:val="none"/>
          <w:lang w:val="en-US" w:eastAsia="zh-CN" w:bidi="ar-SA"/>
        </w:rPr>
        <w:t>%。</w:t>
      </w:r>
    </w:p>
    <w:p w14:paraId="4FCC8B7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14:paraId="660D9617">
      <w:pPr>
        <w:keepNext w:val="0"/>
        <w:keepLines w:val="0"/>
        <w:widowControl/>
        <w:suppressLineNumbers w:val="0"/>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阿坝藏族羌族自治州人力资源和社会保障局</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8</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8</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辆。单价100万元（含）以上设备（不含车辆）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11CCF40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377F14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ascii="仿宋_GB2312" w:hAnsi="仿宋_GB2312" w:eastAsia="仿宋_GB2312" w:cs="仿宋_GB2312"/>
          <w:color w:val="auto"/>
          <w:sz w:val="32"/>
          <w:szCs w:val="32"/>
          <w:highlight w:val="none"/>
          <w:lang w:val="en-US" w:eastAsia="zh-CN"/>
        </w:rPr>
        <w:t>本单位行政</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hAnsi="仿宋_GB2312" w:eastAsia="仿宋_GB2312" w:cs="仿宋_GB2312"/>
          <w:color w:val="auto"/>
          <w:sz w:val="32"/>
          <w:szCs w:val="32"/>
          <w:highlight w:val="none"/>
          <w:lang w:eastAsia="zh-CN"/>
        </w:rPr>
        <w:t>人事考试工作经费</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24</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58C9361">
      <w:pPr>
        <w:keepNext w:val="0"/>
        <w:keepLines w:val="0"/>
        <w:widowControl/>
        <w:suppressLineNumbers w:val="0"/>
        <w:ind w:firstLine="640" w:firstLineChars="200"/>
        <w:jc w:val="lef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ascii="仿宋_GB2312" w:hAnsi="仿宋_GB2312" w:eastAsia="仿宋_GB2312" w:cs="仿宋_GB2312"/>
          <w:color w:val="auto"/>
          <w:sz w:val="32"/>
          <w:szCs w:val="32"/>
          <w:highlight w:val="none"/>
          <w:lang w:val="en-US" w:eastAsia="zh-CN"/>
        </w:rPr>
        <w:t>州人社局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w:t>
      </w:r>
      <w:r>
        <w:rPr>
          <w:rFonts w:hint="eastAsia" w:ascii="仿宋_GB2312" w:hAnsi="仿宋_GB2312" w:eastAsia="仿宋_GB2312" w:cs="仿宋_GB2312"/>
          <w:color w:val="auto"/>
          <w:sz w:val="32"/>
          <w:szCs w:val="32"/>
          <w:highlight w:val="none"/>
          <w:lang w:val="en-US" w:eastAsia="zh-CN"/>
        </w:rPr>
        <w:t>报人社局整体（含部门预算项目）绩效自评得分为88.23分，绩效自评综述我局各业务科室在</w:t>
      </w:r>
      <w:r>
        <w:rPr>
          <w:rFonts w:hint="eastAsia" w:ascii="Times New Roman" w:hAnsi="Times New Roman" w:eastAsia="仿宋_GB2312" w:cs="仿宋_GB2312"/>
          <w:color w:val="auto"/>
          <w:kern w:val="2"/>
          <w:sz w:val="32"/>
          <w:szCs w:val="32"/>
          <w:highlight w:val="none"/>
          <w:lang w:val="en-US" w:eastAsia="zh-CN" w:bidi="ar-SA"/>
        </w:rPr>
        <w:t>编报年度预算时严格按照要求设定项目绩效目标，并始终执行绩效目标要求。经财政对此审核调整，在年中及时对项目绩效目标进行调整，但由于些许项目涉及政府采购未能调整。同时按照相关财经纪律要求及时对我部门绩效评价在单位官网进行公开公示；绩效自评报告详见附件。</w:t>
      </w:r>
    </w:p>
    <w:p w14:paraId="0F995E8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41B197D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E2237C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909C6BB">
      <w:pPr>
        <w:spacing w:line="600" w:lineRule="exact"/>
        <w:jc w:val="center"/>
        <w:outlineLvl w:val="0"/>
        <w:rPr>
          <w:rFonts w:hint="eastAsia" w:ascii="Times New Roman" w:hAnsi="Times New Roman" w:eastAsia="黑体"/>
          <w:color w:val="auto"/>
          <w:sz w:val="44"/>
          <w:szCs w:val="44"/>
          <w:highlight w:val="none"/>
        </w:rPr>
      </w:pPr>
      <w:bookmarkStart w:id="51" w:name="_Toc15396613"/>
      <w:bookmarkStart w:id="52"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14:paraId="61BFE01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D4EF2E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96614"/>
      <w:bookmarkStart w:id="54"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14:paraId="73E6097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社会保障和就业：2080101行政运行：指反映行政单位（包括实行公务员管理的事业单位）的基本支出；2080102一般行政管理实务：指涉及组织、协调、监督和管理组织内部运营的各种事务；2080105劳动保障监察支出：指反映劳动保障监察事务支出；2080107社会保险业务管理事务支出：指社会保险业务管理和基金监督方面的支出；2080108信息化建设：指反映人力资源和社会保障部门用于信息化建设、运行维护和数据分析等方面的支出；2080109社会保险经办机构：反映社会保险经办机构开展业务工作的支出；2080110劳动关系和维权：指劳动关系和维权事务支出；2080112劳动人事争议调解仲裁：反映仲裁机构实体化建设、办案经费、调解仲裁能力建设等支出；2080150事业运行：指反应事业单位的基本支出，不包括行政单位（包括实行公务员管理的事业单位）后勤服务中心、医务室等附属事业单位；2080199其他人力资源和社会保障管理事务支出：指反映除上述项目以外其他用于人力资源和社会保障管理事务方面的支出；2080505机关事业单位基本养老保险缴费支出：指反映机关事业单位实施养老保险制度由单位缴纳的基本养老保险费支出；2080506机关事业单位职业年金缴费支出：指反映机关事业单位实施养老保险制度由单位实际缴纳的职业年金支出；2080699其他企业改革发展补助：反映除上诉项目以外财政用于企业改革发展方面的补助；2080799其他就业补助支出：反映除上诉项目以外按规定确定的其他用于促进就业的补助支出；2089999其他社会保障和就业支出：反映除上诉项目以外其他用于社会保障和就业方面的支出。</w:t>
      </w:r>
    </w:p>
    <w:p w14:paraId="66DFB9AE">
      <w:pPr>
        <w:spacing w:line="600" w:lineRule="exact"/>
        <w:ind w:firstLine="640"/>
        <w:rPr>
          <w:rFonts w:hint="default" w:ascii="仿宋_GB2312" w:eastAsia="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3.卫生健康支出：指2101101行政单位医疗：指反映财政部门安排的行政单位（包括实行公务员管理的事业单位，下同）基本医疗保险缴费经费，未参加医疗保险的行政单位的公费医疗经费，按国家规定享受离休人员、红军老战士待遇人员的医疗经费；2101102事业单位医疗支出：指反应财政部门安排的事业单位基本医疗保险缴费经费，未参加医疗</w:t>
      </w:r>
      <w:r>
        <w:rPr>
          <w:rFonts w:hint="eastAsia" w:ascii="仿宋_GB2312" w:eastAsia="仿宋_GB2312"/>
          <w:color w:val="auto"/>
          <w:sz w:val="32"/>
          <w:szCs w:val="32"/>
          <w:highlight w:val="none"/>
          <w:lang w:val="en-US" w:eastAsia="zh-CN"/>
        </w:rPr>
        <w:t>保险的事业单位的公费医疗经费，按国家规定享受离休人员待遇的医疗经费；</w:t>
      </w:r>
      <w:r>
        <w:rPr>
          <w:rFonts w:hint="eastAsia" w:ascii="仿宋_GB2312" w:eastAsia="仿宋_GB2312"/>
          <w:color w:val="000000"/>
          <w:sz w:val="32"/>
          <w:szCs w:val="32"/>
        </w:rPr>
        <w:t>2101103公务</w:t>
      </w:r>
      <w:r>
        <w:rPr>
          <w:rFonts w:ascii="仿宋_GB2312" w:eastAsia="仿宋_GB2312"/>
          <w:color w:val="000000"/>
          <w:sz w:val="32"/>
          <w:szCs w:val="32"/>
        </w:rPr>
        <w:t>员医疗补助：指反映财政部门安排的公务员医疗补助经费</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2101199其他行政事业单位医疗支出：反映除上诉项目以外的其他用于行政事业单位医疗方面的支出。</w:t>
      </w:r>
    </w:p>
    <w:p w14:paraId="30DF3826">
      <w:pPr>
        <w:ind w:firstLine="640" w:firstLineChars="200"/>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.住房保障</w:t>
      </w:r>
      <w:r>
        <w:rPr>
          <w:rFonts w:hint="eastAsia" w:ascii="仿宋_GB2312" w:eastAsia="仿宋_GB2312"/>
          <w:color w:val="auto"/>
          <w:sz w:val="32"/>
          <w:szCs w:val="32"/>
          <w:highlight w:val="none"/>
          <w:lang w:eastAsia="zh-CN"/>
        </w:rPr>
        <w:t>支出</w:t>
      </w:r>
      <w:r>
        <w:rPr>
          <w:rFonts w:hint="eastAsia" w:ascii="仿宋_GB2312" w:eastAsia="仿宋_GB2312"/>
          <w:color w:val="auto"/>
          <w:sz w:val="32"/>
          <w:szCs w:val="32"/>
          <w:highlight w:val="none"/>
        </w:rPr>
        <w:t>：</w:t>
      </w:r>
      <w:r>
        <w:rPr>
          <w:rFonts w:hint="eastAsia" w:ascii="仿宋_GB2312" w:eastAsia="仿宋_GB2312"/>
          <w:color w:val="000000"/>
          <w:sz w:val="32"/>
          <w:szCs w:val="32"/>
        </w:rPr>
        <w:t>2210201住房</w:t>
      </w:r>
      <w:r>
        <w:rPr>
          <w:rFonts w:ascii="仿宋_GB2312" w:eastAsia="仿宋_GB2312"/>
          <w:color w:val="000000"/>
          <w:sz w:val="32"/>
          <w:szCs w:val="32"/>
        </w:rPr>
        <w:t>公积金：</w:t>
      </w:r>
      <w:r>
        <w:rPr>
          <w:rFonts w:hint="eastAsia" w:ascii="仿宋_GB2312" w:eastAsia="仿宋_GB2312"/>
          <w:color w:val="000000"/>
          <w:sz w:val="32"/>
          <w:szCs w:val="32"/>
        </w:rPr>
        <w:t>指反映</w:t>
      </w:r>
      <w:r>
        <w:rPr>
          <w:rFonts w:ascii="仿宋_GB2312" w:eastAsia="仿宋_GB2312"/>
          <w:color w:val="000000"/>
          <w:sz w:val="32"/>
          <w:szCs w:val="32"/>
        </w:rPr>
        <w:t>行政事业单位按人力资源和社会保障部、财政部规定的基本工资和津贴补贴以及规定比例为职工缴纳的住房公积金</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2210203购房补贴：反映按房改政策规定，行政事业单位向符合条件职工（含离退休人员）、军队（含武警）向转役复原离退休人员发放的用于购买住房的补贴</w:t>
      </w:r>
      <w:r>
        <w:rPr>
          <w:rFonts w:hint="eastAsia" w:ascii="仿宋_GB2312" w:eastAsia="仿宋_GB2312"/>
          <w:color w:val="auto"/>
          <w:sz w:val="32"/>
          <w:szCs w:val="32"/>
          <w:highlight w:val="none"/>
        </w:rPr>
        <w:t>。</w:t>
      </w:r>
    </w:p>
    <w:p w14:paraId="3D85E8A7">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5</w:t>
      </w:r>
      <w:r>
        <w:rPr>
          <w:rFonts w:ascii="仿宋_GB2312" w:eastAsia="仿宋_GB2312"/>
          <w:color w:val="auto"/>
          <w:sz w:val="32"/>
          <w:szCs w:val="32"/>
          <w:highlight w:val="none"/>
        </w:rPr>
        <w:t>.</w:t>
      </w:r>
      <w:r>
        <w:rPr>
          <w:rFonts w:hint="eastAsia" w:ascii="仿宋_GB2312" w:eastAsia="仿宋_GB2312"/>
          <w:color w:val="auto"/>
          <w:sz w:val="32"/>
          <w:szCs w:val="32"/>
          <w:highlight w:val="none"/>
        </w:rPr>
        <w:t>基本支出：指为保障机构正常运转、完成日常工作任务而发生的人员支出和公用支出。</w:t>
      </w:r>
    </w:p>
    <w:p w14:paraId="3A620401">
      <w:pPr>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w:t>
      </w:r>
      <w:r>
        <w:rPr>
          <w:rFonts w:hint="eastAsia" w:ascii="仿宋_GB2312" w:eastAsia="仿宋_GB2312"/>
          <w:color w:val="auto"/>
          <w:sz w:val="32"/>
          <w:szCs w:val="32"/>
          <w:highlight w:val="none"/>
        </w:rPr>
        <w:t>项目支出：指在基本支出之外为完成特定行政任务和事业发展目标所发生的支出。</w:t>
      </w:r>
      <w:r>
        <w:rPr>
          <w:rFonts w:ascii="仿宋_GB2312" w:eastAsia="仿宋_GB2312"/>
          <w:color w:val="auto"/>
          <w:sz w:val="32"/>
          <w:szCs w:val="32"/>
          <w:highlight w:val="none"/>
        </w:rPr>
        <w:t xml:space="preserve"> </w:t>
      </w:r>
    </w:p>
    <w:p w14:paraId="728ED1B1">
      <w:pPr>
        <w:pStyle w:val="26"/>
        <w:spacing w:line="560" w:lineRule="exact"/>
        <w:ind w:firstLine="640" w:firstLineChars="200"/>
        <w:rPr>
          <w:rFonts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7</w:t>
      </w:r>
      <w:r>
        <w:rPr>
          <w:rFonts w:ascii="仿宋_GB2312" w:eastAsia="仿宋_GB2312"/>
          <w:color w:val="auto"/>
          <w:sz w:val="32"/>
          <w:szCs w:val="32"/>
          <w:highlight w:val="none"/>
        </w:rPr>
        <w:t>.</w:t>
      </w:r>
      <w:r>
        <w:rPr>
          <w:rFonts w:hint="eastAsia" w:ascii="仿宋_GB2312" w:eastAsia="仿宋_GB2312"/>
          <w:color w:val="auto"/>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8EE5AD">
      <w:pPr>
        <w:pStyle w:val="26"/>
        <w:spacing w:line="560" w:lineRule="exact"/>
        <w:ind w:firstLine="640" w:firstLineChars="200"/>
        <w:rPr>
          <w:rFonts w:hint="eastAsia" w:ascii="Times New Roman" w:hAnsi="Times New Roman" w:eastAsia="黑体"/>
          <w:color w:val="auto"/>
          <w:sz w:val="44"/>
          <w:szCs w:val="44"/>
          <w:highlight w:val="none"/>
        </w:rPr>
      </w:pPr>
      <w:r>
        <w:rPr>
          <w:rFonts w:hint="eastAsia" w:ascii="仿宋_GB2312" w:eastAsia="仿宋_GB2312"/>
          <w:color w:val="auto"/>
          <w:sz w:val="32"/>
          <w:szCs w:val="32"/>
          <w:highlight w:val="none"/>
          <w:lang w:val="en-US" w:eastAsia="zh-CN"/>
        </w:rPr>
        <w:t>8</w:t>
      </w:r>
      <w:r>
        <w:rPr>
          <w:rFonts w:ascii="仿宋_GB2312" w:eastAsia="仿宋_GB2312"/>
          <w:color w:val="auto"/>
          <w:sz w:val="32"/>
          <w:szCs w:val="32"/>
          <w:highlight w:val="none"/>
        </w:rPr>
        <w:t>.</w:t>
      </w:r>
      <w:r>
        <w:rPr>
          <w:rFonts w:hint="eastAsia" w:ascii="仿宋_GB2312" w:eastAsia="仿宋_GB2312"/>
          <w:color w:val="auto"/>
          <w:sz w:val="32"/>
          <w:szCs w:val="32"/>
          <w:highlight w:val="none"/>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F29CF52">
      <w:pPr>
        <w:spacing w:line="600" w:lineRule="exact"/>
        <w:jc w:val="center"/>
        <w:rPr>
          <w:rFonts w:hint="eastAsia" w:ascii="Times New Roman" w:hAnsi="Times New Roman" w:eastAsia="黑体"/>
          <w:color w:val="auto"/>
          <w:sz w:val="44"/>
          <w:szCs w:val="44"/>
          <w:highlight w:val="none"/>
        </w:rPr>
      </w:pPr>
    </w:p>
    <w:p w14:paraId="26BE7319">
      <w:pPr>
        <w:spacing w:line="600" w:lineRule="exact"/>
        <w:jc w:val="center"/>
        <w:rPr>
          <w:rFonts w:ascii="Times New Roman" w:hAnsi="Times New Roman" w:eastAsia="方正小标宋简体" w:cs="Times New Roman"/>
          <w:b w:val="0"/>
          <w:bCs/>
          <w:sz w:val="44"/>
          <w:szCs w:val="44"/>
          <w:highlight w:val="none"/>
          <w:shd w:val="clear" w:color="auto" w:fill="FFFFFF"/>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3"/>
    </w:p>
    <w:p w14:paraId="7A7745DA">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ascii="Times New Roman" w:hAnsi="Times New Roman" w:eastAsia="黑体" w:cs="Times New Roman"/>
          <w:color w:val="000000"/>
          <w:kern w:val="0"/>
          <w:sz w:val="24"/>
          <w:szCs w:val="32"/>
          <w:highlight w:val="none"/>
          <w:shd w:val="clear" w:color="auto" w:fill="FFFFFF"/>
        </w:rPr>
      </w:pPr>
      <w:r>
        <w:rPr>
          <w:rFonts w:ascii="Times New Roman" w:hAnsi="Times New Roman" w:eastAsia="方正小标宋简体" w:cs="Times New Roman"/>
          <w:b w:val="0"/>
          <w:bCs/>
          <w:sz w:val="44"/>
          <w:szCs w:val="44"/>
          <w:highlight w:val="none"/>
          <w:shd w:val="clear" w:color="auto" w:fill="FFFFFF"/>
        </w:rPr>
        <w:t>部门</w:t>
      </w:r>
      <w:r>
        <w:rPr>
          <w:rFonts w:ascii="Times New Roman" w:hAnsi="Times New Roman" w:eastAsia="方正小标宋简体" w:cs="Times New Roman"/>
          <w:b w:val="0"/>
          <w:bCs/>
          <w:sz w:val="44"/>
          <w:szCs w:val="44"/>
          <w:highlight w:val="none"/>
          <w:shd w:val="clear" w:color="auto" w:fill="FFFFFF"/>
          <w:lang w:eastAsia="zh-CN"/>
        </w:rPr>
        <w:t>预算</w:t>
      </w:r>
      <w:r>
        <w:rPr>
          <w:rFonts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ascii="Times New Roman" w:hAnsi="Times New Roman" w:eastAsia="方正小标宋简体" w:cs="Times New Roman"/>
          <w:b w:val="0"/>
          <w:bCs/>
          <w:sz w:val="44"/>
          <w:szCs w:val="44"/>
          <w:highlight w:val="none"/>
          <w:shd w:val="clear" w:color="auto" w:fill="FFFFFF"/>
        </w:rPr>
        <w:t>报告</w:t>
      </w:r>
    </w:p>
    <w:p w14:paraId="77F28C48">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ascii="Times New Roman" w:hAnsi="Times New Roman" w:eastAsia="黑体" w:cs="Times New Roman"/>
          <w:color w:val="000000"/>
          <w:kern w:val="0"/>
          <w:sz w:val="32"/>
          <w:szCs w:val="32"/>
          <w:highlight w:val="none"/>
          <w:shd w:val="clear" w:color="auto" w:fill="FFFFFF"/>
          <w:lang w:val="zh-CN"/>
        </w:rPr>
        <w:t>部门（单位）基本情况</w:t>
      </w:r>
    </w:p>
    <w:p w14:paraId="6A7A3FE4">
      <w:pPr>
        <w:keepNext w:val="0"/>
        <w:keepLines w:val="0"/>
        <w:pageBreakBefore w:val="0"/>
        <w:widowControl/>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楷体_GB2312" w:cs="楷体_GB2312"/>
          <w:b/>
          <w:color w:val="auto"/>
          <w:sz w:val="32"/>
          <w:szCs w:val="32"/>
          <w:highlight w:val="none"/>
          <w:lang w:val="zh-CN"/>
        </w:rPr>
      </w:pPr>
      <w:r>
        <w:rPr>
          <w:rFonts w:hint="eastAsia" w:ascii="Times New Roman" w:hAnsi="Times New Roman" w:eastAsia="楷体_GB2312" w:cs="楷体_GB2312"/>
          <w:b/>
          <w:color w:val="auto"/>
          <w:sz w:val="32"/>
          <w:szCs w:val="32"/>
          <w:highlight w:val="none"/>
          <w:lang w:val="zh-CN"/>
        </w:rPr>
        <w:t>（一）</w:t>
      </w:r>
      <w:r>
        <w:rPr>
          <w:rFonts w:ascii="Times New Roman" w:hAnsi="Times New Roman" w:eastAsia="楷体_GB2312" w:cs="楷体_GB2312"/>
          <w:b/>
          <w:color w:val="auto"/>
          <w:sz w:val="32"/>
          <w:szCs w:val="32"/>
          <w:highlight w:val="none"/>
          <w:lang w:val="zh-CN"/>
        </w:rPr>
        <w:t>机构组成。</w:t>
      </w:r>
    </w:p>
    <w:p w14:paraId="0EF5D76B">
      <w:pPr>
        <w:pStyle w:val="2"/>
        <w:ind w:firstLine="640" w:firstLineChars="200"/>
        <w:rPr>
          <w:rFonts w:ascii="Times New Roman" w:hAnsi="Times New Roman" w:eastAsia="楷体_GB2312" w:cs="楷体_GB2312"/>
          <w:b/>
          <w:color w:val="auto"/>
          <w:sz w:val="32"/>
          <w:szCs w:val="32"/>
          <w:highlight w:val="none"/>
          <w:lang w:val="zh-CN"/>
        </w:rPr>
      </w:pPr>
      <w:r>
        <w:rPr>
          <w:rFonts w:hint="eastAsia" w:ascii="Times New Roman" w:hAnsi="Times New Roman" w:eastAsia="仿宋_GB2312" w:cs="Times New Roman"/>
          <w:sz w:val="32"/>
          <w:szCs w:val="32"/>
          <w:lang w:val="en-US" w:eastAsia="zh-CN"/>
        </w:rPr>
        <w:t>阿坝州人力资源和社会保障局：</w:t>
      </w:r>
      <w:r>
        <w:rPr>
          <w:rFonts w:hint="eastAsia" w:ascii="仿宋" w:eastAsia="仿宋"/>
          <w:sz w:val="32"/>
          <w:szCs w:val="32"/>
        </w:rPr>
        <w:t>本单位本年度纳入本套决算编制范围的独立编制机构数共1个，比上年增加0个；独立核算机构数共1个，比上年增加0个。</w:t>
      </w:r>
    </w:p>
    <w:p w14:paraId="6AC88159">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ascii="Times New Roman" w:hAnsi="Times New Roman" w:eastAsia="楷体_GB2312" w:cs="楷体_GB2312"/>
          <w:b/>
          <w:color w:val="auto"/>
          <w:sz w:val="32"/>
          <w:szCs w:val="32"/>
          <w:highlight w:val="none"/>
          <w:lang w:val="zh-CN"/>
        </w:rPr>
        <w:t>机构职能</w:t>
      </w:r>
      <w:r>
        <w:rPr>
          <w:rFonts w:hint="eastAsia" w:ascii="Times New Roman" w:hAnsi="Times New Roman" w:eastAsia="仿宋_GB2312" w:cs="Times New Roman"/>
          <w:sz w:val="32"/>
          <w:szCs w:val="32"/>
          <w:lang w:val="en-US" w:eastAsia="zh-CN"/>
        </w:rPr>
        <w:t>。</w:t>
      </w:r>
    </w:p>
    <w:p w14:paraId="172CC111">
      <w:pPr>
        <w:keepNext w:val="0"/>
        <w:keepLines w:val="0"/>
        <w:widowControl/>
        <w:suppressLineNumbers w:val="0"/>
        <w:ind w:firstLine="620" w:firstLineChars="200"/>
        <w:jc w:val="left"/>
        <w:rPr>
          <w:rFonts w:hint="default" w:ascii="Times New Roman" w:hAnsi="Times New Roman" w:eastAsia="仿宋_GB2312" w:cs="Times New Roman"/>
          <w:sz w:val="32"/>
          <w:szCs w:val="32"/>
          <w:lang w:val="en-US" w:eastAsia="zh-CN"/>
        </w:rPr>
      </w:pPr>
      <w:r>
        <w:rPr>
          <w:rFonts w:ascii="仿宋_GB2312" w:hAnsi="仿宋_GB2312" w:eastAsia="仿宋_GB2312" w:cs="仿宋_GB2312"/>
          <w:color w:val="000000"/>
          <w:kern w:val="0"/>
          <w:sz w:val="31"/>
          <w:szCs w:val="31"/>
          <w:lang w:val="en-US" w:eastAsia="zh-CN" w:bidi="ar"/>
        </w:rPr>
        <w:t>本部门主要承担以下基本职能</w:t>
      </w:r>
      <w:r>
        <w:rPr>
          <w:rFonts w:hint="eastAsia" w:ascii="仿宋_GB2312" w:hAnsi="仿宋_GB2312" w:eastAsia="仿宋_GB2312" w:cs="仿宋_GB2312"/>
          <w:color w:val="000000"/>
          <w:kern w:val="0"/>
          <w:sz w:val="31"/>
          <w:szCs w:val="31"/>
          <w:lang w:val="en-US" w:eastAsia="zh-CN" w:bidi="ar"/>
        </w:rPr>
        <w:t>：</w:t>
      </w:r>
    </w:p>
    <w:p w14:paraId="7817A2D1">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sz w:val="32"/>
          <w:szCs w:val="32"/>
          <w:lang w:val="en-US" w:eastAsia="zh-CN"/>
        </w:rPr>
      </w:pPr>
      <w:r>
        <w:rPr>
          <w:rFonts w:hint="eastAsia" w:ascii="仿宋_GB2312" w:eastAsia="仿宋_GB2312"/>
          <w:sz w:val="32"/>
          <w:szCs w:val="32"/>
          <w:highlight w:val="none"/>
          <w:lang w:val="en-US" w:eastAsia="zh-CN"/>
        </w:rPr>
        <w:t>1、拟订人力资源和社会保障事业发展政策、规划，起草相关民族自治法规和规范性文件草案。2、拟订人力资源市场发展规划和人力资源服务业发展、人力资源流动政策，促进人力资源合理流动、有效配置。3、负责促进就业工作，拟订统筹城乡的就业发展规划和政策，完善公共就业创业服务体系，统筹建立面向城乡劳动者的职业技能培训制度，拟订并组织落实创业、就业援助制度，牵头拟订高校毕业生就业政策。4、统筹推进建立覆盖城乡的多层次社会保障体系。拟订养老、失业、工伤等社会保险及其补充保险政策和标准。贯彻落实养老保险全国统筹办法和全国统一的养老、失业、工伤保险关系转续办法。组织拟订养老、失业、工伤等社会保险及其补充保险基金管理和监督办法，编制相关社会保险基金预决算草案，参与拟订相关社会保障基金投资政策。会同有关部门实施全民参保计划并参与建立全国统一的社会保险公共服务平台。拟订人力资源和社会保障信息化建设总体规划、年度计划，制定相关制度、标准和规范并组织实施。指导、督促企业参加工伤保险。5、负责就业、失业和相关社会保险基金预测预警和信息引导，拟订应对预案，实施预防、调节和控制，保持就业形势稳定和相关社会保险基金总体收支平衡。6、统筹拟订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7、牵头推进深化职称制度改革，拟订专业技术人员管理、继续教育和博士后管理等政策，负责高层次专业技术人才选拔和培养工作，贯彻落实吸引留学人员来州（回州）工作或定居政策。组织拟订技能人才培养、评价、使用和激励制度。贯彻落实职业资格制度，健全职业技能多元化评价政策。指导、监督各级各类技工学校、民办职业培训机构按国家和省、州有关规定履行安全管理责任。8、会同有关部门指导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9、组织实施国家表彰奖励制度，综合管理政府表彰奖励工作，承担评比达标表彰等工作，根据授权承办以州委、州政府名义开展的表彰奖励活动。承办提请州人大常委会和州政府决定的人事任免事项。10、会同有关部门拟订事业单位人员工资收入分配政策，建立企事业单位人员工资决定、正常增长和支付保障机制。拟订企事业单位人员福利和离退休政策。11、会同有关部门拟订农民工工作的综合性政策和规划，推动相关政策落实，协调解决重点难点问题，维护农民工合法权益。负责将安全生产纳入农民工技能培训内容。12、负责人力资源和社会保障领域内的对外交流与合作工作。13、承担职责范围内的安全生产和职业健康、生态环境保护、审批服务便民化等工作。14.统筹拟订劳动、人事争议调解仲裁制度和劳动关系政策并组织和监督实施，完善劳动关系协调机制，贯彻企业职工工作时间、休息休假制度、消除非法使用童工政策和女工、未成年工的特殊劳动保护政策，组织实施劳动监察，协调劳动者维权工作，依法查处重大案件。15、完成州委、州政府交办的其他任务。16、职能转变。深入推进简政放权、放管结合、优化服务改革，进一步减少行政审批事项，规范和优化对外办理事项，减少职业资格许可和认定等审批事项，实行职业资格目录清单管理，加强事中事后监管，创新就业和社会保障等公共服务方式，加强信息共享，提高公共服务水平。17、有关职责分工。与州教育局的有关职责分工。高校毕业生就业政策由州人力资源社会保障局牵头，会同州教育局等部门拟订。高校毕业生离校前的就业指导和服务工作，由州教育局负责；高校毕业生离校后的就业指导和服务工作，由州人力资源社会保障局负责。18、负责阿坝州劳动人事争议仲裁委员会的日常工作； 依法处理州本级管理范围内的劳动争议案件及上级交办、外地委托的案件;根据阿坝州劳动人事争议仲裁委员会授权，负责仲裁员的培训、考核、聘任工作,并对全州仲裁员调解员进行管理；参与调解和仲裁涉及劳动人事突发事件、群体、疑难及重大案件; 承担本行政区域内企业及职工开展劳动人事争议预防工作和处理程序方面的法律、法规、政策知识宣传和培训工作。19、负责宣传人力资源和社会保障政策、法规、 规章、制度；受理人力资源和社会保障举报、投诉；负责完善人力资源和社会保障政策法规知识库，并提供咨询服务；负责收集人力资源和社会保障业务办理流程并录入系统，引导群众按流程办理相关人社业务；负责有关人事招录方面的咨询服务；负责养老、失业、工伤保险和职业年金的参保缴费和待遇领取等信息的电话查询服务，负责个人社保权益的电话查询服务；负责惠民惠农财政补贴资金社会保障卡“一卡通”和社会保障卡业务办理查询服务。20、贯彻执行国家和人力资源社会保障部信息化建设有关法律、法规和技术规范，严格执行数据的定义、标准和分类，确保人力资源和社会保障信息化建设和数据符合国家统一要求；建立健全各项规章制度和应急预案；负责全州人力资源社会保障信息系统建设和业务数据管理维护；负责信息化建设硬件设备预算采购、配备等工作；负责人力资源社会保障公共服务系统建设；负责社会保障卡跨地区、跨部门推广应用和数据交换；负责社会保障卡“一卡通”信息系统运行、管理、维护；负责社会保障卡的信息采集、制作、发放、密码重置、密码修改、激活等业务；推进社会保障卡功能拓展应 用；组织开展社会保障卡宣传和业务培训；承担局信息化领导小组办公室的日常工作；指导各县（市）完成信息化建设、信息系统应用和相关业务工作。21、承担各类执业（职业）资格考试、专业技术资格考试、事业单位公开招聘考试、社会化考试的组织实施工作，协助做好公务员录用、公开遴选、公开选调等考试的考务组织工作。22、贯彻执行《中华人民共和国档案法》等档案法律法 规，向社会各界和群众无偿提供档案查阅利用服务；建立健全局机关档案工作规章制度；负责局机关档案收集、整理、保管、统计、利用服务和期满档案移交工作；统一代管局属各事业单位和经办机构档案。</w:t>
      </w:r>
    </w:p>
    <w:p w14:paraId="2FE8A9F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7F1F91C4">
      <w:pPr>
        <w:keepNext w:val="0"/>
        <w:keepLines w:val="0"/>
        <w:widowControl/>
        <w:suppressLineNumbers w:val="0"/>
        <w:ind w:firstLine="640" w:firstLineChars="200"/>
        <w:jc w:val="left"/>
        <w:rPr>
          <w:rFonts w:hint="default" w:ascii="Times New Roman" w:hAnsi="Times New Roman" w:cs="Times New Roman"/>
          <w:sz w:val="20"/>
          <w:szCs w:val="28"/>
          <w:lang w:val="en-US"/>
        </w:rPr>
      </w:pPr>
      <w:r>
        <w:rPr>
          <w:rFonts w:hint="eastAsia" w:ascii="Times New Roman" w:hAnsi="Times New Roman" w:eastAsia="仿宋_GB2312" w:cs="Times New Roman"/>
          <w:color w:val="auto"/>
          <w:kern w:val="2"/>
          <w:sz w:val="32"/>
          <w:szCs w:val="32"/>
          <w:lang w:val="en-US" w:eastAsia="zh-CN" w:bidi="ar-SA"/>
        </w:rPr>
        <w:t>阿坝州人力资源和社会保障局</w:t>
      </w:r>
      <w:r>
        <w:rPr>
          <w:rFonts w:hint="eastAsia" w:eastAsia="仿宋_GB2312" w:cs="Times New Roman"/>
          <w:color w:val="auto"/>
          <w:kern w:val="2"/>
          <w:sz w:val="32"/>
          <w:szCs w:val="32"/>
          <w:lang w:val="en-US" w:eastAsia="zh-CN" w:bidi="ar-SA"/>
        </w:rPr>
        <w:t>：</w:t>
      </w:r>
      <w:r>
        <w:rPr>
          <w:rFonts w:ascii="Times New Roman" w:hAnsi="Times New Roman" w:eastAsia="仿宋_GB2312" w:cs="Times New Roman"/>
          <w:sz w:val="32"/>
          <w:szCs w:val="32"/>
          <w:lang w:val="en-US" w:eastAsia="zh-CN"/>
        </w:rPr>
        <w:t>截至202</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lang w:val="en-US" w:eastAsia="zh-CN"/>
        </w:rPr>
        <w:t>年末</w:t>
      </w:r>
      <w:r>
        <w:rPr>
          <w:rFonts w:ascii="Times New Roman" w:hAnsi="Times New Roman" w:eastAsia="仿宋_GB2312" w:cs="Times New Roman"/>
          <w:sz w:val="28"/>
          <w:szCs w:val="28"/>
          <w:lang w:val="en-US" w:eastAsia="zh-CN"/>
        </w:rPr>
        <w:t>，</w:t>
      </w:r>
      <w:r>
        <w:rPr>
          <w:rFonts w:hint="eastAsia" w:eastAsia="仿宋_GB2312" w:cs="Times New Roman"/>
          <w:sz w:val="28"/>
          <w:szCs w:val="28"/>
          <w:lang w:val="en-US" w:eastAsia="zh-CN"/>
        </w:rPr>
        <w:t>编制内</w:t>
      </w:r>
      <w:r>
        <w:rPr>
          <w:rFonts w:ascii="Times New Roman" w:hAnsi="Times New Roman" w:eastAsia="仿宋_GB2312" w:cs="Times New Roman"/>
          <w:sz w:val="28"/>
          <w:szCs w:val="28"/>
          <w:lang w:val="en-US" w:eastAsia="zh-CN"/>
        </w:rPr>
        <w:t>实有人数</w:t>
      </w:r>
      <w:r>
        <w:rPr>
          <w:rFonts w:hint="eastAsia" w:eastAsia="仿宋_GB2312" w:cs="Times New Roman"/>
          <w:sz w:val="28"/>
          <w:szCs w:val="28"/>
          <w:lang w:val="en-US" w:eastAsia="zh-CN"/>
        </w:rPr>
        <w:t>42人，</w:t>
      </w:r>
      <w:r>
        <w:rPr>
          <w:rFonts w:ascii="仿宋_GB2312" w:hAnsi="仿宋_GB2312" w:eastAsia="仿宋_GB2312" w:cs="仿宋_GB2312"/>
          <w:color w:val="000000"/>
          <w:kern w:val="0"/>
          <w:sz w:val="31"/>
          <w:szCs w:val="31"/>
          <w:lang w:val="en-US" w:eastAsia="zh-CN" w:bidi="ar"/>
        </w:rPr>
        <w:t xml:space="preserve">其中公务员 </w:t>
      </w:r>
      <w:r>
        <w:rPr>
          <w:rFonts w:hint="eastAsia" w:ascii="仿宋_GB2312" w:hAnsi="仿宋_GB2312" w:eastAsia="仿宋_GB2312" w:cs="仿宋_GB2312"/>
          <w:color w:val="000000"/>
          <w:kern w:val="0"/>
          <w:sz w:val="31"/>
          <w:szCs w:val="31"/>
          <w:lang w:val="en-US" w:eastAsia="zh-CN" w:bidi="ar"/>
        </w:rPr>
        <w:t>37</w:t>
      </w:r>
      <w:r>
        <w:rPr>
          <w:rFonts w:ascii="仿宋_GB2312" w:hAnsi="仿宋_GB2312" w:eastAsia="仿宋_GB2312" w:cs="仿宋_GB2312"/>
          <w:color w:val="000000"/>
          <w:kern w:val="0"/>
          <w:sz w:val="31"/>
          <w:szCs w:val="31"/>
          <w:lang w:val="en-US" w:eastAsia="zh-CN" w:bidi="ar"/>
        </w:rPr>
        <w:t>人</w:t>
      </w:r>
      <w:r>
        <w:rPr>
          <w:rFonts w:hint="eastAsia" w:ascii="仿宋_GB2312" w:hAnsi="仿宋_GB2312" w:eastAsia="仿宋_GB2312" w:cs="仿宋_GB2312"/>
          <w:color w:val="000000"/>
          <w:kern w:val="0"/>
          <w:sz w:val="31"/>
          <w:szCs w:val="31"/>
          <w:lang w:val="en-US" w:eastAsia="zh-CN" w:bidi="ar"/>
        </w:rPr>
        <w:t>，行政工勤5人。</w:t>
      </w:r>
    </w:p>
    <w:p w14:paraId="406FAD7F">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eastAsia="zh-CN"/>
        </w:rPr>
      </w:pPr>
      <w:r>
        <w:rPr>
          <w:rFonts w:ascii="Times New Roman" w:hAnsi="Times New Roman" w:eastAsia="黑体" w:cs="Times New Roman"/>
          <w:color w:val="000000"/>
          <w:kern w:val="0"/>
          <w:sz w:val="32"/>
          <w:szCs w:val="32"/>
          <w:highlight w:val="none"/>
          <w:shd w:val="clear" w:color="auto" w:fill="FFFFFF"/>
          <w:lang w:val="zh-CN" w:eastAsia="zh-CN"/>
        </w:rPr>
        <w:t>二、部门资金收支情况</w:t>
      </w:r>
    </w:p>
    <w:p w14:paraId="13AAAC96">
      <w:pPr>
        <w:keepNext w:val="0"/>
        <w:keepLines w:val="0"/>
        <w:widowControl/>
        <w:suppressLineNumbers w:val="0"/>
        <w:jc w:val="left"/>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ascii="Times New Roman" w:hAnsi="Times New Roman" w:eastAsia="楷体_GB2312" w:cs="Times New Roman"/>
          <w:b/>
          <w:bCs/>
          <w:color w:val="000000"/>
          <w:kern w:val="0"/>
          <w:sz w:val="32"/>
          <w:szCs w:val="32"/>
          <w:highlight w:val="none"/>
          <w:shd w:val="clear" w:color="auto" w:fill="FFFFFF"/>
          <w:lang w:val="zh-CN"/>
        </w:rPr>
        <w:t>。</w:t>
      </w:r>
    </w:p>
    <w:p w14:paraId="1599B987">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2024年年初预算收入</w:t>
      </w:r>
      <w:r>
        <w:rPr>
          <w:rFonts w:hint="eastAsia" w:eastAsia="仿宋_GB2312" w:cs="Times New Roman"/>
          <w:sz w:val="32"/>
          <w:szCs w:val="32"/>
          <w:lang w:val="en-US" w:eastAsia="zh-CN"/>
        </w:rPr>
        <w:t>2341.72万元，</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2178.78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93.04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74.13</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3.17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88.81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3.79</w:t>
      </w:r>
      <w:r>
        <w:rPr>
          <w:rFonts w:hint="eastAsia" w:ascii="Times New Roman" w:hAnsi="Times New Roman" w:eastAsia="仿宋_GB2312" w:cs="Times New Roman"/>
          <w:sz w:val="32"/>
          <w:szCs w:val="32"/>
          <w:lang w:val="en-US" w:eastAsia="zh-CN"/>
        </w:rPr>
        <w:t>%。</w:t>
      </w:r>
    </w:p>
    <w:p w14:paraId="69115802">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eastAsia="仿宋_GB2312" w:cs="Times New Roman"/>
          <w:sz w:val="32"/>
          <w:szCs w:val="32"/>
          <w:lang w:val="en-US" w:eastAsia="zh-CN"/>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年决算报表收入</w:t>
      </w:r>
      <w:r>
        <w:rPr>
          <w:rFonts w:hint="eastAsia" w:eastAsia="仿宋_GB2312" w:cs="Times New Roman"/>
          <w:sz w:val="32"/>
          <w:szCs w:val="32"/>
          <w:lang w:val="en-US" w:eastAsia="zh-CN"/>
        </w:rPr>
        <w:t>2765.01</w:t>
      </w:r>
      <w:r>
        <w:rPr>
          <w:rFonts w:hint="eastAsia" w:ascii="Times New Roman" w:hAnsi="Times New Roman" w:eastAsia="仿宋_GB2312" w:cs="Times New Roman"/>
          <w:sz w:val="32"/>
          <w:szCs w:val="32"/>
          <w:lang w:val="en-US" w:eastAsia="zh-CN"/>
        </w:rPr>
        <w:t>万元，其中社会保障和就业支出</w:t>
      </w:r>
      <w:r>
        <w:rPr>
          <w:rFonts w:hint="eastAsia" w:eastAsia="仿宋_GB2312" w:cs="Times New Roman"/>
          <w:sz w:val="32"/>
          <w:szCs w:val="32"/>
          <w:lang w:val="en-US" w:eastAsia="zh-CN"/>
        </w:rPr>
        <w:t>2542.28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91.94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73.72</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2.67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92.01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3.33</w:t>
      </w:r>
      <w:r>
        <w:rPr>
          <w:rFonts w:hint="eastAsia" w:ascii="Times New Roman" w:hAnsi="Times New Roman" w:eastAsia="仿宋_GB2312" w:cs="Times New Roman"/>
          <w:sz w:val="32"/>
          <w:szCs w:val="32"/>
          <w:lang w:val="en-US" w:eastAsia="zh-CN"/>
        </w:rPr>
        <w:t>%。</w:t>
      </w:r>
    </w:p>
    <w:p w14:paraId="24D1EE7E">
      <w:pPr>
        <w:keepNext w:val="0"/>
        <w:keepLines w:val="0"/>
        <w:pageBreakBefore w:val="0"/>
        <w:widowControl/>
        <w:numPr>
          <w:ilvl w:val="0"/>
          <w:numId w:val="7"/>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p>
    <w:p w14:paraId="44C18350">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年年初预算支出</w:t>
      </w:r>
      <w:r>
        <w:rPr>
          <w:rFonts w:hint="eastAsia" w:eastAsia="仿宋_GB2312" w:cs="Times New Roman"/>
          <w:sz w:val="32"/>
          <w:szCs w:val="32"/>
          <w:lang w:val="en-US" w:eastAsia="zh-CN"/>
        </w:rPr>
        <w:t>2341.72万元，</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2178.78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93.04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74.13</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3.17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88.81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3.79</w:t>
      </w:r>
      <w:r>
        <w:rPr>
          <w:rFonts w:hint="eastAsia" w:ascii="Times New Roman" w:hAnsi="Times New Roman" w:eastAsia="仿宋_GB2312" w:cs="Times New Roman"/>
          <w:sz w:val="32"/>
          <w:szCs w:val="32"/>
          <w:lang w:val="en-US" w:eastAsia="zh-CN"/>
        </w:rPr>
        <w:t>%。</w:t>
      </w:r>
    </w:p>
    <w:p w14:paraId="51E5AB57">
      <w:pPr>
        <w:keepNext w:val="0"/>
        <w:keepLines w:val="0"/>
        <w:pageBreakBefore w:val="0"/>
        <w:widowControl/>
        <w:kinsoku/>
        <w:wordWrap/>
        <w:overflowPunct/>
        <w:topLinePunct w:val="0"/>
        <w:autoSpaceDE/>
        <w:autoSpaceDN/>
        <w:bidi w:val="0"/>
        <w:adjustRightInd w:val="0"/>
        <w:snapToGrid w:val="0"/>
        <w:spacing w:line="578" w:lineRule="exact"/>
        <w:ind w:firstLine="620"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en-US"/>
        </w:rPr>
      </w:pPr>
      <w:r>
        <w:rPr>
          <w:rFonts w:hint="eastAsia" w:ascii="仿宋_GB2312" w:hAnsi="仿宋_GB2312" w:eastAsia="仿宋_GB2312" w:cs="仿宋_GB2312"/>
          <w:color w:val="000000"/>
          <w:kern w:val="0"/>
          <w:sz w:val="31"/>
          <w:szCs w:val="31"/>
          <w:lang w:val="en-US" w:eastAsia="zh-CN" w:bidi="ar"/>
        </w:rPr>
        <w:t>行政</w:t>
      </w:r>
      <w:r>
        <w:rPr>
          <w:rFonts w:hint="eastAsia" w:ascii="Times New Roman" w:hAnsi="Times New Roman" w:eastAsia="仿宋_GB2312" w:cs="Times New Roman"/>
          <w:sz w:val="32"/>
          <w:szCs w:val="32"/>
          <w:lang w:val="en-US" w:eastAsia="zh-CN"/>
        </w:rPr>
        <w:t>202</w:t>
      </w:r>
      <w:r>
        <w:rPr>
          <w:rFonts w:hint="eastAsia" w:eastAsia="仿宋_GB2312" w:cs="Times New Roman"/>
          <w:sz w:val="32"/>
          <w:szCs w:val="32"/>
          <w:lang w:val="en-US" w:eastAsia="zh-CN"/>
        </w:rPr>
        <w:t>4</w:t>
      </w:r>
      <w:r>
        <w:rPr>
          <w:rFonts w:hint="eastAsia" w:ascii="Times New Roman" w:hAnsi="Times New Roman" w:eastAsia="仿宋_GB2312" w:cs="Times New Roman"/>
          <w:sz w:val="32"/>
          <w:szCs w:val="32"/>
          <w:lang w:val="en-US" w:eastAsia="zh-CN"/>
        </w:rPr>
        <w:t>年决算报表支出</w:t>
      </w:r>
      <w:r>
        <w:rPr>
          <w:rFonts w:hint="eastAsia" w:eastAsia="仿宋_GB2312" w:cs="Times New Roman"/>
          <w:sz w:val="32"/>
          <w:szCs w:val="32"/>
          <w:lang w:val="en-US" w:eastAsia="zh-CN"/>
        </w:rPr>
        <w:t>2765.01</w:t>
      </w:r>
      <w:r>
        <w:rPr>
          <w:rFonts w:hint="eastAsia" w:ascii="Times New Roman" w:hAnsi="Times New Roman" w:eastAsia="仿宋_GB2312" w:cs="Times New Roman"/>
          <w:sz w:val="32"/>
          <w:szCs w:val="32"/>
          <w:lang w:val="en-US" w:eastAsia="zh-CN"/>
        </w:rPr>
        <w:t>万元，基本支出</w:t>
      </w:r>
      <w:r>
        <w:rPr>
          <w:rFonts w:hint="eastAsia" w:eastAsia="仿宋_GB2312" w:cs="Times New Roman"/>
          <w:sz w:val="32"/>
          <w:szCs w:val="32"/>
          <w:lang w:val="en-US" w:eastAsia="zh-CN"/>
        </w:rPr>
        <w:t>1732.15</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62.65</w:t>
      </w:r>
      <w:r>
        <w:rPr>
          <w:rFonts w:hint="eastAsia" w:ascii="Times New Roman" w:hAnsi="Times New Roman" w:eastAsia="仿宋_GB2312" w:cs="Times New Roman"/>
          <w:sz w:val="32"/>
          <w:szCs w:val="32"/>
          <w:lang w:val="en-US" w:eastAsia="zh-CN"/>
        </w:rPr>
        <w:t>%；项目支出</w:t>
      </w:r>
      <w:r>
        <w:rPr>
          <w:rFonts w:hint="eastAsia" w:eastAsia="仿宋_GB2312" w:cs="Times New Roman"/>
          <w:sz w:val="32"/>
          <w:szCs w:val="32"/>
          <w:lang w:val="en-US" w:eastAsia="zh-CN"/>
        </w:rPr>
        <w:t>1032.87</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37.36</w:t>
      </w:r>
      <w:r>
        <w:rPr>
          <w:rFonts w:hint="eastAsia" w:ascii="Times New Roman" w:hAnsi="Times New Roman" w:eastAsia="仿宋_GB2312" w:cs="Times New Roman"/>
          <w:sz w:val="32"/>
          <w:szCs w:val="32"/>
          <w:lang w:val="en-US" w:eastAsia="zh-CN"/>
        </w:rPr>
        <w:t>%。（其中社会保障和就业支出</w:t>
      </w:r>
      <w:r>
        <w:rPr>
          <w:rFonts w:hint="eastAsia" w:eastAsia="仿宋_GB2312" w:cs="Times New Roman"/>
          <w:sz w:val="32"/>
          <w:szCs w:val="32"/>
          <w:lang w:val="en-US" w:eastAsia="zh-CN"/>
        </w:rPr>
        <w:t>2542.28</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91.94</w:t>
      </w:r>
      <w:r>
        <w:rPr>
          <w:rFonts w:hint="eastAsia" w:ascii="Times New Roman" w:hAnsi="Times New Roman" w:eastAsia="仿宋_GB2312" w:cs="Times New Roman"/>
          <w:sz w:val="32"/>
          <w:szCs w:val="32"/>
          <w:lang w:val="en-US" w:eastAsia="zh-CN"/>
        </w:rPr>
        <w:t>%；卫生健康支出</w:t>
      </w:r>
      <w:r>
        <w:rPr>
          <w:rFonts w:hint="eastAsia" w:eastAsia="仿宋_GB2312" w:cs="Times New Roman"/>
          <w:sz w:val="32"/>
          <w:szCs w:val="32"/>
          <w:lang w:val="en-US" w:eastAsia="zh-CN"/>
        </w:rPr>
        <w:t>73.72</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2.67</w:t>
      </w:r>
      <w:r>
        <w:rPr>
          <w:rFonts w:hint="eastAsia" w:ascii="Times New Roman" w:hAnsi="Times New Roman" w:eastAsia="仿宋_GB2312" w:cs="Times New Roman"/>
          <w:sz w:val="32"/>
          <w:szCs w:val="32"/>
          <w:lang w:val="en-US" w:eastAsia="zh-CN"/>
        </w:rPr>
        <w:t>%；住房保障支出</w:t>
      </w:r>
      <w:r>
        <w:rPr>
          <w:rFonts w:hint="eastAsia" w:eastAsia="仿宋_GB2312" w:cs="Times New Roman"/>
          <w:sz w:val="32"/>
          <w:szCs w:val="32"/>
          <w:lang w:val="en-US" w:eastAsia="zh-CN"/>
        </w:rPr>
        <w:t>92.01</w:t>
      </w:r>
      <w:r>
        <w:rPr>
          <w:rFonts w:hint="eastAsia" w:ascii="Times New Roman" w:hAnsi="Times New Roman" w:eastAsia="仿宋_GB2312" w:cs="Times New Roman"/>
          <w:sz w:val="32"/>
          <w:szCs w:val="32"/>
          <w:lang w:val="en-US" w:eastAsia="zh-CN"/>
        </w:rPr>
        <w:t>万元，占比</w:t>
      </w:r>
      <w:r>
        <w:rPr>
          <w:rFonts w:hint="eastAsia" w:eastAsia="仿宋_GB2312" w:cs="Times New Roman"/>
          <w:sz w:val="32"/>
          <w:szCs w:val="32"/>
          <w:lang w:val="en-US" w:eastAsia="zh-CN"/>
        </w:rPr>
        <w:t>3.33</w:t>
      </w:r>
      <w:r>
        <w:rPr>
          <w:rFonts w:hint="eastAsia" w:ascii="Times New Roman" w:hAnsi="Times New Roman" w:eastAsia="仿宋_GB2312" w:cs="Times New Roman"/>
          <w:sz w:val="32"/>
          <w:szCs w:val="32"/>
          <w:lang w:val="en-US" w:eastAsia="zh-CN"/>
        </w:rPr>
        <w:t>%。）</w:t>
      </w:r>
      <w:r>
        <w:rPr>
          <w:rFonts w:hint="eastAsia" w:eastAsia="仿宋_GB2312" w:cs="Times New Roman"/>
          <w:sz w:val="32"/>
          <w:szCs w:val="32"/>
          <w:lang w:val="en-US" w:eastAsia="zh-CN"/>
        </w:rPr>
        <w:t xml:space="preserve">                                                                                                                                                                                                                                                                                                                                                                                                                                                                                                                                                                                                                                                                                                                                                                                                                             </w:t>
      </w:r>
    </w:p>
    <w:p w14:paraId="50ED139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仿宋_GB2312" w:cs="Times New Roman"/>
          <w:b w:val="0"/>
          <w:bCs w:val="0"/>
          <w:color w:val="000000"/>
          <w:kern w:val="0"/>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仿宋_GB2312" w:cs="仿宋_GB2312"/>
          <w:color w:val="auto"/>
          <w:kern w:val="2"/>
          <w:sz w:val="32"/>
          <w:szCs w:val="32"/>
          <w:highlight w:val="none"/>
          <w:lang w:val="en-US" w:eastAsia="zh-CN" w:bidi="ar-SA"/>
        </w:rPr>
        <w:t>行政</w:t>
      </w:r>
      <w:r>
        <w:rPr>
          <w:rFonts w:hint="eastAsia" w:ascii="Times New Roman" w:hAnsi="Times New Roman" w:eastAsia="仿宋_GB2312" w:cs="Times New Roman"/>
          <w:sz w:val="32"/>
          <w:szCs w:val="32"/>
          <w:lang w:val="en-US" w:eastAsia="zh-CN"/>
        </w:rPr>
        <w:t>2024年决算报表</w:t>
      </w:r>
      <w:r>
        <w:rPr>
          <w:rFonts w:ascii="Times New Roman" w:hAnsi="Times New Roman" w:eastAsia="仿宋_GB2312" w:cs="Times New Roman"/>
          <w:sz w:val="32"/>
          <w:szCs w:val="32"/>
          <w:lang w:val="en-US" w:eastAsia="zh-CN"/>
        </w:rPr>
        <w:t>结转结余</w:t>
      </w:r>
      <w:r>
        <w:rPr>
          <w:rFonts w:hint="eastAsia" w:eastAsia="仿宋_GB2312" w:cs="Times New Roman"/>
          <w:sz w:val="32"/>
          <w:szCs w:val="32"/>
          <w:lang w:val="en-US" w:eastAsia="zh-CN"/>
        </w:rPr>
        <w:t>为0</w:t>
      </w:r>
      <w:r>
        <w:rPr>
          <w:rFonts w:ascii="Times New Roman" w:hAnsi="Times New Roman" w:eastAsia="仿宋_GB2312" w:cs="Times New Roman"/>
          <w:sz w:val="32"/>
          <w:szCs w:val="32"/>
          <w:lang w:val="en-US" w:eastAsia="zh-CN"/>
        </w:rPr>
        <w:t>。</w:t>
      </w:r>
    </w:p>
    <w:p w14:paraId="0D830AAF">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eastAsia="zh-CN"/>
        </w:rPr>
      </w:pPr>
      <w:r>
        <w:rPr>
          <w:rFonts w:ascii="Times New Roman" w:hAnsi="Times New Roman" w:eastAsia="黑体" w:cs="Times New Roman"/>
          <w:color w:val="000000"/>
          <w:kern w:val="0"/>
          <w:sz w:val="32"/>
          <w:szCs w:val="32"/>
          <w:highlight w:val="none"/>
          <w:shd w:val="clear" w:color="auto" w:fill="FFFFFF"/>
          <w:lang w:val="zh-CN" w:eastAsia="zh-CN"/>
        </w:rPr>
        <w:t>三、部门预算绩效分析</w:t>
      </w:r>
    </w:p>
    <w:p w14:paraId="4C872292">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ascii="Times New Roman" w:hAnsi="Times New Roman" w:eastAsia="楷体_GB2312" w:cs="Times New Roman"/>
          <w:b/>
          <w:bCs/>
          <w:color w:val="000000"/>
          <w:kern w:val="0"/>
          <w:sz w:val="32"/>
          <w:szCs w:val="32"/>
          <w:highlight w:val="none"/>
          <w:shd w:val="clear" w:color="auto" w:fill="FFFFFF"/>
          <w:lang w:val="zh-CN"/>
        </w:rPr>
        <w:t>总体绩效分析。</w:t>
      </w:r>
      <w:r>
        <w:rPr>
          <w:rFonts w:ascii="Times New Roman" w:hAnsi="Times New Roman" w:eastAsia="仿宋_GB2312" w:cs="仿宋_GB2312"/>
          <w:color w:val="auto"/>
          <w:kern w:val="2"/>
          <w:sz w:val="32"/>
          <w:szCs w:val="32"/>
          <w:highlight w:val="none"/>
          <w:lang w:val="zh-CN" w:eastAsia="zh-CN" w:bidi="ar-SA"/>
        </w:rPr>
        <w:t>根据部门预算绩效评价指标体系</w:t>
      </w:r>
      <w:r>
        <w:rPr>
          <w:rFonts w:hint="eastAsia" w:ascii="Times New Roman" w:hAnsi="Times New Roman" w:eastAsia="仿宋_GB2312" w:cs="仿宋_GB2312"/>
          <w:color w:val="auto"/>
          <w:kern w:val="2"/>
          <w:sz w:val="32"/>
          <w:szCs w:val="32"/>
          <w:highlight w:val="none"/>
          <w:lang w:val="zh-CN" w:eastAsia="zh-CN" w:bidi="ar-SA"/>
        </w:rPr>
        <w:t>“</w:t>
      </w:r>
      <w:r>
        <w:rPr>
          <w:rFonts w:ascii="Times New Roman" w:hAnsi="Times New Roman" w:eastAsia="仿宋_GB2312" w:cs="仿宋_GB2312"/>
          <w:color w:val="auto"/>
          <w:kern w:val="2"/>
          <w:sz w:val="32"/>
          <w:szCs w:val="32"/>
          <w:highlight w:val="none"/>
          <w:lang w:val="zh-CN" w:eastAsia="zh-CN" w:bidi="ar-SA"/>
        </w:rPr>
        <w:t>总体绩效</w:t>
      </w:r>
      <w:r>
        <w:rPr>
          <w:rFonts w:hint="eastAsia" w:ascii="Times New Roman" w:hAnsi="Times New Roman" w:eastAsia="仿宋_GB2312" w:cs="仿宋_GB2312"/>
          <w:color w:val="auto"/>
          <w:kern w:val="2"/>
          <w:sz w:val="32"/>
          <w:szCs w:val="32"/>
          <w:highlight w:val="none"/>
          <w:lang w:val="zh-CN" w:eastAsia="zh-CN" w:bidi="ar-SA"/>
        </w:rPr>
        <w:t>”</w:t>
      </w:r>
      <w:r>
        <w:rPr>
          <w:rFonts w:ascii="Times New Roman" w:hAnsi="Times New Roman" w:eastAsia="仿宋_GB2312" w:cs="仿宋_GB2312"/>
          <w:color w:val="auto"/>
          <w:kern w:val="2"/>
          <w:sz w:val="32"/>
          <w:szCs w:val="32"/>
          <w:highlight w:val="none"/>
          <w:lang w:val="zh-CN" w:eastAsia="zh-CN" w:bidi="ar-SA"/>
        </w:rPr>
        <w:t>涉及</w:t>
      </w:r>
      <w:r>
        <w:rPr>
          <w:rFonts w:hint="eastAsia" w:ascii="Times New Roman" w:hAnsi="Times New Roman" w:eastAsia="仿宋_GB2312" w:cs="仿宋_GB2312"/>
          <w:color w:val="auto"/>
          <w:kern w:val="2"/>
          <w:sz w:val="32"/>
          <w:szCs w:val="32"/>
          <w:highlight w:val="none"/>
          <w:lang w:val="zh-CN" w:eastAsia="zh-CN" w:bidi="ar-SA"/>
        </w:rPr>
        <w:t>二、三级</w:t>
      </w:r>
      <w:r>
        <w:rPr>
          <w:rFonts w:ascii="Times New Roman" w:hAnsi="Times New Roman" w:eastAsia="仿宋_GB2312" w:cs="仿宋_GB2312"/>
          <w:color w:val="auto"/>
          <w:kern w:val="2"/>
          <w:sz w:val="32"/>
          <w:szCs w:val="32"/>
          <w:highlight w:val="none"/>
          <w:lang w:val="zh-CN" w:eastAsia="zh-CN" w:bidi="ar-SA"/>
        </w:rPr>
        <w:t>指标进行</w:t>
      </w:r>
      <w:r>
        <w:rPr>
          <w:rFonts w:hint="eastAsia" w:ascii="Times New Roman" w:hAnsi="Times New Roman" w:eastAsia="仿宋_GB2312" w:cs="仿宋_GB2312"/>
          <w:color w:val="auto"/>
          <w:kern w:val="2"/>
          <w:sz w:val="32"/>
          <w:szCs w:val="32"/>
          <w:highlight w:val="none"/>
          <w:lang w:val="zh-CN" w:eastAsia="zh-CN" w:bidi="ar-SA"/>
        </w:rPr>
        <w:t>逐项</w:t>
      </w:r>
      <w:r>
        <w:rPr>
          <w:rFonts w:ascii="Times New Roman" w:hAnsi="Times New Roman" w:eastAsia="仿宋_GB2312" w:cs="仿宋_GB2312"/>
          <w:color w:val="auto"/>
          <w:kern w:val="2"/>
          <w:sz w:val="32"/>
          <w:szCs w:val="32"/>
          <w:highlight w:val="none"/>
          <w:lang w:val="zh-CN" w:eastAsia="zh-CN" w:bidi="ar-SA"/>
        </w:rPr>
        <w:t>绩效分析</w:t>
      </w:r>
      <w:r>
        <w:rPr>
          <w:rFonts w:hint="eastAsia" w:ascii="Times New Roman" w:hAnsi="Times New Roman" w:eastAsia="仿宋_GB2312" w:cs="仿宋_GB2312"/>
          <w:color w:val="auto"/>
          <w:kern w:val="2"/>
          <w:sz w:val="32"/>
          <w:szCs w:val="32"/>
          <w:highlight w:val="none"/>
          <w:lang w:val="zh-CN" w:eastAsia="zh-CN" w:bidi="ar-SA"/>
        </w:rPr>
        <w:t>并评分</w:t>
      </w:r>
      <w:r>
        <w:rPr>
          <w:rFonts w:ascii="Times New Roman" w:hAnsi="Times New Roman" w:eastAsia="仿宋_GB2312" w:cs="仿宋_GB2312"/>
          <w:color w:val="auto"/>
          <w:kern w:val="2"/>
          <w:sz w:val="32"/>
          <w:szCs w:val="32"/>
          <w:highlight w:val="none"/>
          <w:lang w:val="zh-CN" w:eastAsia="zh-CN" w:bidi="ar-SA"/>
        </w:rPr>
        <w:t>，依次包括履职效能、预算管理、财务管理、资产管理、采购管理等情况。</w:t>
      </w:r>
    </w:p>
    <w:p w14:paraId="223564DC">
      <w:pPr>
        <w:keepNext w:val="0"/>
        <w:keepLines w:val="0"/>
        <w:widowControl/>
        <w:suppressLineNumbers w:val="0"/>
        <w:jc w:val="left"/>
        <w:rPr>
          <w:rFonts w:hint="eastAsia" w:ascii="Times New Roman" w:hAnsi="Times New Roman" w:eastAsia="仿宋_GB2312" w:cs="仿宋_GB2312"/>
          <w:color w:val="auto"/>
          <w:kern w:val="2"/>
          <w:sz w:val="32"/>
          <w:szCs w:val="32"/>
          <w:highlight w:val="none"/>
          <w:lang w:val="zh-CN" w:eastAsia="zh-CN" w:bidi="ar-SA"/>
        </w:rPr>
      </w:pPr>
      <w:r>
        <w:rPr>
          <w:rFonts w:hint="eastAsia" w:ascii="Times New Roman" w:hAnsi="Times New Roman"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zh-CN" w:eastAsia="zh-CN" w:bidi="ar-SA"/>
        </w:rPr>
        <w:t>履职效能。</w:t>
      </w:r>
    </w:p>
    <w:p w14:paraId="05CED89B">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hint="default" w:ascii="Times New Roman" w:hAnsi="Times New Roman" w:eastAsia="仿宋_GB2312" w:cs="仿宋_GB2312"/>
          <w:color w:val="auto"/>
          <w:kern w:val="2"/>
          <w:sz w:val="32"/>
          <w:szCs w:val="32"/>
          <w:highlight w:val="none"/>
          <w:lang w:val="en-US" w:eastAsia="zh-CN" w:bidi="ar-SA"/>
        </w:rPr>
        <w:t>202</w:t>
      </w:r>
      <w:r>
        <w:rPr>
          <w:rFonts w:hint="eastAsia" w:eastAsia="仿宋_GB2312" w:cs="仿宋_GB2312"/>
          <w:color w:val="auto"/>
          <w:kern w:val="2"/>
          <w:sz w:val="32"/>
          <w:szCs w:val="32"/>
          <w:highlight w:val="none"/>
          <w:lang w:val="en-US" w:eastAsia="zh-CN" w:bidi="ar-SA"/>
        </w:rPr>
        <w:t>4</w:t>
      </w:r>
      <w:r>
        <w:rPr>
          <w:rFonts w:ascii="Times New Roman" w:hAnsi="Times New Roman" w:eastAsia="仿宋_GB2312" w:cs="仿宋_GB2312"/>
          <w:color w:val="auto"/>
          <w:kern w:val="2"/>
          <w:sz w:val="32"/>
          <w:szCs w:val="32"/>
          <w:highlight w:val="none"/>
          <w:lang w:val="en-US" w:eastAsia="zh-CN" w:bidi="ar-SA"/>
        </w:rPr>
        <w:t>年</w:t>
      </w:r>
      <w:r>
        <w:rPr>
          <w:rFonts w:hint="eastAsia"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我</w:t>
      </w:r>
      <w:r>
        <w:rPr>
          <w:rFonts w:hint="eastAsia" w:eastAsia="仿宋_GB2312" w:cs="仿宋_GB2312"/>
          <w:color w:val="auto"/>
          <w:kern w:val="2"/>
          <w:sz w:val="32"/>
          <w:szCs w:val="32"/>
          <w:highlight w:val="none"/>
          <w:lang w:val="en-US" w:eastAsia="zh-CN" w:bidi="ar-SA"/>
        </w:rPr>
        <w:t>局</w:t>
      </w:r>
      <w:r>
        <w:rPr>
          <w:rFonts w:ascii="Times New Roman" w:hAnsi="Times New Roman" w:eastAsia="仿宋_GB2312" w:cs="仿宋_GB2312"/>
          <w:color w:val="auto"/>
          <w:kern w:val="2"/>
          <w:sz w:val="32"/>
          <w:szCs w:val="32"/>
          <w:highlight w:val="none"/>
          <w:lang w:val="en-US" w:eastAsia="zh-CN" w:bidi="ar-SA"/>
        </w:rPr>
        <w:t>深入贯彻落实党的二十大精神和习近平总书记来川重要指示精神，采取更加有力的措施抓好党中央和省委部署落地落实，全力推进四川人社事业高质量发展。一是坚决扛起政</w:t>
      </w:r>
      <w:r>
        <w:rPr>
          <w:rFonts w:hint="eastAsia" w:ascii="Times New Roman" w:hAnsi="Times New Roman" w:eastAsia="仿宋_GB2312" w:cs="仿宋_GB2312"/>
          <w:color w:val="auto"/>
          <w:kern w:val="2"/>
          <w:sz w:val="32"/>
          <w:szCs w:val="32"/>
          <w:highlight w:val="none"/>
          <w:lang w:val="en-US" w:eastAsia="zh-CN" w:bidi="ar-SA"/>
        </w:rPr>
        <w:t>－ 30 －</w:t>
      </w:r>
      <w:r>
        <w:rPr>
          <w:rFonts w:ascii="Times New Roman" w:hAnsi="Times New Roman" w:eastAsia="仿宋_GB2312" w:cs="仿宋_GB2312"/>
          <w:color w:val="auto"/>
          <w:kern w:val="2"/>
          <w:sz w:val="32"/>
          <w:szCs w:val="32"/>
          <w:highlight w:val="none"/>
          <w:lang w:val="en-US" w:eastAsia="zh-CN" w:bidi="ar-SA"/>
        </w:rPr>
        <w:t>治责任，大力实施就业促进行动，促进高质量充分就业；二是大力实施社会保障行动，切实兜牢民生底线，不断完善社会保障体系；三是有力激发人才创新创造活力，持续深化人才人事机制改革；四是大力实施分配关系行动，建立更加合理有序的工资收入分配制度；五是有效防范化解风险，积极构建和谐劳动关系；六是深入推进</w:t>
      </w:r>
      <w:r>
        <w:rPr>
          <w:rFonts w:hint="default"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温暖人社</w:t>
      </w:r>
      <w:r>
        <w:rPr>
          <w:rFonts w:hint="default" w:ascii="Times New Roman" w:hAnsi="Times New Roman" w:eastAsia="仿宋_GB2312" w:cs="仿宋_GB2312"/>
          <w:color w:val="auto"/>
          <w:kern w:val="2"/>
          <w:sz w:val="32"/>
          <w:szCs w:val="32"/>
          <w:highlight w:val="none"/>
          <w:lang w:val="en-US" w:eastAsia="zh-CN" w:bidi="ar-SA"/>
        </w:rPr>
        <w:t>”</w:t>
      </w:r>
      <w:r>
        <w:rPr>
          <w:rFonts w:ascii="Times New Roman" w:hAnsi="Times New Roman" w:eastAsia="仿宋_GB2312" w:cs="仿宋_GB2312"/>
          <w:color w:val="auto"/>
          <w:kern w:val="2"/>
          <w:sz w:val="32"/>
          <w:szCs w:val="32"/>
          <w:highlight w:val="none"/>
          <w:lang w:val="en-US" w:eastAsia="zh-CN" w:bidi="ar-SA"/>
        </w:rPr>
        <w:t xml:space="preserve">建设，持续提升人社服务水平。选取全省城镇新增就业人数、全省城镇职工基本养老保险参保人数、全省工伤保险参保人数、全省就业困难人员就业人数、全省失业保险参保人数、全省城镇失业人员再就业人数完成效果进行分析，完成情况如下：全省城镇新增就业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85 </w:t>
      </w:r>
      <w:r>
        <w:rPr>
          <w:rFonts w:ascii="Times New Roman" w:hAnsi="Times New Roman" w:eastAsia="仿宋_GB2312" w:cs="仿宋_GB2312"/>
          <w:color w:val="auto"/>
          <w:kern w:val="2"/>
          <w:sz w:val="32"/>
          <w:szCs w:val="32"/>
          <w:highlight w:val="none"/>
          <w:lang w:val="en-US" w:eastAsia="zh-CN" w:bidi="ar-SA"/>
        </w:rPr>
        <w:t xml:space="preserve">万人，全年实际完成值为 </w:t>
      </w:r>
      <w:r>
        <w:rPr>
          <w:rFonts w:hint="default" w:ascii="Times New Roman" w:hAnsi="Times New Roman" w:eastAsia="仿宋_GB2312" w:cs="仿宋_GB2312"/>
          <w:color w:val="auto"/>
          <w:kern w:val="2"/>
          <w:sz w:val="32"/>
          <w:szCs w:val="32"/>
          <w:highlight w:val="none"/>
          <w:lang w:val="en-US" w:eastAsia="zh-CN" w:bidi="ar-SA"/>
        </w:rPr>
        <w:t xml:space="preserve">106.04 </w:t>
      </w:r>
      <w:r>
        <w:rPr>
          <w:rFonts w:ascii="Times New Roman" w:hAnsi="Times New Roman" w:eastAsia="仿宋_GB2312" w:cs="仿宋_GB2312"/>
          <w:color w:val="auto"/>
          <w:kern w:val="2"/>
          <w:sz w:val="32"/>
          <w:szCs w:val="32"/>
          <w:highlight w:val="none"/>
          <w:lang w:val="en-US" w:eastAsia="zh-CN" w:bidi="ar-SA"/>
        </w:rPr>
        <w:t xml:space="preserve">万人；全省城镇职工基本养老保险参保人数年初设定指标值为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3415 </w:t>
      </w:r>
      <w:r>
        <w:rPr>
          <w:rFonts w:ascii="Times New Roman" w:hAnsi="Times New Roman" w:eastAsia="仿宋_GB2312" w:cs="仿宋_GB2312"/>
          <w:color w:val="auto"/>
          <w:kern w:val="2"/>
          <w:sz w:val="32"/>
          <w:szCs w:val="32"/>
          <w:highlight w:val="none"/>
          <w:lang w:val="en-US" w:eastAsia="zh-CN" w:bidi="ar-SA"/>
        </w:rPr>
        <w:t>万人，全年实际完成值为</w:t>
      </w:r>
      <w:r>
        <w:rPr>
          <w:rFonts w:hint="default" w:ascii="Times New Roman" w:hAnsi="Times New Roman" w:eastAsia="仿宋_GB2312" w:cs="仿宋_GB2312"/>
          <w:color w:val="auto"/>
          <w:kern w:val="2"/>
          <w:sz w:val="32"/>
          <w:szCs w:val="32"/>
          <w:highlight w:val="none"/>
          <w:lang w:val="en-US" w:eastAsia="zh-CN" w:bidi="ar-SA"/>
        </w:rPr>
        <w:t xml:space="preserve">3463.91 </w:t>
      </w:r>
      <w:r>
        <w:rPr>
          <w:rFonts w:ascii="Times New Roman" w:hAnsi="Times New Roman" w:eastAsia="仿宋_GB2312" w:cs="仿宋_GB2312"/>
          <w:color w:val="auto"/>
          <w:kern w:val="2"/>
          <w:sz w:val="32"/>
          <w:szCs w:val="32"/>
          <w:highlight w:val="none"/>
          <w:lang w:val="en-US" w:eastAsia="zh-CN" w:bidi="ar-SA"/>
        </w:rPr>
        <w:t>万人；全</w:t>
      </w:r>
      <w:r>
        <w:rPr>
          <w:rFonts w:hint="eastAsia" w:eastAsia="仿宋_GB2312" w:cs="仿宋_GB2312"/>
          <w:color w:val="auto"/>
          <w:kern w:val="2"/>
          <w:sz w:val="32"/>
          <w:szCs w:val="32"/>
          <w:highlight w:val="none"/>
          <w:lang w:val="en-US" w:eastAsia="zh-CN" w:bidi="ar-SA"/>
        </w:rPr>
        <w:t>州</w:t>
      </w:r>
      <w:r>
        <w:rPr>
          <w:rFonts w:ascii="Times New Roman" w:hAnsi="Times New Roman" w:eastAsia="仿宋_GB2312" w:cs="仿宋_GB2312"/>
          <w:color w:val="auto"/>
          <w:kern w:val="2"/>
          <w:sz w:val="32"/>
          <w:szCs w:val="32"/>
          <w:highlight w:val="none"/>
          <w:lang w:val="en-US" w:eastAsia="zh-CN" w:bidi="ar-SA"/>
        </w:rPr>
        <w:t xml:space="preserve">工伤保险参保人数年初设定指标值为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1550 </w:t>
      </w:r>
      <w:r>
        <w:rPr>
          <w:rFonts w:ascii="Times New Roman" w:hAnsi="Times New Roman" w:eastAsia="仿宋_GB2312" w:cs="仿宋_GB2312"/>
          <w:color w:val="auto"/>
          <w:kern w:val="2"/>
          <w:sz w:val="32"/>
          <w:szCs w:val="32"/>
          <w:highlight w:val="none"/>
          <w:lang w:val="en-US" w:eastAsia="zh-CN" w:bidi="ar-SA"/>
        </w:rPr>
        <w:t>万人，全年实际完成值</w:t>
      </w:r>
      <w:r>
        <w:rPr>
          <w:rFonts w:hint="eastAsia" w:eastAsia="仿宋_GB2312" w:cs="仿宋_GB2312"/>
          <w:color w:val="auto"/>
          <w:kern w:val="2"/>
          <w:sz w:val="32"/>
          <w:szCs w:val="32"/>
          <w:highlight w:val="none"/>
          <w:lang w:val="en-US" w:eastAsia="zh-CN" w:bidi="ar-SA"/>
        </w:rPr>
        <w:t>为</w:t>
      </w:r>
      <w:r>
        <w:rPr>
          <w:rFonts w:hint="default" w:ascii="Times New Roman" w:hAnsi="Times New Roman" w:eastAsia="仿宋_GB2312" w:cs="仿宋_GB2312"/>
          <w:color w:val="auto"/>
          <w:kern w:val="2"/>
          <w:sz w:val="32"/>
          <w:szCs w:val="32"/>
          <w:highlight w:val="none"/>
          <w:lang w:val="en-US" w:eastAsia="zh-CN" w:bidi="ar-SA"/>
        </w:rPr>
        <w:t>1638.31</w:t>
      </w:r>
      <w:r>
        <w:rPr>
          <w:rFonts w:ascii="Times New Roman" w:hAnsi="Times New Roman" w:eastAsia="仿宋_GB2312" w:cs="仿宋_GB2312"/>
          <w:color w:val="auto"/>
          <w:kern w:val="2"/>
          <w:sz w:val="32"/>
          <w:szCs w:val="32"/>
          <w:highlight w:val="none"/>
          <w:lang w:val="en-US" w:eastAsia="zh-CN" w:bidi="ar-SA"/>
        </w:rPr>
        <w:t>万人；全省就业困难人员就业人数年初设定指标值</w:t>
      </w:r>
      <w:r>
        <w:rPr>
          <w:rFonts w:hint="eastAsia" w:eastAsia="仿宋_GB2312" w:cs="仿宋_GB2312"/>
          <w:color w:val="auto"/>
          <w:kern w:val="2"/>
          <w:sz w:val="32"/>
          <w:szCs w:val="32"/>
          <w:highlight w:val="none"/>
          <w:lang w:val="en-US" w:eastAsia="zh-CN" w:bidi="ar-SA"/>
        </w:rPr>
        <w:t>为</w:t>
      </w:r>
      <w:r>
        <w:rPr>
          <w:rFonts w:hint="default" w:ascii="Times New Roman" w:hAnsi="Times New Roman" w:eastAsia="仿宋_GB2312" w:cs="仿宋_GB2312"/>
          <w:color w:val="auto"/>
          <w:kern w:val="2"/>
          <w:sz w:val="32"/>
          <w:szCs w:val="32"/>
          <w:highlight w:val="none"/>
          <w:lang w:val="en-US" w:eastAsia="zh-CN" w:bidi="ar-SA"/>
        </w:rPr>
        <w:t>6</w:t>
      </w:r>
      <w:r>
        <w:rPr>
          <w:rFonts w:ascii="Times New Roman" w:hAnsi="Times New Roman" w:eastAsia="仿宋_GB2312" w:cs="仿宋_GB2312"/>
          <w:color w:val="auto"/>
          <w:kern w:val="2"/>
          <w:sz w:val="32"/>
          <w:szCs w:val="32"/>
          <w:highlight w:val="none"/>
          <w:lang w:val="en-US" w:eastAsia="zh-CN" w:bidi="ar-SA"/>
        </w:rPr>
        <w:t xml:space="preserve">万人，全年实际完成值为 </w:t>
      </w:r>
      <w:r>
        <w:rPr>
          <w:rFonts w:hint="default" w:ascii="Times New Roman" w:hAnsi="Times New Roman" w:eastAsia="仿宋_GB2312" w:cs="仿宋_GB2312"/>
          <w:color w:val="auto"/>
          <w:kern w:val="2"/>
          <w:sz w:val="32"/>
          <w:szCs w:val="32"/>
          <w:highlight w:val="none"/>
          <w:lang w:val="en-US" w:eastAsia="zh-CN" w:bidi="ar-SA"/>
        </w:rPr>
        <w:t xml:space="preserve">8.47 </w:t>
      </w:r>
      <w:r>
        <w:rPr>
          <w:rFonts w:ascii="Times New Roman" w:hAnsi="Times New Roman" w:eastAsia="仿宋_GB2312" w:cs="仿宋_GB2312"/>
          <w:color w:val="auto"/>
          <w:kern w:val="2"/>
          <w:sz w:val="32"/>
          <w:szCs w:val="32"/>
          <w:highlight w:val="none"/>
          <w:lang w:val="en-US" w:eastAsia="zh-CN" w:bidi="ar-SA"/>
        </w:rPr>
        <w:t xml:space="preserve">万人；全省失业保险参保人数 年初设定指标值 </w:t>
      </w:r>
      <w:r>
        <w:rPr>
          <w:rFonts w:hint="default" w:ascii="Times New Roman" w:hAnsi="Times New Roman" w:eastAsia="仿宋_GB2312" w:cs="仿宋_GB2312"/>
          <w:color w:val="auto"/>
          <w:kern w:val="2"/>
          <w:sz w:val="32"/>
          <w:szCs w:val="32"/>
          <w:highlight w:val="none"/>
          <w:lang w:val="en-US" w:eastAsia="zh-CN" w:bidi="ar-SA"/>
        </w:rPr>
        <w:t xml:space="preserve">1190 </w:t>
      </w:r>
      <w:r>
        <w:rPr>
          <w:rFonts w:ascii="Times New Roman" w:hAnsi="Times New Roman" w:eastAsia="仿宋_GB2312" w:cs="仿宋_GB2312"/>
          <w:color w:val="auto"/>
          <w:kern w:val="2"/>
          <w:sz w:val="32"/>
          <w:szCs w:val="32"/>
          <w:highlight w:val="none"/>
          <w:lang w:val="en-US" w:eastAsia="zh-CN" w:bidi="ar-SA"/>
        </w:rPr>
        <w:t>万人，全年实际完成值为</w:t>
      </w:r>
      <w:r>
        <w:rPr>
          <w:rFonts w:hint="default" w:ascii="Times New Roman" w:hAnsi="Times New Roman" w:eastAsia="仿宋_GB2312" w:cs="仿宋_GB2312"/>
          <w:color w:val="auto"/>
          <w:kern w:val="2"/>
          <w:sz w:val="32"/>
          <w:szCs w:val="32"/>
          <w:highlight w:val="none"/>
          <w:lang w:val="en-US" w:eastAsia="zh-CN" w:bidi="ar-SA"/>
        </w:rPr>
        <w:t xml:space="preserve">1198.91 </w:t>
      </w:r>
      <w:r>
        <w:rPr>
          <w:rFonts w:ascii="Times New Roman" w:hAnsi="Times New Roman" w:eastAsia="仿宋_GB2312" w:cs="仿宋_GB2312"/>
          <w:color w:val="auto"/>
          <w:kern w:val="2"/>
          <w:sz w:val="32"/>
          <w:szCs w:val="32"/>
          <w:highlight w:val="none"/>
          <w:lang w:val="en-US" w:eastAsia="zh-CN" w:bidi="ar-SA"/>
        </w:rPr>
        <w:t xml:space="preserve">万人；全省城镇失业人员再就业人数年初设定指标值为 </w:t>
      </w:r>
      <w:r>
        <w:rPr>
          <w:rFonts w:hint="default" w:ascii="Times New Roman" w:hAnsi="Times New Roman" w:eastAsia="仿宋_GB2312" w:cs="仿宋_GB2312"/>
          <w:color w:val="auto"/>
          <w:kern w:val="2"/>
          <w:sz w:val="32"/>
          <w:szCs w:val="32"/>
          <w:highlight w:val="none"/>
          <w:lang w:val="en-US" w:eastAsia="zh-CN" w:bidi="ar-SA"/>
        </w:rPr>
        <w:t xml:space="preserve">22 </w:t>
      </w:r>
      <w:r>
        <w:rPr>
          <w:rFonts w:ascii="Times New Roman" w:hAnsi="Times New Roman" w:eastAsia="仿宋_GB2312" w:cs="仿宋_GB2312"/>
          <w:color w:val="auto"/>
          <w:kern w:val="2"/>
          <w:sz w:val="32"/>
          <w:szCs w:val="32"/>
          <w:highlight w:val="none"/>
          <w:lang w:val="en-US" w:eastAsia="zh-CN" w:bidi="ar-SA"/>
        </w:rPr>
        <w:t xml:space="preserve">万人，全年实际 完成值为 </w:t>
      </w:r>
      <w:r>
        <w:rPr>
          <w:rFonts w:hint="default" w:ascii="Times New Roman" w:hAnsi="Times New Roman" w:eastAsia="仿宋_GB2312" w:cs="仿宋_GB2312"/>
          <w:color w:val="auto"/>
          <w:kern w:val="2"/>
          <w:sz w:val="32"/>
          <w:szCs w:val="32"/>
          <w:highlight w:val="none"/>
          <w:lang w:val="en-US" w:eastAsia="zh-CN" w:bidi="ar-SA"/>
        </w:rPr>
        <w:t xml:space="preserve">30.18 </w:t>
      </w:r>
      <w:r>
        <w:rPr>
          <w:rFonts w:ascii="Times New Roman" w:hAnsi="Times New Roman" w:eastAsia="仿宋_GB2312" w:cs="仿宋_GB2312"/>
          <w:color w:val="auto"/>
          <w:kern w:val="2"/>
          <w:sz w:val="32"/>
          <w:szCs w:val="32"/>
          <w:highlight w:val="none"/>
          <w:lang w:val="en-US" w:eastAsia="zh-CN" w:bidi="ar-SA"/>
        </w:rPr>
        <w:t xml:space="preserve">万人。 </w:t>
      </w:r>
    </w:p>
    <w:p w14:paraId="338C53F6">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en-US" w:eastAsia="zh-CN" w:bidi="ar-SA"/>
        </w:rPr>
        <w:t xml:space="preserve">综上，根据评分标准，该项指标不扣分，得 </w:t>
      </w:r>
      <w:r>
        <w:rPr>
          <w:rFonts w:hint="default" w:ascii="Times New Roman" w:hAnsi="Times New Roman" w:eastAsia="仿宋_GB2312" w:cs="仿宋_GB2312"/>
          <w:color w:val="auto"/>
          <w:kern w:val="2"/>
          <w:sz w:val="32"/>
          <w:szCs w:val="32"/>
          <w:highlight w:val="none"/>
          <w:lang w:val="en-US" w:eastAsia="zh-CN" w:bidi="ar-SA"/>
        </w:rPr>
        <w:t xml:space="preserve">15 </w:t>
      </w:r>
      <w:r>
        <w:rPr>
          <w:rFonts w:ascii="Times New Roman" w:hAnsi="Times New Roman" w:eastAsia="仿宋_GB2312" w:cs="仿宋_GB2312"/>
          <w:color w:val="auto"/>
          <w:kern w:val="2"/>
          <w:sz w:val="32"/>
          <w:szCs w:val="32"/>
          <w:highlight w:val="none"/>
          <w:lang w:val="en-US" w:eastAsia="zh-CN" w:bidi="ar-SA"/>
        </w:rPr>
        <w:t>分。</w:t>
      </w:r>
    </w:p>
    <w:p w14:paraId="78E5E44C">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预算管理</w:t>
      </w:r>
      <w:r>
        <w:rPr>
          <w:rFonts w:hint="eastAsia" w:ascii="Times New Roman" w:hAnsi="Times New Roman" w:eastAsia="仿宋_GB2312" w:cs="仿宋_GB2312"/>
          <w:color w:val="auto"/>
          <w:kern w:val="2"/>
          <w:sz w:val="32"/>
          <w:szCs w:val="32"/>
          <w:highlight w:val="none"/>
          <w:lang w:val="zh-CN" w:eastAsia="zh-CN" w:bidi="ar-SA"/>
        </w:rPr>
        <w:t>。</w:t>
      </w:r>
    </w:p>
    <w:p w14:paraId="2057F68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Chars="200" w:firstLine="640" w:firstLineChars="200"/>
        <w:contextualSpacing/>
        <w:jc w:val="left"/>
        <w:textAlignment w:val="auto"/>
        <w:outlineLvl w:val="9"/>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我部门严格按要求编制年初部门预算，年初预算编制具有一定的科学性和准确性，该项指标得分=（1-</w:t>
      </w:r>
      <w:r>
        <w:rPr>
          <w:rFonts w:hint="eastAsia" w:ascii="Times New Roman" w:hAnsi="Times New Roman" w:eastAsia="仿宋_GB2312" w:cs="仿宋_GB2312"/>
          <w:color w:val="auto"/>
          <w:kern w:val="2"/>
          <w:sz w:val="32"/>
          <w:szCs w:val="32"/>
          <w:highlight w:val="none"/>
          <w:lang w:val="en-US" w:eastAsia="zh-CN" w:bidi="ar-SA"/>
        </w:rPr>
        <w:t>0.22</w:t>
      </w:r>
      <w:r>
        <w:rPr>
          <w:rFonts w:hint="eastAsia" w:ascii="Times New Roman" w:hAnsi="Times New Roman" w:eastAsia="仿宋_GB2312" w:cs="仿宋_GB2312"/>
          <w:color w:val="auto"/>
          <w:kern w:val="2"/>
          <w:sz w:val="32"/>
          <w:szCs w:val="32"/>
          <w:highlight w:val="none"/>
          <w:lang w:val="zh-CN" w:eastAsia="zh-CN" w:bidi="ar-SA"/>
        </w:rPr>
        <w:t>）×100%×4+（1-</w:t>
      </w:r>
      <w:r>
        <w:rPr>
          <w:rFonts w:hint="eastAsia" w:ascii="Times New Roman" w:hAnsi="Times New Roman" w:eastAsia="仿宋_GB2312" w:cs="仿宋_GB2312"/>
          <w:color w:val="auto"/>
          <w:kern w:val="2"/>
          <w:sz w:val="32"/>
          <w:szCs w:val="32"/>
          <w:highlight w:val="none"/>
          <w:lang w:val="en-US" w:eastAsia="zh-CN" w:bidi="ar-SA"/>
        </w:rPr>
        <w:t>0.16</w:t>
      </w:r>
      <w:r>
        <w:rPr>
          <w:rFonts w:hint="eastAsia" w:ascii="Times New Roman" w:hAnsi="Times New Roman" w:eastAsia="仿宋_GB2312" w:cs="仿宋_GB2312"/>
          <w:color w:val="auto"/>
          <w:kern w:val="2"/>
          <w:sz w:val="32"/>
          <w:szCs w:val="32"/>
          <w:highlight w:val="none"/>
          <w:lang w:val="zh-CN" w:eastAsia="zh-CN" w:bidi="ar-SA"/>
        </w:rPr>
        <w:t>）×100%×2+（1-</w:t>
      </w:r>
      <w:r>
        <w:rPr>
          <w:rFonts w:hint="eastAsia" w:ascii="Times New Roman" w:hAnsi="Times New Roman"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zh-CN" w:eastAsia="zh-CN" w:bidi="ar-SA"/>
        </w:rPr>
        <w:t>）×100%×2，得分</w:t>
      </w:r>
      <w:r>
        <w:rPr>
          <w:rFonts w:hint="eastAsia" w:ascii="Times New Roman" w:hAnsi="Times New Roman" w:eastAsia="仿宋_GB2312" w:cs="仿宋_GB2312"/>
          <w:color w:val="auto"/>
          <w:kern w:val="2"/>
          <w:sz w:val="32"/>
          <w:szCs w:val="32"/>
          <w:highlight w:val="none"/>
          <w:lang w:val="en-US" w:eastAsia="zh-CN" w:bidi="ar-SA"/>
        </w:rPr>
        <w:t>6.8分。</w:t>
      </w:r>
    </w:p>
    <w:p w14:paraId="0E40E2D6">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zh-CN" w:eastAsia="zh-CN" w:bidi="ar-SA"/>
        </w:rPr>
        <w:t>部门统筹自有收入程度分析：该项指标得分=（</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）×100%×2+（</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w:t>
      </w:r>
      <w:r>
        <w:rPr>
          <w:rFonts w:hint="eastAsia" w:ascii="Times New Roman" w:hAnsi="Times New Roman" w:eastAsia="仿宋_GB2312" w:cs="仿宋_GB2312"/>
          <w:color w:val="auto"/>
          <w:kern w:val="2"/>
          <w:sz w:val="32"/>
          <w:szCs w:val="32"/>
          <w:highlight w:val="none"/>
          <w:lang w:val="en-US" w:eastAsia="zh-CN" w:bidi="ar-SA"/>
        </w:rPr>
        <w:t>200</w:t>
      </w:r>
      <w:r>
        <w:rPr>
          <w:rFonts w:hint="eastAsia" w:ascii="Times New Roman" w:hAnsi="Times New Roman" w:eastAsia="仿宋_GB2312" w:cs="仿宋_GB2312"/>
          <w:color w:val="auto"/>
          <w:kern w:val="2"/>
          <w:sz w:val="32"/>
          <w:szCs w:val="32"/>
          <w:highlight w:val="none"/>
          <w:lang w:val="zh-CN" w:eastAsia="zh-CN" w:bidi="ar-SA"/>
        </w:rPr>
        <w:t>）×100%×2。得分</w:t>
      </w:r>
      <w:r>
        <w:rPr>
          <w:rFonts w:hint="eastAsia" w:ascii="Times New Roman" w:hAnsi="Times New Roman" w:eastAsia="仿宋_GB2312" w:cs="仿宋_GB2312"/>
          <w:color w:val="auto"/>
          <w:kern w:val="2"/>
          <w:sz w:val="32"/>
          <w:szCs w:val="32"/>
          <w:highlight w:val="none"/>
          <w:lang w:val="en-US" w:eastAsia="zh-CN" w:bidi="ar-SA"/>
        </w:rPr>
        <w:t>4分。我部门纳入自有收入预算数200万元，年底自有收入实现支付200万元。</w:t>
      </w:r>
    </w:p>
    <w:p w14:paraId="30E9DBD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部门1至6月、1至10月预算执行情况：该项指标得分=（1795.84÷（3842.85×50%）×2）+（1-0%×0.8-0%×0.2）+（3001.87÷（3842.85×83.33%）×2）+（1-0%×0.8-0%×0.2），得分5.75分。</w:t>
      </w:r>
    </w:p>
    <w:p w14:paraId="6659C5F0">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仿宋_GB2312"/>
          <w:color w:val="auto"/>
          <w:kern w:val="2"/>
          <w:sz w:val="32"/>
          <w:szCs w:val="32"/>
          <w:highlight w:val="none"/>
          <w:lang w:val="en-US" w:eastAsia="zh-CN" w:bidi="ar-SA"/>
        </w:rPr>
        <w:t>部门整体年终预算结余情况</w:t>
      </w:r>
      <w:r>
        <w:rPr>
          <w:rFonts w:hint="eastAsia" w:ascii="Times New Roman" w:hAnsi="Times New Roman" w:eastAsia="仿宋_GB2312" w:cs="仿宋_GB2312"/>
          <w:color w:val="auto"/>
          <w:kern w:val="2"/>
          <w:sz w:val="32"/>
          <w:szCs w:val="32"/>
          <w:highlight w:val="none"/>
          <w:lang w:val="en-US" w:eastAsia="zh-CN" w:bidi="ar-SA"/>
        </w:rPr>
        <w:t>：该项指标得分=（1-0.01）×100%×2。部门整体预算结余率为当年年终部门预算注销金额和结转金额占部门预算总金额的比率，得分1.98分。</w:t>
      </w:r>
    </w:p>
    <w:p w14:paraId="57130258">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我部门2024年</w:t>
      </w:r>
      <w:r>
        <w:rPr>
          <w:rFonts w:hint="default" w:ascii="Times New Roman" w:hAnsi="Times New Roman" w:eastAsia="仿宋_GB2312" w:cs="仿宋_GB2312"/>
          <w:color w:val="auto"/>
          <w:kern w:val="2"/>
          <w:sz w:val="32"/>
          <w:szCs w:val="32"/>
          <w:highlight w:val="none"/>
          <w:lang w:val="en-US" w:eastAsia="zh-CN" w:bidi="ar-SA"/>
        </w:rPr>
        <w:t>一般性支出财政拨款年初预算较上年</w:t>
      </w:r>
      <w:r>
        <w:rPr>
          <w:rFonts w:hint="eastAsia" w:ascii="Times New Roman" w:hAnsi="Times New Roman" w:eastAsia="仿宋_GB2312" w:cs="仿宋_GB2312"/>
          <w:color w:val="auto"/>
          <w:kern w:val="2"/>
          <w:sz w:val="32"/>
          <w:szCs w:val="32"/>
          <w:highlight w:val="none"/>
          <w:lang w:val="en-US" w:eastAsia="zh-CN" w:bidi="ar-SA"/>
        </w:rPr>
        <w:t>实现压减，但一般性支出财政拨款预算执行未能</w:t>
      </w:r>
      <w:r>
        <w:rPr>
          <w:rFonts w:hint="default" w:ascii="Times New Roman" w:hAnsi="Times New Roman" w:eastAsia="仿宋_GB2312" w:cs="仿宋_GB2312"/>
          <w:color w:val="auto"/>
          <w:kern w:val="2"/>
          <w:sz w:val="32"/>
          <w:szCs w:val="32"/>
          <w:highlight w:val="none"/>
          <w:lang w:val="en-US" w:eastAsia="zh-CN" w:bidi="ar-SA"/>
        </w:rPr>
        <w:t>实现压减</w:t>
      </w:r>
      <w:r>
        <w:rPr>
          <w:rFonts w:hint="eastAsia" w:ascii="Times New Roman" w:hAnsi="Times New Roman" w:eastAsia="仿宋_GB2312" w:cs="仿宋_GB2312"/>
          <w:color w:val="auto"/>
          <w:kern w:val="2"/>
          <w:sz w:val="32"/>
          <w:szCs w:val="32"/>
          <w:highlight w:val="none"/>
          <w:lang w:val="en-US" w:eastAsia="zh-CN" w:bidi="ar-SA"/>
        </w:rPr>
        <w:t>。原因是由于2024年我部门应上级要求召开阿坝州促进大中专毕业生就业创业工作会，本次会议参会人数较多，会议费较2023年增加，故我部门2024年度一般性支出为能有效进行压减，该项得分1分。</w:t>
      </w:r>
    </w:p>
    <w:p w14:paraId="12E36A47">
      <w:pPr>
        <w:pStyle w:val="2"/>
        <w:rPr>
          <w:rFonts w:hint="default"/>
          <w:lang w:val="en-US" w:eastAsia="zh-CN"/>
        </w:rPr>
      </w:pPr>
      <w:r>
        <w:rPr>
          <w:rFonts w:hint="eastAsia"/>
          <w:lang w:val="en-US" w:eastAsia="zh-CN"/>
        </w:rPr>
        <w:t xml:space="preserve">    综上所</w:t>
      </w:r>
      <w:r>
        <w:rPr>
          <w:rFonts w:hint="eastAsia" w:ascii="Times New Roman" w:hAnsi="Times New Roman" w:eastAsia="仿宋_GB2312" w:cs="Times New Roman"/>
          <w:b w:val="0"/>
          <w:bCs w:val="0"/>
          <w:kern w:val="2"/>
          <w:sz w:val="32"/>
          <w:szCs w:val="24"/>
          <w:lang w:val="en-US" w:eastAsia="zh-CN" w:bidi="ar-SA"/>
        </w:rPr>
        <w:t>述</w:t>
      </w:r>
      <w:r>
        <w:rPr>
          <w:rFonts w:hint="eastAsia"/>
          <w:lang w:val="en-US" w:eastAsia="zh-CN"/>
        </w:rPr>
        <w:t>预算管理项总得分：19.53分。</w:t>
      </w:r>
    </w:p>
    <w:p w14:paraId="1DF88B3E">
      <w:pPr>
        <w:keepNext w:val="0"/>
        <w:keepLines w:val="0"/>
        <w:pageBreakBefore w:val="0"/>
        <w:widowControl w:val="0"/>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p>
    <w:p w14:paraId="25A4DD72">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财务管理</w:t>
      </w:r>
      <w:r>
        <w:rPr>
          <w:rFonts w:hint="eastAsia" w:ascii="Times New Roman" w:hAnsi="Times New Roman" w:eastAsia="仿宋_GB2312" w:cs="仿宋_GB2312"/>
          <w:color w:val="auto"/>
          <w:kern w:val="2"/>
          <w:sz w:val="32"/>
          <w:szCs w:val="32"/>
          <w:highlight w:val="none"/>
          <w:lang w:val="zh-CN" w:eastAsia="zh-CN" w:bidi="ar-SA"/>
        </w:rPr>
        <w:t>。</w:t>
      </w:r>
    </w:p>
    <w:p w14:paraId="6562AB3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00" w:firstLineChars="200"/>
        <w:contextualSpacing/>
        <w:jc w:val="left"/>
        <w:textAlignment w:val="auto"/>
        <w:outlineLvl w:val="9"/>
        <w:rPr>
          <w:rFonts w:hint="eastAsia" w:ascii="仿宋_GB2312" w:hAnsi="Times New Roman" w:eastAsia="仿宋_GB2312" w:cs="Times New Roman"/>
          <w:kern w:val="0"/>
          <w:sz w:val="30"/>
          <w:szCs w:val="24"/>
          <w:lang w:val="en-US" w:eastAsia="zh-CN" w:bidi="ar-SA"/>
        </w:rPr>
      </w:pPr>
      <w:r>
        <w:rPr>
          <w:rFonts w:hint="eastAsia" w:ascii="仿宋_GB2312" w:hAnsi="Times New Roman" w:eastAsia="仿宋_GB2312" w:cs="Times New Roman"/>
          <w:kern w:val="0"/>
          <w:sz w:val="30"/>
          <w:szCs w:val="24"/>
          <w:lang w:val="zh-CN" w:eastAsia="zh-CN" w:bidi="ar-SA"/>
        </w:rPr>
        <w:t>我部门已制定内部财务管理制度等制度机制，并得到相应落实，故该项得分</w:t>
      </w:r>
      <w:r>
        <w:rPr>
          <w:rFonts w:hint="eastAsia" w:ascii="仿宋_GB2312" w:hAnsi="Times New Roman" w:eastAsia="仿宋_GB2312" w:cs="Times New Roman"/>
          <w:kern w:val="0"/>
          <w:sz w:val="30"/>
          <w:szCs w:val="24"/>
          <w:lang w:val="en-US" w:eastAsia="zh-CN" w:bidi="ar-SA"/>
        </w:rPr>
        <w:t>4分。</w:t>
      </w:r>
    </w:p>
    <w:p w14:paraId="588FECE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00" w:firstLineChars="200"/>
        <w:contextualSpacing/>
        <w:jc w:val="left"/>
        <w:textAlignment w:val="auto"/>
        <w:outlineLvl w:val="9"/>
        <w:rPr>
          <w:rFonts w:hint="eastAsia" w:ascii="仿宋_GB2312" w:hAnsi="Times New Roman" w:eastAsia="仿宋_GB2312" w:cs="Times New Roman"/>
          <w:kern w:val="0"/>
          <w:sz w:val="30"/>
          <w:szCs w:val="24"/>
          <w:lang w:val="en-US" w:eastAsia="zh-CN" w:bidi="ar-SA"/>
        </w:rPr>
      </w:pPr>
      <w:r>
        <w:rPr>
          <w:rFonts w:hint="eastAsia" w:ascii="仿宋_GB2312" w:hAnsi="Times New Roman" w:eastAsia="仿宋_GB2312" w:cs="Times New Roman"/>
          <w:kern w:val="0"/>
          <w:sz w:val="30"/>
          <w:szCs w:val="24"/>
          <w:lang w:val="en-US" w:eastAsia="zh-CN" w:bidi="ar-SA"/>
        </w:rPr>
        <w:t>我部门按照财经纪律相关要求合理设置财务工作岗位，明确职责权限，并严格实行不相容岗位分离。</w:t>
      </w:r>
      <w:r>
        <w:rPr>
          <w:rFonts w:hint="eastAsia" w:ascii="仿宋_GB2312" w:hAnsi="Times New Roman" w:eastAsia="仿宋_GB2312" w:cs="Times New Roman"/>
          <w:kern w:val="0"/>
          <w:sz w:val="30"/>
          <w:szCs w:val="24"/>
          <w:lang w:val="zh-CN" w:eastAsia="zh-CN" w:bidi="ar-SA"/>
        </w:rPr>
        <w:t>故该项得分</w:t>
      </w:r>
      <w:r>
        <w:rPr>
          <w:rFonts w:hint="eastAsia" w:ascii="仿宋_GB2312" w:hAnsi="Times New Roman" w:eastAsia="仿宋_GB2312" w:cs="Times New Roman"/>
          <w:kern w:val="0"/>
          <w:sz w:val="30"/>
          <w:szCs w:val="24"/>
          <w:lang w:val="en-US" w:eastAsia="zh-CN" w:bidi="ar-SA"/>
        </w:rPr>
        <w:t>2分。</w:t>
      </w:r>
    </w:p>
    <w:p w14:paraId="78A4AEE0">
      <w:pPr>
        <w:pStyle w:val="2"/>
        <w:ind w:firstLine="600" w:firstLineChars="200"/>
        <w:rPr>
          <w:rFonts w:hint="eastAsia" w:cs="Times New Roman"/>
          <w:color w:val="000000"/>
          <w:kern w:val="0"/>
          <w:szCs w:val="32"/>
          <w:highlight w:val="none"/>
          <w:shd w:val="clear" w:color="auto" w:fill="FFFFFF"/>
          <w:lang w:val="en-US" w:eastAsia="zh-CN"/>
        </w:rPr>
      </w:pPr>
      <w:r>
        <w:rPr>
          <w:rFonts w:hint="eastAsia" w:cs="Times New Roman"/>
          <w:color w:val="000000"/>
          <w:kern w:val="0"/>
          <w:szCs w:val="32"/>
          <w:highlight w:val="none"/>
          <w:shd w:val="clear" w:color="auto" w:fill="FFFFFF"/>
          <w:lang w:val="en-US" w:eastAsia="zh-CN"/>
        </w:rPr>
        <w:t>部门资金使用符合相关财务管理制度规定，该项的4分。</w:t>
      </w:r>
    </w:p>
    <w:p w14:paraId="4779E2DF">
      <w:pPr>
        <w:pStyle w:val="2"/>
        <w:ind w:firstLine="640" w:firstLineChars="200"/>
        <w:rPr>
          <w:rFonts w:hint="default" w:ascii="Times New Roman" w:hAnsi="Times New Roman" w:eastAsia="仿宋_GB2312" w:cs="Times New Roman"/>
          <w:b w:val="0"/>
          <w:bCs w:val="0"/>
          <w:color w:val="000000"/>
          <w:kern w:val="0"/>
          <w:sz w:val="32"/>
          <w:szCs w:val="32"/>
          <w:highlight w:val="none"/>
          <w:shd w:val="clear" w:color="auto" w:fill="FFFFFF"/>
          <w:lang w:val="en-US" w:eastAsia="zh-CN" w:bidi="ar-SA"/>
        </w:rPr>
      </w:pPr>
      <w:r>
        <w:rPr>
          <w:rFonts w:hint="eastAsia" w:ascii="Times New Roman" w:hAnsi="Times New Roman" w:eastAsia="仿宋_GB2312" w:cs="Times New Roman"/>
          <w:b w:val="0"/>
          <w:bCs w:val="0"/>
          <w:color w:val="000000"/>
          <w:kern w:val="0"/>
          <w:sz w:val="32"/>
          <w:szCs w:val="32"/>
          <w:highlight w:val="none"/>
          <w:shd w:val="clear" w:color="auto" w:fill="FFFFFF"/>
          <w:lang w:val="en-US" w:eastAsia="zh-CN" w:bidi="ar-SA"/>
        </w:rPr>
        <w:t>上所</w:t>
      </w:r>
      <w:r>
        <w:rPr>
          <w:rFonts w:hint="eastAsia" w:ascii="Times New Roman" w:hAnsi="Times New Roman" w:eastAsia="仿宋_GB2312" w:cs="Times New Roman"/>
          <w:b w:val="0"/>
          <w:bCs w:val="0"/>
          <w:kern w:val="2"/>
          <w:sz w:val="32"/>
          <w:szCs w:val="24"/>
          <w:lang w:val="en-US" w:eastAsia="zh-CN" w:bidi="ar-SA"/>
        </w:rPr>
        <w:t>述</w:t>
      </w:r>
      <w:r>
        <w:rPr>
          <w:rFonts w:hint="eastAsia" w:ascii="Times New Roman" w:hAnsi="Times New Roman" w:cs="Times New Roman"/>
          <w:b w:val="0"/>
          <w:bCs w:val="0"/>
          <w:color w:val="000000"/>
          <w:kern w:val="0"/>
          <w:sz w:val="32"/>
          <w:szCs w:val="32"/>
          <w:highlight w:val="none"/>
          <w:shd w:val="clear" w:color="auto" w:fill="FFFFFF"/>
          <w:lang w:val="en-US" w:eastAsia="zh-CN" w:bidi="ar-SA"/>
        </w:rPr>
        <w:t>财务管理项总得分10分。</w:t>
      </w:r>
    </w:p>
    <w:p w14:paraId="1F618912">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资产管理</w:t>
      </w:r>
      <w:r>
        <w:rPr>
          <w:rFonts w:hint="eastAsia" w:ascii="Times New Roman" w:hAnsi="Times New Roman" w:eastAsia="仿宋_GB2312" w:cs="仿宋_GB2312"/>
          <w:color w:val="auto"/>
          <w:kern w:val="2"/>
          <w:sz w:val="32"/>
          <w:szCs w:val="32"/>
          <w:highlight w:val="none"/>
          <w:lang w:val="zh-CN" w:eastAsia="zh-CN" w:bidi="ar-SA"/>
        </w:rPr>
        <w:t>。</w:t>
      </w:r>
    </w:p>
    <w:p w14:paraId="56A2C896">
      <w:pPr>
        <w:keepNext w:val="0"/>
        <w:keepLines w:val="0"/>
        <w:pageBreakBefore w:val="0"/>
        <w:widowControl w:val="0"/>
        <w:kinsoku/>
        <w:wordWrap/>
        <w:overflowPunct/>
        <w:topLinePunct w:val="0"/>
        <w:autoSpaceDE/>
        <w:autoSpaceDN/>
        <w:bidi w:val="0"/>
        <w:adjustRightInd w:val="0"/>
        <w:snapToGrid w:val="0"/>
        <w:spacing w:line="578" w:lineRule="exact"/>
        <w:ind w:left="0" w:firstLine="600" w:firstLineChars="200"/>
        <w:contextualSpacing/>
        <w:jc w:val="left"/>
        <w:textAlignment w:val="auto"/>
        <w:outlineLvl w:val="9"/>
        <w:rPr>
          <w:rFonts w:hint="eastAsia" w:ascii="仿宋_GB2312" w:hAnsi="Times New Roman" w:eastAsia="仿宋_GB2312" w:cs="Times New Roman"/>
          <w:color w:val="000000"/>
          <w:kern w:val="0"/>
          <w:sz w:val="30"/>
          <w:szCs w:val="32"/>
          <w:highlight w:val="none"/>
          <w:shd w:val="clear" w:color="auto" w:fill="FFFFFF"/>
          <w:lang w:val="zh-CN" w:eastAsia="zh-CN" w:bidi="ar-SA"/>
        </w:rPr>
      </w:pPr>
      <w:r>
        <w:rPr>
          <w:rFonts w:hint="eastAsia" w:ascii="仿宋_GB2312" w:hAnsi="Times New Roman" w:eastAsia="仿宋_GB2312" w:cs="Times New Roman"/>
          <w:color w:val="000000"/>
          <w:kern w:val="0"/>
          <w:sz w:val="30"/>
          <w:szCs w:val="32"/>
          <w:highlight w:val="none"/>
          <w:shd w:val="clear" w:color="auto" w:fill="FFFFFF"/>
          <w:lang w:val="zh-CN" w:eastAsia="zh-CN" w:bidi="ar-SA"/>
        </w:rPr>
        <w:t>部门人均资产变化情况：202</w:t>
      </w:r>
      <w:r>
        <w:rPr>
          <w:rFonts w:hint="eastAsia" w:ascii="仿宋_GB2312" w:hAnsi="Times New Roman" w:eastAsia="仿宋_GB2312" w:cs="Times New Roman"/>
          <w:color w:val="000000"/>
          <w:kern w:val="0"/>
          <w:sz w:val="30"/>
          <w:szCs w:val="32"/>
          <w:highlight w:val="none"/>
          <w:shd w:val="clear" w:color="auto" w:fill="FFFFFF"/>
          <w:lang w:val="en-US" w:eastAsia="zh-CN" w:bidi="ar-SA"/>
        </w:rPr>
        <w:t>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年度我单位人均资产变化率及人均资产增长率X为[（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5586.71</w:t>
      </w:r>
      <w:r>
        <w:rPr>
          <w:rFonts w:hint="eastAsia" w:ascii="仿宋_GB2312" w:hAnsi="Times New Roman" w:eastAsia="仿宋_GB2312" w:cs="Times New Roman"/>
          <w:color w:val="000000"/>
          <w:kern w:val="0"/>
          <w:sz w:val="30"/>
          <w:szCs w:val="32"/>
          <w:highlight w:val="none"/>
          <w:shd w:val="clear" w:color="auto" w:fill="FFFFFF"/>
          <w:lang w:val="zh-CN" w:eastAsia="zh-CN" w:bidi="ar-SA"/>
        </w:rPr>
        <w:t>/9</w:t>
      </w:r>
      <w:r>
        <w:rPr>
          <w:rFonts w:hint="eastAsia" w:ascii="仿宋_GB2312" w:hAnsi="Times New Roman" w:eastAsia="仿宋_GB2312" w:cs="Times New Roman"/>
          <w:color w:val="000000"/>
          <w:kern w:val="0"/>
          <w:sz w:val="30"/>
          <w:szCs w:val="32"/>
          <w:highlight w:val="none"/>
          <w:shd w:val="clear" w:color="auto" w:fill="FFFFFF"/>
          <w:lang w:val="en-US" w:eastAsia="zh-CN" w:bidi="ar-SA"/>
        </w:rPr>
        <w:t>0</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5722.19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/9</w:t>
      </w:r>
      <w:r>
        <w:rPr>
          <w:rFonts w:hint="eastAsia" w:ascii="仿宋_GB2312" w:hAnsi="Times New Roman" w:eastAsia="仿宋_GB2312" w:cs="Times New Roman"/>
          <w:color w:val="000000"/>
          <w:kern w:val="0"/>
          <w:sz w:val="30"/>
          <w:szCs w:val="32"/>
          <w:highlight w:val="none"/>
          <w:shd w:val="clear" w:color="auto" w:fill="FFFFFF"/>
          <w:lang w:val="en-US" w:eastAsia="zh-CN" w:bidi="ar-SA"/>
        </w:rPr>
        <w:t>2</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5722.19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/92)×100%=-</w:t>
      </w:r>
      <w:r>
        <w:rPr>
          <w:rFonts w:hint="eastAsia" w:ascii="仿宋_GB2312" w:hAnsi="Times New Roman" w:eastAsia="仿宋_GB2312" w:cs="Times New Roman"/>
          <w:color w:val="000000"/>
          <w:kern w:val="0"/>
          <w:sz w:val="30"/>
          <w:szCs w:val="32"/>
          <w:highlight w:val="none"/>
          <w:shd w:val="clear" w:color="auto" w:fill="FFFFFF"/>
          <w:lang w:val="en-US" w:eastAsia="zh-CN" w:bidi="ar-SA"/>
        </w:rPr>
        <w:t>0.19</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%，同期州直行政事业单位人均资产变化率N为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24.28</w:t>
      </w:r>
      <w:r>
        <w:rPr>
          <w:rFonts w:hint="eastAsia" w:ascii="仿宋_GB2312" w:hAnsi="Times New Roman" w:eastAsia="仿宋_GB2312" w:cs="Times New Roman"/>
          <w:color w:val="000000"/>
          <w:kern w:val="0"/>
          <w:sz w:val="30"/>
          <w:szCs w:val="32"/>
          <w:highlight w:val="none"/>
          <w:shd w:val="clear" w:color="auto" w:fill="FFFFFF"/>
          <w:lang w:val="zh-CN" w:eastAsia="zh-CN" w:bidi="ar-SA"/>
        </w:rPr>
        <w:t>%，X≤N，得分1.5分，同期州级财政收入增长率为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-30.5</w:t>
      </w:r>
      <w:r>
        <w:rPr>
          <w:rFonts w:hint="eastAsia" w:ascii="仿宋_GB2312" w:hAnsi="Times New Roman" w:eastAsia="仿宋_GB2312" w:cs="Times New Roman"/>
          <w:color w:val="000000"/>
          <w:kern w:val="0"/>
          <w:sz w:val="30"/>
          <w:szCs w:val="32"/>
          <w:highlight w:val="none"/>
          <w:shd w:val="clear" w:color="auto" w:fill="FFFFFF"/>
          <w:lang w:val="zh-CN" w:eastAsia="zh-CN" w:bidi="ar-SA"/>
        </w:rPr>
        <w:t>%，X≤0，得分1.5分。该项总得分3分。</w:t>
      </w:r>
    </w:p>
    <w:p w14:paraId="17A73D38">
      <w:pPr>
        <w:keepNext w:val="0"/>
        <w:keepLines w:val="0"/>
        <w:pageBreakBefore w:val="0"/>
        <w:widowControl w:val="0"/>
        <w:kinsoku/>
        <w:wordWrap/>
        <w:overflowPunct/>
        <w:topLinePunct w:val="0"/>
        <w:autoSpaceDE/>
        <w:autoSpaceDN/>
        <w:adjustRightInd w:val="0"/>
        <w:snapToGrid w:val="0"/>
        <w:spacing w:line="578" w:lineRule="exact"/>
        <w:ind w:left="0" w:firstLine="600" w:firstLineChars="200"/>
        <w:contextualSpacing/>
        <w:jc w:val="left"/>
        <w:rPr>
          <w:rFonts w:hint="eastAsia" w:ascii="仿宋_GB2312" w:hAnsi="Times New Roman" w:eastAsia="仿宋_GB2312" w:cs="Times New Roman"/>
          <w:color w:val="000000"/>
          <w:kern w:val="0"/>
          <w:sz w:val="30"/>
          <w:szCs w:val="32"/>
          <w:highlight w:val="none"/>
          <w:shd w:val="clear" w:color="auto" w:fill="FFFFFF"/>
          <w:lang w:val="en-US" w:eastAsia="zh-CN" w:bidi="ar-SA"/>
        </w:rPr>
      </w:pPr>
      <w:r>
        <w:rPr>
          <w:rFonts w:hint="eastAsia" w:ascii="仿宋_GB2312" w:hAnsi="Times New Roman" w:eastAsia="仿宋_GB2312" w:cs="Times New Roman"/>
          <w:color w:val="000000"/>
          <w:kern w:val="0"/>
          <w:sz w:val="30"/>
          <w:szCs w:val="32"/>
          <w:highlight w:val="none"/>
          <w:shd w:val="clear" w:color="auto" w:fill="FFFFFF"/>
          <w:lang w:val="zh-CN" w:eastAsia="zh-CN" w:bidi="ar-SA"/>
        </w:rPr>
        <w:t>部门资产盘活率情况：202</w:t>
      </w:r>
      <w:r>
        <w:rPr>
          <w:rFonts w:hint="eastAsia" w:ascii="仿宋_GB2312" w:hAnsi="Times New Roman" w:eastAsia="仿宋_GB2312" w:cs="Times New Roman"/>
          <w:color w:val="000000"/>
          <w:kern w:val="0"/>
          <w:sz w:val="30"/>
          <w:szCs w:val="32"/>
          <w:highlight w:val="none"/>
          <w:shd w:val="clear" w:color="auto" w:fill="FFFFFF"/>
          <w:lang w:val="en-US" w:eastAsia="zh-CN" w:bidi="ar-SA"/>
        </w:rPr>
        <w:t>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年我单位办公家具超最低使用年限资产利用率X=超最低使用年限的办公家具账面价值1</w:t>
      </w:r>
      <w:r>
        <w:rPr>
          <w:rFonts w:hint="eastAsia" w:ascii="仿宋_GB2312" w:hAnsi="Times New Roman" w:eastAsia="仿宋_GB2312" w:cs="Times New Roman"/>
          <w:color w:val="000000"/>
          <w:kern w:val="0"/>
          <w:sz w:val="30"/>
          <w:szCs w:val="32"/>
          <w:highlight w:val="none"/>
          <w:shd w:val="clear" w:color="auto" w:fill="FFFFFF"/>
          <w:lang w:val="en-US" w:eastAsia="zh-CN" w:bidi="ar-SA"/>
        </w:rPr>
        <w:t>1</w:t>
      </w:r>
      <w:r>
        <w:rPr>
          <w:rFonts w:hint="eastAsia" w:ascii="仿宋_GB2312" w:hAnsi="Times New Roman" w:eastAsia="仿宋_GB2312" w:cs="Times New Roman"/>
          <w:color w:val="000000"/>
          <w:kern w:val="0"/>
          <w:sz w:val="30"/>
          <w:szCs w:val="32"/>
          <w:highlight w:val="none"/>
          <w:shd w:val="clear" w:color="auto" w:fill="FFFFFF"/>
          <w:lang w:val="zh-CN" w:eastAsia="zh-CN" w:bidi="ar-SA"/>
        </w:rPr>
        <w:t>0.</w:t>
      </w:r>
      <w:r>
        <w:rPr>
          <w:rFonts w:hint="eastAsia" w:ascii="仿宋_GB2312" w:hAnsi="Times New Roman" w:eastAsia="仿宋_GB2312" w:cs="Times New Roman"/>
          <w:color w:val="000000"/>
          <w:kern w:val="0"/>
          <w:sz w:val="30"/>
          <w:szCs w:val="32"/>
          <w:highlight w:val="none"/>
          <w:shd w:val="clear" w:color="auto" w:fill="FFFFFF"/>
          <w:lang w:val="en-US" w:eastAsia="zh-CN" w:bidi="ar-SA"/>
        </w:rPr>
        <w:t>09</w:t>
      </w:r>
      <w:r>
        <w:rPr>
          <w:rFonts w:hint="eastAsia" w:ascii="仿宋_GB2312" w:hAnsi="Times New Roman" w:eastAsia="仿宋_GB2312" w:cs="Times New Roman"/>
          <w:color w:val="000000"/>
          <w:kern w:val="0"/>
          <w:sz w:val="30"/>
          <w:szCs w:val="32"/>
          <w:highlight w:val="none"/>
          <w:shd w:val="clear" w:color="auto" w:fill="FFFFFF"/>
          <w:lang w:val="zh-CN" w:eastAsia="zh-CN" w:bidi="ar-SA"/>
        </w:rPr>
        <w:t>÷办公家具账面价值351.21×100%=</w:t>
      </w:r>
      <w:r>
        <w:rPr>
          <w:rFonts w:hint="eastAsia" w:ascii="仿宋_GB2312" w:hAnsi="Times New Roman" w:eastAsia="仿宋_GB2312" w:cs="Times New Roman"/>
          <w:color w:val="000000"/>
          <w:kern w:val="0"/>
          <w:sz w:val="30"/>
          <w:szCs w:val="32"/>
          <w:highlight w:val="none"/>
          <w:shd w:val="clear" w:color="auto" w:fill="FFFFFF"/>
          <w:lang w:val="en-US" w:eastAsia="zh-CN" w:bidi="ar-SA"/>
        </w:rPr>
        <w:t>31.34</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%，同期州直行政事业单位平均值（办公家具）N为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10.03%，X&gt;N，得1.5分；办公设备超最低使用年限资产利用率X=超最低使用年限的办公设备账面价值1492.43÷办公设备账面价值2760.96×100%=54.05%，</w:t>
      </w:r>
      <w:r>
        <w:rPr>
          <w:rFonts w:hint="eastAsia" w:ascii="仿宋_GB2312" w:hAnsi="Times New Roman" w:eastAsia="仿宋_GB2312" w:cs="Times New Roman"/>
          <w:color w:val="000000"/>
          <w:kern w:val="0"/>
          <w:sz w:val="30"/>
          <w:szCs w:val="32"/>
          <w:highlight w:val="none"/>
          <w:shd w:val="clear" w:color="auto" w:fill="FFFFFF"/>
          <w:lang w:val="zh-CN" w:eastAsia="zh-CN" w:bidi="ar-SA"/>
        </w:rPr>
        <w:t>同期州直行政事业单位平均值（办公设备）N为</w:t>
      </w:r>
      <w:r>
        <w:rPr>
          <w:rFonts w:hint="eastAsia" w:ascii="仿宋_GB2312" w:hAnsi="Times New Roman" w:eastAsia="仿宋_GB2312" w:cs="Times New Roman"/>
          <w:color w:val="000000"/>
          <w:kern w:val="0"/>
          <w:sz w:val="30"/>
          <w:szCs w:val="32"/>
          <w:highlight w:val="none"/>
          <w:shd w:val="clear" w:color="auto" w:fill="FFFFFF"/>
          <w:lang w:val="en-US" w:eastAsia="zh-CN" w:bidi="ar-SA"/>
        </w:rPr>
        <w:t>47.86</w:t>
      </w:r>
      <w:r>
        <w:rPr>
          <w:rFonts w:hint="eastAsia" w:ascii="仿宋_GB2312" w:hAnsi="Times New Roman" w:eastAsia="仿宋_GB2312" w:cs="Times New Roman"/>
          <w:color w:val="000000"/>
          <w:kern w:val="0"/>
          <w:sz w:val="30"/>
          <w:szCs w:val="32"/>
          <w:highlight w:val="none"/>
          <w:shd w:val="clear" w:color="auto" w:fill="FFFFFF"/>
          <w:lang w:val="zh-CN" w:eastAsia="zh-CN" w:bidi="ar-SA"/>
        </w:rPr>
        <w:t>%，</w:t>
      </w:r>
      <w:r>
        <w:rPr>
          <w:rFonts w:hint="eastAsia" w:ascii="仿宋_GB2312" w:hAnsi="Times New Roman" w:eastAsia="仿宋_GB2312" w:cs="Times New Roman"/>
          <w:color w:val="000000"/>
          <w:kern w:val="0"/>
          <w:sz w:val="30"/>
          <w:szCs w:val="32"/>
          <w:highlight w:val="none"/>
          <w:shd w:val="clear" w:color="auto" w:fill="FFFFFF"/>
          <w:lang w:val="en-US" w:eastAsia="zh-CN" w:bidi="ar-SA"/>
        </w:rPr>
        <w:t>0.8N＜X≤N，得0.9分。该项得分2.4分。</w:t>
      </w:r>
    </w:p>
    <w:p w14:paraId="42F9ADAD">
      <w:pPr>
        <w:pStyle w:val="2"/>
        <w:ind w:firstLine="640"/>
        <w:rPr>
          <w:rFonts w:hint="eastAsia"/>
          <w:lang w:val="en-US" w:eastAsia="zh-CN"/>
        </w:rPr>
      </w:pPr>
      <w:r>
        <w:rPr>
          <w:rFonts w:hint="eastAsia"/>
          <w:lang w:val="en-US" w:eastAsia="zh-CN"/>
        </w:rPr>
        <w:t>我部门无闲置资产待盘活，故该项得分3分。</w:t>
      </w:r>
    </w:p>
    <w:p w14:paraId="2364BB1B">
      <w:pPr>
        <w:pStyle w:val="3"/>
        <w:jc w:val="both"/>
        <w:rPr>
          <w:rFonts w:hint="eastAsia"/>
          <w:lang w:val="zh-CN" w:eastAsia="zh-CN"/>
        </w:rPr>
      </w:pPr>
      <w:r>
        <w:rPr>
          <w:rFonts w:hint="eastAsia"/>
          <w:lang w:val="en-US" w:eastAsia="zh-CN"/>
        </w:rPr>
        <w:t xml:space="preserve">    </w:t>
      </w:r>
      <w:r>
        <w:rPr>
          <w:rFonts w:hint="eastAsia" w:ascii="Times New Roman" w:hAnsi="Times New Roman" w:eastAsia="仿宋_GB2312" w:cs="Times New Roman"/>
          <w:b w:val="0"/>
          <w:bCs w:val="0"/>
          <w:kern w:val="2"/>
          <w:sz w:val="32"/>
          <w:szCs w:val="24"/>
          <w:lang w:val="en-US" w:eastAsia="zh-CN" w:bidi="ar-SA"/>
        </w:rPr>
        <w:t>综上所述资产管理项总得分8.4分。</w:t>
      </w:r>
    </w:p>
    <w:p w14:paraId="1DFB625B">
      <w:pPr>
        <w:keepNext w:val="0"/>
        <w:keepLines w:val="0"/>
        <w:pageBreakBefore w:val="0"/>
        <w:widowControl w:val="0"/>
        <w:numPr>
          <w:ilvl w:val="0"/>
          <w:numId w:val="4"/>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eastAsia" w:ascii="Times New Roman" w:hAnsi="Times New Roman" w:eastAsia="仿宋_GB2312" w:cs="仿宋_GB2312"/>
          <w:color w:val="auto"/>
          <w:kern w:val="2"/>
          <w:sz w:val="32"/>
          <w:szCs w:val="32"/>
          <w:highlight w:val="none"/>
          <w:lang w:val="zh-CN" w:eastAsia="zh-CN" w:bidi="ar-SA"/>
        </w:rPr>
      </w:pPr>
      <w:r>
        <w:rPr>
          <w:rFonts w:ascii="Times New Roman" w:hAnsi="Times New Roman" w:eastAsia="仿宋_GB2312" w:cs="仿宋_GB2312"/>
          <w:color w:val="auto"/>
          <w:kern w:val="2"/>
          <w:sz w:val="32"/>
          <w:szCs w:val="32"/>
          <w:highlight w:val="none"/>
          <w:lang w:val="zh-CN" w:eastAsia="zh-CN" w:bidi="ar-SA"/>
        </w:rPr>
        <w:t>采购管理</w:t>
      </w:r>
      <w:r>
        <w:rPr>
          <w:rFonts w:hint="eastAsia" w:ascii="Times New Roman" w:hAnsi="Times New Roman" w:eastAsia="仿宋_GB2312" w:cs="仿宋_GB2312"/>
          <w:color w:val="auto"/>
          <w:kern w:val="2"/>
          <w:sz w:val="32"/>
          <w:szCs w:val="32"/>
          <w:highlight w:val="none"/>
          <w:lang w:val="zh-CN" w:eastAsia="zh-CN" w:bidi="ar-SA"/>
        </w:rPr>
        <w:t>。</w:t>
      </w:r>
    </w:p>
    <w:p w14:paraId="3F2D3F46">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Times New Roman" w:hAnsi="Times New Roman" w:eastAsia="仿宋_GB2312" w:cs="Times New Roman"/>
          <w:color w:val="000000"/>
          <w:kern w:val="0"/>
          <w:sz w:val="32"/>
          <w:szCs w:val="32"/>
          <w:highlight w:val="none"/>
          <w:shd w:val="clear" w:color="auto" w:fill="FFFFFF"/>
          <w:lang w:val="en-US"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我部门</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对适宜由中小企业提供的采购项目和采购包，预留采购份额专门面向中小企业采购，并在采购预算中单独列示</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。故该项得分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3分。</w:t>
      </w:r>
    </w:p>
    <w:p w14:paraId="171B1CCE">
      <w:pPr>
        <w:pStyle w:val="2"/>
        <w:rPr>
          <w:rFonts w:hint="eastAsia"/>
          <w:lang w:val="zh-CN" w:eastAsia="zh-CN"/>
        </w:rPr>
      </w:pPr>
      <w:r>
        <w:rPr>
          <w:rFonts w:hint="eastAsia" w:cs="Times New Roman"/>
          <w:color w:val="000000"/>
          <w:kern w:val="0"/>
          <w:szCs w:val="32"/>
          <w:highlight w:val="none"/>
          <w:shd w:val="clear" w:color="auto" w:fill="FFFFFF"/>
          <w:lang w:val="en-US" w:eastAsia="zh-CN"/>
        </w:rPr>
        <w:t xml:space="preserve">   </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 xml:space="preserve"> </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采购执行率</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情况分析：项指标得分=当年政府采购实际支付总金额</w:t>
      </w:r>
      <w:r>
        <w:rPr>
          <w:rFonts w:hint="eastAsia" w:cs="Times New Roman"/>
          <w:color w:val="000000"/>
          <w:kern w:val="0"/>
          <w:sz w:val="32"/>
          <w:szCs w:val="32"/>
          <w:highlight w:val="none"/>
          <w:shd w:val="clear" w:color="auto" w:fill="FFFFFF"/>
          <w:lang w:val="en-US" w:eastAsia="zh-CN" w:bidi="ar-SA"/>
        </w:rPr>
        <w:t>296.7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÷（当年政府采购总预算数</w:t>
      </w:r>
      <w:r>
        <w:rPr>
          <w:rFonts w:hint="eastAsia" w:cs="Times New Roman"/>
          <w:color w:val="000000"/>
          <w:kern w:val="0"/>
          <w:sz w:val="32"/>
          <w:szCs w:val="32"/>
          <w:highlight w:val="none"/>
          <w:shd w:val="clear" w:color="auto" w:fill="FFFFFF"/>
          <w:lang w:val="en-US" w:eastAsia="zh-CN" w:bidi="ar-SA"/>
        </w:rPr>
        <w:t>377.4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-当年已完成采购项目节约金额</w:t>
      </w:r>
      <w:r>
        <w:rPr>
          <w:rFonts w:hint="eastAsia" w:cs="Times New Roman"/>
          <w:color w:val="000000"/>
          <w:kern w:val="0"/>
          <w:sz w:val="32"/>
          <w:szCs w:val="32"/>
          <w:highlight w:val="none"/>
          <w:shd w:val="clear" w:color="auto" w:fill="FFFFFF"/>
          <w:lang w:val="en-US" w:eastAsia="zh-CN" w:bidi="ar-SA"/>
        </w:rPr>
        <w:t>80.7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）×100%×3，该项得分3分</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p>
    <w:p w14:paraId="4FDB6272">
      <w:pPr>
        <w:keepNext w:val="0"/>
        <w:keepLines w:val="0"/>
        <w:pageBreakBefore w:val="0"/>
        <w:widowControl w:val="0"/>
        <w:kinsoku/>
        <w:wordWrap/>
        <w:overflowPunct/>
        <w:topLinePunct w:val="0"/>
        <w:autoSpaceDE/>
        <w:autoSpaceDN/>
        <w:bidi w:val="0"/>
        <w:adjustRightInd w:val="0"/>
        <w:snapToGrid w:val="0"/>
        <w:spacing w:line="578" w:lineRule="exact"/>
        <w:ind w:left="0" w:firstLine="643" w:firstLineChars="200"/>
        <w:contextualSpacing/>
        <w:jc w:val="both"/>
        <w:textAlignment w:val="auto"/>
        <w:outlineLvl w:val="9"/>
        <w:rPr>
          <w:rFonts w:ascii="Times New Roman" w:hAnsi="Times New Roman" w:eastAsia="仿宋_GB2312" w:cs="仿宋_GB2312"/>
          <w:color w:val="auto"/>
          <w:kern w:val="2"/>
          <w:sz w:val="32"/>
          <w:szCs w:val="32"/>
          <w:highlight w:val="none"/>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（二）部门预算项目绩效分析。</w:t>
      </w:r>
    </w:p>
    <w:p w14:paraId="27997A40">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常年项目绩效分析。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795.31</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万元，1</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w:t>
      </w:r>
      <w:r>
        <w:rPr>
          <w:rFonts w:hint="default"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94.16</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%，其中：预算结余率大于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bidi="ar-SA"/>
        </w:rPr>
        <w:t>10%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(该类项目均为我部门信息中心项目，由于项目实施特殊性，资金分为两年支付，本年度仅支付项目总金额的50%)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p>
    <w:p w14:paraId="5A085CFC">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阶段（</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含</w:t>
      </w:r>
      <w:r>
        <w:rPr>
          <w:rFonts w:hint="default" w:ascii="Times New Roman" w:hAnsi="Times New Roman" w:eastAsia="仿宋_GB2312" w:cs="Times New Roman"/>
          <w:color w:val="000000"/>
          <w:kern w:val="0"/>
          <w:sz w:val="32"/>
          <w:szCs w:val="32"/>
          <w:highlight w:val="none"/>
          <w:shd w:val="clear" w:color="auto" w:fill="FFFFFF"/>
          <w:lang w:val="en-US" w:eastAsia="zh-CN" w:bidi="ar-SA"/>
        </w:rPr>
        <w:t>一次性）项目绩效分析。</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该类项目总数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个，涉及预算总金额</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291.6</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万元，1</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w:t>
      </w:r>
      <w:r>
        <w:rPr>
          <w:rFonts w:hint="default" w:ascii="Times New Roman" w:hAnsi="Times New Roman" w:eastAsia="仿宋_GB2312" w:cs="Times New Roman"/>
          <w:color w:val="000000"/>
          <w:kern w:val="0"/>
          <w:sz w:val="32"/>
          <w:szCs w:val="32"/>
          <w:highlight w:val="none"/>
          <w:shd w:val="clear" w:color="auto" w:fill="FFFFFF"/>
          <w:lang w:val="en-US" w:eastAsia="zh-CN" w:bidi="ar-SA"/>
        </w:rPr>
        <w:t>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月预算执行总体进度为</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100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%，其中：预算结余率大于</w:t>
      </w:r>
      <w:r>
        <w:rPr>
          <w:rFonts w:hint="default" w:ascii="Times New Roman" w:hAnsi="Times New Roman" w:eastAsia="仿宋_GB2312" w:cs="Times New Roman"/>
          <w:color w:val="000000"/>
          <w:kern w:val="0"/>
          <w:sz w:val="32"/>
          <w:szCs w:val="32"/>
          <w:highlight w:val="none"/>
          <w:shd w:val="clear" w:color="auto" w:fill="FFFFFF"/>
          <w:lang w:val="en-US" w:eastAsia="zh-CN" w:bidi="ar-SA"/>
        </w:rPr>
        <w:t>10%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的项目共计</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个。</w:t>
      </w:r>
    </w:p>
    <w:p w14:paraId="7D9A4C4D">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firstLine="639"/>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项目决策。</w:t>
      </w:r>
    </w:p>
    <w:p w14:paraId="1D386A57">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我单位预算项目按要求均履行评估论证、申报程序。</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该项指标得分=4-部门未履行事前评估程序的部门预算阶段项目（含一次性项目）数量</w:t>
      </w:r>
      <w:r>
        <w:rPr>
          <w:rFonts w:hint="default" w:ascii="Times New Roman" w:hAnsi="Times New Roman" w:eastAsia="仿宋_GB2312" w:cs="Times New Roman"/>
          <w:color w:val="000000"/>
          <w:kern w:val="0"/>
          <w:sz w:val="32"/>
          <w:szCs w:val="32"/>
          <w:highlight w:val="none"/>
          <w:shd w:val="clear" w:color="auto" w:fill="FFFFFF"/>
          <w:lang w:val="zh-CN" w:eastAsia="zh-CN" w:bidi="ar-SA"/>
        </w:rPr>
        <w:t>0</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=4，该项得分4分。</w:t>
      </w:r>
    </w:p>
    <w:p w14:paraId="773024DA">
      <w:pPr>
        <w:keepNext w:val="0"/>
        <w:keepLines w:val="0"/>
        <w:pageBreakBefore w:val="0"/>
        <w:widowControl w:val="0"/>
        <w:kinsoku/>
        <w:wordWrap/>
        <w:overflowPunct/>
        <w:topLinePunct w:val="0"/>
        <w:autoSpaceDE/>
        <w:autoSpaceDN/>
        <w:adjustRightInd w:val="0"/>
        <w:snapToGrid w:val="0"/>
        <w:spacing w:line="578" w:lineRule="exact"/>
        <w:ind w:firstLine="639"/>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我单位预算项目绩效目标与计划期内的任务量、预算安排相匹配，预算安排资金量与预算匹配，绩效目标设置科学合理、规范完整、量化息化。</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该项指标得分=4-绩效目标与计划期内的任务量、预算安排不相匹配的部门预算阶段项目（含一次性项目）数量</w:t>
      </w:r>
      <w:r>
        <w:rPr>
          <w:rFonts w:hint="default" w:ascii="Times New Roman" w:hAnsi="Times New Roman" w:eastAsia="仿宋_GB2312" w:cs="Times New Roman"/>
          <w:color w:val="000000"/>
          <w:kern w:val="0"/>
          <w:sz w:val="32"/>
          <w:szCs w:val="32"/>
          <w:highlight w:val="none"/>
          <w:shd w:val="clear" w:color="auto" w:fill="FFFFFF"/>
          <w:lang w:val="zh-CN" w:eastAsia="zh-CN" w:bidi="ar-SA"/>
        </w:rPr>
        <w:t>0</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=4，该项得分4分。</w:t>
      </w:r>
    </w:p>
    <w:p w14:paraId="468D5329">
      <w:pPr>
        <w:keepNext w:val="0"/>
        <w:keepLines w:val="0"/>
        <w:pageBreakBefore w:val="0"/>
        <w:widowControl w:val="0"/>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部门预算项目均在规定时间内完成项目入库。该项得分4分。</w:t>
      </w:r>
    </w:p>
    <w:p w14:paraId="2A7A2BC9">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leftChars="0" w:firstLine="639" w:firstLineChars="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en-US" w:eastAsia="zh-CN" w:bidi="ar-SA"/>
        </w:rPr>
        <w:t>项目执行</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p>
    <w:p w14:paraId="739AE619">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我单位部门预算项目实际列支内容与绩效目标设置方向相符。该项指标得分=4-实际列支内容与绩效目标设置方向不相符的部门预算阶段项目（含一次性项目）数量0÷部门预算阶段项目（含一次性项目）总数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×100%×4=0，该项得分4分。</w:t>
      </w:r>
    </w:p>
    <w:p w14:paraId="08A43E54">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部门预算项目结余结转均已采取对应调整措施，该项指标得分=4-应采取未采取收回预算、调整目标等处置措施的部门预算阶段项目（含一次性项目）数量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÷应采取收回预算、调整目标等处置措施的部门预算阶段项目（含一次性项目）总数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6</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×100%×4=0，该项得分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2.67</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分。</w:t>
      </w:r>
    </w:p>
    <w:p w14:paraId="3FAFB35E">
      <w:pPr>
        <w:keepNext w:val="0"/>
        <w:keepLines w:val="0"/>
        <w:pageBreakBefore w:val="0"/>
        <w:widowControl w:val="0"/>
        <w:kinsoku/>
        <w:wordWrap/>
        <w:overflowPunct/>
        <w:topLinePunct w:val="0"/>
        <w:autoSpaceDE/>
        <w:autoSpaceDN/>
        <w:adjustRightInd w:val="0"/>
        <w:snapToGrid w:val="0"/>
        <w:spacing w:line="578" w:lineRule="exact"/>
        <w:ind w:left="0" w:firstLine="640" w:firstLineChars="200"/>
        <w:contextualSpacing/>
        <w:jc w:val="left"/>
        <w:rPr>
          <w:rFonts w:hint="eastAsia"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部门预算项目预算执行情况：该项指标得分=预算结余率小于10%的常年项目数量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÷部门预算常年项目总数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24</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×100%×2+预算结余率小于10%的一次性项目和阶段项目数量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÷部门预算一次性项目和阶段项目总数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3.83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3.83</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p>
    <w:p w14:paraId="572719B1">
      <w:pPr>
        <w:keepNext w:val="0"/>
        <w:keepLines w:val="0"/>
        <w:pageBreakBefore w:val="0"/>
        <w:widowControl w:val="0"/>
        <w:numPr>
          <w:ilvl w:val="0"/>
          <w:numId w:val="8"/>
        </w:numPr>
        <w:kinsoku/>
        <w:wordWrap/>
        <w:overflowPunct/>
        <w:topLinePunct w:val="0"/>
        <w:autoSpaceDE/>
        <w:autoSpaceDN/>
        <w:bidi w:val="0"/>
        <w:adjustRightInd w:val="0"/>
        <w:snapToGrid w:val="0"/>
        <w:spacing w:line="578" w:lineRule="exact"/>
        <w:ind w:left="0" w:leftChars="0" w:firstLine="639" w:firstLineChars="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default" w:ascii="Times New Roman" w:hAnsi="Times New Roman" w:eastAsia="仿宋_GB2312" w:cs="Times New Roman"/>
          <w:color w:val="000000"/>
          <w:kern w:val="0"/>
          <w:sz w:val="32"/>
          <w:szCs w:val="32"/>
          <w:highlight w:val="none"/>
          <w:shd w:val="clear" w:color="auto" w:fill="FFFFFF"/>
          <w:lang w:val="zh-CN" w:eastAsia="zh-CN" w:bidi="ar-SA"/>
        </w:rPr>
        <w:t>目标实现。</w:t>
      </w:r>
    </w:p>
    <w:p w14:paraId="27AA2854">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outlineLvl w:val="9"/>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部门预算项目绩效目标指标完成情况：</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该项指标得分=完成绩效目标数量指标的部门预算阶段项目（含一次性项目）数量</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25</w:t>
      </w:r>
      <w:r>
        <w:rPr>
          <w:rFonts w:hint="default" w:ascii="Times New Roman" w:hAnsi="Times New Roman" w:eastAsia="仿宋_GB2312" w:cs="Times New Roman"/>
          <w:color w:val="000000"/>
          <w:kern w:val="0"/>
          <w:sz w:val="32"/>
          <w:szCs w:val="32"/>
          <w:highlight w:val="none"/>
          <w:shd w:val="clear" w:color="auto" w:fill="FFFFFF"/>
          <w:lang w:val="zh-CN" w:eastAsia="zh-CN" w:bidi="ar-SA"/>
        </w:rPr>
        <w:t>÷部门预算阶段项目（含一次性项目）总数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27</w:t>
      </w:r>
      <w:r>
        <w:rPr>
          <w:rFonts w:hint="default" w:ascii="Times New Roman" w:hAnsi="Times New Roman" w:eastAsia="仿宋_GB2312" w:cs="Times New Roman"/>
          <w:color w:val="000000"/>
          <w:kern w:val="0"/>
          <w:sz w:val="32"/>
          <w:szCs w:val="32"/>
          <w:highlight w:val="none"/>
          <w:shd w:val="clear" w:color="auto" w:fill="FFFFFF"/>
          <w:lang w:val="zh-CN" w:eastAsia="zh-CN" w:bidi="ar-SA"/>
        </w:rPr>
        <w:t>×100%×4=</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3.70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3.70</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p>
    <w:p w14:paraId="06F5FBDF">
      <w:pPr>
        <w:keepNext w:val="0"/>
        <w:keepLines w:val="0"/>
        <w:pageBreakBefore w:val="0"/>
        <w:widowControl w:val="0"/>
        <w:kinsoku/>
        <w:wordWrap/>
        <w:overflowPunct/>
        <w:topLinePunct w:val="0"/>
        <w:autoSpaceDE/>
        <w:autoSpaceDN/>
        <w:adjustRightInd w:val="0"/>
        <w:snapToGrid w:val="0"/>
        <w:spacing w:line="578" w:lineRule="exact"/>
        <w:ind w:left="0" w:firstLine="639"/>
        <w:contextualSpacing/>
        <w:jc w:val="left"/>
        <w:rPr>
          <w:rFonts w:hint="default" w:ascii="Times New Roman" w:hAnsi="Times New Roman" w:eastAsia="仿宋_GB2312" w:cs="Times New Roman"/>
          <w:color w:val="000000"/>
          <w:kern w:val="0"/>
          <w:sz w:val="32"/>
          <w:szCs w:val="32"/>
          <w:highlight w:val="none"/>
          <w:shd w:val="clear" w:color="auto" w:fill="FFFFFF"/>
          <w:lang w:val="zh-CN" w:eastAsia="zh-CN" w:bidi="ar-SA"/>
        </w:rPr>
      </w:pPr>
      <w:r>
        <w:rPr>
          <w:rFonts w:hint="eastAsia" w:ascii="Times New Roman" w:hAnsi="Times New Roman" w:eastAsia="仿宋_GB2312" w:cs="Times New Roman"/>
          <w:color w:val="000000"/>
          <w:kern w:val="0"/>
          <w:sz w:val="32"/>
          <w:szCs w:val="32"/>
          <w:highlight w:val="none"/>
          <w:shd w:val="clear" w:color="auto" w:fill="FFFFFF"/>
          <w:lang w:val="zh-CN" w:eastAsia="zh-CN" w:bidi="ar-SA"/>
        </w:rPr>
        <w:t>部门预算项目绩效目标数量指标实现程度与预期目标的偏离情况：该项指标得分=已完成预期指标值的数量指标中偏离度在30%内的指标个数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÷已完成预期指标值的数量指标个数</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25</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×100%×4</w:t>
      </w:r>
      <w:r>
        <w:rPr>
          <w:rFonts w:hint="default" w:ascii="Times New Roman" w:hAnsi="Times New Roman" w:eastAsia="仿宋_GB2312" w:cs="Times New Roman"/>
          <w:color w:val="000000"/>
          <w:kern w:val="0"/>
          <w:sz w:val="32"/>
          <w:szCs w:val="32"/>
          <w:highlight w:val="none"/>
          <w:shd w:val="clear" w:color="auto" w:fill="FFFFFF"/>
          <w:lang w:val="zh-CN" w:eastAsia="zh-CN" w:bidi="ar-SA"/>
        </w:rPr>
        <w:t>=</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0.32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，该项得分</w:t>
      </w:r>
      <w:r>
        <w:rPr>
          <w:rFonts w:hint="eastAsia" w:ascii="Times New Roman" w:hAnsi="Times New Roman" w:eastAsia="仿宋_GB2312" w:cs="Times New Roman"/>
          <w:color w:val="000000"/>
          <w:kern w:val="0"/>
          <w:sz w:val="32"/>
          <w:szCs w:val="32"/>
          <w:highlight w:val="none"/>
          <w:shd w:val="clear" w:color="auto" w:fill="FFFFFF"/>
          <w:lang w:val="en-US" w:eastAsia="zh-CN" w:bidi="ar-SA"/>
        </w:rPr>
        <w:t>0.32</w:t>
      </w:r>
      <w:r>
        <w:rPr>
          <w:rFonts w:hint="default" w:ascii="Times New Roman" w:hAnsi="Times New Roman" w:eastAsia="仿宋_GB2312" w:cs="Times New Roman"/>
          <w:color w:val="000000"/>
          <w:kern w:val="0"/>
          <w:sz w:val="32"/>
          <w:szCs w:val="32"/>
          <w:highlight w:val="none"/>
          <w:shd w:val="clear" w:color="auto" w:fill="FFFFFF"/>
          <w:lang w:val="zh-CN" w:eastAsia="zh-CN" w:bidi="ar-SA"/>
        </w:rPr>
        <w:t>分</w:t>
      </w:r>
      <w:r>
        <w:rPr>
          <w:rFonts w:hint="eastAsia" w:ascii="Times New Roman" w:hAnsi="Times New Roman" w:eastAsia="仿宋_GB2312" w:cs="Times New Roman"/>
          <w:color w:val="000000"/>
          <w:kern w:val="0"/>
          <w:sz w:val="32"/>
          <w:szCs w:val="32"/>
          <w:highlight w:val="none"/>
          <w:shd w:val="clear" w:color="auto" w:fill="FFFFFF"/>
          <w:lang w:val="zh-CN" w:eastAsia="zh-CN" w:bidi="ar-SA"/>
        </w:rPr>
        <w:t>。</w:t>
      </w:r>
    </w:p>
    <w:p w14:paraId="3559DF20">
      <w:pPr>
        <w:pStyle w:val="3"/>
        <w:keepNext w:val="0"/>
        <w:keepLines w:val="0"/>
        <w:pageBreakBefore w:val="0"/>
        <w:widowControl w:val="0"/>
        <w:ind w:firstLine="649"/>
        <w:jc w:val="both"/>
        <w:rPr>
          <w:rFonts w:ascii="Times New Roman" w:hAnsi="Times New Roman" w:cs="楷体_GB2312"/>
          <w:b w:val="0"/>
          <w:color w:val="000000"/>
          <w:kern w:val="0"/>
          <w:shd w:val="clear" w:color="auto" w:fill="FFFFFF"/>
          <w:lang w:val="zh-CN"/>
        </w:rPr>
      </w:pPr>
      <w:r>
        <w:rPr>
          <w:rFonts w:ascii="Times New Roman" w:hAnsi="Times New Roman" w:cs="楷体_GB2312"/>
          <w:b w:val="0"/>
          <w:color w:val="000000"/>
          <w:kern w:val="0"/>
          <w:shd w:val="clear" w:color="auto" w:fill="FFFFFF"/>
          <w:lang w:val="zh-CN"/>
        </w:rPr>
        <w:t>部门预算项目绩效目标效益指标实施效果情况：该项指标得分=完成绩效目标效益指标的部门预算阶段项目（含一次性项目）数量</w:t>
      </w:r>
      <w:r>
        <w:rPr>
          <w:rFonts w:hint="eastAsia" w:ascii="Times New Roman" w:hAnsi="Times New Roman" w:cs="楷体_GB2312"/>
          <w:b w:val="0"/>
          <w:color w:val="000000"/>
          <w:kern w:val="0"/>
          <w:shd w:val="clear" w:color="auto" w:fill="FFFFFF"/>
          <w:lang w:val="en-US" w:eastAsia="zh-CN"/>
        </w:rPr>
        <w:t>25</w:t>
      </w:r>
      <w:r>
        <w:rPr>
          <w:rFonts w:ascii="Times New Roman" w:hAnsi="Times New Roman" w:cs="楷体_GB2312"/>
          <w:b w:val="0"/>
          <w:color w:val="000000"/>
          <w:kern w:val="0"/>
          <w:shd w:val="clear" w:color="auto" w:fill="FFFFFF"/>
          <w:lang w:val="zh-CN"/>
        </w:rPr>
        <w:t>÷部门预算阶段项目（含一次性项目）总数</w:t>
      </w:r>
      <w:r>
        <w:rPr>
          <w:rFonts w:hint="eastAsia" w:ascii="Times New Roman" w:hAnsi="Times New Roman" w:cs="楷体_GB2312"/>
          <w:b w:val="0"/>
          <w:color w:val="000000"/>
          <w:kern w:val="0"/>
          <w:shd w:val="clear" w:color="auto" w:fill="FFFFFF"/>
          <w:lang w:val="en-US" w:eastAsia="zh-CN"/>
        </w:rPr>
        <w:t>27</w:t>
      </w:r>
      <w:r>
        <w:rPr>
          <w:rFonts w:ascii="Times New Roman" w:hAnsi="Times New Roman" w:cs="楷体_GB2312"/>
          <w:b w:val="0"/>
          <w:color w:val="000000"/>
          <w:kern w:val="0"/>
          <w:shd w:val="clear" w:color="auto" w:fill="FFFFFF"/>
          <w:lang w:val="zh-CN"/>
        </w:rPr>
        <w:t>×100%×3=3，该项得分</w:t>
      </w:r>
      <w:r>
        <w:rPr>
          <w:rFonts w:hint="eastAsia" w:ascii="Times New Roman" w:hAnsi="Times New Roman" w:cs="楷体_GB2312"/>
          <w:b w:val="0"/>
          <w:color w:val="000000"/>
          <w:kern w:val="0"/>
          <w:shd w:val="clear" w:color="auto" w:fill="FFFFFF"/>
          <w:lang w:val="en-US" w:eastAsia="zh-CN"/>
        </w:rPr>
        <w:t>2.78</w:t>
      </w:r>
      <w:r>
        <w:rPr>
          <w:rFonts w:ascii="Times New Roman" w:hAnsi="Times New Roman" w:cs="楷体_GB2312"/>
          <w:b w:val="0"/>
          <w:color w:val="000000"/>
          <w:kern w:val="0"/>
          <w:shd w:val="clear" w:color="auto" w:fill="FFFFFF"/>
          <w:lang w:val="zh-CN"/>
        </w:rPr>
        <w:t>分。</w:t>
      </w:r>
    </w:p>
    <w:p w14:paraId="50D44A9A">
      <w:pPr>
        <w:keepNext w:val="0"/>
        <w:keepLines w:val="0"/>
        <w:pageBreakBefore w:val="0"/>
        <w:widowControl w:val="0"/>
        <w:numPr>
          <w:ilvl w:val="0"/>
          <w:numId w:val="7"/>
        </w:numPr>
        <w:kinsoku/>
        <w:wordWrap/>
        <w:overflowPunct/>
        <w:topLinePunct w:val="0"/>
        <w:autoSpaceDE/>
        <w:autoSpaceDN/>
        <w:bidi w:val="0"/>
        <w:snapToGrid w:val="0"/>
        <w:spacing w:line="600" w:lineRule="exact"/>
        <w:ind w:left="0" w:lef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p>
    <w:p w14:paraId="6AFD2169">
      <w:pPr>
        <w:pStyle w:val="2"/>
        <w:numPr>
          <w:ilvl w:val="0"/>
          <w:numId w:val="0"/>
        </w:numPr>
        <w:spacing w:after="217" w:afterAutospacing="0"/>
        <w:ind w:left="0" w:leftChars="0" w:firstLine="600" w:firstLineChars="200"/>
      </w:pPr>
      <w:r>
        <w:rPr>
          <w:rFonts w:hint="eastAsia"/>
          <w:lang w:val="en-US" w:eastAsia="zh-CN"/>
        </w:rPr>
        <w:t>我部门各业务科室在编报年度预算时严格按照要求设定项目绩效目标，并始终执行绩效目标要求。经财政对此审核调整，在年中及时对项目绩效目标进行调整，但由于些许项目涉及政府采购未能调整。同时按照相关财经纪律要求及时对我部门绩效评价在单位官网进行公开公示。</w:t>
      </w:r>
    </w:p>
    <w:p w14:paraId="5E7E042D">
      <w:pPr>
        <w:keepNext w:val="0"/>
        <w:keepLines w:val="0"/>
        <w:pageBreakBefore w:val="0"/>
        <w:widowControl/>
        <w:kinsoku/>
        <w:wordWrap/>
        <w:overflowPunct/>
        <w:topLinePunct w:val="0"/>
        <w:autoSpaceDE/>
        <w:autoSpaceDN/>
        <w:bidi w:val="0"/>
        <w:adjustRightInd w:val="0"/>
        <w:snapToGrid w:val="0"/>
        <w:spacing w:line="578" w:lineRule="exact"/>
        <w:ind w:left="0" w:firstLine="640" w:firstLineChars="200"/>
        <w:contextualSpacing/>
        <w:jc w:val="left"/>
        <w:textAlignment w:val="auto"/>
        <w:outlineLvl w:val="9"/>
        <w:rPr>
          <w:rFonts w:ascii="Times New Roman" w:hAnsi="Times New Roman" w:eastAsia="黑体" w:cs="Times New Roman"/>
          <w:color w:val="000000"/>
          <w:kern w:val="0"/>
          <w:sz w:val="32"/>
          <w:szCs w:val="32"/>
          <w:highlight w:val="none"/>
          <w:shd w:val="clear" w:color="auto" w:fill="FFFFFF"/>
          <w:lang w:val="zh-CN"/>
        </w:rPr>
      </w:pPr>
      <w:r>
        <w:rPr>
          <w:rFonts w:ascii="Times New Roman" w:hAnsi="Times New Roman" w:eastAsia="黑体" w:cs="Times New Roman"/>
          <w:color w:val="000000"/>
          <w:kern w:val="0"/>
          <w:sz w:val="32"/>
          <w:szCs w:val="32"/>
          <w:highlight w:val="none"/>
          <w:shd w:val="clear" w:color="auto" w:fill="FFFFFF"/>
          <w:lang w:val="zh-CN" w:eastAsia="zh-CN"/>
        </w:rPr>
        <w:t>四、</w:t>
      </w:r>
      <w:r>
        <w:rPr>
          <w:rFonts w:ascii="Times New Roman" w:hAnsi="Times New Roman" w:eastAsia="黑体" w:cs="Times New Roman"/>
          <w:color w:val="000000"/>
          <w:kern w:val="0"/>
          <w:sz w:val="32"/>
          <w:szCs w:val="32"/>
          <w:highlight w:val="none"/>
          <w:shd w:val="clear" w:color="auto" w:fill="FFFFFF"/>
          <w:lang w:val="zh-CN"/>
        </w:rPr>
        <w:t>评价结论及建议</w:t>
      </w:r>
    </w:p>
    <w:p w14:paraId="387F843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rPr>
      </w:pPr>
      <w:r>
        <w:rPr>
          <w:rFonts w:ascii="Times New Roman" w:hAnsi="Times New Roman" w:eastAsia="楷体_GB2312" w:cs="Times New Roman"/>
          <w:b/>
          <w:bCs/>
          <w:color w:val="000000"/>
          <w:kern w:val="0"/>
          <w:sz w:val="32"/>
          <w:szCs w:val="32"/>
          <w:highlight w:val="none"/>
          <w:shd w:val="clear" w:color="auto" w:fill="FFFFFF"/>
          <w:lang w:val="zh-CN"/>
        </w:rPr>
        <w:t>（一）评价结论。</w:t>
      </w:r>
    </w:p>
    <w:p w14:paraId="0B908234">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ascii="仿宋_GB2312" w:eastAsia="仿宋_GB2312" w:cs="仿宋_GB2312"/>
          <w:b w:val="0"/>
          <w:bCs w:val="0"/>
          <w:kern w:val="0"/>
          <w:position w:val="0"/>
          <w:sz w:val="32"/>
          <w:szCs w:val="32"/>
          <w:highlight w:val="none"/>
          <w:lang w:val="en-US" w:eastAsia="zh-CN" w:bidi="ar-SA"/>
        </w:rPr>
      </w:pPr>
      <w:r>
        <w:rPr>
          <w:rFonts w:ascii="仿宋_GB2312" w:eastAsia="仿宋_GB2312" w:cs="仿宋_GB2312"/>
          <w:b w:val="0"/>
          <w:bCs w:val="0"/>
          <w:kern w:val="0"/>
          <w:position w:val="0"/>
          <w:sz w:val="32"/>
          <w:szCs w:val="32"/>
          <w:highlight w:val="none"/>
          <w:lang w:val="en-US" w:eastAsia="zh-CN" w:bidi="ar-SA"/>
        </w:rPr>
        <w:t>按照部门预算绩效评价指标体系（附件一）要求，单位整体支出自评得分</w:t>
      </w:r>
      <w:r>
        <w:rPr>
          <w:rFonts w:hint="eastAsia" w:ascii="仿宋_GB2312" w:cs="仿宋_GB2312"/>
          <w:b w:val="0"/>
          <w:bCs w:val="0"/>
          <w:kern w:val="0"/>
          <w:position w:val="0"/>
          <w:sz w:val="32"/>
          <w:szCs w:val="32"/>
          <w:highlight w:val="none"/>
          <w:lang w:val="en-US" w:eastAsia="zh-CN" w:bidi="ar-SA"/>
        </w:rPr>
        <w:t>88.23</w:t>
      </w:r>
      <w:r>
        <w:rPr>
          <w:rFonts w:ascii="仿宋_GB2312" w:eastAsia="仿宋_GB2312" w:cs="仿宋_GB2312"/>
          <w:b w:val="0"/>
          <w:bCs w:val="0"/>
          <w:kern w:val="0"/>
          <w:position w:val="0"/>
          <w:sz w:val="32"/>
          <w:szCs w:val="32"/>
          <w:highlight w:val="none"/>
          <w:lang w:val="en-US" w:eastAsia="zh-CN" w:bidi="ar-SA"/>
        </w:rPr>
        <w:t>分</w:t>
      </w:r>
    </w:p>
    <w:p w14:paraId="2845EF1E">
      <w:pPr>
        <w:pStyle w:val="2"/>
        <w:numPr>
          <w:ilvl w:val="0"/>
          <w:numId w:val="6"/>
        </w:numPr>
        <w:spacing w:line="360" w:lineRule="auto"/>
        <w:ind w:left="0" w:leftChars="0" w:firstLine="643" w:firstLineChars="200"/>
        <w:rPr>
          <w:rFonts w:hint="default" w:ascii="Times New Roman" w:hAnsi="Times New Roman" w:eastAsia="仿宋_GB2312" w:cs="Times New Roman"/>
          <w:b w:val="0"/>
          <w:bCs w:val="0"/>
          <w:kern w:val="0"/>
          <w:position w:val="0"/>
          <w:sz w:val="32"/>
          <w:szCs w:val="32"/>
          <w:highlight w:val="none"/>
          <w:lang w:val="en-US" w:eastAsia="zh-CN" w:bidi="ar-SA"/>
        </w:rPr>
      </w:pPr>
      <w:r>
        <w:rPr>
          <w:rFonts w:ascii="Times New Roman" w:hAnsi="Times New Roman" w:eastAsia="楷体_GB2312" w:cs="Times New Roman"/>
          <w:b/>
          <w:bCs/>
          <w:color w:val="000000"/>
          <w:kern w:val="0"/>
          <w:sz w:val="32"/>
          <w:szCs w:val="32"/>
          <w:highlight w:val="none"/>
          <w:shd w:val="clear" w:color="auto" w:fill="FFFFFF"/>
          <w:lang w:val="zh-CN"/>
        </w:rPr>
        <w:t>存在问题。</w:t>
      </w:r>
    </w:p>
    <w:p w14:paraId="1D8D6AAA">
      <w:pPr>
        <w:pStyle w:val="2"/>
        <w:numPr>
          <w:ilvl w:val="0"/>
          <w:numId w:val="0"/>
        </w:numPr>
        <w:spacing w:line="360" w:lineRule="auto"/>
        <w:ind w:firstLine="600" w:firstLineChars="200"/>
        <w:rPr>
          <w:rFonts w:hint="default" w:ascii="Times New Roman" w:hAnsi="Times New Roman" w:eastAsia="仿宋_GB2312" w:cs="Times New Roman"/>
          <w:b w:val="0"/>
          <w:bCs w:val="0"/>
          <w:kern w:val="0"/>
          <w:position w:val="0"/>
          <w:sz w:val="32"/>
          <w:szCs w:val="32"/>
          <w:highlight w:val="none"/>
          <w:lang w:val="en-US" w:eastAsia="zh-CN" w:bidi="ar-SA"/>
        </w:rPr>
      </w:pPr>
      <w:r>
        <w:rPr>
          <w:rFonts w:hint="eastAsia"/>
          <w:lang w:val="en-US" w:eastAsia="zh-CN"/>
        </w:rPr>
        <w:t xml:space="preserve"> </w:t>
      </w:r>
      <w:r>
        <w:rPr>
          <w:rFonts w:hint="eastAsia" w:ascii="Times New Roman" w:hAnsi="Times New Roman" w:eastAsia="仿宋_GB2312" w:cs="Times New Roman"/>
          <w:b w:val="0"/>
          <w:bCs w:val="0"/>
          <w:kern w:val="0"/>
          <w:position w:val="0"/>
          <w:sz w:val="32"/>
          <w:szCs w:val="32"/>
          <w:highlight w:val="none"/>
          <w:lang w:val="en-US" w:eastAsia="zh-CN" w:bidi="ar-SA"/>
        </w:rPr>
        <w:t xml:space="preserve"> 一是一般性支出压减不到位，2024年度由于受阿坝州促进大中专毕业生就业创业工作会的举办影响致使我部门会议费大幅上涨，一般性支出未实现压减；二是涉及政府采购项目由于采购预算的编制在后期绩效目标调整过程中具有一定的滞后性；三是项目期为两年的项目在年初预算编报时未能根据事前评估报告准确把握当年所需资金，导致该类项目年底结余超该项目10%。</w:t>
      </w:r>
    </w:p>
    <w:p w14:paraId="501B1813">
      <w:pPr>
        <w:keepNext w:val="0"/>
        <w:keepLines w:val="0"/>
        <w:pageBreakBefore w:val="0"/>
        <w:widowControl/>
        <w:numPr>
          <w:ilvl w:val="0"/>
          <w:numId w:val="6"/>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outlineLvl w:val="9"/>
        <w:rPr>
          <w:rFonts w:ascii="Times New Roman" w:hAnsi="Times New Roman" w:eastAsia="楷体_GB2312" w:cs="Times New Roman"/>
          <w:b/>
          <w:bCs/>
          <w:color w:val="000000"/>
          <w:kern w:val="0"/>
          <w:sz w:val="32"/>
          <w:szCs w:val="32"/>
          <w:highlight w:val="none"/>
          <w:shd w:val="clear" w:color="auto" w:fill="FFFFFF"/>
          <w:lang w:val="zh-CN" w:eastAsia="zh-CN"/>
        </w:rPr>
      </w:pPr>
      <w:r>
        <w:rPr>
          <w:rFonts w:ascii="Times New Roman" w:hAnsi="Times New Roman" w:eastAsia="楷体_GB2312" w:cs="Times New Roman"/>
          <w:b/>
          <w:bCs/>
          <w:color w:val="000000"/>
          <w:kern w:val="0"/>
          <w:sz w:val="32"/>
          <w:szCs w:val="32"/>
          <w:highlight w:val="none"/>
          <w:shd w:val="clear" w:color="auto" w:fill="FFFFFF"/>
          <w:lang w:val="zh-CN" w:eastAsia="zh-CN"/>
        </w:rPr>
        <w:t>改进建议。</w:t>
      </w:r>
      <w:bookmarkStart w:id="55" w:name="_Hlk110546638"/>
    </w:p>
    <w:p w14:paraId="0BDA7AE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Chars="200" w:firstLine="643" w:firstLineChars="200"/>
        <w:contextualSpacing/>
        <w:jc w:val="left"/>
        <w:textAlignment w:val="auto"/>
        <w:outlineLvl w:val="9"/>
        <w:rPr>
          <w:rFonts w:hint="eastAsia" w:ascii="Times New Roman" w:hAnsi="Times New Roman" w:eastAsia="仿宋_GB2312" w:cs="Times New Roman"/>
          <w:kern w:val="2"/>
          <w:sz w:val="32"/>
          <w:szCs w:val="32"/>
          <w:u w:val="none"/>
          <w:lang w:val="zh-CN" w:eastAsia="zh-CN"/>
        </w:rPr>
      </w:pPr>
      <w:r>
        <w:rPr>
          <w:rFonts w:hint="eastAsia" w:ascii="Times New Roman" w:hAnsi="Times New Roman" w:eastAsia="仿宋_GB2312" w:cs="仿宋_GB2312"/>
          <w:b/>
          <w:bCs/>
          <w:kern w:val="0"/>
          <w:position w:val="0"/>
          <w:sz w:val="32"/>
          <w:szCs w:val="32"/>
          <w:highlight w:val="none"/>
          <w:lang w:val="zh-CN" w:eastAsia="zh-CN" w:bidi="ar-SA"/>
        </w:rPr>
        <w:t>一是</w:t>
      </w:r>
      <w:r>
        <w:rPr>
          <w:rFonts w:hint="eastAsia" w:ascii="Times New Roman" w:hAnsi="Times New Roman" w:eastAsia="仿宋_GB2312" w:cs="仿宋_GB2312"/>
          <w:b w:val="0"/>
          <w:bCs w:val="0"/>
          <w:kern w:val="0"/>
          <w:position w:val="0"/>
          <w:sz w:val="32"/>
          <w:szCs w:val="32"/>
          <w:highlight w:val="none"/>
          <w:lang w:val="zh-CN" w:eastAsia="zh-CN" w:bidi="ar-SA"/>
        </w:rPr>
        <w:t>严格把控一般性支出，杜绝一般性支出压减不到位的现象再次发生；</w:t>
      </w:r>
      <w:r>
        <w:rPr>
          <w:rFonts w:hint="eastAsia" w:ascii="Times New Roman" w:hAnsi="Times New Roman" w:eastAsia="仿宋_GB2312" w:cs="仿宋_GB2312"/>
          <w:b/>
          <w:bCs/>
          <w:kern w:val="0"/>
          <w:position w:val="0"/>
          <w:sz w:val="32"/>
          <w:szCs w:val="32"/>
          <w:highlight w:val="none"/>
          <w:lang w:val="zh-CN" w:eastAsia="zh-CN" w:bidi="ar-SA"/>
        </w:rPr>
        <w:t>二是</w:t>
      </w:r>
      <w:r>
        <w:rPr>
          <w:rFonts w:hint="eastAsia" w:ascii="Times New Roman" w:hAnsi="Times New Roman" w:eastAsia="仿宋_GB2312" w:cs="仿宋_GB2312"/>
          <w:b w:val="0"/>
          <w:bCs w:val="0"/>
          <w:kern w:val="0"/>
          <w:position w:val="0"/>
          <w:sz w:val="32"/>
          <w:szCs w:val="32"/>
          <w:highlight w:val="none"/>
          <w:lang w:val="zh-CN" w:eastAsia="zh-CN" w:bidi="ar-SA"/>
        </w:rPr>
        <w:t>加强预算编制的准确性，提高预算支付的执行力度。不断优化完善预算编制流程，结合年度工作任务目标和项目计划实施进度，加强预算项目前期评估，提高预算编制准确性和执行进度，严禁超预算或无预算支出；</w:t>
      </w:r>
      <w:r>
        <w:rPr>
          <w:rFonts w:hint="eastAsia" w:ascii="Times New Roman" w:hAnsi="Times New Roman" w:eastAsia="仿宋_GB2312" w:cs="仿宋_GB2312"/>
          <w:b/>
          <w:bCs/>
          <w:kern w:val="0"/>
          <w:position w:val="0"/>
          <w:sz w:val="32"/>
          <w:szCs w:val="32"/>
          <w:highlight w:val="none"/>
          <w:lang w:val="zh-CN" w:eastAsia="zh-CN" w:bidi="ar-SA"/>
        </w:rPr>
        <w:t>三是</w:t>
      </w:r>
      <w:r>
        <w:rPr>
          <w:rFonts w:hint="eastAsia" w:ascii="Times New Roman" w:hAnsi="Times New Roman" w:eastAsia="仿宋_GB2312" w:cs="仿宋_GB2312"/>
          <w:b w:val="0"/>
          <w:bCs w:val="0"/>
          <w:kern w:val="0"/>
          <w:position w:val="0"/>
          <w:sz w:val="32"/>
          <w:szCs w:val="32"/>
          <w:highlight w:val="none"/>
          <w:lang w:val="zh-CN" w:eastAsia="zh-CN" w:bidi="ar-SA"/>
        </w:rPr>
        <w:t>严格把控事前绩效评价报告的真实性、准确性，优化绩效目标的设置。</w:t>
      </w:r>
      <w:bookmarkEnd w:id="55"/>
    </w:p>
    <w:p w14:paraId="3817C493">
      <w:pPr>
        <w:pStyle w:val="8"/>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Times New Roman"/>
          <w:kern w:val="2"/>
          <w:sz w:val="32"/>
          <w:szCs w:val="32"/>
          <w:u w:val="none"/>
          <w:lang w:val="zh-CN" w:eastAsia="zh-CN"/>
        </w:rPr>
      </w:pPr>
      <w:r>
        <w:rPr>
          <w:rFonts w:hint="eastAsia" w:ascii="Times New Roman" w:hAnsi="Times New Roman" w:eastAsia="仿宋_GB2312" w:cs="Times New Roman"/>
          <w:kern w:val="2"/>
          <w:sz w:val="32"/>
          <w:szCs w:val="32"/>
          <w:u w:val="none"/>
          <w:lang w:val="zh-CN" w:eastAsia="zh-CN"/>
        </w:rPr>
        <w:t>附表：</w:t>
      </w:r>
      <w:r>
        <w:rPr>
          <w:rFonts w:hint="eastAsia" w:ascii="Times New Roman" w:hAnsi="Times New Roman" w:eastAsia="仿宋_GB2312" w:cs="Times New Roman"/>
          <w:kern w:val="2"/>
          <w:sz w:val="32"/>
          <w:szCs w:val="32"/>
          <w:u w:val="none"/>
          <w:lang w:val="en-US" w:eastAsia="zh-CN"/>
        </w:rPr>
        <w:t>部门预算项目支出绩效自评表（2024年度）</w:t>
      </w:r>
    </w:p>
    <w:p w14:paraId="3F23715F">
      <w:pPr>
        <w:pStyle w:val="8"/>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1DE8A3D">
      <w:pPr>
        <w:rPr>
          <w:rFonts w:hint="eastAsia" w:ascii="Times New Roman" w:hAnsi="Times New Roman" w:eastAsia="黑体" w:cs="黑体"/>
          <w:color w:val="auto"/>
          <w:kern w:val="0"/>
          <w:sz w:val="32"/>
          <w:szCs w:val="32"/>
          <w:highlight w:val="none"/>
          <w:shd w:val="clear" w:color="auto" w:fill="FFFFFF"/>
          <w:lang w:val="zh-CN"/>
        </w:rPr>
        <w:sectPr>
          <w:footerReference r:id="rId8" w:type="default"/>
          <w:pgSz w:w="11906" w:h="16838"/>
          <w:pgMar w:top="1440" w:right="1800" w:bottom="1440" w:left="1800" w:header="851" w:footer="992" w:gutter="0"/>
          <w:pgNumType w:fmt="numberInDash" w:start="1"/>
          <w:cols w:space="720" w:num="1"/>
          <w:docGrid w:type="lines" w:linePitch="312" w:charSpace="0"/>
        </w:sectPr>
      </w:pPr>
    </w:p>
    <w:p w14:paraId="24D4FC56">
      <w:pPr>
        <w:rPr>
          <w:rFonts w:hint="eastAsia"/>
          <w:lang w:val="zh-CN"/>
        </w:rPr>
      </w:pPr>
    </w:p>
    <w:tbl>
      <w:tblPr>
        <w:tblStyle w:val="16"/>
        <w:tblW w:w="141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2048"/>
        <w:gridCol w:w="1764"/>
        <w:gridCol w:w="2258"/>
        <w:gridCol w:w="525"/>
        <w:gridCol w:w="1674"/>
        <w:gridCol w:w="525"/>
        <w:gridCol w:w="1095"/>
        <w:gridCol w:w="510"/>
        <w:gridCol w:w="486"/>
        <w:gridCol w:w="2541"/>
      </w:tblGrid>
      <w:tr w14:paraId="1CC62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D21216">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3F13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E60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10FDA3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51320021T000000049167-仲裁办案经费</w:t>
            </w:r>
          </w:p>
        </w:tc>
      </w:tr>
      <w:tr w14:paraId="42EEA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72B7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E83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5557CB1">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F30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8E57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CC0C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E873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F55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A629B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9D31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5D2DB">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9264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4E44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工作要求2022年将加强标准化仲裁院的创建工作；提升全州劳动争议仲裁员业务水平的业务培训会；开展全州劳动人事争调解员培训、裁审衔接工作会、仲裁年度工作会；开展全州劳动人事争议仲裁调研计业务指导工作，为构建全州和谐劳动关系提供保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69B3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13县（市）开展现场业务指导10余次，开展劳动人事争议调解仲裁工作调研7次。通过现场指导及调研，提升了我州调解仲裁工作人员工作水平，促进我州劳动人事争议调解仲裁工作提质增效，全面完成目标任务。</w:t>
            </w:r>
          </w:p>
        </w:tc>
      </w:tr>
      <w:tr w14:paraId="56E22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C41EC">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A8C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1497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13县（市）开展现场业务指导10余次，开展劳动人事争议调解仲裁工作调研7次。通过现场指导及调研，提升了我州调解仲裁工作人员工作水平，促进我州劳动人事争议调解仲裁工作提质增效，全面完成目标任务。</w:t>
            </w:r>
          </w:p>
        </w:tc>
      </w:tr>
      <w:tr w14:paraId="6386D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83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43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47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632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9F2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9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2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F4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76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A69B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081B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2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46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DD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CFA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4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4F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B3C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B4A5D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793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E02C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1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3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A0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1E2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55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B7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0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BB14F">
            <w:pPr>
              <w:rPr>
                <w:rFonts w:hint="eastAsia" w:ascii="黑体" w:hAnsi="黑体" w:eastAsia="黑体" w:cs="黑体"/>
                <w:i/>
                <w:iCs/>
                <w:color w:val="000000"/>
                <w:sz w:val="18"/>
                <w:szCs w:val="18"/>
                <w:u w:val="none"/>
              </w:rPr>
            </w:pPr>
          </w:p>
        </w:tc>
      </w:tr>
      <w:tr w14:paraId="38C24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3680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D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F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E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25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3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12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7C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DFEA8">
            <w:pPr>
              <w:rPr>
                <w:rFonts w:hint="eastAsia" w:ascii="黑体" w:hAnsi="黑体" w:eastAsia="黑体" w:cs="黑体"/>
                <w:i/>
                <w:iCs/>
                <w:color w:val="000000"/>
                <w:sz w:val="18"/>
                <w:szCs w:val="18"/>
                <w:u w:val="none"/>
              </w:rPr>
            </w:pPr>
          </w:p>
        </w:tc>
      </w:tr>
      <w:tr w14:paraId="40024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85C6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C4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73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9E7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B249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6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9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517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7BEC2">
            <w:pPr>
              <w:rPr>
                <w:rFonts w:hint="eastAsia" w:ascii="黑体" w:hAnsi="黑体" w:eastAsia="黑体" w:cs="黑体"/>
                <w:i/>
                <w:iCs/>
                <w:color w:val="000000"/>
                <w:sz w:val="18"/>
                <w:szCs w:val="18"/>
                <w:u w:val="none"/>
              </w:rPr>
            </w:pPr>
          </w:p>
        </w:tc>
      </w:tr>
      <w:tr w14:paraId="0C8D7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C2C0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DE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8D95">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033B">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39671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3A7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B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4A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C0DF5">
            <w:pPr>
              <w:rPr>
                <w:rFonts w:hint="eastAsia" w:ascii="黑体" w:hAnsi="黑体" w:eastAsia="黑体" w:cs="黑体"/>
                <w:i/>
                <w:iCs/>
                <w:color w:val="000000"/>
                <w:sz w:val="18"/>
                <w:szCs w:val="18"/>
                <w:u w:val="none"/>
              </w:rPr>
            </w:pPr>
          </w:p>
        </w:tc>
      </w:tr>
      <w:tr w14:paraId="1C7A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00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A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0D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3C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0E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82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1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3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9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A7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3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2D4F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C4B8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C6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F0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5E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到全州各县开展调研工作次数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4E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6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5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4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AB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E3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CE0F2">
            <w:pPr>
              <w:jc w:val="center"/>
              <w:rPr>
                <w:rFonts w:hint="eastAsia" w:ascii="微软雅黑" w:hAnsi="微软雅黑" w:eastAsia="微软雅黑" w:cs="微软雅黑"/>
                <w:i/>
                <w:iCs/>
                <w:color w:val="000000"/>
                <w:sz w:val="16"/>
                <w:szCs w:val="16"/>
                <w:u w:val="none"/>
              </w:rPr>
            </w:pPr>
          </w:p>
        </w:tc>
      </w:tr>
      <w:tr w14:paraId="3C43C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4CE3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01DC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3B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AF3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D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2C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5A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37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8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DE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2215">
            <w:pPr>
              <w:jc w:val="center"/>
              <w:rPr>
                <w:rFonts w:hint="eastAsia" w:ascii="微软雅黑" w:hAnsi="微软雅黑" w:eastAsia="微软雅黑" w:cs="微软雅黑"/>
                <w:i/>
                <w:iCs/>
                <w:color w:val="000000"/>
                <w:sz w:val="16"/>
                <w:szCs w:val="16"/>
                <w:u w:val="none"/>
              </w:rPr>
            </w:pPr>
          </w:p>
        </w:tc>
      </w:tr>
      <w:tr w14:paraId="2A0C1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787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A3E0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11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F0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8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4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3F9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F7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C1BC2">
            <w:pPr>
              <w:jc w:val="center"/>
              <w:rPr>
                <w:rFonts w:hint="eastAsia" w:ascii="微软雅黑" w:hAnsi="微软雅黑" w:eastAsia="微软雅黑" w:cs="微软雅黑"/>
                <w:i/>
                <w:iCs/>
                <w:color w:val="000000"/>
                <w:sz w:val="16"/>
                <w:szCs w:val="16"/>
                <w:u w:val="none"/>
              </w:rPr>
            </w:pPr>
          </w:p>
        </w:tc>
      </w:tr>
      <w:tr w14:paraId="1CB58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E902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37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F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76C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有效化解劳动关系领域内矛盾纠纷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60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9C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B2F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4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5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5A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D9AAA">
            <w:pPr>
              <w:jc w:val="center"/>
              <w:rPr>
                <w:rFonts w:hint="eastAsia" w:ascii="微软雅黑" w:hAnsi="微软雅黑" w:eastAsia="微软雅黑" w:cs="微软雅黑"/>
                <w:i/>
                <w:iCs/>
                <w:color w:val="000000"/>
                <w:sz w:val="16"/>
                <w:szCs w:val="16"/>
                <w:u w:val="none"/>
              </w:rPr>
            </w:pPr>
          </w:p>
        </w:tc>
      </w:tr>
      <w:tr w14:paraId="578C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90DE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0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2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F0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调解仲裁满意度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31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68A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3D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F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A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E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476C">
            <w:pPr>
              <w:jc w:val="center"/>
              <w:rPr>
                <w:rFonts w:hint="eastAsia" w:ascii="微软雅黑" w:hAnsi="微软雅黑" w:eastAsia="微软雅黑" w:cs="微软雅黑"/>
                <w:i/>
                <w:iCs/>
                <w:color w:val="000000"/>
                <w:sz w:val="16"/>
                <w:szCs w:val="16"/>
                <w:u w:val="none"/>
              </w:rPr>
            </w:pPr>
          </w:p>
        </w:tc>
      </w:tr>
      <w:tr w14:paraId="53592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B8D3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3D1B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CA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08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C2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A3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0B0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B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8D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3E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196EF">
            <w:pPr>
              <w:jc w:val="center"/>
              <w:rPr>
                <w:rFonts w:hint="eastAsia" w:ascii="微软雅黑" w:hAnsi="微软雅黑" w:eastAsia="微软雅黑" w:cs="微软雅黑"/>
                <w:i/>
                <w:iCs/>
                <w:color w:val="000000"/>
                <w:sz w:val="16"/>
                <w:szCs w:val="16"/>
                <w:u w:val="none"/>
              </w:rPr>
            </w:pPr>
          </w:p>
        </w:tc>
      </w:tr>
      <w:tr w14:paraId="32BDD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20B0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7706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53F36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1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C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E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72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B37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3BD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F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2EE5">
            <w:pPr>
              <w:jc w:val="center"/>
              <w:rPr>
                <w:rFonts w:hint="eastAsia" w:ascii="微软雅黑" w:hAnsi="微软雅黑" w:eastAsia="微软雅黑" w:cs="微软雅黑"/>
                <w:i/>
                <w:iCs/>
                <w:color w:val="000000"/>
                <w:sz w:val="16"/>
                <w:szCs w:val="16"/>
                <w:u w:val="none"/>
              </w:rPr>
            </w:pPr>
          </w:p>
        </w:tc>
      </w:tr>
      <w:tr w14:paraId="4D3B9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2466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ED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C1DB7">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C3BE">
            <w:pPr>
              <w:rPr>
                <w:rFonts w:hint="eastAsia" w:ascii="宋体" w:hAnsi="宋体" w:eastAsia="宋体" w:cs="宋体"/>
                <w:i w:val="0"/>
                <w:iCs w:val="0"/>
                <w:color w:val="000000"/>
                <w:sz w:val="18"/>
                <w:szCs w:val="18"/>
                <w:u w:val="none"/>
              </w:rPr>
            </w:pPr>
          </w:p>
        </w:tc>
      </w:tr>
      <w:tr w14:paraId="1A8F8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7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3C071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DFC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44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03E72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AA45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857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237D9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B526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86CC23C">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85EEF66">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CD8E974">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E00192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45F26C3">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CCAAF8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98DFEA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9AA2181">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38DDC36">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4E25DE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0CEDC4E">
            <w:pPr>
              <w:rPr>
                <w:rFonts w:hint="eastAsia" w:ascii="宋体" w:hAnsi="宋体" w:eastAsia="宋体" w:cs="宋体"/>
                <w:i w:val="0"/>
                <w:iCs w:val="0"/>
                <w:color w:val="000000"/>
                <w:sz w:val="18"/>
                <w:szCs w:val="18"/>
                <w:u w:val="none"/>
              </w:rPr>
            </w:pPr>
          </w:p>
        </w:tc>
      </w:tr>
      <w:tr w14:paraId="1090D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18D84D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E630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84AB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EBDC6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51320021T000000049172-信息系统维护保养</w:t>
            </w:r>
          </w:p>
        </w:tc>
      </w:tr>
      <w:tr w14:paraId="50E838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5855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CA8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490E69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B1E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7717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E465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BEA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A992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6EEA8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A3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8BA4">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72DD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96C4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保障社保卡服务中心机房的软件与硬件设备正常运行，保证“金保”信息系统对全州人社业务的支持，为全州97万参保群众和90万社保卡持卡群众提供服务。</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0171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保障了社保卡服务中心机房的软件与硬件设备正常运行。</w:t>
            </w:r>
          </w:p>
        </w:tc>
      </w:tr>
      <w:tr w14:paraId="43620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2069B">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F3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A60E1A">
            <w:pPr>
              <w:rPr>
                <w:rFonts w:hint="eastAsia" w:ascii="宋体" w:hAnsi="宋体" w:eastAsia="宋体" w:cs="宋体"/>
                <w:i w:val="0"/>
                <w:iCs w:val="0"/>
                <w:color w:val="000000"/>
                <w:sz w:val="18"/>
                <w:szCs w:val="18"/>
                <w:u w:val="none"/>
              </w:rPr>
            </w:pPr>
          </w:p>
        </w:tc>
      </w:tr>
      <w:tr w14:paraId="56082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C59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0F6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59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9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1B1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B8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6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2E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21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71C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951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0B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63C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B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18F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B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2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86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B9CA5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EC42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FAFC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78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E3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A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7389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3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83A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74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00DC2">
            <w:pPr>
              <w:rPr>
                <w:rFonts w:hint="eastAsia" w:ascii="黑体" w:hAnsi="黑体" w:eastAsia="黑体" w:cs="黑体"/>
                <w:i/>
                <w:iCs/>
                <w:color w:val="000000"/>
                <w:sz w:val="18"/>
                <w:szCs w:val="18"/>
                <w:u w:val="none"/>
              </w:rPr>
            </w:pPr>
          </w:p>
        </w:tc>
      </w:tr>
      <w:tr w14:paraId="625C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0DC3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2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AD5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70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E9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63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8F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C8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2EA89">
            <w:pPr>
              <w:rPr>
                <w:rFonts w:hint="eastAsia" w:ascii="黑体" w:hAnsi="黑体" w:eastAsia="黑体" w:cs="黑体"/>
                <w:i/>
                <w:iCs/>
                <w:color w:val="000000"/>
                <w:sz w:val="18"/>
                <w:szCs w:val="18"/>
                <w:u w:val="none"/>
              </w:rPr>
            </w:pPr>
          </w:p>
        </w:tc>
      </w:tr>
      <w:tr w14:paraId="0DA41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6EEA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6D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1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3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F6B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E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C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F3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C99F">
            <w:pPr>
              <w:rPr>
                <w:rFonts w:hint="eastAsia" w:ascii="黑体" w:hAnsi="黑体" w:eastAsia="黑体" w:cs="黑体"/>
                <w:i/>
                <w:iCs/>
                <w:color w:val="000000"/>
                <w:sz w:val="18"/>
                <w:szCs w:val="18"/>
                <w:u w:val="none"/>
              </w:rPr>
            </w:pPr>
          </w:p>
        </w:tc>
      </w:tr>
      <w:tr w14:paraId="12C08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C83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D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54B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5B38">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912A2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5F2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4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8D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E77AF3">
            <w:pPr>
              <w:rPr>
                <w:rFonts w:hint="eastAsia" w:ascii="黑体" w:hAnsi="黑体" w:eastAsia="黑体" w:cs="黑体"/>
                <w:i/>
                <w:iCs/>
                <w:color w:val="000000"/>
                <w:sz w:val="18"/>
                <w:szCs w:val="18"/>
                <w:u w:val="none"/>
              </w:rPr>
            </w:pPr>
          </w:p>
        </w:tc>
      </w:tr>
      <w:tr w14:paraId="6CA8D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9481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2F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18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58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6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C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AA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39D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7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6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A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5FB9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7FB4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C97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36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4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数据机房硬件维护保养服务项目批次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31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C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F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8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97F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30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570B8">
            <w:pPr>
              <w:jc w:val="center"/>
              <w:rPr>
                <w:rFonts w:hint="eastAsia" w:ascii="微软雅黑" w:hAnsi="微软雅黑" w:eastAsia="微软雅黑" w:cs="微软雅黑"/>
                <w:i/>
                <w:iCs/>
                <w:color w:val="000000"/>
                <w:sz w:val="16"/>
                <w:szCs w:val="16"/>
                <w:u w:val="none"/>
              </w:rPr>
            </w:pPr>
          </w:p>
        </w:tc>
      </w:tr>
      <w:tr w14:paraId="71377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189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1196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D8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B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设备正常运行率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2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C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0FB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4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A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79F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B364">
            <w:pPr>
              <w:jc w:val="center"/>
              <w:rPr>
                <w:rFonts w:hint="eastAsia" w:ascii="微软雅黑" w:hAnsi="微软雅黑" w:eastAsia="微软雅黑" w:cs="微软雅黑"/>
                <w:i/>
                <w:iCs/>
                <w:color w:val="000000"/>
                <w:sz w:val="16"/>
                <w:szCs w:val="16"/>
                <w:u w:val="none"/>
              </w:rPr>
            </w:pPr>
          </w:p>
        </w:tc>
      </w:tr>
      <w:tr w14:paraId="73C06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A980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FD4E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A1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75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1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B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A307">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6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87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E2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FFC06">
            <w:pPr>
              <w:jc w:val="center"/>
              <w:rPr>
                <w:rFonts w:hint="eastAsia" w:ascii="微软雅黑" w:hAnsi="微软雅黑" w:eastAsia="微软雅黑" w:cs="微软雅黑"/>
                <w:i/>
                <w:iCs/>
                <w:color w:val="000000"/>
                <w:sz w:val="16"/>
                <w:szCs w:val="16"/>
                <w:u w:val="none"/>
              </w:rPr>
            </w:pPr>
          </w:p>
        </w:tc>
      </w:tr>
      <w:tr w14:paraId="79BD5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FB5D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20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0F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B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为群众提供优质信息化服务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6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9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3EF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6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C5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F9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AC89">
            <w:pPr>
              <w:jc w:val="center"/>
              <w:rPr>
                <w:rFonts w:hint="eastAsia" w:ascii="微软雅黑" w:hAnsi="微软雅黑" w:eastAsia="微软雅黑" w:cs="微软雅黑"/>
                <w:i/>
                <w:iCs/>
                <w:color w:val="000000"/>
                <w:sz w:val="16"/>
                <w:szCs w:val="16"/>
                <w:u w:val="none"/>
              </w:rPr>
            </w:pPr>
          </w:p>
        </w:tc>
      </w:tr>
      <w:tr w14:paraId="12BD4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6A54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24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EC6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C63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F9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A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5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AC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6C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3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07757">
            <w:pPr>
              <w:jc w:val="center"/>
              <w:rPr>
                <w:rFonts w:hint="eastAsia" w:ascii="微软雅黑" w:hAnsi="微软雅黑" w:eastAsia="微软雅黑" w:cs="微软雅黑"/>
                <w:i/>
                <w:iCs/>
                <w:color w:val="000000"/>
                <w:sz w:val="16"/>
                <w:szCs w:val="16"/>
                <w:u w:val="none"/>
              </w:rPr>
            </w:pPr>
          </w:p>
        </w:tc>
      </w:tr>
      <w:tr w14:paraId="788B1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434B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423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E48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3B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C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9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F8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B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38.89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A6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80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6FA1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本年度维修项目增多</w:t>
            </w:r>
          </w:p>
        </w:tc>
      </w:tr>
      <w:tr w14:paraId="7CB2C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6827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BBA833">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2AC2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3C2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90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B3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76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B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66.45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B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F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A784">
            <w:pPr>
              <w:jc w:val="center"/>
              <w:rPr>
                <w:rFonts w:hint="eastAsia" w:ascii="微软雅黑" w:hAnsi="微软雅黑" w:eastAsia="微软雅黑" w:cs="微软雅黑"/>
                <w:i/>
                <w:iCs/>
                <w:color w:val="000000"/>
                <w:sz w:val="16"/>
                <w:szCs w:val="16"/>
                <w:u w:val="none"/>
              </w:rPr>
            </w:pPr>
          </w:p>
        </w:tc>
      </w:tr>
      <w:tr w14:paraId="16C1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6AF6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8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94D8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4D19">
            <w:pPr>
              <w:rPr>
                <w:rFonts w:hint="eastAsia" w:ascii="宋体" w:hAnsi="宋体" w:eastAsia="宋体" w:cs="宋体"/>
                <w:i w:val="0"/>
                <w:iCs w:val="0"/>
                <w:color w:val="000000"/>
                <w:sz w:val="18"/>
                <w:szCs w:val="18"/>
                <w:u w:val="none"/>
              </w:rPr>
            </w:pPr>
          </w:p>
        </w:tc>
      </w:tr>
      <w:tr w14:paraId="68796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AF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94E51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 保障了社保卡服务中心机房的软件与硬件设备正常运行。</w:t>
            </w:r>
          </w:p>
        </w:tc>
      </w:tr>
      <w:tr w14:paraId="05F5B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D0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8C1E6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E31B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C36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C233E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812E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3A472037">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EC2316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951DFF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9E6B30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B3B6B5A">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082B0C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4ADBF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B54ACC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5E41759">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A46E9B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4BD1745">
            <w:pPr>
              <w:rPr>
                <w:rFonts w:hint="eastAsia" w:ascii="宋体" w:hAnsi="宋体" w:eastAsia="宋体" w:cs="宋体"/>
                <w:i w:val="0"/>
                <w:iCs w:val="0"/>
                <w:color w:val="000000"/>
                <w:sz w:val="18"/>
                <w:szCs w:val="18"/>
                <w:u w:val="none"/>
              </w:rPr>
            </w:pPr>
          </w:p>
        </w:tc>
      </w:tr>
      <w:tr w14:paraId="52ECB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458EA9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1D2F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146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AFD70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51320021T000000049178-法律顾问经费</w:t>
            </w:r>
          </w:p>
        </w:tc>
      </w:tr>
      <w:tr w14:paraId="23E5F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7F8A0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D3FA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DF05E9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625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FE72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EED3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89E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E5484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F9BBA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CE6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9FB67">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BC38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7E9A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按照依法行政要求，有效开展行政复议行政诉讼，做好培训工作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4DD5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按规定签约法律顾问，开展法治培训，加强法治宣传，树牢法治意识，营造良好法治氛围。</w:t>
            </w:r>
          </w:p>
        </w:tc>
      </w:tr>
      <w:tr w14:paraId="26D85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6B024">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386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2A9EF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与律师事务所签订常年法律顾问合同。组织全单位开展法治培训。利用线上+线下方式，开展法治培训。</w:t>
            </w:r>
          </w:p>
        </w:tc>
      </w:tr>
      <w:tr w14:paraId="169CE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00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12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87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D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1F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3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B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0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3B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1B3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6738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DB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A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62B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336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2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D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D220">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0F2F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0031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A73E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4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72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A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8CA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5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15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4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8AB6C">
            <w:pPr>
              <w:rPr>
                <w:rFonts w:hint="eastAsia" w:ascii="黑体" w:hAnsi="黑体" w:eastAsia="黑体" w:cs="黑体"/>
                <w:i/>
                <w:iCs/>
                <w:color w:val="000000"/>
                <w:sz w:val="18"/>
                <w:szCs w:val="18"/>
                <w:u w:val="none"/>
              </w:rPr>
            </w:pPr>
          </w:p>
        </w:tc>
      </w:tr>
      <w:tr w14:paraId="59EF9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F201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64A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2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E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0993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EFB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C0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1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549C5">
            <w:pPr>
              <w:rPr>
                <w:rFonts w:hint="eastAsia" w:ascii="黑体" w:hAnsi="黑体" w:eastAsia="黑体" w:cs="黑体"/>
                <w:i/>
                <w:iCs/>
                <w:color w:val="000000"/>
                <w:sz w:val="18"/>
                <w:szCs w:val="18"/>
                <w:u w:val="none"/>
              </w:rPr>
            </w:pPr>
          </w:p>
        </w:tc>
      </w:tr>
      <w:tr w14:paraId="0FA74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B926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7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36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CE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06C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8C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1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84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32AA">
            <w:pPr>
              <w:rPr>
                <w:rFonts w:hint="eastAsia" w:ascii="黑体" w:hAnsi="黑体" w:eastAsia="黑体" w:cs="黑体"/>
                <w:i/>
                <w:iCs/>
                <w:color w:val="000000"/>
                <w:sz w:val="18"/>
                <w:szCs w:val="18"/>
                <w:u w:val="none"/>
              </w:rPr>
            </w:pPr>
          </w:p>
        </w:tc>
      </w:tr>
      <w:tr w14:paraId="6BB1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FD6B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6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EEC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2A61">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D6929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7D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ADE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1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BCEBD">
            <w:pPr>
              <w:rPr>
                <w:rFonts w:hint="eastAsia" w:ascii="黑体" w:hAnsi="黑体" w:eastAsia="黑体" w:cs="黑体"/>
                <w:i/>
                <w:iCs/>
                <w:color w:val="000000"/>
                <w:sz w:val="18"/>
                <w:szCs w:val="18"/>
                <w:u w:val="none"/>
              </w:rPr>
            </w:pPr>
          </w:p>
        </w:tc>
      </w:tr>
      <w:tr w14:paraId="55090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3AC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31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AF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68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9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1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0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CD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50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EAA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17D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6E33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56293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563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CEA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B0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参加相关培训工作次数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55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88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B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E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E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05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51354">
            <w:pPr>
              <w:jc w:val="center"/>
              <w:rPr>
                <w:rFonts w:hint="eastAsia" w:ascii="微软雅黑" w:hAnsi="微软雅黑" w:eastAsia="微软雅黑" w:cs="微软雅黑"/>
                <w:i/>
                <w:iCs/>
                <w:color w:val="000000"/>
                <w:sz w:val="16"/>
                <w:szCs w:val="16"/>
                <w:u w:val="none"/>
              </w:rPr>
            </w:pPr>
          </w:p>
        </w:tc>
      </w:tr>
      <w:tr w14:paraId="022C1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67DB5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8F6E5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1C1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BE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CBF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61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B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C96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4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EC86A">
            <w:pPr>
              <w:jc w:val="center"/>
              <w:rPr>
                <w:rFonts w:hint="eastAsia" w:ascii="微软雅黑" w:hAnsi="微软雅黑" w:eastAsia="微软雅黑" w:cs="微软雅黑"/>
                <w:i/>
                <w:iCs/>
                <w:color w:val="000000"/>
                <w:sz w:val="16"/>
                <w:szCs w:val="16"/>
                <w:u w:val="none"/>
              </w:rPr>
            </w:pPr>
          </w:p>
        </w:tc>
      </w:tr>
      <w:tr w14:paraId="157CA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DFAC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F7FD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5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7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诉讼工作完成时间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2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7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F85E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A5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2024年度11月底前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3C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4A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0E65">
            <w:pPr>
              <w:jc w:val="center"/>
              <w:rPr>
                <w:rFonts w:hint="eastAsia" w:ascii="微软雅黑" w:hAnsi="微软雅黑" w:eastAsia="微软雅黑" w:cs="微软雅黑"/>
                <w:i/>
                <w:iCs/>
                <w:color w:val="000000"/>
                <w:sz w:val="16"/>
                <w:szCs w:val="16"/>
                <w:u w:val="none"/>
              </w:rPr>
            </w:pPr>
          </w:p>
        </w:tc>
      </w:tr>
      <w:tr w14:paraId="6ADC6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94E7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B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B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4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有效开展行政复议行政诉讼，做好培训工作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B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2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EE4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A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6F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B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2CAF">
            <w:pPr>
              <w:jc w:val="center"/>
              <w:rPr>
                <w:rFonts w:hint="eastAsia" w:ascii="微软雅黑" w:hAnsi="微软雅黑" w:eastAsia="微软雅黑" w:cs="微软雅黑"/>
                <w:i/>
                <w:iCs/>
                <w:color w:val="000000"/>
                <w:sz w:val="16"/>
                <w:szCs w:val="16"/>
                <w:u w:val="none"/>
              </w:rPr>
            </w:pPr>
          </w:p>
        </w:tc>
      </w:tr>
      <w:tr w14:paraId="387D7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B3CB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5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C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17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服务群众满意率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B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C48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25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A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EA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8E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5A8A0">
            <w:pPr>
              <w:jc w:val="center"/>
              <w:rPr>
                <w:rFonts w:hint="eastAsia" w:ascii="微软雅黑" w:hAnsi="微软雅黑" w:eastAsia="微软雅黑" w:cs="微软雅黑"/>
                <w:i/>
                <w:iCs/>
                <w:color w:val="000000"/>
                <w:sz w:val="16"/>
                <w:szCs w:val="16"/>
                <w:u w:val="none"/>
              </w:rPr>
            </w:pPr>
          </w:p>
        </w:tc>
      </w:tr>
      <w:tr w14:paraId="6684F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8586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E0F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DD09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A8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5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4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6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75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8B0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C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9F75C">
            <w:pPr>
              <w:jc w:val="center"/>
              <w:rPr>
                <w:rFonts w:hint="eastAsia" w:ascii="微软雅黑" w:hAnsi="微软雅黑" w:eastAsia="微软雅黑" w:cs="微软雅黑"/>
                <w:i/>
                <w:iCs/>
                <w:color w:val="000000"/>
                <w:sz w:val="16"/>
                <w:szCs w:val="16"/>
                <w:u w:val="none"/>
              </w:rPr>
            </w:pPr>
          </w:p>
        </w:tc>
      </w:tr>
      <w:tr w14:paraId="0A6E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89067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10B7A">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855B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5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委托业务服务费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2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0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9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C49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6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1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A0E11">
            <w:pPr>
              <w:jc w:val="center"/>
              <w:rPr>
                <w:rFonts w:hint="eastAsia" w:ascii="微软雅黑" w:hAnsi="微软雅黑" w:eastAsia="微软雅黑" w:cs="微软雅黑"/>
                <w:i/>
                <w:iCs/>
                <w:color w:val="000000"/>
                <w:sz w:val="16"/>
                <w:szCs w:val="16"/>
                <w:u w:val="none"/>
              </w:rPr>
            </w:pPr>
          </w:p>
        </w:tc>
      </w:tr>
      <w:tr w14:paraId="5A464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0E9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D24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45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8EAD7">
            <w:pPr>
              <w:rPr>
                <w:rFonts w:hint="eastAsia" w:ascii="宋体" w:hAnsi="宋体" w:eastAsia="宋体" w:cs="宋体"/>
                <w:i w:val="0"/>
                <w:iCs w:val="0"/>
                <w:color w:val="000000"/>
                <w:sz w:val="18"/>
                <w:szCs w:val="18"/>
                <w:u w:val="none"/>
              </w:rPr>
            </w:pPr>
          </w:p>
        </w:tc>
      </w:tr>
      <w:tr w14:paraId="7EADC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79A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382C3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积极参加全省、全州法治培训。让群众可感可及人社温度。</w:t>
            </w:r>
          </w:p>
        </w:tc>
      </w:tr>
      <w:tr w14:paraId="3837F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20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CBAE82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4EA7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3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1E1C5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7C3C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92967F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F841E20">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0C019E0">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1D54EF">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4CD22FA">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406FFF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2CB0B8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889C1B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5EE6B78">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9B548B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32F834BC">
            <w:pPr>
              <w:rPr>
                <w:rFonts w:hint="eastAsia" w:ascii="宋体" w:hAnsi="宋体" w:eastAsia="宋体" w:cs="宋体"/>
                <w:i w:val="0"/>
                <w:iCs w:val="0"/>
                <w:color w:val="000000"/>
                <w:sz w:val="18"/>
                <w:szCs w:val="18"/>
                <w:u w:val="none"/>
              </w:rPr>
            </w:pPr>
          </w:p>
        </w:tc>
      </w:tr>
      <w:tr w14:paraId="4704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0F0CA3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583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087D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00B050"/>
            <w:vAlign w:val="center"/>
          </w:tcPr>
          <w:p w14:paraId="036BF3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51320021T000000049182-主干网络使用费</w:t>
            </w:r>
          </w:p>
        </w:tc>
      </w:tr>
      <w:tr w14:paraId="2825B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5D0A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885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45741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20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0A9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CAB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08A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212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C953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7851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7CA10">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CF51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71CA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保障全州域网（州到各县、区）主干业务专网、互联网、视频会议、人社服务大厅监控系统、阿坝州惠民惠农财政补贴资金“一卡通”等汇聚线路及备用线路的互联互通和“金保工程业务专网”安全、稳定运行。</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EEFA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全州域网（州到各县、区）主干业务专网、互联网、视频会议、人社服务大厅监控系统、阿坝州惠民惠农财政补贴资金“一卡通”等汇聚线路及备用线路的互联互通和“金保工程业务专网”安全、稳定运行。</w:t>
            </w:r>
          </w:p>
        </w:tc>
      </w:tr>
      <w:tr w14:paraId="44B14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D41F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226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C6DDE1">
            <w:pPr>
              <w:rPr>
                <w:rFonts w:hint="eastAsia" w:ascii="宋体" w:hAnsi="宋体" w:eastAsia="宋体" w:cs="宋体"/>
                <w:i w:val="0"/>
                <w:iCs w:val="0"/>
                <w:color w:val="000000"/>
                <w:sz w:val="18"/>
                <w:szCs w:val="18"/>
                <w:u w:val="none"/>
              </w:rPr>
            </w:pPr>
          </w:p>
        </w:tc>
      </w:tr>
      <w:tr w14:paraId="38329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A4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D0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C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11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20F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FF2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99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D1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10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C1F3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489E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B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9A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16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CDC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64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C7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E5EB">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94D4B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A1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9EB3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E4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0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1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D6CE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65.40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B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AC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11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FA25A">
            <w:pPr>
              <w:rPr>
                <w:rFonts w:hint="eastAsia" w:ascii="黑体" w:hAnsi="黑体" w:eastAsia="黑体" w:cs="黑体"/>
                <w:i/>
                <w:iCs/>
                <w:color w:val="000000"/>
                <w:sz w:val="18"/>
                <w:szCs w:val="18"/>
                <w:u w:val="none"/>
              </w:rPr>
            </w:pPr>
          </w:p>
        </w:tc>
      </w:tr>
      <w:tr w14:paraId="7115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B7C8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5E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B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C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C2CE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3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8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A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474E">
            <w:pPr>
              <w:rPr>
                <w:rFonts w:hint="eastAsia" w:ascii="黑体" w:hAnsi="黑体" w:eastAsia="黑体" w:cs="黑体"/>
                <w:i/>
                <w:iCs/>
                <w:color w:val="000000"/>
                <w:sz w:val="18"/>
                <w:szCs w:val="18"/>
                <w:u w:val="none"/>
              </w:rPr>
            </w:pPr>
          </w:p>
        </w:tc>
      </w:tr>
      <w:tr w14:paraId="3606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1DA1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B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3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0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B3E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0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07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331E1">
            <w:pPr>
              <w:rPr>
                <w:rFonts w:hint="eastAsia" w:ascii="黑体" w:hAnsi="黑体" w:eastAsia="黑体" w:cs="黑体"/>
                <w:i/>
                <w:iCs/>
                <w:color w:val="000000"/>
                <w:sz w:val="18"/>
                <w:szCs w:val="18"/>
                <w:u w:val="none"/>
              </w:rPr>
            </w:pPr>
          </w:p>
        </w:tc>
      </w:tr>
      <w:tr w14:paraId="62A8D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01F95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066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53FB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7B1A">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7A98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E77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4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97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9A1E13">
            <w:pPr>
              <w:rPr>
                <w:rFonts w:hint="eastAsia" w:ascii="黑体" w:hAnsi="黑体" w:eastAsia="黑体" w:cs="黑体"/>
                <w:i/>
                <w:iCs/>
                <w:color w:val="000000"/>
                <w:sz w:val="18"/>
                <w:szCs w:val="18"/>
                <w:u w:val="none"/>
              </w:rPr>
            </w:pPr>
          </w:p>
        </w:tc>
      </w:tr>
      <w:tr w14:paraId="59CF0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C7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3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89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E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45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9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5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C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D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F1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71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D8C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114C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1D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1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D31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线路租赁条数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2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57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E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AC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70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6A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20BE">
            <w:pPr>
              <w:jc w:val="center"/>
              <w:rPr>
                <w:rFonts w:hint="eastAsia" w:ascii="微软雅黑" w:hAnsi="微软雅黑" w:eastAsia="微软雅黑" w:cs="微软雅黑"/>
                <w:i/>
                <w:iCs/>
                <w:color w:val="000000"/>
                <w:sz w:val="16"/>
                <w:szCs w:val="16"/>
                <w:u w:val="none"/>
              </w:rPr>
            </w:pPr>
          </w:p>
        </w:tc>
      </w:tr>
      <w:tr w14:paraId="6E227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BEFA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AF9D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13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4A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8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7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BB2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8E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维护金保工程业务专网安全率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5A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F2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F8EDC">
            <w:pPr>
              <w:jc w:val="center"/>
              <w:rPr>
                <w:rFonts w:hint="eastAsia" w:ascii="微软雅黑" w:hAnsi="微软雅黑" w:eastAsia="微软雅黑" w:cs="微软雅黑"/>
                <w:i/>
                <w:iCs/>
                <w:color w:val="000000"/>
                <w:sz w:val="16"/>
                <w:szCs w:val="16"/>
                <w:u w:val="none"/>
              </w:rPr>
            </w:pPr>
          </w:p>
        </w:tc>
      </w:tr>
      <w:tr w14:paraId="3B2A1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560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1888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1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将于2024年11月底前完成该项目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C2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A4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FF6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A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1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F4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A0E9F">
            <w:pPr>
              <w:jc w:val="center"/>
              <w:rPr>
                <w:rFonts w:hint="eastAsia" w:ascii="微软雅黑" w:hAnsi="微软雅黑" w:eastAsia="微软雅黑" w:cs="微软雅黑"/>
                <w:i/>
                <w:iCs/>
                <w:color w:val="000000"/>
                <w:sz w:val="16"/>
                <w:szCs w:val="16"/>
                <w:u w:val="none"/>
              </w:rPr>
            </w:pPr>
          </w:p>
        </w:tc>
      </w:tr>
      <w:tr w14:paraId="76550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9BE6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316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42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C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提高办公效率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5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E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5847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C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显著提高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AC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9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A093">
            <w:pPr>
              <w:jc w:val="center"/>
              <w:rPr>
                <w:rFonts w:hint="eastAsia" w:ascii="微软雅黑" w:hAnsi="微软雅黑" w:eastAsia="微软雅黑" w:cs="微软雅黑"/>
                <w:i/>
                <w:iCs/>
                <w:color w:val="000000"/>
                <w:sz w:val="16"/>
                <w:szCs w:val="16"/>
                <w:u w:val="none"/>
              </w:rPr>
            </w:pPr>
          </w:p>
        </w:tc>
      </w:tr>
      <w:tr w14:paraId="34DDB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452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46D3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F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5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为实现人社业务“马上办，网上办，就近办，一次办”，方便群众办理人社业务，提供信息技术支持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372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E4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959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6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A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DF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11229">
            <w:pPr>
              <w:jc w:val="center"/>
              <w:rPr>
                <w:rFonts w:hint="eastAsia" w:ascii="微软雅黑" w:hAnsi="微软雅黑" w:eastAsia="微软雅黑" w:cs="微软雅黑"/>
                <w:i/>
                <w:iCs/>
                <w:color w:val="000000"/>
                <w:sz w:val="16"/>
                <w:szCs w:val="16"/>
                <w:u w:val="none"/>
              </w:rPr>
            </w:pPr>
          </w:p>
        </w:tc>
      </w:tr>
      <w:tr w14:paraId="3A6C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0C92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C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5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EE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“一卡通”使用群众满意度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236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F8C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E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4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11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0C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EC2C5">
            <w:pPr>
              <w:jc w:val="center"/>
              <w:rPr>
                <w:rFonts w:hint="eastAsia" w:ascii="微软雅黑" w:hAnsi="微软雅黑" w:eastAsia="微软雅黑" w:cs="微软雅黑"/>
                <w:i/>
                <w:iCs/>
                <w:color w:val="000000"/>
                <w:sz w:val="16"/>
                <w:szCs w:val="16"/>
                <w:u w:val="none"/>
              </w:rPr>
            </w:pPr>
          </w:p>
        </w:tc>
      </w:tr>
      <w:tr w14:paraId="6BBA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906AC">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A77A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2400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8B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租赁费（移动）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A4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8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38E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47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96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F9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B875">
            <w:pPr>
              <w:jc w:val="center"/>
              <w:rPr>
                <w:rFonts w:hint="eastAsia" w:ascii="微软雅黑" w:hAnsi="微软雅黑" w:eastAsia="微软雅黑" w:cs="微软雅黑"/>
                <w:i/>
                <w:iCs/>
                <w:color w:val="000000"/>
                <w:sz w:val="16"/>
                <w:szCs w:val="16"/>
                <w:u w:val="none"/>
              </w:rPr>
            </w:pPr>
          </w:p>
        </w:tc>
      </w:tr>
      <w:tr w14:paraId="52C45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7062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911BE7">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610B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65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租赁费（电信）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F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63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441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ED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9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038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920EE">
            <w:pPr>
              <w:jc w:val="center"/>
              <w:rPr>
                <w:rFonts w:hint="eastAsia" w:ascii="微软雅黑" w:hAnsi="微软雅黑" w:eastAsia="微软雅黑" w:cs="微软雅黑"/>
                <w:i/>
                <w:iCs/>
                <w:color w:val="000000"/>
                <w:sz w:val="16"/>
                <w:szCs w:val="16"/>
                <w:u w:val="none"/>
              </w:rPr>
            </w:pPr>
          </w:p>
        </w:tc>
      </w:tr>
      <w:tr w14:paraId="121D1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26DA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5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7800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58A">
            <w:pPr>
              <w:rPr>
                <w:rFonts w:hint="eastAsia" w:ascii="宋体" w:hAnsi="宋体" w:eastAsia="宋体" w:cs="宋体"/>
                <w:i w:val="0"/>
                <w:iCs w:val="0"/>
                <w:color w:val="000000"/>
                <w:sz w:val="18"/>
                <w:szCs w:val="18"/>
                <w:u w:val="none"/>
              </w:rPr>
            </w:pPr>
          </w:p>
        </w:tc>
      </w:tr>
      <w:tr w14:paraId="75DA3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4F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520DC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全州域网（州到各县、区）主干业务专网、互联网、视频会议、人社服务大厅监控系统、阿坝州惠民惠农财政补贴资金“一卡通”等汇聚线路及备用线路的互联互通和“金保工程业务专网”安全、稳定运行。</w:t>
            </w:r>
          </w:p>
        </w:tc>
      </w:tr>
      <w:tr w14:paraId="1B57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56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2698D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74D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B7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A4B9A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1C5F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70A361C">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7AE4576">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38B157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393D98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7598D1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45D36C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FA62F6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040659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329353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1120CA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0925C47">
            <w:pPr>
              <w:rPr>
                <w:rFonts w:hint="eastAsia" w:ascii="宋体" w:hAnsi="宋体" w:eastAsia="宋体" w:cs="宋体"/>
                <w:i w:val="0"/>
                <w:iCs w:val="0"/>
                <w:color w:val="000000"/>
                <w:sz w:val="18"/>
                <w:szCs w:val="18"/>
                <w:u w:val="none"/>
              </w:rPr>
            </w:pPr>
          </w:p>
        </w:tc>
      </w:tr>
      <w:tr w14:paraId="09E2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FD518A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FF06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03C0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00B050"/>
            <w:vAlign w:val="center"/>
          </w:tcPr>
          <w:p w14:paraId="61A79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51320023T000007887556-2023年阿坝州社保基金智能监督平台建设项目</w:t>
            </w:r>
          </w:p>
        </w:tc>
      </w:tr>
      <w:tr w14:paraId="32F5C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707C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43AA3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5457DE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5B30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9CC4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D3B90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E1E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0D4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F84C6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DAB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37"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AF87E">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8367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5AC7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进一步健全完善社保基金非现场监管工作，不断强化人防、制防、技防、群防“四防协同”的工作机制，结合我州社保基金监管工作实际，在全省社保信息系统风险防控子系统的基础上，拟搭建我州社会保险基金智能监管平台，以实现社保基金监管从人工审核向大数据全方位、全流程、全环节智能监控转变，确保基金安全，全力推动全州社会保障事业高质量发展。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2CD8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1794A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11E01">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9DB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629B1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476FA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77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9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2D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9A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332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1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B7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62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B7F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D79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A1E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2A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03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DD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912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48D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463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A9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086B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D75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13F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F64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065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7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C4D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C5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2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E2BA5">
            <w:pPr>
              <w:rPr>
                <w:rFonts w:hint="eastAsia" w:ascii="黑体" w:hAnsi="黑体" w:eastAsia="黑体" w:cs="黑体"/>
                <w:i/>
                <w:iCs/>
                <w:color w:val="000000"/>
                <w:sz w:val="18"/>
                <w:szCs w:val="18"/>
                <w:u w:val="none"/>
              </w:rPr>
            </w:pPr>
          </w:p>
        </w:tc>
      </w:tr>
      <w:tr w14:paraId="05913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B40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F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9FD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51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04C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1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B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6D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520056">
            <w:pPr>
              <w:rPr>
                <w:rFonts w:hint="eastAsia" w:ascii="黑体" w:hAnsi="黑体" w:eastAsia="黑体" w:cs="黑体"/>
                <w:i/>
                <w:iCs/>
                <w:color w:val="000000"/>
                <w:sz w:val="18"/>
                <w:szCs w:val="18"/>
                <w:u w:val="none"/>
              </w:rPr>
            </w:pPr>
          </w:p>
        </w:tc>
      </w:tr>
      <w:tr w14:paraId="323FF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39A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FE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6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1C6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24A6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B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92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43A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98CEB">
            <w:pPr>
              <w:rPr>
                <w:rFonts w:hint="eastAsia" w:ascii="黑体" w:hAnsi="黑体" w:eastAsia="黑体" w:cs="黑体"/>
                <w:i/>
                <w:iCs/>
                <w:color w:val="000000"/>
                <w:sz w:val="18"/>
                <w:szCs w:val="18"/>
                <w:u w:val="none"/>
              </w:rPr>
            </w:pPr>
          </w:p>
        </w:tc>
      </w:tr>
      <w:tr w14:paraId="36C3F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1888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A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FD98B">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BF5B">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7DA069">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936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47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A1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88379">
            <w:pPr>
              <w:rPr>
                <w:rFonts w:hint="eastAsia" w:ascii="黑体" w:hAnsi="黑体" w:eastAsia="黑体" w:cs="黑体"/>
                <w:i/>
                <w:iCs/>
                <w:color w:val="000000"/>
                <w:sz w:val="18"/>
                <w:szCs w:val="18"/>
                <w:u w:val="none"/>
              </w:rPr>
            </w:pPr>
          </w:p>
        </w:tc>
      </w:tr>
      <w:tr w14:paraId="51CBF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5CC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0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77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1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02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FF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A5B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9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81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4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C5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3DCE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67A7E">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1200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F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3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搭建我州社会保险基金智能监管平台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B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1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CD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35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8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C954">
            <w:pPr>
              <w:jc w:val="center"/>
              <w:rPr>
                <w:rFonts w:hint="eastAsia" w:ascii="微软雅黑" w:hAnsi="微软雅黑" w:eastAsia="微软雅黑" w:cs="微软雅黑"/>
                <w:i/>
                <w:iCs/>
                <w:color w:val="000000"/>
                <w:sz w:val="16"/>
                <w:szCs w:val="16"/>
                <w:u w:val="none"/>
              </w:rPr>
            </w:pPr>
          </w:p>
        </w:tc>
      </w:tr>
      <w:tr w14:paraId="27B99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BFD9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FD98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4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7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确保基金安全，全力推动全州社会保障事业高质量发展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1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1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AC25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B36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F1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78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8078">
            <w:pPr>
              <w:jc w:val="center"/>
              <w:rPr>
                <w:rFonts w:hint="eastAsia" w:ascii="微软雅黑" w:hAnsi="微软雅黑" w:eastAsia="微软雅黑" w:cs="微软雅黑"/>
                <w:i/>
                <w:iCs/>
                <w:color w:val="000000"/>
                <w:sz w:val="16"/>
                <w:szCs w:val="16"/>
                <w:u w:val="none"/>
              </w:rPr>
            </w:pPr>
          </w:p>
        </w:tc>
      </w:tr>
      <w:tr w14:paraId="4EC88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DC724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86E9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E5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84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6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953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本年度12月前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3C6E">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910E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1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66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D19C">
            <w:pPr>
              <w:jc w:val="center"/>
              <w:rPr>
                <w:rFonts w:hint="eastAsia" w:ascii="微软雅黑" w:hAnsi="微软雅黑" w:eastAsia="微软雅黑" w:cs="微软雅黑"/>
                <w:i/>
                <w:iCs/>
                <w:color w:val="000000"/>
                <w:sz w:val="16"/>
                <w:szCs w:val="16"/>
                <w:u w:val="none"/>
              </w:rPr>
            </w:pPr>
          </w:p>
        </w:tc>
      </w:tr>
      <w:tr w14:paraId="7F9A6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6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6C60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12A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5D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A7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进一步规范和加强社会保险基金监督工作，充分利用信息化手段健全社会保险基金监督体系，实现对基本养老保险基金、工伤保险基金、失业保险基金等社会保险基金收、支管理情况的智能化监督，构建全领域、全流程的基金安全防控机制，推动形成查处侵害社会保险基金违法违纪行为和严厉打击欺诈骗保行为的高压态势，确保社会保险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3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6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6D76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1C2D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68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5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41CCB">
            <w:pPr>
              <w:jc w:val="center"/>
              <w:rPr>
                <w:rFonts w:hint="eastAsia" w:ascii="微软雅黑" w:hAnsi="微软雅黑" w:eastAsia="微软雅黑" w:cs="微软雅黑"/>
                <w:i/>
                <w:iCs/>
                <w:color w:val="000000"/>
                <w:sz w:val="16"/>
                <w:szCs w:val="16"/>
                <w:u w:val="none"/>
              </w:rPr>
            </w:pPr>
          </w:p>
        </w:tc>
      </w:tr>
      <w:tr w14:paraId="2BB94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49CB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0E8D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A7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推动全州社会保障事业高质量发展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29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A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中</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2AE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FB1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46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1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1814">
            <w:pPr>
              <w:jc w:val="center"/>
              <w:rPr>
                <w:rFonts w:hint="eastAsia" w:ascii="微软雅黑" w:hAnsi="微软雅黑" w:eastAsia="微软雅黑" w:cs="微软雅黑"/>
                <w:i/>
                <w:iCs/>
                <w:color w:val="000000"/>
                <w:sz w:val="16"/>
                <w:szCs w:val="16"/>
                <w:u w:val="none"/>
              </w:rPr>
            </w:pPr>
          </w:p>
        </w:tc>
      </w:tr>
      <w:tr w14:paraId="61D30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A2F1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FE6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1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13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实现社保基金监管从人工审核向大数据全方位、全流程、全环节智能监控转变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B6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1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实现社保基金监管从人工审核向大数据全方位、全流程、全环节智能监控转变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0E3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23EE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C1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2FD1">
            <w:pPr>
              <w:jc w:val="center"/>
              <w:rPr>
                <w:rFonts w:hint="eastAsia" w:ascii="微软雅黑" w:hAnsi="微软雅黑" w:eastAsia="微软雅黑" w:cs="微软雅黑"/>
                <w:i/>
                <w:iCs/>
                <w:color w:val="000000"/>
                <w:sz w:val="16"/>
                <w:szCs w:val="16"/>
                <w:u w:val="none"/>
              </w:rPr>
            </w:pPr>
          </w:p>
        </w:tc>
      </w:tr>
      <w:tr w14:paraId="52D4C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C1B4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93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DC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90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阿坝州社保基金智能监督平台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2E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C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39.9</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D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DC10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8A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6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4C3E">
            <w:pPr>
              <w:jc w:val="center"/>
              <w:rPr>
                <w:rFonts w:hint="eastAsia" w:ascii="微软雅黑" w:hAnsi="微软雅黑" w:eastAsia="微软雅黑" w:cs="微软雅黑"/>
                <w:i/>
                <w:iCs/>
                <w:color w:val="000000"/>
                <w:sz w:val="16"/>
                <w:szCs w:val="16"/>
                <w:u w:val="none"/>
              </w:rPr>
            </w:pPr>
          </w:p>
        </w:tc>
      </w:tr>
      <w:tr w14:paraId="55530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8D00C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D9B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950F">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9D8E">
            <w:pPr>
              <w:rPr>
                <w:rFonts w:hint="eastAsia" w:ascii="宋体" w:hAnsi="宋体" w:eastAsia="宋体" w:cs="宋体"/>
                <w:i w:val="0"/>
                <w:iCs w:val="0"/>
                <w:color w:val="000000"/>
                <w:sz w:val="18"/>
                <w:szCs w:val="18"/>
                <w:u w:val="none"/>
              </w:rPr>
            </w:pPr>
          </w:p>
        </w:tc>
      </w:tr>
      <w:tr w14:paraId="5EBC1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9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74D10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236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E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02138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8C30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1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7E141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296B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B5D7891">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ACCE96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5FDE1EB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E72755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300D7B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12C34E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9EABF1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504447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C88C33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F03B0F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4CD0771">
            <w:pPr>
              <w:rPr>
                <w:rFonts w:hint="eastAsia" w:ascii="宋体" w:hAnsi="宋体" w:eastAsia="宋体" w:cs="宋体"/>
                <w:i w:val="0"/>
                <w:iCs w:val="0"/>
                <w:color w:val="000000"/>
                <w:sz w:val="18"/>
                <w:szCs w:val="18"/>
                <w:u w:val="none"/>
              </w:rPr>
            </w:pPr>
          </w:p>
        </w:tc>
      </w:tr>
      <w:tr w14:paraId="2DFD5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D850EEB">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58F0F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9783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92D050"/>
            <w:vAlign w:val="center"/>
          </w:tcPr>
          <w:p w14:paraId="7C133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51320023T000009499645-大型招聘会</w:t>
            </w:r>
          </w:p>
        </w:tc>
      </w:tr>
      <w:tr w14:paraId="1A46F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E888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710F9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DFCD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8B7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410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059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3424F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84E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91159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CFF1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6C5D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D176C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FFDC5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为充分发挥州级人力资源服务平台稳就业、保就业的作用，大力促进大中专毕业生和各类社会人才更高质量和更充分就业。</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B33E6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5F91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8789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C8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25561D">
            <w:pPr>
              <w:rPr>
                <w:rFonts w:hint="eastAsia" w:ascii="宋体" w:hAnsi="宋体" w:eastAsia="宋体" w:cs="宋体"/>
                <w:i w:val="0"/>
                <w:iCs w:val="0"/>
                <w:color w:val="000000"/>
                <w:sz w:val="18"/>
                <w:szCs w:val="18"/>
                <w:u w:val="none"/>
              </w:rPr>
            </w:pPr>
          </w:p>
        </w:tc>
      </w:tr>
      <w:tr w14:paraId="09AB6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D5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64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B7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476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2EC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9C2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12A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52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44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B5D4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7FF2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E4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5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D8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B21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A74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E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E2C7">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F3568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2488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5D64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37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D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6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814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19.58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BA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8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9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C66EA">
            <w:pPr>
              <w:rPr>
                <w:rFonts w:hint="eastAsia" w:ascii="黑体" w:hAnsi="黑体" w:eastAsia="黑体" w:cs="黑体"/>
                <w:i/>
                <w:iCs/>
                <w:color w:val="000000"/>
                <w:sz w:val="18"/>
                <w:szCs w:val="18"/>
                <w:u w:val="none"/>
              </w:rPr>
            </w:pPr>
          </w:p>
        </w:tc>
      </w:tr>
      <w:tr w14:paraId="1912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D9C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9F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6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6E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29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6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B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B71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8222A">
            <w:pPr>
              <w:rPr>
                <w:rFonts w:hint="eastAsia" w:ascii="黑体" w:hAnsi="黑体" w:eastAsia="黑体" w:cs="黑体"/>
                <w:i/>
                <w:iCs/>
                <w:color w:val="000000"/>
                <w:sz w:val="18"/>
                <w:szCs w:val="18"/>
                <w:u w:val="none"/>
              </w:rPr>
            </w:pPr>
          </w:p>
        </w:tc>
      </w:tr>
      <w:tr w14:paraId="56E26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E3E6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E1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9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776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1B38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4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3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CC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8DE7F">
            <w:pPr>
              <w:rPr>
                <w:rFonts w:hint="eastAsia" w:ascii="黑体" w:hAnsi="黑体" w:eastAsia="黑体" w:cs="黑体"/>
                <w:i/>
                <w:iCs/>
                <w:color w:val="000000"/>
                <w:sz w:val="18"/>
                <w:szCs w:val="18"/>
                <w:u w:val="none"/>
              </w:rPr>
            </w:pPr>
          </w:p>
        </w:tc>
      </w:tr>
      <w:tr w14:paraId="3780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F70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2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CA4E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883F">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657823">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13A5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8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05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024D4">
            <w:pPr>
              <w:rPr>
                <w:rFonts w:hint="eastAsia" w:ascii="黑体" w:hAnsi="黑体" w:eastAsia="黑体" w:cs="黑体"/>
                <w:i/>
                <w:iCs/>
                <w:color w:val="000000"/>
                <w:sz w:val="18"/>
                <w:szCs w:val="18"/>
                <w:u w:val="none"/>
              </w:rPr>
            </w:pPr>
          </w:p>
        </w:tc>
      </w:tr>
      <w:tr w14:paraId="212C9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A0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14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5A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1F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B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D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CD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35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B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C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A0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74C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1F63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618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B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03C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50家企业提供900个岗位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E3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F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0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CD6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8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0223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6AC0">
            <w:pPr>
              <w:jc w:val="center"/>
              <w:rPr>
                <w:rFonts w:hint="eastAsia" w:ascii="微软雅黑" w:hAnsi="微软雅黑" w:eastAsia="微软雅黑" w:cs="微软雅黑"/>
                <w:i/>
                <w:iCs/>
                <w:color w:val="000000"/>
                <w:sz w:val="16"/>
                <w:szCs w:val="16"/>
                <w:u w:val="none"/>
              </w:rPr>
            </w:pPr>
          </w:p>
        </w:tc>
      </w:tr>
      <w:tr w14:paraId="2D898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C98B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D8ED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6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3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投简历1000人以上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28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B9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8E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份</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67CB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A7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74F3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C5474">
            <w:pPr>
              <w:jc w:val="center"/>
              <w:rPr>
                <w:rFonts w:hint="eastAsia" w:ascii="微软雅黑" w:hAnsi="微软雅黑" w:eastAsia="微软雅黑" w:cs="微软雅黑"/>
                <w:i/>
                <w:iCs/>
                <w:color w:val="000000"/>
                <w:sz w:val="16"/>
                <w:szCs w:val="16"/>
                <w:u w:val="none"/>
              </w:rPr>
            </w:pPr>
          </w:p>
        </w:tc>
      </w:tr>
      <w:tr w14:paraId="1266F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B638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661B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FF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516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6月底之前和10月底之前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7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9B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1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6CF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71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736FD">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2EF6">
            <w:pPr>
              <w:jc w:val="center"/>
              <w:rPr>
                <w:rFonts w:hint="eastAsia" w:ascii="微软雅黑" w:hAnsi="微软雅黑" w:eastAsia="微软雅黑" w:cs="微软雅黑"/>
                <w:i/>
                <w:iCs/>
                <w:color w:val="000000"/>
                <w:sz w:val="16"/>
                <w:szCs w:val="16"/>
                <w:u w:val="none"/>
              </w:rPr>
            </w:pPr>
          </w:p>
        </w:tc>
      </w:tr>
      <w:tr w14:paraId="65F97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520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199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08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2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不少于500人就业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F88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4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79D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80A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F1C2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8CD1">
            <w:pPr>
              <w:jc w:val="center"/>
              <w:rPr>
                <w:rFonts w:hint="eastAsia" w:ascii="微软雅黑" w:hAnsi="微软雅黑" w:eastAsia="微软雅黑" w:cs="微软雅黑"/>
                <w:i/>
                <w:iCs/>
                <w:color w:val="000000"/>
                <w:sz w:val="16"/>
                <w:szCs w:val="16"/>
                <w:u w:val="none"/>
              </w:rPr>
            </w:pPr>
          </w:p>
        </w:tc>
      </w:tr>
      <w:tr w14:paraId="12074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DA5D9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3EDE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91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78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为2000千人提供服务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A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59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99F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98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2A43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B428">
            <w:pPr>
              <w:jc w:val="center"/>
              <w:rPr>
                <w:rFonts w:hint="eastAsia" w:ascii="微软雅黑" w:hAnsi="微软雅黑" w:eastAsia="微软雅黑" w:cs="微软雅黑"/>
                <w:i/>
                <w:iCs/>
                <w:color w:val="000000"/>
                <w:sz w:val="16"/>
                <w:szCs w:val="16"/>
                <w:u w:val="none"/>
              </w:rPr>
            </w:pPr>
          </w:p>
        </w:tc>
      </w:tr>
      <w:tr w14:paraId="10B93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1EE0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0FA5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45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EF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为未就业学生提供就业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14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96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E6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1AF2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FC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BFD2C">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F4729">
            <w:pPr>
              <w:jc w:val="center"/>
              <w:rPr>
                <w:rFonts w:hint="eastAsia" w:ascii="微软雅黑" w:hAnsi="微软雅黑" w:eastAsia="微软雅黑" w:cs="微软雅黑"/>
                <w:i/>
                <w:iCs/>
                <w:color w:val="000000"/>
                <w:sz w:val="16"/>
                <w:szCs w:val="16"/>
                <w:u w:val="none"/>
              </w:rPr>
            </w:pPr>
          </w:p>
        </w:tc>
      </w:tr>
      <w:tr w14:paraId="28CAD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D493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4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D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D1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对求职者满意度达到%90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F34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62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71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43EE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6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957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723D3">
            <w:pPr>
              <w:jc w:val="center"/>
              <w:rPr>
                <w:rFonts w:hint="eastAsia" w:ascii="微软雅黑" w:hAnsi="微软雅黑" w:eastAsia="微软雅黑" w:cs="微软雅黑"/>
                <w:i/>
                <w:iCs/>
                <w:color w:val="000000"/>
                <w:sz w:val="16"/>
                <w:szCs w:val="16"/>
                <w:u w:val="none"/>
              </w:rPr>
            </w:pPr>
          </w:p>
        </w:tc>
      </w:tr>
      <w:tr w14:paraId="44D0D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0982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F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1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A6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提供公共服务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C1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75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92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8C36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B8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E94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467F">
            <w:pPr>
              <w:jc w:val="center"/>
              <w:rPr>
                <w:rFonts w:hint="eastAsia" w:ascii="微软雅黑" w:hAnsi="微软雅黑" w:eastAsia="微软雅黑" w:cs="微软雅黑"/>
                <w:i/>
                <w:iCs/>
                <w:color w:val="000000"/>
                <w:sz w:val="16"/>
                <w:szCs w:val="16"/>
                <w:u w:val="none"/>
              </w:rPr>
            </w:pPr>
          </w:p>
        </w:tc>
      </w:tr>
      <w:tr w14:paraId="08BF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113A0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47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6C6EE">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67FC">
            <w:pPr>
              <w:rPr>
                <w:rFonts w:hint="eastAsia" w:ascii="宋体" w:hAnsi="宋体" w:eastAsia="宋体" w:cs="宋体"/>
                <w:i w:val="0"/>
                <w:iCs w:val="0"/>
                <w:color w:val="000000"/>
                <w:sz w:val="18"/>
                <w:szCs w:val="18"/>
                <w:u w:val="none"/>
              </w:rPr>
            </w:pPr>
          </w:p>
        </w:tc>
      </w:tr>
      <w:tr w14:paraId="6D19E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59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5F6FD4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D3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93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9C89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97A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9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B9CB3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8FC3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3D3063D">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2D8601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3BF7DAF">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6D9303F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32986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3CC07B8">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FBBD8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D3C047B">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769EF02">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1F53BF0">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EA0AEDD">
            <w:pPr>
              <w:rPr>
                <w:rFonts w:hint="eastAsia" w:ascii="宋体" w:hAnsi="宋体" w:eastAsia="宋体" w:cs="宋体"/>
                <w:i w:val="0"/>
                <w:iCs w:val="0"/>
                <w:color w:val="000000"/>
                <w:sz w:val="18"/>
                <w:szCs w:val="18"/>
                <w:u w:val="none"/>
              </w:rPr>
            </w:pPr>
          </w:p>
        </w:tc>
      </w:tr>
      <w:tr w14:paraId="10E6D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B8265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90AC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2E6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5FEB7D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51320024T000010645020-“一卡通”平台运维服务及业务培训费等</w:t>
            </w:r>
          </w:p>
        </w:tc>
      </w:tr>
      <w:tr w14:paraId="0267A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DA00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53924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E311CF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FB3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3ECC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CD1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4B3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C20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C72BA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D058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7CBD7">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EC03">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2AD2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省纪委监委、省财政厅、省人社厅、省审计厅、四川银监局《关于印发&lt;惠民惠农财政补贴资金社会保障卡“一卡通”试点方案&gt;的通知》（川财办〔2018〕61号）、省人社厅《关于做好惠民惠农财政补贴资金社会保障卡“一卡通”有关于工作的通知》（川人社办发〔2018〕207号）和州纪委监委、州财政局、州人社局、州审计局、阿坝银保监分局《关于印发&lt;阿坝州惠民惠农财政补贴资金社会保障卡“一卡通”试点方案&gt;的通知》（阿州财〔2019〕32号），确保阿坝州惠民惠农“一卡通”发放监管平台和阳光审批平台正常、安全、稳定运行，为阿坝州惠民惠农财政补贴资金按时发放提供信息化支撑。</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6E12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确保了阿坝州惠民惠农“一卡通”发放监管平台和阳光审批平台正常、安全、稳定运行，为阿坝州惠民惠农财政补贴资金按时发放提供信息化支撑。</w:t>
            </w:r>
          </w:p>
        </w:tc>
      </w:tr>
      <w:tr w14:paraId="3E5D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024A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5BF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EC9856">
            <w:pPr>
              <w:rPr>
                <w:rFonts w:hint="eastAsia" w:ascii="宋体" w:hAnsi="宋体" w:eastAsia="宋体" w:cs="宋体"/>
                <w:i w:val="0"/>
                <w:iCs w:val="0"/>
                <w:color w:val="000000"/>
                <w:sz w:val="18"/>
                <w:szCs w:val="18"/>
                <w:u w:val="none"/>
              </w:rPr>
            </w:pPr>
          </w:p>
        </w:tc>
      </w:tr>
      <w:tr w14:paraId="43DF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5A08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4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4E8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24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136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2D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A1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75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4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107A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99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2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C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4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73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3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5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6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7C3C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AB77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91F0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6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C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15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BE1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89.35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B5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2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6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D0776">
            <w:pPr>
              <w:rPr>
                <w:rFonts w:hint="eastAsia" w:ascii="黑体" w:hAnsi="黑体" w:eastAsia="黑体" w:cs="黑体"/>
                <w:i/>
                <w:iCs/>
                <w:color w:val="000000"/>
                <w:sz w:val="18"/>
                <w:szCs w:val="18"/>
                <w:u w:val="none"/>
              </w:rPr>
            </w:pPr>
          </w:p>
        </w:tc>
      </w:tr>
      <w:tr w14:paraId="7F48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B5A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DD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37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E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EB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819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0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A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8B885">
            <w:pPr>
              <w:rPr>
                <w:rFonts w:hint="eastAsia" w:ascii="黑体" w:hAnsi="黑体" w:eastAsia="黑体" w:cs="黑体"/>
                <w:i/>
                <w:iCs/>
                <w:color w:val="000000"/>
                <w:sz w:val="18"/>
                <w:szCs w:val="18"/>
                <w:u w:val="none"/>
              </w:rPr>
            </w:pPr>
          </w:p>
        </w:tc>
      </w:tr>
      <w:tr w14:paraId="3E732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487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1C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6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A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866D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2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9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036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AB85">
            <w:pPr>
              <w:rPr>
                <w:rFonts w:hint="eastAsia" w:ascii="黑体" w:hAnsi="黑体" w:eastAsia="黑体" w:cs="黑体"/>
                <w:i/>
                <w:iCs/>
                <w:color w:val="000000"/>
                <w:sz w:val="18"/>
                <w:szCs w:val="18"/>
                <w:u w:val="none"/>
              </w:rPr>
            </w:pPr>
          </w:p>
        </w:tc>
      </w:tr>
      <w:tr w14:paraId="11958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5517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A4B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C7722">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F7EA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494584">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97DF">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A9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3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4EAD7">
            <w:pPr>
              <w:rPr>
                <w:rFonts w:hint="eastAsia" w:ascii="黑体" w:hAnsi="黑体" w:eastAsia="黑体" w:cs="黑体"/>
                <w:i/>
                <w:iCs/>
                <w:color w:val="000000"/>
                <w:sz w:val="18"/>
                <w:szCs w:val="18"/>
                <w:u w:val="none"/>
              </w:rPr>
            </w:pPr>
          </w:p>
        </w:tc>
      </w:tr>
      <w:tr w14:paraId="3CEB5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FE2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E2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A1F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B22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5F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81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97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27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7B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B5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E58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0E6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B58D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E8A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7C1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66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业务培训批次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27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08B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31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8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04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B23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52D1">
            <w:pPr>
              <w:jc w:val="center"/>
              <w:rPr>
                <w:rFonts w:hint="eastAsia" w:ascii="微软雅黑" w:hAnsi="微软雅黑" w:eastAsia="微软雅黑" w:cs="微软雅黑"/>
                <w:i/>
                <w:iCs/>
                <w:color w:val="000000"/>
                <w:sz w:val="16"/>
                <w:szCs w:val="16"/>
                <w:u w:val="none"/>
              </w:rPr>
            </w:pPr>
          </w:p>
        </w:tc>
      </w:tr>
      <w:tr w14:paraId="3CDDD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6614D">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EAF1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22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F0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48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E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4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B27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A9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6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864D5">
            <w:pPr>
              <w:jc w:val="center"/>
              <w:rPr>
                <w:rFonts w:hint="eastAsia" w:ascii="微软雅黑" w:hAnsi="微软雅黑" w:eastAsia="微软雅黑" w:cs="微软雅黑"/>
                <w:i/>
                <w:iCs/>
                <w:color w:val="000000"/>
                <w:sz w:val="16"/>
                <w:szCs w:val="16"/>
                <w:u w:val="none"/>
              </w:rPr>
            </w:pPr>
          </w:p>
        </w:tc>
      </w:tr>
      <w:tr w14:paraId="492E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515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FD0A6">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B7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07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D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36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B809A">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0D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80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E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7544F">
            <w:pPr>
              <w:jc w:val="center"/>
              <w:rPr>
                <w:rFonts w:hint="eastAsia" w:ascii="微软雅黑" w:hAnsi="微软雅黑" w:eastAsia="微软雅黑" w:cs="微软雅黑"/>
                <w:i/>
                <w:iCs/>
                <w:color w:val="000000"/>
                <w:sz w:val="16"/>
                <w:szCs w:val="16"/>
                <w:u w:val="none"/>
              </w:rPr>
            </w:pPr>
          </w:p>
        </w:tc>
      </w:tr>
      <w:tr w14:paraId="2AFD8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1003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805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B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B8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为惠民惠农财政补贴资金发放提供信息化支撑。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C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D8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C1C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3C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有效提高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3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1B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F0870">
            <w:pPr>
              <w:jc w:val="center"/>
              <w:rPr>
                <w:rFonts w:hint="eastAsia" w:ascii="微软雅黑" w:hAnsi="微软雅黑" w:eastAsia="微软雅黑" w:cs="微软雅黑"/>
                <w:i/>
                <w:iCs/>
                <w:color w:val="000000"/>
                <w:sz w:val="16"/>
                <w:szCs w:val="16"/>
                <w:u w:val="none"/>
              </w:rPr>
            </w:pPr>
          </w:p>
        </w:tc>
      </w:tr>
      <w:tr w14:paraId="78B8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8D2F1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D07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D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D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社会公众对该项服务的满意度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774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CD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94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5F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669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2B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C6F3">
            <w:pPr>
              <w:jc w:val="center"/>
              <w:rPr>
                <w:rFonts w:hint="eastAsia" w:ascii="微软雅黑" w:hAnsi="微软雅黑" w:eastAsia="微软雅黑" w:cs="微软雅黑"/>
                <w:i/>
                <w:iCs/>
                <w:color w:val="000000"/>
                <w:sz w:val="16"/>
                <w:szCs w:val="16"/>
                <w:u w:val="none"/>
              </w:rPr>
            </w:pPr>
          </w:p>
        </w:tc>
      </w:tr>
      <w:tr w14:paraId="6708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4F50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B31E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A36D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9E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4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8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E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18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4B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2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6A86">
            <w:pPr>
              <w:jc w:val="center"/>
              <w:rPr>
                <w:rFonts w:hint="eastAsia" w:ascii="微软雅黑" w:hAnsi="微软雅黑" w:eastAsia="微软雅黑" w:cs="微软雅黑"/>
                <w:i/>
                <w:iCs/>
                <w:color w:val="000000"/>
                <w:sz w:val="16"/>
                <w:szCs w:val="16"/>
                <w:u w:val="none"/>
              </w:rPr>
            </w:pPr>
          </w:p>
        </w:tc>
      </w:tr>
      <w:tr w14:paraId="65C4A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437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7E23A">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FEFB0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56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A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4FE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980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34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A4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376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5A1E">
            <w:pPr>
              <w:jc w:val="center"/>
              <w:rPr>
                <w:rFonts w:hint="eastAsia" w:ascii="微软雅黑" w:hAnsi="微软雅黑" w:eastAsia="微软雅黑" w:cs="微软雅黑"/>
                <w:i/>
                <w:iCs/>
                <w:color w:val="000000"/>
                <w:sz w:val="16"/>
                <w:szCs w:val="16"/>
                <w:u w:val="none"/>
              </w:rPr>
            </w:pPr>
          </w:p>
        </w:tc>
      </w:tr>
      <w:tr w14:paraId="27441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10B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10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CB15">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43157">
            <w:pPr>
              <w:rPr>
                <w:rFonts w:hint="eastAsia" w:ascii="宋体" w:hAnsi="宋体" w:eastAsia="宋体" w:cs="宋体"/>
                <w:i w:val="0"/>
                <w:iCs w:val="0"/>
                <w:color w:val="000000"/>
                <w:sz w:val="18"/>
                <w:szCs w:val="18"/>
                <w:u w:val="none"/>
              </w:rPr>
            </w:pPr>
          </w:p>
        </w:tc>
      </w:tr>
      <w:tr w14:paraId="723D8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13E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D7C0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达到工作预期，确保了阿坝州惠民惠农“一卡通”发放监管平台和阳光审批平台正常、安全、稳定运行，为阿坝州惠民惠农财政补贴资金按时发放提供信息化支撑。</w:t>
            </w:r>
          </w:p>
        </w:tc>
      </w:tr>
      <w:tr w14:paraId="79AB6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5A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632791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DBCC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D05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68559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6319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8827C2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8C8BC3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6BD9AE5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C4A6C4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B9635D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50DA100D">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FD1470">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214196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1C67E8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1EB4F8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437E0FE7">
            <w:pPr>
              <w:rPr>
                <w:rFonts w:hint="eastAsia" w:ascii="宋体" w:hAnsi="宋体" w:eastAsia="宋体" w:cs="宋体"/>
                <w:i w:val="0"/>
                <w:iCs w:val="0"/>
                <w:color w:val="000000"/>
                <w:sz w:val="18"/>
                <w:szCs w:val="18"/>
                <w:u w:val="none"/>
              </w:rPr>
            </w:pPr>
          </w:p>
        </w:tc>
      </w:tr>
      <w:tr w14:paraId="6E05E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6CEB7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5D3F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2390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E6B4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51320024T000010645656-视频会议系统维保经费</w:t>
            </w:r>
          </w:p>
        </w:tc>
      </w:tr>
      <w:tr w14:paraId="05763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AFC1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363C3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9A2D30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AB8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8769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FEF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37BCF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0F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3FC44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FB8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6B8D4">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E731">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D8E58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保障部-省-州-县（市）人社视频会议系统四级联通，正常、稳定运行。二是派出驻点服务人员1名。三是根据公安部、国家保密局、国家密码管理局、国务院信息化工作办公室《信息安全等级保护管理办法》（公通字2007〔43〕号）要求，为保障人社信息系统安全运行，开展阿坝州金保工程信息系统网络安全等级保护测评工作，确保参保对象数据安全、业务经办环境安全、管理安全。四是开展阿坝州人力资源和社会保障视频会议系统发电机维护保养工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66385F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保障了部-省-州-县（市）人社视频会议系统四级联通，正常、稳定运行。保障了人社信息系统安全运行，开展了阿坝州金保工程信息系统网络安全等级保护测评工作，确保了参保对象数据安全、业务经办环境安全、管理安全。</w:t>
            </w:r>
          </w:p>
        </w:tc>
      </w:tr>
      <w:tr w14:paraId="01C83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17827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46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3DCDF9">
            <w:pPr>
              <w:rPr>
                <w:rFonts w:hint="eastAsia" w:ascii="宋体" w:hAnsi="宋体" w:eastAsia="宋体" w:cs="宋体"/>
                <w:i w:val="0"/>
                <w:iCs w:val="0"/>
                <w:color w:val="000000"/>
                <w:sz w:val="18"/>
                <w:szCs w:val="18"/>
                <w:u w:val="none"/>
              </w:rPr>
            </w:pPr>
          </w:p>
        </w:tc>
      </w:tr>
      <w:tr w14:paraId="1902E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788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BB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C7D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6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7F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7B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EA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B38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6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9D4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8E00A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49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86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87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E67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BF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F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4051">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FF2D3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2FF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E17A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E45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F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649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CCA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16.90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F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44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01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728F5">
            <w:pPr>
              <w:rPr>
                <w:rFonts w:hint="eastAsia" w:ascii="黑体" w:hAnsi="黑体" w:eastAsia="黑体" w:cs="黑体"/>
                <w:i/>
                <w:iCs/>
                <w:color w:val="000000"/>
                <w:sz w:val="18"/>
                <w:szCs w:val="18"/>
                <w:u w:val="none"/>
              </w:rPr>
            </w:pPr>
          </w:p>
        </w:tc>
      </w:tr>
      <w:tr w14:paraId="17053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88CE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5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E9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79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C4D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77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6DC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B3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A3252">
            <w:pPr>
              <w:rPr>
                <w:rFonts w:hint="eastAsia" w:ascii="黑体" w:hAnsi="黑体" w:eastAsia="黑体" w:cs="黑体"/>
                <w:i/>
                <w:iCs/>
                <w:color w:val="000000"/>
                <w:sz w:val="18"/>
                <w:szCs w:val="18"/>
                <w:u w:val="none"/>
              </w:rPr>
            </w:pPr>
          </w:p>
        </w:tc>
      </w:tr>
      <w:tr w14:paraId="2DFA9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A621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DD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537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64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8445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B3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45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D4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70DA5C">
            <w:pPr>
              <w:rPr>
                <w:rFonts w:hint="eastAsia" w:ascii="黑体" w:hAnsi="黑体" w:eastAsia="黑体" w:cs="黑体"/>
                <w:i/>
                <w:iCs/>
                <w:color w:val="000000"/>
                <w:sz w:val="18"/>
                <w:szCs w:val="18"/>
                <w:u w:val="none"/>
              </w:rPr>
            </w:pPr>
          </w:p>
        </w:tc>
      </w:tr>
      <w:tr w14:paraId="16669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48E4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49E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382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C04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6F7D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4B3B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B13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3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5B388">
            <w:pPr>
              <w:rPr>
                <w:rFonts w:hint="eastAsia" w:ascii="黑体" w:hAnsi="黑体" w:eastAsia="黑体" w:cs="黑体"/>
                <w:i/>
                <w:iCs/>
                <w:color w:val="000000"/>
                <w:sz w:val="18"/>
                <w:szCs w:val="18"/>
                <w:u w:val="none"/>
              </w:rPr>
            </w:pPr>
          </w:p>
        </w:tc>
      </w:tr>
      <w:tr w14:paraId="0BD92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11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2B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26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68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073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F4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88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321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F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7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73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749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C2A2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866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3C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5F3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维护保养次数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6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C6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A0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1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0D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D064">
            <w:pPr>
              <w:jc w:val="center"/>
              <w:rPr>
                <w:rFonts w:hint="eastAsia" w:ascii="微软雅黑" w:hAnsi="微软雅黑" w:eastAsia="微软雅黑" w:cs="微软雅黑"/>
                <w:i/>
                <w:iCs/>
                <w:color w:val="000000"/>
                <w:sz w:val="16"/>
                <w:szCs w:val="16"/>
                <w:u w:val="none"/>
              </w:rPr>
            </w:pPr>
          </w:p>
        </w:tc>
      </w:tr>
      <w:tr w14:paraId="52A73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9ACB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410DE">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10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B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视频会议室会议系统维护保养率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7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4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5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0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C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5E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451DA">
            <w:pPr>
              <w:jc w:val="center"/>
              <w:rPr>
                <w:rFonts w:hint="eastAsia" w:ascii="微软雅黑" w:hAnsi="微软雅黑" w:eastAsia="微软雅黑" w:cs="微软雅黑"/>
                <w:i/>
                <w:iCs/>
                <w:color w:val="000000"/>
                <w:sz w:val="16"/>
                <w:szCs w:val="16"/>
                <w:u w:val="none"/>
              </w:rPr>
            </w:pPr>
          </w:p>
        </w:tc>
      </w:tr>
      <w:tr w14:paraId="1BBC3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FA2C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4CFE3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AD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E6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该项目将于2024年度11月底前完成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7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9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044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A0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D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1B6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AFA40">
            <w:pPr>
              <w:jc w:val="center"/>
              <w:rPr>
                <w:rFonts w:hint="eastAsia" w:ascii="微软雅黑" w:hAnsi="微软雅黑" w:eastAsia="微软雅黑" w:cs="微软雅黑"/>
                <w:i/>
                <w:iCs/>
                <w:color w:val="000000"/>
                <w:sz w:val="16"/>
                <w:szCs w:val="16"/>
                <w:u w:val="none"/>
              </w:rPr>
            </w:pPr>
          </w:p>
        </w:tc>
      </w:tr>
      <w:tr w14:paraId="415FF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B993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F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5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95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确保参保数据安全，保障参保人员利益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38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B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B5E5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1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有效保障</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87B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0D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F4B18">
            <w:pPr>
              <w:jc w:val="center"/>
              <w:rPr>
                <w:rFonts w:hint="eastAsia" w:ascii="微软雅黑" w:hAnsi="微软雅黑" w:eastAsia="微软雅黑" w:cs="微软雅黑"/>
                <w:i/>
                <w:iCs/>
                <w:color w:val="000000"/>
                <w:sz w:val="16"/>
                <w:szCs w:val="16"/>
                <w:u w:val="none"/>
              </w:rPr>
            </w:pPr>
          </w:p>
        </w:tc>
      </w:tr>
      <w:tr w14:paraId="09726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752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E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32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FD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A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9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89D3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A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61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8A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18101">
            <w:pPr>
              <w:jc w:val="center"/>
              <w:rPr>
                <w:rFonts w:hint="eastAsia" w:ascii="微软雅黑" w:hAnsi="微软雅黑" w:eastAsia="微软雅黑" w:cs="微软雅黑"/>
                <w:i/>
                <w:iCs/>
                <w:color w:val="000000"/>
                <w:sz w:val="16"/>
                <w:szCs w:val="16"/>
                <w:u w:val="none"/>
              </w:rPr>
            </w:pPr>
          </w:p>
        </w:tc>
      </w:tr>
      <w:tr w14:paraId="6FA06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D4B14">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D0F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E78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4F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视频会议系统维护保养服务项目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5C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A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A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BD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2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4A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DF64F">
            <w:pPr>
              <w:jc w:val="center"/>
              <w:rPr>
                <w:rFonts w:hint="eastAsia" w:ascii="微软雅黑" w:hAnsi="微软雅黑" w:eastAsia="微软雅黑" w:cs="微软雅黑"/>
                <w:i/>
                <w:iCs/>
                <w:color w:val="000000"/>
                <w:sz w:val="16"/>
                <w:szCs w:val="16"/>
                <w:u w:val="none"/>
              </w:rPr>
            </w:pPr>
          </w:p>
        </w:tc>
      </w:tr>
      <w:tr w14:paraId="4E2B8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2E44D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2120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8D58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C0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维修（护）费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F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0C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FB3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F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66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5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51468">
            <w:pPr>
              <w:jc w:val="center"/>
              <w:rPr>
                <w:rFonts w:hint="eastAsia" w:ascii="微软雅黑" w:hAnsi="微软雅黑" w:eastAsia="微软雅黑" w:cs="微软雅黑"/>
                <w:i/>
                <w:iCs/>
                <w:color w:val="000000"/>
                <w:sz w:val="16"/>
                <w:szCs w:val="16"/>
                <w:u w:val="none"/>
              </w:rPr>
            </w:pPr>
          </w:p>
        </w:tc>
      </w:tr>
      <w:tr w14:paraId="3F7D0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1968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3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7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101</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EEC17">
            <w:pPr>
              <w:rPr>
                <w:rFonts w:hint="eastAsia" w:ascii="宋体" w:hAnsi="宋体" w:eastAsia="宋体" w:cs="宋体"/>
                <w:i w:val="0"/>
                <w:iCs w:val="0"/>
                <w:color w:val="000000"/>
                <w:sz w:val="18"/>
                <w:szCs w:val="18"/>
                <w:u w:val="none"/>
              </w:rPr>
            </w:pPr>
          </w:p>
        </w:tc>
      </w:tr>
      <w:tr w14:paraId="47B82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FF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A53F2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达到工作预期，保障了部-省-州-县（市）人社视频会议系统四级联通，正常、稳定运行，保障了人社信息系统安全运行。</w:t>
            </w:r>
          </w:p>
        </w:tc>
      </w:tr>
      <w:tr w14:paraId="56288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1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97711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0C83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9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8A9F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ABB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1B14F9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0372608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0C69DE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A72023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0F63C8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BA16F7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28AA4F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D53AB6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2797D9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47B70BB">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6A00BC27">
            <w:pPr>
              <w:rPr>
                <w:rFonts w:hint="eastAsia" w:ascii="宋体" w:hAnsi="宋体" w:eastAsia="宋体" w:cs="宋体"/>
                <w:i w:val="0"/>
                <w:iCs w:val="0"/>
                <w:color w:val="000000"/>
                <w:sz w:val="18"/>
                <w:szCs w:val="18"/>
                <w:u w:val="none"/>
              </w:rPr>
            </w:pPr>
          </w:p>
        </w:tc>
      </w:tr>
      <w:tr w14:paraId="77FC9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C679F8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DFC7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89F5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81CB7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51320024T000010663198-社保基金监督检查及内部审计</w:t>
            </w:r>
          </w:p>
        </w:tc>
      </w:tr>
      <w:tr w14:paraId="76F7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4F4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77E0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F8009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9BF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2F7A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AF6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4D56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2911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85BB0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79CD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6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A901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903BB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756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一）聘请第三方审计。第三方审计主要采用财务审计和业务检查项结合方式，重点审计基金财务管理和社会保险经办机构风险防控情况等内容。主要采取以下方法进行审计：一是查阅被检查单位的会计资料和业务平台；二是对所经办业务抽查核实；三是检查社会保险经办机构内控制度建设和执行情况、风险防控落实情况。通过财务和业务检查，双管齐下，较全面地了解和掌握社保基金在征缴、支付、管理和审批等方面的情况。                                                                                                                                                                                                   （二）社保基金专项整治、社保基金巩固提升行动等工作业务培训是按照省、州基金监督工作的总体部署，创新监督机制，提高基金监督检查质量，确保高质量完成基金监督各项工作任务的迫切需要。业务培训也是使基金监督工作者提高思想认识、研究问题再深入、专业能力再提升的要求。过培训不断升专业能力、专业素养和专业精神。                                           （三） 社会保险基金监督检查。通过定期或不定期开展社会保险基金监督检查，全面地了解和掌握社保基金在支付、管理和审批等方面的情况，督促社保经办机构依据经办规程办理社保业务，确保基金安全。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0EF0D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聘请第三方会计师事务所对州社保局、州就业局、金川县和壤塘县开展社会保险各险种及经办机构审计评估。2024年8月13日-16日在茂县举办全州社会保险基金监督工作座谈会议暨社保基金监督管理业务培训会议，进一步加强全州社会保险基金监督专业化队伍建设。全面完成了社会保险基金管理巩固提升行动深化整改阶段7个方面24项内容60条重点工作、持续“以案促改、以案促治”深入推进社保基金管理巩固提升行动6个重点领域整治提升行动和集中开展警示和廉洁文化2个专题教育工作、打击根治骗取社保基金问题自查工作和13县（市）、卧龙社会保险基金管理巩固提升行动交叉评估工作以及2020年-2023年工伤预防费使用和服务合同履行监督工作任务。印发《阿坝州社会保险基金管理巩固提升行动强基固本阶段工作要点》的通知（阿州人社办〔2024〕81号），有序推进强基固本阶段31项重点工作任务。</w:t>
            </w:r>
          </w:p>
        </w:tc>
      </w:tr>
      <w:tr w14:paraId="75778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63C81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021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C6B6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聘请第三方审计。第三方审计主要采用财务审计和业务检查项结合方式，重点审计基金财务管理和社会保险经办机构风险防控情况等内容。主要采取以下方法进行审计：一是查阅被检查单位的会计资料和业务平台；二是对所经办业务抽查核实；三是检查社会保险经办机构内控制度建设和执行情况、风险防控落实情况。通过财务和业务检查，双管齐下，较全面地了解和掌握社保基金在征缴、支付、管理和审批等方面的情况。2.社会保险基金监督检查。通过定期或不定期开展社会保险基金监督检查，全面地了解和掌握社保基金在支付、管理和审批等方面的情况，督促社保经办机构依据经办规程办理社保业务，确保基金安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加强基金监督业务培训是按照省、州基金监督工作的总体部署，创新监督机制，提高基金监督检查质量，确保高质量完成基金监督各项工作任务的迫切需要。业务培训也是使基金监督工作者提高思想认识、研究问题再深入、专业能力再提升的要求。过培训不断升专业能力、专业素养和专业精神。</w:t>
            </w:r>
          </w:p>
        </w:tc>
      </w:tr>
      <w:tr w14:paraId="32EBF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14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D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FE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3423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0B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7FD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1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4F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626F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0EFB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96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240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A01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D0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B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F6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15437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8D38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0794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E0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FF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3A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52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D5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5B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F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2B396">
            <w:pPr>
              <w:rPr>
                <w:rFonts w:hint="eastAsia" w:ascii="黑体" w:hAnsi="黑体" w:eastAsia="黑体" w:cs="黑体"/>
                <w:i/>
                <w:iCs/>
                <w:color w:val="000000"/>
                <w:sz w:val="18"/>
                <w:szCs w:val="18"/>
                <w:u w:val="none"/>
              </w:rPr>
            </w:pPr>
          </w:p>
        </w:tc>
      </w:tr>
      <w:tr w14:paraId="31EF2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FA5A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A1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6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7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4A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E5C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8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D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D33E0">
            <w:pPr>
              <w:rPr>
                <w:rFonts w:hint="eastAsia" w:ascii="黑体" w:hAnsi="黑体" w:eastAsia="黑体" w:cs="黑体"/>
                <w:i/>
                <w:iCs/>
                <w:color w:val="000000"/>
                <w:sz w:val="18"/>
                <w:szCs w:val="18"/>
                <w:u w:val="none"/>
              </w:rPr>
            </w:pPr>
          </w:p>
        </w:tc>
      </w:tr>
      <w:tr w14:paraId="4FC82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6627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7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73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CB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B6C8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8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52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0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623DF5">
            <w:pPr>
              <w:rPr>
                <w:rFonts w:hint="eastAsia" w:ascii="黑体" w:hAnsi="黑体" w:eastAsia="黑体" w:cs="黑体"/>
                <w:i/>
                <w:iCs/>
                <w:color w:val="000000"/>
                <w:sz w:val="18"/>
                <w:szCs w:val="18"/>
                <w:u w:val="none"/>
              </w:rPr>
            </w:pPr>
          </w:p>
        </w:tc>
      </w:tr>
      <w:tr w14:paraId="3730F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D90A5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86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63E95">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D33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80213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4180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72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B2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AE35B">
            <w:pPr>
              <w:rPr>
                <w:rFonts w:hint="eastAsia" w:ascii="黑体" w:hAnsi="黑体" w:eastAsia="黑体" w:cs="黑体"/>
                <w:i/>
                <w:iCs/>
                <w:color w:val="000000"/>
                <w:sz w:val="18"/>
                <w:szCs w:val="18"/>
                <w:u w:val="none"/>
              </w:rPr>
            </w:pPr>
          </w:p>
        </w:tc>
      </w:tr>
      <w:tr w14:paraId="2B72C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205B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39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24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53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65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A2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7C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DA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E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38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1C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E7B1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D222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384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03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B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审计、检查、培训次数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F52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CF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B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26B7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56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E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8A08E">
            <w:pPr>
              <w:jc w:val="center"/>
              <w:rPr>
                <w:rFonts w:hint="eastAsia" w:ascii="微软雅黑" w:hAnsi="微软雅黑" w:eastAsia="微软雅黑" w:cs="微软雅黑"/>
                <w:i/>
                <w:iCs/>
                <w:color w:val="000000"/>
                <w:sz w:val="16"/>
                <w:szCs w:val="16"/>
                <w:u w:val="none"/>
              </w:rPr>
            </w:pPr>
          </w:p>
        </w:tc>
      </w:tr>
      <w:tr w14:paraId="6FDCF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22DF39">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8D02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F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6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保证社保基金安全率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1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E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25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5EFA">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B7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8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5FA0">
            <w:pPr>
              <w:jc w:val="center"/>
              <w:rPr>
                <w:rFonts w:hint="eastAsia" w:ascii="微软雅黑" w:hAnsi="微软雅黑" w:eastAsia="微软雅黑" w:cs="微软雅黑"/>
                <w:i/>
                <w:iCs/>
                <w:color w:val="000000"/>
                <w:sz w:val="16"/>
                <w:szCs w:val="16"/>
                <w:u w:val="none"/>
              </w:rPr>
            </w:pPr>
          </w:p>
        </w:tc>
      </w:tr>
      <w:tr w14:paraId="4398A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79F0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BF69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2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5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C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B3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252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7C5B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9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66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94840">
            <w:pPr>
              <w:jc w:val="center"/>
              <w:rPr>
                <w:rFonts w:hint="eastAsia" w:ascii="微软雅黑" w:hAnsi="微软雅黑" w:eastAsia="微软雅黑" w:cs="微软雅黑"/>
                <w:i/>
                <w:iCs/>
                <w:color w:val="000000"/>
                <w:sz w:val="16"/>
                <w:szCs w:val="16"/>
                <w:u w:val="none"/>
              </w:rPr>
            </w:pPr>
          </w:p>
        </w:tc>
      </w:tr>
      <w:tr w14:paraId="1617B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D57A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A0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B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40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保证率社保基金的安全性，提高了基金的使用效率。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84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9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9E03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51DF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63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4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7EBD5">
            <w:pPr>
              <w:jc w:val="center"/>
              <w:rPr>
                <w:rFonts w:hint="eastAsia" w:ascii="微软雅黑" w:hAnsi="微软雅黑" w:eastAsia="微软雅黑" w:cs="微软雅黑"/>
                <w:i/>
                <w:iCs/>
                <w:color w:val="000000"/>
                <w:sz w:val="16"/>
                <w:szCs w:val="16"/>
                <w:u w:val="none"/>
              </w:rPr>
            </w:pPr>
          </w:p>
        </w:tc>
      </w:tr>
      <w:tr w14:paraId="2AFE7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BE54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315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ECB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39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73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DF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592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F8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C5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E73C">
            <w:pPr>
              <w:jc w:val="center"/>
              <w:rPr>
                <w:rFonts w:hint="eastAsia" w:ascii="微软雅黑" w:hAnsi="微软雅黑" w:eastAsia="微软雅黑" w:cs="微软雅黑"/>
                <w:i/>
                <w:iCs/>
                <w:color w:val="000000"/>
                <w:sz w:val="16"/>
                <w:szCs w:val="16"/>
                <w:u w:val="none"/>
              </w:rPr>
            </w:pPr>
          </w:p>
        </w:tc>
      </w:tr>
      <w:tr w14:paraId="5979E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ED90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19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5EF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E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23D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7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1BC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7A7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E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F1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3DF0">
            <w:pPr>
              <w:jc w:val="center"/>
              <w:rPr>
                <w:rFonts w:hint="eastAsia" w:ascii="微软雅黑" w:hAnsi="微软雅黑" w:eastAsia="微软雅黑" w:cs="微软雅黑"/>
                <w:i/>
                <w:iCs/>
                <w:color w:val="000000"/>
                <w:sz w:val="16"/>
                <w:szCs w:val="16"/>
                <w:u w:val="none"/>
              </w:rPr>
            </w:pPr>
          </w:p>
        </w:tc>
      </w:tr>
      <w:tr w14:paraId="5B485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94F5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5223C">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E31E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D4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BC3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245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DA3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ADD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3.35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1B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F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FBC95">
            <w:pPr>
              <w:jc w:val="center"/>
              <w:rPr>
                <w:rFonts w:hint="eastAsia" w:ascii="微软雅黑" w:hAnsi="微软雅黑" w:eastAsia="微软雅黑" w:cs="微软雅黑"/>
                <w:i/>
                <w:iCs/>
                <w:color w:val="000000"/>
                <w:sz w:val="16"/>
                <w:szCs w:val="16"/>
                <w:u w:val="none"/>
              </w:rPr>
            </w:pPr>
          </w:p>
        </w:tc>
      </w:tr>
      <w:tr w14:paraId="30A61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539D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D55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D35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84E87">
            <w:pPr>
              <w:rPr>
                <w:rFonts w:hint="eastAsia" w:ascii="宋体" w:hAnsi="宋体" w:eastAsia="宋体" w:cs="宋体"/>
                <w:i w:val="0"/>
                <w:iCs w:val="0"/>
                <w:color w:val="000000"/>
                <w:sz w:val="18"/>
                <w:szCs w:val="18"/>
                <w:u w:val="none"/>
              </w:rPr>
            </w:pPr>
          </w:p>
        </w:tc>
      </w:tr>
      <w:tr w14:paraId="232B2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B6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0A39C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6E42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9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A01AA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D994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C2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6273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BF4E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726BADE5">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159BE97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542DFFB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B46335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BA83D3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3AC289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7D405AE">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94D350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9C4EC8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2F29C65">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E880FF8">
            <w:pPr>
              <w:rPr>
                <w:rFonts w:hint="eastAsia" w:ascii="宋体" w:hAnsi="宋体" w:eastAsia="宋体" w:cs="宋体"/>
                <w:i w:val="0"/>
                <w:iCs w:val="0"/>
                <w:color w:val="000000"/>
                <w:sz w:val="18"/>
                <w:szCs w:val="18"/>
                <w:u w:val="none"/>
              </w:rPr>
            </w:pPr>
          </w:p>
        </w:tc>
      </w:tr>
      <w:tr w14:paraId="55F41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0E4E8F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C990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B565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BF963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51320024T000010663262-购置各类证书经费</w:t>
            </w:r>
          </w:p>
        </w:tc>
      </w:tr>
      <w:tr w14:paraId="751A7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996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484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2E547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943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CEDC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BB3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090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D5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2C531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3743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BB9AC">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2A84B">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8C6B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Style w:val="31"/>
                <w:lang w:val="en-US" w:eastAsia="zh-CN" w:bidi="ar"/>
              </w:rPr>
              <w:t xml:space="preserve">能建科：技能培训是由技能培训机构开展的，劳动者通过技能考核，可以获得国家认可的技能证书，目的增强劳动者市场就业竞争力     。                                          </w:t>
            </w:r>
            <w:r>
              <w:rPr>
                <w:rStyle w:val="32"/>
                <w:rFonts w:eastAsia="宋体"/>
                <w:lang w:val="en-US" w:eastAsia="zh-CN" w:bidi="ar"/>
              </w:rPr>
              <w:t xml:space="preserve">       </w:t>
            </w:r>
            <w:r>
              <w:rPr>
                <w:rStyle w:val="31"/>
                <w:lang w:val="en-US" w:eastAsia="zh-CN" w:bidi="ar"/>
              </w:rPr>
              <w:br w:type="textWrapping"/>
            </w:r>
            <w:r>
              <w:rPr>
                <w:rStyle w:val="31"/>
                <w:lang w:val="en-US" w:eastAsia="zh-CN" w:bidi="ar"/>
              </w:rPr>
              <w:t>事管科：为460名事业单位工作人员和机关工勤人员记功奖励获得者购买证书及奖章。</w:t>
            </w:r>
            <w:r>
              <w:rPr>
                <w:rStyle w:val="32"/>
                <w:rFonts w:eastAsia="宋体"/>
                <w:lang w:val="en-US" w:eastAsia="zh-CN" w:bidi="ar"/>
              </w:rPr>
              <w:t xml:space="preserve">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1C4443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年度实际采购证书及奖章305份。</w:t>
            </w:r>
          </w:p>
        </w:tc>
      </w:tr>
      <w:tr w14:paraId="160F4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019AA">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45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6C4AA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于2024年11月份事业单位工作人员和机关工勤人员连续三年优秀人员确定后实施采购，年度实际采购证书及奖章305份。</w:t>
            </w:r>
          </w:p>
        </w:tc>
      </w:tr>
      <w:tr w14:paraId="5A1B6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52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D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5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084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401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4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B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725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9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4B5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01C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E70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E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0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FEB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DBD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27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C68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F192F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1AD8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1902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E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7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62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DF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1.18</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DE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A5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BB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C452E">
            <w:pPr>
              <w:rPr>
                <w:rFonts w:hint="eastAsia" w:ascii="黑体" w:hAnsi="黑体" w:eastAsia="黑体" w:cs="黑体"/>
                <w:i/>
                <w:iCs/>
                <w:color w:val="000000"/>
                <w:sz w:val="18"/>
                <w:szCs w:val="18"/>
                <w:u w:val="none"/>
              </w:rPr>
            </w:pPr>
          </w:p>
        </w:tc>
      </w:tr>
      <w:tr w14:paraId="6BF2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1E93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662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B91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B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054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5F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2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E0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8D0E5">
            <w:pPr>
              <w:rPr>
                <w:rFonts w:hint="eastAsia" w:ascii="黑体" w:hAnsi="黑体" w:eastAsia="黑体" w:cs="黑体"/>
                <w:i/>
                <w:iCs/>
                <w:color w:val="000000"/>
                <w:sz w:val="18"/>
                <w:szCs w:val="18"/>
                <w:u w:val="none"/>
              </w:rPr>
            </w:pPr>
          </w:p>
        </w:tc>
      </w:tr>
      <w:tr w14:paraId="5F36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3162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DC4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8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9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57FC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5A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0B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891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9BB31">
            <w:pPr>
              <w:rPr>
                <w:rFonts w:hint="eastAsia" w:ascii="黑体" w:hAnsi="黑体" w:eastAsia="黑体" w:cs="黑体"/>
                <w:i/>
                <w:iCs/>
                <w:color w:val="000000"/>
                <w:sz w:val="18"/>
                <w:szCs w:val="18"/>
                <w:u w:val="none"/>
              </w:rPr>
            </w:pPr>
          </w:p>
        </w:tc>
      </w:tr>
      <w:tr w14:paraId="2C75B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409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4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4CC7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C136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77DF71">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F4DF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2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8C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5D6D3">
            <w:pPr>
              <w:rPr>
                <w:rFonts w:hint="eastAsia" w:ascii="黑体" w:hAnsi="黑体" w:eastAsia="黑体" w:cs="黑体"/>
                <w:i/>
                <w:iCs/>
                <w:color w:val="000000"/>
                <w:sz w:val="18"/>
                <w:szCs w:val="18"/>
                <w:u w:val="none"/>
              </w:rPr>
            </w:pPr>
          </w:p>
        </w:tc>
      </w:tr>
      <w:tr w14:paraId="59CBB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0B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9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5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1F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CF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C0D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F1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C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BB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BD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313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4979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3D1E2">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20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3F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C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购买职业技能培训合格证书和等级证书数量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05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D4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10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0C5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CC1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86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FAD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能建科本年度为采购相关证书</w:t>
            </w:r>
          </w:p>
        </w:tc>
      </w:tr>
      <w:tr w14:paraId="6B9FE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26A0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72B6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C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0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C8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3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DD9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E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均按要求制作</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4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1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6C74">
            <w:pPr>
              <w:jc w:val="center"/>
              <w:rPr>
                <w:rFonts w:hint="eastAsia" w:ascii="微软雅黑" w:hAnsi="微软雅黑" w:eastAsia="微软雅黑" w:cs="微软雅黑"/>
                <w:i/>
                <w:iCs/>
                <w:color w:val="000000"/>
                <w:sz w:val="16"/>
                <w:szCs w:val="16"/>
                <w:u w:val="none"/>
              </w:rPr>
            </w:pPr>
          </w:p>
        </w:tc>
      </w:tr>
      <w:tr w14:paraId="7D8FB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A6A79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FBE93">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52A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F18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3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1B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D95B0">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B8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25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F7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49F18">
            <w:pPr>
              <w:jc w:val="center"/>
              <w:rPr>
                <w:rFonts w:hint="eastAsia" w:ascii="微软雅黑" w:hAnsi="微软雅黑" w:eastAsia="微软雅黑" w:cs="微软雅黑"/>
                <w:i/>
                <w:iCs/>
                <w:color w:val="000000"/>
                <w:sz w:val="16"/>
                <w:szCs w:val="16"/>
                <w:u w:val="none"/>
              </w:rPr>
            </w:pPr>
          </w:p>
        </w:tc>
      </w:tr>
      <w:tr w14:paraId="77BE2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1102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C48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3F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C5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增强劳动者市场就业竞争力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29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5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持续增强</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B335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2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持续增强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2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5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BAA7">
            <w:pPr>
              <w:jc w:val="center"/>
              <w:rPr>
                <w:rFonts w:hint="eastAsia" w:ascii="微软雅黑" w:hAnsi="微软雅黑" w:eastAsia="微软雅黑" w:cs="微软雅黑"/>
                <w:i/>
                <w:iCs/>
                <w:color w:val="000000"/>
                <w:sz w:val="16"/>
                <w:szCs w:val="16"/>
                <w:u w:val="none"/>
              </w:rPr>
            </w:pPr>
          </w:p>
        </w:tc>
      </w:tr>
      <w:tr w14:paraId="143D8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4687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C8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17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A1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获得证书人员满意度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DB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59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7A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E85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2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C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DB5F">
            <w:pPr>
              <w:jc w:val="center"/>
              <w:rPr>
                <w:rFonts w:hint="eastAsia" w:ascii="微软雅黑" w:hAnsi="微软雅黑" w:eastAsia="微软雅黑" w:cs="微软雅黑"/>
                <w:i/>
                <w:iCs/>
                <w:color w:val="000000"/>
                <w:sz w:val="16"/>
                <w:szCs w:val="16"/>
                <w:u w:val="none"/>
              </w:rPr>
            </w:pPr>
          </w:p>
        </w:tc>
      </w:tr>
      <w:tr w14:paraId="3C8F2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6494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D3ED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3C0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F9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5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7C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1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24ED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90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D6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7AF2">
            <w:pPr>
              <w:jc w:val="center"/>
              <w:rPr>
                <w:rFonts w:hint="eastAsia" w:ascii="微软雅黑" w:hAnsi="微软雅黑" w:eastAsia="微软雅黑" w:cs="微软雅黑"/>
                <w:i/>
                <w:iCs/>
                <w:color w:val="000000"/>
                <w:sz w:val="16"/>
                <w:szCs w:val="16"/>
                <w:u w:val="none"/>
              </w:rPr>
            </w:pPr>
          </w:p>
        </w:tc>
      </w:tr>
      <w:tr w14:paraId="68132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48AB6">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39EE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9056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B6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8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9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9EA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5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D13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7FA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项目节约成本</w:t>
            </w:r>
          </w:p>
        </w:tc>
      </w:tr>
      <w:tr w14:paraId="0BFEF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6A45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0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6668">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875E">
            <w:pPr>
              <w:rPr>
                <w:rFonts w:hint="eastAsia" w:ascii="宋体" w:hAnsi="宋体" w:eastAsia="宋体" w:cs="宋体"/>
                <w:i w:val="0"/>
                <w:iCs w:val="0"/>
                <w:color w:val="000000"/>
                <w:sz w:val="18"/>
                <w:szCs w:val="18"/>
                <w:u w:val="none"/>
              </w:rPr>
            </w:pPr>
          </w:p>
        </w:tc>
      </w:tr>
      <w:tr w14:paraId="10967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8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34FE6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较好的完成了绩效目标</w:t>
            </w:r>
          </w:p>
        </w:tc>
      </w:tr>
      <w:tr w14:paraId="49732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5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D2A5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未能及时调整绩效目标</w:t>
            </w:r>
          </w:p>
        </w:tc>
      </w:tr>
      <w:tr w14:paraId="60CE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6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6C224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w:t>
            </w:r>
          </w:p>
        </w:tc>
      </w:tr>
      <w:tr w14:paraId="2E1EC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5722457">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95357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69E1A6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449008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DEBAE4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361224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3AAD2BD">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C22156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12C94D6">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E54300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DB3DAF5">
            <w:pPr>
              <w:rPr>
                <w:rFonts w:hint="eastAsia" w:ascii="宋体" w:hAnsi="宋体" w:eastAsia="宋体" w:cs="宋体"/>
                <w:i w:val="0"/>
                <w:iCs w:val="0"/>
                <w:color w:val="000000"/>
                <w:sz w:val="18"/>
                <w:szCs w:val="18"/>
                <w:u w:val="none"/>
              </w:rPr>
            </w:pPr>
          </w:p>
        </w:tc>
      </w:tr>
      <w:tr w14:paraId="5DF43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9515C6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9A9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37CB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EE44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51320024T000010663869-机房更换蓄电池</w:t>
            </w:r>
          </w:p>
        </w:tc>
      </w:tr>
      <w:tr w14:paraId="5CBA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1B13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160B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797AEF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44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857B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A7EC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54922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975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6AA50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471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552C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652C5">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6598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阿坝州人力资源和社会保障局负一楼蓄电池房于2010年建设并投入使用，至今已运行13年。目前，已出 部分电池容量下降严重 ， 且出现爬酸、漏液现象，电池内阻极大，电池充电时发热、发烫，严重情况下将造成电池鼓包、漏液甚至起火 ， 发生爆炸。为保障阿坝州人力资源和社会保障信息系统、机房硬件设备、金保业务专网安全、稳定运行，拟于2024年4月实施阿坝州人力资源和社会保障数据中心机房蓄电池更换采购项目</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DED1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达到工作预期，保障了阿坝州人力资源和社会保障信息系统、机房硬件设备、金保业务专网安全、稳定运行。</w:t>
            </w:r>
          </w:p>
        </w:tc>
      </w:tr>
      <w:tr w14:paraId="4E3D3B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24C2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BB5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4A44E25">
            <w:pPr>
              <w:rPr>
                <w:rFonts w:hint="eastAsia" w:ascii="宋体" w:hAnsi="宋体" w:eastAsia="宋体" w:cs="宋体"/>
                <w:i w:val="0"/>
                <w:iCs w:val="0"/>
                <w:color w:val="000000"/>
                <w:sz w:val="18"/>
                <w:szCs w:val="18"/>
                <w:u w:val="none"/>
              </w:rPr>
            </w:pPr>
          </w:p>
        </w:tc>
      </w:tr>
      <w:tr w14:paraId="73046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5E0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3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C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C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82F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22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265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D46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82C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75B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C52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B4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89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0E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7053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B2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3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8E5A9">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5597B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DB20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AD90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01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4F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F8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82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70.80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A1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9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06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36621">
            <w:pPr>
              <w:rPr>
                <w:rFonts w:hint="eastAsia" w:ascii="黑体" w:hAnsi="黑体" w:eastAsia="黑体" w:cs="黑体"/>
                <w:i/>
                <w:iCs/>
                <w:color w:val="000000"/>
                <w:sz w:val="18"/>
                <w:szCs w:val="18"/>
                <w:u w:val="none"/>
              </w:rPr>
            </w:pPr>
          </w:p>
        </w:tc>
      </w:tr>
      <w:tr w14:paraId="57A6B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D495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BE2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97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E8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028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8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0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08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ED8D6">
            <w:pPr>
              <w:rPr>
                <w:rFonts w:hint="eastAsia" w:ascii="黑体" w:hAnsi="黑体" w:eastAsia="黑体" w:cs="黑体"/>
                <w:i/>
                <w:iCs/>
                <w:color w:val="000000"/>
                <w:sz w:val="18"/>
                <w:szCs w:val="18"/>
                <w:u w:val="none"/>
              </w:rPr>
            </w:pPr>
          </w:p>
        </w:tc>
      </w:tr>
      <w:tr w14:paraId="5C523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8336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3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9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8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07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7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C7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2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0A12F">
            <w:pPr>
              <w:rPr>
                <w:rFonts w:hint="eastAsia" w:ascii="黑体" w:hAnsi="黑体" w:eastAsia="黑体" w:cs="黑体"/>
                <w:i/>
                <w:iCs/>
                <w:color w:val="000000"/>
                <w:sz w:val="18"/>
                <w:szCs w:val="18"/>
                <w:u w:val="none"/>
              </w:rPr>
            </w:pPr>
          </w:p>
        </w:tc>
      </w:tr>
      <w:tr w14:paraId="6692B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A10F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2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03E77">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A57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1BD14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0BDD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9F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08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FA733">
            <w:pPr>
              <w:rPr>
                <w:rFonts w:hint="eastAsia" w:ascii="黑体" w:hAnsi="黑体" w:eastAsia="黑体" w:cs="黑体"/>
                <w:i/>
                <w:iCs/>
                <w:color w:val="000000"/>
                <w:sz w:val="18"/>
                <w:szCs w:val="18"/>
                <w:u w:val="none"/>
              </w:rPr>
            </w:pPr>
          </w:p>
        </w:tc>
      </w:tr>
      <w:tr w14:paraId="5AA68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2B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DA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18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5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0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6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5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A70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83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BB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400E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F3BF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8515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C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F2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蓄电池更换采购项目数量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9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8A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5B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批次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7D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E7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E322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9699">
            <w:pPr>
              <w:jc w:val="center"/>
              <w:rPr>
                <w:rFonts w:hint="eastAsia" w:ascii="微软雅黑" w:hAnsi="微软雅黑" w:eastAsia="微软雅黑" w:cs="微软雅黑"/>
                <w:i/>
                <w:iCs/>
                <w:color w:val="000000"/>
                <w:sz w:val="16"/>
                <w:szCs w:val="16"/>
                <w:u w:val="none"/>
              </w:rPr>
            </w:pPr>
          </w:p>
        </w:tc>
      </w:tr>
      <w:tr w14:paraId="59054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D1D4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CA7C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A6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907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完成项目采购率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48B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2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CA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B8C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0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3AB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55CF9">
            <w:pPr>
              <w:jc w:val="center"/>
              <w:rPr>
                <w:rFonts w:hint="eastAsia" w:ascii="微软雅黑" w:hAnsi="微软雅黑" w:eastAsia="微软雅黑" w:cs="微软雅黑"/>
                <w:i/>
                <w:iCs/>
                <w:color w:val="000000"/>
                <w:sz w:val="16"/>
                <w:szCs w:val="16"/>
                <w:u w:val="none"/>
              </w:rPr>
            </w:pPr>
          </w:p>
        </w:tc>
      </w:tr>
      <w:tr w14:paraId="3BAD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9929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2042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96A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9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机房更换电池及时率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D1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A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8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B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7DA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070B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61BA7">
            <w:pPr>
              <w:jc w:val="center"/>
              <w:rPr>
                <w:rFonts w:hint="eastAsia" w:ascii="微软雅黑" w:hAnsi="微软雅黑" w:eastAsia="微软雅黑" w:cs="微软雅黑"/>
                <w:i/>
                <w:iCs/>
                <w:color w:val="000000"/>
                <w:sz w:val="16"/>
                <w:szCs w:val="16"/>
                <w:u w:val="none"/>
              </w:rPr>
            </w:pPr>
          </w:p>
        </w:tc>
      </w:tr>
      <w:tr w14:paraId="74F6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8D7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F44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36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DA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保障机房稳定运行</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2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6A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EDA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62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08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5C7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1057">
            <w:pPr>
              <w:jc w:val="center"/>
              <w:rPr>
                <w:rFonts w:hint="eastAsia" w:ascii="微软雅黑" w:hAnsi="微软雅黑" w:eastAsia="微软雅黑" w:cs="微软雅黑"/>
                <w:i/>
                <w:iCs/>
                <w:color w:val="000000"/>
                <w:sz w:val="16"/>
                <w:szCs w:val="16"/>
                <w:u w:val="none"/>
              </w:rPr>
            </w:pPr>
          </w:p>
        </w:tc>
      </w:tr>
      <w:tr w14:paraId="0F16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190E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EAA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8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E5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F9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3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2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4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54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741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B0A7">
            <w:pPr>
              <w:jc w:val="center"/>
              <w:rPr>
                <w:rFonts w:hint="eastAsia" w:ascii="微软雅黑" w:hAnsi="微软雅黑" w:eastAsia="微软雅黑" w:cs="微软雅黑"/>
                <w:i/>
                <w:iCs/>
                <w:color w:val="000000"/>
                <w:sz w:val="16"/>
                <w:szCs w:val="16"/>
                <w:u w:val="none"/>
              </w:rPr>
            </w:pPr>
          </w:p>
        </w:tc>
      </w:tr>
      <w:tr w14:paraId="4B3ED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7603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533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0A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F6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数据中心机房蓄电池更换采购项目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96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B6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9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0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A35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025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D7CBA">
            <w:pPr>
              <w:jc w:val="center"/>
              <w:rPr>
                <w:rFonts w:hint="eastAsia" w:ascii="微软雅黑" w:hAnsi="微软雅黑" w:eastAsia="微软雅黑" w:cs="微软雅黑"/>
                <w:i/>
                <w:iCs/>
                <w:color w:val="000000"/>
                <w:sz w:val="16"/>
                <w:szCs w:val="16"/>
                <w:u w:val="none"/>
              </w:rPr>
            </w:pPr>
          </w:p>
        </w:tc>
      </w:tr>
      <w:tr w14:paraId="47CC6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A1DD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405F0">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1924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CF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专用设备购置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C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2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9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18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4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9D4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63A45">
            <w:pPr>
              <w:jc w:val="center"/>
              <w:rPr>
                <w:rFonts w:hint="eastAsia" w:ascii="微软雅黑" w:hAnsi="微软雅黑" w:eastAsia="微软雅黑" w:cs="微软雅黑"/>
                <w:i/>
                <w:iCs/>
                <w:color w:val="000000"/>
                <w:sz w:val="16"/>
                <w:szCs w:val="16"/>
                <w:u w:val="none"/>
              </w:rPr>
            </w:pPr>
          </w:p>
        </w:tc>
      </w:tr>
      <w:tr w14:paraId="618C8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B3F5E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C69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63E7A">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9A0C">
            <w:pPr>
              <w:rPr>
                <w:rFonts w:hint="eastAsia" w:ascii="宋体" w:hAnsi="宋体" w:eastAsia="宋体" w:cs="宋体"/>
                <w:i w:val="0"/>
                <w:iCs w:val="0"/>
                <w:color w:val="000000"/>
                <w:sz w:val="18"/>
                <w:szCs w:val="18"/>
                <w:u w:val="none"/>
              </w:rPr>
            </w:pPr>
          </w:p>
        </w:tc>
      </w:tr>
      <w:tr w14:paraId="0AB63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9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FB4D0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达到工作预期，保障了阿坝州人力资源和社会保障信息系统、机房硬件设备、金保业务专网安全、稳定运行</w:t>
            </w:r>
          </w:p>
        </w:tc>
      </w:tr>
      <w:tr w14:paraId="6186B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1E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7F33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DE06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A28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39438D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18B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134A4A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E4D221C">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71C515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48C92B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133E544">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4F1915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E401AB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37D876E">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24A7912D">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D1C5D18">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B81F0A7">
            <w:pPr>
              <w:rPr>
                <w:rFonts w:hint="eastAsia" w:ascii="宋体" w:hAnsi="宋体" w:eastAsia="宋体" w:cs="宋体"/>
                <w:i w:val="0"/>
                <w:iCs w:val="0"/>
                <w:color w:val="000000"/>
                <w:sz w:val="18"/>
                <w:szCs w:val="18"/>
                <w:u w:val="none"/>
              </w:rPr>
            </w:pPr>
          </w:p>
        </w:tc>
      </w:tr>
      <w:tr w14:paraId="3C87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443A0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431FF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27A1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560EB3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51320024T000010663916-流动人员档案管理</w:t>
            </w:r>
          </w:p>
        </w:tc>
      </w:tr>
      <w:tr w14:paraId="5A86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0EB4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9AAF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D00CC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852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A54C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25DA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D13C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94C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B333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07A8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3A3AC">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84E9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203B3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年度公共服务耗材、流动人员人事档案数字化购买服务、公共服务人员能力培训、人力资源公共服务宣传活动及宣传品制作、托管档案人员就业岗位供需对接信息化建设、人力资源招聘对接活动、流动人员人事档案库房设施设备配置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3735B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完成公共服务耗材采购、流动人员人事档案数字化购买服务、公共服务人员能力提升培训、人力资源公共服务宣传活动及宣传品制作、人力资源招聘对接活动、托管档案人员就业岗位供需对接信息化建, 流动人员人事档案库房设施设备配。严格按照相关文件规定完成了采购项目。</w:t>
            </w:r>
          </w:p>
        </w:tc>
      </w:tr>
      <w:tr w14:paraId="643FF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C5C83">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50B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E4EADE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完成公共服务耗材采购、流动人员人事档案数字化购买服务、公共服务人员能力提升培训、人力资源公共服务宣传活动及宣传品制作、人力资源招聘对接活动、托管档案人员就业岗位供需对接信息化建, 流动人员人事档案库房设施设备配。严格按照相关文件规定完成了采购项目。</w:t>
            </w:r>
          </w:p>
        </w:tc>
      </w:tr>
      <w:tr w14:paraId="748D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42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C4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66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146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9F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0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C9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3B3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0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75C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3C07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46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D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3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C926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8A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E8D5">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8EDF1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CE2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E99F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3C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2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E3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FA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5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0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DF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53F01">
            <w:pPr>
              <w:rPr>
                <w:rFonts w:hint="eastAsia" w:ascii="黑体" w:hAnsi="黑体" w:eastAsia="黑体" w:cs="黑体"/>
                <w:i/>
                <w:iCs/>
                <w:color w:val="000000"/>
                <w:sz w:val="18"/>
                <w:szCs w:val="18"/>
                <w:u w:val="none"/>
              </w:rPr>
            </w:pPr>
          </w:p>
        </w:tc>
      </w:tr>
      <w:tr w14:paraId="770A5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865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6D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2AD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C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A9E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14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1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3C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2EE33">
            <w:pPr>
              <w:rPr>
                <w:rFonts w:hint="eastAsia" w:ascii="黑体" w:hAnsi="黑体" w:eastAsia="黑体" w:cs="黑体"/>
                <w:i/>
                <w:iCs/>
                <w:color w:val="000000"/>
                <w:sz w:val="18"/>
                <w:szCs w:val="18"/>
                <w:u w:val="none"/>
              </w:rPr>
            </w:pPr>
          </w:p>
        </w:tc>
      </w:tr>
      <w:tr w14:paraId="160FE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1315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13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367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43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A4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7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4D2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55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60E60">
            <w:pPr>
              <w:rPr>
                <w:rFonts w:hint="eastAsia" w:ascii="黑体" w:hAnsi="黑体" w:eastAsia="黑体" w:cs="黑体"/>
                <w:i/>
                <w:iCs/>
                <w:color w:val="000000"/>
                <w:sz w:val="18"/>
                <w:szCs w:val="18"/>
                <w:u w:val="none"/>
              </w:rPr>
            </w:pPr>
          </w:p>
        </w:tc>
      </w:tr>
      <w:tr w14:paraId="3831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3898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45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1244">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B3DE0">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04F6F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28A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0D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99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7F0BF">
            <w:pPr>
              <w:rPr>
                <w:rFonts w:hint="eastAsia" w:ascii="黑体" w:hAnsi="黑体" w:eastAsia="黑体" w:cs="黑体"/>
                <w:i/>
                <w:iCs/>
                <w:color w:val="000000"/>
                <w:sz w:val="18"/>
                <w:szCs w:val="18"/>
                <w:u w:val="none"/>
              </w:rPr>
            </w:pPr>
          </w:p>
        </w:tc>
      </w:tr>
      <w:tr w14:paraId="581B5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099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4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3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5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5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43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B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4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D34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3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991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7D8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B5295">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D5C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A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9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流动人员人事档案库房设施设备配置数量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7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8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A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C95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47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608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9AE1">
            <w:pPr>
              <w:jc w:val="center"/>
              <w:rPr>
                <w:rFonts w:hint="eastAsia" w:ascii="微软雅黑" w:hAnsi="微软雅黑" w:eastAsia="微软雅黑" w:cs="微软雅黑"/>
                <w:i/>
                <w:iCs/>
                <w:color w:val="000000"/>
                <w:sz w:val="16"/>
                <w:szCs w:val="16"/>
                <w:u w:val="none"/>
              </w:rPr>
            </w:pPr>
          </w:p>
        </w:tc>
      </w:tr>
      <w:tr w14:paraId="197D4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5F9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0A8C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A6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0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5F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6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D8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7A9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E99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6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2429C">
            <w:pPr>
              <w:jc w:val="center"/>
              <w:rPr>
                <w:rFonts w:hint="eastAsia" w:ascii="微软雅黑" w:hAnsi="微软雅黑" w:eastAsia="微软雅黑" w:cs="微软雅黑"/>
                <w:i/>
                <w:iCs/>
                <w:color w:val="000000"/>
                <w:sz w:val="16"/>
                <w:szCs w:val="16"/>
                <w:u w:val="none"/>
              </w:rPr>
            </w:pPr>
          </w:p>
        </w:tc>
      </w:tr>
      <w:tr w14:paraId="037F2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A93C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66C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0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0A0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流动人员档案管理工作完成时间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1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6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本年度11月底前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0E5C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7129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本年度11月底前</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562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1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58C5C">
            <w:pPr>
              <w:jc w:val="center"/>
              <w:rPr>
                <w:rFonts w:hint="eastAsia" w:ascii="微软雅黑" w:hAnsi="微软雅黑" w:eastAsia="微软雅黑" w:cs="微软雅黑"/>
                <w:i/>
                <w:iCs/>
                <w:color w:val="000000"/>
                <w:sz w:val="16"/>
                <w:szCs w:val="16"/>
                <w:u w:val="none"/>
              </w:rPr>
            </w:pPr>
          </w:p>
        </w:tc>
      </w:tr>
      <w:tr w14:paraId="13AC3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A798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F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3D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9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让高校毕业生办理档案转接高效、快捷</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5D9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4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E8F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89D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高</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97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85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65B">
            <w:pPr>
              <w:jc w:val="center"/>
              <w:rPr>
                <w:rFonts w:hint="eastAsia" w:ascii="微软雅黑" w:hAnsi="微软雅黑" w:eastAsia="微软雅黑" w:cs="微软雅黑"/>
                <w:i/>
                <w:iCs/>
                <w:color w:val="000000"/>
                <w:sz w:val="16"/>
                <w:szCs w:val="16"/>
                <w:u w:val="none"/>
              </w:rPr>
            </w:pPr>
          </w:p>
        </w:tc>
      </w:tr>
      <w:tr w14:paraId="158C0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71EC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17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9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70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寄存档案大中专毕业生满意度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5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BC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F4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59A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3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44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50E6">
            <w:pPr>
              <w:jc w:val="center"/>
              <w:rPr>
                <w:rFonts w:hint="eastAsia" w:ascii="微软雅黑" w:hAnsi="微软雅黑" w:eastAsia="微软雅黑" w:cs="微软雅黑"/>
                <w:i/>
                <w:iCs/>
                <w:color w:val="000000"/>
                <w:sz w:val="16"/>
                <w:szCs w:val="16"/>
                <w:u w:val="none"/>
              </w:rPr>
            </w:pPr>
          </w:p>
        </w:tc>
      </w:tr>
      <w:tr w14:paraId="4B0A8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DB09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5B6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CB0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B0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348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6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56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EB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0.84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15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4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69F8">
            <w:pPr>
              <w:jc w:val="center"/>
              <w:rPr>
                <w:rFonts w:hint="eastAsia" w:ascii="微软雅黑" w:hAnsi="微软雅黑" w:eastAsia="微软雅黑" w:cs="微软雅黑"/>
                <w:i/>
                <w:iCs/>
                <w:color w:val="000000"/>
                <w:sz w:val="16"/>
                <w:szCs w:val="16"/>
                <w:u w:val="none"/>
              </w:rPr>
            </w:pPr>
          </w:p>
        </w:tc>
      </w:tr>
      <w:tr w14:paraId="13B16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AA8B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1FC9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FBD05A">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E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8F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CBA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A54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A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B9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BC052">
            <w:pPr>
              <w:jc w:val="center"/>
              <w:rPr>
                <w:rFonts w:hint="eastAsia" w:ascii="微软雅黑" w:hAnsi="微软雅黑" w:eastAsia="微软雅黑" w:cs="微软雅黑"/>
                <w:i/>
                <w:iCs/>
                <w:color w:val="000000"/>
                <w:sz w:val="16"/>
                <w:szCs w:val="16"/>
                <w:u w:val="none"/>
              </w:rPr>
            </w:pPr>
          </w:p>
        </w:tc>
      </w:tr>
      <w:tr w14:paraId="7C3D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E01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52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E2AD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044E9">
            <w:pPr>
              <w:rPr>
                <w:rFonts w:hint="eastAsia" w:ascii="宋体" w:hAnsi="宋体" w:eastAsia="宋体" w:cs="宋体"/>
                <w:i w:val="0"/>
                <w:iCs w:val="0"/>
                <w:color w:val="000000"/>
                <w:sz w:val="18"/>
                <w:szCs w:val="18"/>
                <w:u w:val="none"/>
              </w:rPr>
            </w:pPr>
          </w:p>
        </w:tc>
      </w:tr>
      <w:tr w14:paraId="4CF59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E14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FACBA77">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07218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08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15BE4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C42A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6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5DADB9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33AB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756E2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项目负责人：刘菲</w:t>
            </w:r>
          </w:p>
        </w:tc>
        <w:tc>
          <w:tcPr>
            <w:tcW w:w="6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D0B0D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财务负责人：宁华荣</w:t>
            </w:r>
          </w:p>
        </w:tc>
      </w:tr>
      <w:tr w14:paraId="1F3E0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6862586D">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6CBCB05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51D1774">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1E96FBF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4A02267">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9F2DB6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BC8E117">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E41B7C6">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683F6A50">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846D2A7">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74FDC43">
            <w:pPr>
              <w:rPr>
                <w:rFonts w:hint="eastAsia" w:ascii="宋体" w:hAnsi="宋体" w:eastAsia="宋体" w:cs="宋体"/>
                <w:i w:val="0"/>
                <w:iCs w:val="0"/>
                <w:color w:val="000000"/>
                <w:sz w:val="18"/>
                <w:szCs w:val="18"/>
                <w:u w:val="none"/>
              </w:rPr>
            </w:pPr>
          </w:p>
        </w:tc>
      </w:tr>
      <w:tr w14:paraId="3457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3AC2AE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8220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BE0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870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51320024T000010664039-事业人员岗前及提升培训</w:t>
            </w:r>
          </w:p>
        </w:tc>
      </w:tr>
      <w:tr w14:paraId="4779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B428B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C0A4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1FE33D0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A4E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982B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0AC29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6CB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A605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03D86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06C4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445FB">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AEFD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3136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 通过培训，提升事业单位新进人员、“9+3”工作人员的政治鉴别能力、公共服务能力、学习能力、履职能力、沟通协调能力、心理调适能力，使其尽快熟悉、掌握履行职责所需的基本知识与技能。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E990A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33FA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76D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00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256A7E">
            <w:pPr>
              <w:rPr>
                <w:rFonts w:hint="eastAsia" w:ascii="宋体" w:hAnsi="宋体" w:eastAsia="宋体" w:cs="宋体"/>
                <w:i w:val="0"/>
                <w:iCs w:val="0"/>
                <w:color w:val="000000"/>
                <w:sz w:val="18"/>
                <w:szCs w:val="18"/>
                <w:u w:val="none"/>
              </w:rPr>
            </w:pPr>
          </w:p>
        </w:tc>
      </w:tr>
      <w:tr w14:paraId="7734D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17A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8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E5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DAA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B96F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5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6B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5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F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1F4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23A1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F4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1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E6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685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4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E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C66A">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2844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9D9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6DFA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C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7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73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93A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27.49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F6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9B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3F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30B38A">
            <w:pPr>
              <w:rPr>
                <w:rFonts w:hint="eastAsia" w:ascii="黑体" w:hAnsi="黑体" w:eastAsia="黑体" w:cs="黑体"/>
                <w:i/>
                <w:iCs/>
                <w:color w:val="000000"/>
                <w:sz w:val="18"/>
                <w:szCs w:val="18"/>
                <w:u w:val="none"/>
              </w:rPr>
            </w:pPr>
          </w:p>
        </w:tc>
      </w:tr>
      <w:tr w14:paraId="0E1AF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2375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69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A0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B1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B72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E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5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D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18DAD7">
            <w:pPr>
              <w:rPr>
                <w:rFonts w:hint="eastAsia" w:ascii="黑体" w:hAnsi="黑体" w:eastAsia="黑体" w:cs="黑体"/>
                <w:i/>
                <w:iCs/>
                <w:color w:val="000000"/>
                <w:sz w:val="18"/>
                <w:szCs w:val="18"/>
                <w:u w:val="none"/>
              </w:rPr>
            </w:pPr>
          </w:p>
        </w:tc>
      </w:tr>
      <w:tr w14:paraId="344EB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087B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6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B2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6D0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C0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7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7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0B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46CB5">
            <w:pPr>
              <w:rPr>
                <w:rFonts w:hint="eastAsia" w:ascii="黑体" w:hAnsi="黑体" w:eastAsia="黑体" w:cs="黑体"/>
                <w:i/>
                <w:iCs/>
                <w:color w:val="000000"/>
                <w:sz w:val="18"/>
                <w:szCs w:val="18"/>
                <w:u w:val="none"/>
              </w:rPr>
            </w:pPr>
          </w:p>
        </w:tc>
      </w:tr>
      <w:tr w14:paraId="46169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8B30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1A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908C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EF5E">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687E4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620E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9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78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3836D">
            <w:pPr>
              <w:rPr>
                <w:rFonts w:hint="eastAsia" w:ascii="黑体" w:hAnsi="黑体" w:eastAsia="黑体" w:cs="黑体"/>
                <w:i/>
                <w:iCs/>
                <w:color w:val="000000"/>
                <w:sz w:val="18"/>
                <w:szCs w:val="18"/>
                <w:u w:val="none"/>
              </w:rPr>
            </w:pPr>
          </w:p>
        </w:tc>
      </w:tr>
      <w:tr w14:paraId="65ED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0C33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2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5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BC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26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D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126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5E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E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49C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9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404B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5D62D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48FE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2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19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事业单位新进人员人数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AB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FF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D9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BC8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BE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F53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85DE">
            <w:pPr>
              <w:jc w:val="center"/>
              <w:rPr>
                <w:rFonts w:hint="eastAsia" w:ascii="微软雅黑" w:hAnsi="微软雅黑" w:eastAsia="微软雅黑" w:cs="微软雅黑"/>
                <w:i/>
                <w:iCs/>
                <w:color w:val="000000"/>
                <w:sz w:val="16"/>
                <w:szCs w:val="16"/>
                <w:u w:val="none"/>
              </w:rPr>
            </w:pPr>
          </w:p>
        </w:tc>
      </w:tr>
      <w:tr w14:paraId="6817E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C891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56F6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EB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DC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EB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CC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EB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8A8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53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5A2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0996">
            <w:pPr>
              <w:jc w:val="center"/>
              <w:rPr>
                <w:rFonts w:hint="eastAsia" w:ascii="微软雅黑" w:hAnsi="微软雅黑" w:eastAsia="微软雅黑" w:cs="微软雅黑"/>
                <w:i/>
                <w:iCs/>
                <w:color w:val="000000"/>
                <w:sz w:val="16"/>
                <w:szCs w:val="16"/>
                <w:u w:val="none"/>
              </w:rPr>
            </w:pPr>
          </w:p>
        </w:tc>
      </w:tr>
      <w:tr w14:paraId="7CCAF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61DCB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03C7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C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105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项目资金支付及时率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3E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A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5EB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8A8F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B5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1E59">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A3D9">
            <w:pPr>
              <w:jc w:val="center"/>
              <w:rPr>
                <w:rFonts w:hint="eastAsia" w:ascii="微软雅黑" w:hAnsi="微软雅黑" w:eastAsia="微软雅黑" w:cs="微软雅黑"/>
                <w:i/>
                <w:iCs/>
                <w:color w:val="000000"/>
                <w:sz w:val="16"/>
                <w:szCs w:val="16"/>
                <w:u w:val="none"/>
              </w:rPr>
            </w:pPr>
          </w:p>
        </w:tc>
      </w:tr>
      <w:tr w14:paraId="3DC5C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3391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059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497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ED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提高参训人员业务能力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5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2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提高参训人员业务能力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43755">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803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EE7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7CC0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E42DC">
            <w:pPr>
              <w:jc w:val="center"/>
              <w:rPr>
                <w:rFonts w:hint="eastAsia" w:ascii="微软雅黑" w:hAnsi="微软雅黑" w:eastAsia="微软雅黑" w:cs="微软雅黑"/>
                <w:i/>
                <w:iCs/>
                <w:color w:val="000000"/>
                <w:sz w:val="16"/>
                <w:szCs w:val="16"/>
                <w:u w:val="none"/>
              </w:rPr>
            </w:pPr>
          </w:p>
        </w:tc>
      </w:tr>
      <w:tr w14:paraId="4B55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39DCA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AA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3A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9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参训对象的满意度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F3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3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0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463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AF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9EEA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E9A3">
            <w:pPr>
              <w:jc w:val="center"/>
              <w:rPr>
                <w:rFonts w:hint="eastAsia" w:ascii="微软雅黑" w:hAnsi="微软雅黑" w:eastAsia="微软雅黑" w:cs="微软雅黑"/>
                <w:i/>
                <w:iCs/>
                <w:color w:val="000000"/>
                <w:sz w:val="16"/>
                <w:szCs w:val="16"/>
                <w:u w:val="none"/>
              </w:rPr>
            </w:pPr>
          </w:p>
        </w:tc>
      </w:tr>
      <w:tr w14:paraId="3838B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5F59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461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D71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A3B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19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90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3A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94C0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54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A00C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2598">
            <w:pPr>
              <w:jc w:val="center"/>
              <w:rPr>
                <w:rFonts w:hint="eastAsia" w:ascii="微软雅黑" w:hAnsi="微软雅黑" w:eastAsia="微软雅黑" w:cs="微软雅黑"/>
                <w:i/>
                <w:iCs/>
                <w:color w:val="000000"/>
                <w:sz w:val="16"/>
                <w:szCs w:val="16"/>
                <w:u w:val="none"/>
              </w:rPr>
            </w:pPr>
          </w:p>
        </w:tc>
      </w:tr>
      <w:tr w14:paraId="254C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FDE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BEB21">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E8172">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39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9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3A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2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B640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D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7A3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E9D4E">
            <w:pPr>
              <w:jc w:val="center"/>
              <w:rPr>
                <w:rFonts w:hint="eastAsia" w:ascii="微软雅黑" w:hAnsi="微软雅黑" w:eastAsia="微软雅黑" w:cs="微软雅黑"/>
                <w:i/>
                <w:iCs/>
                <w:color w:val="000000"/>
                <w:sz w:val="16"/>
                <w:szCs w:val="16"/>
                <w:u w:val="none"/>
              </w:rPr>
            </w:pPr>
          </w:p>
        </w:tc>
      </w:tr>
      <w:tr w14:paraId="01272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7A3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7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AB8F8">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0E008">
            <w:pPr>
              <w:rPr>
                <w:rFonts w:hint="eastAsia" w:ascii="宋体" w:hAnsi="宋体" w:eastAsia="宋体" w:cs="宋体"/>
                <w:i w:val="0"/>
                <w:iCs w:val="0"/>
                <w:color w:val="000000"/>
                <w:sz w:val="18"/>
                <w:szCs w:val="18"/>
                <w:u w:val="none"/>
              </w:rPr>
            </w:pPr>
          </w:p>
        </w:tc>
      </w:tr>
      <w:tr w14:paraId="7C23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1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8E5F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13EC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A1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97A4A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E44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2B1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1D4081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DC72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3CA317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7D0964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26B688D9">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283462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8FF01A5">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278A63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C9B720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27A1E13">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17CE08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A747D1C">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3CB45A6">
            <w:pPr>
              <w:rPr>
                <w:rFonts w:hint="eastAsia" w:ascii="宋体" w:hAnsi="宋体" w:eastAsia="宋体" w:cs="宋体"/>
                <w:i w:val="0"/>
                <w:iCs w:val="0"/>
                <w:color w:val="000000"/>
                <w:sz w:val="18"/>
                <w:szCs w:val="18"/>
                <w:u w:val="none"/>
              </w:rPr>
            </w:pPr>
          </w:p>
        </w:tc>
      </w:tr>
      <w:tr w14:paraId="69C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F0EF2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CC32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B1F6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1FA52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51320024T000010711845-国产电脑更新</w:t>
            </w:r>
          </w:p>
        </w:tc>
      </w:tr>
      <w:tr w14:paraId="21C2D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F80D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0E2E0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5DABF66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7CB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5D08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7E9B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4AB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FD4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A14D7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D090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C9AE2">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84A6E">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4809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CB49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按照相关规定进行国产电脑采购</w:t>
            </w:r>
          </w:p>
        </w:tc>
      </w:tr>
      <w:tr w14:paraId="5CEDA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363C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5CB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08DED2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按照相关规定进行国产电脑采购，同时进行国产电脑更新。</w:t>
            </w:r>
          </w:p>
        </w:tc>
      </w:tr>
      <w:tr w14:paraId="6A752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57CC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FB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3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F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D25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A0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E0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96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57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D4AF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DBF4D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7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E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3A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88C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73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FC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A8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AD7E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886C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A59D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214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C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DA4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ED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1.19</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B05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17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35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1B3A3">
            <w:pPr>
              <w:rPr>
                <w:rFonts w:hint="eastAsia" w:ascii="黑体" w:hAnsi="黑体" w:eastAsia="黑体" w:cs="黑体"/>
                <w:i/>
                <w:iCs/>
                <w:color w:val="000000"/>
                <w:sz w:val="18"/>
                <w:szCs w:val="18"/>
                <w:u w:val="none"/>
              </w:rPr>
            </w:pPr>
          </w:p>
        </w:tc>
      </w:tr>
      <w:tr w14:paraId="3E548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90CB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40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4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23A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1C8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C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DA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02C76">
            <w:pPr>
              <w:rPr>
                <w:rFonts w:hint="eastAsia" w:ascii="黑体" w:hAnsi="黑体" w:eastAsia="黑体" w:cs="黑体"/>
                <w:i/>
                <w:iCs/>
                <w:color w:val="000000"/>
                <w:sz w:val="18"/>
                <w:szCs w:val="18"/>
                <w:u w:val="none"/>
              </w:rPr>
            </w:pPr>
          </w:p>
        </w:tc>
      </w:tr>
      <w:tr w14:paraId="15F44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DF50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B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60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F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0C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29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DE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7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F4D08">
            <w:pPr>
              <w:rPr>
                <w:rFonts w:hint="eastAsia" w:ascii="黑体" w:hAnsi="黑体" w:eastAsia="黑体" w:cs="黑体"/>
                <w:i/>
                <w:iCs/>
                <w:color w:val="000000"/>
                <w:sz w:val="18"/>
                <w:szCs w:val="18"/>
                <w:u w:val="none"/>
              </w:rPr>
            </w:pPr>
          </w:p>
        </w:tc>
      </w:tr>
      <w:tr w14:paraId="0D303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9798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D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6A88">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09D8">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93EC90">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02F8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B9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FA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56122A">
            <w:pPr>
              <w:rPr>
                <w:rFonts w:hint="eastAsia" w:ascii="黑体" w:hAnsi="黑体" w:eastAsia="黑体" w:cs="黑体"/>
                <w:i/>
                <w:iCs/>
                <w:color w:val="000000"/>
                <w:sz w:val="18"/>
                <w:szCs w:val="18"/>
                <w:u w:val="none"/>
              </w:rPr>
            </w:pPr>
          </w:p>
        </w:tc>
      </w:tr>
      <w:tr w14:paraId="217F6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938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AB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FF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0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A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FA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AE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CCA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1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2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17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D219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AAA60">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2BD1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60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B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更新国产电脑数量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F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5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4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5B5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B6E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D6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8B80">
            <w:pPr>
              <w:jc w:val="center"/>
              <w:rPr>
                <w:rFonts w:hint="eastAsia" w:ascii="微软雅黑" w:hAnsi="微软雅黑" w:eastAsia="微软雅黑" w:cs="微软雅黑"/>
                <w:i/>
                <w:iCs/>
                <w:color w:val="000000"/>
                <w:sz w:val="16"/>
                <w:szCs w:val="16"/>
                <w:u w:val="none"/>
              </w:rPr>
            </w:pPr>
          </w:p>
        </w:tc>
      </w:tr>
      <w:tr w14:paraId="61F15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20649">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AA478">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25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7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F3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2D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1D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DC4B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65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DF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DF79">
            <w:pPr>
              <w:jc w:val="center"/>
              <w:rPr>
                <w:rFonts w:hint="eastAsia" w:ascii="微软雅黑" w:hAnsi="微软雅黑" w:eastAsia="微软雅黑" w:cs="微软雅黑"/>
                <w:i/>
                <w:iCs/>
                <w:color w:val="000000"/>
                <w:sz w:val="16"/>
                <w:szCs w:val="16"/>
                <w:u w:val="none"/>
              </w:rPr>
            </w:pPr>
          </w:p>
        </w:tc>
      </w:tr>
      <w:tr w14:paraId="3D3E5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BD16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828E">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2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7AF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将于2024年11月底前完成高项目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52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56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D976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31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4C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CB6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48A9">
            <w:pPr>
              <w:jc w:val="center"/>
              <w:rPr>
                <w:rFonts w:hint="eastAsia" w:ascii="微软雅黑" w:hAnsi="微软雅黑" w:eastAsia="微软雅黑" w:cs="微软雅黑"/>
                <w:i/>
                <w:iCs/>
                <w:color w:val="000000"/>
                <w:sz w:val="16"/>
                <w:szCs w:val="16"/>
                <w:u w:val="none"/>
              </w:rPr>
            </w:pPr>
          </w:p>
        </w:tc>
      </w:tr>
      <w:tr w14:paraId="01652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D81D9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1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37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B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国产电脑更新，促进办公设备的使用效率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36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A0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66B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1FE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有效促进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943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1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99FB1">
            <w:pPr>
              <w:jc w:val="center"/>
              <w:rPr>
                <w:rFonts w:hint="eastAsia" w:ascii="微软雅黑" w:hAnsi="微软雅黑" w:eastAsia="微软雅黑" w:cs="微软雅黑"/>
                <w:i/>
                <w:iCs/>
                <w:color w:val="000000"/>
                <w:sz w:val="16"/>
                <w:szCs w:val="16"/>
                <w:u w:val="none"/>
              </w:rPr>
            </w:pPr>
          </w:p>
        </w:tc>
      </w:tr>
      <w:tr w14:paraId="3E36C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AE038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95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2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8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使用国产电脑职工满意度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B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3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A1C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23A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C4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F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30311">
            <w:pPr>
              <w:jc w:val="center"/>
              <w:rPr>
                <w:rFonts w:hint="eastAsia" w:ascii="微软雅黑" w:hAnsi="微软雅黑" w:eastAsia="微软雅黑" w:cs="微软雅黑"/>
                <w:i/>
                <w:iCs/>
                <w:color w:val="000000"/>
                <w:sz w:val="16"/>
                <w:szCs w:val="16"/>
                <w:u w:val="none"/>
              </w:rPr>
            </w:pPr>
          </w:p>
        </w:tc>
      </w:tr>
      <w:tr w14:paraId="1A4EC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30A54">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EE3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EA4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FD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BD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9D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5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8DC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3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7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23E3">
            <w:pPr>
              <w:jc w:val="center"/>
              <w:rPr>
                <w:rFonts w:hint="eastAsia" w:ascii="微软雅黑" w:hAnsi="微软雅黑" w:eastAsia="微软雅黑" w:cs="微软雅黑"/>
                <w:i/>
                <w:iCs/>
                <w:color w:val="000000"/>
                <w:sz w:val="16"/>
                <w:szCs w:val="16"/>
                <w:u w:val="none"/>
              </w:rPr>
            </w:pPr>
          </w:p>
        </w:tc>
      </w:tr>
      <w:tr w14:paraId="5EC7D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14365">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B60CC3">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E7E9C">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1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办公设备购置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D4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D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DB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C1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1.19</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5A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A6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35D5E">
            <w:pPr>
              <w:jc w:val="center"/>
              <w:rPr>
                <w:rFonts w:hint="eastAsia" w:ascii="微软雅黑" w:hAnsi="微软雅黑" w:eastAsia="微软雅黑" w:cs="微软雅黑"/>
                <w:i/>
                <w:iCs/>
                <w:color w:val="000000"/>
                <w:sz w:val="16"/>
                <w:szCs w:val="16"/>
                <w:u w:val="none"/>
              </w:rPr>
            </w:pPr>
          </w:p>
        </w:tc>
      </w:tr>
      <w:tr w14:paraId="40593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4C264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E0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77EDA">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13AE">
            <w:pPr>
              <w:rPr>
                <w:rFonts w:hint="eastAsia" w:ascii="宋体" w:hAnsi="宋体" w:eastAsia="宋体" w:cs="宋体"/>
                <w:i w:val="0"/>
                <w:iCs w:val="0"/>
                <w:color w:val="000000"/>
                <w:sz w:val="18"/>
                <w:szCs w:val="18"/>
                <w:u w:val="none"/>
              </w:rPr>
            </w:pPr>
          </w:p>
        </w:tc>
      </w:tr>
      <w:tr w14:paraId="38765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5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8EA0B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4454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6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944F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CEDC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89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3F2BC4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4A6B3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0ED09EC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12D7D3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10EBF0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3C55926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E7C3A6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47C2AECE">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DE99064">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FFB58D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061763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2B3BFC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7A718C6">
            <w:pPr>
              <w:rPr>
                <w:rFonts w:hint="eastAsia" w:ascii="宋体" w:hAnsi="宋体" w:eastAsia="宋体" w:cs="宋体"/>
                <w:i w:val="0"/>
                <w:iCs w:val="0"/>
                <w:color w:val="000000"/>
                <w:sz w:val="18"/>
                <w:szCs w:val="18"/>
                <w:u w:val="none"/>
              </w:rPr>
            </w:pPr>
          </w:p>
        </w:tc>
      </w:tr>
      <w:tr w14:paraId="72889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91E32D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054DB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3CB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AC4E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51320024T000010911116-人事考试考务专项经费</w:t>
            </w:r>
          </w:p>
        </w:tc>
      </w:tr>
      <w:tr w14:paraId="66450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B2C5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F84E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6879E9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BD6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754C7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B539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AD7C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B1D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15BD5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BE7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033DCF">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D17D9">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5115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一、人事考试费用</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依据《四川省人事考试考务费支出管理暂行办法》（川人社厅办〔2017〕32号）、《阿坝州人力资源和社会保障局人事考试等劳务费支出标准》（阿州人社办〔2017〕220号）所规定标准，按省厅对人事考试预防高科技作弊，增加技防安保设备要求和投入预计参考人数进行预测。服务国家经济社会发展和人才队伍建设，把确保考试安全作为人事考试的首要任务,做好全年的职称资格考试、公务员录用考试、事业单位招聘考试、社会化考试、证书发放等工作，防范化解人事考试安全风险。</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二、公开考试招聘事业单位工作人员和“9+3”毕业生考试经费：40万元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1.将分上半年、下半年2次发布年度公开考试招聘事业单位工作人员的公告，按照相关要求，州人力资源社会保障局承担了此项工作的报名、资格审查、笔试、面试、体检和考核等管理工作，预计报考者超过2万人，考试报名平台网络租金、试卷往返运送费、考场租金、考务用品购买费、监考老师及工作人员考务费和资格审查、面试考务费以及聘用合同印刷费等费用合计需要25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将面向应届“9+3”毕业生、“9+3”退役士兵发布年度公开考试招聘“9+3”人员的公告，按照相关要求，州人力资源社会保障局承担了此项工作的报名、资格审查、笔试、面试、体检和考核等管理工作，预计报考者在1000人左右，考试试卷往返运送费、考场租金、考务用品购买费、监考老师及工作人员考务费和资格审查、面试考务费、考生体检费以及聘用合同印刷费等费用合计需要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3、绩效论证：通过公开考试招聘为全州事业单位补充工作人员，促进各项社会事业发展。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三、事业单位到高校直接考核招聘紧缺专业技术人员工作经费：15万元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1、 测算依据：将分上半年、下半年2次发布年度事业单位到高校直接考核招聘紧缺专业技术人员的公告，按照相关要求，州人力资源社会保障局承担了此项工作的现场组织报名、资格审查、面试、体检和考核等管理工作，由于在异地组织这项工作，且参加此项工作的州、县工作人员较多，分布在多个院校开展工作。招聘场地布置、考场租金、考务用品购买费、监考老师及工作人员考务费、差旅费以及新招聘人员聘用合同印刷费等费用合计需要15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2、绩效论证：通过公开考核招聘为全州事业单位补充紧缺专业技术人员，促进各项社会事业发展。</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四、从县（市）或者州外考试调动管理人员和专业技术人员工作经费：10万元</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五、剩余为其他职称类考试工作经费等。</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1CA4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A91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D4F8D">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99B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D41F42">
            <w:pPr>
              <w:rPr>
                <w:rFonts w:hint="eastAsia" w:ascii="宋体" w:hAnsi="宋体" w:eastAsia="宋体" w:cs="宋体"/>
                <w:i w:val="0"/>
                <w:iCs w:val="0"/>
                <w:color w:val="000000"/>
                <w:sz w:val="18"/>
                <w:szCs w:val="18"/>
                <w:u w:val="none"/>
              </w:rPr>
            </w:pPr>
          </w:p>
        </w:tc>
      </w:tr>
      <w:tr w14:paraId="2C568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AE3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EFA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2D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9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4A49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25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0EF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B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E6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2B4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05FB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53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1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E6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24B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C5E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4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3155">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1EC8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B23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525D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3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C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6A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010F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299.95</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42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B09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2D2047">
            <w:pPr>
              <w:rPr>
                <w:rFonts w:hint="eastAsia" w:ascii="黑体" w:hAnsi="黑体" w:eastAsia="黑体" w:cs="黑体"/>
                <w:i/>
                <w:iCs/>
                <w:color w:val="000000"/>
                <w:sz w:val="18"/>
                <w:szCs w:val="18"/>
                <w:u w:val="none"/>
              </w:rPr>
            </w:pPr>
          </w:p>
        </w:tc>
      </w:tr>
      <w:tr w14:paraId="6B05D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D419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1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01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B8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130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6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10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4F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BE13C">
            <w:pPr>
              <w:rPr>
                <w:rFonts w:hint="eastAsia" w:ascii="黑体" w:hAnsi="黑体" w:eastAsia="黑体" w:cs="黑体"/>
                <w:i/>
                <w:iCs/>
                <w:color w:val="000000"/>
                <w:sz w:val="18"/>
                <w:szCs w:val="18"/>
                <w:u w:val="none"/>
              </w:rPr>
            </w:pPr>
          </w:p>
        </w:tc>
      </w:tr>
      <w:tr w14:paraId="52476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FB8C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854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594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DF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76B5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1B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D5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8F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309AA">
            <w:pPr>
              <w:rPr>
                <w:rFonts w:hint="eastAsia" w:ascii="黑体" w:hAnsi="黑体" w:eastAsia="黑体" w:cs="黑体"/>
                <w:i/>
                <w:iCs/>
                <w:color w:val="000000"/>
                <w:sz w:val="18"/>
                <w:szCs w:val="18"/>
                <w:u w:val="none"/>
              </w:rPr>
            </w:pPr>
          </w:p>
        </w:tc>
      </w:tr>
      <w:tr w14:paraId="262DF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80C1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6E8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45B7">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ADCA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82B66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AC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7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9E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AD710">
            <w:pPr>
              <w:rPr>
                <w:rFonts w:hint="eastAsia" w:ascii="黑体" w:hAnsi="黑体" w:eastAsia="黑体" w:cs="黑体"/>
                <w:i/>
                <w:iCs/>
                <w:color w:val="000000"/>
                <w:sz w:val="18"/>
                <w:szCs w:val="18"/>
                <w:u w:val="none"/>
              </w:rPr>
            </w:pPr>
          </w:p>
        </w:tc>
      </w:tr>
      <w:tr w14:paraId="21026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33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0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B11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14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3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24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2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8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7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63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2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0F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832F73">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C7A6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C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5D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85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4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4A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BF7D">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0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02B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7C35">
            <w:pPr>
              <w:jc w:val="center"/>
              <w:rPr>
                <w:rFonts w:hint="eastAsia" w:ascii="微软雅黑" w:hAnsi="微软雅黑" w:eastAsia="微软雅黑" w:cs="微软雅黑"/>
                <w:i/>
                <w:iCs/>
                <w:color w:val="000000"/>
                <w:sz w:val="16"/>
                <w:szCs w:val="16"/>
                <w:u w:val="none"/>
              </w:rPr>
            </w:pPr>
          </w:p>
        </w:tc>
      </w:tr>
      <w:tr w14:paraId="1319C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E600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90F3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F6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03A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参考考生达到率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0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217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1A7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506C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C7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3E93">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CB4CF">
            <w:pPr>
              <w:jc w:val="center"/>
              <w:rPr>
                <w:rFonts w:hint="eastAsia" w:ascii="微软雅黑" w:hAnsi="微软雅黑" w:eastAsia="微软雅黑" w:cs="微软雅黑"/>
                <w:i/>
                <w:iCs/>
                <w:color w:val="000000"/>
                <w:sz w:val="16"/>
                <w:szCs w:val="16"/>
                <w:u w:val="none"/>
              </w:rPr>
            </w:pPr>
          </w:p>
        </w:tc>
      </w:tr>
      <w:tr w14:paraId="52D2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83456">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6987D">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D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C7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考务工作完成时间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EA1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640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FCC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53F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0D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488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C3C5">
            <w:pPr>
              <w:jc w:val="center"/>
              <w:rPr>
                <w:rFonts w:hint="eastAsia" w:ascii="微软雅黑" w:hAnsi="微软雅黑" w:eastAsia="微软雅黑" w:cs="微软雅黑"/>
                <w:i/>
                <w:iCs/>
                <w:color w:val="000000"/>
                <w:sz w:val="16"/>
                <w:szCs w:val="16"/>
                <w:u w:val="none"/>
              </w:rPr>
            </w:pPr>
          </w:p>
        </w:tc>
      </w:tr>
      <w:tr w14:paraId="43271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D4E2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822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61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6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服务国家经济社会发展和人才队伍建设，确保考试安全，防范化解人事考试安全风险。</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6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3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E2FB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7CD4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54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B7C44">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0F3D">
            <w:pPr>
              <w:jc w:val="center"/>
              <w:rPr>
                <w:rFonts w:hint="eastAsia" w:ascii="微软雅黑" w:hAnsi="微软雅黑" w:eastAsia="微软雅黑" w:cs="微软雅黑"/>
                <w:i/>
                <w:iCs/>
                <w:color w:val="000000"/>
                <w:sz w:val="16"/>
                <w:szCs w:val="16"/>
                <w:u w:val="none"/>
              </w:rPr>
            </w:pPr>
          </w:p>
        </w:tc>
      </w:tr>
      <w:tr w14:paraId="31F8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72D7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C8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09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62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参考考生满意度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A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E5D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3B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75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DF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2E1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6CB6D">
            <w:pPr>
              <w:jc w:val="center"/>
              <w:rPr>
                <w:rFonts w:hint="eastAsia" w:ascii="微软雅黑" w:hAnsi="微软雅黑" w:eastAsia="微软雅黑" w:cs="微软雅黑"/>
                <w:i/>
                <w:iCs/>
                <w:color w:val="000000"/>
                <w:sz w:val="16"/>
                <w:szCs w:val="16"/>
                <w:u w:val="none"/>
              </w:rPr>
            </w:pPr>
          </w:p>
        </w:tc>
      </w:tr>
      <w:tr w14:paraId="1C594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9E7DC">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4F1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AE7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84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05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A36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94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F909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6C2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E923">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12152">
            <w:pPr>
              <w:jc w:val="center"/>
              <w:rPr>
                <w:rFonts w:hint="eastAsia" w:ascii="微软雅黑" w:hAnsi="微软雅黑" w:eastAsia="微软雅黑" w:cs="微软雅黑"/>
                <w:i/>
                <w:iCs/>
                <w:color w:val="000000"/>
                <w:sz w:val="16"/>
                <w:szCs w:val="16"/>
                <w:u w:val="none"/>
              </w:rPr>
            </w:pPr>
          </w:p>
        </w:tc>
      </w:tr>
      <w:tr w14:paraId="3085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29C8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F71D2">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D3C57">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CCD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27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3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39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41A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B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367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39EEF">
            <w:pPr>
              <w:jc w:val="center"/>
              <w:rPr>
                <w:rFonts w:hint="eastAsia" w:ascii="微软雅黑" w:hAnsi="微软雅黑" w:eastAsia="微软雅黑" w:cs="微软雅黑"/>
                <w:i/>
                <w:iCs/>
                <w:color w:val="000000"/>
                <w:sz w:val="16"/>
                <w:szCs w:val="16"/>
                <w:u w:val="none"/>
              </w:rPr>
            </w:pPr>
          </w:p>
        </w:tc>
      </w:tr>
      <w:tr w14:paraId="67951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4357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27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1FC0">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856F">
            <w:pPr>
              <w:rPr>
                <w:rFonts w:hint="eastAsia" w:ascii="宋体" w:hAnsi="宋体" w:eastAsia="宋体" w:cs="宋体"/>
                <w:i w:val="0"/>
                <w:iCs w:val="0"/>
                <w:color w:val="000000"/>
                <w:sz w:val="18"/>
                <w:szCs w:val="18"/>
                <w:u w:val="none"/>
              </w:rPr>
            </w:pPr>
          </w:p>
        </w:tc>
      </w:tr>
      <w:tr w14:paraId="03B08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51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3C1D7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5FE2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F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8D877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38B8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9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A81871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3E98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B963AE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D1B6CE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5351E8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46B477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F74340C">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7C15B7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284F787">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7CA1AD6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8BEEE91">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03BE8FC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ADE9ACE">
            <w:pPr>
              <w:rPr>
                <w:rFonts w:hint="eastAsia" w:ascii="宋体" w:hAnsi="宋体" w:eastAsia="宋体" w:cs="宋体"/>
                <w:i w:val="0"/>
                <w:iCs w:val="0"/>
                <w:color w:val="000000"/>
                <w:sz w:val="18"/>
                <w:szCs w:val="18"/>
                <w:u w:val="none"/>
              </w:rPr>
            </w:pPr>
          </w:p>
        </w:tc>
      </w:tr>
      <w:tr w14:paraId="590AD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D81F9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F0D2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6A0AB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9374A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51320024T000010913375-工资福利调研专项经费</w:t>
            </w:r>
          </w:p>
        </w:tc>
      </w:tr>
      <w:tr w14:paraId="71939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A3C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2E27C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912406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051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37BC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638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FEA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F1A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E1E88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B630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A5366E">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31A056">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B99E2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1、组织全州从事工资福利与表彰奖励工作的经办人员进行业务培训。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2、加强工资管理信息化建设相关培训。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3、开展工资福利与表彰奖励相关工作调研。</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E4A8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 xml:space="preserve">1、组织全州从事工资福利与表彰奖励工作的经办人员进行业务培训。 </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 xml:space="preserve"> 2、加强工资管理信息化建设相关培训。                                                                       </w:t>
            </w:r>
            <w:r>
              <w:rPr>
                <w:rFonts w:hint="eastAsia" w:ascii="黑体" w:hAnsi="黑体" w:eastAsia="黑体" w:cs="黑体"/>
                <w:i w:val="0"/>
                <w:iCs w:val="0"/>
                <w:color w:val="000000"/>
                <w:kern w:val="0"/>
                <w:sz w:val="18"/>
                <w:szCs w:val="18"/>
                <w:u w:val="none"/>
                <w:lang w:val="en-US" w:eastAsia="zh-CN" w:bidi="ar"/>
              </w:rPr>
              <w:br w:type="textWrapping"/>
            </w:r>
            <w:r>
              <w:rPr>
                <w:rFonts w:hint="eastAsia" w:ascii="黑体" w:hAnsi="黑体" w:eastAsia="黑体" w:cs="黑体"/>
                <w:i w:val="0"/>
                <w:iCs w:val="0"/>
                <w:color w:val="000000"/>
                <w:kern w:val="0"/>
                <w:sz w:val="18"/>
                <w:szCs w:val="18"/>
                <w:u w:val="none"/>
                <w:lang w:val="en-US" w:eastAsia="zh-CN" w:bidi="ar"/>
              </w:rPr>
              <w:t>3、开展工资福利与表彰奖励相关工作调研。</w:t>
            </w:r>
          </w:p>
        </w:tc>
      </w:tr>
      <w:tr w14:paraId="34387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6F5C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F8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6F51A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1、组织全州从事工资福利与表彰奖励工作的经办人员进行业务培训。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 xml:space="preserve"> 2、加强工资管理信息化建设相关培训。                                                                       </w:t>
            </w:r>
            <w:r>
              <w:rPr>
                <w:rFonts w:ascii="宋体" w:hAnsi="宋体" w:eastAsia="宋体" w:cs="宋体"/>
                <w:i w:val="0"/>
                <w:iCs w:val="0"/>
                <w:color w:val="000000"/>
                <w:kern w:val="0"/>
                <w:sz w:val="18"/>
                <w:szCs w:val="18"/>
                <w:u w:val="none"/>
                <w:lang w:val="en-US" w:eastAsia="zh-CN" w:bidi="ar"/>
              </w:rPr>
              <w:br w:type="textWrapping"/>
            </w:r>
            <w:r>
              <w:rPr>
                <w:rFonts w:ascii="宋体" w:hAnsi="宋体" w:eastAsia="宋体" w:cs="宋体"/>
                <w:i w:val="0"/>
                <w:iCs w:val="0"/>
                <w:color w:val="000000"/>
                <w:kern w:val="0"/>
                <w:sz w:val="18"/>
                <w:szCs w:val="18"/>
                <w:u w:val="none"/>
                <w:lang w:val="en-US" w:eastAsia="zh-CN" w:bidi="ar"/>
              </w:rPr>
              <w:t>3、开展工资福利与表彰奖励相关工作调研。</w:t>
            </w:r>
          </w:p>
        </w:tc>
      </w:tr>
      <w:tr w14:paraId="66C0D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2CC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9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43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C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ADBD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E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7D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784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3D6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2E5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8885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99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E5A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8CD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AC4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8B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1A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3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F39B8">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A52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783A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E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68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19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FFE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D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CA0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5D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FBCAA">
            <w:pPr>
              <w:rPr>
                <w:rFonts w:hint="eastAsia" w:ascii="黑体" w:hAnsi="黑体" w:eastAsia="黑体" w:cs="黑体"/>
                <w:i/>
                <w:iCs/>
                <w:color w:val="000000"/>
                <w:sz w:val="18"/>
                <w:szCs w:val="18"/>
                <w:u w:val="none"/>
              </w:rPr>
            </w:pPr>
          </w:p>
        </w:tc>
      </w:tr>
      <w:tr w14:paraId="2CC63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0D78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AB1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EA4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6A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1306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CF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24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44E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49EF96">
            <w:pPr>
              <w:rPr>
                <w:rFonts w:hint="eastAsia" w:ascii="黑体" w:hAnsi="黑体" w:eastAsia="黑体" w:cs="黑体"/>
                <w:i/>
                <w:iCs/>
                <w:color w:val="000000"/>
                <w:sz w:val="18"/>
                <w:szCs w:val="18"/>
                <w:u w:val="none"/>
              </w:rPr>
            </w:pPr>
          </w:p>
        </w:tc>
      </w:tr>
      <w:tr w14:paraId="255B0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124C8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C5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F5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45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7D7E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5D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56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D3C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FF9B">
            <w:pPr>
              <w:rPr>
                <w:rFonts w:hint="eastAsia" w:ascii="黑体" w:hAnsi="黑体" w:eastAsia="黑体" w:cs="黑体"/>
                <w:i/>
                <w:iCs/>
                <w:color w:val="000000"/>
                <w:sz w:val="18"/>
                <w:szCs w:val="18"/>
                <w:u w:val="none"/>
              </w:rPr>
            </w:pPr>
          </w:p>
        </w:tc>
      </w:tr>
      <w:tr w14:paraId="0C9F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D9A0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A1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AB4C">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38833">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51FAD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CC3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336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74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C65B9">
            <w:pPr>
              <w:rPr>
                <w:rFonts w:hint="eastAsia" w:ascii="黑体" w:hAnsi="黑体" w:eastAsia="黑体" w:cs="黑体"/>
                <w:i/>
                <w:iCs/>
                <w:color w:val="000000"/>
                <w:sz w:val="18"/>
                <w:szCs w:val="18"/>
                <w:u w:val="none"/>
              </w:rPr>
            </w:pPr>
          </w:p>
        </w:tc>
      </w:tr>
      <w:tr w14:paraId="24389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3E2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621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C7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3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6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F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6F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9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7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1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28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1118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A7E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CA72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3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B6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22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E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7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D617">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28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E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B2AB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本年度未组织相关培训</w:t>
            </w:r>
          </w:p>
        </w:tc>
      </w:tr>
      <w:tr w14:paraId="616A5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4204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9356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2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D6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4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86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C7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2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E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C8A20">
            <w:pPr>
              <w:jc w:val="center"/>
              <w:rPr>
                <w:rFonts w:hint="eastAsia" w:ascii="微软雅黑" w:hAnsi="微软雅黑" w:eastAsia="微软雅黑" w:cs="微软雅黑"/>
                <w:i/>
                <w:iCs/>
                <w:color w:val="000000"/>
                <w:sz w:val="16"/>
                <w:szCs w:val="16"/>
                <w:u w:val="none"/>
              </w:rPr>
            </w:pPr>
          </w:p>
        </w:tc>
      </w:tr>
      <w:tr w14:paraId="7028C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C0A2D">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9F2E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27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90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CF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A0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21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03F9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3A9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6F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064B0">
            <w:pPr>
              <w:jc w:val="center"/>
              <w:rPr>
                <w:rFonts w:hint="eastAsia" w:ascii="微软雅黑" w:hAnsi="微软雅黑" w:eastAsia="微软雅黑" w:cs="微软雅黑"/>
                <w:i/>
                <w:iCs/>
                <w:color w:val="000000"/>
                <w:sz w:val="16"/>
                <w:szCs w:val="16"/>
                <w:u w:val="none"/>
              </w:rPr>
            </w:pPr>
          </w:p>
        </w:tc>
      </w:tr>
      <w:tr w14:paraId="07370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A33E2">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B5B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C7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80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参训人员业务能力进一步提高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0B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A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7097">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A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持续提升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4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9B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F0319">
            <w:pPr>
              <w:jc w:val="center"/>
              <w:rPr>
                <w:rFonts w:hint="eastAsia" w:ascii="微软雅黑" w:hAnsi="微软雅黑" w:eastAsia="微软雅黑" w:cs="微软雅黑"/>
                <w:i/>
                <w:iCs/>
                <w:color w:val="000000"/>
                <w:sz w:val="16"/>
                <w:szCs w:val="16"/>
                <w:u w:val="none"/>
              </w:rPr>
            </w:pPr>
          </w:p>
        </w:tc>
      </w:tr>
      <w:tr w14:paraId="75905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9B82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1947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871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9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为下一步推进相关工作奠定基础</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0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4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026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CC6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有效推进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50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3B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B48B">
            <w:pPr>
              <w:jc w:val="center"/>
              <w:rPr>
                <w:rFonts w:hint="eastAsia" w:ascii="微软雅黑" w:hAnsi="微软雅黑" w:eastAsia="微软雅黑" w:cs="微软雅黑"/>
                <w:i/>
                <w:iCs/>
                <w:color w:val="000000"/>
                <w:sz w:val="16"/>
                <w:szCs w:val="16"/>
                <w:u w:val="none"/>
              </w:rPr>
            </w:pPr>
          </w:p>
        </w:tc>
      </w:tr>
      <w:tr w14:paraId="4F510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5A7C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E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F4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E8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培训人员和调研工作的满意度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3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0F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E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B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8BF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6D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F762">
            <w:pPr>
              <w:jc w:val="center"/>
              <w:rPr>
                <w:rFonts w:hint="eastAsia" w:ascii="微软雅黑" w:hAnsi="微软雅黑" w:eastAsia="微软雅黑" w:cs="微软雅黑"/>
                <w:i/>
                <w:iCs/>
                <w:color w:val="000000"/>
                <w:sz w:val="16"/>
                <w:szCs w:val="16"/>
                <w:u w:val="none"/>
              </w:rPr>
            </w:pPr>
          </w:p>
        </w:tc>
      </w:tr>
      <w:tr w14:paraId="11B4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8626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72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6FD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5EE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D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6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01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CCF0">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2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32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426CF">
            <w:pPr>
              <w:jc w:val="center"/>
              <w:rPr>
                <w:rFonts w:hint="eastAsia" w:ascii="微软雅黑" w:hAnsi="微软雅黑" w:eastAsia="微软雅黑" w:cs="微软雅黑"/>
                <w:i/>
                <w:iCs/>
                <w:color w:val="000000"/>
                <w:sz w:val="16"/>
                <w:szCs w:val="16"/>
                <w:u w:val="none"/>
              </w:rPr>
            </w:pPr>
          </w:p>
        </w:tc>
      </w:tr>
      <w:tr w14:paraId="343D2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234A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3D878">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ABEF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2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A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E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6D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1BA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7A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685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70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本年度调研次数增加</w:t>
            </w:r>
          </w:p>
        </w:tc>
      </w:tr>
      <w:tr w14:paraId="1CF87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2226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589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29FE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83</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446D3">
            <w:pPr>
              <w:rPr>
                <w:rFonts w:hint="eastAsia" w:ascii="宋体" w:hAnsi="宋体" w:eastAsia="宋体" w:cs="宋体"/>
                <w:i w:val="0"/>
                <w:iCs w:val="0"/>
                <w:color w:val="000000"/>
                <w:sz w:val="18"/>
                <w:szCs w:val="18"/>
                <w:u w:val="none"/>
              </w:rPr>
            </w:pPr>
          </w:p>
        </w:tc>
      </w:tr>
      <w:tr w14:paraId="76CAD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7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3F1420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769FB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A1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0F558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本年度调研工作次数增多导致差旅费增加，未及时对绩效目标进行调整。</w:t>
            </w:r>
          </w:p>
        </w:tc>
      </w:tr>
      <w:tr w14:paraId="4EC97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66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081BB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在今后工作中及时对绩效目标进行调整修改。</w:t>
            </w:r>
          </w:p>
        </w:tc>
      </w:tr>
      <w:tr w14:paraId="5237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3D79A43B">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387CD0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7FF2199">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422E11">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74442B3B">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0E8B7B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67337C6">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5BC84FC">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1F034A3">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5C38693">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3D193551">
            <w:pPr>
              <w:rPr>
                <w:rFonts w:hint="eastAsia" w:ascii="宋体" w:hAnsi="宋体" w:eastAsia="宋体" w:cs="宋体"/>
                <w:i w:val="0"/>
                <w:iCs w:val="0"/>
                <w:color w:val="000000"/>
                <w:sz w:val="18"/>
                <w:szCs w:val="18"/>
                <w:u w:val="none"/>
              </w:rPr>
            </w:pPr>
          </w:p>
        </w:tc>
      </w:tr>
      <w:tr w14:paraId="318F9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F1BD10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1F86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4E6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5282AD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51320024T000010916000-企业薪酬调查和信息发布专项经费</w:t>
            </w:r>
          </w:p>
        </w:tc>
      </w:tr>
      <w:tr w14:paraId="23C6A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E26A8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79940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45A5F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381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2E63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9F87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D39C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8B5A6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AC9B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7FBF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AB13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3A9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CE844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企业调查人员按要求填报数据，聘请的第三方机构对调查人员进行全面指导并分析调查数据制作工资指导价位和行业人工成本信息报告.                                                                                                                 2.按照阿坝州人力资源和社会保障局等4部门关于印发《阿坝州劳动关系“和谐同行”能力提升三年行动计划实施方案》的通知要求，力争3年全州大多数大中型企业配备至少1名劳动关系协调员。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6F904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完成117户企业薪酬调查，发布年度分析报告，提升劳动力市场资源配置效率。实际完成117户企业数据采集，报告按时发布，但分析报告延迟1周发布。</w:t>
            </w:r>
          </w:p>
        </w:tc>
      </w:tr>
      <w:tr w14:paraId="7090E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2EEF8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E9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EE53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据《人力资源社会保障部关于建立企业薪酬调查和信息发布制度的通知》及四川省人社厅工作要求，自2020年起全面建立省、市企业薪酬调查体系。2024年延续该项目，向参与调查企业发放劳务补助，委托第三方机构完成数据监测与分析，覆盖制造业等重点行业。</w:t>
            </w:r>
          </w:p>
        </w:tc>
      </w:tr>
      <w:tr w14:paraId="4CB12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4C98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8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2F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EF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253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A4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02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93A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544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4D0D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6F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F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D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E04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ED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3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33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D245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7EA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DE81A">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2C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C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0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708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7.32</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F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0D1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46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2E3F8">
            <w:pPr>
              <w:rPr>
                <w:rFonts w:hint="eastAsia" w:ascii="黑体" w:hAnsi="黑体" w:eastAsia="黑体" w:cs="黑体"/>
                <w:i/>
                <w:iCs/>
                <w:color w:val="000000"/>
                <w:sz w:val="18"/>
                <w:szCs w:val="18"/>
                <w:u w:val="none"/>
              </w:rPr>
            </w:pPr>
          </w:p>
        </w:tc>
      </w:tr>
      <w:tr w14:paraId="0BEE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C3A8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8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E6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C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6065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9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0F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0B5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6E9E4">
            <w:pPr>
              <w:rPr>
                <w:rFonts w:hint="eastAsia" w:ascii="黑体" w:hAnsi="黑体" w:eastAsia="黑体" w:cs="黑体"/>
                <w:i/>
                <w:iCs/>
                <w:color w:val="000000"/>
                <w:sz w:val="18"/>
                <w:szCs w:val="18"/>
                <w:u w:val="none"/>
              </w:rPr>
            </w:pPr>
          </w:p>
        </w:tc>
      </w:tr>
      <w:tr w14:paraId="15A0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4EA5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28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4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3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64A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A7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6C8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00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42B4">
            <w:pPr>
              <w:rPr>
                <w:rFonts w:hint="eastAsia" w:ascii="黑体" w:hAnsi="黑体" w:eastAsia="黑体" w:cs="黑体"/>
                <w:i/>
                <w:iCs/>
                <w:color w:val="000000"/>
                <w:sz w:val="18"/>
                <w:szCs w:val="18"/>
                <w:u w:val="none"/>
              </w:rPr>
            </w:pPr>
          </w:p>
        </w:tc>
      </w:tr>
      <w:tr w14:paraId="5F6AC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34CE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95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9EE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5954D">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F94E0A">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D08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CE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9A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C5396">
            <w:pPr>
              <w:rPr>
                <w:rFonts w:hint="eastAsia" w:ascii="黑体" w:hAnsi="黑体" w:eastAsia="黑体" w:cs="黑体"/>
                <w:i/>
                <w:iCs/>
                <w:color w:val="000000"/>
                <w:sz w:val="18"/>
                <w:szCs w:val="18"/>
                <w:u w:val="none"/>
              </w:rPr>
            </w:pPr>
          </w:p>
        </w:tc>
      </w:tr>
      <w:tr w14:paraId="3A58E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F7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0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3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6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E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4F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2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6E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4A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9E4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67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3D5A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C292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8B0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3E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72A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参与调查的企业数量</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27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C0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5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E53B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123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12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1B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02F90">
            <w:pPr>
              <w:jc w:val="center"/>
              <w:rPr>
                <w:rFonts w:hint="eastAsia" w:ascii="微软雅黑" w:hAnsi="微软雅黑" w:eastAsia="微软雅黑" w:cs="微软雅黑"/>
                <w:i/>
                <w:iCs/>
                <w:color w:val="000000"/>
                <w:sz w:val="16"/>
                <w:szCs w:val="16"/>
                <w:u w:val="none"/>
              </w:rPr>
            </w:pPr>
          </w:p>
        </w:tc>
      </w:tr>
      <w:tr w14:paraId="1662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5969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21AF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24D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B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符合薪酬调查合同条款</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DA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31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较为符合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5A2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CE7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符合</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4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D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9FA4">
            <w:pPr>
              <w:jc w:val="center"/>
              <w:rPr>
                <w:rFonts w:hint="eastAsia" w:ascii="微软雅黑" w:hAnsi="微软雅黑" w:eastAsia="微软雅黑" w:cs="微软雅黑"/>
                <w:i/>
                <w:iCs/>
                <w:color w:val="000000"/>
                <w:sz w:val="16"/>
                <w:szCs w:val="16"/>
                <w:u w:val="none"/>
              </w:rPr>
            </w:pPr>
          </w:p>
        </w:tc>
      </w:tr>
      <w:tr w14:paraId="2E86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BFC6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9F7D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738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61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按照省人社厅通知时间完成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41A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8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1FFA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58C2">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34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95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F7C9">
            <w:pPr>
              <w:jc w:val="center"/>
              <w:rPr>
                <w:rFonts w:hint="eastAsia" w:ascii="微软雅黑" w:hAnsi="微软雅黑" w:eastAsia="微软雅黑" w:cs="微软雅黑"/>
                <w:i/>
                <w:iCs/>
                <w:color w:val="000000"/>
                <w:sz w:val="16"/>
                <w:szCs w:val="16"/>
                <w:u w:val="none"/>
              </w:rPr>
            </w:pPr>
          </w:p>
        </w:tc>
      </w:tr>
      <w:tr w14:paraId="6F6D1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B89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74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6DF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指导企业合理确定职工工资水平，减少资源的浪费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7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9F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积极推进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7D8F">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93B2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积极推进</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D0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30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DC178">
            <w:pPr>
              <w:jc w:val="center"/>
              <w:rPr>
                <w:rFonts w:hint="eastAsia" w:ascii="微软雅黑" w:hAnsi="微软雅黑" w:eastAsia="微软雅黑" w:cs="微软雅黑"/>
                <w:i/>
                <w:iCs/>
                <w:color w:val="000000"/>
                <w:sz w:val="16"/>
                <w:szCs w:val="16"/>
                <w:u w:val="none"/>
              </w:rPr>
            </w:pPr>
          </w:p>
        </w:tc>
      </w:tr>
      <w:tr w14:paraId="5B9FA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CCB0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4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BEE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8F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被调查的企业满意度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34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D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CD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C07A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5E7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6B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9AC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企业参与数量、报告时效及企业满意度方面未完全达到目标</w:t>
            </w:r>
          </w:p>
        </w:tc>
      </w:tr>
      <w:tr w14:paraId="0607A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2C4D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78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97F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962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委托业务费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D0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A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8B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06F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9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CB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30F36">
            <w:pPr>
              <w:jc w:val="center"/>
              <w:rPr>
                <w:rFonts w:hint="eastAsia" w:ascii="微软雅黑" w:hAnsi="微软雅黑" w:eastAsia="微软雅黑" w:cs="微软雅黑"/>
                <w:i/>
                <w:iCs/>
                <w:color w:val="000000"/>
                <w:sz w:val="16"/>
                <w:szCs w:val="16"/>
                <w:u w:val="none"/>
              </w:rPr>
            </w:pPr>
          </w:p>
        </w:tc>
      </w:tr>
      <w:tr w14:paraId="2FDBA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EEF9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07FD0">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5B89E">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0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D8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80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EB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CEE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5D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F2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F4FF">
            <w:pPr>
              <w:jc w:val="center"/>
              <w:rPr>
                <w:rFonts w:hint="eastAsia" w:ascii="微软雅黑" w:hAnsi="微软雅黑" w:eastAsia="微软雅黑" w:cs="微软雅黑"/>
                <w:i/>
                <w:iCs/>
                <w:color w:val="000000"/>
                <w:sz w:val="16"/>
                <w:szCs w:val="16"/>
                <w:u w:val="none"/>
              </w:rPr>
            </w:pPr>
          </w:p>
        </w:tc>
      </w:tr>
      <w:tr w14:paraId="682B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AC53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E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50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8BF6">
            <w:pPr>
              <w:rPr>
                <w:rFonts w:hint="eastAsia" w:ascii="宋体" w:hAnsi="宋体" w:eastAsia="宋体" w:cs="宋体"/>
                <w:i w:val="0"/>
                <w:iCs w:val="0"/>
                <w:color w:val="000000"/>
                <w:sz w:val="18"/>
                <w:szCs w:val="18"/>
                <w:u w:val="none"/>
              </w:rPr>
            </w:pPr>
          </w:p>
        </w:tc>
      </w:tr>
      <w:tr w14:paraId="2AB87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548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806A9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结自评总分90分，项目实施取得一定成效，完成企业薪酬调查并发布报告，但在企业参与数量、报告时效及企业满意度方面未完全达到目标。</w:t>
            </w:r>
          </w:p>
        </w:tc>
      </w:tr>
      <w:tr w14:paraId="456FF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2A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E7A55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部分小微企业填报数据完整性不足（缺漏率5%），第三方机构分析报告时效性待提升（延迟1周发布），参与调查企业数量未达目标。</w:t>
            </w:r>
          </w:p>
        </w:tc>
      </w:tr>
      <w:tr w14:paraId="02574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EF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8B3E0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优化数据采集：增设线上培训指导，降低企业填报误差。强化合同约束：明确第三方机构报告交付期限，纳入履约考核。动态调整预算：根据物价水平适度提高劳务补助标准，以吸引更多企业参与。</w:t>
            </w:r>
          </w:p>
        </w:tc>
      </w:tr>
      <w:tr w14:paraId="34762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80EAC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项目负责人：陈勇</w:t>
            </w:r>
          </w:p>
        </w:tc>
        <w:tc>
          <w:tcPr>
            <w:tcW w:w="68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F588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财务负责人：宁华荣</w:t>
            </w:r>
          </w:p>
        </w:tc>
      </w:tr>
      <w:tr w14:paraId="68ECA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17423C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CF9686B">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85DDD3C">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BF55ED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31474B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D9336E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F01590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0580E6D8">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8E340CC">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4BE5FF3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61CB184">
            <w:pPr>
              <w:rPr>
                <w:rFonts w:hint="eastAsia" w:ascii="宋体" w:hAnsi="宋体" w:eastAsia="宋体" w:cs="宋体"/>
                <w:i w:val="0"/>
                <w:iCs w:val="0"/>
                <w:color w:val="000000"/>
                <w:sz w:val="18"/>
                <w:szCs w:val="18"/>
                <w:u w:val="none"/>
              </w:rPr>
            </w:pPr>
          </w:p>
        </w:tc>
      </w:tr>
      <w:tr w14:paraId="2F245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DA07FE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FF7D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7CD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77116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51320024T000010918826-劳鉴、工伤鉴定专项经费</w:t>
            </w:r>
          </w:p>
        </w:tc>
      </w:tr>
      <w:tr w14:paraId="6571E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9E17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0E734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6B72F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A298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2B3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9A76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55C54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28A2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45AC8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45A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3"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ADCF">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681A6">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7FD2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一是开展工伤预防及宣传相关、组织全州从事工工伤认定及社保经办工作的人员进行业务培训、州级工伤认定案件进行外调等工作。                                                                                             二、根据《四川省工伤保险条例》，对阿坝州劳动能力鉴定专家库专家进行系统培训。2024年劳动能力拟开展6次，对全州工伤职工申请劳动能力鉴定、因病非因工丧失劳动能力鉴定及组织部委托进行的领导干部履职能力进行鉴定。</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B350D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w:t>
            </w:r>
          </w:p>
        </w:tc>
      </w:tr>
      <w:tr w14:paraId="45685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2F3D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DB6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FA3F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w:t>
            </w:r>
          </w:p>
        </w:tc>
      </w:tr>
      <w:tr w14:paraId="6067C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487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02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B4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653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08BE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1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6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E2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2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E2C4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26427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DB8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80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3CB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9C2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B7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354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9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B9FE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776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C0ECC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2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E7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E4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788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CD6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FD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E01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20953F">
            <w:pPr>
              <w:rPr>
                <w:rFonts w:hint="eastAsia" w:ascii="黑体" w:hAnsi="黑体" w:eastAsia="黑体" w:cs="黑体"/>
                <w:i/>
                <w:iCs/>
                <w:color w:val="000000"/>
                <w:sz w:val="18"/>
                <w:szCs w:val="18"/>
                <w:u w:val="none"/>
              </w:rPr>
            </w:pPr>
          </w:p>
        </w:tc>
      </w:tr>
      <w:tr w14:paraId="00499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E926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3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6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0B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80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0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1E5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B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947C0">
            <w:pPr>
              <w:rPr>
                <w:rFonts w:hint="eastAsia" w:ascii="黑体" w:hAnsi="黑体" w:eastAsia="黑体" w:cs="黑体"/>
                <w:i/>
                <w:iCs/>
                <w:color w:val="000000"/>
                <w:sz w:val="18"/>
                <w:szCs w:val="18"/>
                <w:u w:val="none"/>
              </w:rPr>
            </w:pPr>
          </w:p>
        </w:tc>
      </w:tr>
      <w:tr w14:paraId="7CCB9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4C67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68A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EF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DA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10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84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DDA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19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48165">
            <w:pPr>
              <w:rPr>
                <w:rFonts w:hint="eastAsia" w:ascii="黑体" w:hAnsi="黑体" w:eastAsia="黑体" w:cs="黑体"/>
                <w:i/>
                <w:iCs/>
                <w:color w:val="000000"/>
                <w:sz w:val="18"/>
                <w:szCs w:val="18"/>
                <w:u w:val="none"/>
              </w:rPr>
            </w:pPr>
          </w:p>
        </w:tc>
      </w:tr>
      <w:tr w14:paraId="132B2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9515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71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1E95A">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325E">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5D3356">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29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80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6D9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AC219">
            <w:pPr>
              <w:rPr>
                <w:rFonts w:hint="eastAsia" w:ascii="黑体" w:hAnsi="黑体" w:eastAsia="黑体" w:cs="黑体"/>
                <w:i/>
                <w:iCs/>
                <w:color w:val="000000"/>
                <w:sz w:val="18"/>
                <w:szCs w:val="18"/>
                <w:u w:val="none"/>
              </w:rPr>
            </w:pPr>
          </w:p>
        </w:tc>
      </w:tr>
      <w:tr w14:paraId="0858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DE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04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ED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85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7F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F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01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C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D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E1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D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9C21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4C43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0BE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37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974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开展劳动能力鉴定次数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4BB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AD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2C1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EF9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1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3F1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受州内申请鉴定人数影响</w:t>
            </w:r>
          </w:p>
        </w:tc>
      </w:tr>
      <w:tr w14:paraId="5FAB6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B040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EA1E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86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0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完成劳动能力鉴定、工伤鉴定率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D7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0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96D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D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54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C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AF87">
            <w:pPr>
              <w:jc w:val="center"/>
              <w:rPr>
                <w:rFonts w:hint="eastAsia" w:ascii="微软雅黑" w:hAnsi="微软雅黑" w:eastAsia="微软雅黑" w:cs="微软雅黑"/>
                <w:i/>
                <w:iCs/>
                <w:color w:val="000000"/>
                <w:sz w:val="16"/>
                <w:szCs w:val="16"/>
                <w:u w:val="none"/>
              </w:rPr>
            </w:pPr>
          </w:p>
        </w:tc>
      </w:tr>
      <w:tr w14:paraId="0F65A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BABA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D7557">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C3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55E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全年开展6次劳动能力鉴定，9月前完成专家培训，8月前完成专家库更新维护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56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3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27D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2DE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5B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4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974A">
            <w:pPr>
              <w:jc w:val="center"/>
              <w:rPr>
                <w:rFonts w:hint="eastAsia" w:ascii="微软雅黑" w:hAnsi="微软雅黑" w:eastAsia="微软雅黑" w:cs="微软雅黑"/>
                <w:i/>
                <w:iCs/>
                <w:color w:val="000000"/>
                <w:sz w:val="16"/>
                <w:szCs w:val="16"/>
                <w:u w:val="none"/>
              </w:rPr>
            </w:pPr>
          </w:p>
        </w:tc>
      </w:tr>
      <w:tr w14:paraId="13116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6C1C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E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E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B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有效的维护率受害职工及用人单位权益，维护社会稳定。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0D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383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AD1C">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C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效果显著</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E70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9C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F7AC">
            <w:pPr>
              <w:jc w:val="center"/>
              <w:rPr>
                <w:rFonts w:hint="eastAsia" w:ascii="微软雅黑" w:hAnsi="微软雅黑" w:eastAsia="微软雅黑" w:cs="微软雅黑"/>
                <w:i/>
                <w:iCs/>
                <w:color w:val="000000"/>
                <w:sz w:val="16"/>
                <w:szCs w:val="16"/>
                <w:u w:val="none"/>
              </w:rPr>
            </w:pPr>
          </w:p>
        </w:tc>
      </w:tr>
      <w:tr w14:paraId="7CBFC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5B8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64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A8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A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参加劳动能力鉴定及工伤鉴定职工满意度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90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217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4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CD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D2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C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8F1E">
            <w:pPr>
              <w:jc w:val="center"/>
              <w:rPr>
                <w:rFonts w:hint="eastAsia" w:ascii="微软雅黑" w:hAnsi="微软雅黑" w:eastAsia="微软雅黑" w:cs="微软雅黑"/>
                <w:i/>
                <w:iCs/>
                <w:color w:val="000000"/>
                <w:sz w:val="16"/>
                <w:szCs w:val="16"/>
                <w:u w:val="none"/>
              </w:rPr>
            </w:pPr>
          </w:p>
        </w:tc>
      </w:tr>
      <w:tr w14:paraId="39461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5D10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66F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C4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56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工伤鉴定项目总成本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4B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A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7AE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4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CC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98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5AF09">
            <w:pPr>
              <w:jc w:val="center"/>
              <w:rPr>
                <w:rFonts w:hint="eastAsia" w:ascii="微软雅黑" w:hAnsi="微软雅黑" w:eastAsia="微软雅黑" w:cs="微软雅黑"/>
                <w:i/>
                <w:iCs/>
                <w:color w:val="000000"/>
                <w:sz w:val="16"/>
                <w:szCs w:val="16"/>
                <w:u w:val="none"/>
              </w:rPr>
            </w:pPr>
          </w:p>
        </w:tc>
      </w:tr>
      <w:tr w14:paraId="4E62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748C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E4E4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8C14F">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2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F4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6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D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015F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1.88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26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8E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0330">
            <w:pPr>
              <w:jc w:val="center"/>
              <w:rPr>
                <w:rFonts w:hint="eastAsia" w:ascii="微软雅黑" w:hAnsi="微软雅黑" w:eastAsia="微软雅黑" w:cs="微软雅黑"/>
                <w:i/>
                <w:iCs/>
                <w:color w:val="000000"/>
                <w:sz w:val="16"/>
                <w:szCs w:val="16"/>
                <w:u w:val="none"/>
              </w:rPr>
            </w:pPr>
          </w:p>
        </w:tc>
      </w:tr>
      <w:tr w14:paraId="693FC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3916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6097F">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F9C4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97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劳动能力鉴定项目总成本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2B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E4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F82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1D4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1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FB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90B0D">
            <w:pPr>
              <w:jc w:val="center"/>
              <w:rPr>
                <w:rFonts w:hint="eastAsia" w:ascii="微软雅黑" w:hAnsi="微软雅黑" w:eastAsia="微软雅黑" w:cs="微软雅黑"/>
                <w:i/>
                <w:iCs/>
                <w:color w:val="000000"/>
                <w:sz w:val="16"/>
                <w:szCs w:val="16"/>
                <w:u w:val="none"/>
              </w:rPr>
            </w:pPr>
          </w:p>
        </w:tc>
      </w:tr>
      <w:tr w14:paraId="324E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9AAAE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C95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98BB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65AF">
            <w:pPr>
              <w:rPr>
                <w:rFonts w:hint="eastAsia" w:ascii="宋体" w:hAnsi="宋体" w:eastAsia="宋体" w:cs="宋体"/>
                <w:i w:val="0"/>
                <w:iCs w:val="0"/>
                <w:color w:val="000000"/>
                <w:sz w:val="18"/>
                <w:szCs w:val="18"/>
                <w:u w:val="none"/>
              </w:rPr>
            </w:pPr>
          </w:p>
        </w:tc>
      </w:tr>
      <w:tr w14:paraId="32DD0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2"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1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9B6E28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全年共开展劳动能力鉴定6次，共鉴定523人次。开展工伤宣传活动1次，开展全州工伤认定暨工伤案卷评查1次，开展全州劳动能力鉴定专家提升活动1次。2024年州本级共认定工伤47人，前往成都、都江堰、茂县等地开展工伤案件调查4次。维护了工伤职工及用人单位合法权益，加快经办时间，做好温暖人社，更好地</w:t>
            </w:r>
            <w:bookmarkStart w:id="70" w:name="_GoBack"/>
            <w:bookmarkEnd w:id="70"/>
            <w:r>
              <w:rPr>
                <w:rFonts w:hint="eastAsia" w:ascii="微软雅黑" w:hAnsi="微软雅黑" w:eastAsia="微软雅黑" w:cs="微软雅黑"/>
                <w:i/>
                <w:iCs/>
                <w:color w:val="000000"/>
                <w:kern w:val="0"/>
                <w:sz w:val="16"/>
                <w:szCs w:val="16"/>
                <w:u w:val="none"/>
                <w:lang w:val="en-US" w:eastAsia="zh-CN" w:bidi="ar"/>
              </w:rPr>
              <w:t>为伤者服好务。依据法律的授权对职工因事故伤害（或者患职业病）是否属于工伤或者视同工伤给予定性的行政确认。减少开展次数，缩短鉴定天数，相对节约经济成本</w:t>
            </w:r>
          </w:p>
        </w:tc>
      </w:tr>
      <w:tr w14:paraId="1D439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4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8F341E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工作人员不足，设备老化</w:t>
            </w:r>
          </w:p>
        </w:tc>
      </w:tr>
      <w:tr w14:paraId="0AE31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07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47AF8A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补充相关工作人员，优化设备。</w:t>
            </w:r>
          </w:p>
        </w:tc>
      </w:tr>
      <w:tr w14:paraId="79CEC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0E612D6">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287701E">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FE0BA3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7D173C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216F6376">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784B3AD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0006EE1">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56AF90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1FCF14">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7E227104">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41A0B1D6">
            <w:pPr>
              <w:rPr>
                <w:rFonts w:hint="eastAsia" w:ascii="宋体" w:hAnsi="宋体" w:eastAsia="宋体" w:cs="宋体"/>
                <w:i w:val="0"/>
                <w:iCs w:val="0"/>
                <w:color w:val="000000"/>
                <w:sz w:val="18"/>
                <w:szCs w:val="18"/>
                <w:u w:val="none"/>
              </w:rPr>
            </w:pPr>
          </w:p>
        </w:tc>
      </w:tr>
      <w:tr w14:paraId="241C0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96BF00F">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09DB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1E5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2FAE1A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51320024T000010919977-信访办案专项经费</w:t>
            </w:r>
          </w:p>
        </w:tc>
      </w:tr>
      <w:tr w14:paraId="4B59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B76C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54E8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C5B2DA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9CD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C8B0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3FDA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B57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C7A3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13CBFB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BAC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5BBB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7B248">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CAF6E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xml:space="preserve">完成群众来信来访办理、案件复查复核、矛盾纠纷排查化解、业务培训、资料印制、差旅费用、信访工作调研、信访基础基层建设等费用支出，实现提高办信工作质量，提高人社信访规范化、标准化、法治化工作能力，维护群众合法权益，提升群众满意度，有效化解全州人社领域矛盾纠纷和信访案件，积极维护社会稳定。       </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CAC9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全年没有因工作处理不到位引发的负面舆情、重点问题和非法来州进京到省集访情况发生；对全系统信访工作人员开展法治化业务培训，推进人社系统信访工作法治化建设；每月开展矛盾纠纷排查，上报安全形势研判；在全省“两会”、春节、“三月期间”、养老保险重大改革、中华人民共和国成立75周年庆祝活动、省州重要会议活动等敏感节点开展信访安全保障工作。</w:t>
            </w:r>
          </w:p>
        </w:tc>
      </w:tr>
      <w:tr w14:paraId="77F15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9BA9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7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8CA63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2024年我局共收到办理群众来信201件，接待来访群众17批次、35人次，对重点案件办理开展核查；对全系统信访工作人员开展法治化业务培训；每月开展矛盾纠纷排查；在全国全省“两会”、春节、“三月期间”、</w:t>
            </w:r>
            <w:r>
              <w:rPr>
                <w:rFonts w:hint="eastAsia" w:ascii="宋体" w:hAnsi="宋体" w:eastAsia="宋体" w:cs="宋体"/>
                <w:i w:val="0"/>
                <w:iCs w:val="0"/>
                <w:color w:val="000000"/>
                <w:kern w:val="0"/>
                <w:sz w:val="18"/>
                <w:szCs w:val="18"/>
                <w:u w:val="none"/>
                <w:lang w:val="en-US" w:eastAsia="zh-CN" w:bidi="ar"/>
              </w:rPr>
              <w:t>中华人民共和国成立75周年</w:t>
            </w:r>
            <w:r>
              <w:rPr>
                <w:rFonts w:ascii="宋体" w:hAnsi="宋体" w:eastAsia="宋体" w:cs="宋体"/>
                <w:i w:val="0"/>
                <w:iCs w:val="0"/>
                <w:color w:val="000000"/>
                <w:kern w:val="0"/>
                <w:sz w:val="18"/>
                <w:szCs w:val="18"/>
                <w:u w:val="none"/>
                <w:lang w:val="en-US" w:eastAsia="zh-CN" w:bidi="ar"/>
              </w:rPr>
              <w:t>庆祝活动、省州重要会议活动等敏感节点开展信访安全保障工作。按照养老保险重大改革工作部署，开展工作安排和专项信访维稳业务培训。</w:t>
            </w:r>
          </w:p>
        </w:tc>
      </w:tr>
      <w:tr w14:paraId="6F339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EA62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DC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C6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C7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29C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4E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4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EB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004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0AEB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849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0F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38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618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8AFF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D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16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87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780DD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04F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F9FB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395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B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0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B863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4B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D91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B1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D383EB">
            <w:pPr>
              <w:rPr>
                <w:rFonts w:hint="eastAsia" w:ascii="黑体" w:hAnsi="黑体" w:eastAsia="黑体" w:cs="黑体"/>
                <w:i/>
                <w:iCs/>
                <w:color w:val="000000"/>
                <w:sz w:val="18"/>
                <w:szCs w:val="18"/>
                <w:u w:val="none"/>
              </w:rPr>
            </w:pPr>
          </w:p>
        </w:tc>
      </w:tr>
      <w:tr w14:paraId="12B7A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784D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2E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D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3A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6C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CE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5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6CD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49462">
            <w:pPr>
              <w:rPr>
                <w:rFonts w:hint="eastAsia" w:ascii="黑体" w:hAnsi="黑体" w:eastAsia="黑体" w:cs="黑体"/>
                <w:i/>
                <w:iCs/>
                <w:color w:val="000000"/>
                <w:sz w:val="18"/>
                <w:szCs w:val="18"/>
                <w:u w:val="none"/>
              </w:rPr>
            </w:pPr>
          </w:p>
        </w:tc>
      </w:tr>
      <w:tr w14:paraId="2C05A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5374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A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AF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62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345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9A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48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1A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D3FBF">
            <w:pPr>
              <w:rPr>
                <w:rFonts w:hint="eastAsia" w:ascii="黑体" w:hAnsi="黑体" w:eastAsia="黑体" w:cs="黑体"/>
                <w:i/>
                <w:iCs/>
                <w:color w:val="000000"/>
                <w:sz w:val="18"/>
                <w:szCs w:val="18"/>
                <w:u w:val="none"/>
              </w:rPr>
            </w:pPr>
          </w:p>
        </w:tc>
      </w:tr>
      <w:tr w14:paraId="6EBBB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31AD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D0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76AE">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6F33">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104CED">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B761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27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B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9DC0">
            <w:pPr>
              <w:rPr>
                <w:rFonts w:hint="eastAsia" w:ascii="黑体" w:hAnsi="黑体" w:eastAsia="黑体" w:cs="黑体"/>
                <w:i/>
                <w:iCs/>
                <w:color w:val="000000"/>
                <w:sz w:val="18"/>
                <w:szCs w:val="18"/>
                <w:u w:val="none"/>
              </w:rPr>
            </w:pPr>
          </w:p>
        </w:tc>
      </w:tr>
      <w:tr w14:paraId="0ADDD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A2A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B29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DE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1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7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EB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5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A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44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F5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1A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C1AA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1D26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0FC2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02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DE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业务培训次数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C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BF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6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FA593">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0F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B1A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DFC0">
            <w:pPr>
              <w:jc w:val="center"/>
              <w:rPr>
                <w:rFonts w:hint="eastAsia" w:ascii="微软雅黑" w:hAnsi="微软雅黑" w:eastAsia="微软雅黑" w:cs="微软雅黑"/>
                <w:i/>
                <w:iCs/>
                <w:color w:val="000000"/>
                <w:sz w:val="16"/>
                <w:szCs w:val="16"/>
                <w:u w:val="none"/>
              </w:rPr>
            </w:pPr>
          </w:p>
        </w:tc>
      </w:tr>
      <w:tr w14:paraId="3129E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A5934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6963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955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AB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信访案件完成率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E1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7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0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E02C8">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06E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7E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3336">
            <w:pPr>
              <w:jc w:val="center"/>
              <w:rPr>
                <w:rFonts w:hint="eastAsia" w:ascii="微软雅黑" w:hAnsi="微软雅黑" w:eastAsia="微软雅黑" w:cs="微软雅黑"/>
                <w:i/>
                <w:iCs/>
                <w:color w:val="000000"/>
                <w:sz w:val="16"/>
                <w:szCs w:val="16"/>
                <w:u w:val="none"/>
              </w:rPr>
            </w:pPr>
          </w:p>
        </w:tc>
      </w:tr>
      <w:tr w14:paraId="5BD32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732D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6940A">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41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C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63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C3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1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870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1E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EB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0FF4">
            <w:pPr>
              <w:jc w:val="center"/>
              <w:rPr>
                <w:rFonts w:hint="eastAsia" w:ascii="微软雅黑" w:hAnsi="微软雅黑" w:eastAsia="微软雅黑" w:cs="微软雅黑"/>
                <w:i/>
                <w:iCs/>
                <w:color w:val="000000"/>
                <w:sz w:val="16"/>
                <w:szCs w:val="16"/>
                <w:u w:val="none"/>
              </w:rPr>
            </w:pPr>
          </w:p>
        </w:tc>
      </w:tr>
      <w:tr w14:paraId="4840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E6B9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1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D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29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有效化解人社领域矛盾纠纷，积极维护社会稳定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0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F8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C6B5">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275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无重大突出问题，维护了社会稳定</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F56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D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AFED">
            <w:pPr>
              <w:jc w:val="center"/>
              <w:rPr>
                <w:rFonts w:hint="eastAsia" w:ascii="微软雅黑" w:hAnsi="微软雅黑" w:eastAsia="微软雅黑" w:cs="微软雅黑"/>
                <w:i/>
                <w:iCs/>
                <w:color w:val="000000"/>
                <w:sz w:val="16"/>
                <w:szCs w:val="16"/>
                <w:u w:val="none"/>
              </w:rPr>
            </w:pPr>
          </w:p>
        </w:tc>
      </w:tr>
      <w:tr w14:paraId="02BA5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46977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3CF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B1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7D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社会公众对相关工作的满意度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8C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01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33C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D489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42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5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6DCB">
            <w:pPr>
              <w:jc w:val="center"/>
              <w:rPr>
                <w:rFonts w:hint="eastAsia" w:ascii="微软雅黑" w:hAnsi="微软雅黑" w:eastAsia="微软雅黑" w:cs="微软雅黑"/>
                <w:i/>
                <w:iCs/>
                <w:color w:val="000000"/>
                <w:sz w:val="16"/>
                <w:szCs w:val="16"/>
                <w:u w:val="none"/>
              </w:rPr>
            </w:pPr>
          </w:p>
        </w:tc>
      </w:tr>
      <w:tr w14:paraId="0745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6C5F0">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8F7B9">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77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7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信访工作办理的满意度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60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62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F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05C8D">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B8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70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FA674">
            <w:pPr>
              <w:jc w:val="center"/>
              <w:rPr>
                <w:rFonts w:hint="eastAsia" w:ascii="微软雅黑" w:hAnsi="微软雅黑" w:eastAsia="微软雅黑" w:cs="微软雅黑"/>
                <w:i/>
                <w:iCs/>
                <w:color w:val="000000"/>
                <w:sz w:val="16"/>
                <w:szCs w:val="16"/>
                <w:u w:val="none"/>
              </w:rPr>
            </w:pPr>
          </w:p>
        </w:tc>
      </w:tr>
      <w:tr w14:paraId="5C6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64B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EB4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5A8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F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A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4A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C5B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5D44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9EE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6F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6E31B">
            <w:pPr>
              <w:jc w:val="center"/>
              <w:rPr>
                <w:rFonts w:hint="eastAsia" w:ascii="微软雅黑" w:hAnsi="微软雅黑" w:eastAsia="微软雅黑" w:cs="微软雅黑"/>
                <w:i/>
                <w:iCs/>
                <w:color w:val="000000"/>
                <w:sz w:val="16"/>
                <w:szCs w:val="16"/>
                <w:u w:val="none"/>
              </w:rPr>
            </w:pPr>
          </w:p>
        </w:tc>
      </w:tr>
      <w:tr w14:paraId="0A722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4BCB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6D15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3C82">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F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F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3CE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9B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EE3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0.5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88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5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2B29">
            <w:pPr>
              <w:jc w:val="center"/>
              <w:rPr>
                <w:rFonts w:hint="eastAsia" w:ascii="微软雅黑" w:hAnsi="微软雅黑" w:eastAsia="微软雅黑" w:cs="微软雅黑"/>
                <w:i/>
                <w:iCs/>
                <w:color w:val="000000"/>
                <w:sz w:val="16"/>
                <w:szCs w:val="16"/>
                <w:u w:val="none"/>
              </w:rPr>
            </w:pPr>
          </w:p>
        </w:tc>
      </w:tr>
      <w:tr w14:paraId="6F921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D0C6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73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322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71C12">
            <w:pPr>
              <w:rPr>
                <w:rFonts w:hint="eastAsia" w:ascii="宋体" w:hAnsi="宋体" w:eastAsia="宋体" w:cs="宋体"/>
                <w:i w:val="0"/>
                <w:iCs w:val="0"/>
                <w:color w:val="000000"/>
                <w:sz w:val="18"/>
                <w:szCs w:val="18"/>
                <w:u w:val="none"/>
              </w:rPr>
            </w:pPr>
          </w:p>
        </w:tc>
      </w:tr>
      <w:tr w14:paraId="24BEA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9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C12A4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项目预算执行率100%，工作取得了预期成效</w:t>
            </w:r>
          </w:p>
        </w:tc>
      </w:tr>
      <w:tr w14:paraId="3CA93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17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44AC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101BE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6F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A45F18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07588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B1F88C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269DE995">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0EF1455D">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040EC4E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A161CF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5F9A39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CB2842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120451AA">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5D2D107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6F5E966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14E83863">
            <w:pPr>
              <w:rPr>
                <w:rFonts w:hint="eastAsia" w:ascii="宋体" w:hAnsi="宋体" w:eastAsia="宋体" w:cs="宋体"/>
                <w:i w:val="0"/>
                <w:iCs w:val="0"/>
                <w:color w:val="000000"/>
                <w:sz w:val="18"/>
                <w:szCs w:val="18"/>
                <w:u w:val="none"/>
              </w:rPr>
            </w:pPr>
          </w:p>
        </w:tc>
      </w:tr>
      <w:tr w14:paraId="38ADC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B08B38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2E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0887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3AC3A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51320024T000010921224-深化职称制度改革专项经费</w:t>
            </w:r>
          </w:p>
        </w:tc>
      </w:tr>
      <w:tr w14:paraId="4EC7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C4AE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4671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4706CF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3A87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8E3F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F90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CB5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2EFE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B8907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1DC8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8FF0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0AE60">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8D8A8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依据中共四川省委办公厅  四川省人民政府办公厅《关于印发&lt;关于深化职称制度改革的实施意见&gt;的通知》（川委办〔2018〕13号）和四川省人力资源社会保障厅《四川省职称评审管理暂行办法》（川人社发〔2020〕31号）相关要求，开展本州职称综合管理、职称评审和人才培育培养组织实施工作，通过指导宣传、培训培养、调研考察、信息化建设等措施，建立一支优质的职称管理人员和高水平专业技术人才队伍。</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7B8C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A561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40BC0">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EFC1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24B0D0">
            <w:pPr>
              <w:rPr>
                <w:rFonts w:hint="eastAsia" w:ascii="宋体" w:hAnsi="宋体" w:eastAsia="宋体" w:cs="宋体"/>
                <w:i w:val="0"/>
                <w:iCs w:val="0"/>
                <w:color w:val="000000"/>
                <w:sz w:val="18"/>
                <w:szCs w:val="18"/>
                <w:u w:val="none"/>
              </w:rPr>
            </w:pPr>
          </w:p>
        </w:tc>
      </w:tr>
      <w:tr w14:paraId="2C154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ECB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60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C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BD9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CB1D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D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85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5D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BB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CB50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0C5C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2E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6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3C6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8341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E5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EF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7207">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A692A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45BF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6E7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99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7A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B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D60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1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C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BC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6C78C">
            <w:pPr>
              <w:rPr>
                <w:rFonts w:hint="eastAsia" w:ascii="黑体" w:hAnsi="黑体" w:eastAsia="黑体" w:cs="黑体"/>
                <w:i/>
                <w:iCs/>
                <w:color w:val="000000"/>
                <w:sz w:val="18"/>
                <w:szCs w:val="18"/>
                <w:u w:val="none"/>
              </w:rPr>
            </w:pPr>
          </w:p>
        </w:tc>
      </w:tr>
      <w:tr w14:paraId="56964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03E6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58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E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8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FCB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9D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2A0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B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8B8EA">
            <w:pPr>
              <w:rPr>
                <w:rFonts w:hint="eastAsia" w:ascii="黑体" w:hAnsi="黑体" w:eastAsia="黑体" w:cs="黑体"/>
                <w:i/>
                <w:iCs/>
                <w:color w:val="000000"/>
                <w:sz w:val="18"/>
                <w:szCs w:val="18"/>
                <w:u w:val="none"/>
              </w:rPr>
            </w:pPr>
          </w:p>
        </w:tc>
      </w:tr>
      <w:tr w14:paraId="5A66B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0949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6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58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F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2540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E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32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1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373F8">
            <w:pPr>
              <w:rPr>
                <w:rFonts w:hint="eastAsia" w:ascii="黑体" w:hAnsi="黑体" w:eastAsia="黑体" w:cs="黑体"/>
                <w:i/>
                <w:iCs/>
                <w:color w:val="000000"/>
                <w:sz w:val="18"/>
                <w:szCs w:val="18"/>
                <w:u w:val="none"/>
              </w:rPr>
            </w:pPr>
          </w:p>
        </w:tc>
      </w:tr>
      <w:tr w14:paraId="6CE0B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2C4A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8E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67728">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1DE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B6942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80F1">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33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FA51B">
            <w:pPr>
              <w:rPr>
                <w:rFonts w:hint="eastAsia" w:ascii="黑体" w:hAnsi="黑体" w:eastAsia="黑体" w:cs="黑体"/>
                <w:i/>
                <w:iCs/>
                <w:color w:val="000000"/>
                <w:sz w:val="18"/>
                <w:szCs w:val="18"/>
                <w:u w:val="none"/>
              </w:rPr>
            </w:pPr>
          </w:p>
        </w:tc>
      </w:tr>
      <w:tr w14:paraId="690F1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6291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73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C2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4E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DE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2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0E4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33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8C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91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0E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5D4E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3CA16">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DA9D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B5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E9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培训、考察调研次数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4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5B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D0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E6A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8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F6F1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EF7A4">
            <w:pPr>
              <w:jc w:val="center"/>
              <w:rPr>
                <w:rFonts w:hint="eastAsia" w:ascii="微软雅黑" w:hAnsi="微软雅黑" w:eastAsia="微软雅黑" w:cs="微软雅黑"/>
                <w:i/>
                <w:iCs/>
                <w:color w:val="000000"/>
                <w:sz w:val="16"/>
                <w:szCs w:val="16"/>
                <w:u w:val="none"/>
              </w:rPr>
            </w:pPr>
          </w:p>
        </w:tc>
      </w:tr>
      <w:tr w14:paraId="10285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D01A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C44B">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5C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780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信息化建设率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288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EA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04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AFE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5D7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9BF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39DA2">
            <w:pPr>
              <w:jc w:val="center"/>
              <w:rPr>
                <w:rFonts w:hint="eastAsia" w:ascii="微软雅黑" w:hAnsi="微软雅黑" w:eastAsia="微软雅黑" w:cs="微软雅黑"/>
                <w:i/>
                <w:iCs/>
                <w:color w:val="000000"/>
                <w:sz w:val="16"/>
                <w:szCs w:val="16"/>
                <w:u w:val="none"/>
              </w:rPr>
            </w:pPr>
          </w:p>
        </w:tc>
      </w:tr>
      <w:tr w14:paraId="75961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EF9D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C763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FE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87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项目将于2024年11月底前完成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FE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3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及时完成</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A559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22FF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8F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2CC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9F3B8">
            <w:pPr>
              <w:jc w:val="center"/>
              <w:rPr>
                <w:rFonts w:hint="eastAsia" w:ascii="微软雅黑" w:hAnsi="微软雅黑" w:eastAsia="微软雅黑" w:cs="微软雅黑"/>
                <w:i/>
                <w:iCs/>
                <w:color w:val="000000"/>
                <w:sz w:val="16"/>
                <w:szCs w:val="16"/>
                <w:u w:val="none"/>
              </w:rPr>
            </w:pPr>
          </w:p>
        </w:tc>
      </w:tr>
      <w:tr w14:paraId="11743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363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33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4E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4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节约专业技术人员申报成本</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4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A2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0A47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A7F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AD5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1EB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D8C1">
            <w:pPr>
              <w:jc w:val="center"/>
              <w:rPr>
                <w:rFonts w:hint="eastAsia" w:ascii="微软雅黑" w:hAnsi="微软雅黑" w:eastAsia="微软雅黑" w:cs="微软雅黑"/>
                <w:i/>
                <w:iCs/>
                <w:color w:val="000000"/>
                <w:sz w:val="16"/>
                <w:szCs w:val="16"/>
                <w:u w:val="none"/>
              </w:rPr>
            </w:pPr>
          </w:p>
        </w:tc>
      </w:tr>
      <w:tr w14:paraId="1F88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B36CC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94C3C">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CC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通过培训、考察调研、信息管理等工作，提升服务能力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A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F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CF48">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F43C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C9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E730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CD29C">
            <w:pPr>
              <w:jc w:val="center"/>
              <w:rPr>
                <w:rFonts w:hint="eastAsia" w:ascii="微软雅黑" w:hAnsi="微软雅黑" w:eastAsia="微软雅黑" w:cs="微软雅黑"/>
                <w:i/>
                <w:iCs/>
                <w:color w:val="000000"/>
                <w:sz w:val="16"/>
                <w:szCs w:val="16"/>
                <w:u w:val="none"/>
              </w:rPr>
            </w:pPr>
          </w:p>
        </w:tc>
      </w:tr>
      <w:tr w14:paraId="34C6B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0CD63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F864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A1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71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减少环境污染</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98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EBD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减少环境污染</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B75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B19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C0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A607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2A87">
            <w:pPr>
              <w:jc w:val="center"/>
              <w:rPr>
                <w:rFonts w:hint="eastAsia" w:ascii="微软雅黑" w:hAnsi="微软雅黑" w:eastAsia="微软雅黑" w:cs="微软雅黑"/>
                <w:i/>
                <w:iCs/>
                <w:color w:val="000000"/>
                <w:sz w:val="16"/>
                <w:szCs w:val="16"/>
                <w:u w:val="none"/>
              </w:rPr>
            </w:pPr>
          </w:p>
        </w:tc>
      </w:tr>
      <w:tr w14:paraId="56C8A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1C6DD2">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6E16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F1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2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使职称评审更加公平、科学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C1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27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A79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D1A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9E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430F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60FA">
            <w:pPr>
              <w:jc w:val="center"/>
              <w:rPr>
                <w:rFonts w:hint="eastAsia" w:ascii="微软雅黑" w:hAnsi="微软雅黑" w:eastAsia="微软雅黑" w:cs="微软雅黑"/>
                <w:i/>
                <w:iCs/>
                <w:color w:val="000000"/>
                <w:sz w:val="16"/>
                <w:szCs w:val="16"/>
                <w:u w:val="none"/>
              </w:rPr>
            </w:pPr>
          </w:p>
        </w:tc>
      </w:tr>
      <w:tr w14:paraId="09AB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804CA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C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D80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6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专业技术人员、职称管理人员、职称评审专家满意度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8B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56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84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BC4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C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BDA00">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FAE35">
            <w:pPr>
              <w:jc w:val="center"/>
              <w:rPr>
                <w:rFonts w:hint="eastAsia" w:ascii="微软雅黑" w:hAnsi="微软雅黑" w:eastAsia="微软雅黑" w:cs="微软雅黑"/>
                <w:i/>
                <w:iCs/>
                <w:color w:val="000000"/>
                <w:sz w:val="16"/>
                <w:szCs w:val="16"/>
                <w:u w:val="none"/>
              </w:rPr>
            </w:pPr>
          </w:p>
        </w:tc>
      </w:tr>
      <w:tr w14:paraId="5C9D9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E7FC7">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0EC9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CD7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8E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33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3C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F1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8A1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51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F17DF">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E20D">
            <w:pPr>
              <w:jc w:val="center"/>
              <w:rPr>
                <w:rFonts w:hint="eastAsia" w:ascii="微软雅黑" w:hAnsi="微软雅黑" w:eastAsia="微软雅黑" w:cs="微软雅黑"/>
                <w:i/>
                <w:iCs/>
                <w:color w:val="000000"/>
                <w:sz w:val="16"/>
                <w:szCs w:val="16"/>
                <w:u w:val="none"/>
              </w:rPr>
            </w:pPr>
          </w:p>
        </w:tc>
      </w:tr>
      <w:tr w14:paraId="6DE1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9255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D5495">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C9348">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01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劳务费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23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DE9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9E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D475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AC8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A61A7">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31FEA">
            <w:pPr>
              <w:jc w:val="center"/>
              <w:rPr>
                <w:rFonts w:hint="eastAsia" w:ascii="微软雅黑" w:hAnsi="微软雅黑" w:eastAsia="微软雅黑" w:cs="微软雅黑"/>
                <w:i/>
                <w:iCs/>
                <w:color w:val="000000"/>
                <w:sz w:val="16"/>
                <w:szCs w:val="16"/>
                <w:u w:val="none"/>
              </w:rPr>
            </w:pPr>
          </w:p>
        </w:tc>
      </w:tr>
      <w:tr w14:paraId="20FD3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8BC4E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B7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2ADF">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7E3C2">
            <w:pPr>
              <w:rPr>
                <w:rFonts w:hint="eastAsia" w:ascii="宋体" w:hAnsi="宋体" w:eastAsia="宋体" w:cs="宋体"/>
                <w:i w:val="0"/>
                <w:iCs w:val="0"/>
                <w:color w:val="000000"/>
                <w:sz w:val="18"/>
                <w:szCs w:val="18"/>
                <w:u w:val="none"/>
              </w:rPr>
            </w:pPr>
          </w:p>
        </w:tc>
      </w:tr>
      <w:tr w14:paraId="53D7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7E2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FDCA2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BF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DF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4629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10E4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F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CA0075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CB96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1E4E9AA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530A6F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D141ED7">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248548B5">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AE21B48">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2E3BC0A9">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CD99B2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2E0EDF22">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0AE42555">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D6BBF3C">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9B25078">
            <w:pPr>
              <w:rPr>
                <w:rFonts w:hint="eastAsia" w:ascii="宋体" w:hAnsi="宋体" w:eastAsia="宋体" w:cs="宋体"/>
                <w:i w:val="0"/>
                <w:iCs w:val="0"/>
                <w:color w:val="000000"/>
                <w:sz w:val="18"/>
                <w:szCs w:val="18"/>
                <w:u w:val="none"/>
              </w:rPr>
            </w:pPr>
          </w:p>
        </w:tc>
      </w:tr>
      <w:tr w14:paraId="3E99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15E467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2B506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95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7949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51320024T000010925474-统计业务专项经费</w:t>
            </w:r>
          </w:p>
        </w:tc>
      </w:tr>
      <w:tr w14:paraId="4A12D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EE8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59F5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251C03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8C2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1E2F2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4171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1A1D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E91A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1CDDB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87B8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CCC5">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D9BB">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46DE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对13县（市）、卧龙特区人力资源和社会保障统计人员进行专题培训，将请老师对系统操作进行培训，以训代会的形式进行全年工作布置，包括培训费、住宿费，工作餐费等。对13县（市）、卧龙特区开展城镇居民人均可支配收入情况调研、组织业务骨干培训、召开联席会议、进行督促工作。</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714E4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C84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E48C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EF4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7EFA05">
            <w:pPr>
              <w:rPr>
                <w:rFonts w:hint="eastAsia" w:ascii="宋体" w:hAnsi="宋体" w:eastAsia="宋体" w:cs="宋体"/>
                <w:i w:val="0"/>
                <w:iCs w:val="0"/>
                <w:color w:val="000000"/>
                <w:sz w:val="18"/>
                <w:szCs w:val="18"/>
                <w:u w:val="none"/>
              </w:rPr>
            </w:pPr>
          </w:p>
        </w:tc>
      </w:tr>
      <w:tr w14:paraId="04F4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09E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0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F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FCF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CEF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BB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E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F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15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306C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5481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FC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78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8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DF54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4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3A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E5F0">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F9EC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329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2963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55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8F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89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744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3.63</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15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43B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6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FA549">
            <w:pPr>
              <w:rPr>
                <w:rFonts w:hint="eastAsia" w:ascii="黑体" w:hAnsi="黑体" w:eastAsia="黑体" w:cs="黑体"/>
                <w:i/>
                <w:iCs/>
                <w:color w:val="000000"/>
                <w:sz w:val="18"/>
                <w:szCs w:val="18"/>
                <w:u w:val="none"/>
              </w:rPr>
            </w:pPr>
          </w:p>
        </w:tc>
      </w:tr>
      <w:tr w14:paraId="54C49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3DCE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97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A2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D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3186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AF6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6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EC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C7D33">
            <w:pPr>
              <w:rPr>
                <w:rFonts w:hint="eastAsia" w:ascii="黑体" w:hAnsi="黑体" w:eastAsia="黑体" w:cs="黑体"/>
                <w:i/>
                <w:iCs/>
                <w:color w:val="000000"/>
                <w:sz w:val="18"/>
                <w:szCs w:val="18"/>
                <w:u w:val="none"/>
              </w:rPr>
            </w:pPr>
          </w:p>
        </w:tc>
      </w:tr>
      <w:tr w14:paraId="1479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AF4F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222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C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06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C3BD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78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D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1B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66AC4">
            <w:pPr>
              <w:rPr>
                <w:rFonts w:hint="eastAsia" w:ascii="黑体" w:hAnsi="黑体" w:eastAsia="黑体" w:cs="黑体"/>
                <w:i/>
                <w:iCs/>
                <w:color w:val="000000"/>
                <w:sz w:val="18"/>
                <w:szCs w:val="18"/>
                <w:u w:val="none"/>
              </w:rPr>
            </w:pPr>
          </w:p>
        </w:tc>
      </w:tr>
      <w:tr w14:paraId="64A34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F43D5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E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0C24">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8E5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1DA00A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6BC4">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064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F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B3097">
            <w:pPr>
              <w:rPr>
                <w:rFonts w:hint="eastAsia" w:ascii="黑体" w:hAnsi="黑体" w:eastAsia="黑体" w:cs="黑体"/>
                <w:i/>
                <w:iCs/>
                <w:color w:val="000000"/>
                <w:sz w:val="18"/>
                <w:szCs w:val="18"/>
                <w:u w:val="none"/>
              </w:rPr>
            </w:pPr>
          </w:p>
        </w:tc>
      </w:tr>
      <w:tr w14:paraId="1A373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2C3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D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6CF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CA7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CD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39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3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8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F1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8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06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D593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052F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9DD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105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3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1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61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62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36A8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A2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3E5C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BD94A">
            <w:pPr>
              <w:jc w:val="center"/>
              <w:rPr>
                <w:rFonts w:hint="eastAsia" w:ascii="微软雅黑" w:hAnsi="微软雅黑" w:eastAsia="微软雅黑" w:cs="微软雅黑"/>
                <w:i/>
                <w:iCs/>
                <w:color w:val="000000"/>
                <w:sz w:val="16"/>
                <w:szCs w:val="16"/>
                <w:u w:val="none"/>
              </w:rPr>
            </w:pPr>
          </w:p>
        </w:tc>
      </w:tr>
      <w:tr w14:paraId="1267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46541">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6BEF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9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0A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参加培训人员合格率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5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23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E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01C4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B61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3B7F8">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441DA">
            <w:pPr>
              <w:jc w:val="center"/>
              <w:rPr>
                <w:rFonts w:hint="eastAsia" w:ascii="微软雅黑" w:hAnsi="微软雅黑" w:eastAsia="微软雅黑" w:cs="微软雅黑"/>
                <w:i/>
                <w:iCs/>
                <w:color w:val="000000"/>
                <w:sz w:val="16"/>
                <w:szCs w:val="16"/>
                <w:u w:val="none"/>
              </w:rPr>
            </w:pPr>
          </w:p>
        </w:tc>
      </w:tr>
      <w:tr w14:paraId="306A09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A2DBC">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B006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62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65A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出差时间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41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4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6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5B7A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669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86C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A896">
            <w:pPr>
              <w:jc w:val="center"/>
              <w:rPr>
                <w:rFonts w:hint="eastAsia" w:ascii="微软雅黑" w:hAnsi="微软雅黑" w:eastAsia="微软雅黑" w:cs="微软雅黑"/>
                <w:i/>
                <w:iCs/>
                <w:color w:val="000000"/>
                <w:sz w:val="16"/>
                <w:szCs w:val="16"/>
                <w:u w:val="none"/>
              </w:rPr>
            </w:pPr>
          </w:p>
        </w:tc>
      </w:tr>
      <w:tr w14:paraId="2041C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F9C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A8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86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1AA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促进城镇居民人均可支配收入增长</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5A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86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有效促进</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1DE54">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30D6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A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4E1A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80DE">
            <w:pPr>
              <w:jc w:val="center"/>
              <w:rPr>
                <w:rFonts w:hint="eastAsia" w:ascii="微软雅黑" w:hAnsi="微软雅黑" w:eastAsia="微软雅黑" w:cs="微软雅黑"/>
                <w:i/>
                <w:iCs/>
                <w:color w:val="000000"/>
                <w:sz w:val="16"/>
                <w:szCs w:val="16"/>
                <w:u w:val="none"/>
              </w:rPr>
            </w:pPr>
          </w:p>
        </w:tc>
      </w:tr>
      <w:tr w14:paraId="4262CA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D0548">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64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92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8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参训人员满意度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D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D0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E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B4379">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073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9C4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C23F9">
            <w:pPr>
              <w:jc w:val="center"/>
              <w:rPr>
                <w:rFonts w:hint="eastAsia" w:ascii="微软雅黑" w:hAnsi="微软雅黑" w:eastAsia="微软雅黑" w:cs="微软雅黑"/>
                <w:i/>
                <w:iCs/>
                <w:color w:val="000000"/>
                <w:sz w:val="16"/>
                <w:szCs w:val="16"/>
                <w:u w:val="none"/>
              </w:rPr>
            </w:pPr>
          </w:p>
        </w:tc>
      </w:tr>
      <w:tr w14:paraId="3722D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771A5B">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4B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848A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36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D1B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4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3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0472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1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1E77A">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D559">
            <w:pPr>
              <w:jc w:val="center"/>
              <w:rPr>
                <w:rFonts w:hint="eastAsia" w:ascii="微软雅黑" w:hAnsi="微软雅黑" w:eastAsia="微软雅黑" w:cs="微软雅黑"/>
                <w:i/>
                <w:iCs/>
                <w:color w:val="000000"/>
                <w:sz w:val="16"/>
                <w:szCs w:val="16"/>
                <w:u w:val="none"/>
              </w:rPr>
            </w:pPr>
          </w:p>
        </w:tc>
      </w:tr>
      <w:tr w14:paraId="577E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E014E">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D92F4">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B8FD0">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7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7E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916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4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C197">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02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3085">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C7EFB">
            <w:pPr>
              <w:jc w:val="center"/>
              <w:rPr>
                <w:rFonts w:hint="eastAsia" w:ascii="微软雅黑" w:hAnsi="微软雅黑" w:eastAsia="微软雅黑" w:cs="微软雅黑"/>
                <w:i/>
                <w:iCs/>
                <w:color w:val="000000"/>
                <w:sz w:val="16"/>
                <w:szCs w:val="16"/>
                <w:u w:val="none"/>
              </w:rPr>
            </w:pPr>
          </w:p>
        </w:tc>
      </w:tr>
      <w:tr w14:paraId="1DC4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AFCFE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64E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5C1C">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79F41">
            <w:pPr>
              <w:rPr>
                <w:rFonts w:hint="eastAsia" w:ascii="宋体" w:hAnsi="宋体" w:eastAsia="宋体" w:cs="宋体"/>
                <w:i w:val="0"/>
                <w:iCs w:val="0"/>
                <w:color w:val="000000"/>
                <w:sz w:val="18"/>
                <w:szCs w:val="18"/>
                <w:u w:val="none"/>
              </w:rPr>
            </w:pPr>
          </w:p>
        </w:tc>
      </w:tr>
      <w:tr w14:paraId="2E21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06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513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FAE8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19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FA07B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B63B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61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BB7B7A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1663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69A3442">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74EB54D">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0CF83E8">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06DBF3A3">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E424853">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0ED5F3B2">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D27F218">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D2471D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67D6558">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15AD97AA">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BB68F4F">
            <w:pPr>
              <w:rPr>
                <w:rFonts w:hint="eastAsia" w:ascii="宋体" w:hAnsi="宋体" w:eastAsia="宋体" w:cs="宋体"/>
                <w:i w:val="0"/>
                <w:iCs w:val="0"/>
                <w:color w:val="000000"/>
                <w:sz w:val="18"/>
                <w:szCs w:val="18"/>
                <w:u w:val="none"/>
              </w:rPr>
            </w:pPr>
          </w:p>
        </w:tc>
      </w:tr>
      <w:tr w14:paraId="3E64F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520AC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7D3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8351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0F3D937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51320024T000010925569-劳动保障监察专项经费</w:t>
            </w:r>
          </w:p>
        </w:tc>
      </w:tr>
      <w:tr w14:paraId="65E2C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7CF7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DBFB0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31FD54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6087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4FE27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CB0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C13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DAF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8B452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81D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AA620">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C0A91">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115A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目标1：开展劳动保障监察队伍业务能力能力提升培训；目标2：开展日常巡查及专项活动检查；目标3：完成国务院、省政府对州政府拖欠农民工工资支付考核；目标4：配备执法装备和设施</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50283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2024年底前组织259人进行劳动保障监察培训，培训合格率≥95%，指标已完成；2024年底前农民工对该项工作满意度达到95%，指标已完成；2024年底前已完成夏季和冬季行动，“双随机、一公开”、女职工和禁止使用童工等执法检查，共检查125家企业和用人单位。接受组织省、州考核检查调研4次，为4名执法人员购置执法服，指标已完成。</w:t>
            </w:r>
          </w:p>
        </w:tc>
      </w:tr>
      <w:tr w14:paraId="2903F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4FEC5">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38A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605D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项目经费列入本级财政预算，明确工作所需经费列入本级预算，完成宣传劳动保障法律、法规和规章，督促用人单位贯彻执行；检查用人单位遵守劳动保障法律、法规和规章的情况；受理对违反劳动保障法律、法规或者规章的行为的举报、投诉；依法纠正和查处违反劳动保障法律、法规或者规章的行为；劳动保障监察业务培训、资料印制、差旅费用、工作调研、劳动保障监察办公场所建设等费用支出，实现提高工作质量，进一步强化劳动保障监察规范化、标准化、法治化工作能力，维护群众合法权益，提升群众满意度，高效办理各类维权案件。</w:t>
            </w:r>
          </w:p>
        </w:tc>
      </w:tr>
      <w:tr w14:paraId="6DCC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C7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FF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D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E1F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91C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95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36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C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5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B6F6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A084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AA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D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2E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C0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B7E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EE9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A5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8C77F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1EC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A9D2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AF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0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7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A6AF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14.16</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F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0A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C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7ED58">
            <w:pPr>
              <w:rPr>
                <w:rFonts w:hint="eastAsia" w:ascii="黑体" w:hAnsi="黑体" w:eastAsia="黑体" w:cs="黑体"/>
                <w:i/>
                <w:iCs/>
                <w:color w:val="000000"/>
                <w:sz w:val="18"/>
                <w:szCs w:val="18"/>
                <w:u w:val="none"/>
              </w:rPr>
            </w:pPr>
          </w:p>
        </w:tc>
      </w:tr>
      <w:tr w14:paraId="04FF2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187F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C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B56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684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A07C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00B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1D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2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B7C12">
            <w:pPr>
              <w:rPr>
                <w:rFonts w:hint="eastAsia" w:ascii="黑体" w:hAnsi="黑体" w:eastAsia="黑体" w:cs="黑体"/>
                <w:i/>
                <w:iCs/>
                <w:color w:val="000000"/>
                <w:sz w:val="18"/>
                <w:szCs w:val="18"/>
                <w:u w:val="none"/>
              </w:rPr>
            </w:pPr>
          </w:p>
        </w:tc>
      </w:tr>
      <w:tr w14:paraId="16FB5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99B9E">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8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46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FBC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CF7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4E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0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0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C1AE43">
            <w:pPr>
              <w:rPr>
                <w:rFonts w:hint="eastAsia" w:ascii="黑体" w:hAnsi="黑体" w:eastAsia="黑体" w:cs="黑体"/>
                <w:i/>
                <w:iCs/>
                <w:color w:val="000000"/>
                <w:sz w:val="18"/>
                <w:szCs w:val="18"/>
                <w:u w:val="none"/>
              </w:rPr>
            </w:pPr>
          </w:p>
        </w:tc>
      </w:tr>
      <w:tr w14:paraId="75AA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63303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177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1C9B2">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A0C42">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01D5A8">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AA62">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DF1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2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8E07F6">
            <w:pPr>
              <w:rPr>
                <w:rFonts w:hint="eastAsia" w:ascii="黑体" w:hAnsi="黑体" w:eastAsia="黑体" w:cs="黑体"/>
                <w:i/>
                <w:iCs/>
                <w:color w:val="000000"/>
                <w:sz w:val="18"/>
                <w:szCs w:val="18"/>
                <w:u w:val="none"/>
              </w:rPr>
            </w:pPr>
          </w:p>
        </w:tc>
      </w:tr>
      <w:tr w14:paraId="23799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80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1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CD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BB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E0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26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7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C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663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8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2C8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075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F09DF">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96A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5E6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2C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参加培训人次</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D07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DF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7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94CC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259人</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1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AD6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DBF1">
            <w:pPr>
              <w:jc w:val="center"/>
              <w:rPr>
                <w:rFonts w:hint="eastAsia" w:ascii="微软雅黑" w:hAnsi="微软雅黑" w:eastAsia="微软雅黑" w:cs="微软雅黑"/>
                <w:i/>
                <w:iCs/>
                <w:color w:val="000000"/>
                <w:sz w:val="16"/>
                <w:szCs w:val="16"/>
                <w:u w:val="none"/>
              </w:rPr>
            </w:pPr>
          </w:p>
        </w:tc>
      </w:tr>
      <w:tr w14:paraId="42D46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9FF14">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2FE15">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D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44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培训合格率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F6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7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580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A87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D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2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A4F5">
            <w:pPr>
              <w:jc w:val="center"/>
              <w:rPr>
                <w:rFonts w:hint="eastAsia" w:ascii="微软雅黑" w:hAnsi="微软雅黑" w:eastAsia="微软雅黑" w:cs="微软雅黑"/>
                <w:i/>
                <w:iCs/>
                <w:color w:val="000000"/>
                <w:sz w:val="16"/>
                <w:szCs w:val="16"/>
                <w:u w:val="none"/>
              </w:rPr>
            </w:pPr>
          </w:p>
        </w:tc>
      </w:tr>
      <w:tr w14:paraId="4CD3C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9794F">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0D37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F1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CB9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2024年年完成底前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C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A1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2024年年完成底前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17B2">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6086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2024年年完成底前已完成</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B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F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9BF5">
            <w:pPr>
              <w:jc w:val="center"/>
              <w:rPr>
                <w:rFonts w:hint="eastAsia" w:ascii="微软雅黑" w:hAnsi="微软雅黑" w:eastAsia="微软雅黑" w:cs="微软雅黑"/>
                <w:i/>
                <w:iCs/>
                <w:color w:val="000000"/>
                <w:sz w:val="16"/>
                <w:szCs w:val="16"/>
                <w:u w:val="none"/>
              </w:rPr>
            </w:pPr>
          </w:p>
        </w:tc>
      </w:tr>
      <w:tr w14:paraId="5D8D1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D7C28">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F722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E4C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D60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维护劳动者合法权益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F9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FD0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维护劳动者合法权益</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BAC1">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748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维护了劳动者合法权益</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F8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E8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A03BA">
            <w:pPr>
              <w:jc w:val="center"/>
              <w:rPr>
                <w:rFonts w:hint="eastAsia" w:ascii="微软雅黑" w:hAnsi="微软雅黑" w:eastAsia="微软雅黑" w:cs="微软雅黑"/>
                <w:i/>
                <w:iCs/>
                <w:color w:val="000000"/>
                <w:sz w:val="16"/>
                <w:szCs w:val="16"/>
                <w:u w:val="none"/>
              </w:rPr>
            </w:pPr>
          </w:p>
        </w:tc>
      </w:tr>
      <w:tr w14:paraId="3041C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0A3F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6E014">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D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持续维护社会和谐稳定</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5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D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持续维护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AC96">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B02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持续维护</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7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2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0C28">
            <w:pPr>
              <w:jc w:val="center"/>
              <w:rPr>
                <w:rFonts w:hint="eastAsia" w:ascii="微软雅黑" w:hAnsi="微软雅黑" w:eastAsia="微软雅黑" w:cs="微软雅黑"/>
                <w:i/>
                <w:iCs/>
                <w:color w:val="000000"/>
                <w:sz w:val="16"/>
                <w:szCs w:val="16"/>
                <w:u w:val="none"/>
              </w:rPr>
            </w:pPr>
          </w:p>
        </w:tc>
      </w:tr>
      <w:tr w14:paraId="47D5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74EFD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DF5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71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458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农民工对该项工作满意度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F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CA3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46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67AB">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95</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3E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0F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91EF">
            <w:pPr>
              <w:jc w:val="center"/>
              <w:rPr>
                <w:rFonts w:hint="eastAsia" w:ascii="微软雅黑" w:hAnsi="微软雅黑" w:eastAsia="微软雅黑" w:cs="微软雅黑"/>
                <w:i/>
                <w:iCs/>
                <w:color w:val="000000"/>
                <w:sz w:val="16"/>
                <w:szCs w:val="16"/>
                <w:u w:val="none"/>
              </w:rPr>
            </w:pPr>
          </w:p>
        </w:tc>
      </w:tr>
      <w:tr w14:paraId="21DF8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CD3E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73A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97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4E5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AC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0E2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4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8FDC5">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3.66</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9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23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042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本年度检查次数增多</w:t>
            </w:r>
          </w:p>
        </w:tc>
      </w:tr>
      <w:tr w14:paraId="3F3A4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1291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2787B">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F187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25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被装购置费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41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8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27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74529">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4.096万元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2E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B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CC3B">
            <w:pPr>
              <w:jc w:val="center"/>
              <w:rPr>
                <w:rFonts w:hint="eastAsia" w:ascii="微软雅黑" w:hAnsi="微软雅黑" w:eastAsia="微软雅黑" w:cs="微软雅黑"/>
                <w:i/>
                <w:iCs/>
                <w:color w:val="000000"/>
                <w:sz w:val="16"/>
                <w:szCs w:val="16"/>
                <w:u w:val="none"/>
              </w:rPr>
            </w:pPr>
          </w:p>
        </w:tc>
      </w:tr>
      <w:tr w14:paraId="27D87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6CB9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D28F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9191">
            <w:pPr>
              <w:rPr>
                <w:rFonts w:hint="eastAsia" w:ascii="宋体" w:hAnsi="宋体" w:eastAsia="宋体" w:cs="宋体"/>
                <w:i w:val="0"/>
                <w:iCs w:val="0"/>
                <w:color w:val="000000"/>
                <w:sz w:val="18"/>
                <w:szCs w:val="18"/>
                <w:u w:val="none"/>
              </w:rPr>
            </w:pPr>
          </w:p>
        </w:tc>
      </w:tr>
      <w:tr w14:paraId="1452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D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3C846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项目完成情况较好。</w:t>
            </w:r>
          </w:p>
        </w:tc>
      </w:tr>
      <w:tr w14:paraId="21C23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88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2AFD7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本年度检查次数增多导致差旅费增加，未及时对绩效目标进行调整</w:t>
            </w:r>
          </w:p>
        </w:tc>
      </w:tr>
      <w:tr w14:paraId="44F1D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0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8DE40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在今后工作中及时对绩效目标进行调整</w:t>
            </w:r>
          </w:p>
        </w:tc>
      </w:tr>
      <w:tr w14:paraId="023BA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6E91F1F9">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6F8A580">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42A742F0">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3B9002A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FE59F7D">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6BAA1F10">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4973015">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433DB0F9">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E21F5A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BAF9732">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5BE6FE81">
            <w:pPr>
              <w:rPr>
                <w:rFonts w:hint="eastAsia" w:ascii="宋体" w:hAnsi="宋体" w:eastAsia="宋体" w:cs="宋体"/>
                <w:i w:val="0"/>
                <w:iCs w:val="0"/>
                <w:color w:val="000000"/>
                <w:sz w:val="18"/>
                <w:szCs w:val="18"/>
                <w:u w:val="none"/>
              </w:rPr>
            </w:pPr>
          </w:p>
        </w:tc>
      </w:tr>
      <w:tr w14:paraId="1673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986009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AB30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73C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5B171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51320024T000011587642-职业技能大赛专项资金</w:t>
            </w:r>
          </w:p>
        </w:tc>
      </w:tr>
      <w:tr w14:paraId="46DB0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A3F2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9AFE8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2C32574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14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51AD5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98F0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84C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9A0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D821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018E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08850D">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D9C2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FE69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按照省厅要求，每年均需要组织人员参加职业技能大赛，需要解决参赛人员交通、食宿、生活补助、比赛工具材料费等，以及工匠认定评审工作费用和职业能力鉴定指导中心技能人才队伍建设费用。</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BCE7C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0A50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148C6">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18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B54AE9">
            <w:pPr>
              <w:rPr>
                <w:rFonts w:hint="eastAsia" w:ascii="宋体" w:hAnsi="宋体" w:eastAsia="宋体" w:cs="宋体"/>
                <w:i w:val="0"/>
                <w:iCs w:val="0"/>
                <w:color w:val="000000"/>
                <w:sz w:val="18"/>
                <w:szCs w:val="18"/>
                <w:u w:val="none"/>
              </w:rPr>
            </w:pPr>
          </w:p>
        </w:tc>
      </w:tr>
      <w:tr w14:paraId="05DA2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CE3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3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A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F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03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86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A9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6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74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A325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1B5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EE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D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65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099E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F4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3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51463">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A6378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FF8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DD226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C0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5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CD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210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C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21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C4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4F9B1">
            <w:pPr>
              <w:rPr>
                <w:rFonts w:hint="eastAsia" w:ascii="黑体" w:hAnsi="黑体" w:eastAsia="黑体" w:cs="黑体"/>
                <w:i/>
                <w:iCs/>
                <w:color w:val="000000"/>
                <w:sz w:val="18"/>
                <w:szCs w:val="18"/>
                <w:u w:val="none"/>
              </w:rPr>
            </w:pPr>
          </w:p>
        </w:tc>
      </w:tr>
      <w:tr w14:paraId="28F56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11E0C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5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31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2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994C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A4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69C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C4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E21DE">
            <w:pPr>
              <w:rPr>
                <w:rFonts w:hint="eastAsia" w:ascii="黑体" w:hAnsi="黑体" w:eastAsia="黑体" w:cs="黑体"/>
                <w:i/>
                <w:iCs/>
                <w:color w:val="000000"/>
                <w:sz w:val="18"/>
                <w:szCs w:val="18"/>
                <w:u w:val="none"/>
              </w:rPr>
            </w:pPr>
          </w:p>
        </w:tc>
      </w:tr>
      <w:tr w14:paraId="1DEC0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B081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24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5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3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DC96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90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30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34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A98CD">
            <w:pPr>
              <w:rPr>
                <w:rFonts w:hint="eastAsia" w:ascii="黑体" w:hAnsi="黑体" w:eastAsia="黑体" w:cs="黑体"/>
                <w:i/>
                <w:iCs/>
                <w:color w:val="000000"/>
                <w:sz w:val="18"/>
                <w:szCs w:val="18"/>
                <w:u w:val="none"/>
              </w:rPr>
            </w:pPr>
          </w:p>
        </w:tc>
      </w:tr>
      <w:tr w14:paraId="664A4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BDC2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23D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9E2CB">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814C6">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15CDCC">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688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6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9B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25540">
            <w:pPr>
              <w:rPr>
                <w:rFonts w:hint="eastAsia" w:ascii="黑体" w:hAnsi="黑体" w:eastAsia="黑体" w:cs="黑体"/>
                <w:i/>
                <w:iCs/>
                <w:color w:val="000000"/>
                <w:sz w:val="18"/>
                <w:szCs w:val="18"/>
                <w:u w:val="none"/>
              </w:rPr>
            </w:pPr>
          </w:p>
        </w:tc>
      </w:tr>
      <w:tr w14:paraId="7C68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1CD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4D2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61E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6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7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C5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BE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F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5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1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C0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025E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9E254D">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2B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5A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31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参赛队员人数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0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21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C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E4D6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0F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82CC1">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65F97">
            <w:pPr>
              <w:jc w:val="center"/>
              <w:rPr>
                <w:rFonts w:hint="eastAsia" w:ascii="微软雅黑" w:hAnsi="微软雅黑" w:eastAsia="微软雅黑" w:cs="微软雅黑"/>
                <w:i/>
                <w:iCs/>
                <w:color w:val="000000"/>
                <w:sz w:val="16"/>
                <w:szCs w:val="16"/>
                <w:u w:val="none"/>
              </w:rPr>
            </w:pPr>
          </w:p>
        </w:tc>
      </w:tr>
      <w:tr w14:paraId="399A6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ECFC73">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F11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5BC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C3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技能人才参赛率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6E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3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B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8FE65">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B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7DC0C">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B80A">
            <w:pPr>
              <w:jc w:val="center"/>
              <w:rPr>
                <w:rFonts w:hint="eastAsia" w:ascii="微软雅黑" w:hAnsi="微软雅黑" w:eastAsia="微软雅黑" w:cs="微软雅黑"/>
                <w:i/>
                <w:iCs/>
                <w:color w:val="000000"/>
                <w:sz w:val="16"/>
                <w:szCs w:val="16"/>
                <w:u w:val="none"/>
              </w:rPr>
            </w:pPr>
          </w:p>
        </w:tc>
      </w:tr>
      <w:tr w14:paraId="4B23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6B8A">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A1871">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E7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7E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项目完成时间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3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59E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本年度12月初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0EE8D">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C5EB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DB7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0B2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DB8D3">
            <w:pPr>
              <w:jc w:val="center"/>
              <w:rPr>
                <w:rFonts w:hint="eastAsia" w:ascii="微软雅黑" w:hAnsi="微软雅黑" w:eastAsia="微软雅黑" w:cs="微软雅黑"/>
                <w:i/>
                <w:iCs/>
                <w:color w:val="000000"/>
                <w:sz w:val="16"/>
                <w:szCs w:val="16"/>
                <w:u w:val="none"/>
              </w:rPr>
            </w:pPr>
          </w:p>
        </w:tc>
      </w:tr>
      <w:tr w14:paraId="71CB6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6FE87">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693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A1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313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为全州培养更多的技能人才</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899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5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5DAC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9E73">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8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1D0AD">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859E0">
            <w:pPr>
              <w:jc w:val="center"/>
              <w:rPr>
                <w:rFonts w:hint="eastAsia" w:ascii="微软雅黑" w:hAnsi="微软雅黑" w:eastAsia="微软雅黑" w:cs="微软雅黑"/>
                <w:i/>
                <w:iCs/>
                <w:color w:val="000000"/>
                <w:sz w:val="16"/>
                <w:szCs w:val="16"/>
                <w:u w:val="none"/>
              </w:rPr>
            </w:pPr>
          </w:p>
        </w:tc>
      </w:tr>
      <w:tr w14:paraId="4D95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D7B2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0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4F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8D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参赛队员对工作的满意度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A4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2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54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8D3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B79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697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670D">
            <w:pPr>
              <w:jc w:val="center"/>
              <w:rPr>
                <w:rFonts w:hint="eastAsia" w:ascii="微软雅黑" w:hAnsi="微软雅黑" w:eastAsia="微软雅黑" w:cs="微软雅黑"/>
                <w:i/>
                <w:iCs/>
                <w:color w:val="000000"/>
                <w:sz w:val="16"/>
                <w:szCs w:val="16"/>
                <w:u w:val="none"/>
              </w:rPr>
            </w:pPr>
          </w:p>
        </w:tc>
      </w:tr>
      <w:tr w14:paraId="2CC3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6B711">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CEB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8A8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1F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差旅费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4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72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C3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12F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03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8ED56">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211FC">
            <w:pPr>
              <w:jc w:val="center"/>
              <w:rPr>
                <w:rFonts w:hint="eastAsia" w:ascii="微软雅黑" w:hAnsi="微软雅黑" w:eastAsia="微软雅黑" w:cs="微软雅黑"/>
                <w:i/>
                <w:iCs/>
                <w:color w:val="000000"/>
                <w:sz w:val="16"/>
                <w:szCs w:val="16"/>
                <w:u w:val="none"/>
              </w:rPr>
            </w:pPr>
          </w:p>
        </w:tc>
      </w:tr>
      <w:tr w14:paraId="4CBBB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7082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3066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6FB11">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C5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项目总金额</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14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A48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CC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2DF3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56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39BFE">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496D0">
            <w:pPr>
              <w:jc w:val="center"/>
              <w:rPr>
                <w:rFonts w:hint="eastAsia" w:ascii="微软雅黑" w:hAnsi="微软雅黑" w:eastAsia="微软雅黑" w:cs="微软雅黑"/>
                <w:i/>
                <w:iCs/>
                <w:color w:val="000000"/>
                <w:sz w:val="16"/>
                <w:szCs w:val="16"/>
                <w:u w:val="none"/>
              </w:rPr>
            </w:pPr>
          </w:p>
        </w:tc>
      </w:tr>
      <w:tr w14:paraId="27073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3BEA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21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EF7B8">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198B">
            <w:pPr>
              <w:rPr>
                <w:rFonts w:hint="eastAsia" w:ascii="宋体" w:hAnsi="宋体" w:eastAsia="宋体" w:cs="宋体"/>
                <w:i w:val="0"/>
                <w:iCs w:val="0"/>
                <w:color w:val="000000"/>
                <w:sz w:val="18"/>
                <w:szCs w:val="18"/>
                <w:u w:val="none"/>
              </w:rPr>
            </w:pPr>
          </w:p>
        </w:tc>
      </w:tr>
      <w:tr w14:paraId="2FBFE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F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FF14A1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5F50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32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0DBC6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F210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19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BD86BD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A52E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2F13BBD0">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4E26DA27">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38BC29A3">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452E24EA">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D050454">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A55354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01C7C72A">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51B18187">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126861DB">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E85E676">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27678C7A">
            <w:pPr>
              <w:rPr>
                <w:rFonts w:hint="eastAsia" w:ascii="宋体" w:hAnsi="宋体" w:eastAsia="宋体" w:cs="宋体"/>
                <w:i w:val="0"/>
                <w:iCs w:val="0"/>
                <w:color w:val="000000"/>
                <w:sz w:val="18"/>
                <w:szCs w:val="18"/>
                <w:u w:val="none"/>
              </w:rPr>
            </w:pPr>
          </w:p>
        </w:tc>
      </w:tr>
      <w:tr w14:paraId="49280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64933E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7618AB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5E4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FFFF00"/>
            <w:vAlign w:val="center"/>
          </w:tcPr>
          <w:p w14:paraId="7735661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51320024T000011589681-阿坝英才计划工作经费</w:t>
            </w:r>
          </w:p>
        </w:tc>
      </w:tr>
      <w:tr w14:paraId="60365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A478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E535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47245F0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9C75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643C3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B989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CD14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AEE6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FB1AA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271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17BD1">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B6453">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A7AD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"阿坝英才计划"入选人员资助资金</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0AD9B1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按照相关规定及时对该项资金进行了拨付。</w:t>
            </w:r>
          </w:p>
        </w:tc>
      </w:tr>
      <w:tr w14:paraId="05CD3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B2328">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75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80D0A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该笔资金项目入库后，按照相关规定及时对该项资金进行了拨付。</w:t>
            </w:r>
          </w:p>
        </w:tc>
      </w:tr>
      <w:tr w14:paraId="50BB85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858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D5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4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35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F37B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30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CA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91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B1C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1306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7DC6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4A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AE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504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9D08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2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6AC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3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470E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F29F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F55BF">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48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DE8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4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EA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57.00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B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AC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16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1216E">
            <w:pPr>
              <w:rPr>
                <w:rFonts w:hint="eastAsia" w:ascii="黑体" w:hAnsi="黑体" w:eastAsia="黑体" w:cs="黑体"/>
                <w:i/>
                <w:iCs/>
                <w:color w:val="000000"/>
                <w:sz w:val="18"/>
                <w:szCs w:val="18"/>
                <w:u w:val="none"/>
              </w:rPr>
            </w:pPr>
          </w:p>
        </w:tc>
      </w:tr>
      <w:tr w14:paraId="65408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6120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1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F3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6F2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40B9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A7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90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26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CCAC21">
            <w:pPr>
              <w:rPr>
                <w:rFonts w:hint="eastAsia" w:ascii="黑体" w:hAnsi="黑体" w:eastAsia="黑体" w:cs="黑体"/>
                <w:i/>
                <w:iCs/>
                <w:color w:val="000000"/>
                <w:sz w:val="18"/>
                <w:szCs w:val="18"/>
                <w:u w:val="none"/>
              </w:rPr>
            </w:pPr>
          </w:p>
        </w:tc>
      </w:tr>
      <w:tr w14:paraId="0CC6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62DA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6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9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3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67C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0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9D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61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C8D9C">
            <w:pPr>
              <w:rPr>
                <w:rFonts w:hint="eastAsia" w:ascii="黑体" w:hAnsi="黑体" w:eastAsia="黑体" w:cs="黑体"/>
                <w:i/>
                <w:iCs/>
                <w:color w:val="000000"/>
                <w:sz w:val="18"/>
                <w:szCs w:val="18"/>
                <w:u w:val="none"/>
              </w:rPr>
            </w:pPr>
          </w:p>
        </w:tc>
      </w:tr>
      <w:tr w14:paraId="61592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CCF5B">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70E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4E75F">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DAFEA">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5C65AB">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B94A">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9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75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70F18">
            <w:pPr>
              <w:rPr>
                <w:rFonts w:hint="eastAsia" w:ascii="黑体" w:hAnsi="黑体" w:eastAsia="黑体" w:cs="黑体"/>
                <w:i/>
                <w:iCs/>
                <w:color w:val="000000"/>
                <w:sz w:val="18"/>
                <w:szCs w:val="18"/>
                <w:u w:val="none"/>
              </w:rPr>
            </w:pPr>
          </w:p>
        </w:tc>
      </w:tr>
      <w:tr w14:paraId="5691A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BCC7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5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E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E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A41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21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B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F5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66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C3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D3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471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4CA8A">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72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A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9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F1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53E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F443">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4D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高标准 高质量完成该项目</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E3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853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7A4A">
            <w:pPr>
              <w:jc w:val="center"/>
              <w:rPr>
                <w:rFonts w:hint="eastAsia" w:ascii="微软雅黑" w:hAnsi="微软雅黑" w:eastAsia="微软雅黑" w:cs="微软雅黑"/>
                <w:i/>
                <w:iCs/>
                <w:color w:val="000000"/>
                <w:sz w:val="16"/>
                <w:szCs w:val="16"/>
                <w:u w:val="none"/>
              </w:rPr>
            </w:pPr>
          </w:p>
        </w:tc>
      </w:tr>
      <w:tr w14:paraId="674F9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7008B">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895C2">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8A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5F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支付及时率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AB0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F6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4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50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BC6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48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2B2B1">
            <w:pPr>
              <w:jc w:val="center"/>
              <w:rPr>
                <w:rFonts w:hint="eastAsia" w:ascii="微软雅黑" w:hAnsi="微软雅黑" w:eastAsia="微软雅黑" w:cs="微软雅黑"/>
                <w:i/>
                <w:iCs/>
                <w:color w:val="000000"/>
                <w:sz w:val="16"/>
                <w:szCs w:val="16"/>
                <w:u w:val="none"/>
              </w:rPr>
            </w:pPr>
          </w:p>
        </w:tc>
      </w:tr>
      <w:tr w14:paraId="532432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2BAB9">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6FC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983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B0C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C8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5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289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263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维护社会问题,促进阿坝州人才发展</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63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A48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759E4">
            <w:pPr>
              <w:jc w:val="center"/>
              <w:rPr>
                <w:rFonts w:hint="eastAsia" w:ascii="微软雅黑" w:hAnsi="微软雅黑" w:eastAsia="微软雅黑" w:cs="微软雅黑"/>
                <w:i/>
                <w:iCs/>
                <w:color w:val="000000"/>
                <w:sz w:val="16"/>
                <w:szCs w:val="16"/>
                <w:u w:val="none"/>
              </w:rPr>
            </w:pPr>
          </w:p>
        </w:tc>
      </w:tr>
      <w:tr w14:paraId="6916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35238">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CF8BF">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80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可持续发展指标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A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3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9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30AD9">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000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促进阿坝州人才发展</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75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B1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B358A">
            <w:pPr>
              <w:jc w:val="center"/>
              <w:rPr>
                <w:rFonts w:hint="eastAsia" w:ascii="微软雅黑" w:hAnsi="微软雅黑" w:eastAsia="微软雅黑" w:cs="微软雅黑"/>
                <w:i/>
                <w:iCs/>
                <w:color w:val="000000"/>
                <w:sz w:val="16"/>
                <w:szCs w:val="16"/>
                <w:u w:val="none"/>
              </w:rPr>
            </w:pPr>
          </w:p>
        </w:tc>
      </w:tr>
      <w:tr w14:paraId="73CA2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076B9">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4B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3ED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CD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授予对象满意度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D2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3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5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C6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AB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94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B86F">
            <w:pPr>
              <w:jc w:val="center"/>
              <w:rPr>
                <w:rFonts w:hint="eastAsia" w:ascii="微软雅黑" w:hAnsi="微软雅黑" w:eastAsia="微软雅黑" w:cs="微软雅黑"/>
                <w:i/>
                <w:iCs/>
                <w:color w:val="000000"/>
                <w:sz w:val="16"/>
                <w:szCs w:val="16"/>
                <w:u w:val="none"/>
              </w:rPr>
            </w:pPr>
          </w:p>
        </w:tc>
      </w:tr>
      <w:tr w14:paraId="6227E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32D3">
            <w:pPr>
              <w:jc w:val="center"/>
              <w:rPr>
                <w:rFonts w:hint="eastAsia" w:ascii="宋体" w:hAnsi="宋体" w:eastAsia="宋体" w:cs="宋体"/>
                <w:i w:val="0"/>
                <w:iCs w:val="0"/>
                <w:color w:val="000000"/>
                <w:sz w:val="18"/>
                <w:szCs w:val="18"/>
                <w:u w:val="none"/>
              </w:rPr>
            </w:pP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479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D4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EA9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回引人才标兵资助资金</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1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EC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B0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A3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0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D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1F13">
            <w:pPr>
              <w:jc w:val="center"/>
              <w:rPr>
                <w:rFonts w:hint="eastAsia" w:ascii="微软雅黑" w:hAnsi="微软雅黑" w:eastAsia="微软雅黑" w:cs="微软雅黑"/>
                <w:i/>
                <w:iCs/>
                <w:color w:val="000000"/>
                <w:sz w:val="16"/>
                <w:szCs w:val="16"/>
                <w:u w:val="none"/>
              </w:rPr>
            </w:pPr>
          </w:p>
        </w:tc>
      </w:tr>
      <w:tr w14:paraId="2E25C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AC57">
            <w:pPr>
              <w:jc w:val="cente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C060D">
            <w:pPr>
              <w:jc w:val="center"/>
              <w:rPr>
                <w:rFonts w:hint="eastAsia" w:ascii="宋体" w:hAnsi="宋体" w:eastAsia="宋体" w:cs="宋体"/>
                <w:i w:val="0"/>
                <w:iCs w:val="0"/>
                <w:color w:val="000000"/>
                <w:sz w:val="18"/>
                <w:szCs w:val="18"/>
                <w:u w:val="none"/>
              </w:rPr>
            </w:pPr>
          </w:p>
        </w:tc>
        <w:tc>
          <w:tcPr>
            <w:tcW w:w="1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4948A">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AF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雪山工匠工作经费</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0B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9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769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D0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11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69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09EB">
            <w:pPr>
              <w:jc w:val="center"/>
              <w:rPr>
                <w:rFonts w:hint="eastAsia" w:ascii="微软雅黑" w:hAnsi="微软雅黑" w:eastAsia="微软雅黑" w:cs="微软雅黑"/>
                <w:i/>
                <w:iCs/>
                <w:color w:val="000000"/>
                <w:sz w:val="16"/>
                <w:szCs w:val="16"/>
                <w:u w:val="none"/>
              </w:rPr>
            </w:pPr>
          </w:p>
        </w:tc>
      </w:tr>
      <w:tr w14:paraId="69746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074A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96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217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5177">
            <w:pPr>
              <w:rPr>
                <w:rFonts w:hint="eastAsia" w:ascii="宋体" w:hAnsi="宋体" w:eastAsia="宋体" w:cs="宋体"/>
                <w:i w:val="0"/>
                <w:iCs w:val="0"/>
                <w:color w:val="000000"/>
                <w:sz w:val="18"/>
                <w:szCs w:val="18"/>
                <w:u w:val="none"/>
              </w:rPr>
            </w:pPr>
          </w:p>
        </w:tc>
      </w:tr>
      <w:tr w14:paraId="23CAE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DB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1C0D8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较好的完成了绩效目标</w:t>
            </w:r>
          </w:p>
        </w:tc>
      </w:tr>
      <w:tr w14:paraId="6A5D6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32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A0DCB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52253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35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E840F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无</w:t>
            </w:r>
          </w:p>
        </w:tc>
      </w:tr>
      <w:tr w14:paraId="7F461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1F8DCAF">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1CB4664">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1001B6FF">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04C4E8C">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4597BD2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59E9ABB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A0DE3FC">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3910A7F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4D896CCA">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EB78701">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B5F8689">
            <w:pPr>
              <w:rPr>
                <w:rFonts w:hint="eastAsia" w:ascii="宋体" w:hAnsi="宋体" w:eastAsia="宋体" w:cs="宋体"/>
                <w:i w:val="0"/>
                <w:iCs w:val="0"/>
                <w:color w:val="000000"/>
                <w:sz w:val="18"/>
                <w:szCs w:val="18"/>
                <w:u w:val="none"/>
              </w:rPr>
            </w:pPr>
          </w:p>
        </w:tc>
      </w:tr>
      <w:tr w14:paraId="545AF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F0BF8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DB3D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BA0E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5FA4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51320025T000012646345-大中专毕业生就业创业激励资金</w:t>
            </w:r>
          </w:p>
        </w:tc>
      </w:tr>
      <w:tr w14:paraId="1E86B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7154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AD0C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09674A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E74D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0B3BB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FC1F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A665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06AE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6D1315">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649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67822">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0A864">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F43A98">
            <w:pPr>
              <w:rPr>
                <w:rFonts w:hint="eastAsia" w:ascii="宋体" w:hAnsi="宋体" w:eastAsia="宋体" w:cs="宋体"/>
                <w:i w:val="0"/>
                <w:iCs w:val="0"/>
                <w:color w:val="000000"/>
                <w:sz w:val="18"/>
                <w:szCs w:val="18"/>
                <w:u w:val="none"/>
              </w:rPr>
            </w:pP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34A73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9275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7DB27">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D8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932E38">
            <w:pPr>
              <w:rPr>
                <w:rFonts w:hint="eastAsia" w:ascii="宋体" w:hAnsi="宋体" w:eastAsia="宋体" w:cs="宋体"/>
                <w:i w:val="0"/>
                <w:iCs w:val="0"/>
                <w:color w:val="000000"/>
                <w:sz w:val="18"/>
                <w:szCs w:val="18"/>
                <w:u w:val="none"/>
              </w:rPr>
            </w:pPr>
          </w:p>
        </w:tc>
      </w:tr>
      <w:tr w14:paraId="2C56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9B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50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0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E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23E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B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A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904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D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2CD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DB2C2">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A7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25F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520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B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4E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2B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CCB0D">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261DE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C112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993C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30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C8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2B8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06E5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2ED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C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92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5507C">
            <w:pPr>
              <w:rPr>
                <w:rFonts w:hint="eastAsia" w:ascii="黑体" w:hAnsi="黑体" w:eastAsia="黑体" w:cs="黑体"/>
                <w:i/>
                <w:iCs/>
                <w:color w:val="000000"/>
                <w:sz w:val="18"/>
                <w:szCs w:val="18"/>
                <w:u w:val="none"/>
              </w:rPr>
            </w:pPr>
          </w:p>
        </w:tc>
      </w:tr>
      <w:tr w14:paraId="6225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EBF08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0F6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2A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F2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4BD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6F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5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5B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AF9BE">
            <w:pPr>
              <w:rPr>
                <w:rFonts w:hint="eastAsia" w:ascii="黑体" w:hAnsi="黑体" w:eastAsia="黑体" w:cs="黑体"/>
                <w:i/>
                <w:iCs/>
                <w:color w:val="000000"/>
                <w:sz w:val="18"/>
                <w:szCs w:val="18"/>
                <w:u w:val="none"/>
              </w:rPr>
            </w:pPr>
          </w:p>
        </w:tc>
      </w:tr>
      <w:tr w14:paraId="355A0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00FC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F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3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37B7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3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2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76777">
            <w:pPr>
              <w:rPr>
                <w:rFonts w:hint="eastAsia" w:ascii="黑体" w:hAnsi="黑体" w:eastAsia="黑体" w:cs="黑体"/>
                <w:i/>
                <w:iCs/>
                <w:color w:val="000000"/>
                <w:sz w:val="18"/>
                <w:szCs w:val="18"/>
                <w:u w:val="none"/>
              </w:rPr>
            </w:pPr>
          </w:p>
        </w:tc>
      </w:tr>
      <w:tr w14:paraId="05B46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04253">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72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EFCC">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E8C0">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9B316F">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87C88">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1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348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862DB">
            <w:pPr>
              <w:rPr>
                <w:rFonts w:hint="eastAsia" w:ascii="黑体" w:hAnsi="黑体" w:eastAsia="黑体" w:cs="黑体"/>
                <w:i/>
                <w:iCs/>
                <w:color w:val="000000"/>
                <w:sz w:val="18"/>
                <w:szCs w:val="18"/>
                <w:u w:val="none"/>
              </w:rPr>
            </w:pPr>
          </w:p>
        </w:tc>
      </w:tr>
      <w:tr w14:paraId="73287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94B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67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33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8F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9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B2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C98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344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44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61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A5A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AE1B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D5C8C">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2E50">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07ED">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1EB69">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55EB">
            <w:pPr>
              <w:jc w:val="center"/>
              <w:rPr>
                <w:rFonts w:hint="eastAsia" w:ascii="宋体" w:hAnsi="宋体" w:eastAsia="宋体" w:cs="宋体"/>
                <w:i w:val="0"/>
                <w:iCs w:val="0"/>
                <w:color w:val="000000"/>
                <w:sz w:val="18"/>
                <w:szCs w:val="18"/>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2EE6">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B073B">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07B0">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AEF4">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F9C3B">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13E1E">
            <w:pPr>
              <w:jc w:val="center"/>
              <w:rPr>
                <w:rFonts w:hint="eastAsia" w:ascii="微软雅黑" w:hAnsi="微软雅黑" w:eastAsia="微软雅黑" w:cs="微软雅黑"/>
                <w:i/>
                <w:iCs/>
                <w:color w:val="000000"/>
                <w:sz w:val="16"/>
                <w:szCs w:val="16"/>
                <w:u w:val="none"/>
              </w:rPr>
            </w:pPr>
          </w:p>
        </w:tc>
      </w:tr>
      <w:tr w14:paraId="31DBD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5926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23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A8906">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21BA4">
            <w:pPr>
              <w:rPr>
                <w:rFonts w:hint="eastAsia" w:ascii="宋体" w:hAnsi="宋体" w:eastAsia="宋体" w:cs="宋体"/>
                <w:i w:val="0"/>
                <w:iCs w:val="0"/>
                <w:color w:val="000000"/>
                <w:sz w:val="18"/>
                <w:szCs w:val="18"/>
                <w:u w:val="none"/>
              </w:rPr>
            </w:pPr>
          </w:p>
        </w:tc>
      </w:tr>
      <w:tr w14:paraId="4B252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F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ECC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50BA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26E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797C8E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F19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36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F539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77C7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0548BF06">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7A050AA3">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6B036E95">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58CE96C6">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635234E9">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896B4C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1889F7F2">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3A4576D">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392ABEC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2B172B19">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7ACF4FBF">
            <w:pPr>
              <w:rPr>
                <w:rFonts w:hint="eastAsia" w:ascii="宋体" w:hAnsi="宋体" w:eastAsia="宋体" w:cs="宋体"/>
                <w:i w:val="0"/>
                <w:iCs w:val="0"/>
                <w:color w:val="000000"/>
                <w:sz w:val="18"/>
                <w:szCs w:val="18"/>
                <w:u w:val="none"/>
              </w:rPr>
            </w:pPr>
          </w:p>
        </w:tc>
      </w:tr>
      <w:tr w14:paraId="507EF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1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632FAB6">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9DDD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D3212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6D76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51320025T000012972690-访企探岗活动专项</w:t>
            </w:r>
          </w:p>
        </w:tc>
      </w:tr>
      <w:tr w14:paraId="3377A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27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DC8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0CC5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州人社局部门</w:t>
            </w:r>
          </w:p>
        </w:tc>
        <w:tc>
          <w:tcPr>
            <w:tcW w:w="1095" w:type="dxa"/>
            <w:tcBorders>
              <w:top w:val="nil"/>
              <w:left w:val="nil"/>
              <w:bottom w:val="nil"/>
              <w:right w:val="nil"/>
            </w:tcBorders>
            <w:shd w:val="clear" w:color="auto" w:fill="auto"/>
            <w:vAlign w:val="center"/>
          </w:tcPr>
          <w:p w14:paraId="6BE2B7C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3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9878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州人社局</w:t>
            </w:r>
          </w:p>
        </w:tc>
      </w:tr>
      <w:tr w14:paraId="2CCBF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8F75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9E84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C9B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04300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0C5C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388E8A">
            <w:pPr>
              <w:rPr>
                <w:rFonts w:hint="eastAsia" w:ascii="宋体" w:hAnsi="宋体" w:eastAsia="宋体" w:cs="宋体"/>
                <w:i w:val="0"/>
                <w:iCs w:val="0"/>
                <w:color w:val="000000"/>
                <w:sz w:val="18"/>
                <w:szCs w:val="18"/>
                <w:u w:val="none"/>
              </w:rPr>
            </w:pPr>
          </w:p>
        </w:tc>
        <w:tc>
          <w:tcPr>
            <w:tcW w:w="20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53317">
            <w:pPr>
              <w:rPr>
                <w:rFonts w:hint="eastAsia" w:ascii="宋体" w:hAnsi="宋体" w:eastAsia="宋体" w:cs="宋体"/>
                <w:i w:val="0"/>
                <w:iCs w:val="0"/>
                <w:color w:val="000000"/>
                <w:sz w:val="18"/>
                <w:szCs w:val="18"/>
                <w:u w:val="none"/>
              </w:rPr>
            </w:pPr>
          </w:p>
        </w:tc>
        <w:tc>
          <w:tcPr>
            <w:tcW w:w="674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3A8029">
            <w:pPr>
              <w:rPr>
                <w:rFonts w:hint="eastAsia" w:ascii="宋体" w:hAnsi="宋体" w:eastAsia="宋体" w:cs="宋体"/>
                <w:i w:val="0"/>
                <w:iCs w:val="0"/>
                <w:color w:val="000000"/>
                <w:sz w:val="18"/>
                <w:szCs w:val="18"/>
                <w:u w:val="none"/>
              </w:rPr>
            </w:pPr>
          </w:p>
        </w:tc>
        <w:tc>
          <w:tcPr>
            <w:tcW w:w="463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5980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6EC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4"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2A359">
            <w:pP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BA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78"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CD8507">
            <w:pPr>
              <w:rPr>
                <w:rFonts w:hint="eastAsia" w:ascii="宋体" w:hAnsi="宋体" w:eastAsia="宋体" w:cs="宋体"/>
                <w:i w:val="0"/>
                <w:iCs w:val="0"/>
                <w:color w:val="000000"/>
                <w:sz w:val="18"/>
                <w:szCs w:val="18"/>
                <w:u w:val="none"/>
              </w:rPr>
            </w:pPr>
          </w:p>
        </w:tc>
      </w:tr>
      <w:tr w14:paraId="76A8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5D5B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1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BF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547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C9C6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64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03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D1E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6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98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05E596">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4B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DE2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C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9D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E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3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F204E">
            <w:pPr>
              <w:jc w:val="center"/>
              <w:rPr>
                <w:rFonts w:hint="eastAsia" w:ascii="宋体" w:hAnsi="宋体" w:eastAsia="宋体" w:cs="宋体"/>
                <w:i w:val="0"/>
                <w:iCs w:val="0"/>
                <w:color w:val="000000"/>
                <w:sz w:val="18"/>
                <w:szCs w:val="18"/>
                <w:u w:val="none"/>
              </w:rPr>
            </w:pPr>
          </w:p>
        </w:tc>
        <w:tc>
          <w:tcPr>
            <w:tcW w:w="25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E8C65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22D8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53FA5">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AB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3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B2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095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4.60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96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76C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1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33E891">
            <w:pPr>
              <w:rPr>
                <w:rFonts w:hint="eastAsia" w:ascii="黑体" w:hAnsi="黑体" w:eastAsia="黑体" w:cs="黑体"/>
                <w:i/>
                <w:iCs/>
                <w:color w:val="000000"/>
                <w:sz w:val="18"/>
                <w:szCs w:val="18"/>
                <w:u w:val="none"/>
              </w:rPr>
            </w:pPr>
          </w:p>
        </w:tc>
      </w:tr>
      <w:tr w14:paraId="09554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82D4">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FFA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26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F7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623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EB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7C6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E5E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DECB9">
            <w:pPr>
              <w:rPr>
                <w:rFonts w:hint="eastAsia" w:ascii="黑体" w:hAnsi="黑体" w:eastAsia="黑体" w:cs="黑体"/>
                <w:i/>
                <w:iCs/>
                <w:color w:val="000000"/>
                <w:sz w:val="18"/>
                <w:szCs w:val="18"/>
                <w:u w:val="none"/>
              </w:rPr>
            </w:pPr>
          </w:p>
        </w:tc>
      </w:tr>
      <w:tr w14:paraId="4650B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27C6D">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E6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7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2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1D5A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55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5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46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3CF1D">
            <w:pPr>
              <w:rPr>
                <w:rFonts w:hint="eastAsia" w:ascii="黑体" w:hAnsi="黑体" w:eastAsia="黑体" w:cs="黑体"/>
                <w:i/>
                <w:iCs/>
                <w:color w:val="000000"/>
                <w:sz w:val="18"/>
                <w:szCs w:val="18"/>
                <w:u w:val="none"/>
              </w:rPr>
            </w:pPr>
          </w:p>
        </w:tc>
      </w:tr>
      <w:tr w14:paraId="39A11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621B0">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FD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7BD0">
            <w:pPr>
              <w:jc w:val="center"/>
              <w:rPr>
                <w:rFonts w:hint="eastAsia" w:ascii="微软雅黑" w:hAnsi="微软雅黑" w:eastAsia="微软雅黑" w:cs="微软雅黑"/>
                <w:i/>
                <w:iCs/>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CFC5">
            <w:pPr>
              <w:jc w:val="center"/>
              <w:rPr>
                <w:rFonts w:hint="eastAsia" w:ascii="微软雅黑" w:hAnsi="微软雅黑" w:eastAsia="微软雅黑" w:cs="微软雅黑"/>
                <w:i/>
                <w:iCs/>
                <w:color w:val="000000"/>
                <w:sz w:val="16"/>
                <w:szCs w:val="16"/>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D955B7">
            <w:pPr>
              <w:jc w:val="center"/>
              <w:rPr>
                <w:rFonts w:hint="eastAsia" w:ascii="微软雅黑" w:hAnsi="微软雅黑" w:eastAsia="微软雅黑" w:cs="微软雅黑"/>
                <w:i/>
                <w:iCs/>
                <w:color w:val="000000"/>
                <w:sz w:val="16"/>
                <w:szCs w:val="16"/>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BA28E">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51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58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3506E">
            <w:pPr>
              <w:rPr>
                <w:rFonts w:hint="eastAsia" w:ascii="黑体" w:hAnsi="黑体" w:eastAsia="黑体" w:cs="黑体"/>
                <w:i/>
                <w:iCs/>
                <w:color w:val="000000"/>
                <w:sz w:val="18"/>
                <w:szCs w:val="18"/>
                <w:u w:val="none"/>
              </w:rPr>
            </w:pPr>
          </w:p>
        </w:tc>
      </w:tr>
      <w:tr w14:paraId="08EC3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34C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01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215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69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4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8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B2C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B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F07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A6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0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526D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8FFD41">
            <w:pPr>
              <w:jc w:val="center"/>
              <w:rPr>
                <w:rFonts w:hint="eastAsia" w:ascii="宋体" w:hAnsi="宋体" w:eastAsia="宋体" w:cs="宋体"/>
                <w:i w:val="0"/>
                <w:iCs w:val="0"/>
                <w:color w:val="000000"/>
                <w:sz w:val="18"/>
                <w:szCs w:val="18"/>
                <w:u w:val="none"/>
              </w:rPr>
            </w:pPr>
          </w:p>
        </w:tc>
        <w:tc>
          <w:tcPr>
            <w:tcW w:w="2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0E3B6">
            <w:pPr>
              <w:jc w:val="center"/>
              <w:rPr>
                <w:rFonts w:hint="eastAsia" w:ascii="宋体" w:hAnsi="宋体" w:eastAsia="宋体" w:cs="宋体"/>
                <w:i w:val="0"/>
                <w:iCs w:val="0"/>
                <w:color w:val="000000"/>
                <w:sz w:val="18"/>
                <w:szCs w:val="18"/>
                <w:u w:val="none"/>
              </w:rPr>
            </w:pPr>
          </w:p>
        </w:tc>
        <w:tc>
          <w:tcPr>
            <w:tcW w:w="1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9389">
            <w:pPr>
              <w:jc w:val="center"/>
              <w:rPr>
                <w:rFonts w:hint="eastAsia" w:ascii="宋体" w:hAnsi="宋体" w:eastAsia="宋体" w:cs="宋体"/>
                <w:i w:val="0"/>
                <w:iCs w:val="0"/>
                <w:color w:val="000000"/>
                <w:sz w:val="18"/>
                <w:szCs w:val="18"/>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36EF">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9A57">
            <w:pPr>
              <w:jc w:val="center"/>
              <w:rPr>
                <w:rFonts w:hint="eastAsia" w:ascii="宋体" w:hAnsi="宋体" w:eastAsia="宋体" w:cs="宋体"/>
                <w:i w:val="0"/>
                <w:iCs w:val="0"/>
                <w:color w:val="000000"/>
                <w:sz w:val="18"/>
                <w:szCs w:val="18"/>
                <w:u w:val="none"/>
              </w:rPr>
            </w:pPr>
          </w:p>
        </w:tc>
        <w:tc>
          <w:tcPr>
            <w:tcW w:w="1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8E5C">
            <w:pPr>
              <w:jc w:val="center"/>
              <w:rPr>
                <w:rFonts w:hint="eastAsia" w:ascii="宋体" w:hAnsi="宋体" w:eastAsia="宋体" w:cs="宋体"/>
                <w:i w:val="0"/>
                <w:iCs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873EA">
            <w:pPr>
              <w:jc w:val="center"/>
              <w:rPr>
                <w:rFonts w:hint="eastAsia" w:ascii="宋体" w:hAnsi="宋体" w:eastAsia="宋体" w:cs="宋体"/>
                <w:i w:val="0"/>
                <w:iCs w:val="0"/>
                <w:color w:val="000000"/>
                <w:sz w:val="18"/>
                <w:szCs w:val="18"/>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0F84B">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B292D">
            <w:pPr>
              <w:jc w:val="center"/>
              <w:rPr>
                <w:rFonts w:hint="eastAsia" w:ascii="宋体" w:hAnsi="宋体" w:eastAsia="宋体" w:cs="宋体"/>
                <w:i w:val="0"/>
                <w:iCs w:val="0"/>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50D82">
            <w:pPr>
              <w:jc w:val="cente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69F28">
            <w:pPr>
              <w:jc w:val="center"/>
              <w:rPr>
                <w:rFonts w:hint="eastAsia" w:ascii="微软雅黑" w:hAnsi="微软雅黑" w:eastAsia="微软雅黑" w:cs="微软雅黑"/>
                <w:i/>
                <w:iCs/>
                <w:color w:val="000000"/>
                <w:sz w:val="16"/>
                <w:szCs w:val="16"/>
                <w:u w:val="none"/>
              </w:rPr>
            </w:pPr>
          </w:p>
        </w:tc>
      </w:tr>
      <w:tr w14:paraId="012D3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57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B355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0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2AE4">
            <w:pPr>
              <w:rPr>
                <w:rFonts w:hint="eastAsia" w:ascii="宋体" w:hAnsi="宋体" w:eastAsia="宋体" w:cs="宋体"/>
                <w:i w:val="0"/>
                <w:iCs w:val="0"/>
                <w:color w:val="000000"/>
                <w:sz w:val="18"/>
                <w:szCs w:val="18"/>
                <w:u w:val="none"/>
              </w:rP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421CB">
            <w:pPr>
              <w:rPr>
                <w:rFonts w:hint="eastAsia" w:ascii="宋体" w:hAnsi="宋体" w:eastAsia="宋体" w:cs="宋体"/>
                <w:i w:val="0"/>
                <w:iCs w:val="0"/>
                <w:color w:val="000000"/>
                <w:sz w:val="18"/>
                <w:szCs w:val="18"/>
                <w:u w:val="none"/>
              </w:rPr>
            </w:pPr>
          </w:p>
        </w:tc>
      </w:tr>
      <w:tr w14:paraId="06CD8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1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93983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DBB3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6F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6F159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7230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FE7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2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7485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1989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89" w:type="dxa"/>
            <w:tcBorders>
              <w:top w:val="nil"/>
              <w:left w:val="nil"/>
              <w:bottom w:val="nil"/>
              <w:right w:val="nil"/>
            </w:tcBorders>
            <w:shd w:val="clear" w:color="auto" w:fill="auto"/>
            <w:vAlign w:val="center"/>
          </w:tcPr>
          <w:p w14:paraId="54F9AC54">
            <w:pPr>
              <w:rPr>
                <w:rFonts w:hint="eastAsia" w:ascii="宋体" w:hAnsi="宋体" w:eastAsia="宋体" w:cs="宋体"/>
                <w:i w:val="0"/>
                <w:iCs w:val="0"/>
                <w:color w:val="000000"/>
                <w:sz w:val="18"/>
                <w:szCs w:val="18"/>
                <w:u w:val="none"/>
              </w:rPr>
            </w:pPr>
          </w:p>
        </w:tc>
        <w:tc>
          <w:tcPr>
            <w:tcW w:w="2048" w:type="dxa"/>
            <w:tcBorders>
              <w:top w:val="nil"/>
              <w:left w:val="nil"/>
              <w:bottom w:val="nil"/>
              <w:right w:val="nil"/>
            </w:tcBorders>
            <w:shd w:val="clear" w:color="auto" w:fill="auto"/>
            <w:vAlign w:val="center"/>
          </w:tcPr>
          <w:p w14:paraId="3F08EEF8">
            <w:pPr>
              <w:rPr>
                <w:rFonts w:hint="eastAsia" w:ascii="宋体" w:hAnsi="宋体" w:eastAsia="宋体" w:cs="宋体"/>
                <w:i w:val="0"/>
                <w:iCs w:val="0"/>
                <w:color w:val="000000"/>
                <w:sz w:val="18"/>
                <w:szCs w:val="18"/>
                <w:u w:val="none"/>
              </w:rPr>
            </w:pPr>
          </w:p>
        </w:tc>
        <w:tc>
          <w:tcPr>
            <w:tcW w:w="1764" w:type="dxa"/>
            <w:tcBorders>
              <w:top w:val="nil"/>
              <w:left w:val="nil"/>
              <w:bottom w:val="nil"/>
              <w:right w:val="nil"/>
            </w:tcBorders>
            <w:shd w:val="clear" w:color="auto" w:fill="auto"/>
            <w:vAlign w:val="center"/>
          </w:tcPr>
          <w:p w14:paraId="700CB4CD">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vAlign w:val="center"/>
          </w:tcPr>
          <w:p w14:paraId="74AF3397">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5697FD87">
            <w:pPr>
              <w:rPr>
                <w:rFonts w:hint="eastAsia" w:ascii="宋体" w:hAnsi="宋体" w:eastAsia="宋体" w:cs="宋体"/>
                <w:i w:val="0"/>
                <w:iCs w:val="0"/>
                <w:color w:val="000000"/>
                <w:sz w:val="18"/>
                <w:szCs w:val="18"/>
                <w:u w:val="none"/>
              </w:rPr>
            </w:pPr>
          </w:p>
        </w:tc>
        <w:tc>
          <w:tcPr>
            <w:tcW w:w="1674" w:type="dxa"/>
            <w:tcBorders>
              <w:top w:val="nil"/>
              <w:left w:val="nil"/>
              <w:bottom w:val="nil"/>
              <w:right w:val="nil"/>
            </w:tcBorders>
            <w:shd w:val="clear" w:color="auto" w:fill="auto"/>
            <w:vAlign w:val="center"/>
          </w:tcPr>
          <w:p w14:paraId="327085DB">
            <w:pPr>
              <w:rPr>
                <w:rFonts w:hint="eastAsia" w:ascii="宋体" w:hAnsi="宋体" w:eastAsia="宋体" w:cs="宋体"/>
                <w:i w:val="0"/>
                <w:iCs w:val="0"/>
                <w:color w:val="000000"/>
                <w:sz w:val="18"/>
                <w:szCs w:val="18"/>
                <w:u w:val="none"/>
              </w:rPr>
            </w:pPr>
          </w:p>
        </w:tc>
        <w:tc>
          <w:tcPr>
            <w:tcW w:w="525" w:type="dxa"/>
            <w:tcBorders>
              <w:top w:val="nil"/>
              <w:left w:val="nil"/>
              <w:bottom w:val="nil"/>
              <w:right w:val="nil"/>
            </w:tcBorders>
            <w:shd w:val="clear" w:color="auto" w:fill="auto"/>
            <w:vAlign w:val="center"/>
          </w:tcPr>
          <w:p w14:paraId="3F521993">
            <w:pPr>
              <w:rPr>
                <w:rFonts w:hint="eastAsia" w:ascii="宋体" w:hAnsi="宋体" w:eastAsia="宋体" w:cs="宋体"/>
                <w:i w:val="0"/>
                <w:iCs w:val="0"/>
                <w:color w:val="000000"/>
                <w:sz w:val="18"/>
                <w:szCs w:val="18"/>
                <w:u w:val="none"/>
              </w:rPr>
            </w:pPr>
          </w:p>
        </w:tc>
        <w:tc>
          <w:tcPr>
            <w:tcW w:w="1095" w:type="dxa"/>
            <w:tcBorders>
              <w:top w:val="nil"/>
              <w:left w:val="nil"/>
              <w:bottom w:val="nil"/>
              <w:right w:val="nil"/>
            </w:tcBorders>
            <w:shd w:val="clear" w:color="auto" w:fill="auto"/>
            <w:vAlign w:val="center"/>
          </w:tcPr>
          <w:p w14:paraId="6453EB35">
            <w:pPr>
              <w:rPr>
                <w:rFonts w:hint="eastAsia" w:ascii="宋体" w:hAnsi="宋体" w:eastAsia="宋体" w:cs="宋体"/>
                <w:i w:val="0"/>
                <w:iCs w:val="0"/>
                <w:color w:val="000000"/>
                <w:sz w:val="18"/>
                <w:szCs w:val="18"/>
                <w:u w:val="none"/>
              </w:rPr>
            </w:pPr>
          </w:p>
        </w:tc>
        <w:tc>
          <w:tcPr>
            <w:tcW w:w="510" w:type="dxa"/>
            <w:tcBorders>
              <w:top w:val="nil"/>
              <w:left w:val="nil"/>
              <w:bottom w:val="nil"/>
              <w:right w:val="nil"/>
            </w:tcBorders>
            <w:shd w:val="clear" w:color="auto" w:fill="auto"/>
            <w:vAlign w:val="center"/>
          </w:tcPr>
          <w:p w14:paraId="7BAE6F2F">
            <w:pPr>
              <w:rPr>
                <w:rFonts w:hint="eastAsia" w:ascii="宋体" w:hAnsi="宋体" w:eastAsia="宋体" w:cs="宋体"/>
                <w:i w:val="0"/>
                <w:iCs w:val="0"/>
                <w:color w:val="000000"/>
                <w:sz w:val="18"/>
                <w:szCs w:val="18"/>
                <w:u w:val="none"/>
              </w:rPr>
            </w:pPr>
          </w:p>
        </w:tc>
        <w:tc>
          <w:tcPr>
            <w:tcW w:w="486" w:type="dxa"/>
            <w:tcBorders>
              <w:top w:val="nil"/>
              <w:left w:val="nil"/>
              <w:bottom w:val="nil"/>
              <w:right w:val="nil"/>
            </w:tcBorders>
            <w:shd w:val="clear" w:color="auto" w:fill="auto"/>
            <w:vAlign w:val="center"/>
          </w:tcPr>
          <w:p w14:paraId="38E0A944">
            <w:pPr>
              <w:rPr>
                <w:rFonts w:hint="eastAsia" w:ascii="宋体" w:hAnsi="宋体" w:eastAsia="宋体" w:cs="宋体"/>
                <w:i w:val="0"/>
                <w:iCs w:val="0"/>
                <w:color w:val="000000"/>
                <w:sz w:val="18"/>
                <w:szCs w:val="18"/>
                <w:u w:val="none"/>
              </w:rPr>
            </w:pPr>
          </w:p>
        </w:tc>
        <w:tc>
          <w:tcPr>
            <w:tcW w:w="2541" w:type="dxa"/>
            <w:tcBorders>
              <w:top w:val="nil"/>
              <w:left w:val="nil"/>
              <w:bottom w:val="nil"/>
              <w:right w:val="nil"/>
            </w:tcBorders>
            <w:shd w:val="clear" w:color="auto" w:fill="auto"/>
            <w:vAlign w:val="center"/>
          </w:tcPr>
          <w:p w14:paraId="0C574BD8">
            <w:pPr>
              <w:rPr>
                <w:rFonts w:hint="eastAsia" w:ascii="宋体" w:hAnsi="宋体" w:eastAsia="宋体" w:cs="宋体"/>
                <w:i w:val="0"/>
                <w:iCs w:val="0"/>
                <w:color w:val="000000"/>
                <w:sz w:val="18"/>
                <w:szCs w:val="18"/>
                <w:u w:val="none"/>
              </w:rPr>
            </w:pPr>
          </w:p>
        </w:tc>
      </w:tr>
    </w:tbl>
    <w:p w14:paraId="338D8F50">
      <w:pPr>
        <w:pStyle w:val="2"/>
        <w:rPr>
          <w:rFonts w:hint="eastAsia"/>
          <w:lang w:val="zh-CN"/>
        </w:rPr>
      </w:pPr>
    </w:p>
    <w:p w14:paraId="1DF4B5FC">
      <w:pPr>
        <w:pStyle w:val="3"/>
        <w:rPr>
          <w:rFonts w:hint="eastAsia"/>
          <w:lang w:val="zh-CN"/>
        </w:rPr>
      </w:pPr>
    </w:p>
    <w:p w14:paraId="6A54D18B">
      <w:pPr>
        <w:widowControl/>
        <w:jc w:val="both"/>
        <w:rPr>
          <w:rFonts w:hint="eastAsia" w:ascii="Times New Roman" w:hAnsi="Times New Roman" w:eastAsia="黑体"/>
          <w:color w:val="auto"/>
          <w:sz w:val="44"/>
          <w:szCs w:val="44"/>
          <w:highlight w:val="none"/>
        </w:rPr>
      </w:pPr>
      <w:bookmarkStart w:id="56" w:name="_Toc15396618"/>
    </w:p>
    <w:p w14:paraId="0B799CE2">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0"/>
          <w:rFonts w:hint="eastAsia" w:ascii="Times New Roman" w:hAnsi="Times New Roman" w:eastAsia="黑体"/>
          <w:b w:val="0"/>
          <w:color w:val="auto"/>
          <w:highlight w:val="none"/>
        </w:rPr>
        <w:t>五部分 附表</w:t>
      </w:r>
      <w:bookmarkEnd w:id="54"/>
      <w:bookmarkEnd w:id="56"/>
      <w:bookmarkStart w:id="57" w:name="_Toc15396619"/>
    </w:p>
    <w:p w14:paraId="2D037B6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79C322C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7"/>
    </w:p>
    <w:p w14:paraId="3B8B8D2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0"/>
      <w:r>
        <w:rPr>
          <w:rFonts w:hint="eastAsia" w:ascii="Times New Roman" w:hAnsi="Times New Roman" w:eastAsia="仿宋_GB2312" w:cs="仿宋_GB2312"/>
          <w:color w:val="auto"/>
          <w:sz w:val="32"/>
          <w:szCs w:val="32"/>
          <w:highlight w:val="none"/>
        </w:rPr>
        <w:t>二、收入决算表</w:t>
      </w:r>
      <w:bookmarkEnd w:id="58"/>
    </w:p>
    <w:p w14:paraId="45F1D3FF">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1"/>
      <w:r>
        <w:rPr>
          <w:rFonts w:hint="eastAsia" w:ascii="Times New Roman" w:hAnsi="Times New Roman" w:eastAsia="仿宋_GB2312" w:cs="仿宋_GB2312"/>
          <w:color w:val="auto"/>
          <w:sz w:val="32"/>
          <w:szCs w:val="32"/>
          <w:highlight w:val="none"/>
        </w:rPr>
        <w:t>三、支出决算表</w:t>
      </w:r>
      <w:bookmarkEnd w:id="59"/>
    </w:p>
    <w:p w14:paraId="4FFDB209">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2"/>
      <w:r>
        <w:rPr>
          <w:rFonts w:hint="eastAsia" w:ascii="Times New Roman" w:hAnsi="Times New Roman" w:eastAsia="仿宋_GB2312" w:cs="仿宋_GB2312"/>
          <w:color w:val="auto"/>
          <w:sz w:val="32"/>
          <w:szCs w:val="32"/>
          <w:highlight w:val="none"/>
        </w:rPr>
        <w:t>四、财政拨款收入支出决算总表</w:t>
      </w:r>
      <w:bookmarkEnd w:id="60"/>
    </w:p>
    <w:p w14:paraId="48519442">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3"/>
      <w:r>
        <w:rPr>
          <w:rFonts w:hint="eastAsia" w:ascii="Times New Roman" w:hAnsi="Times New Roman" w:eastAsia="仿宋_GB2312" w:cs="仿宋_GB2312"/>
          <w:color w:val="auto"/>
          <w:sz w:val="32"/>
          <w:szCs w:val="32"/>
          <w:highlight w:val="none"/>
        </w:rPr>
        <w:t>五、财政拨款支出决算明细表</w:t>
      </w:r>
      <w:bookmarkEnd w:id="61"/>
      <w:bookmarkStart w:id="62" w:name="_Toc15396624"/>
    </w:p>
    <w:p w14:paraId="65DA11BB">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2"/>
    </w:p>
    <w:p w14:paraId="43120541">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5"/>
      <w:r>
        <w:rPr>
          <w:rFonts w:hint="eastAsia" w:ascii="Times New Roman" w:hAnsi="Times New Roman" w:eastAsia="仿宋_GB2312" w:cs="仿宋_GB2312"/>
          <w:color w:val="auto"/>
          <w:sz w:val="32"/>
          <w:szCs w:val="32"/>
          <w:highlight w:val="none"/>
        </w:rPr>
        <w:t>七、一般公共预算财政拨款支出决算明细表</w:t>
      </w:r>
      <w:bookmarkEnd w:id="63"/>
    </w:p>
    <w:p w14:paraId="4E47A7C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6"/>
      <w:r>
        <w:rPr>
          <w:rFonts w:hint="eastAsia" w:ascii="Times New Roman" w:hAnsi="Times New Roman" w:eastAsia="仿宋_GB2312" w:cs="仿宋_GB2312"/>
          <w:color w:val="auto"/>
          <w:sz w:val="32"/>
          <w:szCs w:val="32"/>
          <w:highlight w:val="none"/>
        </w:rPr>
        <w:t>八、一般公共预算财政拨款基本支出决算表</w:t>
      </w:r>
      <w:bookmarkEnd w:id="64"/>
    </w:p>
    <w:p w14:paraId="03371334">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7"/>
      <w:r>
        <w:rPr>
          <w:rFonts w:hint="eastAsia" w:ascii="Times New Roman" w:hAnsi="Times New Roman" w:eastAsia="仿宋_GB2312" w:cs="仿宋_GB2312"/>
          <w:color w:val="auto"/>
          <w:sz w:val="32"/>
          <w:szCs w:val="32"/>
          <w:highlight w:val="none"/>
        </w:rPr>
        <w:t>九、一般公共预算财政拨款项目支出决算表</w:t>
      </w:r>
      <w:bookmarkEnd w:id="65"/>
    </w:p>
    <w:p w14:paraId="1055B150">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8"/>
      <w:r>
        <w:rPr>
          <w:rFonts w:hint="eastAsia" w:ascii="Times New Roman" w:hAnsi="Times New Roman" w:eastAsia="仿宋_GB2312" w:cs="仿宋_GB2312"/>
          <w:color w:val="auto"/>
          <w:sz w:val="32"/>
          <w:szCs w:val="32"/>
          <w:highlight w:val="none"/>
        </w:rPr>
        <w:t>十、</w:t>
      </w:r>
      <w:bookmarkEnd w:id="66"/>
      <w:r>
        <w:rPr>
          <w:rFonts w:hint="eastAsia" w:ascii="Times New Roman" w:hAnsi="Times New Roman" w:eastAsia="仿宋_GB2312" w:cs="仿宋_GB2312"/>
          <w:color w:val="auto"/>
          <w:sz w:val="32"/>
          <w:szCs w:val="32"/>
          <w:highlight w:val="none"/>
        </w:rPr>
        <w:t>政府性基金预算财政拨款收入支出决算表</w:t>
      </w:r>
    </w:p>
    <w:p w14:paraId="178FF878">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9"/>
      <w:r>
        <w:rPr>
          <w:rFonts w:hint="eastAsia" w:ascii="Times New Roman" w:hAnsi="Times New Roman" w:eastAsia="仿宋_GB2312" w:cs="仿宋_GB2312"/>
          <w:color w:val="auto"/>
          <w:sz w:val="32"/>
          <w:szCs w:val="32"/>
          <w:highlight w:val="none"/>
        </w:rPr>
        <w:t>十一、</w:t>
      </w:r>
      <w:bookmarkEnd w:id="6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0E71FA3">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30"/>
      <w:r>
        <w:rPr>
          <w:rFonts w:hint="eastAsia" w:ascii="Times New Roman" w:hAnsi="Times New Roman" w:eastAsia="仿宋_GB2312" w:cs="仿宋_GB2312"/>
          <w:color w:val="auto"/>
          <w:sz w:val="32"/>
          <w:szCs w:val="32"/>
          <w:highlight w:val="none"/>
        </w:rPr>
        <w:t>十二、</w:t>
      </w:r>
      <w:bookmarkEnd w:id="68"/>
      <w:r>
        <w:rPr>
          <w:rFonts w:hint="eastAsia" w:ascii="Times New Roman" w:hAnsi="Times New Roman" w:eastAsia="仿宋_GB2312" w:cs="仿宋_GB2312"/>
          <w:color w:val="auto"/>
          <w:sz w:val="32"/>
          <w:szCs w:val="32"/>
          <w:highlight w:val="none"/>
          <w:lang w:eastAsia="zh-CN"/>
        </w:rPr>
        <w:t>国有资本经营预算财政拨款支出决算表</w:t>
      </w:r>
    </w:p>
    <w:p w14:paraId="37D736AE">
      <w:pPr>
        <w:pStyle w:val="15"/>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9" w:name="_Toc15396631"/>
      <w:r>
        <w:rPr>
          <w:rFonts w:hint="eastAsia" w:ascii="Times New Roman" w:hAnsi="Times New Roman" w:eastAsia="仿宋_GB2312" w:cs="仿宋_GB2312"/>
          <w:color w:val="auto"/>
          <w:sz w:val="32"/>
          <w:szCs w:val="32"/>
          <w:highlight w:val="none"/>
        </w:rPr>
        <w:t>十三、</w:t>
      </w:r>
      <w:bookmarkEnd w:id="69"/>
      <w:r>
        <w:rPr>
          <w:rFonts w:hint="eastAsia" w:ascii="Times New Roman" w:hAnsi="Times New Roman" w:eastAsia="仿宋_GB2312" w:cs="仿宋_GB2312"/>
          <w:color w:val="auto"/>
          <w:sz w:val="32"/>
          <w:szCs w:val="32"/>
          <w:highlight w:val="none"/>
          <w:lang w:eastAsia="zh-CN"/>
        </w:rPr>
        <w:t>财政拨款“三公”经费支出决算表</w:t>
      </w:r>
    </w:p>
    <w:p w14:paraId="03FEA349">
      <w:pPr>
        <w:rPr>
          <w:rFonts w:hint="eastAsia" w:ascii="Times New Roman" w:hAnsi="Times New Roman"/>
          <w:lang w:eastAsia="zh-CN"/>
        </w:rPr>
      </w:pPr>
    </w:p>
    <w:sectPr>
      <w:pgSz w:w="16838" w:h="11906" w:orient="landscape"/>
      <w:pgMar w:top="1800" w:right="1440" w:bottom="1800" w:left="1440"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F7C16">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67965">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D67965">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01D08534">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7C6F9">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AF6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ECAF67">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91FD2">
    <w:pPr>
      <w:pStyle w:val="11"/>
      <w:jc w:val="center"/>
    </w:pPr>
  </w:p>
  <w:p w14:paraId="037DBD7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5638D">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43D4A">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39743D4A">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D3937">
    <w:pPr>
      <w:pStyle w:val="11"/>
      <w:jc w:val="center"/>
    </w:pPr>
    <w:r>
      <w:rPr>
        <w:sz w:val="18"/>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C62C">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290C62C">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4907F36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16086">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9F4E3"/>
    <w:multiLevelType w:val="singleLevel"/>
    <w:tmpl w:val="86F9F4E3"/>
    <w:lvl w:ilvl="0" w:tentative="0">
      <w:start w:val="3"/>
      <w:numFmt w:val="chineseCounting"/>
      <w:suff w:val="nothing"/>
      <w:lvlText w:val="（%1）"/>
      <w:lvlJc w:val="left"/>
      <w:rPr>
        <w:rFonts w:hint="eastAsia"/>
      </w:rPr>
    </w:lvl>
  </w:abstractNum>
  <w:abstractNum w:abstractNumId="1">
    <w:nsid w:val="AF44425D"/>
    <w:multiLevelType w:val="singleLevel"/>
    <w:tmpl w:val="AF44425D"/>
    <w:lvl w:ilvl="0" w:tentative="0">
      <w:start w:val="1"/>
      <w:numFmt w:val="chineseCounting"/>
      <w:suff w:val="nothing"/>
      <w:lvlText w:val="%1、"/>
      <w:lvlJc w:val="left"/>
      <w:rPr>
        <w:rFonts w:hint="eastAsia"/>
      </w:rPr>
    </w:lvl>
  </w:abstractNum>
  <w:abstractNum w:abstractNumId="2">
    <w:nsid w:val="BED0DD44"/>
    <w:multiLevelType w:val="singleLevel"/>
    <w:tmpl w:val="BED0DD44"/>
    <w:lvl w:ilvl="0" w:tentative="0">
      <w:start w:val="2"/>
      <w:numFmt w:val="chineseCounting"/>
      <w:suff w:val="nothing"/>
      <w:lvlText w:val="（%1）"/>
      <w:lvlJc w:val="left"/>
      <w:rPr>
        <w:rFonts w:hint="eastAsia"/>
      </w:rPr>
    </w:lvl>
  </w:abstractNum>
  <w:abstractNum w:abstractNumId="3">
    <w:nsid w:val="D5484518"/>
    <w:multiLevelType w:val="singleLevel"/>
    <w:tmpl w:val="D5484518"/>
    <w:lvl w:ilvl="0" w:tentative="0">
      <w:start w:val="1"/>
      <w:numFmt w:val="decimal"/>
      <w:lvlText w:val="%1."/>
      <w:lvlJc w:val="left"/>
      <w:pPr>
        <w:tabs>
          <w:tab w:val="left" w:pos="312"/>
        </w:tabs>
      </w:pPr>
    </w:lvl>
  </w:abstractNum>
  <w:abstractNum w:abstractNumId="4">
    <w:nsid w:val="0BD7BB02"/>
    <w:multiLevelType w:val="singleLevel"/>
    <w:tmpl w:val="0BD7BB02"/>
    <w:lvl w:ilvl="0" w:tentative="0">
      <w:start w:val="9"/>
      <w:numFmt w:val="chineseCounting"/>
      <w:suff w:val="nothing"/>
      <w:lvlText w:val="%1、"/>
      <w:lvlJc w:val="left"/>
      <w:rPr>
        <w:rFonts w:hint="eastAsia"/>
      </w:rPr>
    </w:lvl>
  </w:abstractNum>
  <w:abstractNum w:abstractNumId="5">
    <w:nsid w:val="51DF268F"/>
    <w:multiLevelType w:val="singleLevel"/>
    <w:tmpl w:val="51DF268F"/>
    <w:lvl w:ilvl="0" w:tentative="0">
      <w:start w:val="1"/>
      <w:numFmt w:val="decimal"/>
      <w:lvlText w:val="%1."/>
      <w:lvlJc w:val="left"/>
      <w:pPr>
        <w:tabs>
          <w:tab w:val="left" w:pos="312"/>
        </w:tabs>
      </w:pPr>
    </w:lvl>
  </w:abstractNum>
  <w:abstractNum w:abstractNumId="6">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abstractNum w:abstractNumId="7">
    <w:nsid w:val="77679EE5"/>
    <w:multiLevelType w:val="singleLevel"/>
    <w:tmpl w:val="77679EE5"/>
    <w:lvl w:ilvl="0" w:tentative="0">
      <w:start w:val="2"/>
      <w:numFmt w:val="chineseCounting"/>
      <w:suff w:val="nothing"/>
      <w:lvlText w:val="（%1）"/>
      <w:lvlJc w:val="left"/>
      <w:rPr>
        <w:rFonts w:hint="eastAsia"/>
        <w:b/>
        <w:bCs/>
      </w:rPr>
    </w:lvl>
  </w:abstractNum>
  <w:num w:numId="1">
    <w:abstractNumId w:val="1"/>
  </w:num>
  <w:num w:numId="2">
    <w:abstractNumId w:val="6"/>
  </w:num>
  <w:num w:numId="3">
    <w:abstractNumId w:val="0"/>
  </w:num>
  <w:num w:numId="4">
    <w:abstractNumId w:val="5"/>
  </w:num>
  <w:num w:numId="5">
    <w:abstractNumId w:val="4"/>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16F699D"/>
    <w:rsid w:val="03101E00"/>
    <w:rsid w:val="03B409DD"/>
    <w:rsid w:val="03E21036"/>
    <w:rsid w:val="07610E7C"/>
    <w:rsid w:val="0992356F"/>
    <w:rsid w:val="0BCD6AE0"/>
    <w:rsid w:val="0C5F3F70"/>
    <w:rsid w:val="0E7703E5"/>
    <w:rsid w:val="0FAB28B0"/>
    <w:rsid w:val="10CA5CE4"/>
    <w:rsid w:val="22552F34"/>
    <w:rsid w:val="2268180B"/>
    <w:rsid w:val="265A320F"/>
    <w:rsid w:val="2E8B0409"/>
    <w:rsid w:val="303F76FD"/>
    <w:rsid w:val="30C2583B"/>
    <w:rsid w:val="34257E84"/>
    <w:rsid w:val="387D7F88"/>
    <w:rsid w:val="391060DB"/>
    <w:rsid w:val="3F15070B"/>
    <w:rsid w:val="3FA94B93"/>
    <w:rsid w:val="428B67D2"/>
    <w:rsid w:val="45CF2E79"/>
    <w:rsid w:val="48152D04"/>
    <w:rsid w:val="49D251F8"/>
    <w:rsid w:val="49FF0961"/>
    <w:rsid w:val="4D897DB2"/>
    <w:rsid w:val="504F0E3F"/>
    <w:rsid w:val="518A6C1F"/>
    <w:rsid w:val="553700F3"/>
    <w:rsid w:val="55645087"/>
    <w:rsid w:val="5639533C"/>
    <w:rsid w:val="568A7075"/>
    <w:rsid w:val="57364B06"/>
    <w:rsid w:val="589C4E3D"/>
    <w:rsid w:val="59597927"/>
    <w:rsid w:val="5DCB18F7"/>
    <w:rsid w:val="5F6C7580"/>
    <w:rsid w:val="60E03D35"/>
    <w:rsid w:val="64F77C12"/>
    <w:rsid w:val="691E5C86"/>
    <w:rsid w:val="6A1D5C82"/>
    <w:rsid w:val="6CE0261F"/>
    <w:rsid w:val="6E824C49"/>
    <w:rsid w:val="6EA152E4"/>
    <w:rsid w:val="6F790532"/>
    <w:rsid w:val="6FAA79E8"/>
    <w:rsid w:val="703A6FBE"/>
    <w:rsid w:val="71E53AF6"/>
    <w:rsid w:val="7317681F"/>
    <w:rsid w:val="752C70F1"/>
    <w:rsid w:val="76C17AC3"/>
    <w:rsid w:val="773861BD"/>
    <w:rsid w:val="77BD2282"/>
    <w:rsid w:val="78C8620E"/>
    <w:rsid w:val="79FC6BC1"/>
    <w:rsid w:val="7F8420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7">
    <w:name w:val="Default Paragraph Font"/>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30" w:beforeLines="30"/>
    </w:pPr>
    <w:rPr>
      <w:rFonts w:ascii="仿宋_GB2312" w:eastAsia="仿宋_GB2312"/>
      <w:kern w:val="0"/>
      <w:sz w:val="30"/>
    </w:rPr>
  </w:style>
  <w:style w:type="paragraph" w:styleId="3">
    <w:name w:val="Subtitle"/>
    <w:basedOn w:val="1"/>
    <w:next w:val="1"/>
    <w:qFormat/>
    <w:uiPriority w:val="0"/>
    <w:pPr>
      <w:spacing w:before="240" w:after="60" w:line="312" w:lineRule="auto"/>
      <w:jc w:val="center"/>
      <w:outlineLvl w:val="1"/>
    </w:pPr>
    <w:rPr>
      <w:rFonts w:ascii="Calibri Light" w:hAnsi="Calibri Light"/>
      <w:b/>
      <w:bCs/>
      <w:kern w:val="28"/>
      <w:sz w:val="32"/>
      <w:szCs w:val="32"/>
    </w:rPr>
  </w:style>
  <w:style w:type="paragraph" w:styleId="7">
    <w:name w:val="Body Text Indent"/>
    <w:basedOn w:val="1"/>
    <w:next w:val="8"/>
    <w:qFormat/>
    <w:uiPriority w:val="0"/>
    <w:pPr>
      <w:spacing w:after="120"/>
      <w:ind w:left="200" w:leftChars="200"/>
    </w:pPr>
    <w:rPr>
      <w:rFonts w:ascii="仿宋_GB2312" w:hAnsi="仿宋_GB2312"/>
      <w:szCs w:val="32"/>
    </w:rPr>
  </w:style>
  <w:style w:type="paragraph" w:styleId="8">
    <w:name w:val="Body Text First Indent 2"/>
    <w:basedOn w:val="7"/>
    <w:qFormat/>
    <w:uiPriority w:val="0"/>
    <w:pPr>
      <w:ind w:firstLine="200" w:firstLineChars="200"/>
    </w:p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qFormat/>
    <w:uiPriority w:val="0"/>
    <w:pPr>
      <w:tabs>
        <w:tab w:val="right" w:leader="dot" w:pos="8296"/>
      </w:tabs>
      <w:spacing w:before="93"/>
      <w:jc w:val="center"/>
    </w:pPr>
    <w:rPr>
      <w:rFonts w:ascii="仿宋" w:eastAsia="仿宋"/>
      <w:sz w:val="28"/>
      <w:szCs w:val="28"/>
    </w:rPr>
  </w:style>
  <w:style w:type="paragraph" w:styleId="14">
    <w:name w:val="footnote text"/>
    <w:basedOn w:val="1"/>
    <w:next w:val="8"/>
    <w:qFormat/>
    <w:uiPriority w:val="0"/>
    <w:pPr>
      <w:snapToGrid w:val="0"/>
      <w:jc w:val="left"/>
    </w:pPr>
    <w:rPr>
      <w:sz w:val="18"/>
      <w:szCs w:val="18"/>
    </w:rPr>
  </w:style>
  <w:style w:type="paragraph" w:styleId="15">
    <w:name w:val="toc 2"/>
    <w:basedOn w:val="1"/>
    <w:next w:val="1"/>
    <w:qFormat/>
    <w:uiPriority w:val="0"/>
    <w:pPr>
      <w:tabs>
        <w:tab w:val="right" w:leader="dot" w:pos="8296"/>
      </w:tabs>
      <w:ind w:left="200" w:leftChars="200"/>
    </w:pPr>
  </w:style>
  <w:style w:type="character" w:styleId="18">
    <w:name w:val="Strong"/>
    <w:basedOn w:val="17"/>
    <w:qFormat/>
    <w:uiPriority w:val="0"/>
    <w:rPr>
      <w:b/>
    </w:rPr>
  </w:style>
  <w:style w:type="character" w:styleId="19">
    <w:name w:val="Hyperlink"/>
    <w:basedOn w:val="17"/>
    <w:qFormat/>
    <w:uiPriority w:val="0"/>
    <w:rPr>
      <w:color w:val="0000FF"/>
      <w:u w:val="single"/>
    </w:rPr>
  </w:style>
  <w:style w:type="character" w:customStyle="1" w:styleId="20">
    <w:name w:val="heading 1 Char"/>
    <w:basedOn w:val="17"/>
    <w:link w:val="4"/>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7"/>
    <w:link w:val="5"/>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qFormat/>
    <w:uiPriority w:val="0"/>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7"/>
    <w:qFormat/>
    <w:uiPriority w:val="0"/>
    <w:rPr>
      <w:rFonts w:ascii="Times New Roman" w:hAnsi="Times New Roman"/>
      <w:sz w:val="18"/>
      <w:szCs w:val="18"/>
    </w:rPr>
  </w:style>
  <w:style w:type="character" w:customStyle="1" w:styleId="24">
    <w:name w:val="Footer Char"/>
    <w:basedOn w:val="17"/>
    <w:qFormat/>
    <w:uiPriority w:val="0"/>
    <w:rPr>
      <w:rFonts w:ascii="Times New Roman" w:hAnsi="Times New Roman"/>
      <w:sz w:val="18"/>
      <w:szCs w:val="18"/>
    </w:rPr>
  </w:style>
  <w:style w:type="character" w:customStyle="1" w:styleId="25">
    <w:name w:val="Body Text Char"/>
    <w:basedOn w:val="17"/>
    <w:qFormat/>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29">
    <w:name w:val="TOC Heading"/>
    <w:basedOn w:val="4"/>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0">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1">
    <w:name w:val="font21"/>
    <w:basedOn w:val="17"/>
    <w:qFormat/>
    <w:uiPriority w:val="0"/>
    <w:rPr>
      <w:rFonts w:ascii="宋体" w:hAnsi="宋体" w:eastAsia="宋体" w:cs="宋体"/>
      <w:color w:val="000000"/>
      <w:sz w:val="18"/>
      <w:szCs w:val="18"/>
      <w:u w:val="none"/>
    </w:rPr>
  </w:style>
  <w:style w:type="character" w:customStyle="1" w:styleId="32">
    <w:name w:val="font71"/>
    <w:basedOn w:val="17"/>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5846.4</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5846.4</c:v>
                </c:pt>
                <c:pt idx="1">
                  <c:v>2765.01</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5846.4</c:v>
                </c:pt>
                <c:pt idx="1">
                  <c:v>2765.01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958620680"/>
        <c:axId val="676168054"/>
      </c:barChart>
      <c:catAx>
        <c:axId val="9586206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76168054"/>
        <c:crosses val="autoZero"/>
        <c:auto val="1"/>
        <c:lblAlgn val="ctr"/>
        <c:lblOffset val="100"/>
        <c:noMultiLvlLbl val="0"/>
      </c:catAx>
      <c:valAx>
        <c:axId val="67616805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862068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de992a4-d94d-4ae9-bbd8-42fd7cb742f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2765.01</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100%</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一般公共预算财政拨款收入</c:v>
                </c:pt>
                <c:pt idx="1">
                  <c:v>其他收入</c:v>
                </c:pt>
                <c:pt idx="2">
                  <c:v>事业收入</c:v>
                </c:pt>
              </c:strCache>
            </c:strRef>
          </c:cat>
          <c:val>
            <c:numRef>
              <c:f>Sheet1!$B$2:$B$4</c:f>
              <c:numCache>
                <c:formatCode>General</c:formatCode>
                <c:ptCount val="3"/>
                <c:pt idx="0">
                  <c:v>2765.01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5af26e7-eec0-45f3-a3d2-2c80d97676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7274704034791"/>
          <c:y val="0.13769655758606"/>
          <c:w val="0.465450591930418"/>
          <c:h val="0.818742031449214"/>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1732.15</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62.64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1032.87</a:t>
                    </a:r>
                  </a:p>
                  <a:p>
                    <a:pPr defTabSz="914400">
                      <a:defRPr lang="zh-CN" sz="1000" b="0" i="0" u="none" strike="noStrike" kern="1200" baseline="0">
                        <a:solidFill>
                          <a:schemeClr val="tx1">
                            <a:lumMod val="75000"/>
                            <a:lumOff val="25000"/>
                          </a:schemeClr>
                        </a:solidFill>
                        <a:latin typeface="+mn-lt"/>
                        <a:ea typeface="+mn-ea"/>
                        <a:cs typeface="+mn-cs"/>
                      </a:defRPr>
                    </a:pPr>
                    <a:r>
                      <a:rPr lang="en-US" altLang="zh-CN"/>
                      <a:t>37.35%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1732.15</c:v>
                </c:pt>
                <c:pt idx="1">
                  <c:v>1032.87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81130707900459"/>
          <c:y val="0.0254993625159371"/>
          <c:w val="0.237859386325199"/>
          <c:h val="0.07734806629834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ca76d7c-65c7-4fdf-b891-6b284074ccf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财政拨款收入、支出总计</c:v>
                </c:pt>
              </c:strCache>
            </c:strRef>
          </c:cat>
          <c:val>
            <c:numRef>
              <c:f>Sheet1!$B$2</c:f>
              <c:numCache>
                <c:formatCode>General</c:formatCode>
                <c:ptCount val="1"/>
                <c:pt idx="0">
                  <c:v>5846.4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财政拨款收入、支出总计</c:v>
                </c:pt>
              </c:strCache>
            </c:strRef>
          </c:cat>
          <c:val>
            <c:numRef>
              <c:f>Sheet1!$C$2</c:f>
              <c:numCache>
                <c:formatCode>General</c:formatCode>
                <c:ptCount val="1"/>
                <c:pt idx="0">
                  <c:v>2765.01</c:v>
                </c:pt>
              </c:numCache>
            </c:numRef>
          </c:val>
        </c:ser>
        <c:dLbls>
          <c:showLegendKey val="0"/>
          <c:showVal val="1"/>
          <c:showCatName val="0"/>
          <c:showSerName val="0"/>
          <c:showPercent val="0"/>
          <c:showBubbleSize val="0"/>
        </c:dLbls>
        <c:gapWidth val="246"/>
        <c:overlap val="-28"/>
        <c:axId val="251867708"/>
        <c:axId val="114379448"/>
      </c:barChart>
      <c:catAx>
        <c:axId val="2518677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4379448"/>
        <c:crosses val="autoZero"/>
        <c:auto val="1"/>
        <c:lblAlgn val="ctr"/>
        <c:lblOffset val="100"/>
        <c:noMultiLvlLbl val="0"/>
      </c:catAx>
      <c:valAx>
        <c:axId val="11437944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86770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d8f7616-4533-471e-87f3-5ebd93d1ccd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5846.4</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2765.01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46"/>
        <c:overlap val="-28"/>
        <c:axId val="190597312"/>
        <c:axId val="28674871"/>
      </c:barChart>
      <c:catAx>
        <c:axId val="1905973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674871"/>
        <c:crosses val="autoZero"/>
        <c:auto val="1"/>
        <c:lblAlgn val="ctr"/>
        <c:lblOffset val="100"/>
        <c:noMultiLvlLbl val="0"/>
      </c:catAx>
      <c:valAx>
        <c:axId val="2867487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0597312"/>
        <c:crosses val="autoZero"/>
        <c:crossBetween val="between"/>
      </c:valAx>
      <c:spPr>
        <a:noFill/>
        <a:ln>
          <a:noFill/>
        </a:ln>
        <a:effectLst/>
      </c:spPr>
    </c:plotArea>
    <c:legend>
      <c:legendPos val="b"/>
      <c:legendEntry>
        <c:idx val="2"/>
        <c:delete val="1"/>
      </c:legendEntry>
      <c:layout>
        <c:manualLayout>
          <c:xMode val="edge"/>
          <c:yMode val="edge"/>
          <c:x val="0.360896351775791"/>
          <c:y val="0.91287717807054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26f8563-f071-4597-853a-58c0c715dab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2024年</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教育支出</c:v>
                </c:pt>
                <c:pt idx="1">
                  <c:v>社会保障和就业支出</c:v>
                </c:pt>
                <c:pt idx="2">
                  <c:v>住房保障支出</c:v>
                </c:pt>
                <c:pt idx="3">
                  <c:v>卫生健康支出</c:v>
                </c:pt>
              </c:strCache>
            </c:strRef>
          </c:cat>
          <c:val>
            <c:numRef>
              <c:f>Sheet1!$B$2:$B$5</c:f>
              <c:numCache>
                <c:formatCode>0.00%</c:formatCode>
                <c:ptCount val="4"/>
                <c:pt idx="0">
                  <c:v>0.0206</c:v>
                </c:pt>
                <c:pt idx="1">
                  <c:v>0.9194</c:v>
                </c:pt>
                <c:pt idx="2">
                  <c:v>0.0267</c:v>
                </c:pt>
                <c:pt idx="3">
                  <c:v>0.7372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165986777324518"/>
          <c:y val="0.15285497726124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22492eb-efa5-4233-a661-01befdfffd5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因公出国（境）费支出</c:v>
                </c:pt>
                <c:pt idx="1">
                  <c:v>公务用车购置及运行维护费支出</c:v>
                </c:pt>
                <c:pt idx="2">
                  <c:v>公务接待费支出</c:v>
                </c:pt>
              </c:strCache>
            </c:strRef>
          </c:cat>
          <c:val>
            <c:numRef>
              <c:f>Sheet1!$B$2:$B$4</c:f>
              <c:numCache>
                <c:formatCode>0%</c:formatCode>
                <c:ptCount val="3"/>
                <c:pt idx="0">
                  <c:v>0</c:v>
                </c:pt>
                <c:pt idx="1" c:formatCode="0.00%">
                  <c:v>0.9916</c:v>
                </c:pt>
                <c:pt idx="2" c:formatCode="0.00%">
                  <c:v>0.0083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28921424-7030-41c9-8d41-edc20091317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90</Pages>
  <Words>13819</Words>
  <Characters>15937</Characters>
  <Lines>467</Lines>
  <Paragraphs>225</Paragraphs>
  <TotalTime>28</TotalTime>
  <ScaleCrop>false</ScaleCrop>
  <LinksUpToDate>false</LinksUpToDate>
  <CharactersWithSpaces>16821</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WPS_1544932437</cp:lastModifiedBy>
  <cp:lastPrinted>2025-08-06T17:34:00Z</cp:lastPrinted>
  <dcterms:modified xsi:type="dcterms:W3CDTF">2026-05-08T02:55:35Z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eyJoZGlkIjoiYTBkODQxZGJhZmQyN2M5ZGFmMTUwM2QxY2MxNTdlZjEiLCJ1c2VySWQiOiI0NDQ3NTEyNTgifQ==</vt:lpwstr>
  </property>
</Properties>
</file>