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C51AF5">
      <w:pPr>
        <w:pStyle w:val="2"/>
        <w:rPr>
          <w:rFonts w:hint="eastAsia" w:ascii="Times New Roman" w:hAnsi="Times New Roman" w:eastAsia="方正小标宋简体" w:cs="Times New Roman"/>
          <w:color w:val="auto"/>
          <w:kern w:val="2"/>
          <w:sz w:val="72"/>
          <w:szCs w:val="72"/>
          <w:highlight w:val="none"/>
          <w:lang w:val="en-US" w:eastAsia="zh-CN" w:bidi="ar-SA"/>
        </w:rPr>
      </w:pPr>
      <w:bookmarkStart w:id="0" w:name="_Toc15377193"/>
      <w:bookmarkStart w:id="1" w:name="_Toc15396597"/>
      <w:bookmarkStart w:id="2" w:name="_Toc15306267"/>
      <w:bookmarkStart w:id="3" w:name="_Toc15377425"/>
      <w:bookmarkStart w:id="4" w:name="_Toc15396475"/>
      <w:bookmarkStart w:id="5" w:name="_Toc15378441"/>
    </w:p>
    <w:p w14:paraId="0E6C1299">
      <w:pPr>
        <w:pStyle w:val="2"/>
        <w:rPr>
          <w:rFonts w:hint="eastAsia" w:ascii="Times New Roman" w:hAnsi="Times New Roman" w:eastAsia="方正小标宋简体" w:cs="Times New Roman"/>
          <w:color w:val="auto"/>
          <w:kern w:val="2"/>
          <w:sz w:val="72"/>
          <w:szCs w:val="72"/>
          <w:highlight w:val="none"/>
          <w:lang w:val="en-US" w:eastAsia="zh-CN" w:bidi="ar-SA"/>
        </w:rPr>
      </w:pPr>
    </w:p>
    <w:p w14:paraId="792D7DB9">
      <w:pPr>
        <w:pStyle w:val="2"/>
        <w:rPr>
          <w:rFonts w:hint="eastAsia" w:ascii="Times New Roman" w:hAnsi="Times New Roman" w:eastAsia="方正小标宋简体" w:cs="Times New Roman"/>
          <w:color w:val="auto"/>
          <w:kern w:val="2"/>
          <w:sz w:val="72"/>
          <w:szCs w:val="72"/>
          <w:highlight w:val="none"/>
          <w:lang w:val="en-US" w:eastAsia="zh-CN" w:bidi="ar-SA"/>
        </w:rPr>
      </w:pPr>
    </w:p>
    <w:p w14:paraId="458714F0">
      <w:pPr>
        <w:pStyle w:val="2"/>
        <w:jc w:val="center"/>
        <w:rPr>
          <w:rFonts w:hint="eastAsia" w:ascii="Times New Roman" w:hAnsi="Times New Roman" w:eastAsia="方正小标宋简体" w:cs="Times New Roman"/>
          <w:b/>
          <w:bCs/>
          <w:color w:val="auto"/>
          <w:kern w:val="2"/>
          <w:sz w:val="48"/>
          <w:szCs w:val="48"/>
          <w:highlight w:val="none"/>
          <w:lang w:val="en-US" w:eastAsia="zh-CN" w:bidi="ar-SA"/>
        </w:rPr>
      </w:pPr>
      <w:r>
        <w:rPr>
          <w:rFonts w:hint="eastAsia" w:ascii="Times New Roman" w:hAnsi="Times New Roman" w:eastAsia="方正小标宋简体" w:cs="Times New Roman"/>
          <w:b/>
          <w:bCs/>
          <w:color w:val="auto"/>
          <w:kern w:val="2"/>
          <w:sz w:val="48"/>
          <w:szCs w:val="48"/>
          <w:highlight w:val="none"/>
          <w:lang w:val="en-US" w:eastAsia="zh-CN" w:bidi="ar-SA"/>
        </w:rPr>
        <w:t>2024年度</w:t>
      </w:r>
    </w:p>
    <w:p w14:paraId="674490D4">
      <w:pPr>
        <w:pStyle w:val="2"/>
        <w:jc w:val="center"/>
        <w:rPr>
          <w:rFonts w:ascii="Times New Roman" w:hAnsi="Times New Roman" w:eastAsia="方正小标宋简体" w:cs="Times New Roman"/>
          <w:b/>
          <w:bCs/>
          <w:color w:val="auto"/>
          <w:kern w:val="2"/>
          <w:sz w:val="48"/>
          <w:szCs w:val="48"/>
          <w:highlight w:val="none"/>
          <w:lang w:val="en-US" w:eastAsia="zh-CN" w:bidi="ar-SA"/>
        </w:rPr>
      </w:pPr>
      <w:r>
        <w:rPr>
          <w:rFonts w:ascii="Times New Roman" w:hAnsi="Times New Roman" w:eastAsia="方正小标宋简体" w:cs="Times New Roman"/>
          <w:b/>
          <w:bCs/>
          <w:color w:val="auto"/>
          <w:kern w:val="2"/>
          <w:sz w:val="48"/>
          <w:szCs w:val="48"/>
          <w:highlight w:val="none"/>
          <w:lang w:val="en-US" w:eastAsia="zh-CN" w:bidi="ar-SA"/>
        </w:rPr>
        <w:t>四川</w:t>
      </w:r>
      <w:r>
        <w:rPr>
          <w:rFonts w:hint="eastAsia" w:ascii="Times New Roman" w:hAnsi="Times New Roman" w:eastAsia="方正小标宋简体" w:cs="Times New Roman"/>
          <w:b/>
          <w:bCs/>
          <w:color w:val="auto"/>
          <w:kern w:val="2"/>
          <w:sz w:val="48"/>
          <w:szCs w:val="48"/>
          <w:highlight w:val="none"/>
          <w:lang w:val="en-US" w:eastAsia="zh-CN" w:bidi="ar-SA"/>
        </w:rPr>
        <w:t>省</w:t>
      </w:r>
      <w:r>
        <w:rPr>
          <w:rFonts w:ascii="Times New Roman" w:hAnsi="Times New Roman" w:eastAsia="方正小标宋简体" w:cs="Times New Roman"/>
          <w:b/>
          <w:bCs/>
          <w:color w:val="auto"/>
          <w:kern w:val="2"/>
          <w:sz w:val="48"/>
          <w:szCs w:val="48"/>
          <w:highlight w:val="none"/>
          <w:lang w:val="en-US" w:eastAsia="zh-CN" w:bidi="ar-SA"/>
        </w:rPr>
        <w:t>阿坝州人力资源和社会保障局</w:t>
      </w:r>
    </w:p>
    <w:p w14:paraId="53EDCC8A">
      <w:pPr>
        <w:pStyle w:val="2"/>
        <w:jc w:val="center"/>
        <w:rPr>
          <w:rFonts w:hint="eastAsia" w:ascii="Times New Roman" w:hAnsi="Times New Roman" w:eastAsia="方正小标宋简体" w:cs="Times New Roman"/>
          <w:b/>
          <w:bCs/>
          <w:color w:val="auto"/>
          <w:kern w:val="2"/>
          <w:sz w:val="48"/>
          <w:szCs w:val="48"/>
          <w:highlight w:val="none"/>
          <w:lang w:val="en-US" w:eastAsia="zh-CN" w:bidi="ar-SA"/>
        </w:rPr>
      </w:pPr>
      <w:r>
        <w:rPr>
          <w:rFonts w:hint="eastAsia" w:ascii="Times New Roman" w:eastAsia="方正小标宋简体" w:cs="Times New Roman"/>
          <w:b/>
          <w:bCs/>
          <w:color w:val="auto"/>
          <w:kern w:val="2"/>
          <w:sz w:val="48"/>
          <w:szCs w:val="48"/>
          <w:highlight w:val="none"/>
          <w:lang w:val="en-US" w:eastAsia="zh-CN" w:bidi="ar-SA"/>
        </w:rPr>
        <w:t xml:space="preserve">部 门 </w:t>
      </w:r>
      <w:r>
        <w:rPr>
          <w:rFonts w:hint="eastAsia" w:ascii="Times New Roman" w:hAnsi="Times New Roman" w:eastAsia="方正小标宋简体" w:cs="Times New Roman"/>
          <w:b/>
          <w:bCs/>
          <w:color w:val="auto"/>
          <w:kern w:val="2"/>
          <w:sz w:val="48"/>
          <w:szCs w:val="48"/>
          <w:highlight w:val="none"/>
          <w:lang w:val="en-US" w:eastAsia="zh-CN" w:bidi="ar-SA"/>
        </w:rPr>
        <w:t>决</w:t>
      </w:r>
      <w:r>
        <w:rPr>
          <w:rFonts w:hint="eastAsia" w:ascii="Times New Roman" w:eastAsia="方正小标宋简体" w:cs="Times New Roman"/>
          <w:b/>
          <w:bCs/>
          <w:color w:val="auto"/>
          <w:kern w:val="2"/>
          <w:sz w:val="48"/>
          <w:szCs w:val="48"/>
          <w:highlight w:val="none"/>
          <w:lang w:val="en-US" w:eastAsia="zh-CN" w:bidi="ar-SA"/>
        </w:rPr>
        <w:t xml:space="preserve"> </w:t>
      </w:r>
      <w:r>
        <w:rPr>
          <w:rFonts w:hint="eastAsia" w:ascii="Times New Roman" w:hAnsi="Times New Roman" w:eastAsia="方正小标宋简体" w:cs="Times New Roman"/>
          <w:b/>
          <w:bCs/>
          <w:color w:val="auto"/>
          <w:kern w:val="2"/>
          <w:sz w:val="48"/>
          <w:szCs w:val="48"/>
          <w:highlight w:val="none"/>
          <w:lang w:val="en-US" w:eastAsia="zh-CN" w:bidi="ar-SA"/>
        </w:rPr>
        <w:t>算</w:t>
      </w:r>
    </w:p>
    <w:p w14:paraId="2D14AA50">
      <w:pPr>
        <w:pStyle w:val="22"/>
        <w:rPr>
          <w:rFonts w:ascii="Times New Roman" w:hAnsi="Times New Roman"/>
          <w:b/>
          <w:bCs/>
          <w:sz w:val="48"/>
          <w:szCs w:val="48"/>
        </w:rPr>
        <w:sectPr>
          <w:footerReference r:id="rId5" w:type="first"/>
          <w:headerReference r:id="rId3" w:type="default"/>
          <w:footerReference r:id="rId4" w:type="default"/>
          <w:pgSz w:w="11906" w:h="16838"/>
          <w:pgMar w:top="1440" w:right="1800" w:bottom="1440" w:left="1800" w:header="851" w:footer="992" w:gutter="0"/>
          <w:pgNumType w:fmt="numberInDash" w:start="1"/>
          <w:cols w:space="720" w:num="1"/>
          <w:titlePg/>
          <w:docGrid w:type="lines" w:linePitch="312" w:charSpace="0"/>
        </w:sectPr>
      </w:pPr>
    </w:p>
    <w:bookmarkEnd w:id="0"/>
    <w:bookmarkEnd w:id="1"/>
    <w:bookmarkEnd w:id="2"/>
    <w:bookmarkEnd w:id="3"/>
    <w:bookmarkEnd w:id="4"/>
    <w:bookmarkEnd w:id="5"/>
    <w:p w14:paraId="457A3EEB">
      <w:pPr>
        <w:widowControl/>
        <w:jc w:val="center"/>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14:paraId="1D74C0B7">
      <w:pPr>
        <w:widowControl/>
        <w:jc w:val="center"/>
        <w:rPr>
          <w:rFonts w:ascii="Times New Roman" w:hAnsi="Times New Roman" w:eastAsia="黑体" w:cs="Arial"/>
          <w:color w:val="auto"/>
          <w:sz w:val="28"/>
          <w:szCs w:val="28"/>
          <w:highlight w:val="none"/>
        </w:rPr>
      </w:pPr>
    </w:p>
    <w:p w14:paraId="144FF639">
      <w:pPr>
        <w:pStyle w:val="13"/>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w:t>
      </w:r>
      <w:r>
        <w:rPr>
          <w:rFonts w:hint="eastAsia" w:ascii="Times New Roman" w:eastAsia="仿宋_GB2312" w:cs="仿宋_GB2312"/>
          <w:color w:val="auto"/>
          <w:sz w:val="32"/>
          <w:szCs w:val="32"/>
          <w:highlight w:val="none"/>
          <w:lang w:val="en-US" w:eastAsia="zh-CN"/>
        </w:rPr>
        <w:t>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 xml:space="preserve"> </w:t>
      </w:r>
      <w:r>
        <w:rPr>
          <w:rFonts w:ascii="Times New Roman" w:hAnsi="Times New Roman" w:eastAsia="仿宋_GB2312" w:cs="仿宋_GB2312"/>
          <w:color w:val="auto"/>
          <w:sz w:val="32"/>
          <w:szCs w:val="32"/>
          <w:highlight w:val="none"/>
          <w:lang w:val="en-US" w:eastAsia="zh-CN"/>
        </w:rPr>
        <w:t>9</w:t>
      </w:r>
      <w:r>
        <w:rPr>
          <w:rFonts w:hint="eastAsia" w:ascii="Times New Roman" w:hAnsi="Times New Roman"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 xml:space="preserve"> </w:t>
      </w:r>
      <w:r>
        <w:rPr>
          <w:rFonts w:hint="eastAsia" w:ascii="Times New Roman" w:eastAsia="仿宋_GB2312" w:cs="仿宋_GB2312"/>
          <w:color w:val="auto"/>
          <w:sz w:val="32"/>
          <w:szCs w:val="32"/>
          <w:highlight w:val="none"/>
          <w:lang w:val="en-US" w:eastAsia="zh-CN"/>
        </w:rPr>
        <w:t>19</w:t>
      </w:r>
      <w:r>
        <w:rPr>
          <w:rFonts w:hint="eastAsia" w:ascii="Times New Roman" w:hAnsi="Times New Roman"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sz w:val="32"/>
          <w:szCs w:val="32"/>
          <w:highlight w:val="none"/>
        </w:rPr>
        <w:t>日</w:t>
      </w:r>
    </w:p>
    <w:p w14:paraId="353903F7">
      <w:pPr>
        <w:rPr>
          <w:rFonts w:ascii="Times New Roman" w:hAnsi="Times New Roman"/>
          <w:color w:val="auto"/>
          <w:highlight w:val="none"/>
        </w:rPr>
      </w:pPr>
    </w:p>
    <w:p w14:paraId="52AB7BF4">
      <w:pPr>
        <w:pStyle w:val="13"/>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rPr>
      </w:pPr>
      <w:r>
        <w:rPr>
          <w:rFonts w:hint="eastAsia" w:ascii="Times New Roman" w:hAnsi="Times New Roman" w:eastAsia="黑体" w:cs="黑体"/>
          <w:color w:val="auto"/>
          <w:sz w:val="32"/>
          <w:szCs w:val="32"/>
          <w:highlight w:val="none"/>
        </w:rPr>
        <w:t>第一部分 部门概况</w:t>
      </w:r>
      <w:r>
        <w:rPr>
          <w:rFonts w:hint="eastAsia" w:ascii="Times New Roman" w:hAnsi="Times New Roman" w:eastAsia="黑体" w:cs="黑体"/>
          <w:color w:val="auto"/>
          <w:sz w:val="32"/>
          <w:szCs w:val="32"/>
          <w:highlight w:val="none"/>
          <w:lang w:val="en-US" w:eastAsia="zh-CN"/>
        </w:rPr>
        <w:t>...................................................................1</w:t>
      </w:r>
    </w:p>
    <w:p w14:paraId="61F51E2E">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r>
        <w:rPr>
          <w:rFonts w:hint="eastAsia" w:ascii="Times New Roman" w:hAnsi="Times New Roman" w:eastAsia="黑体" w:cs="黑体"/>
          <w:color w:val="auto"/>
          <w:sz w:val="32"/>
          <w:szCs w:val="32"/>
          <w:highlight w:val="none"/>
          <w:lang w:val="en-US" w:eastAsia="zh-CN"/>
        </w:rPr>
        <w:t>.....................................................................1</w:t>
      </w:r>
    </w:p>
    <w:p w14:paraId="0D2F0C04">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二、机构设置</w:t>
      </w:r>
      <w:r>
        <w:rPr>
          <w:rFonts w:hint="eastAsia" w:ascii="Times New Roman" w:hAnsi="Times New Roman" w:eastAsia="黑体" w:cs="黑体"/>
          <w:color w:val="auto"/>
          <w:sz w:val="32"/>
          <w:szCs w:val="32"/>
          <w:highlight w:val="none"/>
          <w:lang w:val="en-US" w:eastAsia="zh-CN"/>
        </w:rPr>
        <w:t>.....................................................................5</w:t>
      </w:r>
    </w:p>
    <w:p w14:paraId="1AB04913">
      <w:pPr>
        <w:pStyle w:val="13"/>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2024年度</w:t>
      </w:r>
      <w:r>
        <w:rPr>
          <w:rFonts w:hint="eastAsia" w:ascii="Times New Roman" w:hAnsi="Times New Roman" w:eastAsia="黑体" w:cs="黑体"/>
          <w:color w:val="auto"/>
          <w:sz w:val="32"/>
          <w:szCs w:val="32"/>
          <w:highlight w:val="none"/>
        </w:rPr>
        <w:t>部门决算情况说明</w:t>
      </w:r>
      <w:r>
        <w:rPr>
          <w:rFonts w:hint="eastAsia" w:ascii="Times New Roman" w:hAnsi="Times New Roman" w:eastAsia="黑体" w:cs="黑体"/>
          <w:color w:val="auto"/>
          <w:sz w:val="32"/>
          <w:szCs w:val="32"/>
          <w:highlight w:val="none"/>
          <w:lang w:val="en-US" w:eastAsia="zh-CN"/>
        </w:rPr>
        <w:t>..................................6</w:t>
      </w:r>
    </w:p>
    <w:p w14:paraId="43AD9374">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一、收入支出决算总体情况说明</w:t>
      </w:r>
      <w:r>
        <w:rPr>
          <w:rFonts w:hint="eastAsia" w:ascii="Times New Roman" w:hAnsi="Times New Roman" w:eastAsia="黑体" w:cs="黑体"/>
          <w:color w:val="auto"/>
          <w:sz w:val="32"/>
          <w:szCs w:val="32"/>
          <w:highlight w:val="none"/>
          <w:lang w:val="en-US" w:eastAsia="zh-CN"/>
        </w:rPr>
        <w:t>....................................6</w:t>
      </w:r>
    </w:p>
    <w:p w14:paraId="2D07FD2B">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二、收入决算情况说明</w:t>
      </w:r>
      <w:r>
        <w:rPr>
          <w:rFonts w:hint="eastAsia" w:ascii="Times New Roman" w:hAnsi="Times New Roman" w:eastAsia="黑体" w:cs="黑体"/>
          <w:color w:val="auto"/>
          <w:sz w:val="32"/>
          <w:szCs w:val="32"/>
          <w:highlight w:val="none"/>
          <w:lang w:val="en-US" w:eastAsia="zh-CN"/>
        </w:rPr>
        <w:t>....................................................6</w:t>
      </w:r>
    </w:p>
    <w:p w14:paraId="1FA58BB8">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三、支出决算情况说明</w:t>
      </w:r>
      <w:r>
        <w:rPr>
          <w:rFonts w:hint="eastAsia" w:ascii="Times New Roman" w:hAnsi="Times New Roman" w:eastAsia="黑体" w:cs="黑体"/>
          <w:color w:val="auto"/>
          <w:sz w:val="32"/>
          <w:szCs w:val="32"/>
          <w:highlight w:val="none"/>
          <w:lang w:val="en-US" w:eastAsia="zh-CN"/>
        </w:rPr>
        <w:t>....................................................7</w:t>
      </w:r>
    </w:p>
    <w:p w14:paraId="0776448F">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四、财政拨款收入支出决算总体情况说明</w:t>
      </w:r>
      <w:r>
        <w:rPr>
          <w:rFonts w:hint="eastAsia" w:eastAsia="仿宋_GB2312" w:cs="仿宋_GB2312"/>
          <w:color w:val="auto"/>
          <w:sz w:val="32"/>
          <w:szCs w:val="32"/>
          <w:highlight w:val="none"/>
          <w:lang w:val="en-US" w:eastAsia="zh-CN"/>
        </w:rPr>
        <w:t>....................8</w:t>
      </w:r>
    </w:p>
    <w:p w14:paraId="43A6C922">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五、一般公共预算财政拨款支出决算情况说明</w:t>
      </w:r>
      <w:r>
        <w:rPr>
          <w:rFonts w:hint="eastAsia" w:eastAsia="仿宋_GB2312" w:cs="仿宋_GB2312"/>
          <w:color w:val="auto"/>
          <w:sz w:val="32"/>
          <w:szCs w:val="32"/>
          <w:highlight w:val="none"/>
          <w:lang w:val="en-US" w:eastAsia="zh-CN"/>
        </w:rPr>
        <w:t>............9</w:t>
      </w:r>
    </w:p>
    <w:p w14:paraId="10F301CD">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六、一般公共预算财政拨款基本支出决算情况说明</w:t>
      </w:r>
      <w:r>
        <w:rPr>
          <w:rFonts w:hint="eastAsia" w:eastAsia="仿宋_GB2312" w:cs="仿宋_GB2312"/>
          <w:color w:val="auto"/>
          <w:sz w:val="32"/>
          <w:szCs w:val="32"/>
          <w:highlight w:val="none"/>
          <w:lang w:val="en-US" w:eastAsia="zh-CN"/>
        </w:rPr>
        <w:t>..12</w:t>
      </w:r>
    </w:p>
    <w:p w14:paraId="5D77FED4">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七、财政拨款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r>
        <w:rPr>
          <w:rFonts w:hint="eastAsia" w:eastAsia="仿宋_GB2312" w:cs="仿宋_GB2312"/>
          <w:color w:val="auto"/>
          <w:sz w:val="32"/>
          <w:szCs w:val="32"/>
          <w:highlight w:val="none"/>
          <w:lang w:val="en-US" w:eastAsia="zh-CN"/>
        </w:rPr>
        <w:t>..........13</w:t>
      </w:r>
    </w:p>
    <w:p w14:paraId="5127E86E">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八、政府性基金预算支出决算情况说明</w:t>
      </w:r>
      <w:r>
        <w:rPr>
          <w:rFonts w:hint="eastAsia" w:eastAsia="仿宋_GB2312" w:cs="仿宋_GB2312"/>
          <w:color w:val="auto"/>
          <w:sz w:val="32"/>
          <w:szCs w:val="32"/>
          <w:highlight w:val="none"/>
          <w:lang w:val="en-US" w:eastAsia="zh-CN"/>
        </w:rPr>
        <w:t>......................15</w:t>
      </w:r>
    </w:p>
    <w:p w14:paraId="202B0D81">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r>
        <w:rPr>
          <w:rFonts w:hint="eastAsia" w:eastAsia="仿宋_GB2312" w:cs="仿宋_GB2312"/>
          <w:color w:val="auto"/>
          <w:sz w:val="32"/>
          <w:szCs w:val="32"/>
          <w:highlight w:val="none"/>
          <w:lang w:val="en-US" w:eastAsia="zh-CN"/>
        </w:rPr>
        <w:t>..................15</w:t>
      </w:r>
    </w:p>
    <w:p w14:paraId="1319E043">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r>
        <w:rPr>
          <w:rFonts w:hint="eastAsia" w:eastAsia="仿宋_GB2312" w:cs="仿宋_GB2312"/>
          <w:color w:val="auto"/>
          <w:sz w:val="32"/>
          <w:szCs w:val="32"/>
          <w:highlight w:val="none"/>
          <w:lang w:val="en-US" w:eastAsia="zh-CN"/>
        </w:rPr>
        <w:t>......................................15</w:t>
      </w:r>
    </w:p>
    <w:p w14:paraId="40DF4097">
      <w:pPr>
        <w:pStyle w:val="13"/>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第三部分 名词解释</w:t>
      </w:r>
      <w:r>
        <w:rPr>
          <w:rFonts w:hint="eastAsia" w:ascii="Times New Roman" w:eastAsia="黑体" w:cs="黑体"/>
          <w:color w:val="auto"/>
          <w:sz w:val="32"/>
          <w:szCs w:val="32"/>
          <w:highlight w:val="none"/>
          <w:lang w:val="en-US" w:eastAsia="zh-CN"/>
        </w:rPr>
        <w:t>................................................................17</w:t>
      </w:r>
    </w:p>
    <w:p w14:paraId="33B8EF5B">
      <w:pPr>
        <w:pStyle w:val="13"/>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第四部分 附件</w:t>
      </w:r>
      <w:r>
        <w:rPr>
          <w:rFonts w:hint="eastAsia" w:ascii="Times New Roman" w:eastAsia="黑体" w:cs="黑体"/>
          <w:color w:val="auto"/>
          <w:sz w:val="32"/>
          <w:szCs w:val="32"/>
          <w:highlight w:val="none"/>
          <w:lang w:val="en-US" w:eastAsia="zh-CN"/>
        </w:rPr>
        <w:t>........................................................................20</w:t>
      </w:r>
    </w:p>
    <w:p w14:paraId="79F4A5C3">
      <w:pPr>
        <w:pStyle w:val="13"/>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第五部分 附表</w:t>
      </w:r>
      <w:r>
        <w:rPr>
          <w:rFonts w:hint="eastAsia" w:ascii="Times New Roman" w:eastAsia="黑体" w:cs="黑体"/>
          <w:color w:val="auto"/>
          <w:sz w:val="32"/>
          <w:szCs w:val="32"/>
          <w:highlight w:val="none"/>
          <w:lang w:val="en-US" w:eastAsia="zh-CN"/>
        </w:rPr>
        <w:t>........................................................................86</w:t>
      </w:r>
    </w:p>
    <w:p w14:paraId="513647C1">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一、收入支出决算总表</w:t>
      </w:r>
    </w:p>
    <w:p w14:paraId="64AE9EA5">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二、收入决算表</w:t>
      </w:r>
    </w:p>
    <w:p w14:paraId="4DB1D1D5">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三、支出决算表</w:t>
      </w:r>
    </w:p>
    <w:p w14:paraId="21AFF79C">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四、财政拨款收入支出决算总表</w:t>
      </w:r>
    </w:p>
    <w:p w14:paraId="4B9C64EB">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五、财政拨款支出决算明细表</w:t>
      </w:r>
    </w:p>
    <w:p w14:paraId="02E588A0">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p>
    <w:p w14:paraId="705E6433">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七、一般公共预算财政拨款支出决算明细表</w:t>
      </w:r>
    </w:p>
    <w:p w14:paraId="2AE66773">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p>
    <w:p w14:paraId="51A9A29A">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九、一般公共预算财政拨款项目支出决算表</w:t>
      </w:r>
    </w:p>
    <w:p w14:paraId="7623AFDD">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十、政府性基金预算财政拨款收入支出决算表</w:t>
      </w:r>
    </w:p>
    <w:p w14:paraId="6B0751B7">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十一、国有资本经营预算财政拨款收入支出决算表</w:t>
      </w:r>
    </w:p>
    <w:p w14:paraId="037B52C4">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p>
    <w:p w14:paraId="6326DB14">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十三、财政拨款“三公”经费支出决算表</w:t>
      </w:r>
    </w:p>
    <w:p w14:paraId="0FADE4CC">
      <w:pPr>
        <w:pStyle w:val="4"/>
        <w:jc w:val="center"/>
        <w:rPr>
          <w:rFonts w:hint="eastAsia" w:ascii="Times New Roman" w:hAnsi="Times New Roman" w:eastAsia="方正小标宋简体" w:cs="方正小标宋简体"/>
          <w:b w:val="0"/>
          <w:color w:val="auto"/>
          <w:highlight w:val="none"/>
        </w:rPr>
        <w:sectPr>
          <w:footerReference r:id="rId7" w:type="first"/>
          <w:footerReference r:id="rId6" w:type="default"/>
          <w:pgSz w:w="11906" w:h="16838"/>
          <w:pgMar w:top="1440" w:right="1800" w:bottom="1440" w:left="1800" w:header="851" w:footer="992" w:gutter="0"/>
          <w:pgNumType w:fmt="numberInDash" w:start="1"/>
          <w:cols w:space="720" w:num="1"/>
          <w:docGrid w:type="lines" w:linePitch="312" w:charSpace="0"/>
        </w:sectPr>
      </w:pPr>
      <w:bookmarkStart w:id="6" w:name="_Toc15377196"/>
      <w:bookmarkStart w:id="7" w:name="_Toc15396599"/>
    </w:p>
    <w:p w14:paraId="56EB60DC">
      <w:pPr>
        <w:pStyle w:val="4"/>
        <w:jc w:val="center"/>
        <w:rPr>
          <w:rStyle w:val="20"/>
          <w:rFonts w:hint="eastAsia" w:ascii="Times New Roman" w:hAnsi="Times New Roman" w:eastAsia="方正小标宋简体" w:cs="方正小标宋简体"/>
          <w:b/>
          <w:bCs w:val="0"/>
          <w:color w:val="auto"/>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20"/>
          <w:rFonts w:hint="eastAsia" w:ascii="Times New Roman" w:hAnsi="Times New Roman" w:eastAsia="方正小标宋简体" w:cs="方正小标宋简体"/>
          <w:b w:val="0"/>
          <w:bCs w:val="0"/>
          <w:color w:val="auto"/>
          <w:highlight w:val="none"/>
        </w:rPr>
        <w:t>部门概况</w:t>
      </w:r>
      <w:bookmarkEnd w:id="6"/>
      <w:bookmarkEnd w:id="7"/>
    </w:p>
    <w:p w14:paraId="75BF0C75">
      <w:pPr>
        <w:widowControl/>
        <w:jc w:val="left"/>
        <w:rPr>
          <w:rFonts w:ascii="Times New Roman" w:hAnsi="Times New Roman" w:eastAsia="黑体"/>
          <w:color w:val="auto"/>
          <w:sz w:val="32"/>
          <w:szCs w:val="32"/>
          <w:highlight w:val="none"/>
        </w:rPr>
      </w:pPr>
    </w:p>
    <w:p w14:paraId="199BFC95">
      <w:pPr>
        <w:pStyle w:val="5"/>
        <w:numPr>
          <w:ilvl w:val="0"/>
          <w:numId w:val="1"/>
        </w:numPr>
        <w:rPr>
          <w:rFonts w:hint="eastAsia" w:ascii="Times New Roman" w:hAnsi="Times New Roman" w:eastAsia="黑体"/>
          <w:b w:val="0"/>
          <w:color w:val="auto"/>
          <w:highlight w:val="none"/>
          <w:lang w:eastAsia="zh-CN"/>
        </w:rPr>
      </w:pPr>
      <w:r>
        <w:rPr>
          <w:rFonts w:hint="eastAsia" w:ascii="Times New Roman" w:hAnsi="Times New Roman" w:eastAsia="黑体"/>
          <w:b w:val="0"/>
          <w:color w:val="auto"/>
          <w:highlight w:val="none"/>
          <w:lang w:eastAsia="zh-CN"/>
        </w:rPr>
        <w:t>部门职责</w:t>
      </w:r>
    </w:p>
    <w:p w14:paraId="24DC0EA1">
      <w:pPr>
        <w:snapToGrid w:val="0"/>
        <w:spacing w:line="520" w:lineRule="exact"/>
        <w:ind w:firstLine="420" w:firstLineChars="200"/>
        <w:rPr>
          <w:rFonts w:ascii="仿宋_GB2312" w:eastAsia="仿宋_GB2312"/>
          <w:sz w:val="32"/>
          <w:szCs w:val="32"/>
          <w:highlight w:val="none"/>
          <w:lang w:val="en-US" w:eastAsia="zh-CN"/>
        </w:rPr>
      </w:pPr>
      <w:r>
        <w:rPr>
          <w:rFonts w:hint="eastAsia"/>
          <w:lang w:val="en-US" w:eastAsia="zh-CN"/>
        </w:rPr>
        <w:t xml:space="preserve">    </w:t>
      </w:r>
      <w:r>
        <w:rPr>
          <w:rFonts w:hint="eastAsia" w:ascii="仿宋_GB2312" w:eastAsia="仿宋_GB2312"/>
          <w:sz w:val="32"/>
          <w:szCs w:val="32"/>
          <w:highlight w:val="none"/>
          <w:lang w:val="en-US" w:eastAsia="zh-CN"/>
        </w:rPr>
        <w:t>1、拟订人力资源和社会保障事业发展政策、规划，起草相关民族自治法规和规范性文件草案。2、拟订人力资源市场发展规划和人力资源服务业发展、人力资源流动政策，促进人力资源合理流动、有效配置。3、负责促进就业工作，拟订统筹城乡的就业发展规划和政策，完善公共就业创业服务体系，统筹建立面向城乡劳动者的职业技能培训制度，拟订并组织落实创业、就业援助制度，牵头拟订高校毕业生就业政策。4、统筹推进建立覆盖城乡的多层次社会保障体系。拟订养老、失业、工伤等社会保险及其补充保险政策和标准。贯彻落实养老保险全国统筹办法和全国统一的养老、失业、工伤保险关系转续办法。组织拟订养老、失业、工伤等社会保险及其补充保险基金管理和监督办法，编制相关社会保险基金预决算草案，参与拟订相关社会保障基金投资政策。会同有关部门实施全民参保计划并参与建立全国统一的社会保险公共服务平台。拟订人力资源和社会保障信息化建设总体规划、年度计划，制定相关制度、标准和规范并组织实施。指导、督促企业参加工伤保险。5、负责就业、失业和相关社会保险基金预测预警和信息引导，拟订应对预案，实施预防、调节和控制，保持就业形势稳定和相关社会保险基金总体收支平衡。6、统筹拟订劳动人事争议调解仲裁制度和劳动关系政策，完善劳动关系协商协调机制，贯彻职工工作时间、休息休假和假期制度，落实消除非法使用童工政策和女工、未成年工特殊劳动保护政策。依法督促用人单位在劳动用工、合同签订与履约时，载明劳动保护、劳动条件和职业危害防护等条款。组织实施劳动保障监察，协调劳动者维权工作，依法查处重大案件。7、牵头推进深化职称制度改革，拟订专业技术人员管理、继续教育和博士后管理等政策，负责高层次专业技术人才选拔和培养工作，贯彻落实吸引留学人员来州（回州）工作或定居政策。组织拟订技能人才培养、评价、使用和激励制度。贯彻落实职业资格制度，健全职业技能多元化评价政策。指导、监督各级各类技工学校、民办职业培训机构按国家和省、州有关规定履行安全管理责任。8、会同有关部门指导事业单位人事制度改革，按照管理权限负责规范事业单位岗位设置、公开招聘、聘用合同等人事综合管理工作，落实规范事业单位工作人员和机关工勤人员管理政策，将安全生产及生态环境保护责任履行情况作为事业单位工作人员奖惩、考核的重要内容。9、组织实施国家表彰奖励制度，综合管理政府表彰奖励工作，承担评比达标表彰等工作，根据授权承办以州委、州政府名义开展的表彰奖励活动。承办提请州人大常委会和州政府决定的人事任免事项。10、会同有关部门拟订事业单位人员工资收入分配政策，建立企事业单位人员工资决定、正常增长和支付保障机制。拟订企事业单位人员福利和离退休政策。11、会同有关部门拟订农民工工作的综合性政策和规划，推动相关政策落实，协调解决重点难点问题，维护农民工合法权益。负责将安全生产纳入农民工技能培训内容。12、负责人力资源和社会保障领域内的对外交流与合作工作。13、承担职责范围内的安全生产和职业健康、生态环境保护、审批服务便民化等工作。14.统筹拟订劳动、人事争议调解仲裁制度和劳动关系政策并组织和监督实施，完善劳动关系协调机制，贯彻企业职工工作时间、休息休假制度、消除非法使用童工政策和女工、未成年工的特殊劳动保护政策，组织实施劳动监察，协调劳动者维权工作，依法查处重大案件。15、完成州委、州政府交办的其他任务。16、职能转变。深入推进简政放权、放管结合、优化服务改革，进一步减少行政审批事项，规范和优化对外办理事项，减少职业资格许可和认定等审批事项，实行职业资格目录清单管理，加强事中事后监管，创新就业和社会保障等公共服务方式，加强信息共享，提高公共服务水平。17、有关职责分工。与州教育局的有关职责分工。高校毕业生就业政策由州人力资源社会保障局牵头，会同州教育局等部门拟订。高校毕业生离校前的就业指导和服务工作，由州教育局负责；高校毕业生离校后的就业指导和服务工作，由州人力资源社会保障局负责。18、负责阿坝州劳动人事争议仲裁委员会的日常工作； 依法处理州本级管理范围内的劳动争议案件及上级交办、外地委托的案件;根据阿坝州劳动人事争议仲裁委员会授权，负责仲裁员的培训、考核、聘任工作,并对全州仲裁员调解员进行管理；参与调解和仲裁涉及劳动人事突发事件、群体、疑难及重大案件; 承担本行政区域内企业及职工开展劳动人事争议预防工作和处理程序方面的法律、法规、政策知识宣传和培训工作。19、负责宣传人力资源和社会保障政策、法规、 规章、制度；受理人力资源和社会保障举报、投诉；负责完善人力资源和社会保障政策法规知识库，并提供咨询服务；负责收集人力资源和社会保障业务办理流程并录入系统，引导群众按流程办理相关人社业务；负责有关人事招录方面的咨询服务；负责养老、失业、工伤保险和职业年金的参保缴费和待遇领取等信息的电话查询服务，负责个人社保权益的电话查询服务；负责惠民惠农财政补贴资金社会保障卡“一卡通”和社会保障卡业务办理查询服务。20、贯彻执行国家和人力资源社会保障部信息化建设有关法律、法规和技术规范，严格执行数据的定义、标准和分类，确保人力资源和社会保障信息化建设和数据符合国家统一要求；建立健全各项规章制度和应急预案；负责全州人力资源社会保障信息系统建设和业务数据管理维护；负责信息化建设硬件设备预算采购、配备等工作；负责人力资源社会保障公共服务系统建设；负责社会保障卡跨地区、跨部门推广应用和数据交换；负责社会保障卡“一卡通”信息系统运行、管理、维护；负责社会保障卡的信息采集、制作、发放、密码重置、密码修改、激活等业务；推进社会保障卡功能拓展应 用；组织开展社会保障卡宣传和业务培训；承担局信息化领导小组办公室的日常工作；指导各县（市）完成信息化建设、信息系统应用和相关业务工作。21、承担各类执业（职业）资格考试、专业技术资格考试、事业单位公开招聘考试、社会化考试的组织实施工作，协助做好公务员录用、公开遴选、公开选调等考试的考务组织工作。22、贯彻执行《中华人民共和国档案法》等档案法律法 规，向社会各界和群众无偿提供档案查阅利用服务；建立健全局机关档案工作规章制度；负责局机关档案收集、整理、保管、统计、利用服务和期满档案移交工作；统一代管局属各事业单位和经办机构档案。</w:t>
      </w:r>
    </w:p>
    <w:p w14:paraId="47ECAF22">
      <w:pPr>
        <w:numPr>
          <w:ilvl w:val="0"/>
          <w:numId w:val="0"/>
        </w:numPr>
        <w:rPr>
          <w:rFonts w:hint="default"/>
          <w:lang w:val="en-US" w:eastAsia="zh-CN"/>
        </w:rPr>
      </w:pPr>
    </w:p>
    <w:p w14:paraId="35CF1F2D">
      <w:pPr>
        <w:pStyle w:val="5"/>
        <w:rPr>
          <w:rStyle w:val="21"/>
          <w:rFonts w:ascii="Times New Roman" w:hAnsi="Times New Roman"/>
          <w:b w:val="0"/>
          <w:bCs w:val="0"/>
          <w:color w:val="auto"/>
          <w:highlight w:val="none"/>
        </w:rPr>
      </w:pPr>
      <w:bookmarkStart w:id="8" w:name="_Toc15396601"/>
      <w:bookmarkStart w:id="9" w:name="_Toc15377200"/>
      <w:r>
        <w:rPr>
          <w:rFonts w:hint="eastAsia" w:ascii="Times New Roman" w:hAnsi="Times New Roman" w:eastAsia="黑体"/>
          <w:b w:val="0"/>
          <w:color w:val="auto"/>
          <w:highlight w:val="none"/>
        </w:rPr>
        <w:t>二、机</w:t>
      </w:r>
      <w:r>
        <w:rPr>
          <w:rStyle w:val="21"/>
          <w:rFonts w:hint="eastAsia" w:ascii="Times New Roman" w:hAnsi="Times New Roman" w:eastAsia="黑体"/>
          <w:b w:val="0"/>
          <w:bCs w:val="0"/>
          <w:color w:val="auto"/>
          <w:highlight w:val="none"/>
        </w:rPr>
        <w:t>构设置</w:t>
      </w:r>
      <w:bookmarkEnd w:id="8"/>
      <w:bookmarkEnd w:id="9"/>
    </w:p>
    <w:p w14:paraId="21B22F03">
      <w:pPr>
        <w:ind w:firstLine="800" w:firstLineChars="250"/>
        <w:rPr>
          <w:rFonts w:hint="eastAsia" w:ascii="Times New Roman" w:hAnsi="Times New Roman" w:eastAsia="仿宋_GB2312" w:cs="仿宋_GB2312"/>
          <w:color w:val="auto"/>
          <w:sz w:val="32"/>
          <w:szCs w:val="32"/>
          <w:highlight w:val="none"/>
        </w:rPr>
      </w:pPr>
      <w:r>
        <w:rPr>
          <w:rFonts w:hint="eastAsia" w:ascii="仿宋_GB2312" w:eastAsia="仿宋_GB2312" w:cs="仿宋_GB2312"/>
          <w:color w:val="auto"/>
          <w:sz w:val="32"/>
          <w:szCs w:val="32"/>
          <w:highlight w:val="none"/>
        </w:rPr>
        <w:t>阿坝藏族羌族自治州人力资源和社会保障局</w:t>
      </w:r>
      <w:r>
        <w:rPr>
          <w:rFonts w:hint="eastAsia" w:ascii="Times New Roman" w:hAnsi="Times New Roman" w:eastAsia="仿宋_GB2312" w:cs="仿宋_GB2312"/>
          <w:color w:val="auto"/>
          <w:sz w:val="32"/>
          <w:szCs w:val="32"/>
          <w:highlight w:val="none"/>
        </w:rPr>
        <w:t>下属二级</w:t>
      </w:r>
      <w:r>
        <w:rPr>
          <w:rFonts w:hint="eastAsia" w:ascii="Times New Roman" w:hAnsi="Times New Roman" w:eastAsia="仿宋_GB2312" w:cs="仿宋_GB2312"/>
          <w:color w:val="auto"/>
          <w:sz w:val="32"/>
          <w:szCs w:val="32"/>
          <w:highlight w:val="none"/>
          <w:lang w:eastAsia="zh-CN"/>
        </w:rPr>
        <w:t>预算</w:t>
      </w:r>
      <w:r>
        <w:rPr>
          <w:rFonts w:hint="eastAsia" w:ascii="Times New Roman" w:hAnsi="Times New Roman" w:eastAsia="仿宋_GB2312" w:cs="仿宋_GB2312"/>
          <w:color w:val="auto"/>
          <w:sz w:val="32"/>
          <w:szCs w:val="32"/>
          <w:highlight w:val="none"/>
        </w:rPr>
        <w:t>单位</w:t>
      </w:r>
      <w:r>
        <w:rPr>
          <w:rFonts w:hint="eastAsia" w:eastAsia="仿宋_GB2312" w:cs="仿宋_GB2312"/>
          <w:color w:val="auto"/>
          <w:sz w:val="32"/>
          <w:szCs w:val="32"/>
          <w:highlight w:val="none"/>
          <w:lang w:val="en-US" w:eastAsia="zh-CN"/>
        </w:rPr>
        <w:t>5</w:t>
      </w:r>
      <w:r>
        <w:rPr>
          <w:rFonts w:hint="eastAsia" w:ascii="Times New Roman" w:hAnsi="Times New Roman" w:eastAsia="仿宋_GB2312" w:cs="仿宋_GB2312"/>
          <w:color w:val="auto"/>
          <w:sz w:val="32"/>
          <w:szCs w:val="32"/>
          <w:highlight w:val="none"/>
        </w:rPr>
        <w:t>个，其中行政单位</w:t>
      </w:r>
      <w:r>
        <w:rPr>
          <w:rFonts w:hint="eastAsia"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个，参照公务员法管理的事业单位</w:t>
      </w:r>
      <w:r>
        <w:rPr>
          <w:rFonts w:hint="eastAsia"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个，其他事业单位</w:t>
      </w:r>
      <w:r>
        <w:rPr>
          <w:rFonts w:hint="eastAsia"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w:t>
      </w:r>
    </w:p>
    <w:p w14:paraId="4D2267C3">
      <w:pPr>
        <w:pStyle w:val="2"/>
        <w:adjustRightInd w:val="0"/>
        <w:snapToGrid w:val="0"/>
        <w:spacing w:before="93" w:beforeLines="0" w:line="600" w:lineRule="exact"/>
        <w:ind w:firstLine="668" w:firstLineChars="209"/>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纳入</w:t>
      </w:r>
      <w:r>
        <w:rPr>
          <w:sz w:val="32"/>
          <w:szCs w:val="32"/>
        </w:rPr>
        <w:t>阿坝藏族羌族自治州人力资源和社会保障局（本级）</w:t>
      </w:r>
      <w:r>
        <w:rPr>
          <w:rFonts w:hint="eastAsia" w:ascii="Times New Roman" w:hAnsi="Times New Roman" w:eastAsia="仿宋_GB2312" w:cs="仿宋_GB2312"/>
          <w:color w:val="auto"/>
          <w:sz w:val="32"/>
          <w:szCs w:val="32"/>
          <w:highlight w:val="none"/>
          <w:lang w:eastAsia="zh-CN"/>
        </w:rPr>
        <w:t>2024年度</w:t>
      </w:r>
      <w:r>
        <w:rPr>
          <w:rFonts w:hint="eastAsia" w:ascii="Times New Roman" w:hAnsi="Times New Roman" w:eastAsia="仿宋_GB2312" w:cs="仿宋_GB2312"/>
          <w:color w:val="auto"/>
          <w:sz w:val="32"/>
          <w:szCs w:val="32"/>
          <w:highlight w:val="none"/>
        </w:rPr>
        <w:t>部门决算编制范围的二级预算单位包括：</w:t>
      </w:r>
    </w:p>
    <w:p w14:paraId="1CB35F1A">
      <w:pPr>
        <w:pStyle w:val="2"/>
        <w:numPr>
          <w:ilvl w:val="0"/>
          <w:numId w:val="2"/>
        </w:numPr>
        <w:adjustRightInd w:val="0"/>
        <w:snapToGrid w:val="0"/>
        <w:spacing w:before="93" w:beforeLines="0" w:line="600" w:lineRule="exact"/>
        <w:outlineLvl w:val="2"/>
        <w:rPr>
          <w:rFonts w:ascii="仿宋" w:eastAsia="仿宋"/>
          <w:sz w:val="32"/>
          <w:szCs w:val="32"/>
        </w:rPr>
      </w:pPr>
      <w:bookmarkStart w:id="10" w:name="_Toc15378449"/>
      <w:bookmarkStart w:id="11" w:name="_Toc15377433"/>
      <w:bookmarkStart w:id="12" w:name="_Toc15377202"/>
      <w:bookmarkStart w:id="13" w:name="_Toc15306276"/>
      <w:r>
        <w:rPr>
          <w:rFonts w:hint="eastAsia" w:ascii="仿宋" w:eastAsia="仿宋"/>
          <w:sz w:val="32"/>
          <w:szCs w:val="32"/>
          <w:lang w:eastAsia="zh-CN"/>
        </w:rPr>
        <w:t>阿坝州人力资源和社会保障局</w:t>
      </w:r>
    </w:p>
    <w:bookmarkEnd w:id="10"/>
    <w:bookmarkEnd w:id="11"/>
    <w:bookmarkEnd w:id="12"/>
    <w:bookmarkEnd w:id="13"/>
    <w:p w14:paraId="11678954">
      <w:pPr>
        <w:pStyle w:val="2"/>
        <w:numPr>
          <w:ilvl w:val="0"/>
          <w:numId w:val="2"/>
        </w:numPr>
        <w:adjustRightInd w:val="0"/>
        <w:snapToGrid w:val="0"/>
        <w:spacing w:before="93" w:beforeLines="0" w:line="600" w:lineRule="exact"/>
        <w:outlineLvl w:val="2"/>
        <w:rPr>
          <w:rFonts w:hint="eastAsia" w:ascii="Times New Roman" w:hAnsi="Times New Roman" w:eastAsia="仿宋_GB2312" w:cs="仿宋_GB2312"/>
          <w:color w:val="auto"/>
          <w:sz w:val="32"/>
          <w:szCs w:val="32"/>
          <w:highlight w:val="none"/>
        </w:rPr>
      </w:pPr>
      <w:bookmarkStart w:id="14" w:name="_Toc15378450"/>
      <w:bookmarkStart w:id="15" w:name="_Toc15377434"/>
      <w:bookmarkStart w:id="16" w:name="_Toc15306277"/>
      <w:bookmarkStart w:id="17" w:name="_Toc15377203"/>
      <w:r>
        <w:rPr>
          <w:rFonts w:hint="eastAsia" w:ascii="仿宋" w:eastAsia="仿宋"/>
          <w:sz w:val="32"/>
          <w:szCs w:val="32"/>
          <w:lang w:eastAsia="zh-CN"/>
        </w:rPr>
        <w:t>阿坝州人力资源和社会保障信息中心</w:t>
      </w:r>
    </w:p>
    <w:bookmarkEnd w:id="14"/>
    <w:bookmarkEnd w:id="15"/>
    <w:bookmarkEnd w:id="16"/>
    <w:bookmarkEnd w:id="17"/>
    <w:p w14:paraId="3E614715">
      <w:pPr>
        <w:pStyle w:val="2"/>
        <w:numPr>
          <w:ilvl w:val="0"/>
          <w:numId w:val="2"/>
        </w:numPr>
        <w:adjustRightInd w:val="0"/>
        <w:snapToGrid w:val="0"/>
        <w:spacing w:before="93" w:beforeLines="0" w:line="600" w:lineRule="exact"/>
        <w:ind w:left="1152" w:leftChars="0" w:hanging="480" w:firstLineChars="0"/>
        <w:rPr>
          <w:rFonts w:hint="eastAsia" w:ascii="仿宋" w:hAnsi="Times New Roman" w:eastAsia="仿宋" w:cs="Times New Roman"/>
          <w:b w:val="0"/>
          <w:bCs w:val="0"/>
          <w:kern w:val="0"/>
          <w:sz w:val="32"/>
          <w:szCs w:val="32"/>
          <w:lang w:val="en-US" w:eastAsia="zh-CN" w:bidi="ar-SA"/>
        </w:rPr>
      </w:pPr>
      <w:r>
        <w:rPr>
          <w:rFonts w:hint="eastAsia" w:ascii="仿宋" w:hAnsi="Times New Roman" w:eastAsia="仿宋" w:cs="Times New Roman"/>
          <w:b w:val="0"/>
          <w:bCs w:val="0"/>
          <w:kern w:val="0"/>
          <w:sz w:val="32"/>
          <w:szCs w:val="32"/>
          <w:lang w:val="en-US" w:eastAsia="zh-CN" w:bidi="ar-SA"/>
        </w:rPr>
        <w:t>阿坝州就业服务管理局</w:t>
      </w:r>
    </w:p>
    <w:p w14:paraId="29D78F64">
      <w:pPr>
        <w:numPr>
          <w:ilvl w:val="0"/>
          <w:numId w:val="2"/>
        </w:numPr>
        <w:ind w:left="1152" w:leftChars="0" w:hanging="480" w:firstLineChars="0"/>
        <w:rPr>
          <w:rFonts w:hint="eastAsia" w:ascii="仿宋" w:hAnsi="Times New Roman" w:eastAsia="仿宋" w:cs="Times New Roman"/>
          <w:b w:val="0"/>
          <w:bCs w:val="0"/>
          <w:kern w:val="0"/>
          <w:sz w:val="32"/>
          <w:szCs w:val="32"/>
          <w:lang w:val="en-US" w:eastAsia="zh-CN" w:bidi="ar-SA"/>
        </w:rPr>
      </w:pPr>
      <w:r>
        <w:rPr>
          <w:rFonts w:hint="eastAsia" w:ascii="仿宋" w:hAnsi="Times New Roman" w:eastAsia="仿宋" w:cs="Times New Roman"/>
          <w:b w:val="0"/>
          <w:bCs w:val="0"/>
          <w:kern w:val="0"/>
          <w:sz w:val="32"/>
          <w:szCs w:val="32"/>
          <w:lang w:val="en-US" w:eastAsia="zh-CN" w:bidi="ar-SA"/>
        </w:rPr>
        <w:t>阿坝州农民工服务中心</w:t>
      </w:r>
    </w:p>
    <w:p w14:paraId="246C7E1E">
      <w:pPr>
        <w:numPr>
          <w:ilvl w:val="0"/>
          <w:numId w:val="2"/>
        </w:numPr>
        <w:ind w:left="1152" w:leftChars="0" w:hanging="480" w:firstLineChars="0"/>
        <w:rPr>
          <w:rFonts w:hint="eastAsia" w:ascii="仿宋" w:hAnsi="Times New Roman" w:eastAsia="仿宋" w:cs="Times New Roman"/>
          <w:b w:val="0"/>
          <w:bCs w:val="0"/>
          <w:kern w:val="0"/>
          <w:sz w:val="32"/>
          <w:szCs w:val="32"/>
          <w:lang w:val="en-US" w:eastAsia="zh-CN" w:bidi="ar-SA"/>
        </w:rPr>
      </w:pPr>
      <w:r>
        <w:rPr>
          <w:rFonts w:hint="eastAsia" w:ascii="仿宋" w:hAnsi="Times New Roman" w:eastAsia="仿宋" w:cs="Times New Roman"/>
          <w:b w:val="0"/>
          <w:bCs w:val="0"/>
          <w:kern w:val="0"/>
          <w:sz w:val="32"/>
          <w:szCs w:val="32"/>
          <w:lang w:val="en-US" w:eastAsia="zh-CN" w:bidi="ar-SA"/>
        </w:rPr>
        <w:t>阿坝州社会保险事业管理局</w:t>
      </w:r>
    </w:p>
    <w:p w14:paraId="73CE03FA">
      <w:pPr>
        <w:pStyle w:val="2"/>
        <w:numPr>
          <w:ilvl w:val="0"/>
          <w:numId w:val="0"/>
        </w:numPr>
        <w:adjustRightInd w:val="0"/>
        <w:snapToGrid w:val="0"/>
        <w:spacing w:before="93" w:beforeLines="0" w:line="600" w:lineRule="exact"/>
        <w:rPr>
          <w:rFonts w:hint="eastAsia" w:ascii="仿宋" w:hAnsi="Times New Roman" w:eastAsia="仿宋" w:cs="Times New Roman"/>
          <w:b w:val="0"/>
          <w:bCs w:val="0"/>
          <w:kern w:val="0"/>
          <w:sz w:val="32"/>
          <w:szCs w:val="32"/>
          <w:lang w:val="en-US" w:eastAsia="zh-CN" w:bidi="ar-SA"/>
        </w:rPr>
      </w:pPr>
    </w:p>
    <w:p w14:paraId="40440125">
      <w:pPr>
        <w:widowControl/>
        <w:jc w:val="left"/>
        <w:rPr>
          <w:rFonts w:ascii="Times New Roman" w:hAnsi="Times New Roman" w:eastAsia="仿宋"/>
          <w:color w:val="auto"/>
          <w:kern w:val="0"/>
          <w:sz w:val="32"/>
          <w:szCs w:val="32"/>
          <w:highlight w:val="none"/>
        </w:rPr>
      </w:pPr>
      <w:r>
        <w:rPr>
          <w:rFonts w:ascii="Times New Roman" w:hAnsi="Times New Roman" w:eastAsia="仿宋"/>
          <w:color w:val="auto"/>
          <w:sz w:val="32"/>
          <w:szCs w:val="32"/>
          <w:highlight w:val="none"/>
        </w:rPr>
        <w:br w:type="page"/>
      </w:r>
    </w:p>
    <w:p w14:paraId="369F7345">
      <w:pPr>
        <w:pStyle w:val="4"/>
        <w:jc w:val="center"/>
        <w:rPr>
          <w:rFonts w:hint="eastAsia" w:ascii="Times New Roman" w:hAnsi="Times New Roman" w:eastAsia="方正小标宋简体" w:cs="方正小标宋简体"/>
          <w:b w:val="0"/>
          <w:color w:val="auto"/>
          <w:highlight w:val="none"/>
        </w:rPr>
      </w:pPr>
      <w:bookmarkStart w:id="18" w:name="_Toc15396602"/>
      <w:bookmarkStart w:id="19" w:name="_Toc15377204"/>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18"/>
      <w:bookmarkEnd w:id="19"/>
    </w:p>
    <w:p w14:paraId="0D324ACD">
      <w:pPr>
        <w:rPr>
          <w:rFonts w:ascii="Times New Roman" w:hAnsi="Times New Roman"/>
          <w:color w:val="auto"/>
          <w:highlight w:val="none"/>
        </w:rPr>
      </w:pPr>
    </w:p>
    <w:p w14:paraId="1E101391">
      <w:pPr>
        <w:pStyle w:val="27"/>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Style w:val="21"/>
          <w:rFonts w:hint="eastAsia" w:ascii="Times New Roman" w:hAnsi="Times New Roman" w:eastAsia="黑体"/>
          <w:b w:val="0"/>
          <w:color w:val="auto"/>
          <w:highlight w:val="none"/>
        </w:rPr>
      </w:pPr>
      <w:bookmarkStart w:id="20" w:name="_Toc15396603"/>
      <w:bookmarkStart w:id="21" w:name="_Toc15377205"/>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21"/>
          <w:rFonts w:hint="eastAsia" w:ascii="Times New Roman" w:hAnsi="Times New Roman" w:eastAsia="黑体"/>
          <w:b w:val="0"/>
          <w:color w:val="auto"/>
          <w:highlight w:val="none"/>
        </w:rPr>
        <w:t>入支出决算总体情况说明</w:t>
      </w:r>
      <w:bookmarkEnd w:id="20"/>
      <w:bookmarkEnd w:id="21"/>
    </w:p>
    <w:p w14:paraId="6A15C792">
      <w:pPr>
        <w:spacing w:line="600" w:lineRule="exact"/>
        <w:ind w:firstLine="640" w:firstLineChars="200"/>
        <w:rPr>
          <w:rFonts w:hint="eastAsia" w:ascii="仿宋" w:eastAsia="仿宋"/>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eastAsia="仿宋_GB2312" w:cs="仿宋_GB2312"/>
          <w:sz w:val="32"/>
          <w:szCs w:val="32"/>
        </w:rPr>
        <w:t>2765.01</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总计各减少</w:t>
      </w:r>
      <w:r>
        <w:rPr>
          <w:rFonts w:hint="eastAsia" w:eastAsia="仿宋_GB2312" w:cs="仿宋_GB2312"/>
          <w:color w:val="auto"/>
          <w:sz w:val="32"/>
          <w:szCs w:val="32"/>
          <w:highlight w:val="none"/>
          <w:lang w:val="en-US" w:eastAsia="zh-CN"/>
        </w:rPr>
        <w:t>3081.39</w:t>
      </w:r>
      <w:r>
        <w:rPr>
          <w:rFonts w:hint="eastAsia" w:ascii="Times New Roman" w:hAnsi="Times New Roman" w:eastAsia="仿宋_GB2312" w:cs="仿宋_GB2312"/>
          <w:color w:val="auto"/>
          <w:sz w:val="32"/>
          <w:szCs w:val="32"/>
          <w:highlight w:val="none"/>
        </w:rPr>
        <w:t>万元，下降</w:t>
      </w:r>
      <w:r>
        <w:rPr>
          <w:rFonts w:hint="eastAsia" w:eastAsia="仿宋_GB2312" w:cs="仿宋_GB2312"/>
          <w:color w:val="auto"/>
          <w:sz w:val="32"/>
          <w:szCs w:val="32"/>
          <w:highlight w:val="none"/>
          <w:lang w:val="en-US" w:eastAsia="zh-CN"/>
        </w:rPr>
        <w:t>52.71</w:t>
      </w:r>
      <w:r>
        <w:rPr>
          <w:rFonts w:hint="eastAsia" w:ascii="Times New Roman" w:hAnsi="Times New Roman" w:eastAsia="仿宋_GB2312" w:cs="仿宋_GB2312"/>
          <w:color w:val="auto"/>
          <w:sz w:val="32"/>
          <w:szCs w:val="32"/>
          <w:highlight w:val="none"/>
        </w:rPr>
        <w:t>%。主要变动原因是</w:t>
      </w:r>
      <w:r>
        <w:rPr>
          <w:rFonts w:hint="eastAsia" w:ascii="仿宋" w:eastAsia="仿宋"/>
          <w:color w:val="auto"/>
          <w:sz w:val="32"/>
          <w:szCs w:val="32"/>
          <w:highlight w:val="none"/>
        </w:rPr>
        <w:t>一是人员变动导致工资性支出减少，二是项目资金在202</w:t>
      </w:r>
      <w:r>
        <w:rPr>
          <w:rFonts w:hint="eastAsia" w:ascii="仿宋" w:eastAsia="仿宋"/>
          <w:color w:val="auto"/>
          <w:sz w:val="32"/>
          <w:szCs w:val="32"/>
          <w:highlight w:val="none"/>
          <w:lang w:val="en-US" w:eastAsia="zh-CN"/>
        </w:rPr>
        <w:t>3</w:t>
      </w:r>
      <w:r>
        <w:rPr>
          <w:rFonts w:hint="eastAsia" w:ascii="仿宋" w:eastAsia="仿宋"/>
          <w:color w:val="auto"/>
          <w:sz w:val="32"/>
          <w:szCs w:val="32"/>
          <w:highlight w:val="none"/>
        </w:rPr>
        <w:t>年度基础上压减</w:t>
      </w:r>
      <w:r>
        <w:rPr>
          <w:rFonts w:hint="eastAsia" w:ascii="仿宋" w:eastAsia="仿宋"/>
          <w:color w:val="auto"/>
          <w:sz w:val="32"/>
          <w:szCs w:val="32"/>
          <w:highlight w:val="none"/>
          <w:lang w:val="en-US" w:eastAsia="zh-CN"/>
        </w:rPr>
        <w:t>24.25</w:t>
      </w:r>
      <w:r>
        <w:rPr>
          <w:rFonts w:hint="eastAsia" w:ascii="仿宋" w:eastAsia="仿宋"/>
          <w:color w:val="auto"/>
          <w:sz w:val="32"/>
          <w:szCs w:val="32"/>
          <w:highlight w:val="none"/>
        </w:rPr>
        <w:t>%</w:t>
      </w:r>
      <w:r>
        <w:rPr>
          <w:rFonts w:hint="eastAsia" w:ascii="仿宋" w:eastAsia="仿宋"/>
          <w:color w:val="auto"/>
          <w:sz w:val="32"/>
          <w:szCs w:val="32"/>
          <w:highlight w:val="none"/>
          <w:lang w:eastAsia="zh-CN"/>
        </w:rPr>
        <w:t>。</w:t>
      </w:r>
    </w:p>
    <w:p w14:paraId="26E5C851">
      <w:pPr>
        <w:keepNext w:val="0"/>
        <w:keepLines w:val="0"/>
        <w:widowControl/>
        <w:suppressLineNumbers w:val="0"/>
        <w:jc w:val="left"/>
      </w:pPr>
      <w:r>
        <w:rPr>
          <w:rFonts w:hint="eastAsia" w:ascii="Times New Roman" w:hAnsi="Times New Roman" w:eastAsia="仿宋_GB2312" w:cs="仿宋_GB2312"/>
          <w:color w:val="auto"/>
          <w:sz w:val="32"/>
          <w:szCs w:val="32"/>
          <w:highlight w:val="none"/>
        </w:rPr>
        <w:t>（图1：</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决算总计变动情况图）</w:t>
      </w:r>
      <w:r>
        <w:rPr>
          <w:rFonts w:ascii="仿宋_GB2312" w:hAnsi="仿宋_GB2312" w:eastAsia="仿宋_GB2312" w:cs="仿宋_GB2312"/>
          <w:color w:val="000000"/>
          <w:kern w:val="0"/>
          <w:sz w:val="31"/>
          <w:szCs w:val="31"/>
          <w:lang w:val="en-US" w:eastAsia="zh-CN" w:bidi="ar"/>
        </w:rPr>
        <w:t>（单位：万元）</w:t>
      </w:r>
    </w:p>
    <w:p w14:paraId="247857C8">
      <w:pPr>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仿宋_GB2312" w:cs="仿宋_GB2312"/>
          <w:color w:val="auto"/>
          <w:sz w:val="32"/>
          <w:szCs w:val="32"/>
          <w:highlight w:val="none"/>
          <w:lang w:eastAsia="zh-CN"/>
        </w:rPr>
      </w:pPr>
    </w:p>
    <w:p w14:paraId="1457769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drawing>
          <wp:inline distT="0" distB="0" distL="114300" distR="114300">
            <wp:extent cx="5256530" cy="2988310"/>
            <wp:effectExtent l="5080" t="4445" r="15240" b="1714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D20E045">
      <w:pPr>
        <w:pStyle w:val="27"/>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hint="eastAsia" w:ascii="Times New Roman" w:hAnsi="Times New Roman" w:eastAsia="黑体"/>
          <w:color w:val="auto"/>
          <w:sz w:val="32"/>
          <w:szCs w:val="32"/>
          <w:highlight w:val="none"/>
          <w:lang w:eastAsia="zh-CN"/>
        </w:rPr>
      </w:pPr>
      <w:bookmarkStart w:id="22" w:name="_Toc15396604"/>
      <w:bookmarkStart w:id="23" w:name="_Toc15377206"/>
      <w:r>
        <w:rPr>
          <w:rFonts w:hint="eastAsia" w:ascii="Times New Roman" w:hAnsi="Times New Roman" w:eastAsia="黑体"/>
          <w:color w:val="auto"/>
          <w:sz w:val="32"/>
          <w:szCs w:val="32"/>
          <w:highlight w:val="none"/>
          <w:lang w:eastAsia="zh-CN"/>
        </w:rPr>
        <w:t>二、收入决算情况说明</w:t>
      </w:r>
      <w:bookmarkEnd w:id="22"/>
      <w:bookmarkEnd w:id="23"/>
    </w:p>
    <w:p w14:paraId="7ECD8B9C">
      <w:pPr>
        <w:pStyle w:val="27"/>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r>
        <w:rPr>
          <w:rFonts w:hint="eastAsia" w:ascii="仿宋_GB2312" w:eastAsia="仿宋_GB2312" w:cs="仿宋_GB2312"/>
          <w:color w:val="auto"/>
          <w:sz w:val="32"/>
          <w:szCs w:val="32"/>
          <w:highlight w:val="none"/>
          <w:lang w:eastAsia="zh-CN"/>
        </w:rPr>
        <w:t>2024年度本年收入合计</w:t>
      </w:r>
      <w:r>
        <w:rPr>
          <w:rFonts w:hint="eastAsia" w:ascii="仿宋_GB2312" w:eastAsia="仿宋_GB2312" w:cs="仿宋_GB2312"/>
          <w:sz w:val="32"/>
          <w:szCs w:val="32"/>
        </w:rPr>
        <w:t>2765.01万元，其中：一般公共预算财政拨款收入2765.01</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100</w:t>
      </w:r>
      <w:r>
        <w:rPr>
          <w:rFonts w:hint="eastAsia" w:ascii="仿宋_GB2312" w:eastAsia="仿宋_GB2312" w:cs="仿宋_GB2312"/>
          <w:color w:val="auto"/>
          <w:sz w:val="32"/>
          <w:szCs w:val="32"/>
          <w:highlight w:val="none"/>
          <w:lang w:eastAsia="zh-CN"/>
        </w:rPr>
        <w:t>%；政府性基金预算财政拨款收入</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%；国有资本经营预算财政拨款收入</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%；上级补助收入</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%；事业收入</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%；经营收入</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%；附属单位上缴收入</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%；其他收入</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w:t>
      </w:r>
    </w:p>
    <w:p w14:paraId="74C1BA60">
      <w:pPr>
        <w:keepNext w:val="0"/>
        <w:keepLines w:val="0"/>
        <w:widowControl/>
        <w:suppressLineNumbers w:val="0"/>
        <w:jc w:val="left"/>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（图2：收入决算结构图）</w:t>
      </w:r>
      <w:r>
        <w:rPr>
          <w:rFonts w:ascii="仿宋_GB2312" w:hAnsi="仿宋_GB2312" w:eastAsia="仿宋_GB2312" w:cs="仿宋_GB2312"/>
          <w:color w:val="000000"/>
          <w:kern w:val="0"/>
          <w:sz w:val="31"/>
          <w:szCs w:val="31"/>
          <w:lang w:val="en-US" w:eastAsia="zh-CN" w:bidi="ar"/>
        </w:rPr>
        <w:t>（单位：万元）</w:t>
      </w:r>
    </w:p>
    <w:p w14:paraId="7568A373">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drawing>
          <wp:inline distT="0" distB="0" distL="114300" distR="114300">
            <wp:extent cx="5256530" cy="2988310"/>
            <wp:effectExtent l="5080" t="4445" r="15240" b="1714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502F7E1">
      <w:pPr>
        <w:pStyle w:val="27"/>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Style w:val="21"/>
          <w:rFonts w:hint="eastAsia" w:ascii="Times New Roman" w:hAnsi="Times New Roman" w:eastAsia="黑体"/>
          <w:b w:val="0"/>
          <w:color w:val="auto"/>
          <w:highlight w:val="none"/>
        </w:rPr>
      </w:pPr>
      <w:bookmarkStart w:id="24" w:name="_Toc15377207"/>
      <w:bookmarkStart w:id="25" w:name="_Toc15396605"/>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21"/>
          <w:rFonts w:hint="eastAsia" w:ascii="Times New Roman" w:hAnsi="Times New Roman" w:eastAsia="黑体"/>
          <w:b w:val="0"/>
          <w:color w:val="auto"/>
          <w:highlight w:val="none"/>
        </w:rPr>
        <w:t>出决算情况说明</w:t>
      </w:r>
      <w:bookmarkEnd w:id="24"/>
      <w:bookmarkEnd w:id="25"/>
    </w:p>
    <w:p w14:paraId="78A70CBE">
      <w:pPr>
        <w:pStyle w:val="27"/>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仿宋_GB2312" w:eastAsia="仿宋_GB2312" w:cs="仿宋_GB2312"/>
          <w:color w:val="auto"/>
          <w:sz w:val="32"/>
          <w:szCs w:val="32"/>
          <w:highlight w:val="none"/>
          <w:lang w:eastAsia="zh-CN"/>
        </w:rPr>
        <w:t>2024年度本年支出合计</w:t>
      </w:r>
      <w:r>
        <w:rPr>
          <w:rFonts w:hint="eastAsia" w:ascii="仿宋_GB2312" w:eastAsia="仿宋_GB2312" w:cs="仿宋_GB2312"/>
          <w:sz w:val="32"/>
          <w:szCs w:val="32"/>
        </w:rPr>
        <w:t>2765.01</w:t>
      </w:r>
      <w:r>
        <w:rPr>
          <w:rFonts w:hint="eastAsia" w:ascii="仿宋_GB2312" w:eastAsia="仿宋_GB2312" w:cs="仿宋_GB2312"/>
          <w:color w:val="auto"/>
          <w:sz w:val="32"/>
          <w:szCs w:val="32"/>
          <w:highlight w:val="none"/>
          <w:lang w:eastAsia="zh-CN"/>
        </w:rPr>
        <w:t>万元，其中：基本支出</w:t>
      </w:r>
      <w:r>
        <w:rPr>
          <w:rFonts w:hint="eastAsia" w:ascii="仿宋_GB2312" w:eastAsia="仿宋_GB2312" w:cs="仿宋_GB2312"/>
          <w:sz w:val="32"/>
          <w:szCs w:val="32"/>
        </w:rPr>
        <w:t>1732.15</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62.64</w:t>
      </w:r>
      <w:r>
        <w:rPr>
          <w:rFonts w:hint="eastAsia" w:ascii="仿宋_GB2312" w:eastAsia="仿宋_GB2312" w:cs="仿宋_GB2312"/>
          <w:color w:val="auto"/>
          <w:sz w:val="32"/>
          <w:szCs w:val="32"/>
          <w:highlight w:val="none"/>
          <w:lang w:eastAsia="zh-CN"/>
        </w:rPr>
        <w:t>%；项目支出</w:t>
      </w:r>
      <w:r>
        <w:rPr>
          <w:rFonts w:hint="eastAsia" w:ascii="仿宋_GB2312" w:eastAsia="仿宋_GB2312" w:cs="仿宋_GB2312"/>
          <w:sz w:val="32"/>
          <w:szCs w:val="32"/>
        </w:rPr>
        <w:t>1032.87</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37.35</w:t>
      </w:r>
      <w:r>
        <w:rPr>
          <w:rFonts w:hint="eastAsia" w:ascii="仿宋_GB2312" w:eastAsia="仿宋_GB2312" w:cs="仿宋_GB2312"/>
          <w:color w:val="auto"/>
          <w:sz w:val="32"/>
          <w:szCs w:val="32"/>
          <w:highlight w:val="none"/>
          <w:lang w:eastAsia="zh-CN"/>
        </w:rPr>
        <w:t>%；上缴上级支出</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%；经营支出</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%；对附属单位补助支出</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w:t>
      </w:r>
      <w:r>
        <w:rPr>
          <w:rFonts w:hint="eastAsia" w:ascii="Times New Roman" w:hAnsi="Times New Roman" w:eastAsia="仿宋_GB2312" w:cs="仿宋_GB2312"/>
          <w:b/>
          <w:bCs/>
          <w:color w:val="auto"/>
          <w:sz w:val="32"/>
          <w:szCs w:val="32"/>
          <w:highlight w:val="none"/>
          <w:lang w:eastAsia="zh-CN"/>
        </w:rPr>
        <w:t>（注：仅罗列本部门涉及的支出）</w:t>
      </w:r>
    </w:p>
    <w:p w14:paraId="197FEC1E">
      <w:pPr>
        <w:keepNext w:val="0"/>
        <w:keepLines w:val="0"/>
        <w:widowControl/>
        <w:suppressLineNumbers w:val="0"/>
        <w:jc w:val="left"/>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（图3：支出决算结构图）</w:t>
      </w:r>
      <w:r>
        <w:rPr>
          <w:rFonts w:ascii="仿宋_GB2312" w:hAnsi="仿宋_GB2312" w:eastAsia="仿宋_GB2312" w:cs="仿宋_GB2312"/>
          <w:color w:val="000000"/>
          <w:kern w:val="0"/>
          <w:sz w:val="31"/>
          <w:szCs w:val="31"/>
          <w:lang w:val="en-US" w:eastAsia="zh-CN" w:bidi="ar"/>
        </w:rPr>
        <w:t>（单位：万元）</w:t>
      </w:r>
    </w:p>
    <w:p w14:paraId="6D040784">
      <w:pPr>
        <w:ind w:firstLine="800" w:firstLineChars="250"/>
        <w:rPr>
          <w:rFonts w:hint="eastAsia" w:ascii="Times New Roman" w:hAnsi="Times New Roman" w:eastAsia="仿宋_GB2312" w:cs="仿宋_GB2312"/>
          <w:color w:val="auto"/>
          <w:sz w:val="32"/>
          <w:szCs w:val="32"/>
          <w:highlight w:val="none"/>
          <w:lang w:eastAsia="zh-CN"/>
        </w:rPr>
      </w:pPr>
    </w:p>
    <w:p w14:paraId="43FCFEB7">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drawing>
          <wp:inline distT="0" distB="0" distL="114300" distR="114300">
            <wp:extent cx="5256530" cy="2988310"/>
            <wp:effectExtent l="5080" t="4445" r="15240" b="1714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3CDDFE3">
      <w:pPr>
        <w:ind w:firstLine="800" w:firstLineChars="250"/>
        <w:rPr>
          <w:rFonts w:hint="eastAsia" w:ascii="Times New Roman" w:hAnsi="Times New Roman" w:eastAsia="仿宋_GB2312" w:cs="仿宋_GB2312"/>
          <w:color w:val="auto"/>
          <w:sz w:val="32"/>
          <w:szCs w:val="32"/>
          <w:highlight w:val="none"/>
          <w:lang w:eastAsia="zh-CN"/>
        </w:rPr>
      </w:pPr>
    </w:p>
    <w:p w14:paraId="55217622">
      <w:pPr>
        <w:ind w:firstLine="800" w:firstLineChars="250"/>
        <w:rPr>
          <w:rFonts w:hint="eastAsia" w:ascii="Times New Roman" w:hAnsi="Times New Roman" w:eastAsia="仿宋_GB2312" w:cs="仿宋_GB2312"/>
          <w:color w:val="auto"/>
          <w:sz w:val="32"/>
          <w:szCs w:val="32"/>
          <w:highlight w:val="none"/>
          <w:lang w:eastAsia="zh-CN"/>
        </w:rPr>
      </w:pPr>
    </w:p>
    <w:p w14:paraId="13424A6C">
      <w:pPr>
        <w:ind w:firstLine="800" w:firstLineChars="250"/>
        <w:rPr>
          <w:rFonts w:hint="eastAsia" w:ascii="Times New Roman" w:hAnsi="Times New Roman" w:eastAsia="仿宋_GB2312" w:cs="仿宋_GB2312"/>
          <w:color w:val="auto"/>
          <w:sz w:val="32"/>
          <w:szCs w:val="32"/>
          <w:highlight w:val="none"/>
          <w:lang w:eastAsia="zh-CN"/>
        </w:rPr>
      </w:pPr>
    </w:p>
    <w:p w14:paraId="74BF1A0E">
      <w:pPr>
        <w:spacing w:line="600" w:lineRule="exact"/>
        <w:ind w:firstLine="640" w:firstLineChars="200"/>
        <w:outlineLvl w:val="1"/>
        <w:rPr>
          <w:rStyle w:val="21"/>
          <w:rFonts w:ascii="Times New Roman" w:hAnsi="Times New Roman" w:eastAsia="黑体"/>
          <w:b w:val="0"/>
          <w:color w:val="auto"/>
          <w:highlight w:val="none"/>
        </w:rPr>
      </w:pPr>
      <w:bookmarkStart w:id="26" w:name="_Toc15377208"/>
      <w:bookmarkStart w:id="27" w:name="_Toc15396606"/>
      <w:r>
        <w:rPr>
          <w:rFonts w:hint="eastAsia" w:ascii="Times New Roman" w:hAnsi="Times New Roman" w:eastAsia="黑体"/>
          <w:color w:val="auto"/>
          <w:sz w:val="32"/>
          <w:szCs w:val="32"/>
          <w:highlight w:val="none"/>
        </w:rPr>
        <w:t>四、财</w:t>
      </w:r>
      <w:r>
        <w:rPr>
          <w:rStyle w:val="21"/>
          <w:rFonts w:hint="eastAsia" w:ascii="Times New Roman" w:hAnsi="Times New Roman" w:eastAsia="黑体"/>
          <w:b w:val="0"/>
          <w:color w:val="auto"/>
          <w:highlight w:val="none"/>
        </w:rPr>
        <w:t>政拨款收入支出决算总体情况说明</w:t>
      </w:r>
      <w:bookmarkEnd w:id="26"/>
      <w:bookmarkEnd w:id="27"/>
    </w:p>
    <w:p w14:paraId="5EA6D9A8">
      <w:pPr>
        <w:spacing w:line="600" w:lineRule="exact"/>
        <w:ind w:firstLine="640" w:firstLineChars="200"/>
        <w:rPr>
          <w:rFonts w:hint="eastAsia" w:ascii="仿宋" w:eastAsia="仿宋"/>
          <w:color w:val="auto"/>
          <w:sz w:val="32"/>
          <w:szCs w:val="32"/>
          <w:highlight w:val="none"/>
          <w:lang w:eastAsia="zh-CN"/>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eastAsia="仿宋_GB2312" w:cs="仿宋_GB2312"/>
          <w:sz w:val="32"/>
          <w:szCs w:val="32"/>
        </w:rPr>
        <w:t>2765.01</w:t>
      </w:r>
      <w:r>
        <w:rPr>
          <w:rFonts w:hint="eastAsia" w:ascii="Times New Roman" w:hAnsi="Times New Roman" w:eastAsia="仿宋_GB2312" w:cs="仿宋_GB2312"/>
          <w:color w:val="auto"/>
          <w:kern w:val="2"/>
          <w:sz w:val="32"/>
          <w:szCs w:val="32"/>
          <w:highlight w:val="none"/>
          <w:lang w:val="en-US" w:eastAsia="zh-CN" w:bidi="ar-SA"/>
        </w:rPr>
        <w:t>万元。与2023年度相比，财政拨款收入总计、支出总计各减少</w:t>
      </w:r>
      <w:r>
        <w:rPr>
          <w:rFonts w:hint="eastAsia" w:eastAsia="仿宋_GB2312" w:cs="仿宋_GB2312"/>
          <w:color w:val="auto"/>
          <w:kern w:val="2"/>
          <w:sz w:val="32"/>
          <w:szCs w:val="32"/>
          <w:highlight w:val="none"/>
          <w:lang w:val="en-US" w:eastAsia="zh-CN" w:bidi="ar-SA"/>
        </w:rPr>
        <w:t>3081.39</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52.71</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hint="eastAsia" w:ascii="仿宋" w:eastAsia="仿宋"/>
          <w:color w:val="auto"/>
          <w:sz w:val="32"/>
          <w:szCs w:val="32"/>
          <w:highlight w:val="none"/>
        </w:rPr>
        <w:t>一是人员变动导致工资性支出减少，二是项目资金在202</w:t>
      </w:r>
      <w:r>
        <w:rPr>
          <w:rFonts w:hint="eastAsia" w:ascii="仿宋" w:eastAsia="仿宋"/>
          <w:color w:val="auto"/>
          <w:sz w:val="32"/>
          <w:szCs w:val="32"/>
          <w:highlight w:val="none"/>
          <w:lang w:val="en-US" w:eastAsia="zh-CN"/>
        </w:rPr>
        <w:t>3</w:t>
      </w:r>
      <w:r>
        <w:rPr>
          <w:rFonts w:hint="eastAsia" w:ascii="仿宋" w:eastAsia="仿宋"/>
          <w:color w:val="auto"/>
          <w:sz w:val="32"/>
          <w:szCs w:val="32"/>
          <w:highlight w:val="none"/>
        </w:rPr>
        <w:t>年度基础上压减</w:t>
      </w:r>
      <w:r>
        <w:rPr>
          <w:rFonts w:hint="eastAsia" w:ascii="仿宋" w:eastAsia="仿宋"/>
          <w:color w:val="auto"/>
          <w:sz w:val="32"/>
          <w:szCs w:val="32"/>
          <w:highlight w:val="none"/>
          <w:lang w:val="en-US" w:eastAsia="zh-CN"/>
        </w:rPr>
        <w:t>24.25</w:t>
      </w:r>
      <w:r>
        <w:rPr>
          <w:rFonts w:hint="eastAsia" w:ascii="仿宋" w:eastAsia="仿宋"/>
          <w:color w:val="auto"/>
          <w:sz w:val="32"/>
          <w:szCs w:val="32"/>
          <w:highlight w:val="none"/>
        </w:rPr>
        <w:t>%</w:t>
      </w:r>
      <w:r>
        <w:rPr>
          <w:rFonts w:hint="eastAsia" w:ascii="仿宋" w:eastAsia="仿宋"/>
          <w:color w:val="auto"/>
          <w:sz w:val="32"/>
          <w:szCs w:val="32"/>
          <w:highlight w:val="none"/>
          <w:lang w:eastAsia="zh-CN"/>
        </w:rPr>
        <w:t>。</w:t>
      </w:r>
    </w:p>
    <w:p w14:paraId="5E00C16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（图4：财政拨款收、支决算总计变动情况）</w:t>
      </w:r>
      <w:r>
        <w:rPr>
          <w:rFonts w:hint="eastAsia" w:eastAsia="仿宋_GB2312" w:cs="仿宋_GB2312"/>
          <w:color w:val="auto"/>
          <w:kern w:val="2"/>
          <w:sz w:val="32"/>
          <w:szCs w:val="32"/>
          <w:highlight w:val="none"/>
          <w:lang w:val="en-US" w:eastAsia="zh-CN" w:bidi="ar-SA"/>
        </w:rPr>
        <w:t>（单位：万元）</w:t>
      </w:r>
    </w:p>
    <w:p w14:paraId="6197ADAC">
      <w:pPr>
        <w:spacing w:line="600" w:lineRule="exact"/>
        <w:rPr>
          <w:rFonts w:hint="eastAsia" w:ascii="Times New Roman" w:hAnsi="Times New Roman" w:eastAsia="仿宋_GB2312" w:cs="仿宋_GB2312"/>
          <w:color w:val="auto"/>
          <w:kern w:val="2"/>
          <w:sz w:val="32"/>
          <w:szCs w:val="32"/>
          <w:highlight w:val="none"/>
          <w:lang w:val="en-US" w:eastAsia="zh-CN" w:bidi="ar-SA"/>
        </w:rPr>
      </w:pPr>
    </w:p>
    <w:p w14:paraId="7F187AC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5CD3BA4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75528EB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2C8C44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54F2379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drawing>
          <wp:anchor distT="0" distB="0" distL="114300" distR="114300" simplePos="0" relativeHeight="251660288" behindDoc="0" locked="0" layoutInCell="1" allowOverlap="1">
            <wp:simplePos x="0" y="0"/>
            <wp:positionH relativeFrom="column">
              <wp:posOffset>5080</wp:posOffset>
            </wp:positionH>
            <wp:positionV relativeFrom="paragraph">
              <wp:posOffset>-728980</wp:posOffset>
            </wp:positionV>
            <wp:extent cx="5256530" cy="3655060"/>
            <wp:effectExtent l="4445" t="4445" r="15875" b="17145"/>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4A737F45">
      <w:pPr>
        <w:spacing w:line="600" w:lineRule="exact"/>
        <w:ind w:firstLine="640" w:firstLineChars="200"/>
        <w:outlineLvl w:val="1"/>
        <w:rPr>
          <w:rStyle w:val="21"/>
          <w:rFonts w:ascii="Times New Roman" w:hAnsi="Times New Roman" w:eastAsia="黑体"/>
          <w:b w:val="0"/>
          <w:color w:val="auto"/>
          <w:highlight w:val="none"/>
        </w:rPr>
      </w:pPr>
      <w:bookmarkStart w:id="28" w:name="_Toc15377209"/>
      <w:bookmarkStart w:id="29" w:name="_Toc15396607"/>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21"/>
          <w:rFonts w:hint="eastAsia" w:ascii="Times New Roman" w:hAnsi="Times New Roman" w:eastAsia="黑体"/>
          <w:b w:val="0"/>
          <w:color w:val="auto"/>
          <w:highlight w:val="none"/>
        </w:rPr>
        <w:t>般公共预算财政拨款支出决算情况说明</w:t>
      </w:r>
      <w:bookmarkEnd w:id="28"/>
      <w:bookmarkEnd w:id="29"/>
    </w:p>
    <w:p w14:paraId="662F8EB0">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0"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30"/>
    </w:p>
    <w:p w14:paraId="4AFB157D">
      <w:pPr>
        <w:spacing w:line="600" w:lineRule="exact"/>
        <w:ind w:firstLine="640" w:firstLineChars="200"/>
        <w:rPr>
          <w:rFonts w:hint="eastAsia" w:ascii="仿宋" w:eastAsia="仿宋"/>
          <w:color w:val="auto"/>
          <w:sz w:val="32"/>
          <w:szCs w:val="32"/>
          <w:highlight w:val="none"/>
          <w:lang w:eastAsia="zh-CN"/>
        </w:rPr>
      </w:pPr>
      <w:r>
        <w:rPr>
          <w:rFonts w:hint="eastAsia" w:ascii="仿宋_GB2312" w:eastAsia="仿宋_GB2312" w:cs="仿宋_GB2312"/>
          <w:color w:val="auto"/>
          <w:kern w:val="2"/>
          <w:sz w:val="32"/>
          <w:szCs w:val="32"/>
          <w:highlight w:val="none"/>
          <w:lang w:val="en-US" w:eastAsia="zh-CN" w:bidi="ar-SA"/>
        </w:rPr>
        <w:t>2024年度一般公共预算财政拨款支出</w:t>
      </w:r>
      <w:r>
        <w:rPr>
          <w:rFonts w:hint="eastAsia" w:ascii="仿宋_GB2312" w:eastAsia="仿宋_GB2312" w:cs="仿宋_GB2312"/>
          <w:sz w:val="32"/>
          <w:szCs w:val="32"/>
        </w:rPr>
        <w:t>2765.01</w:t>
      </w:r>
      <w:r>
        <w:rPr>
          <w:rFonts w:hint="eastAsia" w:ascii="仿宋_GB2312" w:eastAsia="仿宋_GB2312" w:cs="仿宋_GB2312"/>
          <w:color w:val="auto"/>
          <w:kern w:val="2"/>
          <w:sz w:val="32"/>
          <w:szCs w:val="32"/>
          <w:highlight w:val="none"/>
          <w:lang w:val="en-US" w:eastAsia="zh-CN" w:bidi="ar-SA"/>
        </w:rPr>
        <w:t>万元，占本年支出合计的</w:t>
      </w:r>
      <w:r>
        <w:rPr>
          <w:rFonts w:hint="eastAsia" w:ascii="仿宋_GB2312" w:eastAsia="仿宋_GB2312" w:cs="仿宋_GB2312"/>
          <w:sz w:val="32"/>
          <w:szCs w:val="32"/>
        </w:rPr>
        <w:t>100</w:t>
      </w:r>
      <w:r>
        <w:rPr>
          <w:rFonts w:hint="eastAsia" w:ascii="仿宋_GB2312" w:eastAsia="仿宋_GB2312" w:cs="仿宋_GB2312"/>
          <w:color w:val="auto"/>
          <w:kern w:val="2"/>
          <w:sz w:val="32"/>
          <w:szCs w:val="32"/>
          <w:highlight w:val="none"/>
          <w:lang w:val="en-US" w:eastAsia="zh-CN" w:bidi="ar-SA"/>
        </w:rPr>
        <w:t>%。与2023年度相比，一般公共预算财政拨款支出减少3081.39万元，下降52.71%。主要变动原因是</w:t>
      </w:r>
      <w:r>
        <w:rPr>
          <w:rFonts w:hint="eastAsia" w:ascii="仿宋" w:eastAsia="仿宋"/>
          <w:color w:val="auto"/>
          <w:sz w:val="32"/>
          <w:szCs w:val="32"/>
          <w:highlight w:val="none"/>
        </w:rPr>
        <w:t>一是人员变动导致工资性支出减少，二是项目资金在202</w:t>
      </w:r>
      <w:r>
        <w:rPr>
          <w:rFonts w:hint="eastAsia" w:ascii="仿宋" w:eastAsia="仿宋"/>
          <w:color w:val="auto"/>
          <w:sz w:val="32"/>
          <w:szCs w:val="32"/>
          <w:highlight w:val="none"/>
          <w:lang w:val="en-US" w:eastAsia="zh-CN"/>
        </w:rPr>
        <w:t>3</w:t>
      </w:r>
      <w:r>
        <w:rPr>
          <w:rFonts w:hint="eastAsia" w:ascii="仿宋" w:eastAsia="仿宋"/>
          <w:color w:val="auto"/>
          <w:sz w:val="32"/>
          <w:szCs w:val="32"/>
          <w:highlight w:val="none"/>
        </w:rPr>
        <w:t>年度基础上压减</w:t>
      </w:r>
      <w:r>
        <w:rPr>
          <w:rFonts w:hint="eastAsia" w:ascii="仿宋" w:eastAsia="仿宋"/>
          <w:color w:val="auto"/>
          <w:sz w:val="32"/>
          <w:szCs w:val="32"/>
          <w:highlight w:val="none"/>
          <w:lang w:val="en-US" w:eastAsia="zh-CN"/>
        </w:rPr>
        <w:t>24.25</w:t>
      </w:r>
      <w:r>
        <w:rPr>
          <w:rFonts w:hint="eastAsia" w:ascii="仿宋" w:eastAsia="仿宋"/>
          <w:color w:val="auto"/>
          <w:sz w:val="32"/>
          <w:szCs w:val="32"/>
          <w:highlight w:val="none"/>
        </w:rPr>
        <w:t>%</w:t>
      </w:r>
      <w:r>
        <w:rPr>
          <w:rFonts w:hint="eastAsia" w:ascii="仿宋" w:eastAsia="仿宋"/>
          <w:color w:val="auto"/>
          <w:sz w:val="32"/>
          <w:szCs w:val="32"/>
          <w:highlight w:val="none"/>
          <w:lang w:eastAsia="zh-CN"/>
        </w:rPr>
        <w:t>。</w:t>
      </w:r>
    </w:p>
    <w:p w14:paraId="64F16D8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（图5：一般公共预算财政拨款支出决算变动情况）</w:t>
      </w:r>
      <w:r>
        <w:rPr>
          <w:rFonts w:hint="eastAsia" w:eastAsia="仿宋_GB2312" w:cs="仿宋_GB2312"/>
          <w:color w:val="auto"/>
          <w:kern w:val="2"/>
          <w:sz w:val="32"/>
          <w:szCs w:val="32"/>
          <w:highlight w:val="none"/>
          <w:lang w:val="en-US" w:eastAsia="zh-CN" w:bidi="ar-SA"/>
        </w:rPr>
        <w:t>（单位：万元）</w:t>
      </w:r>
    </w:p>
    <w:p w14:paraId="7482084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398CEFF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031BF75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616D2D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15C596A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159942C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2EB3268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32FAC02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1C313ED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302653C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1615B80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18492B1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5D46D38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drawing>
          <wp:anchor distT="0" distB="0" distL="114300" distR="114300" simplePos="0" relativeHeight="251661312" behindDoc="0" locked="0" layoutInCell="1" allowOverlap="1">
            <wp:simplePos x="0" y="0"/>
            <wp:positionH relativeFrom="column">
              <wp:posOffset>411480</wp:posOffset>
            </wp:positionH>
            <wp:positionV relativeFrom="paragraph">
              <wp:posOffset>-2700655</wp:posOffset>
            </wp:positionV>
            <wp:extent cx="4437380" cy="2493645"/>
            <wp:effectExtent l="4445" t="5080" r="15875" b="15875"/>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47AAA15C">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1"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31"/>
    </w:p>
    <w:p w14:paraId="4259E0D3">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eastAsia="仿宋_GB2312" w:cs="仿宋_GB2312"/>
          <w:sz w:val="32"/>
          <w:szCs w:val="32"/>
        </w:rPr>
        <w:t>2765.01</w:t>
      </w:r>
      <w:r>
        <w:rPr>
          <w:rFonts w:hint="eastAsia" w:asci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教育支出</w:t>
      </w:r>
      <w:r>
        <w:rPr>
          <w:rFonts w:hint="eastAsia" w:eastAsia="仿宋_GB2312" w:cs="仿宋_GB2312"/>
          <w:color w:val="auto"/>
          <w:kern w:val="2"/>
          <w:sz w:val="32"/>
          <w:szCs w:val="32"/>
          <w:highlight w:val="none"/>
          <w:lang w:val="en-US" w:eastAsia="zh-CN" w:bidi="ar-SA"/>
        </w:rPr>
        <w:t>57</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2.06</w:t>
      </w:r>
      <w:r>
        <w:rPr>
          <w:rFonts w:hint="eastAsia" w:ascii="Times New Roman" w:hAnsi="Times New Roman" w:eastAsia="仿宋_GB2312" w:cs="仿宋_GB2312"/>
          <w:color w:val="auto"/>
          <w:kern w:val="2"/>
          <w:sz w:val="32"/>
          <w:szCs w:val="32"/>
          <w:highlight w:val="none"/>
          <w:lang w:val="en-US" w:eastAsia="zh-CN" w:bidi="ar-SA"/>
        </w:rPr>
        <w:t>%；社会保障和就业支出</w:t>
      </w:r>
      <w:r>
        <w:rPr>
          <w:rFonts w:hint="eastAsia" w:eastAsia="仿宋_GB2312" w:cs="仿宋_GB2312"/>
          <w:color w:val="auto"/>
          <w:kern w:val="2"/>
          <w:sz w:val="32"/>
          <w:szCs w:val="32"/>
          <w:highlight w:val="none"/>
          <w:lang w:val="en-US" w:eastAsia="zh-CN" w:bidi="ar-SA"/>
        </w:rPr>
        <w:t>2542.28</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91.94</w:t>
      </w:r>
      <w:r>
        <w:rPr>
          <w:rFonts w:hint="eastAsia" w:ascii="Times New Roman" w:hAnsi="Times New Roman" w:eastAsia="仿宋_GB2312" w:cs="仿宋_GB2312"/>
          <w:color w:val="auto"/>
          <w:kern w:val="2"/>
          <w:sz w:val="32"/>
          <w:szCs w:val="32"/>
          <w:highlight w:val="none"/>
          <w:lang w:val="en-US" w:eastAsia="zh-CN" w:bidi="ar-SA"/>
        </w:rPr>
        <w:t>%；卫生健康支出</w:t>
      </w:r>
      <w:r>
        <w:rPr>
          <w:rFonts w:hint="eastAsia" w:eastAsia="仿宋_GB2312" w:cs="仿宋_GB2312"/>
          <w:color w:val="auto"/>
          <w:kern w:val="2"/>
          <w:sz w:val="32"/>
          <w:szCs w:val="32"/>
          <w:highlight w:val="none"/>
          <w:lang w:val="en-US" w:eastAsia="zh-CN" w:bidi="ar-SA"/>
        </w:rPr>
        <w:t>73.72</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2.67</w:t>
      </w:r>
      <w:r>
        <w:rPr>
          <w:rFonts w:hint="eastAsia" w:ascii="Times New Roman" w:hAnsi="Times New Roman" w:eastAsia="仿宋_GB2312" w:cs="仿宋_GB2312"/>
          <w:color w:val="auto"/>
          <w:kern w:val="2"/>
          <w:sz w:val="32"/>
          <w:szCs w:val="32"/>
          <w:highlight w:val="none"/>
          <w:lang w:val="en-US" w:eastAsia="zh-CN" w:bidi="ar-SA"/>
        </w:rPr>
        <w:t>%；住房保障支出</w:t>
      </w:r>
      <w:r>
        <w:rPr>
          <w:rFonts w:hint="eastAsia" w:eastAsia="仿宋_GB2312" w:cs="仿宋_GB2312"/>
          <w:color w:val="auto"/>
          <w:kern w:val="2"/>
          <w:sz w:val="32"/>
          <w:szCs w:val="32"/>
          <w:highlight w:val="none"/>
          <w:lang w:val="en-US" w:eastAsia="zh-CN" w:bidi="ar-SA"/>
        </w:rPr>
        <w:t>92.01</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3.33</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14:paraId="3AA5B58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（图6：一般公共预算财政拨款支出决算结构）（饼状图）</w:t>
      </w:r>
    </w:p>
    <w:p w14:paraId="3155604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drawing>
          <wp:anchor distT="0" distB="0" distL="114300" distR="114300" simplePos="0" relativeHeight="251662336" behindDoc="0" locked="0" layoutInCell="1" allowOverlap="1">
            <wp:simplePos x="0" y="0"/>
            <wp:positionH relativeFrom="column">
              <wp:posOffset>411480</wp:posOffset>
            </wp:positionH>
            <wp:positionV relativeFrom="paragraph">
              <wp:posOffset>289560</wp:posOffset>
            </wp:positionV>
            <wp:extent cx="4609465" cy="2828290"/>
            <wp:effectExtent l="4445" t="4445" r="15240" b="5715"/>
            <wp:wrapSquare wrapText="bothSides"/>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07D8BF8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0D2DF03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7F8B8CD7">
      <w:pPr>
        <w:spacing w:line="600" w:lineRule="exact"/>
        <w:rPr>
          <w:rFonts w:hint="eastAsia" w:ascii="Times New Roman" w:hAnsi="Times New Roman" w:eastAsia="仿宋_GB2312" w:cs="仿宋_GB2312"/>
          <w:color w:val="auto"/>
          <w:kern w:val="2"/>
          <w:sz w:val="32"/>
          <w:szCs w:val="32"/>
          <w:highlight w:val="none"/>
          <w:lang w:val="en-US" w:eastAsia="zh-CN" w:bidi="ar-SA"/>
        </w:rPr>
      </w:pPr>
    </w:p>
    <w:p w14:paraId="4DBF2A0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71D070D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776E13C8">
      <w:pPr>
        <w:spacing w:line="600" w:lineRule="exact"/>
        <w:rPr>
          <w:rFonts w:hint="eastAsia" w:ascii="Times New Roman" w:hAnsi="Times New Roman" w:eastAsia="仿宋_GB2312" w:cs="仿宋_GB2312"/>
          <w:color w:val="auto"/>
          <w:kern w:val="2"/>
          <w:sz w:val="32"/>
          <w:szCs w:val="32"/>
          <w:highlight w:val="none"/>
          <w:lang w:val="en-US" w:eastAsia="zh-CN" w:bidi="ar-SA"/>
        </w:rPr>
      </w:pPr>
    </w:p>
    <w:p w14:paraId="327A9D6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31BFAFB5">
      <w:pPr>
        <w:spacing w:line="600" w:lineRule="exact"/>
        <w:rPr>
          <w:rFonts w:hint="eastAsia" w:ascii="Times New Roman" w:hAnsi="Times New Roman" w:eastAsia="仿宋_GB2312" w:cs="仿宋_GB2312"/>
          <w:color w:val="auto"/>
          <w:kern w:val="2"/>
          <w:sz w:val="32"/>
          <w:szCs w:val="32"/>
          <w:highlight w:val="none"/>
          <w:lang w:val="en-US" w:eastAsia="zh-CN" w:bidi="ar-SA"/>
        </w:rPr>
      </w:pPr>
    </w:p>
    <w:p w14:paraId="483C5CED">
      <w:pPr>
        <w:numPr>
          <w:ilvl w:val="0"/>
          <w:numId w:val="3"/>
        </w:num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2" w:name="_Toc15377212"/>
      <w:r>
        <w:rPr>
          <w:rFonts w:hint="eastAsia" w:ascii="Times New Roman" w:hAnsi="Times New Roman" w:eastAsia="楷体_GB2312" w:cs="楷体_GB2312"/>
          <w:b/>
          <w:color w:val="auto"/>
          <w:sz w:val="32"/>
          <w:szCs w:val="32"/>
          <w:highlight w:val="none"/>
        </w:rPr>
        <w:t>一般公共预算财政拨款支出决算具体情况</w:t>
      </w:r>
      <w:bookmarkEnd w:id="32"/>
    </w:p>
    <w:p w14:paraId="2E760AC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33" w:name="_Toc15377213"/>
      <w:bookmarkStart w:id="34" w:name="_Toc15378460"/>
      <w:bookmarkStart w:id="35" w:name="_Toc15377444"/>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eastAsia="仿宋_GB2312" w:cs="仿宋_GB2312"/>
          <w:sz w:val="32"/>
          <w:szCs w:val="32"/>
        </w:rPr>
        <w:t>2765.01</w:t>
      </w:r>
      <w:r>
        <w:rPr>
          <w:rFonts w:hint="eastAsia" w:asci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%。其中：</w:t>
      </w:r>
      <w:bookmarkEnd w:id="33"/>
      <w:bookmarkEnd w:id="34"/>
      <w:bookmarkEnd w:id="35"/>
    </w:p>
    <w:p w14:paraId="5CE3FA40">
      <w:pPr>
        <w:numPr>
          <w:ilvl w:val="0"/>
          <w:numId w:val="4"/>
        </w:numPr>
        <w:spacing w:line="600" w:lineRule="exact"/>
        <w:ind w:firstLine="643" w:firstLineChars="200"/>
        <w:rPr>
          <w:rStyle w:val="18"/>
          <w:rFonts w:hint="eastAsia" w:ascii="仿宋" w:eastAsia="仿宋"/>
          <w:b w:val="0"/>
          <w:bCs/>
          <w:color w:val="auto"/>
          <w:sz w:val="32"/>
          <w:szCs w:val="32"/>
          <w:highlight w:val="none"/>
          <w:lang w:eastAsia="zh-CN"/>
        </w:rPr>
      </w:pPr>
      <w:r>
        <w:rPr>
          <w:rStyle w:val="18"/>
          <w:rFonts w:hint="eastAsia" w:ascii="仿宋" w:eastAsia="仿宋"/>
          <w:bCs/>
          <w:color w:val="auto"/>
          <w:sz w:val="32"/>
          <w:szCs w:val="32"/>
          <w:highlight w:val="none"/>
        </w:rPr>
        <w:t>社会保障和就业208:</w:t>
      </w:r>
      <w:r>
        <w:rPr>
          <w:rStyle w:val="18"/>
          <w:rFonts w:hint="eastAsia" w:ascii="仿宋" w:eastAsia="仿宋"/>
          <w:b w:val="0"/>
          <w:bCs/>
          <w:color w:val="auto"/>
          <w:sz w:val="32"/>
          <w:szCs w:val="32"/>
          <w:highlight w:val="none"/>
        </w:rPr>
        <w:t xml:space="preserve"> 支出决算为</w:t>
      </w:r>
      <w:r>
        <w:rPr>
          <w:rStyle w:val="18"/>
          <w:rFonts w:hint="eastAsia" w:ascii="仿宋" w:eastAsia="仿宋"/>
          <w:b w:val="0"/>
          <w:bCs/>
          <w:color w:val="auto"/>
          <w:sz w:val="32"/>
          <w:szCs w:val="32"/>
          <w:highlight w:val="none"/>
          <w:lang w:val="en-US" w:eastAsia="zh-CN"/>
        </w:rPr>
        <w:t>2542.08</w:t>
      </w:r>
      <w:r>
        <w:rPr>
          <w:rStyle w:val="18"/>
          <w:rFonts w:hint="eastAsia" w:ascii="仿宋" w:eastAsia="仿宋"/>
          <w:b w:val="0"/>
          <w:bCs/>
          <w:color w:val="auto"/>
          <w:sz w:val="32"/>
          <w:szCs w:val="32"/>
          <w:highlight w:val="none"/>
        </w:rPr>
        <w:t>万元，完成预算100%，决算数等于预算数。其中：2080101行政运行支出决算为</w:t>
      </w:r>
      <w:r>
        <w:rPr>
          <w:rStyle w:val="18"/>
          <w:rFonts w:hint="eastAsia" w:ascii="仿宋" w:eastAsia="仿宋"/>
          <w:b w:val="0"/>
          <w:bCs/>
          <w:color w:val="auto"/>
          <w:sz w:val="32"/>
          <w:szCs w:val="32"/>
          <w:highlight w:val="none"/>
          <w:lang w:val="en-US" w:eastAsia="zh-CN"/>
        </w:rPr>
        <w:t>1386.78</w:t>
      </w:r>
      <w:r>
        <w:rPr>
          <w:rStyle w:val="18"/>
          <w:rFonts w:hint="eastAsia" w:ascii="仿宋" w:eastAsia="仿宋"/>
          <w:b w:val="0"/>
          <w:bCs/>
          <w:color w:val="auto"/>
          <w:sz w:val="32"/>
          <w:szCs w:val="32"/>
          <w:highlight w:val="none"/>
        </w:rPr>
        <w:t>万元，完成预算100%，决算数等于预算数；2080102一般行政管理事务支出决算为</w:t>
      </w:r>
      <w:r>
        <w:rPr>
          <w:rStyle w:val="18"/>
          <w:rFonts w:hint="eastAsia" w:ascii="仿宋" w:eastAsia="仿宋"/>
          <w:b w:val="0"/>
          <w:bCs/>
          <w:color w:val="auto"/>
          <w:sz w:val="32"/>
          <w:szCs w:val="32"/>
          <w:highlight w:val="none"/>
          <w:lang w:val="en-US" w:eastAsia="zh-CN"/>
        </w:rPr>
        <w:t>580.58</w:t>
      </w:r>
      <w:r>
        <w:rPr>
          <w:rStyle w:val="18"/>
          <w:rFonts w:hint="eastAsia" w:ascii="仿宋" w:eastAsia="仿宋"/>
          <w:b w:val="0"/>
          <w:bCs/>
          <w:color w:val="auto"/>
          <w:sz w:val="32"/>
          <w:szCs w:val="32"/>
          <w:highlight w:val="none"/>
        </w:rPr>
        <w:t>万元，完成预算100%，决算数等于预算数；2080105劳动保障监察支出决算为1</w:t>
      </w:r>
      <w:r>
        <w:rPr>
          <w:rStyle w:val="18"/>
          <w:rFonts w:hint="eastAsia" w:ascii="仿宋" w:eastAsia="仿宋"/>
          <w:b w:val="0"/>
          <w:bCs/>
          <w:color w:val="auto"/>
          <w:sz w:val="32"/>
          <w:szCs w:val="32"/>
          <w:highlight w:val="none"/>
          <w:lang w:val="en-US" w:eastAsia="zh-CN"/>
        </w:rPr>
        <w:t>4.16</w:t>
      </w:r>
      <w:r>
        <w:rPr>
          <w:rStyle w:val="18"/>
          <w:rFonts w:hint="eastAsia" w:ascii="仿宋" w:eastAsia="仿宋"/>
          <w:b w:val="0"/>
          <w:bCs/>
          <w:color w:val="auto"/>
          <w:sz w:val="32"/>
          <w:szCs w:val="32"/>
          <w:highlight w:val="none"/>
        </w:rPr>
        <w:t>万元，完成预算100%，决算数等于预算数；2080107社会保险业务管理事务支出决算为</w:t>
      </w:r>
      <w:r>
        <w:rPr>
          <w:rStyle w:val="18"/>
          <w:rFonts w:hint="eastAsia" w:ascii="仿宋" w:eastAsia="仿宋"/>
          <w:b w:val="0"/>
          <w:bCs/>
          <w:color w:val="auto"/>
          <w:sz w:val="32"/>
          <w:szCs w:val="32"/>
          <w:highlight w:val="none"/>
          <w:lang w:val="en-US" w:eastAsia="zh-CN"/>
        </w:rPr>
        <w:t>49.9</w:t>
      </w:r>
      <w:r>
        <w:rPr>
          <w:rStyle w:val="18"/>
          <w:rFonts w:hint="eastAsia" w:ascii="仿宋" w:eastAsia="仿宋"/>
          <w:b w:val="0"/>
          <w:bCs/>
          <w:color w:val="auto"/>
          <w:sz w:val="32"/>
          <w:szCs w:val="32"/>
          <w:highlight w:val="none"/>
        </w:rPr>
        <w:t>万元，完成预算100%，决算数等于预算数；2080108信息化建设支出决算为</w:t>
      </w:r>
      <w:r>
        <w:rPr>
          <w:rStyle w:val="18"/>
          <w:rFonts w:hint="eastAsia" w:ascii="仿宋" w:eastAsia="仿宋"/>
          <w:b w:val="0"/>
          <w:bCs/>
          <w:color w:val="auto"/>
          <w:sz w:val="32"/>
          <w:szCs w:val="32"/>
          <w:highlight w:val="none"/>
          <w:lang w:val="en-US" w:eastAsia="zh-CN"/>
        </w:rPr>
        <w:t>308.9</w:t>
      </w:r>
      <w:r>
        <w:rPr>
          <w:rStyle w:val="18"/>
          <w:rFonts w:hint="eastAsia" w:ascii="仿宋" w:eastAsia="仿宋"/>
          <w:b w:val="0"/>
          <w:bCs/>
          <w:color w:val="auto"/>
          <w:sz w:val="32"/>
          <w:szCs w:val="32"/>
          <w:highlight w:val="none"/>
        </w:rPr>
        <w:t>万元，完成预算100%，决算数等于预算数；2080110劳动关系和维权支出决算为5万元，完成预算100%，决算数等于预算数；2080112劳动人事争议调解仲裁支出决算为2万元，完成预算100%，决算数等于预算数；2080199</w:t>
      </w:r>
      <w:r>
        <w:rPr>
          <w:rStyle w:val="18"/>
          <w:rFonts w:hint="eastAsia" w:ascii="仿宋" w:eastAsia="仿宋"/>
          <w:b w:val="0"/>
          <w:bCs/>
          <w:sz w:val="32"/>
          <w:szCs w:val="32"/>
        </w:rPr>
        <w:t>其他人力资源和社会保障管理事务</w:t>
      </w:r>
      <w:r>
        <w:rPr>
          <w:rStyle w:val="18"/>
          <w:rFonts w:hint="eastAsia" w:ascii="仿宋" w:eastAsia="仿宋"/>
          <w:b w:val="0"/>
          <w:bCs/>
          <w:color w:val="auto"/>
          <w:sz w:val="32"/>
          <w:szCs w:val="32"/>
          <w:highlight w:val="none"/>
        </w:rPr>
        <w:t>支出决算为</w:t>
      </w:r>
      <w:r>
        <w:rPr>
          <w:rStyle w:val="18"/>
          <w:rFonts w:hint="eastAsia" w:ascii="仿宋" w:eastAsia="仿宋"/>
          <w:b w:val="0"/>
          <w:bCs/>
          <w:color w:val="auto"/>
          <w:sz w:val="32"/>
          <w:szCs w:val="32"/>
          <w:highlight w:val="none"/>
          <w:lang w:val="en-US" w:eastAsia="zh-CN"/>
        </w:rPr>
        <w:t>15.32</w:t>
      </w:r>
      <w:r>
        <w:rPr>
          <w:rStyle w:val="18"/>
          <w:rFonts w:hint="eastAsia" w:ascii="仿宋" w:eastAsia="仿宋"/>
          <w:b w:val="0"/>
          <w:bCs/>
          <w:color w:val="auto"/>
          <w:sz w:val="32"/>
          <w:szCs w:val="32"/>
          <w:highlight w:val="none"/>
        </w:rPr>
        <w:t>万元，完成预算100%，决算数等于预算数；2080505</w:t>
      </w:r>
      <w:r>
        <w:rPr>
          <w:rStyle w:val="18"/>
          <w:rFonts w:hint="eastAsia" w:ascii="仿宋" w:eastAsia="仿宋"/>
          <w:b w:val="0"/>
          <w:bCs/>
          <w:sz w:val="32"/>
          <w:szCs w:val="32"/>
        </w:rPr>
        <w:t>机关事业单位基本养老保险缴费支出</w:t>
      </w:r>
      <w:r>
        <w:rPr>
          <w:rStyle w:val="18"/>
          <w:rFonts w:hint="eastAsia" w:ascii="仿宋" w:eastAsia="仿宋"/>
          <w:b w:val="0"/>
          <w:bCs/>
          <w:color w:val="auto"/>
          <w:sz w:val="32"/>
          <w:szCs w:val="32"/>
          <w:highlight w:val="none"/>
        </w:rPr>
        <w:t>决算为</w:t>
      </w:r>
      <w:r>
        <w:rPr>
          <w:rStyle w:val="18"/>
          <w:rFonts w:hint="eastAsia" w:ascii="仿宋" w:eastAsia="仿宋"/>
          <w:b w:val="0"/>
          <w:bCs/>
          <w:color w:val="auto"/>
          <w:sz w:val="32"/>
          <w:szCs w:val="32"/>
          <w:highlight w:val="none"/>
          <w:lang w:val="en-US" w:eastAsia="zh-CN"/>
        </w:rPr>
        <w:t>120.75</w:t>
      </w:r>
      <w:r>
        <w:rPr>
          <w:rStyle w:val="18"/>
          <w:rFonts w:hint="eastAsia" w:ascii="仿宋" w:eastAsia="仿宋"/>
          <w:b w:val="0"/>
          <w:bCs/>
          <w:color w:val="auto"/>
          <w:sz w:val="32"/>
          <w:szCs w:val="32"/>
          <w:highlight w:val="none"/>
        </w:rPr>
        <w:t>万元，完成预算100%，决算数等于预算数；2080506</w:t>
      </w:r>
      <w:r>
        <w:rPr>
          <w:rStyle w:val="18"/>
          <w:rFonts w:hint="eastAsia" w:ascii="仿宋" w:eastAsia="仿宋"/>
          <w:b w:val="0"/>
          <w:bCs/>
          <w:sz w:val="32"/>
          <w:szCs w:val="32"/>
        </w:rPr>
        <w:t>机关事业单位基本职业年金支出决算为</w:t>
      </w:r>
      <w:r>
        <w:rPr>
          <w:rStyle w:val="18"/>
          <w:rFonts w:hint="eastAsia" w:ascii="仿宋" w:eastAsia="仿宋"/>
          <w:b w:val="0"/>
          <w:bCs/>
          <w:sz w:val="32"/>
          <w:szCs w:val="32"/>
          <w:lang w:val="en-US" w:eastAsia="zh-CN"/>
        </w:rPr>
        <w:t>58.89</w:t>
      </w:r>
      <w:r>
        <w:rPr>
          <w:rStyle w:val="18"/>
          <w:rFonts w:hint="eastAsia" w:ascii="仿宋" w:eastAsia="仿宋"/>
          <w:b w:val="0"/>
          <w:bCs/>
          <w:color w:val="auto"/>
          <w:sz w:val="32"/>
          <w:szCs w:val="32"/>
          <w:highlight w:val="none"/>
        </w:rPr>
        <w:t>万元，完成预算100%，决算数等于预算数</w:t>
      </w:r>
      <w:r>
        <w:rPr>
          <w:rStyle w:val="18"/>
          <w:rFonts w:hint="eastAsia" w:ascii="仿宋" w:eastAsia="仿宋"/>
          <w:b w:val="0"/>
          <w:bCs/>
          <w:color w:val="auto"/>
          <w:sz w:val="32"/>
          <w:szCs w:val="32"/>
          <w:highlight w:val="none"/>
          <w:lang w:eastAsia="zh-CN"/>
        </w:rPr>
        <w:t>。</w:t>
      </w:r>
    </w:p>
    <w:p w14:paraId="1121C868">
      <w:pPr>
        <w:numPr>
          <w:ilvl w:val="0"/>
          <w:numId w:val="0"/>
        </w:numPr>
        <w:spacing w:line="600" w:lineRule="exact"/>
        <w:ind w:firstLine="643" w:firstLineChars="200"/>
        <w:rPr>
          <w:rStyle w:val="18"/>
          <w:rFonts w:hint="eastAsia" w:ascii="仿宋" w:eastAsia="仿宋"/>
          <w:b w:val="0"/>
          <w:bCs/>
          <w:color w:val="auto"/>
          <w:sz w:val="32"/>
          <w:szCs w:val="32"/>
          <w:highlight w:val="none"/>
        </w:rPr>
      </w:pPr>
      <w:r>
        <w:rPr>
          <w:rStyle w:val="18"/>
          <w:rFonts w:hint="eastAsia" w:ascii="仿宋" w:eastAsia="仿宋"/>
          <w:bCs/>
          <w:color w:val="auto"/>
          <w:sz w:val="32"/>
          <w:szCs w:val="32"/>
          <w:highlight w:val="none"/>
        </w:rPr>
        <w:t>2.</w:t>
      </w:r>
      <w:r>
        <w:rPr>
          <w:rFonts w:hint="eastAsia" w:ascii="仿宋" w:eastAsia="仿宋"/>
          <w:b/>
          <w:bCs/>
          <w:color w:val="auto"/>
          <w:sz w:val="32"/>
          <w:szCs w:val="32"/>
          <w:highlight w:val="none"/>
        </w:rPr>
        <w:t>卫生健康210</w:t>
      </w:r>
      <w:r>
        <w:rPr>
          <w:rStyle w:val="18"/>
          <w:rFonts w:hint="eastAsia" w:ascii="仿宋" w:eastAsia="仿宋"/>
          <w:bCs/>
          <w:color w:val="auto"/>
          <w:sz w:val="32"/>
          <w:szCs w:val="32"/>
          <w:highlight w:val="none"/>
        </w:rPr>
        <w:t>:</w:t>
      </w:r>
      <w:r>
        <w:rPr>
          <w:rStyle w:val="18"/>
          <w:rFonts w:hint="eastAsia" w:ascii="仿宋" w:eastAsia="仿宋"/>
          <w:b w:val="0"/>
          <w:bCs/>
          <w:color w:val="auto"/>
          <w:sz w:val="32"/>
          <w:szCs w:val="32"/>
          <w:highlight w:val="none"/>
        </w:rPr>
        <w:t>支出决算为</w:t>
      </w:r>
      <w:r>
        <w:rPr>
          <w:rStyle w:val="18"/>
          <w:rFonts w:hint="eastAsia" w:ascii="仿宋" w:eastAsia="仿宋"/>
          <w:b w:val="0"/>
          <w:bCs/>
          <w:color w:val="auto"/>
          <w:sz w:val="32"/>
          <w:szCs w:val="32"/>
          <w:highlight w:val="none"/>
          <w:lang w:val="en-US" w:eastAsia="zh-CN"/>
        </w:rPr>
        <w:t>73.72</w:t>
      </w:r>
      <w:r>
        <w:rPr>
          <w:rStyle w:val="18"/>
          <w:rFonts w:hint="eastAsia" w:ascii="仿宋" w:eastAsia="仿宋"/>
          <w:b w:val="0"/>
          <w:bCs/>
          <w:color w:val="auto"/>
          <w:sz w:val="32"/>
          <w:szCs w:val="32"/>
          <w:highlight w:val="none"/>
        </w:rPr>
        <w:t>万元，完成预算100%，决算数等于预算数。其中：2101101行政单位医疗支出决算为</w:t>
      </w:r>
      <w:r>
        <w:rPr>
          <w:rStyle w:val="18"/>
          <w:rFonts w:hint="eastAsia" w:ascii="仿宋" w:eastAsia="仿宋"/>
          <w:b w:val="0"/>
          <w:bCs/>
          <w:color w:val="auto"/>
          <w:sz w:val="32"/>
          <w:szCs w:val="32"/>
          <w:highlight w:val="none"/>
          <w:lang w:val="en-US" w:eastAsia="zh-CN"/>
        </w:rPr>
        <w:t>53.14</w:t>
      </w:r>
      <w:r>
        <w:rPr>
          <w:rStyle w:val="18"/>
          <w:rFonts w:hint="eastAsia" w:ascii="仿宋" w:eastAsia="仿宋"/>
          <w:b w:val="0"/>
          <w:bCs/>
          <w:color w:val="auto"/>
          <w:sz w:val="32"/>
          <w:szCs w:val="32"/>
          <w:highlight w:val="none"/>
        </w:rPr>
        <w:t>万元，完成预算100%，决算数等于预算数；2101103公务员医疗补助支出决算为</w:t>
      </w:r>
      <w:r>
        <w:rPr>
          <w:rStyle w:val="18"/>
          <w:rFonts w:hint="eastAsia" w:ascii="仿宋" w:eastAsia="仿宋"/>
          <w:b w:val="0"/>
          <w:bCs/>
          <w:color w:val="auto"/>
          <w:sz w:val="32"/>
          <w:szCs w:val="32"/>
          <w:highlight w:val="none"/>
          <w:lang w:val="en-US" w:eastAsia="zh-CN"/>
        </w:rPr>
        <w:t>20.59</w:t>
      </w:r>
      <w:r>
        <w:rPr>
          <w:rStyle w:val="18"/>
          <w:rFonts w:hint="eastAsia" w:ascii="仿宋" w:eastAsia="仿宋"/>
          <w:b w:val="0"/>
          <w:bCs/>
          <w:color w:val="auto"/>
          <w:sz w:val="32"/>
          <w:szCs w:val="32"/>
          <w:highlight w:val="none"/>
        </w:rPr>
        <w:t>万元，完成预算100%，决算数等于预算数。</w:t>
      </w:r>
    </w:p>
    <w:p w14:paraId="7B380116">
      <w:pPr>
        <w:pStyle w:val="14"/>
        <w:spacing w:line="360" w:lineRule="auto"/>
        <w:ind w:firstLine="643" w:firstLineChars="200"/>
        <w:rPr>
          <w:rFonts w:hint="eastAsia" w:ascii="Times New Roman" w:hAnsi="Times New Roman" w:eastAsia="仿宋_GB2312" w:cs="仿宋_GB2312"/>
          <w:color w:val="auto"/>
          <w:kern w:val="2"/>
          <w:sz w:val="32"/>
          <w:szCs w:val="32"/>
          <w:highlight w:val="none"/>
          <w:lang w:val="en-US" w:eastAsia="zh-CN" w:bidi="ar-SA"/>
        </w:rPr>
      </w:pPr>
      <w:r>
        <w:rPr>
          <w:rStyle w:val="18"/>
          <w:rFonts w:hint="eastAsia" w:ascii="仿宋" w:eastAsia="仿宋"/>
          <w:bCs/>
          <w:sz w:val="32"/>
          <w:szCs w:val="32"/>
        </w:rPr>
        <w:t>3.住房保障支出221：</w:t>
      </w:r>
      <w:r>
        <w:rPr>
          <w:rStyle w:val="18"/>
          <w:rFonts w:hint="eastAsia" w:ascii="仿宋" w:eastAsia="仿宋"/>
          <w:b w:val="0"/>
          <w:bCs/>
          <w:color w:val="auto"/>
          <w:sz w:val="32"/>
          <w:szCs w:val="32"/>
          <w:highlight w:val="none"/>
        </w:rPr>
        <w:t>支出决算为</w:t>
      </w:r>
      <w:r>
        <w:rPr>
          <w:rStyle w:val="18"/>
          <w:rFonts w:hint="eastAsia" w:ascii="仿宋" w:eastAsia="仿宋"/>
          <w:b w:val="0"/>
          <w:bCs/>
          <w:color w:val="auto"/>
          <w:sz w:val="32"/>
          <w:szCs w:val="32"/>
          <w:highlight w:val="none"/>
          <w:lang w:val="en-US" w:eastAsia="zh-CN"/>
        </w:rPr>
        <w:t>92.01</w:t>
      </w:r>
      <w:r>
        <w:rPr>
          <w:rStyle w:val="18"/>
          <w:rFonts w:hint="eastAsia" w:ascii="仿宋" w:eastAsia="仿宋"/>
          <w:b w:val="0"/>
          <w:bCs/>
          <w:color w:val="auto"/>
          <w:sz w:val="32"/>
          <w:szCs w:val="32"/>
          <w:highlight w:val="none"/>
        </w:rPr>
        <w:t>万元，完成预</w:t>
      </w:r>
      <w:r>
        <w:rPr>
          <w:rStyle w:val="18"/>
          <w:rFonts w:hint="eastAsia" w:ascii="仿宋" w:eastAsia="仿宋"/>
          <w:b w:val="0"/>
          <w:bCs/>
          <w:sz w:val="32"/>
          <w:szCs w:val="32"/>
          <w:highlight w:val="none"/>
        </w:rPr>
        <w:t>算100%，决算数等于预算数。其中：2210201住房公积金支出决算为</w:t>
      </w:r>
      <w:r>
        <w:rPr>
          <w:rStyle w:val="18"/>
          <w:rFonts w:hint="eastAsia" w:ascii="仿宋" w:eastAsia="仿宋"/>
          <w:b w:val="0"/>
          <w:bCs/>
          <w:sz w:val="32"/>
          <w:szCs w:val="32"/>
          <w:highlight w:val="none"/>
          <w:lang w:val="en-US" w:eastAsia="zh-CN"/>
        </w:rPr>
        <w:t>88.81</w:t>
      </w:r>
      <w:r>
        <w:rPr>
          <w:rStyle w:val="18"/>
          <w:rFonts w:hint="eastAsia" w:ascii="仿宋" w:eastAsia="仿宋"/>
          <w:b w:val="0"/>
          <w:bCs/>
          <w:sz w:val="32"/>
          <w:szCs w:val="32"/>
          <w:highlight w:val="none"/>
        </w:rPr>
        <w:t>万元，完成预算100%，决算数等于预算数；2210203购房补贴支出决算为</w:t>
      </w:r>
      <w:r>
        <w:rPr>
          <w:rStyle w:val="18"/>
          <w:rFonts w:hint="eastAsia" w:ascii="仿宋" w:eastAsia="仿宋"/>
          <w:b w:val="0"/>
          <w:bCs/>
          <w:sz w:val="32"/>
          <w:szCs w:val="32"/>
          <w:highlight w:val="none"/>
          <w:lang w:val="en-US" w:eastAsia="zh-CN"/>
        </w:rPr>
        <w:t>3.2</w:t>
      </w:r>
      <w:r>
        <w:rPr>
          <w:rStyle w:val="18"/>
          <w:rFonts w:hint="eastAsia" w:ascii="仿宋" w:eastAsia="仿宋"/>
          <w:b w:val="0"/>
          <w:bCs/>
          <w:sz w:val="32"/>
          <w:szCs w:val="32"/>
          <w:highlight w:val="none"/>
        </w:rPr>
        <w:t>万元，完成预算100%，决算数等于预算数。</w:t>
      </w:r>
    </w:p>
    <w:p w14:paraId="76C9E24E">
      <w:pPr>
        <w:tabs>
          <w:tab w:val="right" w:pos="8306"/>
        </w:tabs>
        <w:spacing w:line="600" w:lineRule="exact"/>
        <w:ind w:firstLine="640"/>
        <w:outlineLvl w:val="1"/>
        <w:rPr>
          <w:rStyle w:val="21"/>
          <w:rFonts w:ascii="Times New Roman" w:hAnsi="Times New Roman"/>
          <w:color w:val="auto"/>
          <w:highlight w:val="none"/>
        </w:rPr>
      </w:pPr>
      <w:bookmarkStart w:id="36" w:name="_Toc15377214"/>
      <w:bookmarkStart w:id="37" w:name="_Toc15396608"/>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21"/>
          <w:rFonts w:hint="eastAsia" w:ascii="Times New Roman" w:hAnsi="Times New Roman" w:eastAsia="黑体"/>
          <w:b w:val="0"/>
          <w:color w:val="auto"/>
          <w:highlight w:val="none"/>
        </w:rPr>
        <w:t>般公共预算财政拨款基本支出决算情况说明</w:t>
      </w:r>
      <w:bookmarkEnd w:id="36"/>
      <w:bookmarkEnd w:id="37"/>
      <w:r>
        <w:rPr>
          <w:rStyle w:val="21"/>
          <w:rFonts w:ascii="Times New Roman" w:hAnsi="Times New Roman" w:eastAsia="黑体"/>
          <w:b w:val="0"/>
          <w:color w:val="auto"/>
          <w:highlight w:val="none"/>
        </w:rPr>
        <w:tab/>
      </w:r>
    </w:p>
    <w:p w14:paraId="2ABB735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eastAsia="仿宋_GB2312" w:cs="仿宋_GB2312"/>
          <w:sz w:val="32"/>
          <w:szCs w:val="32"/>
        </w:rPr>
        <w:t>1732.15</w:t>
      </w:r>
      <w:r>
        <w:rPr>
          <w:rFonts w:hint="eastAsia" w:asci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14:paraId="748E2F8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eastAsia="仿宋_GB2312" w:cs="仿宋_GB2312"/>
          <w:sz w:val="32"/>
          <w:szCs w:val="32"/>
        </w:rPr>
        <w:t>1410.57</w:t>
      </w:r>
      <w:r>
        <w:rPr>
          <w:rFonts w:hint="eastAsia" w:asci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元，主要包括：基本工资、津贴补贴、奖金、伙食补助费、机关事业单位基本养老保险缴费、职业年金缴费、其他社会保障缴费、其他工资福利支出、生活补助、医疗费补助、奖励金、住房公积金等。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公用经费321.58万元，主要包括：办公费、水费、电费、邮电费、差旅费、维修（护）费、会议费、培训费、公务接待费、劳务费、委托业务费、福利费、公务用车运行维护费、其他交通费、其他商品和服务支出、</w:t>
      </w:r>
      <w:r>
        <w:rPr>
          <w:rFonts w:hint="eastAsia" w:eastAsia="仿宋_GB2312" w:cs="仿宋_GB2312"/>
          <w:color w:val="auto"/>
          <w:kern w:val="2"/>
          <w:sz w:val="32"/>
          <w:szCs w:val="32"/>
          <w:highlight w:val="none"/>
          <w:lang w:val="en-US" w:eastAsia="zh-CN" w:bidi="ar-SA"/>
        </w:rPr>
        <w:t>办公设备购置、</w:t>
      </w:r>
      <w:r>
        <w:rPr>
          <w:rFonts w:hint="eastAsia" w:ascii="Times New Roman" w:hAnsi="Times New Roman" w:eastAsia="仿宋_GB2312" w:cs="仿宋_GB2312"/>
          <w:color w:val="auto"/>
          <w:kern w:val="2"/>
          <w:sz w:val="32"/>
          <w:szCs w:val="32"/>
          <w:highlight w:val="none"/>
          <w:lang w:val="en-US" w:eastAsia="zh-CN" w:bidi="ar-SA"/>
        </w:rPr>
        <w:t>等。</w:t>
      </w:r>
    </w:p>
    <w:p w14:paraId="77057114">
      <w:pPr>
        <w:spacing w:line="600" w:lineRule="exact"/>
        <w:ind w:firstLine="640"/>
        <w:outlineLvl w:val="1"/>
        <w:rPr>
          <w:rStyle w:val="21"/>
          <w:rFonts w:ascii="Times New Roman" w:hAnsi="Times New Roman" w:eastAsia="黑体"/>
          <w:b w:val="0"/>
          <w:color w:val="auto"/>
          <w:highlight w:val="none"/>
        </w:rPr>
      </w:pPr>
      <w:bookmarkStart w:id="38" w:name="_Toc15396609"/>
      <w:bookmarkStart w:id="39" w:name="_Toc15377215"/>
      <w:r>
        <w:rPr>
          <w:rFonts w:hint="eastAsia" w:ascii="Times New Roman" w:hAnsi="Times New Roman" w:eastAsia="黑体"/>
          <w:color w:val="auto"/>
          <w:sz w:val="32"/>
          <w:szCs w:val="32"/>
          <w:highlight w:val="none"/>
        </w:rPr>
        <w:t>七、</w:t>
      </w:r>
      <w:r>
        <w:rPr>
          <w:rStyle w:val="21"/>
          <w:rFonts w:hint="eastAsia" w:ascii="Times New Roman" w:hAnsi="Times New Roman" w:eastAsia="黑体"/>
          <w:b w:val="0"/>
          <w:color w:val="auto"/>
          <w:highlight w:val="none"/>
        </w:rPr>
        <w:t>财政拨款</w:t>
      </w:r>
      <w:r>
        <w:rPr>
          <w:rStyle w:val="21"/>
          <w:rFonts w:hint="eastAsia" w:ascii="Times New Roman" w:hAnsi="Times New Roman" w:eastAsia="黑体"/>
          <w:color w:val="auto"/>
          <w:highlight w:val="none"/>
        </w:rPr>
        <w:t>“</w:t>
      </w:r>
      <w:r>
        <w:rPr>
          <w:rStyle w:val="21"/>
          <w:rFonts w:hint="eastAsia" w:ascii="Times New Roman" w:hAnsi="Times New Roman" w:eastAsia="黑体"/>
          <w:b w:val="0"/>
          <w:color w:val="auto"/>
          <w:highlight w:val="none"/>
        </w:rPr>
        <w:t>三公”经费支出决算情况说明</w:t>
      </w:r>
      <w:bookmarkEnd w:id="38"/>
      <w:bookmarkEnd w:id="39"/>
    </w:p>
    <w:p w14:paraId="6CA12FB0">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0"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40"/>
    </w:p>
    <w:p w14:paraId="156FE4D1">
      <w:pPr>
        <w:keepNext w:val="0"/>
        <w:keepLines w:val="0"/>
        <w:widowControl/>
        <w:suppressLineNumbers w:val="0"/>
        <w:ind w:firstLine="640" w:firstLineChars="200"/>
        <w:jc w:val="left"/>
        <w:rPr>
          <w:rFonts w:hint="eastAsia" w:ascii="Times New Roman" w:hAnsi="Times New Roman" w:eastAsia="仿宋_GB2312" w:cs="仿宋_GB2312"/>
          <w:b/>
          <w:bCs/>
          <w:color w:val="FF0000"/>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ascii="仿宋_GB2312" w:eastAsia="仿宋_GB2312" w:cs="仿宋_GB2312"/>
          <w:sz w:val="32"/>
          <w:szCs w:val="32"/>
        </w:rPr>
        <w:t>58.08</w:t>
      </w:r>
      <w:r>
        <w:rPr>
          <w:rFonts w:hint="eastAsia" w:ascii="仿宋_GB2312" w:eastAsia="仿宋_GB2312" w:cs="仿宋_GB2312"/>
          <w:color w:val="auto"/>
          <w:kern w:val="2"/>
          <w:sz w:val="32"/>
          <w:szCs w:val="32"/>
          <w:highlight w:val="none"/>
          <w:lang w:val="en-US" w:eastAsia="zh-CN" w:bidi="ar-SA"/>
        </w:rPr>
        <w:t>万元，完成预算95.18%，</w:t>
      </w:r>
      <w:r>
        <w:rPr>
          <w:rFonts w:hint="eastAsia" w:ascii="Times New Roman" w:hAnsi="Times New Roman" w:eastAsia="仿宋_GB2312" w:cs="仿宋_GB2312"/>
          <w:color w:val="auto"/>
          <w:kern w:val="2"/>
          <w:sz w:val="32"/>
          <w:szCs w:val="32"/>
          <w:highlight w:val="none"/>
          <w:lang w:val="en-US" w:eastAsia="zh-CN" w:bidi="ar-SA"/>
        </w:rPr>
        <w:t>较上年度减少</w:t>
      </w:r>
      <w:r>
        <w:rPr>
          <w:rFonts w:hint="eastAsia" w:eastAsia="仿宋_GB2312" w:cs="仿宋_GB2312"/>
          <w:color w:val="auto"/>
          <w:kern w:val="2"/>
          <w:sz w:val="32"/>
          <w:szCs w:val="32"/>
          <w:highlight w:val="none"/>
          <w:lang w:val="en-US" w:eastAsia="zh-CN" w:bidi="ar-SA"/>
        </w:rPr>
        <w:t>57.65</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49.81</w:t>
      </w:r>
      <w:r>
        <w:rPr>
          <w:rFonts w:hint="eastAsia" w:ascii="Times New Roman" w:hAnsi="Times New Roman" w:eastAsia="仿宋_GB2312" w:cs="仿宋_GB2312"/>
          <w:color w:val="auto"/>
          <w:kern w:val="2"/>
          <w:sz w:val="32"/>
          <w:szCs w:val="32"/>
          <w:highlight w:val="none"/>
          <w:lang w:val="en-US" w:eastAsia="zh-CN" w:bidi="ar-SA"/>
        </w:rPr>
        <w:t>%。决算数</w:t>
      </w:r>
      <w:r>
        <w:rPr>
          <w:rFonts w:hint="eastAsia" w:ascii="仿宋_GB2312" w:eastAsia="仿宋_GB2312" w:cs="仿宋_GB2312"/>
          <w:color w:val="auto"/>
          <w:kern w:val="2"/>
          <w:sz w:val="32"/>
          <w:szCs w:val="32"/>
          <w:highlight w:val="none"/>
          <w:lang w:val="en-US" w:eastAsia="zh-CN" w:bidi="ar-SA"/>
        </w:rPr>
        <w:t>小于预算数的主要原因是严格执行</w:t>
      </w:r>
      <w:r>
        <w:rPr>
          <w:rFonts w:hint="default" w:ascii="仿宋_GB2312" w:eastAsia="仿宋_GB2312" w:cs="仿宋_GB2312"/>
          <w:color w:val="auto"/>
          <w:kern w:val="2"/>
          <w:sz w:val="32"/>
          <w:szCs w:val="32"/>
          <w:highlight w:val="none"/>
          <w:lang w:val="en-US" w:eastAsia="zh-CN" w:bidi="ar-SA"/>
        </w:rPr>
        <w:t>“</w:t>
      </w:r>
      <w:r>
        <w:rPr>
          <w:rFonts w:hint="eastAsia" w:ascii="仿宋_GB2312" w:eastAsia="仿宋_GB2312" w:cs="仿宋_GB2312"/>
          <w:color w:val="auto"/>
          <w:kern w:val="2"/>
          <w:sz w:val="32"/>
          <w:szCs w:val="32"/>
          <w:highlight w:val="none"/>
          <w:lang w:val="en-US" w:eastAsia="zh-CN" w:bidi="ar-SA"/>
        </w:rPr>
        <w:t>过紧日子</w:t>
      </w:r>
      <w:r>
        <w:rPr>
          <w:rFonts w:hint="default" w:ascii="仿宋_GB2312" w:eastAsia="仿宋_GB2312" w:cs="仿宋_GB2312"/>
          <w:color w:val="auto"/>
          <w:kern w:val="2"/>
          <w:sz w:val="32"/>
          <w:szCs w:val="32"/>
          <w:highlight w:val="none"/>
          <w:lang w:val="en-US" w:eastAsia="zh-CN" w:bidi="ar-SA"/>
        </w:rPr>
        <w:t>”</w:t>
      </w:r>
      <w:r>
        <w:rPr>
          <w:rFonts w:hint="eastAsia" w:ascii="仿宋_GB2312" w:eastAsia="仿宋_GB2312" w:cs="仿宋_GB2312"/>
          <w:color w:val="auto"/>
          <w:kern w:val="2"/>
          <w:sz w:val="32"/>
          <w:szCs w:val="32"/>
          <w:highlight w:val="none"/>
          <w:lang w:val="en-US" w:eastAsia="zh-CN" w:bidi="ar-SA"/>
        </w:rPr>
        <w:t>要求，厉行节约， 从严控制</w:t>
      </w:r>
      <w:r>
        <w:rPr>
          <w:rFonts w:hint="default" w:ascii="仿宋_GB2312" w:eastAsia="仿宋_GB2312" w:cs="仿宋_GB2312"/>
          <w:color w:val="auto"/>
          <w:kern w:val="2"/>
          <w:sz w:val="32"/>
          <w:szCs w:val="32"/>
          <w:highlight w:val="none"/>
          <w:lang w:val="en-US" w:eastAsia="zh-CN" w:bidi="ar-SA"/>
        </w:rPr>
        <w:t>“</w:t>
      </w:r>
      <w:r>
        <w:rPr>
          <w:rFonts w:hint="eastAsia" w:ascii="仿宋_GB2312" w:eastAsia="仿宋_GB2312" w:cs="仿宋_GB2312"/>
          <w:color w:val="auto"/>
          <w:kern w:val="2"/>
          <w:sz w:val="32"/>
          <w:szCs w:val="32"/>
          <w:highlight w:val="none"/>
          <w:lang w:val="en-US" w:eastAsia="zh-CN" w:bidi="ar-SA"/>
        </w:rPr>
        <w:t>三公</w:t>
      </w:r>
      <w:r>
        <w:rPr>
          <w:rFonts w:hint="default" w:ascii="仿宋_GB2312" w:eastAsia="仿宋_GB2312" w:cs="仿宋_GB2312"/>
          <w:color w:val="auto"/>
          <w:kern w:val="2"/>
          <w:sz w:val="32"/>
          <w:szCs w:val="32"/>
          <w:highlight w:val="none"/>
          <w:lang w:val="en-US" w:eastAsia="zh-CN" w:bidi="ar-SA"/>
        </w:rPr>
        <w:t>”</w:t>
      </w:r>
      <w:r>
        <w:rPr>
          <w:rFonts w:hint="eastAsia" w:ascii="仿宋_GB2312" w:eastAsia="仿宋_GB2312" w:cs="仿宋_GB2312"/>
          <w:color w:val="auto"/>
          <w:kern w:val="2"/>
          <w:sz w:val="32"/>
          <w:szCs w:val="32"/>
          <w:highlight w:val="none"/>
          <w:lang w:val="en-US" w:eastAsia="zh-CN" w:bidi="ar-SA"/>
        </w:rPr>
        <w:t>经费开支。</w:t>
      </w:r>
    </w:p>
    <w:p w14:paraId="5E45EC76">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1"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41"/>
    </w:p>
    <w:p w14:paraId="0B609350">
      <w:pPr>
        <w:spacing w:line="600" w:lineRule="exact"/>
        <w:ind w:firstLine="640"/>
        <w:rPr>
          <w:rFonts w:hint="eastAsia" w:ascii="仿宋_GB2312" w:eastAsia="仿宋_GB2312" w:cs="仿宋_GB2312"/>
          <w:color w:val="auto"/>
          <w:kern w:val="2"/>
          <w:sz w:val="32"/>
          <w:szCs w:val="32"/>
          <w:highlight w:val="none"/>
          <w:lang w:val="en-US" w:eastAsia="zh-CN" w:bidi="ar-SA"/>
        </w:rPr>
      </w:pPr>
      <w:r>
        <w:rPr>
          <w:rFonts w:hint="eastAsia" w:asci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万元，占0%；公务用车购置及运行维护费支出决算</w:t>
      </w:r>
      <w:r>
        <w:rPr>
          <w:rFonts w:hint="eastAsia" w:ascii="仿宋_GB2312" w:eastAsia="仿宋_GB2312" w:cs="仿宋_GB2312"/>
          <w:sz w:val="32"/>
          <w:szCs w:val="32"/>
        </w:rPr>
        <w:t>57.59</w:t>
      </w:r>
      <w:r>
        <w:rPr>
          <w:rFonts w:hint="eastAsia" w:ascii="仿宋_GB2312" w:eastAsia="仿宋_GB2312" w:cs="仿宋_GB2312"/>
          <w:color w:val="auto"/>
          <w:kern w:val="2"/>
          <w:sz w:val="32"/>
          <w:szCs w:val="32"/>
          <w:highlight w:val="none"/>
          <w:lang w:val="en-US" w:eastAsia="zh-CN" w:bidi="ar-SA"/>
        </w:rPr>
        <w:t>万元，占99.16%；公务接待费支出决算</w:t>
      </w:r>
      <w:r>
        <w:rPr>
          <w:rFonts w:hint="eastAsia" w:ascii="仿宋_GB2312" w:eastAsia="仿宋_GB2312" w:cs="仿宋_GB2312"/>
          <w:sz w:val="32"/>
          <w:szCs w:val="32"/>
        </w:rPr>
        <w:t>0.48</w:t>
      </w:r>
      <w:r>
        <w:rPr>
          <w:rFonts w:hint="eastAsia" w:ascii="仿宋_GB2312" w:eastAsia="仿宋_GB2312" w:cs="仿宋_GB2312"/>
          <w:color w:val="auto"/>
          <w:kern w:val="2"/>
          <w:sz w:val="32"/>
          <w:szCs w:val="32"/>
          <w:highlight w:val="none"/>
          <w:lang w:val="en-US" w:eastAsia="zh-CN" w:bidi="ar-SA"/>
        </w:rPr>
        <w:t>万元，占0.83%。具体情况如下：</w:t>
      </w:r>
    </w:p>
    <w:p w14:paraId="4A4D73D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（图7：“三公”经费财政拨款支出结构）（饼状图）</w:t>
      </w:r>
    </w:p>
    <w:p w14:paraId="74ABB92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39C73B9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4D33D07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0D5BA5C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7DC48AC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307269C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4690370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0FB0097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BF02A7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drawing>
          <wp:anchor distT="0" distB="0" distL="114300" distR="114300" simplePos="0" relativeHeight="251663360" behindDoc="0" locked="0" layoutInCell="1" allowOverlap="1">
            <wp:simplePos x="0" y="0"/>
            <wp:positionH relativeFrom="column">
              <wp:posOffset>411480</wp:posOffset>
            </wp:positionH>
            <wp:positionV relativeFrom="paragraph">
              <wp:posOffset>-2700655</wp:posOffset>
            </wp:positionV>
            <wp:extent cx="4408805" cy="2654935"/>
            <wp:effectExtent l="4445" t="5080" r="6350" b="6985"/>
            <wp:wrapSquare wrapText="bothSides"/>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14:paraId="62570F3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1.因公出国（境）经费支出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万元，完成预算</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全年安排因公出国（境）团</w:t>
      </w:r>
      <w:r>
        <w:rPr>
          <w:rFonts w:hint="eastAsia" w:ascii="仿宋_GB2312" w:eastAsia="仿宋_GB2312" w:cs="仿宋_GB2312"/>
          <w:color w:val="auto"/>
          <w:kern w:val="2"/>
          <w:sz w:val="32"/>
          <w:szCs w:val="32"/>
          <w:highlight w:val="none"/>
          <w:lang w:val="en-US" w:eastAsia="zh-CN" w:bidi="ar-SA"/>
        </w:rPr>
        <w:t>组</w:t>
      </w:r>
      <w:r>
        <w:rPr>
          <w:rFonts w:hint="eastAsia" w:asci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次，出国（境）</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人</w:t>
      </w:r>
      <w:r>
        <w:rPr>
          <w:rFonts w:hint="eastAsia" w:ascii="Times New Roman" w:hAnsi="Times New Roman" w:eastAsia="仿宋_GB2312" w:cs="仿宋_GB2312"/>
          <w:color w:val="auto"/>
          <w:kern w:val="2"/>
          <w:sz w:val="32"/>
          <w:szCs w:val="32"/>
          <w:highlight w:val="none"/>
          <w:lang w:val="en-US" w:eastAsia="zh-CN" w:bidi="ar-SA"/>
        </w:rPr>
        <w:t>。因公出国（境）支出决算比2023年增加/减少</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ascii="仿宋_GB2312" w:eastAsia="仿宋_GB2312"/>
          <w:color w:val="auto"/>
          <w:sz w:val="32"/>
          <w:szCs w:val="32"/>
          <w:highlight w:val="none"/>
        </w:rPr>
        <w:t>当年无相关预算及支出。</w:t>
      </w:r>
    </w:p>
    <w:p w14:paraId="603B4AD5">
      <w:pPr>
        <w:keepNext w:val="0"/>
        <w:keepLines w:val="0"/>
        <w:widowControl/>
        <w:suppressLineNumbers w:val="0"/>
        <w:ind w:firstLine="643" w:firstLineChars="200"/>
        <w:jc w:val="left"/>
        <w:rPr>
          <w:rFonts w:ascii="仿宋_GB2312" w:hAnsi="仿宋_GB2312" w:eastAsia="仿宋_GB2312" w:cs="仿宋_GB2312"/>
          <w:color w:val="000000"/>
          <w:kern w:val="0"/>
          <w:sz w:val="31"/>
          <w:szCs w:val="31"/>
          <w:lang w:val="en-US" w:eastAsia="zh-CN" w:bidi="ar"/>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eastAsia="仿宋_GB2312" w:cs="仿宋_GB2312"/>
          <w:b/>
          <w:bCs/>
          <w:color w:val="auto"/>
          <w:kern w:val="2"/>
          <w:sz w:val="32"/>
          <w:szCs w:val="32"/>
          <w:highlight w:val="none"/>
          <w:lang w:val="en-US" w:eastAsia="zh-CN" w:bidi="ar-SA"/>
        </w:rPr>
        <w:t>57.59万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公务用车购置及运行维护费支出决算比2023年度减少</w:t>
      </w:r>
      <w:r>
        <w:rPr>
          <w:rFonts w:hint="eastAsia" w:eastAsia="仿宋_GB2312" w:cs="仿宋_GB2312"/>
          <w:color w:val="auto"/>
          <w:kern w:val="2"/>
          <w:sz w:val="32"/>
          <w:szCs w:val="32"/>
          <w:highlight w:val="none"/>
          <w:lang w:val="en-US" w:eastAsia="zh-CN" w:bidi="ar-SA"/>
        </w:rPr>
        <w:t>57.56</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49.99</w:t>
      </w:r>
      <w:r>
        <w:rPr>
          <w:rFonts w:hint="eastAsia" w:ascii="Times New Roman" w:hAnsi="Times New Roman" w:eastAsia="仿宋_GB2312" w:cs="仿宋_GB2312"/>
          <w:color w:val="auto"/>
          <w:kern w:val="2"/>
          <w:sz w:val="32"/>
          <w:szCs w:val="32"/>
          <w:highlight w:val="none"/>
          <w:lang w:val="en-US" w:eastAsia="zh-CN" w:bidi="ar-SA"/>
        </w:rPr>
        <w:t>%。主要原因</w:t>
      </w:r>
      <w:r>
        <w:rPr>
          <w:rFonts w:hint="eastAsia" w:eastAsia="仿宋_GB2312" w:cs="仿宋_GB2312"/>
          <w:color w:val="auto"/>
          <w:kern w:val="2"/>
          <w:sz w:val="32"/>
          <w:szCs w:val="32"/>
          <w:highlight w:val="none"/>
          <w:lang w:val="en-US" w:eastAsia="zh-CN" w:bidi="ar-SA"/>
        </w:rPr>
        <w:t>上一年度新购置公务用车</w:t>
      </w:r>
      <w:r>
        <w:rPr>
          <w:rFonts w:ascii="仿宋_GB2312" w:hAnsi="仿宋_GB2312" w:eastAsia="仿宋_GB2312" w:cs="仿宋_GB2312"/>
          <w:color w:val="000000"/>
          <w:kern w:val="0"/>
          <w:sz w:val="31"/>
          <w:szCs w:val="31"/>
          <w:lang w:val="en-US" w:eastAsia="zh-CN" w:bidi="ar"/>
        </w:rPr>
        <w:t>，</w:t>
      </w:r>
      <w:r>
        <w:rPr>
          <w:rFonts w:hint="eastAsia" w:ascii="仿宋_GB2312" w:hAnsi="仿宋_GB2312" w:eastAsia="仿宋_GB2312" w:cs="仿宋_GB2312"/>
          <w:color w:val="000000"/>
          <w:kern w:val="0"/>
          <w:sz w:val="31"/>
          <w:szCs w:val="31"/>
          <w:lang w:val="en-US" w:eastAsia="zh-CN" w:bidi="ar"/>
        </w:rPr>
        <w:t>本年未发生该类购置费，相应费用减少。</w:t>
      </w:r>
    </w:p>
    <w:p w14:paraId="243D567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其中：公务用车购置支</w:t>
      </w:r>
      <w:r>
        <w:rPr>
          <w:rFonts w:hint="eastAsia" w:ascii="仿宋_GB2312" w:eastAsia="仿宋_GB2312" w:cs="仿宋_GB2312"/>
          <w:color w:val="auto"/>
          <w:kern w:val="2"/>
          <w:sz w:val="32"/>
          <w:szCs w:val="32"/>
          <w:highlight w:val="none"/>
          <w:lang w:val="en-US" w:eastAsia="zh-CN" w:bidi="ar-SA"/>
        </w:rPr>
        <w:t>出</w:t>
      </w:r>
      <w:r>
        <w:rPr>
          <w:rFonts w:hint="eastAsia" w:asci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万元。全年按规定更新购置公务用车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辆，其中：轿车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万元，越野车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万元，载客汽车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万元，主要</w:t>
      </w:r>
      <w:r>
        <w:rPr>
          <w:rFonts w:hint="eastAsia" w:ascii="仿宋_GB2312" w:eastAsia="仿宋_GB2312"/>
          <w:color w:val="auto"/>
          <w:sz w:val="32"/>
          <w:szCs w:val="32"/>
          <w:highlight w:val="none"/>
        </w:rPr>
        <w:t>当年无相关预算及支出。</w:t>
      </w:r>
      <w:r>
        <w:rPr>
          <w:rFonts w:hint="eastAsia" w:ascii="Times New Roman" w:hAnsi="Times New Roman" w:eastAsia="仿宋_GB2312" w:cs="仿宋_GB2312"/>
          <w:color w:val="auto"/>
          <w:kern w:val="2"/>
          <w:sz w:val="32"/>
          <w:szCs w:val="32"/>
          <w:highlight w:val="none"/>
          <w:lang w:val="en-US" w:eastAsia="zh-CN" w:bidi="ar-SA"/>
        </w:rPr>
        <w:t>截至2024年12月31日，单位共有公务用车8辆，其中：轿车1辆、越野车7辆。</w:t>
      </w:r>
    </w:p>
    <w:p w14:paraId="31B337FD">
      <w:pPr>
        <w:keepNext w:val="0"/>
        <w:keepLines w:val="0"/>
        <w:widowControl/>
        <w:suppressLineNumbers w:val="0"/>
        <w:ind w:firstLine="640" w:firstLineChars="200"/>
        <w:jc w:val="left"/>
        <w:rPr>
          <w:rFonts w:ascii="仿宋_GB2312" w:hAnsi="仿宋_GB2312" w:eastAsia="仿宋_GB2312" w:cs="仿宋_GB2312"/>
          <w:color w:val="000000"/>
          <w:kern w:val="0"/>
          <w:sz w:val="31"/>
          <w:szCs w:val="31"/>
          <w:lang w:val="en-US" w:eastAsia="zh-CN" w:bidi="ar"/>
        </w:rPr>
      </w:pPr>
      <w:r>
        <w:rPr>
          <w:rFonts w:hint="eastAsia" w:ascii="Times New Roman" w:hAnsi="Times New Roman" w:eastAsia="仿宋_GB2312" w:cs="仿宋_GB2312"/>
          <w:color w:val="auto"/>
          <w:kern w:val="2"/>
          <w:sz w:val="32"/>
          <w:szCs w:val="32"/>
          <w:highlight w:val="none"/>
          <w:lang w:val="en-US" w:eastAsia="zh-CN" w:bidi="ar-SA"/>
        </w:rPr>
        <w:t>公务用车运行维护费支</w:t>
      </w:r>
      <w:r>
        <w:rPr>
          <w:rFonts w:hint="eastAsia" w:ascii="仿宋_GB2312" w:eastAsia="仿宋_GB2312" w:cs="仿宋_GB2312"/>
          <w:color w:val="auto"/>
          <w:kern w:val="2"/>
          <w:sz w:val="32"/>
          <w:szCs w:val="32"/>
          <w:highlight w:val="none"/>
          <w:lang w:val="en-US" w:eastAsia="zh-CN" w:bidi="ar-SA"/>
        </w:rPr>
        <w:t>出</w:t>
      </w:r>
      <w:r>
        <w:rPr>
          <w:rFonts w:hint="eastAsia" w:ascii="仿宋_GB2312" w:eastAsia="仿宋_GB2312" w:cs="仿宋_GB2312"/>
          <w:sz w:val="32"/>
          <w:szCs w:val="32"/>
        </w:rPr>
        <w:t>57.59</w:t>
      </w:r>
      <w:r>
        <w:rPr>
          <w:rFonts w:hint="eastAsia" w:ascii="Times New Roman" w:hAnsi="Times New Roman" w:eastAsia="仿宋_GB2312" w:cs="仿宋_GB2312"/>
          <w:color w:val="auto"/>
          <w:kern w:val="2"/>
          <w:sz w:val="32"/>
          <w:szCs w:val="32"/>
          <w:highlight w:val="none"/>
          <w:lang w:val="en-US" w:eastAsia="zh-CN" w:bidi="ar-SA"/>
        </w:rPr>
        <w:t>万元。主要用于</w:t>
      </w:r>
      <w:r>
        <w:rPr>
          <w:rFonts w:ascii="仿宋_GB2312" w:hAnsi="仿宋_GB2312" w:eastAsia="仿宋_GB2312" w:cs="仿宋_GB2312"/>
          <w:color w:val="000000"/>
          <w:kern w:val="0"/>
          <w:sz w:val="31"/>
          <w:szCs w:val="31"/>
          <w:lang w:val="en-US" w:eastAsia="zh-CN" w:bidi="ar"/>
        </w:rPr>
        <w:t xml:space="preserve">主要用于人社系统政策调研、规划统计、就业促进、三支一扶、技能人才队伍建设、专业技术人才队伍建设、事业单位人事制度改革、劳务开发和农民工工作、劳动关系、工资收入分配制度改革、社会保险、基金监督、争议仲裁调解、劳动监察、考试考务等工作所需的公务用车燃料费、维修费、过路过桥费、保险费等支出。 </w:t>
      </w:r>
    </w:p>
    <w:p w14:paraId="02C7EDEE">
      <w:pPr>
        <w:keepNext w:val="0"/>
        <w:keepLines w:val="0"/>
        <w:widowControl/>
        <w:suppressLineNumbers w:val="0"/>
        <w:ind w:firstLine="643" w:firstLineChars="200"/>
        <w:jc w:val="left"/>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b/>
          <w:bCs/>
          <w:color w:val="auto"/>
          <w:kern w:val="2"/>
          <w:sz w:val="32"/>
          <w:szCs w:val="32"/>
          <w:highlight w:val="none"/>
          <w:lang w:val="en-US" w:eastAsia="zh-CN" w:bidi="ar-SA"/>
        </w:rPr>
        <w:t>3.</w:t>
      </w:r>
      <w:r>
        <w:rPr>
          <w:rFonts w:hint="eastAsia" w:ascii="Times New Roman" w:hAnsi="Times New Roman" w:eastAsia="仿宋_GB2312" w:cs="仿宋_GB2312"/>
          <w:b/>
          <w:bCs/>
          <w:color w:val="auto"/>
          <w:kern w:val="2"/>
          <w:sz w:val="32"/>
          <w:szCs w:val="32"/>
          <w:highlight w:val="none"/>
          <w:lang w:val="en-US" w:eastAsia="zh-CN" w:bidi="ar-SA"/>
        </w:rPr>
        <w:t>公务接待费支出</w:t>
      </w:r>
      <w:r>
        <w:rPr>
          <w:rFonts w:hint="eastAsia" w:ascii="仿宋_GB2312" w:eastAsia="仿宋_GB2312" w:cs="仿宋_GB2312"/>
          <w:b/>
          <w:bCs/>
          <w:color w:val="auto"/>
          <w:kern w:val="2"/>
          <w:sz w:val="32"/>
          <w:szCs w:val="32"/>
          <w:highlight w:val="none"/>
          <w:lang w:val="en-US" w:eastAsia="zh-CN" w:bidi="ar-SA"/>
        </w:rPr>
        <w:t>0.48万</w:t>
      </w:r>
      <w:r>
        <w:rPr>
          <w:rFonts w:hint="eastAsia" w:ascii="Times New Roman" w:hAnsi="Times New Roman" w:eastAsia="仿宋_GB2312" w:cs="仿宋_GB2312"/>
          <w:b/>
          <w:bCs/>
          <w:color w:val="auto"/>
          <w:kern w:val="2"/>
          <w:sz w:val="32"/>
          <w:szCs w:val="32"/>
          <w:highlight w:val="none"/>
          <w:lang w:val="en-US" w:eastAsia="zh-CN" w:bidi="ar-SA"/>
        </w:rPr>
        <w:t>元，完成预算</w:t>
      </w:r>
      <w:r>
        <w:rPr>
          <w:rFonts w:hint="eastAsia" w:eastAsia="仿宋_GB2312" w:cs="仿宋_GB2312"/>
          <w:b/>
          <w:bCs/>
          <w:color w:val="auto"/>
          <w:kern w:val="2"/>
          <w:sz w:val="32"/>
          <w:szCs w:val="32"/>
          <w:highlight w:val="none"/>
          <w:lang w:val="en-US" w:eastAsia="zh-CN" w:bidi="ar-SA"/>
        </w:rPr>
        <w:t>14.04</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公务接待费支出决算比2023年度减少</w:t>
      </w:r>
      <w:r>
        <w:rPr>
          <w:rFonts w:hint="eastAsia" w:eastAsia="仿宋_GB2312" w:cs="仿宋_GB2312"/>
          <w:color w:val="auto"/>
          <w:kern w:val="2"/>
          <w:sz w:val="32"/>
          <w:szCs w:val="32"/>
          <w:highlight w:val="none"/>
          <w:lang w:val="en-US" w:eastAsia="zh-CN" w:bidi="ar-SA"/>
        </w:rPr>
        <w:t>0.69</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58.97</w:t>
      </w:r>
      <w:r>
        <w:rPr>
          <w:rFonts w:hint="eastAsia" w:ascii="Times New Roman" w:hAnsi="Times New Roman" w:eastAsia="仿宋_GB2312" w:cs="仿宋_GB2312"/>
          <w:color w:val="auto"/>
          <w:kern w:val="2"/>
          <w:sz w:val="32"/>
          <w:szCs w:val="32"/>
          <w:highlight w:val="none"/>
          <w:lang w:val="en-US" w:eastAsia="zh-CN" w:bidi="ar-SA"/>
        </w:rPr>
        <w:t>%。主要原因是</w:t>
      </w:r>
      <w:r>
        <w:rPr>
          <w:rFonts w:ascii="仿宋_GB2312" w:hAnsi="仿宋_GB2312" w:eastAsia="仿宋_GB2312" w:cs="仿宋_GB2312"/>
          <w:color w:val="000000"/>
          <w:kern w:val="0"/>
          <w:sz w:val="31"/>
          <w:szCs w:val="31"/>
          <w:lang w:val="en-US" w:eastAsia="zh-CN" w:bidi="ar"/>
        </w:rPr>
        <w:t>贯彻厉行节约规定，公务接待批次、人次减少</w:t>
      </w:r>
      <w:r>
        <w:rPr>
          <w:rFonts w:hint="eastAsia" w:ascii="Times New Roman" w:hAnsi="Times New Roman" w:eastAsia="仿宋_GB2312" w:cs="仿宋_GB2312"/>
          <w:color w:val="auto"/>
          <w:kern w:val="2"/>
          <w:sz w:val="32"/>
          <w:szCs w:val="32"/>
          <w:highlight w:val="none"/>
          <w:lang w:val="en-US" w:eastAsia="zh-CN" w:bidi="ar-SA"/>
        </w:rPr>
        <w:t>。</w:t>
      </w:r>
    </w:p>
    <w:p w14:paraId="0CCAA0B5">
      <w:pPr>
        <w:keepNext w:val="0"/>
        <w:keepLines w:val="0"/>
        <w:widowControl/>
        <w:suppressLineNumbers w:val="0"/>
        <w:jc w:val="left"/>
        <w:rPr>
          <w:rFonts w:hint="eastAsia" w:ascii="仿宋_GB2312" w:hAnsi="仿宋_GB2312" w:eastAsia="仿宋_GB2312" w:cs="仿宋_GB2312"/>
          <w:color w:val="000000"/>
          <w:kern w:val="0"/>
          <w:sz w:val="31"/>
          <w:szCs w:val="31"/>
          <w:lang w:val="en-US" w:eastAsia="zh-CN" w:bidi="ar"/>
        </w:rPr>
      </w:pPr>
      <w:r>
        <w:rPr>
          <w:rFonts w:hint="eastAsia" w:ascii="Times New Roman" w:hAnsi="Times New Roman" w:eastAsia="仿宋_GB2312" w:cs="仿宋_GB2312"/>
          <w:color w:val="auto"/>
          <w:kern w:val="2"/>
          <w:sz w:val="32"/>
          <w:szCs w:val="32"/>
          <w:highlight w:val="none"/>
          <w:lang w:val="en-US" w:eastAsia="zh-CN" w:bidi="ar-SA"/>
        </w:rPr>
        <w:t>其中：国内公务接待支</w:t>
      </w:r>
      <w:r>
        <w:rPr>
          <w:rFonts w:hint="eastAsia" w:ascii="仿宋_GB2312" w:eastAsia="仿宋_GB2312" w:cs="仿宋_GB2312"/>
          <w:color w:val="auto"/>
          <w:kern w:val="2"/>
          <w:sz w:val="32"/>
          <w:szCs w:val="32"/>
          <w:highlight w:val="none"/>
          <w:lang w:val="en-US" w:eastAsia="zh-CN" w:bidi="ar-SA"/>
        </w:rPr>
        <w:t>出</w:t>
      </w:r>
      <w:r>
        <w:rPr>
          <w:rFonts w:hint="eastAsia" w:ascii="仿宋_GB2312" w:eastAsia="仿宋_GB2312" w:cs="仿宋_GB2312"/>
          <w:sz w:val="32"/>
          <w:szCs w:val="32"/>
        </w:rPr>
        <w:t>0.48</w:t>
      </w:r>
      <w:r>
        <w:rPr>
          <w:rFonts w:hint="eastAsia" w:asci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元，主要用于</w:t>
      </w:r>
      <w:r>
        <w:rPr>
          <w:rFonts w:ascii="仿宋_GB2312" w:hAnsi="仿宋_GB2312" w:eastAsia="仿宋_GB2312" w:cs="仿宋_GB2312"/>
          <w:color w:val="000000"/>
          <w:kern w:val="0"/>
          <w:sz w:val="31"/>
          <w:szCs w:val="31"/>
          <w:lang w:val="en-US" w:eastAsia="zh-CN" w:bidi="ar"/>
        </w:rPr>
        <w:t>我</w:t>
      </w:r>
      <w:r>
        <w:rPr>
          <w:rFonts w:hint="eastAsia" w:ascii="仿宋_GB2312" w:hAnsi="仿宋_GB2312" w:eastAsia="仿宋_GB2312" w:cs="仿宋_GB2312"/>
          <w:color w:val="000000"/>
          <w:kern w:val="0"/>
          <w:sz w:val="31"/>
          <w:szCs w:val="31"/>
          <w:lang w:val="en-US" w:eastAsia="zh-CN" w:bidi="ar"/>
        </w:rPr>
        <w:t>局</w:t>
      </w:r>
      <w:r>
        <w:rPr>
          <w:rFonts w:ascii="仿宋_GB2312" w:hAnsi="仿宋_GB2312" w:eastAsia="仿宋_GB2312" w:cs="仿宋_GB2312"/>
          <w:color w:val="000000"/>
          <w:kern w:val="0"/>
          <w:sz w:val="31"/>
          <w:szCs w:val="31"/>
          <w:lang w:val="en-US" w:eastAsia="zh-CN" w:bidi="ar"/>
        </w:rPr>
        <w:t>开展业务检查、工作调研等活动，按规定安排的工作餐费等。</w:t>
      </w:r>
      <w:r>
        <w:rPr>
          <w:rFonts w:hint="eastAsia" w:ascii="Times New Roman" w:hAnsi="Times New Roman" w:eastAsia="仿宋_GB2312" w:cs="仿宋_GB2312"/>
          <w:color w:val="auto"/>
          <w:kern w:val="2"/>
          <w:sz w:val="32"/>
          <w:szCs w:val="32"/>
          <w:highlight w:val="none"/>
          <w:lang w:val="en-US" w:eastAsia="zh-CN" w:bidi="ar-SA"/>
        </w:rPr>
        <w:t>国内公务接</w:t>
      </w:r>
      <w:r>
        <w:rPr>
          <w:rFonts w:hint="eastAsia" w:ascii="仿宋_GB2312" w:eastAsia="仿宋_GB2312" w:cs="仿宋_GB2312"/>
          <w:color w:val="auto"/>
          <w:kern w:val="2"/>
          <w:sz w:val="32"/>
          <w:szCs w:val="32"/>
          <w:highlight w:val="none"/>
          <w:lang w:val="en-US" w:eastAsia="zh-CN" w:bidi="ar-SA"/>
        </w:rPr>
        <w:t>待</w:t>
      </w:r>
      <w:r>
        <w:rPr>
          <w:rFonts w:hint="eastAsia" w:ascii="仿宋_GB2312" w:eastAsia="仿宋_GB2312" w:cs="仿宋_GB2312"/>
          <w:sz w:val="32"/>
          <w:szCs w:val="32"/>
        </w:rPr>
        <w:t>6</w:t>
      </w:r>
      <w:r>
        <w:rPr>
          <w:rFonts w:hint="eastAsia" w:ascii="仿宋_GB2312" w:eastAsia="仿宋_GB2312" w:cs="仿宋_GB2312"/>
          <w:color w:val="auto"/>
          <w:kern w:val="2"/>
          <w:sz w:val="32"/>
          <w:szCs w:val="32"/>
          <w:highlight w:val="none"/>
          <w:lang w:val="en-US" w:eastAsia="zh-CN" w:bidi="ar-SA"/>
        </w:rPr>
        <w:t>批次，</w:t>
      </w:r>
      <w:r>
        <w:rPr>
          <w:rFonts w:hint="eastAsia" w:ascii="仿宋_GB2312" w:eastAsia="仿宋_GB2312" w:cs="仿宋_GB2312"/>
          <w:sz w:val="32"/>
          <w:szCs w:val="32"/>
        </w:rPr>
        <w:t>38</w:t>
      </w:r>
      <w:r>
        <w:rPr>
          <w:rFonts w:hint="eastAsia" w:ascii="Times New Roman" w:hAnsi="Times New Roman" w:eastAsia="仿宋_GB2312" w:cs="仿宋_GB2312"/>
          <w:color w:val="auto"/>
          <w:kern w:val="2"/>
          <w:sz w:val="32"/>
          <w:szCs w:val="32"/>
          <w:highlight w:val="none"/>
          <w:lang w:val="en-US" w:eastAsia="zh-CN" w:bidi="ar-SA"/>
        </w:rPr>
        <w:t>人次（不包括陪同人员），共计支出</w:t>
      </w:r>
      <w:r>
        <w:rPr>
          <w:rFonts w:hint="eastAsia" w:eastAsia="仿宋_GB2312" w:cs="仿宋_GB2312"/>
          <w:color w:val="auto"/>
          <w:kern w:val="2"/>
          <w:sz w:val="32"/>
          <w:szCs w:val="32"/>
          <w:highlight w:val="none"/>
          <w:lang w:val="en-US" w:eastAsia="zh-CN" w:bidi="ar-SA"/>
        </w:rPr>
        <w:t>0.48</w:t>
      </w:r>
      <w:r>
        <w:rPr>
          <w:rFonts w:hint="eastAsia" w:ascii="Times New Roman" w:hAnsi="Times New Roman" w:eastAsia="仿宋_GB2312" w:cs="仿宋_GB2312"/>
          <w:color w:val="auto"/>
          <w:kern w:val="2"/>
          <w:sz w:val="32"/>
          <w:szCs w:val="32"/>
          <w:highlight w:val="none"/>
          <w:lang w:val="en-US" w:eastAsia="zh-CN" w:bidi="ar-SA"/>
        </w:rPr>
        <w:t>万元，具体内容包</w:t>
      </w:r>
      <w:r>
        <w:rPr>
          <w:rFonts w:hint="eastAsia" w:ascii="仿宋_GB2312" w:eastAsia="仿宋_GB2312" w:cs="仿宋_GB2312"/>
          <w:color w:val="auto"/>
          <w:kern w:val="2"/>
          <w:sz w:val="32"/>
          <w:szCs w:val="32"/>
          <w:highlight w:val="none"/>
          <w:lang w:val="en-US" w:eastAsia="zh-CN" w:bidi="ar-SA"/>
        </w:rPr>
        <w:t>括：接待上级部门到我局调研和考察等开支0.3</w:t>
      </w:r>
      <w:r>
        <w:rPr>
          <w:rFonts w:hint="default" w:ascii="仿宋_GB2312" w:eastAsia="仿宋_GB2312" w:cs="仿宋_GB2312"/>
          <w:color w:val="auto"/>
          <w:kern w:val="2"/>
          <w:sz w:val="32"/>
          <w:szCs w:val="32"/>
          <w:highlight w:val="none"/>
          <w:lang w:val="en-US" w:eastAsia="zh-CN" w:bidi="ar-SA"/>
        </w:rPr>
        <w:t xml:space="preserve"> </w:t>
      </w:r>
      <w:r>
        <w:rPr>
          <w:rFonts w:hint="eastAsia" w:ascii="仿宋_GB2312" w:eastAsia="仿宋_GB2312" w:cs="仿宋_GB2312"/>
          <w:color w:val="auto"/>
          <w:kern w:val="2"/>
          <w:sz w:val="32"/>
          <w:szCs w:val="32"/>
          <w:highlight w:val="none"/>
          <w:lang w:val="en-US" w:eastAsia="zh-CN" w:bidi="ar-SA"/>
        </w:rPr>
        <w:t>万元；接待同级部门学习、交叉交流等开支 0.18万元</w:t>
      </w:r>
      <w:r>
        <w:rPr>
          <w:rFonts w:ascii="仿宋_GB2312" w:hAnsi="仿宋_GB2312" w:eastAsia="仿宋_GB2312" w:cs="仿宋_GB2312"/>
          <w:color w:val="000000"/>
          <w:kern w:val="0"/>
          <w:sz w:val="31"/>
          <w:szCs w:val="31"/>
          <w:lang w:val="en-US" w:eastAsia="zh-CN" w:bidi="ar"/>
        </w:rPr>
        <w:t>。</w:t>
      </w:r>
    </w:p>
    <w:p w14:paraId="0D9DA61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外事接待支</w:t>
      </w:r>
      <w:r>
        <w:rPr>
          <w:rFonts w:hint="eastAsia" w:ascii="仿宋_GB2312" w:eastAsia="仿宋_GB2312" w:cs="仿宋_GB2312"/>
          <w:color w:val="auto"/>
          <w:kern w:val="2"/>
          <w:sz w:val="32"/>
          <w:szCs w:val="32"/>
          <w:highlight w:val="none"/>
          <w:lang w:val="en-US" w:eastAsia="zh-CN" w:bidi="ar-SA"/>
        </w:rPr>
        <w:t>出</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万元</w:t>
      </w:r>
      <w:bookmarkStart w:id="42" w:name="_Toc15396610"/>
      <w:bookmarkStart w:id="43" w:name="_Toc15377218"/>
      <w:r>
        <w:rPr>
          <w:rFonts w:hint="eastAsia" w:ascii="仿宋_GB2312" w:eastAsia="仿宋_GB2312" w:cs="仿宋_GB2312"/>
          <w:color w:val="auto"/>
          <w:kern w:val="2"/>
          <w:sz w:val="32"/>
          <w:szCs w:val="32"/>
          <w:highlight w:val="none"/>
          <w:lang w:val="en-US" w:eastAsia="zh-CN" w:bidi="ar-SA"/>
        </w:rPr>
        <w:t>。</w:t>
      </w:r>
    </w:p>
    <w:p w14:paraId="4418A5FF">
      <w:pPr>
        <w:spacing w:line="600" w:lineRule="exact"/>
        <w:ind w:firstLine="640"/>
        <w:outlineLvl w:val="1"/>
        <w:rPr>
          <w:rStyle w:val="21"/>
          <w:rFonts w:ascii="Times New Roman" w:hAnsi="Times New Roman" w:eastAsia="黑体"/>
          <w:color w:val="auto"/>
          <w:highlight w:val="none"/>
        </w:rPr>
      </w:pPr>
      <w:r>
        <w:rPr>
          <w:rFonts w:hint="eastAsia" w:ascii="Times New Roman" w:hAnsi="Times New Roman" w:eastAsia="黑体"/>
          <w:color w:val="auto"/>
          <w:sz w:val="32"/>
          <w:szCs w:val="32"/>
          <w:highlight w:val="none"/>
        </w:rPr>
        <w:t>八、</w:t>
      </w:r>
      <w:r>
        <w:rPr>
          <w:rStyle w:val="21"/>
          <w:rFonts w:hint="eastAsia" w:ascii="Times New Roman" w:hAnsi="Times New Roman" w:eastAsia="黑体"/>
          <w:b w:val="0"/>
          <w:color w:val="auto"/>
          <w:highlight w:val="none"/>
        </w:rPr>
        <w:t>政府性基金预算支出决算情况说明</w:t>
      </w:r>
      <w:bookmarkEnd w:id="42"/>
      <w:bookmarkEnd w:id="43"/>
    </w:p>
    <w:p w14:paraId="1709E4DF">
      <w:pPr>
        <w:keepNext w:val="0"/>
        <w:keepLines w:val="0"/>
        <w:widowControl/>
        <w:suppressLineNumbers w:val="0"/>
        <w:ind w:firstLine="620" w:firstLineChars="200"/>
        <w:jc w:val="left"/>
      </w:pPr>
      <w:bookmarkStart w:id="44" w:name="_Toc15377219"/>
      <w:bookmarkStart w:id="45" w:name="_Toc15396611"/>
      <w:r>
        <w:rPr>
          <w:rFonts w:hint="default" w:ascii="Times New Roman" w:hAnsi="Times New Roman" w:eastAsia="宋体" w:cs="Times New Roman"/>
          <w:color w:val="000000"/>
          <w:kern w:val="0"/>
          <w:sz w:val="31"/>
          <w:szCs w:val="31"/>
          <w:lang w:val="en-US" w:eastAsia="zh-CN" w:bidi="ar"/>
        </w:rPr>
        <w:t xml:space="preserve">2024 </w:t>
      </w:r>
      <w:r>
        <w:rPr>
          <w:rFonts w:ascii="仿宋_GB2312" w:hAnsi="仿宋_GB2312" w:eastAsia="仿宋_GB2312" w:cs="仿宋_GB2312"/>
          <w:color w:val="000000"/>
          <w:kern w:val="0"/>
          <w:sz w:val="31"/>
          <w:szCs w:val="31"/>
          <w:lang w:val="en-US" w:eastAsia="zh-CN" w:bidi="ar"/>
        </w:rPr>
        <w:t xml:space="preserve">年度政府性基金预算财政拨款支出 </w:t>
      </w:r>
      <w:r>
        <w:rPr>
          <w:rFonts w:hint="default" w:ascii="Times New Roman" w:hAnsi="Times New Roman" w:eastAsia="宋体" w:cs="Times New Roman"/>
          <w:color w:val="000000"/>
          <w:kern w:val="0"/>
          <w:sz w:val="31"/>
          <w:szCs w:val="31"/>
          <w:lang w:val="en-US" w:eastAsia="zh-CN" w:bidi="ar"/>
        </w:rPr>
        <w:t xml:space="preserve">0 </w:t>
      </w:r>
      <w:r>
        <w:rPr>
          <w:rFonts w:ascii="仿宋_GB2312" w:hAnsi="仿宋_GB2312" w:eastAsia="仿宋_GB2312" w:cs="仿宋_GB2312"/>
          <w:color w:val="000000"/>
          <w:kern w:val="0"/>
          <w:sz w:val="31"/>
          <w:szCs w:val="31"/>
          <w:lang w:val="en-US" w:eastAsia="zh-CN" w:bidi="ar"/>
        </w:rPr>
        <w:t>万元。</w:t>
      </w:r>
    </w:p>
    <w:p w14:paraId="0DFBB7C8">
      <w:pPr>
        <w:numPr>
          <w:ilvl w:val="0"/>
          <w:numId w:val="5"/>
        </w:numPr>
        <w:spacing w:line="600" w:lineRule="exact"/>
        <w:ind w:left="630"/>
        <w:outlineLvl w:val="1"/>
        <w:rPr>
          <w:rStyle w:val="21"/>
          <w:rFonts w:hint="eastAsia" w:ascii="Times New Roman" w:hAnsi="Times New Roman" w:eastAsia="黑体"/>
          <w:b w:val="0"/>
          <w:color w:val="auto"/>
          <w:highlight w:val="none"/>
        </w:rPr>
      </w:pPr>
      <w:r>
        <w:rPr>
          <w:rStyle w:val="21"/>
          <w:rFonts w:hint="eastAsia" w:ascii="Times New Roman" w:hAnsi="Times New Roman" w:eastAsia="黑体"/>
          <w:b w:val="0"/>
          <w:color w:val="auto"/>
          <w:highlight w:val="none"/>
        </w:rPr>
        <w:t>国有资本经营预算支出决算情况说明</w:t>
      </w:r>
      <w:bookmarkEnd w:id="44"/>
      <w:bookmarkEnd w:id="45"/>
    </w:p>
    <w:p w14:paraId="51342D78">
      <w:pPr>
        <w:keepNext w:val="0"/>
        <w:keepLines w:val="0"/>
        <w:widowControl/>
        <w:suppressLineNumbers w:val="0"/>
        <w:ind w:firstLine="620" w:firstLineChars="200"/>
        <w:jc w:val="left"/>
        <w:rPr>
          <w:rStyle w:val="21"/>
          <w:rFonts w:hint="eastAsia" w:ascii="Times New Roman" w:hAnsi="Times New Roman" w:eastAsia="黑体"/>
          <w:b w:val="0"/>
          <w:color w:val="auto"/>
          <w:highlight w:val="none"/>
        </w:rPr>
      </w:pPr>
      <w:r>
        <w:rPr>
          <w:rFonts w:hint="default" w:ascii="Times New Roman" w:hAnsi="Times New Roman" w:eastAsia="宋体" w:cs="Times New Roman"/>
          <w:color w:val="000000"/>
          <w:kern w:val="0"/>
          <w:sz w:val="31"/>
          <w:szCs w:val="31"/>
          <w:lang w:val="en-US" w:eastAsia="zh-CN" w:bidi="ar"/>
        </w:rPr>
        <w:t xml:space="preserve">2024 </w:t>
      </w:r>
      <w:r>
        <w:rPr>
          <w:rFonts w:ascii="仿宋_GB2312" w:hAnsi="仿宋_GB2312" w:eastAsia="仿宋_GB2312" w:cs="仿宋_GB2312"/>
          <w:color w:val="000000"/>
          <w:kern w:val="0"/>
          <w:sz w:val="31"/>
          <w:szCs w:val="31"/>
          <w:lang w:val="en-US" w:eastAsia="zh-CN" w:bidi="ar"/>
        </w:rPr>
        <w:t xml:space="preserve">年度国有资本经营预算财政拨款支出 </w:t>
      </w:r>
      <w:r>
        <w:rPr>
          <w:rFonts w:hint="default" w:ascii="Times New Roman" w:hAnsi="Times New Roman" w:eastAsia="宋体" w:cs="Times New Roman"/>
          <w:color w:val="000000"/>
          <w:kern w:val="0"/>
          <w:sz w:val="31"/>
          <w:szCs w:val="31"/>
          <w:lang w:val="en-US" w:eastAsia="zh-CN" w:bidi="ar"/>
        </w:rPr>
        <w:t xml:space="preserve">0 </w:t>
      </w:r>
      <w:r>
        <w:rPr>
          <w:rFonts w:ascii="仿宋_GB2312" w:hAnsi="仿宋_GB2312" w:eastAsia="仿宋_GB2312" w:cs="仿宋_GB2312"/>
          <w:color w:val="000000"/>
          <w:kern w:val="0"/>
          <w:sz w:val="31"/>
          <w:szCs w:val="31"/>
          <w:lang w:val="en-US" w:eastAsia="zh-CN" w:bidi="ar"/>
        </w:rPr>
        <w:t>万元。</w:t>
      </w:r>
    </w:p>
    <w:p w14:paraId="47E31AD8">
      <w:pPr>
        <w:spacing w:line="600" w:lineRule="exact"/>
        <w:ind w:left="630"/>
        <w:outlineLvl w:val="1"/>
        <w:rPr>
          <w:rStyle w:val="21"/>
          <w:rFonts w:hint="eastAsia" w:ascii="Times New Roman" w:hAnsi="Times New Roman" w:eastAsia="黑体"/>
          <w:b w:val="0"/>
          <w:color w:val="auto"/>
          <w:highlight w:val="none"/>
        </w:rPr>
      </w:pPr>
      <w:bookmarkStart w:id="46" w:name="_Toc15377221"/>
      <w:bookmarkStart w:id="47" w:name="_Toc15396612"/>
      <w:r>
        <w:rPr>
          <w:rStyle w:val="21"/>
          <w:rFonts w:hint="eastAsia" w:ascii="Times New Roman" w:hAnsi="Times New Roman" w:eastAsia="黑体"/>
          <w:b w:val="0"/>
          <w:color w:val="auto"/>
          <w:highlight w:val="none"/>
          <w:lang w:eastAsia="zh-CN"/>
        </w:rPr>
        <w:t>十、</w:t>
      </w:r>
      <w:r>
        <w:rPr>
          <w:rStyle w:val="21"/>
          <w:rFonts w:hint="eastAsia" w:ascii="Times New Roman" w:hAnsi="Times New Roman" w:eastAsia="黑体"/>
          <w:b w:val="0"/>
          <w:color w:val="auto"/>
          <w:highlight w:val="none"/>
        </w:rPr>
        <w:t>其他重要事项的情况说明</w:t>
      </w:r>
      <w:bookmarkEnd w:id="46"/>
      <w:bookmarkEnd w:id="47"/>
    </w:p>
    <w:p w14:paraId="23F17E50">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8" w:name="_Toc15377222"/>
      <w:r>
        <w:rPr>
          <w:rFonts w:hint="eastAsia" w:ascii="Times New Roman" w:hAnsi="Times New Roman" w:eastAsia="楷体_GB2312" w:cs="楷体_GB2312"/>
          <w:b/>
          <w:color w:val="auto"/>
          <w:sz w:val="32"/>
          <w:szCs w:val="32"/>
          <w:highlight w:val="none"/>
        </w:rPr>
        <w:t>（一）机关运行经费支出情况</w:t>
      </w:r>
      <w:bookmarkEnd w:id="48"/>
    </w:p>
    <w:p w14:paraId="2A953506">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eastAsia="仿宋_GB2312" w:cs="仿宋_GB2312"/>
          <w:color w:val="auto"/>
          <w:kern w:val="2"/>
          <w:sz w:val="32"/>
          <w:szCs w:val="32"/>
          <w:highlight w:val="none"/>
          <w:lang w:val="en-US" w:eastAsia="zh-CN" w:bidi="ar-SA"/>
        </w:rPr>
        <w:t>，</w:t>
      </w:r>
      <w:r>
        <w:rPr>
          <w:rFonts w:hint="eastAsia" w:ascii="仿宋_GB2312" w:eastAsia="仿宋_GB2312" w:cs="仿宋_GB2312"/>
          <w:sz w:val="32"/>
          <w:szCs w:val="32"/>
        </w:rPr>
        <w:t>阿坝藏族羌族自治州人力资源和社会保障局</w:t>
      </w:r>
      <w:r>
        <w:rPr>
          <w:rFonts w:hint="eastAsia" w:ascii="仿宋_GB2312" w:eastAsia="仿宋_GB2312" w:cs="仿宋_GB2312"/>
          <w:color w:val="auto"/>
          <w:kern w:val="2"/>
          <w:sz w:val="32"/>
          <w:szCs w:val="32"/>
          <w:highlight w:val="none"/>
          <w:lang w:val="en-US" w:eastAsia="zh-CN" w:bidi="ar-SA"/>
        </w:rPr>
        <w:t>机关运行经费支出</w:t>
      </w:r>
      <w:r>
        <w:rPr>
          <w:rFonts w:hint="eastAsia" w:ascii="仿宋_GB2312" w:eastAsia="仿宋_GB2312" w:cs="仿宋_GB2312"/>
          <w:sz w:val="32"/>
          <w:szCs w:val="32"/>
        </w:rPr>
        <w:t>321.58</w:t>
      </w:r>
      <w:r>
        <w:rPr>
          <w:rFonts w:hint="eastAsia" w:asci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元，比2023年度增加</w:t>
      </w:r>
      <w:r>
        <w:rPr>
          <w:rFonts w:hint="eastAsia" w:eastAsia="仿宋_GB2312" w:cs="仿宋_GB2312"/>
          <w:color w:val="auto"/>
          <w:kern w:val="2"/>
          <w:sz w:val="32"/>
          <w:szCs w:val="32"/>
          <w:highlight w:val="none"/>
          <w:lang w:val="en-US" w:eastAsia="zh-CN" w:bidi="ar-SA"/>
        </w:rPr>
        <w:t>81.47</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33.93</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ascii="仿宋_GB2312" w:eastAsia="仿宋_GB2312"/>
          <w:color w:val="auto"/>
          <w:sz w:val="32"/>
          <w:szCs w:val="32"/>
          <w:highlight w:val="none"/>
        </w:rPr>
        <w:t>调研、出差等工作次数增加，导致日常公用经</w:t>
      </w:r>
      <w:r>
        <w:rPr>
          <w:rFonts w:hint="eastAsia" w:ascii="仿宋_GB2312" w:eastAsia="仿宋_GB2312"/>
          <w:color w:val="auto"/>
          <w:sz w:val="32"/>
          <w:szCs w:val="32"/>
          <w:highlight w:val="none"/>
          <w:lang w:val="en-US" w:eastAsia="zh-CN"/>
        </w:rPr>
        <w:t>费</w:t>
      </w:r>
      <w:r>
        <w:rPr>
          <w:rFonts w:hint="eastAsia" w:ascii="仿宋_GB2312" w:eastAsia="仿宋_GB2312"/>
          <w:color w:val="auto"/>
          <w:sz w:val="32"/>
          <w:szCs w:val="32"/>
          <w:highlight w:val="none"/>
        </w:rPr>
        <w:t>增加。</w:t>
      </w:r>
    </w:p>
    <w:p w14:paraId="29BAEA1A">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9" w:name="_Toc15377223"/>
      <w:r>
        <w:rPr>
          <w:rFonts w:hint="eastAsia" w:ascii="Times New Roman" w:hAnsi="Times New Roman" w:eastAsia="楷体_GB2312" w:cs="楷体_GB2312"/>
          <w:b/>
          <w:color w:val="auto"/>
          <w:sz w:val="32"/>
          <w:szCs w:val="32"/>
          <w:highlight w:val="none"/>
        </w:rPr>
        <w:t>（二）政府采购支出情况</w:t>
      </w:r>
      <w:bookmarkEnd w:id="49"/>
    </w:p>
    <w:p w14:paraId="5B6A9D5D">
      <w:pPr>
        <w:keepNext w:val="0"/>
        <w:keepLines w:val="0"/>
        <w:widowControl/>
        <w:suppressLineNumbers w:val="0"/>
        <w:jc w:val="left"/>
        <w:rPr>
          <w:rFonts w:hint="default"/>
          <w:lang w:val="en-US"/>
        </w:rPr>
      </w:pPr>
      <w:r>
        <w:rPr>
          <w:rFonts w:hint="eastAsia" w:ascii="仿宋_GB2312" w:eastAsia="仿宋_GB2312" w:cs="仿宋_GB2312"/>
          <w:color w:val="auto"/>
          <w:kern w:val="2"/>
          <w:sz w:val="32"/>
          <w:szCs w:val="32"/>
          <w:highlight w:val="none"/>
          <w:lang w:val="en-US" w:eastAsia="zh-CN" w:bidi="ar-SA"/>
        </w:rPr>
        <w:t>2024年度，</w:t>
      </w:r>
      <w:r>
        <w:rPr>
          <w:rFonts w:hint="eastAsia" w:ascii="仿宋_GB2312" w:eastAsia="仿宋_GB2312" w:cs="仿宋_GB2312"/>
          <w:sz w:val="32"/>
          <w:szCs w:val="32"/>
        </w:rPr>
        <w:t>阿坝藏族羌族自治州人力资源和社会保障局</w:t>
      </w:r>
      <w:r>
        <w:rPr>
          <w:rFonts w:hint="eastAsia" w:ascii="仿宋_GB2312" w:eastAsia="仿宋_GB2312" w:cs="仿宋_GB2312"/>
          <w:color w:val="auto"/>
          <w:kern w:val="2"/>
          <w:sz w:val="32"/>
          <w:szCs w:val="32"/>
          <w:highlight w:val="none"/>
          <w:lang w:val="en-US" w:eastAsia="zh-CN" w:bidi="ar-SA"/>
        </w:rPr>
        <w:t>政府采购支出总额</w:t>
      </w:r>
      <w:r>
        <w:rPr>
          <w:rFonts w:hint="eastAsia" w:ascii="仿宋_GB2312" w:eastAsia="仿宋_GB2312" w:cs="仿宋_GB2312"/>
          <w:sz w:val="32"/>
          <w:szCs w:val="32"/>
        </w:rPr>
        <w:t>296.7</w:t>
      </w:r>
      <w:r>
        <w:rPr>
          <w:rFonts w:hint="eastAsia" w:ascii="仿宋_GB2312" w:eastAsia="仿宋_GB2312" w:cs="仿宋_GB2312"/>
          <w:color w:val="auto"/>
          <w:kern w:val="2"/>
          <w:sz w:val="32"/>
          <w:szCs w:val="32"/>
          <w:highlight w:val="none"/>
          <w:lang w:val="en-US" w:eastAsia="zh-CN" w:bidi="ar-SA"/>
        </w:rPr>
        <w:t>万元，其中：政府采购货物支出</w:t>
      </w:r>
      <w:r>
        <w:rPr>
          <w:rFonts w:hint="eastAsia" w:ascii="仿宋_GB2312" w:eastAsia="仿宋_GB2312" w:cs="仿宋_GB2312"/>
          <w:sz w:val="32"/>
          <w:szCs w:val="32"/>
        </w:rPr>
        <w:t>72.89</w:t>
      </w:r>
      <w:r>
        <w:rPr>
          <w:rFonts w:hint="eastAsia" w:ascii="仿宋_GB2312" w:eastAsia="仿宋_GB2312" w:cs="仿宋_GB2312"/>
          <w:color w:val="auto"/>
          <w:kern w:val="2"/>
          <w:sz w:val="32"/>
          <w:szCs w:val="32"/>
          <w:highlight w:val="none"/>
          <w:lang w:val="en-US" w:eastAsia="zh-CN" w:bidi="ar-SA"/>
        </w:rPr>
        <w:t>万元、政府采购工程支出</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万元、政府采购服务支出</w:t>
      </w:r>
      <w:r>
        <w:rPr>
          <w:rFonts w:hint="eastAsia" w:ascii="仿宋_GB2312" w:eastAsia="仿宋_GB2312" w:cs="仿宋_GB2312"/>
          <w:sz w:val="32"/>
          <w:szCs w:val="32"/>
        </w:rPr>
        <w:t>223.8</w:t>
      </w:r>
      <w:r>
        <w:rPr>
          <w:rFonts w:hint="eastAsia" w:ascii="仿宋_GB2312" w:eastAsia="仿宋_GB2312" w:cs="仿宋_GB2312"/>
          <w:color w:val="auto"/>
          <w:kern w:val="2"/>
          <w:sz w:val="32"/>
          <w:szCs w:val="32"/>
          <w:highlight w:val="none"/>
          <w:lang w:val="en-US" w:eastAsia="zh-CN" w:bidi="ar-SA"/>
        </w:rPr>
        <w:t>万元。主要用于</w:t>
      </w:r>
      <w:r>
        <w:rPr>
          <w:rFonts w:ascii="仿宋_GB2312" w:hAnsi="仿宋_GB2312" w:eastAsia="仿宋_GB2312" w:cs="仿宋_GB2312"/>
          <w:color w:val="000000"/>
          <w:kern w:val="0"/>
          <w:sz w:val="31"/>
          <w:szCs w:val="31"/>
          <w:lang w:val="en-US" w:eastAsia="zh-CN" w:bidi="ar"/>
        </w:rPr>
        <w:t>单位办公设备购置</w:t>
      </w:r>
      <w:r>
        <w:rPr>
          <w:rFonts w:hint="eastAsia" w:ascii="仿宋_GB2312" w:hAnsi="仿宋_GB2312" w:eastAsia="仿宋_GB2312" w:cs="仿宋_GB2312"/>
          <w:color w:val="000000"/>
          <w:kern w:val="0"/>
          <w:sz w:val="31"/>
          <w:szCs w:val="31"/>
          <w:lang w:val="en-US" w:eastAsia="zh-CN" w:bidi="ar"/>
        </w:rPr>
        <w:t>、</w:t>
      </w:r>
      <w:r>
        <w:rPr>
          <w:rFonts w:ascii="仿宋_GB2312" w:hAnsi="仿宋_GB2312" w:eastAsia="仿宋_GB2312" w:cs="仿宋_GB2312"/>
          <w:color w:val="000000"/>
          <w:kern w:val="0"/>
          <w:sz w:val="31"/>
          <w:szCs w:val="31"/>
          <w:lang w:val="en-US" w:eastAsia="zh-CN" w:bidi="ar"/>
        </w:rPr>
        <w:t>公务用车维修保险</w:t>
      </w:r>
      <w:r>
        <w:rPr>
          <w:rFonts w:hint="eastAsia" w:ascii="仿宋_GB2312" w:hAnsi="仿宋_GB2312" w:eastAsia="仿宋_GB2312" w:cs="仿宋_GB2312"/>
          <w:color w:val="000000"/>
          <w:kern w:val="0"/>
          <w:sz w:val="31"/>
          <w:szCs w:val="31"/>
          <w:lang w:val="en-US" w:eastAsia="zh-CN" w:bidi="ar"/>
        </w:rPr>
        <w:t>、主干网络线路租赁、单位数据库核心设备维护保养、数据中心机房蓄电池采购、视频会议系统维护保养服务、阿坝州惠民惠农“一卡通”发放监管平台和阳光审批平台运行维护保养服务项目等。</w:t>
      </w:r>
    </w:p>
    <w:p w14:paraId="3D67C372">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eastAsia="仿宋_GB2312" w:cs="仿宋_GB2312"/>
          <w:color w:val="auto"/>
          <w:kern w:val="2"/>
          <w:sz w:val="32"/>
          <w:szCs w:val="32"/>
          <w:highlight w:val="none"/>
          <w:lang w:val="en-US" w:eastAsia="zh-CN" w:bidi="ar-SA"/>
        </w:rPr>
        <w:t>授予中小企业合同金额</w:t>
      </w:r>
      <w:r>
        <w:rPr>
          <w:rFonts w:hint="eastAsia" w:ascii="仿宋_GB2312" w:eastAsia="仿宋_GB2312" w:cs="仿宋_GB2312"/>
          <w:sz w:val="32"/>
          <w:szCs w:val="32"/>
        </w:rPr>
        <w:t>7.6</w:t>
      </w:r>
      <w:r>
        <w:rPr>
          <w:rFonts w:hint="eastAsia" w:ascii="仿宋_GB2312" w:eastAsia="仿宋_GB2312" w:cs="仿宋_GB2312"/>
          <w:color w:val="auto"/>
          <w:kern w:val="2"/>
          <w:sz w:val="32"/>
          <w:szCs w:val="32"/>
          <w:highlight w:val="none"/>
          <w:lang w:val="en-US" w:eastAsia="zh-CN" w:bidi="ar-SA"/>
        </w:rPr>
        <w:t>万元，占政府采购支出总额的</w:t>
      </w:r>
      <w:r>
        <w:rPr>
          <w:rFonts w:hint="eastAsia" w:ascii="仿宋_GB2312" w:eastAsia="仿宋_GB2312" w:cs="仿宋_GB2312"/>
          <w:sz w:val="32"/>
          <w:szCs w:val="32"/>
        </w:rPr>
        <w:t>2.55</w:t>
      </w:r>
      <w:r>
        <w:rPr>
          <w:rFonts w:hint="eastAsia" w:ascii="仿宋_GB2312" w:eastAsia="仿宋_GB2312" w:cs="仿宋_GB2312"/>
          <w:color w:val="auto"/>
          <w:kern w:val="2"/>
          <w:sz w:val="32"/>
          <w:szCs w:val="32"/>
          <w:highlight w:val="none"/>
          <w:lang w:val="en-US" w:eastAsia="zh-CN" w:bidi="ar-SA"/>
        </w:rPr>
        <w:t>%，其中：授予小微企业合同金额</w:t>
      </w:r>
      <w:r>
        <w:rPr>
          <w:rFonts w:hint="eastAsia" w:ascii="仿宋_GB2312" w:eastAsia="仿宋_GB2312" w:cs="仿宋_GB2312"/>
          <w:sz w:val="32"/>
          <w:szCs w:val="32"/>
        </w:rPr>
        <w:t>7.6</w:t>
      </w:r>
      <w:r>
        <w:rPr>
          <w:rFonts w:hint="eastAsia" w:ascii="仿宋_GB2312" w:eastAsia="仿宋_GB2312" w:cs="仿宋_GB2312"/>
          <w:color w:val="auto"/>
          <w:kern w:val="2"/>
          <w:sz w:val="32"/>
          <w:szCs w:val="32"/>
          <w:highlight w:val="none"/>
          <w:lang w:val="en-US" w:eastAsia="zh-CN" w:bidi="ar-SA"/>
        </w:rPr>
        <w:t>万元，占政府采购支出总额的</w:t>
      </w:r>
      <w:r>
        <w:rPr>
          <w:rFonts w:hint="eastAsia" w:ascii="仿宋_GB2312" w:eastAsia="仿宋_GB2312" w:cs="仿宋_GB2312"/>
          <w:sz w:val="32"/>
          <w:szCs w:val="32"/>
        </w:rPr>
        <w:t>2.55</w:t>
      </w:r>
      <w:r>
        <w:rPr>
          <w:rFonts w:hint="eastAsia" w:ascii="仿宋_GB2312" w:eastAsia="仿宋_GB2312" w:cs="仿宋_GB2312"/>
          <w:color w:val="auto"/>
          <w:kern w:val="2"/>
          <w:sz w:val="32"/>
          <w:szCs w:val="32"/>
          <w:highlight w:val="none"/>
          <w:lang w:val="en-US" w:eastAsia="zh-CN" w:bidi="ar-SA"/>
        </w:rPr>
        <w:t>%。</w:t>
      </w:r>
    </w:p>
    <w:p w14:paraId="4FCC8B71">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0" w:name="_Toc15377224"/>
      <w:r>
        <w:rPr>
          <w:rFonts w:hint="eastAsia" w:ascii="Times New Roman" w:hAnsi="Times New Roman" w:eastAsia="楷体_GB2312" w:cs="楷体_GB2312"/>
          <w:b/>
          <w:color w:val="auto"/>
          <w:sz w:val="32"/>
          <w:szCs w:val="32"/>
          <w:highlight w:val="none"/>
        </w:rPr>
        <w:t>（三）国有资产占有使用情况</w:t>
      </w:r>
      <w:bookmarkEnd w:id="50"/>
    </w:p>
    <w:p w14:paraId="660D9617">
      <w:pPr>
        <w:keepNext w:val="0"/>
        <w:keepLines w:val="0"/>
        <w:widowControl/>
        <w:suppressLineNumbers w:val="0"/>
        <w:jc w:val="left"/>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eastAsia="仿宋_GB2312" w:cs="仿宋_GB2312"/>
          <w:color w:val="auto"/>
          <w:kern w:val="2"/>
          <w:sz w:val="32"/>
          <w:szCs w:val="32"/>
          <w:highlight w:val="none"/>
          <w:lang w:val="en-US" w:eastAsia="zh-CN" w:bidi="ar-SA"/>
        </w:rPr>
        <w:t>截至2024年12月31日，</w:t>
      </w:r>
      <w:r>
        <w:rPr>
          <w:rFonts w:hint="eastAsia" w:ascii="仿宋_GB2312" w:eastAsia="仿宋_GB2312" w:cs="仿宋_GB2312"/>
          <w:sz w:val="32"/>
          <w:szCs w:val="32"/>
        </w:rPr>
        <w:t>阿坝藏族羌族自治州人力资源和社会保障局</w:t>
      </w:r>
      <w:r>
        <w:rPr>
          <w:rFonts w:hint="eastAsia" w:ascii="仿宋_GB2312" w:eastAsia="仿宋_GB2312" w:cs="仿宋_GB2312"/>
          <w:color w:val="auto"/>
          <w:kern w:val="2"/>
          <w:sz w:val="32"/>
          <w:szCs w:val="32"/>
          <w:highlight w:val="none"/>
          <w:lang w:val="en-US" w:eastAsia="zh-CN" w:bidi="ar-SA"/>
        </w:rPr>
        <w:t>共有车辆</w:t>
      </w:r>
      <w:r>
        <w:rPr>
          <w:rFonts w:hint="eastAsia" w:ascii="仿宋_GB2312" w:eastAsia="仿宋_GB2312" w:cs="仿宋_GB2312"/>
          <w:sz w:val="32"/>
          <w:szCs w:val="32"/>
        </w:rPr>
        <w:t>8</w:t>
      </w:r>
      <w:r>
        <w:rPr>
          <w:rFonts w:hint="eastAsia" w:ascii="仿宋_GB2312" w:eastAsia="仿宋_GB2312" w:cs="仿宋_GB2312"/>
          <w:color w:val="auto"/>
          <w:kern w:val="2"/>
          <w:sz w:val="32"/>
          <w:szCs w:val="32"/>
          <w:highlight w:val="none"/>
          <w:lang w:val="en-US" w:eastAsia="zh-CN" w:bidi="ar-SA"/>
        </w:rPr>
        <w:t>辆，其中：主要负责人用车</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辆、机要通信用车</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辆、应急保障用车</w:t>
      </w:r>
      <w:r>
        <w:rPr>
          <w:rFonts w:hint="eastAsia" w:ascii="仿宋_GB2312" w:eastAsia="仿宋_GB2312" w:cs="仿宋_GB2312"/>
          <w:sz w:val="32"/>
          <w:szCs w:val="32"/>
        </w:rPr>
        <w:t>8</w:t>
      </w:r>
      <w:r>
        <w:rPr>
          <w:rFonts w:hint="eastAsia" w:ascii="仿宋_GB2312" w:eastAsia="仿宋_GB2312" w:cs="仿宋_GB2312"/>
          <w:color w:val="auto"/>
          <w:kern w:val="2"/>
          <w:sz w:val="32"/>
          <w:szCs w:val="32"/>
          <w:highlight w:val="none"/>
          <w:lang w:val="en-US" w:eastAsia="zh-CN" w:bidi="ar-SA"/>
        </w:rPr>
        <w:t>辆、其他用车</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辆。单价100万元（含）以上设备（不含车辆）</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14:paraId="11CCF40A">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5377F14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根据预算绩效管理要求，</w:t>
      </w:r>
      <w:r>
        <w:rPr>
          <w:rFonts w:hint="eastAsia" w:ascii="仿宋_GB2312" w:hAnsi="仿宋_GB2312" w:eastAsia="仿宋_GB2312" w:cs="仿宋_GB2312"/>
          <w:color w:val="auto"/>
          <w:sz w:val="32"/>
          <w:szCs w:val="32"/>
          <w:highlight w:val="none"/>
          <w:lang w:val="en-US" w:eastAsia="zh-CN"/>
        </w:rPr>
        <w:t>本单位行政</w:t>
      </w:r>
      <w:r>
        <w:rPr>
          <w:rFonts w:hint="eastAsia" w:ascii="Times New Roman" w:hAnsi="Times New Roman" w:eastAsia="仿宋_GB2312" w:cs="仿宋_GB2312"/>
          <w:color w:val="auto"/>
          <w:kern w:val="2"/>
          <w:sz w:val="32"/>
          <w:szCs w:val="32"/>
          <w:highlight w:val="none"/>
          <w:lang w:val="en-US" w:eastAsia="zh-CN" w:bidi="ar-SA"/>
        </w:rPr>
        <w:t>在2024年度预算编制阶段，组织对</w:t>
      </w:r>
      <w:r>
        <w:rPr>
          <w:rFonts w:hint="eastAsia" w:ascii="仿宋_GB2312" w:hAnsi="仿宋_GB2312" w:eastAsia="仿宋_GB2312" w:cs="仿宋_GB2312"/>
          <w:color w:val="auto"/>
          <w:sz w:val="32"/>
          <w:szCs w:val="32"/>
          <w:highlight w:val="none"/>
          <w:lang w:eastAsia="zh-CN"/>
        </w:rPr>
        <w:t>人事考试工作经费</w:t>
      </w:r>
      <w:r>
        <w:rPr>
          <w:rFonts w:hint="eastAsia" w:ascii="Times New Roman" w:hAnsi="Times New Roman" w:eastAsia="仿宋_GB2312" w:cs="仿宋_GB2312"/>
          <w:color w:val="auto"/>
          <w:kern w:val="2"/>
          <w:sz w:val="32"/>
          <w:szCs w:val="32"/>
          <w:highlight w:val="none"/>
          <w:lang w:val="en-US" w:eastAsia="zh-CN" w:bidi="ar-SA"/>
        </w:rPr>
        <w:t>等</w:t>
      </w:r>
      <w:r>
        <w:rPr>
          <w:rFonts w:hint="eastAsia" w:eastAsia="仿宋_GB2312" w:cs="仿宋_GB2312"/>
          <w:color w:val="auto"/>
          <w:kern w:val="2"/>
          <w:sz w:val="32"/>
          <w:szCs w:val="32"/>
          <w:highlight w:val="none"/>
          <w:lang w:val="en-US" w:eastAsia="zh-CN" w:bidi="ar-SA"/>
        </w:rPr>
        <w:t>24</w:t>
      </w:r>
      <w:r>
        <w:rPr>
          <w:rFonts w:hint="eastAsia" w:ascii="Times New Roman" w:hAnsi="Times New Roman" w:eastAsia="仿宋_GB2312" w:cs="仿宋_GB2312"/>
          <w:color w:val="auto"/>
          <w:kern w:val="2"/>
          <w:sz w:val="32"/>
          <w:szCs w:val="32"/>
          <w:highlight w:val="none"/>
          <w:lang w:val="en-US" w:eastAsia="zh-CN" w:bidi="ar-SA"/>
        </w:rPr>
        <w:t>个项目开展了预算事前绩效评估，对</w:t>
      </w:r>
      <w:r>
        <w:rPr>
          <w:rFonts w:hint="eastAsia" w:eastAsia="仿宋_GB2312" w:cs="仿宋_GB2312"/>
          <w:color w:val="auto"/>
          <w:kern w:val="2"/>
          <w:sz w:val="32"/>
          <w:szCs w:val="32"/>
          <w:highlight w:val="none"/>
          <w:lang w:val="en-US" w:eastAsia="zh-CN" w:bidi="ar-SA"/>
        </w:rPr>
        <w:t>24</w:t>
      </w:r>
      <w:r>
        <w:rPr>
          <w:rFonts w:hint="eastAsia" w:ascii="Times New Roman" w:hAnsi="Times New Roman" w:eastAsia="仿宋_GB2312" w:cs="仿宋_GB2312"/>
          <w:color w:val="auto"/>
          <w:kern w:val="2"/>
          <w:sz w:val="32"/>
          <w:szCs w:val="32"/>
          <w:highlight w:val="none"/>
          <w:lang w:val="en-US" w:eastAsia="zh-CN" w:bidi="ar-SA"/>
        </w:rPr>
        <w:t>个项目编制了绩效目标，预算执行过程中，选取</w:t>
      </w:r>
      <w:r>
        <w:rPr>
          <w:rFonts w:hint="eastAsia" w:eastAsia="仿宋_GB2312" w:cs="仿宋_GB2312"/>
          <w:color w:val="auto"/>
          <w:kern w:val="2"/>
          <w:sz w:val="32"/>
          <w:szCs w:val="32"/>
          <w:highlight w:val="none"/>
          <w:lang w:val="en-US" w:eastAsia="zh-CN" w:bidi="ar-SA"/>
        </w:rPr>
        <w:t>24</w:t>
      </w:r>
      <w:r>
        <w:rPr>
          <w:rFonts w:hint="eastAsia" w:ascii="Times New Roman" w:hAnsi="Times New Roman" w:eastAsia="仿宋_GB2312" w:cs="仿宋_GB2312"/>
          <w:color w:val="auto"/>
          <w:kern w:val="2"/>
          <w:sz w:val="32"/>
          <w:szCs w:val="32"/>
          <w:highlight w:val="none"/>
          <w:lang w:val="en-US" w:eastAsia="zh-CN" w:bidi="ar-SA"/>
        </w:rPr>
        <w:t>个项目开展绩效监控。</w:t>
      </w:r>
    </w:p>
    <w:p w14:paraId="358C9361">
      <w:pPr>
        <w:keepNext w:val="0"/>
        <w:keepLines w:val="0"/>
        <w:widowControl/>
        <w:suppressLineNumbers w:val="0"/>
        <w:ind w:firstLine="640" w:firstLineChars="200"/>
        <w:jc w:val="lef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组织对2024年度一般公共预算、政府性基金预算、国有资本经营预算、社会保险基金预算以及资本资产、债券资金等全面开展绩效自评，形成</w:t>
      </w:r>
      <w:r>
        <w:rPr>
          <w:rFonts w:hint="eastAsia" w:ascii="仿宋_GB2312" w:hAnsi="仿宋_GB2312" w:eastAsia="仿宋_GB2312" w:cs="仿宋_GB2312"/>
          <w:color w:val="auto"/>
          <w:sz w:val="32"/>
          <w:szCs w:val="32"/>
          <w:highlight w:val="none"/>
          <w:lang w:val="en-US" w:eastAsia="zh-CN"/>
        </w:rPr>
        <w:t>州人社局</w:t>
      </w:r>
      <w:r>
        <w:rPr>
          <w:rFonts w:hint="eastAsia" w:ascii="Times New Roman" w:hAnsi="Times New Roman" w:eastAsia="仿宋_GB2312" w:cs="仿宋_GB2312"/>
          <w:color w:val="auto"/>
          <w:kern w:val="2"/>
          <w:sz w:val="32"/>
          <w:szCs w:val="32"/>
          <w:highlight w:val="none"/>
          <w:lang w:val="en-US" w:eastAsia="zh-CN" w:bidi="ar-SA"/>
        </w:rPr>
        <w:t>部门整体（含部门预算项目）绩效自评</w:t>
      </w:r>
      <w:r>
        <w:rPr>
          <w:rFonts w:hint="eastAsia" w:ascii="仿宋_GB2312" w:hAnsi="仿宋_GB2312" w:eastAsia="仿宋_GB2312" w:cs="仿宋_GB2312"/>
          <w:color w:val="auto"/>
          <w:sz w:val="32"/>
          <w:szCs w:val="32"/>
          <w:highlight w:val="none"/>
          <w:lang w:val="en-US" w:eastAsia="zh-CN"/>
        </w:rPr>
        <w:t>报人社局整体（含部门预算项目）绩效自评得分为88.23分，绩效自评综述我局各业务科室在</w:t>
      </w:r>
      <w:r>
        <w:rPr>
          <w:rFonts w:hint="eastAsia" w:ascii="Times New Roman" w:hAnsi="Times New Roman" w:eastAsia="仿宋_GB2312" w:cs="仿宋_GB2312"/>
          <w:color w:val="auto"/>
          <w:kern w:val="2"/>
          <w:sz w:val="32"/>
          <w:szCs w:val="32"/>
          <w:highlight w:val="none"/>
          <w:lang w:val="en-US" w:eastAsia="zh-CN" w:bidi="ar-SA"/>
        </w:rPr>
        <w:t>编报年度预算时严格按照要求设定项目绩效目标，并始终执行绩效目标要求。经财政对此审核调整，在年中及时对项目绩效目标进行调整，但由于些许项目涉及政府采购未能调整。同时按照相关财经纪律要求及时对我部门绩效评价在单位官网进行公开公示；绩效自评报告详见附件。</w:t>
      </w:r>
    </w:p>
    <w:p w14:paraId="0F995E8E">
      <w:pPr>
        <w:spacing w:line="600" w:lineRule="exact"/>
        <w:rPr>
          <w:rFonts w:hint="eastAsia" w:ascii="Times New Roman" w:hAnsi="Times New Roman" w:eastAsia="仿宋_GB2312" w:cs="仿宋_GB2312"/>
          <w:color w:val="auto"/>
          <w:kern w:val="2"/>
          <w:sz w:val="32"/>
          <w:szCs w:val="32"/>
          <w:highlight w:val="none"/>
          <w:lang w:val="en-US" w:eastAsia="zh-CN" w:bidi="ar-SA"/>
        </w:rPr>
      </w:pPr>
    </w:p>
    <w:p w14:paraId="41B197D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E2237C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4909C6BB">
      <w:pPr>
        <w:spacing w:line="600" w:lineRule="exact"/>
        <w:jc w:val="center"/>
        <w:outlineLvl w:val="0"/>
        <w:rPr>
          <w:rFonts w:hint="eastAsia" w:ascii="Times New Roman" w:hAnsi="Times New Roman" w:eastAsia="黑体"/>
          <w:color w:val="auto"/>
          <w:sz w:val="44"/>
          <w:szCs w:val="44"/>
          <w:highlight w:val="none"/>
        </w:rPr>
      </w:pPr>
      <w:bookmarkStart w:id="51" w:name="_Toc15396613"/>
      <w:bookmarkStart w:id="52" w:name="_Toc15377225"/>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51"/>
      <w:bookmarkEnd w:id="52"/>
    </w:p>
    <w:p w14:paraId="61BFE01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D4EF2E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53" w:name="_Toc15396614"/>
      <w:bookmarkStart w:id="54" w:name="_Toc15377226"/>
      <w:r>
        <w:rPr>
          <w:rFonts w:hint="eastAsia" w:ascii="Times New Roman" w:hAnsi="Times New Roman" w:eastAsia="仿宋_GB2312" w:cs="仿宋_GB2312"/>
          <w:color w:val="auto"/>
          <w:kern w:val="2"/>
          <w:sz w:val="32"/>
          <w:szCs w:val="32"/>
          <w:highlight w:val="none"/>
          <w:lang w:val="en-US" w:eastAsia="zh-CN" w:bidi="ar-SA"/>
        </w:rPr>
        <w:t>1.财政拨款收入：指单位从同级财政部门取得的财政预算资金。</w:t>
      </w:r>
    </w:p>
    <w:p w14:paraId="73E6097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社会保障和就业：2080101行政运行：指反映行政单位（包括实行公务员管理的事业单位）的基本支出；2080102一般行政管理实务：指涉及组织、协调、监督和管理组织内部运营的各种事务；2080105劳动保障监察支出：指反映劳动保障监察事务支出；2080107社会保险业务管理事务支出：指社会保险业务管理和基金监督方面的支出；2080108信息化建设：指反映人力资源和社会保障部门用于信息化建设、运行维护和数据分析等方面的支出；2080109社会保险经办机构：反映社会保险经办机构开展业务工作的支出；2080110劳动关系和维权：指劳动关系和维权事务支出；2080112劳动人事争议调解仲裁：反映仲裁机构实体化建设、办案经费、调解仲裁能力建设等支出；2080150事业运行：指反应事业单位的基本支出，不包括行政单位（包括实行公务员管理的事业单位）后勤服务中心、医务室等附属事业单位；2080199其他人力资源和社会保障管理事务支出：指反映除上述项目以外其他用于人力资源和社会保障管理事务方面的支出；2080505机关事业单位基本养老保险缴费支出：指反映机关事业单位实施养老保险制度由单位缴纳的基本养老保险费支出；2080506机关事业单位职业年金缴费支出：指反映机关事业单位实施养老保险制度由单位实际缴纳的职业年金支出；2080699其他企业改革发展补助：反映除上诉项目以外财政用于企业改革发展方面的补助；2080799其他就业补助支出：反映除上诉项目以外按规定确定的其他用于促进就业的补助支出；2089999其他社会保障和就业支出：反映除上诉项目以外其他用于社会保障和就业方面的支出。</w:t>
      </w:r>
    </w:p>
    <w:p w14:paraId="66DFB9AE">
      <w:pPr>
        <w:spacing w:line="600" w:lineRule="exact"/>
        <w:ind w:firstLine="640"/>
        <w:rPr>
          <w:rFonts w:hint="default" w:ascii="仿宋_GB2312" w:eastAsia="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highlight w:val="none"/>
          <w:lang w:val="en-US" w:eastAsia="zh-CN" w:bidi="ar-SA"/>
        </w:rPr>
        <w:t>3.卫生健康支出：指2101101行政单位医疗：指反映财政部门安排的行政单位（包括实行公务员管理的事业单位，下同）基本医疗保险缴费经费，未参加医疗保险的行政单位的公费医疗经费，按国家规定享受离休人员、红军老战士待遇人员的医疗经费；2101102事业单位医疗支出：指反应财政部门安排的事业单位基本医疗保险缴费经费，未参加医疗</w:t>
      </w:r>
      <w:r>
        <w:rPr>
          <w:rFonts w:hint="eastAsia" w:ascii="仿宋_GB2312" w:eastAsia="仿宋_GB2312"/>
          <w:color w:val="auto"/>
          <w:sz w:val="32"/>
          <w:szCs w:val="32"/>
          <w:highlight w:val="none"/>
          <w:lang w:val="en-US" w:eastAsia="zh-CN"/>
        </w:rPr>
        <w:t>保险的事业单位的公费医疗经费，按国家规定享受离休人员待遇的医疗经费；</w:t>
      </w:r>
      <w:r>
        <w:rPr>
          <w:rFonts w:hint="eastAsia" w:ascii="仿宋_GB2312" w:eastAsia="仿宋_GB2312"/>
          <w:color w:val="000000"/>
          <w:sz w:val="32"/>
          <w:szCs w:val="32"/>
        </w:rPr>
        <w:t>2101103公务</w:t>
      </w:r>
      <w:r>
        <w:rPr>
          <w:rFonts w:ascii="仿宋_GB2312" w:eastAsia="仿宋_GB2312"/>
          <w:color w:val="000000"/>
          <w:sz w:val="32"/>
          <w:szCs w:val="32"/>
        </w:rPr>
        <w:t>员医疗补助：指反映财政部门安排的公务员医疗补助经费</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2101199其他行政事业单位医疗支出：反映除上诉项目以外的其他用于行政事业单位医疗方面的支出。</w:t>
      </w:r>
    </w:p>
    <w:p w14:paraId="30DF3826">
      <w:pPr>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.住房保障</w:t>
      </w:r>
      <w:r>
        <w:rPr>
          <w:rFonts w:hint="eastAsia" w:ascii="仿宋_GB2312" w:eastAsia="仿宋_GB2312"/>
          <w:color w:val="auto"/>
          <w:sz w:val="32"/>
          <w:szCs w:val="32"/>
          <w:highlight w:val="none"/>
          <w:lang w:eastAsia="zh-CN"/>
        </w:rPr>
        <w:t>支出</w:t>
      </w:r>
      <w:r>
        <w:rPr>
          <w:rFonts w:hint="eastAsia" w:ascii="仿宋_GB2312" w:eastAsia="仿宋_GB2312"/>
          <w:color w:val="auto"/>
          <w:sz w:val="32"/>
          <w:szCs w:val="32"/>
          <w:highlight w:val="none"/>
        </w:rPr>
        <w:t>：</w:t>
      </w:r>
      <w:r>
        <w:rPr>
          <w:rFonts w:hint="eastAsia" w:ascii="仿宋_GB2312" w:eastAsia="仿宋_GB2312"/>
          <w:color w:val="000000"/>
          <w:sz w:val="32"/>
          <w:szCs w:val="32"/>
        </w:rPr>
        <w:t>2210201住房</w:t>
      </w:r>
      <w:r>
        <w:rPr>
          <w:rFonts w:ascii="仿宋_GB2312" w:eastAsia="仿宋_GB2312"/>
          <w:color w:val="000000"/>
          <w:sz w:val="32"/>
          <w:szCs w:val="32"/>
        </w:rPr>
        <w:t>公积金：</w:t>
      </w:r>
      <w:r>
        <w:rPr>
          <w:rFonts w:hint="eastAsia" w:ascii="仿宋_GB2312" w:eastAsia="仿宋_GB2312"/>
          <w:color w:val="000000"/>
          <w:sz w:val="32"/>
          <w:szCs w:val="32"/>
        </w:rPr>
        <w:t>指反映</w:t>
      </w:r>
      <w:r>
        <w:rPr>
          <w:rFonts w:ascii="仿宋_GB2312" w:eastAsia="仿宋_GB2312"/>
          <w:color w:val="000000"/>
          <w:sz w:val="32"/>
          <w:szCs w:val="32"/>
        </w:rPr>
        <w:t>行政事业单位按人力资源和社会保障部、财政部规定的基本工资和津贴补贴以及规定比例为职工缴纳的住房公积金</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2210203购房补贴：反映按房改政策规定，行政事业单位向符合条件职工（含离退休人员）、军队（含武警）向转役复原离退休人员发放的用于购买住房的补贴</w:t>
      </w:r>
      <w:r>
        <w:rPr>
          <w:rFonts w:hint="eastAsia" w:ascii="仿宋_GB2312" w:eastAsia="仿宋_GB2312"/>
          <w:color w:val="auto"/>
          <w:sz w:val="32"/>
          <w:szCs w:val="32"/>
          <w:highlight w:val="none"/>
        </w:rPr>
        <w:t>。</w:t>
      </w:r>
    </w:p>
    <w:p w14:paraId="3D85E8A7">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5</w:t>
      </w:r>
      <w:r>
        <w:rPr>
          <w:rFonts w:ascii="仿宋_GB2312" w:eastAsia="仿宋_GB2312"/>
          <w:color w:val="auto"/>
          <w:sz w:val="32"/>
          <w:szCs w:val="32"/>
          <w:highlight w:val="none"/>
        </w:rPr>
        <w:t>.</w:t>
      </w:r>
      <w:r>
        <w:rPr>
          <w:rFonts w:hint="eastAsia" w:ascii="仿宋_GB2312" w:eastAsia="仿宋_GB2312"/>
          <w:color w:val="auto"/>
          <w:sz w:val="32"/>
          <w:szCs w:val="32"/>
          <w:highlight w:val="none"/>
        </w:rPr>
        <w:t>基本支出：指为保障机构正常运转、完成日常工作任务而发生的人员支出和公用支出。</w:t>
      </w:r>
    </w:p>
    <w:p w14:paraId="3A620401">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6</w:t>
      </w:r>
      <w:r>
        <w:rPr>
          <w:rFonts w:ascii="仿宋_GB2312" w:eastAsia="仿宋_GB2312"/>
          <w:color w:val="auto"/>
          <w:sz w:val="32"/>
          <w:szCs w:val="32"/>
          <w:highlight w:val="none"/>
        </w:rPr>
        <w:t>.</w:t>
      </w:r>
      <w:r>
        <w:rPr>
          <w:rFonts w:hint="eastAsia" w:ascii="仿宋_GB2312" w:eastAsia="仿宋_GB2312"/>
          <w:color w:val="auto"/>
          <w:sz w:val="32"/>
          <w:szCs w:val="32"/>
          <w:highlight w:val="none"/>
        </w:rPr>
        <w:t>项目支出：指在基本支出之外为完成特定行政任务和事业发展目标所发生的支出。</w:t>
      </w:r>
      <w:r>
        <w:rPr>
          <w:rFonts w:ascii="仿宋_GB2312" w:eastAsia="仿宋_GB2312"/>
          <w:color w:val="auto"/>
          <w:sz w:val="32"/>
          <w:szCs w:val="32"/>
          <w:highlight w:val="none"/>
        </w:rPr>
        <w:t xml:space="preserve"> </w:t>
      </w:r>
    </w:p>
    <w:p w14:paraId="728ED1B1">
      <w:pPr>
        <w:pStyle w:val="26"/>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7</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48EE5AD">
      <w:pPr>
        <w:pStyle w:val="26"/>
        <w:spacing w:line="560" w:lineRule="exact"/>
        <w:ind w:firstLine="640" w:firstLineChars="200"/>
        <w:rPr>
          <w:rFonts w:hint="eastAsia" w:ascii="Times New Roman" w:hAnsi="Times New Roman" w:eastAsia="黑体"/>
          <w:color w:val="auto"/>
          <w:sz w:val="44"/>
          <w:szCs w:val="44"/>
          <w:highlight w:val="none"/>
        </w:rPr>
      </w:pPr>
      <w:r>
        <w:rPr>
          <w:rFonts w:hint="eastAsia" w:ascii="仿宋_GB2312" w:eastAsia="仿宋_GB2312"/>
          <w:color w:val="auto"/>
          <w:sz w:val="32"/>
          <w:szCs w:val="32"/>
          <w:highlight w:val="none"/>
          <w:lang w:val="en-US" w:eastAsia="zh-CN"/>
        </w:rPr>
        <w:t>8</w:t>
      </w:r>
      <w:r>
        <w:rPr>
          <w:rFonts w:ascii="仿宋_GB2312" w:eastAsia="仿宋_GB2312"/>
          <w:color w:val="auto"/>
          <w:sz w:val="32"/>
          <w:szCs w:val="32"/>
          <w:highlight w:val="none"/>
        </w:rPr>
        <w:t>.</w:t>
      </w:r>
      <w:r>
        <w:rPr>
          <w:rFonts w:hint="eastAsia" w:ascii="仿宋_GB2312" w:eastAsia="仿宋_GB2312"/>
          <w:color w:val="auto"/>
          <w:sz w:val="32"/>
          <w:szCs w:val="32"/>
          <w:highlight w:val="none"/>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F29CF52">
      <w:pPr>
        <w:spacing w:line="600" w:lineRule="exact"/>
        <w:jc w:val="center"/>
        <w:rPr>
          <w:rFonts w:hint="eastAsia" w:ascii="Times New Roman" w:hAnsi="Times New Roman" w:eastAsia="黑体"/>
          <w:color w:val="auto"/>
          <w:sz w:val="44"/>
          <w:szCs w:val="44"/>
          <w:highlight w:val="none"/>
        </w:rPr>
      </w:pPr>
    </w:p>
    <w:p w14:paraId="26BE7319">
      <w:pPr>
        <w:spacing w:line="600" w:lineRule="exact"/>
        <w:jc w:val="center"/>
        <w:rPr>
          <w:rFonts w:ascii="Times New Roman" w:hAnsi="Times New Roman" w:eastAsia="方正小标宋简体" w:cs="Times New Roman"/>
          <w:b w:val="0"/>
          <w:bCs/>
          <w:sz w:val="44"/>
          <w:szCs w:val="44"/>
          <w:highlight w:val="none"/>
          <w:shd w:val="clear" w:color="auto" w:fill="FFFFFF"/>
        </w:rPr>
      </w:pPr>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53"/>
    </w:p>
    <w:p w14:paraId="7A7745DA">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ascii="Times New Roman" w:hAnsi="Times New Roman" w:eastAsia="黑体" w:cs="Times New Roman"/>
          <w:color w:val="000000"/>
          <w:kern w:val="0"/>
          <w:sz w:val="24"/>
          <w:szCs w:val="32"/>
          <w:highlight w:val="none"/>
          <w:shd w:val="clear" w:color="auto" w:fill="FFFFFF"/>
        </w:rPr>
      </w:pPr>
      <w:r>
        <w:rPr>
          <w:rFonts w:ascii="Times New Roman" w:hAnsi="Times New Roman" w:eastAsia="方正小标宋简体" w:cs="Times New Roman"/>
          <w:b w:val="0"/>
          <w:bCs/>
          <w:sz w:val="44"/>
          <w:szCs w:val="44"/>
          <w:highlight w:val="none"/>
          <w:shd w:val="clear" w:color="auto" w:fill="FFFFFF"/>
        </w:rPr>
        <w:t>部门</w:t>
      </w:r>
      <w:r>
        <w:rPr>
          <w:rFonts w:ascii="Times New Roman" w:hAnsi="Times New Roman" w:eastAsia="方正小标宋简体" w:cs="Times New Roman"/>
          <w:b w:val="0"/>
          <w:bCs/>
          <w:sz w:val="44"/>
          <w:szCs w:val="44"/>
          <w:highlight w:val="none"/>
          <w:shd w:val="clear" w:color="auto" w:fill="FFFFFF"/>
          <w:lang w:eastAsia="zh-CN"/>
        </w:rPr>
        <w:t>预算</w:t>
      </w:r>
      <w:r>
        <w:rPr>
          <w:rFonts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w:t>
      </w:r>
      <w:r>
        <w:rPr>
          <w:rFonts w:ascii="Times New Roman" w:hAnsi="Times New Roman" w:eastAsia="方正小标宋简体" w:cs="Times New Roman"/>
          <w:b w:val="0"/>
          <w:bCs/>
          <w:sz w:val="44"/>
          <w:szCs w:val="44"/>
          <w:highlight w:val="none"/>
          <w:shd w:val="clear" w:color="auto" w:fill="FFFFFF"/>
        </w:rPr>
        <w:t>报告</w:t>
      </w:r>
    </w:p>
    <w:p w14:paraId="77F28C48">
      <w:pPr>
        <w:keepNext w:val="0"/>
        <w:keepLines w:val="0"/>
        <w:pageBreakBefore w:val="0"/>
        <w:widowControl/>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ascii="Times New Roman" w:hAnsi="Times New Roman" w:eastAsia="黑体" w:cs="Times New Roman"/>
          <w:color w:val="000000"/>
          <w:kern w:val="0"/>
          <w:sz w:val="32"/>
          <w:szCs w:val="32"/>
          <w:highlight w:val="none"/>
          <w:shd w:val="clear" w:color="auto" w:fill="FFFFFF"/>
          <w:lang w:val="zh-CN"/>
        </w:rPr>
      </w:pPr>
      <w:r>
        <w:rPr>
          <w:rFonts w:hint="eastAsia" w:ascii="Times New Roman" w:hAnsi="Times New Roman" w:eastAsia="黑体" w:cs="Times New Roman"/>
          <w:color w:val="000000"/>
          <w:kern w:val="0"/>
          <w:sz w:val="32"/>
          <w:szCs w:val="32"/>
          <w:highlight w:val="none"/>
          <w:shd w:val="clear" w:color="auto" w:fill="FFFFFF"/>
          <w:lang w:val="zh-CN"/>
        </w:rPr>
        <w:t>一、</w:t>
      </w:r>
      <w:r>
        <w:rPr>
          <w:rFonts w:ascii="Times New Roman" w:hAnsi="Times New Roman" w:eastAsia="黑体" w:cs="Times New Roman"/>
          <w:color w:val="000000"/>
          <w:kern w:val="0"/>
          <w:sz w:val="32"/>
          <w:szCs w:val="32"/>
          <w:highlight w:val="none"/>
          <w:shd w:val="clear" w:color="auto" w:fill="FFFFFF"/>
          <w:lang w:val="zh-CN"/>
        </w:rPr>
        <w:t>部门（单位）基本情况</w:t>
      </w:r>
    </w:p>
    <w:p w14:paraId="6A7A3FE4">
      <w:pPr>
        <w:keepNext w:val="0"/>
        <w:keepLines w:val="0"/>
        <w:pageBreakBefore w:val="0"/>
        <w:widowControl/>
        <w:kinsoku/>
        <w:wordWrap/>
        <w:overflowPunct/>
        <w:topLinePunct w:val="0"/>
        <w:autoSpaceDE/>
        <w:autoSpaceDN/>
        <w:bidi w:val="0"/>
        <w:adjustRightInd w:val="0"/>
        <w:snapToGrid w:val="0"/>
        <w:spacing w:line="578" w:lineRule="exact"/>
        <w:ind w:left="0" w:firstLine="643" w:firstLineChars="200"/>
        <w:contextualSpacing/>
        <w:jc w:val="left"/>
        <w:textAlignment w:val="auto"/>
        <w:outlineLvl w:val="9"/>
        <w:rPr>
          <w:rFonts w:ascii="Times New Roman" w:hAnsi="Times New Roman" w:eastAsia="楷体_GB2312" w:cs="楷体_GB2312"/>
          <w:b/>
          <w:color w:val="auto"/>
          <w:sz w:val="32"/>
          <w:szCs w:val="32"/>
          <w:highlight w:val="none"/>
          <w:lang w:val="zh-CN"/>
        </w:rPr>
      </w:pPr>
      <w:r>
        <w:rPr>
          <w:rFonts w:hint="eastAsia" w:ascii="Times New Roman" w:hAnsi="Times New Roman" w:eastAsia="楷体_GB2312" w:cs="楷体_GB2312"/>
          <w:b/>
          <w:color w:val="auto"/>
          <w:sz w:val="32"/>
          <w:szCs w:val="32"/>
          <w:highlight w:val="none"/>
          <w:lang w:val="zh-CN"/>
        </w:rPr>
        <w:t>（一）</w:t>
      </w:r>
      <w:r>
        <w:rPr>
          <w:rFonts w:ascii="Times New Roman" w:hAnsi="Times New Roman" w:eastAsia="楷体_GB2312" w:cs="楷体_GB2312"/>
          <w:b/>
          <w:color w:val="auto"/>
          <w:sz w:val="32"/>
          <w:szCs w:val="32"/>
          <w:highlight w:val="none"/>
          <w:lang w:val="zh-CN"/>
        </w:rPr>
        <w:t>机构组成。</w:t>
      </w:r>
    </w:p>
    <w:p w14:paraId="0EF5D76B">
      <w:pPr>
        <w:pStyle w:val="2"/>
        <w:ind w:firstLine="640" w:firstLineChars="200"/>
        <w:rPr>
          <w:rFonts w:ascii="Times New Roman" w:hAnsi="Times New Roman" w:eastAsia="楷体_GB2312" w:cs="楷体_GB2312"/>
          <w:b/>
          <w:color w:val="auto"/>
          <w:sz w:val="32"/>
          <w:szCs w:val="32"/>
          <w:highlight w:val="none"/>
          <w:lang w:val="zh-CN"/>
        </w:rPr>
      </w:pPr>
      <w:r>
        <w:rPr>
          <w:rFonts w:hint="eastAsia" w:ascii="Times New Roman" w:hAnsi="Times New Roman" w:eastAsia="仿宋_GB2312" w:cs="Times New Roman"/>
          <w:sz w:val="32"/>
          <w:szCs w:val="32"/>
          <w:lang w:val="en-US" w:eastAsia="zh-CN"/>
        </w:rPr>
        <w:t>阿坝州人力资源和社会保障局：</w:t>
      </w:r>
      <w:r>
        <w:rPr>
          <w:rFonts w:hint="eastAsia" w:ascii="仿宋" w:eastAsia="仿宋"/>
          <w:sz w:val="32"/>
          <w:szCs w:val="32"/>
        </w:rPr>
        <w:t>本单位本年度纳入本套决算编制范围的独立编制机构数共1个，比上年增加0个；独立核算机构数共1个，比上年增加0个。</w:t>
      </w:r>
    </w:p>
    <w:p w14:paraId="6AC88159">
      <w:pPr>
        <w:keepNext w:val="0"/>
        <w:keepLines w:val="0"/>
        <w:pageBreakBefore w:val="0"/>
        <w:widowControl/>
        <w:numPr>
          <w:ilvl w:val="0"/>
          <w:numId w:val="6"/>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仿宋_GB2312" w:cs="Times New Roman"/>
          <w:sz w:val="32"/>
          <w:szCs w:val="32"/>
          <w:lang w:val="en-US" w:eastAsia="zh-CN"/>
        </w:rPr>
      </w:pPr>
      <w:r>
        <w:rPr>
          <w:rFonts w:ascii="Times New Roman" w:hAnsi="Times New Roman" w:eastAsia="楷体_GB2312" w:cs="楷体_GB2312"/>
          <w:b/>
          <w:color w:val="auto"/>
          <w:sz w:val="32"/>
          <w:szCs w:val="32"/>
          <w:highlight w:val="none"/>
          <w:lang w:val="zh-CN"/>
        </w:rPr>
        <w:t>机构职能</w:t>
      </w:r>
      <w:r>
        <w:rPr>
          <w:rFonts w:hint="eastAsia" w:ascii="Times New Roman" w:hAnsi="Times New Roman" w:eastAsia="仿宋_GB2312" w:cs="Times New Roman"/>
          <w:sz w:val="32"/>
          <w:szCs w:val="32"/>
          <w:lang w:val="en-US" w:eastAsia="zh-CN"/>
        </w:rPr>
        <w:t>。</w:t>
      </w:r>
    </w:p>
    <w:p w14:paraId="172CC111">
      <w:pPr>
        <w:keepNext w:val="0"/>
        <w:keepLines w:val="0"/>
        <w:widowControl/>
        <w:suppressLineNumbers w:val="0"/>
        <w:ind w:firstLine="620" w:firstLineChars="200"/>
        <w:jc w:val="left"/>
        <w:rPr>
          <w:rFonts w:hint="default" w:ascii="Times New Roman" w:hAnsi="Times New Roman" w:eastAsia="仿宋_GB2312" w:cs="Times New Roman"/>
          <w:sz w:val="32"/>
          <w:szCs w:val="32"/>
          <w:lang w:val="en-US" w:eastAsia="zh-CN"/>
        </w:rPr>
      </w:pPr>
      <w:r>
        <w:rPr>
          <w:rFonts w:ascii="仿宋_GB2312" w:hAnsi="仿宋_GB2312" w:eastAsia="仿宋_GB2312" w:cs="仿宋_GB2312"/>
          <w:color w:val="000000"/>
          <w:kern w:val="0"/>
          <w:sz w:val="31"/>
          <w:szCs w:val="31"/>
          <w:lang w:val="en-US" w:eastAsia="zh-CN" w:bidi="ar"/>
        </w:rPr>
        <w:t>本部门主要承担以下基本职能</w:t>
      </w:r>
      <w:r>
        <w:rPr>
          <w:rFonts w:hint="eastAsia" w:ascii="仿宋_GB2312" w:hAnsi="仿宋_GB2312" w:eastAsia="仿宋_GB2312" w:cs="仿宋_GB2312"/>
          <w:color w:val="000000"/>
          <w:kern w:val="0"/>
          <w:sz w:val="31"/>
          <w:szCs w:val="31"/>
          <w:lang w:val="en-US" w:eastAsia="zh-CN" w:bidi="ar"/>
        </w:rPr>
        <w:t>：</w:t>
      </w:r>
    </w:p>
    <w:p w14:paraId="7817A2D1">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仿宋_GB2312" w:cs="Times New Roman"/>
          <w:sz w:val="32"/>
          <w:szCs w:val="32"/>
          <w:lang w:val="en-US" w:eastAsia="zh-CN"/>
        </w:rPr>
      </w:pPr>
      <w:r>
        <w:rPr>
          <w:rFonts w:hint="eastAsia" w:ascii="仿宋_GB2312" w:eastAsia="仿宋_GB2312"/>
          <w:sz w:val="32"/>
          <w:szCs w:val="32"/>
          <w:highlight w:val="none"/>
          <w:lang w:val="en-US" w:eastAsia="zh-CN"/>
        </w:rPr>
        <w:t>1、拟订人力资源和社会保障事业发展政策、规划，起草相关民族自治法规和规范性文件草案。2、拟订人力资源市场发展规划和人力资源服务业发展、人力资源流动政策，促进人力资源合理流动、有效配置。3、负责促进就业工作，拟订统筹城乡的就业发展规划和政策，完善公共就业创业服务体系，统筹建立面向城乡劳动者的职业技能培训制度，拟订并组织落实创业、就业援助制度，牵头拟订高校毕业生就业政策。4、统筹推进建立覆盖城乡的多层次社会保障体系。拟订养老、失业、工伤等社会保险及其补充保险政策和标准。贯彻落实养老保险全国统筹办法和全国统一的养老、失业、工伤保险关系转续办法。组织拟订养老、失业、工伤等社会保险及其补充保险基金管理和监督办法，编制相关社会保险基金预决算草案，参与拟订相关社会保障基金投资政策。会同有关部门实施全民参保计划并参与建立全国统一的社会保险公共服务平台。拟订人力资源和社会保障信息化建设总体规划、年度计划，制定相关制度、标准和规范并组织实施。指导、督促企业参加工伤保险。5、负责就业、失业和相关社会保险基金预测预警和信息引导，拟订应对预案，实施预防、调节和控制，保持就业形势稳定和相关社会保险基金总体收支平衡。6、统筹拟订劳动人事争议调解仲裁制度和劳动关系政策，完善劳动关系协商协调机制，贯彻职工工作时间、休息休假和假期制度，落实消除非法使用童工政策和女工、未成年工特殊劳动保护政策。依法督促用人单位在劳动用工、合同签订与履约时，载明劳动保护、劳动条件和职业危害防护等条款。组织实施劳动保障监察，协调劳动者维权工作，依法查处重大案件。7、牵头推进深化职称制度改革，拟订专业技术人员管理、继续教育和博士后管理等政策，负责高层次专业技术人才选拔和培养工作，贯彻落实吸引留学人员来州（回州）工作或定居政策。组织拟订技能人才培养、评价、使用和激励制度。贯彻落实职业资格制度，健全职业技能多元化评价政策。指导、监督各级各类技工学校、民办职业培训机构按国家和省、州有关规定履行安全管理责任。8、会同有关部门指导事业单位人事制度改革，按照管理权限负责规范事业单位岗位设置、公开招聘、聘用合同等人事综合管理工作，落实规范事业单位工作人员和机关工勤人员管理政策，将安全生产及生态环境保护责任履行情况作为事业单位工作人员奖惩、考核的重要内容。9、组织实施国家表彰奖励制度，综合管理政府表彰奖励工作，承担评比达标表彰等工作，根据授权承办以州委、州政府名义开展的表彰奖励活动。承办提请州人大常委会和州政府决定的人事任免事项。10、会同有关部门拟订事业单位人员工资收入分配政策，建立企事业单位人员工资决定、正常增长和支付保障机制。拟订企事业单位人员福利和离退休政策。11、会同有关部门拟订农民工工作的综合性政策和规划，推动相关政策落实，协调解决重点难点问题，维护农民工合法权益。负责将安全生产纳入农民工技能培训内容。12、负责人力资源和社会保障领域内的对外交流与合作工作。13、承担职责范围内的安全生产和职业健康、生态环境保护、审批服务便民化等工作。14.统筹拟订劳动、人事争议调解仲裁制度和劳动关系政策并组织和监督实施，完善劳动关系协调机制，贯彻企业职工工作时间、休息休假制度、消除非法使用童工政策和女工、未成年工的特殊劳动保护政策，组织实施劳动监察，协调劳动者维权工作，依法查处重大案件。15、完成州委、州政府交办的其他任务。16、职能转变。深入推进简政放权、放管结合、优化服务改革，进一步减少行政审批事项，规范和优化对外办理事项，减少职业资格许可和认定等审批事项，实行职业资格目录清单管理，加强事中事后监管，创新就业和社会保障等公共服务方式，加强信息共享，提高公共服务水平。17、有关职责分工。与州教育局的有关职责分工。高校毕业生就业政策由州人力资源社会保障局牵头，会同州教育局等部门拟订。高校毕业生离校前的就业指导和服务工作，由州教育局负责；高校毕业生离校后的就业指导和服务工作，由州人力资源社会保障局负责。18、负责阿坝州劳动人事争议仲裁委员会的日常工作； 依法处理州本级管理范围内的劳动争议案件及上级交办、外地委托的案件;根据阿坝州劳动人事争议仲裁委员会授权，负责仲裁员的培训、考核、聘任工作,并对全州仲裁员调解员进行管理；参与调解和仲裁涉及劳动人事突发事件、群体、疑难及重大案件; 承担本行政区域内企业及职工开展劳动人事争议预防工作和处理程序方面的法律、法规、政策知识宣传和培训工作。19、负责宣传人力资源和社会保障政策、法规、 规章、制度；受理人力资源和社会保障举报、投诉；负责完善人力资源和社会保障政策法规知识库，并提供咨询服务；负责收集人力资源和社会保障业务办理流程并录入系统，引导群众按流程办理相关人社业务；负责有关人事招录方面的咨询服务；负责养老、失业、工伤保险和职业年金的参保缴费和待遇领取等信息的电话查询服务，负责个人社保权益的电话查询服务；负责惠民惠农财政补贴资金社会保障卡“一卡通”和社会保障卡业务办理查询服务。20、贯彻执行国家和人力资源社会保障部信息化建设有关法律、法规和技术规范，严格执行数据的定义、标准和分类，确保人力资源和社会保障信息化建设和数据符合国家统一要求；建立健全各项规章制度和应急预案；负责全州人力资源社会保障信息系统建设和业务数据管理维护；负责信息化建设硬件设备预算采购、配备等工作；负责人力资源社会保障公共服务系统建设；负责社会保障卡跨地区、跨部门推广应用和数据交换；负责社会保障卡“一卡通”信息系统运行、管理、维护；负责社会保障卡的信息采集、制作、发放、密码重置、密码修改、激活等业务；推进社会保障卡功能拓展应 用；组织开展社会保障卡宣传和业务培训；承担局信息化领导小组办公室的日常工作；指导各县（市）完成信息化建设、信息系统应用和相关业务工作。21、承担各类执业（职业）资格考试、专业技术资格考试、事业单位公开招聘考试、社会化考试的组织实施工作，协助做好公务员录用、公开遴选、公开选调等考试的考务组织工作。22、贯彻执行《中华人民共和国档案法》等档案法律法 规，向社会各界和群众无偿提供档案查阅利用服务；建立健全局机关档案工作规章制度；负责局机关档案收集、整理、保管、统计、利用服务和期满档案移交工作；统一代管局属各事业单位和经办机构档案。</w:t>
      </w:r>
    </w:p>
    <w:p w14:paraId="2FE8A9F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Times New Roman" w:hAnsi="Times New Roman" w:eastAsia="楷体_GB2312" w:cs="Times New Roman"/>
          <w:b/>
          <w:bCs/>
          <w:color w:val="000000"/>
          <w:kern w:val="0"/>
          <w:sz w:val="32"/>
          <w:szCs w:val="32"/>
          <w:highlight w:val="none"/>
          <w:shd w:val="clear" w:color="auto" w:fill="FFFFFF"/>
          <w:lang w:val="zh-CN"/>
        </w:rPr>
      </w:pPr>
      <w:r>
        <w:rPr>
          <w:rFonts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ascii="Times New Roman" w:hAnsi="Times New Roman" w:eastAsia="楷体_GB2312" w:cs="Times New Roman"/>
          <w:b/>
          <w:bCs/>
          <w:color w:val="000000"/>
          <w:kern w:val="0"/>
          <w:sz w:val="32"/>
          <w:szCs w:val="32"/>
          <w:highlight w:val="none"/>
          <w:shd w:val="clear" w:color="auto" w:fill="FFFFFF"/>
          <w:lang w:val="zh-CN"/>
        </w:rPr>
        <w:t>）人员概况</w:t>
      </w:r>
      <w:r>
        <w:rPr>
          <w:rFonts w:hint="eastAsia" w:ascii="Times New Roman" w:hAnsi="Times New Roman" w:eastAsia="楷体_GB2312" w:cs="Times New Roman"/>
          <w:b/>
          <w:bCs/>
          <w:color w:val="000000"/>
          <w:kern w:val="0"/>
          <w:sz w:val="32"/>
          <w:szCs w:val="32"/>
          <w:highlight w:val="none"/>
          <w:shd w:val="clear" w:color="auto" w:fill="FFFFFF"/>
          <w:lang w:val="zh-CN"/>
        </w:rPr>
        <w:t>。</w:t>
      </w:r>
    </w:p>
    <w:p w14:paraId="7F1F91C4">
      <w:pPr>
        <w:keepNext w:val="0"/>
        <w:keepLines w:val="0"/>
        <w:widowControl/>
        <w:suppressLineNumbers w:val="0"/>
        <w:ind w:firstLine="640" w:firstLineChars="200"/>
        <w:jc w:val="left"/>
        <w:rPr>
          <w:rFonts w:hint="default" w:ascii="Times New Roman" w:hAnsi="Times New Roman" w:cs="Times New Roman"/>
          <w:sz w:val="20"/>
          <w:szCs w:val="28"/>
          <w:lang w:val="en-US"/>
        </w:rPr>
      </w:pPr>
      <w:r>
        <w:rPr>
          <w:rFonts w:hint="eastAsia" w:ascii="Times New Roman" w:hAnsi="Times New Roman" w:eastAsia="仿宋_GB2312" w:cs="Times New Roman"/>
          <w:color w:val="auto"/>
          <w:kern w:val="2"/>
          <w:sz w:val="32"/>
          <w:szCs w:val="32"/>
          <w:lang w:val="en-US" w:eastAsia="zh-CN" w:bidi="ar-SA"/>
        </w:rPr>
        <w:t>阿坝州人力资源和社会保障局</w:t>
      </w:r>
      <w:r>
        <w:rPr>
          <w:rFonts w:hint="eastAsia" w:eastAsia="仿宋_GB2312" w:cs="Times New Roman"/>
          <w:color w:val="auto"/>
          <w:kern w:val="2"/>
          <w:sz w:val="32"/>
          <w:szCs w:val="32"/>
          <w:lang w:val="en-US" w:eastAsia="zh-CN" w:bidi="ar-SA"/>
        </w:rPr>
        <w:t>：</w:t>
      </w:r>
      <w:r>
        <w:rPr>
          <w:rFonts w:ascii="Times New Roman" w:hAnsi="Times New Roman" w:eastAsia="仿宋_GB2312" w:cs="Times New Roman"/>
          <w:sz w:val="32"/>
          <w:szCs w:val="32"/>
          <w:lang w:val="en-US" w:eastAsia="zh-CN"/>
        </w:rPr>
        <w:t>截至202</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lang w:val="en-US" w:eastAsia="zh-CN"/>
        </w:rPr>
        <w:t>年末</w:t>
      </w:r>
      <w:r>
        <w:rPr>
          <w:rFonts w:ascii="Times New Roman" w:hAnsi="Times New Roman" w:eastAsia="仿宋_GB2312" w:cs="Times New Roman"/>
          <w:sz w:val="28"/>
          <w:szCs w:val="28"/>
          <w:lang w:val="en-US" w:eastAsia="zh-CN"/>
        </w:rPr>
        <w:t>，</w:t>
      </w:r>
      <w:r>
        <w:rPr>
          <w:rFonts w:hint="eastAsia" w:eastAsia="仿宋_GB2312" w:cs="Times New Roman"/>
          <w:sz w:val="28"/>
          <w:szCs w:val="28"/>
          <w:lang w:val="en-US" w:eastAsia="zh-CN"/>
        </w:rPr>
        <w:t>编制内</w:t>
      </w:r>
      <w:r>
        <w:rPr>
          <w:rFonts w:ascii="Times New Roman" w:hAnsi="Times New Roman" w:eastAsia="仿宋_GB2312" w:cs="Times New Roman"/>
          <w:sz w:val="28"/>
          <w:szCs w:val="28"/>
          <w:lang w:val="en-US" w:eastAsia="zh-CN"/>
        </w:rPr>
        <w:t>实有人数</w:t>
      </w:r>
      <w:r>
        <w:rPr>
          <w:rFonts w:hint="eastAsia" w:eastAsia="仿宋_GB2312" w:cs="Times New Roman"/>
          <w:sz w:val="28"/>
          <w:szCs w:val="28"/>
          <w:lang w:val="en-US" w:eastAsia="zh-CN"/>
        </w:rPr>
        <w:t>42人，</w:t>
      </w:r>
      <w:r>
        <w:rPr>
          <w:rFonts w:ascii="仿宋_GB2312" w:hAnsi="仿宋_GB2312" w:eastAsia="仿宋_GB2312" w:cs="仿宋_GB2312"/>
          <w:color w:val="000000"/>
          <w:kern w:val="0"/>
          <w:sz w:val="31"/>
          <w:szCs w:val="31"/>
          <w:lang w:val="en-US" w:eastAsia="zh-CN" w:bidi="ar"/>
        </w:rPr>
        <w:t xml:space="preserve">其中公务员 </w:t>
      </w:r>
      <w:r>
        <w:rPr>
          <w:rFonts w:hint="eastAsia" w:ascii="仿宋_GB2312" w:hAnsi="仿宋_GB2312" w:eastAsia="仿宋_GB2312" w:cs="仿宋_GB2312"/>
          <w:color w:val="000000"/>
          <w:kern w:val="0"/>
          <w:sz w:val="31"/>
          <w:szCs w:val="31"/>
          <w:lang w:val="en-US" w:eastAsia="zh-CN" w:bidi="ar"/>
        </w:rPr>
        <w:t>37</w:t>
      </w:r>
      <w:r>
        <w:rPr>
          <w:rFonts w:ascii="仿宋_GB2312" w:hAnsi="仿宋_GB2312" w:eastAsia="仿宋_GB2312" w:cs="仿宋_GB2312"/>
          <w:color w:val="000000"/>
          <w:kern w:val="0"/>
          <w:sz w:val="31"/>
          <w:szCs w:val="31"/>
          <w:lang w:val="en-US" w:eastAsia="zh-CN" w:bidi="ar"/>
        </w:rPr>
        <w:t>人</w:t>
      </w:r>
      <w:r>
        <w:rPr>
          <w:rFonts w:hint="eastAsia" w:ascii="仿宋_GB2312" w:hAnsi="仿宋_GB2312" w:eastAsia="仿宋_GB2312" w:cs="仿宋_GB2312"/>
          <w:color w:val="000000"/>
          <w:kern w:val="0"/>
          <w:sz w:val="31"/>
          <w:szCs w:val="31"/>
          <w:lang w:val="en-US" w:eastAsia="zh-CN" w:bidi="ar"/>
        </w:rPr>
        <w:t>，行政工勤5人。</w:t>
      </w:r>
    </w:p>
    <w:p w14:paraId="406FAD7F">
      <w:pPr>
        <w:keepNext w:val="0"/>
        <w:keepLines w:val="0"/>
        <w:pageBreakBefore w:val="0"/>
        <w:widowControl/>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ascii="Times New Roman" w:hAnsi="Times New Roman" w:eastAsia="黑体" w:cs="Times New Roman"/>
          <w:color w:val="000000"/>
          <w:kern w:val="0"/>
          <w:sz w:val="32"/>
          <w:szCs w:val="32"/>
          <w:highlight w:val="none"/>
          <w:shd w:val="clear" w:color="auto" w:fill="FFFFFF"/>
          <w:lang w:val="zh-CN" w:eastAsia="zh-CN"/>
        </w:rPr>
      </w:pPr>
      <w:r>
        <w:rPr>
          <w:rFonts w:ascii="Times New Roman" w:hAnsi="Times New Roman" w:eastAsia="黑体" w:cs="Times New Roman"/>
          <w:color w:val="000000"/>
          <w:kern w:val="0"/>
          <w:sz w:val="32"/>
          <w:szCs w:val="32"/>
          <w:highlight w:val="none"/>
          <w:shd w:val="clear" w:color="auto" w:fill="FFFFFF"/>
          <w:lang w:val="zh-CN" w:eastAsia="zh-CN"/>
        </w:rPr>
        <w:t>二、部门资金收支情况</w:t>
      </w:r>
    </w:p>
    <w:p w14:paraId="13AAAC96">
      <w:pPr>
        <w:keepNext w:val="0"/>
        <w:keepLines w:val="0"/>
        <w:widowControl/>
        <w:suppressLineNumbers w:val="0"/>
        <w:jc w:val="left"/>
        <w:rPr>
          <w:rFonts w:ascii="Times New Roman" w:hAnsi="Times New Roman" w:eastAsia="楷体_GB2312" w:cs="Times New Roman"/>
          <w:b/>
          <w:bCs/>
          <w:color w:val="000000"/>
          <w:kern w:val="0"/>
          <w:sz w:val="32"/>
          <w:szCs w:val="32"/>
          <w:highlight w:val="none"/>
          <w:shd w:val="clear" w:color="auto" w:fill="FFFFFF"/>
          <w:lang w:val="zh-CN"/>
        </w:rPr>
      </w:pPr>
      <w:r>
        <w:rPr>
          <w:rFonts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收入情况</w:t>
      </w:r>
      <w:r>
        <w:rPr>
          <w:rFonts w:ascii="Times New Roman" w:hAnsi="Times New Roman" w:eastAsia="楷体_GB2312" w:cs="Times New Roman"/>
          <w:b/>
          <w:bCs/>
          <w:color w:val="000000"/>
          <w:kern w:val="0"/>
          <w:sz w:val="32"/>
          <w:szCs w:val="32"/>
          <w:highlight w:val="none"/>
          <w:shd w:val="clear" w:color="auto" w:fill="FFFFFF"/>
          <w:lang w:val="zh-CN"/>
        </w:rPr>
        <w:t>。</w:t>
      </w:r>
    </w:p>
    <w:p w14:paraId="1599B987">
      <w:pPr>
        <w:keepNext w:val="0"/>
        <w:keepLines w:val="0"/>
        <w:pageBreakBefore w:val="0"/>
        <w:widowControl/>
        <w:kinsoku/>
        <w:wordWrap/>
        <w:overflowPunct/>
        <w:topLinePunct w:val="0"/>
        <w:autoSpaceDE/>
        <w:autoSpaceDN/>
        <w:bidi w:val="0"/>
        <w:adjustRightInd w:val="0"/>
        <w:snapToGrid w:val="0"/>
        <w:spacing w:line="578" w:lineRule="exact"/>
        <w:ind w:firstLine="620" w:firstLineChars="200"/>
        <w:contextualSpacing/>
        <w:jc w:val="left"/>
        <w:textAlignment w:val="auto"/>
        <w:outlineLvl w:val="9"/>
        <w:rPr>
          <w:rFonts w:hint="eastAsia" w:ascii="Times New Roman" w:hAnsi="Times New Roman" w:eastAsia="仿宋_GB2312" w:cs="Times New Roman"/>
          <w:sz w:val="32"/>
          <w:szCs w:val="32"/>
          <w:lang w:val="en-US" w:eastAsia="zh-CN"/>
        </w:rPr>
      </w:pPr>
      <w:r>
        <w:rPr>
          <w:rFonts w:hint="eastAsia" w:ascii="仿宋_GB2312" w:hAnsi="仿宋_GB2312" w:eastAsia="仿宋_GB2312" w:cs="仿宋_GB2312"/>
          <w:color w:val="000000"/>
          <w:kern w:val="0"/>
          <w:sz w:val="31"/>
          <w:szCs w:val="31"/>
          <w:lang w:val="en-US" w:eastAsia="zh-CN" w:bidi="ar"/>
        </w:rPr>
        <w:t>行政</w:t>
      </w:r>
      <w:r>
        <w:rPr>
          <w:rFonts w:hint="eastAsia" w:ascii="Times New Roman" w:hAnsi="Times New Roman" w:eastAsia="仿宋_GB2312" w:cs="Times New Roman"/>
          <w:sz w:val="32"/>
          <w:szCs w:val="32"/>
          <w:lang w:val="en-US" w:eastAsia="zh-CN"/>
        </w:rPr>
        <w:t>2024年年初预算收入</w:t>
      </w:r>
      <w:r>
        <w:rPr>
          <w:rFonts w:hint="eastAsia" w:eastAsia="仿宋_GB2312" w:cs="Times New Roman"/>
          <w:sz w:val="32"/>
          <w:szCs w:val="32"/>
          <w:lang w:val="en-US" w:eastAsia="zh-CN"/>
        </w:rPr>
        <w:t>2341.72万元，</w:t>
      </w:r>
      <w:r>
        <w:rPr>
          <w:rFonts w:hint="eastAsia" w:ascii="Times New Roman" w:hAnsi="Times New Roman" w:eastAsia="仿宋_GB2312" w:cs="Times New Roman"/>
          <w:sz w:val="32"/>
          <w:szCs w:val="32"/>
          <w:lang w:val="en-US" w:eastAsia="zh-CN"/>
        </w:rPr>
        <w:t>其中社会保障和就业支出</w:t>
      </w:r>
      <w:r>
        <w:rPr>
          <w:rFonts w:hint="eastAsia" w:eastAsia="仿宋_GB2312" w:cs="Times New Roman"/>
          <w:sz w:val="32"/>
          <w:szCs w:val="32"/>
          <w:lang w:val="en-US" w:eastAsia="zh-CN"/>
        </w:rPr>
        <w:t>2178.78</w:t>
      </w:r>
      <w:r>
        <w:rPr>
          <w:rFonts w:hint="eastAsia" w:ascii="Times New Roman" w:hAnsi="Times New Roman" w:eastAsia="仿宋_GB2312" w:cs="Times New Roman"/>
          <w:sz w:val="32"/>
          <w:szCs w:val="32"/>
          <w:lang w:val="en-US" w:eastAsia="zh-CN"/>
        </w:rPr>
        <w:t>万元，占比</w:t>
      </w:r>
      <w:r>
        <w:rPr>
          <w:rFonts w:hint="eastAsia" w:eastAsia="仿宋_GB2312" w:cs="Times New Roman"/>
          <w:sz w:val="32"/>
          <w:szCs w:val="32"/>
          <w:lang w:val="en-US" w:eastAsia="zh-CN"/>
        </w:rPr>
        <w:t>93.04</w:t>
      </w:r>
      <w:r>
        <w:rPr>
          <w:rFonts w:hint="eastAsia" w:ascii="Times New Roman" w:hAnsi="Times New Roman" w:eastAsia="仿宋_GB2312" w:cs="Times New Roman"/>
          <w:sz w:val="32"/>
          <w:szCs w:val="32"/>
          <w:lang w:val="en-US" w:eastAsia="zh-CN"/>
        </w:rPr>
        <w:t>%；卫生健康支出</w:t>
      </w:r>
      <w:r>
        <w:rPr>
          <w:rFonts w:hint="eastAsia" w:eastAsia="仿宋_GB2312" w:cs="Times New Roman"/>
          <w:sz w:val="32"/>
          <w:szCs w:val="32"/>
          <w:lang w:val="en-US" w:eastAsia="zh-CN"/>
        </w:rPr>
        <w:t>74.13</w:t>
      </w:r>
      <w:r>
        <w:rPr>
          <w:rFonts w:hint="eastAsia" w:ascii="Times New Roman" w:hAnsi="Times New Roman" w:eastAsia="仿宋_GB2312" w:cs="Times New Roman"/>
          <w:sz w:val="32"/>
          <w:szCs w:val="32"/>
          <w:lang w:val="en-US" w:eastAsia="zh-CN"/>
        </w:rPr>
        <w:t>万元，占比</w:t>
      </w:r>
      <w:r>
        <w:rPr>
          <w:rFonts w:hint="eastAsia" w:eastAsia="仿宋_GB2312" w:cs="Times New Roman"/>
          <w:sz w:val="32"/>
          <w:szCs w:val="32"/>
          <w:lang w:val="en-US" w:eastAsia="zh-CN"/>
        </w:rPr>
        <w:t>3.17</w:t>
      </w:r>
      <w:r>
        <w:rPr>
          <w:rFonts w:hint="eastAsia" w:ascii="Times New Roman" w:hAnsi="Times New Roman" w:eastAsia="仿宋_GB2312" w:cs="Times New Roman"/>
          <w:sz w:val="32"/>
          <w:szCs w:val="32"/>
          <w:lang w:val="en-US" w:eastAsia="zh-CN"/>
        </w:rPr>
        <w:t>%；住房保障支出</w:t>
      </w:r>
      <w:r>
        <w:rPr>
          <w:rFonts w:hint="eastAsia" w:eastAsia="仿宋_GB2312" w:cs="Times New Roman"/>
          <w:sz w:val="32"/>
          <w:szCs w:val="32"/>
          <w:lang w:val="en-US" w:eastAsia="zh-CN"/>
        </w:rPr>
        <w:t>88.81</w:t>
      </w:r>
      <w:r>
        <w:rPr>
          <w:rFonts w:hint="eastAsia" w:ascii="Times New Roman" w:hAnsi="Times New Roman" w:eastAsia="仿宋_GB2312" w:cs="Times New Roman"/>
          <w:sz w:val="32"/>
          <w:szCs w:val="32"/>
          <w:lang w:val="en-US" w:eastAsia="zh-CN"/>
        </w:rPr>
        <w:t>万元，占比</w:t>
      </w:r>
      <w:r>
        <w:rPr>
          <w:rFonts w:hint="eastAsia" w:eastAsia="仿宋_GB2312" w:cs="Times New Roman"/>
          <w:sz w:val="32"/>
          <w:szCs w:val="32"/>
          <w:lang w:val="en-US" w:eastAsia="zh-CN"/>
        </w:rPr>
        <w:t>3.79</w:t>
      </w:r>
      <w:r>
        <w:rPr>
          <w:rFonts w:hint="eastAsia" w:ascii="Times New Roman" w:hAnsi="Times New Roman" w:eastAsia="仿宋_GB2312" w:cs="Times New Roman"/>
          <w:sz w:val="32"/>
          <w:szCs w:val="32"/>
          <w:lang w:val="en-US" w:eastAsia="zh-CN"/>
        </w:rPr>
        <w:t>%。</w:t>
      </w:r>
    </w:p>
    <w:p w14:paraId="69115802">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sz w:val="32"/>
          <w:szCs w:val="32"/>
          <w:lang w:val="en-US" w:eastAsia="zh-CN"/>
        </w:rPr>
      </w:pPr>
      <w:r>
        <w:rPr>
          <w:rFonts w:hint="eastAsia" w:eastAsia="仿宋_GB2312" w:cs="Times New Roman"/>
          <w:sz w:val="32"/>
          <w:szCs w:val="32"/>
          <w:lang w:val="en-US" w:eastAsia="zh-CN"/>
        </w:rPr>
        <w:t>行政</w:t>
      </w:r>
      <w:r>
        <w:rPr>
          <w:rFonts w:hint="eastAsia" w:ascii="Times New Roman" w:hAnsi="Times New Roman" w:eastAsia="仿宋_GB2312" w:cs="Times New Roman"/>
          <w:sz w:val="32"/>
          <w:szCs w:val="32"/>
          <w:lang w:val="en-US" w:eastAsia="zh-CN"/>
        </w:rPr>
        <w:t>202</w:t>
      </w:r>
      <w:r>
        <w:rPr>
          <w:rFonts w:hint="eastAsia" w:eastAsia="仿宋_GB2312" w:cs="Times New Roman"/>
          <w:sz w:val="32"/>
          <w:szCs w:val="32"/>
          <w:lang w:val="en-US" w:eastAsia="zh-CN"/>
        </w:rPr>
        <w:t>4</w:t>
      </w:r>
      <w:r>
        <w:rPr>
          <w:rFonts w:hint="eastAsia" w:ascii="Times New Roman" w:hAnsi="Times New Roman" w:eastAsia="仿宋_GB2312" w:cs="Times New Roman"/>
          <w:sz w:val="32"/>
          <w:szCs w:val="32"/>
          <w:lang w:val="en-US" w:eastAsia="zh-CN"/>
        </w:rPr>
        <w:t>年决算报表收入</w:t>
      </w:r>
      <w:r>
        <w:rPr>
          <w:rFonts w:hint="eastAsia" w:eastAsia="仿宋_GB2312" w:cs="Times New Roman"/>
          <w:sz w:val="32"/>
          <w:szCs w:val="32"/>
          <w:lang w:val="en-US" w:eastAsia="zh-CN"/>
        </w:rPr>
        <w:t>2765.01</w:t>
      </w:r>
      <w:r>
        <w:rPr>
          <w:rFonts w:hint="eastAsia" w:ascii="Times New Roman" w:hAnsi="Times New Roman" w:eastAsia="仿宋_GB2312" w:cs="Times New Roman"/>
          <w:sz w:val="32"/>
          <w:szCs w:val="32"/>
          <w:lang w:val="en-US" w:eastAsia="zh-CN"/>
        </w:rPr>
        <w:t>万元，其中社会保障和就业支出</w:t>
      </w:r>
      <w:r>
        <w:rPr>
          <w:rFonts w:hint="eastAsia" w:eastAsia="仿宋_GB2312" w:cs="Times New Roman"/>
          <w:sz w:val="32"/>
          <w:szCs w:val="32"/>
          <w:lang w:val="en-US" w:eastAsia="zh-CN"/>
        </w:rPr>
        <w:t>2542.28</w:t>
      </w:r>
      <w:r>
        <w:rPr>
          <w:rFonts w:hint="eastAsia" w:ascii="Times New Roman" w:hAnsi="Times New Roman" w:eastAsia="仿宋_GB2312" w:cs="Times New Roman"/>
          <w:sz w:val="32"/>
          <w:szCs w:val="32"/>
          <w:lang w:val="en-US" w:eastAsia="zh-CN"/>
        </w:rPr>
        <w:t>万元，占比</w:t>
      </w:r>
      <w:r>
        <w:rPr>
          <w:rFonts w:hint="eastAsia" w:eastAsia="仿宋_GB2312" w:cs="Times New Roman"/>
          <w:sz w:val="32"/>
          <w:szCs w:val="32"/>
          <w:lang w:val="en-US" w:eastAsia="zh-CN"/>
        </w:rPr>
        <w:t>91.94</w:t>
      </w:r>
      <w:r>
        <w:rPr>
          <w:rFonts w:hint="eastAsia" w:ascii="Times New Roman" w:hAnsi="Times New Roman" w:eastAsia="仿宋_GB2312" w:cs="Times New Roman"/>
          <w:sz w:val="32"/>
          <w:szCs w:val="32"/>
          <w:lang w:val="en-US" w:eastAsia="zh-CN"/>
        </w:rPr>
        <w:t>%；卫生健康支出</w:t>
      </w:r>
      <w:r>
        <w:rPr>
          <w:rFonts w:hint="eastAsia" w:eastAsia="仿宋_GB2312" w:cs="Times New Roman"/>
          <w:sz w:val="32"/>
          <w:szCs w:val="32"/>
          <w:lang w:val="en-US" w:eastAsia="zh-CN"/>
        </w:rPr>
        <w:t>73.72</w:t>
      </w:r>
      <w:r>
        <w:rPr>
          <w:rFonts w:hint="eastAsia" w:ascii="Times New Roman" w:hAnsi="Times New Roman" w:eastAsia="仿宋_GB2312" w:cs="Times New Roman"/>
          <w:sz w:val="32"/>
          <w:szCs w:val="32"/>
          <w:lang w:val="en-US" w:eastAsia="zh-CN"/>
        </w:rPr>
        <w:t>万元，占比</w:t>
      </w:r>
      <w:r>
        <w:rPr>
          <w:rFonts w:hint="eastAsia" w:eastAsia="仿宋_GB2312" w:cs="Times New Roman"/>
          <w:sz w:val="32"/>
          <w:szCs w:val="32"/>
          <w:lang w:val="en-US" w:eastAsia="zh-CN"/>
        </w:rPr>
        <w:t>2.67</w:t>
      </w:r>
      <w:r>
        <w:rPr>
          <w:rFonts w:hint="eastAsia" w:ascii="Times New Roman" w:hAnsi="Times New Roman" w:eastAsia="仿宋_GB2312" w:cs="Times New Roman"/>
          <w:sz w:val="32"/>
          <w:szCs w:val="32"/>
          <w:lang w:val="en-US" w:eastAsia="zh-CN"/>
        </w:rPr>
        <w:t>%；住房保障支出</w:t>
      </w:r>
      <w:r>
        <w:rPr>
          <w:rFonts w:hint="eastAsia" w:eastAsia="仿宋_GB2312" w:cs="Times New Roman"/>
          <w:sz w:val="32"/>
          <w:szCs w:val="32"/>
          <w:lang w:val="en-US" w:eastAsia="zh-CN"/>
        </w:rPr>
        <w:t>92.01</w:t>
      </w:r>
      <w:r>
        <w:rPr>
          <w:rFonts w:hint="eastAsia" w:ascii="Times New Roman" w:hAnsi="Times New Roman" w:eastAsia="仿宋_GB2312" w:cs="Times New Roman"/>
          <w:sz w:val="32"/>
          <w:szCs w:val="32"/>
          <w:lang w:val="en-US" w:eastAsia="zh-CN"/>
        </w:rPr>
        <w:t>万元，占比</w:t>
      </w:r>
      <w:r>
        <w:rPr>
          <w:rFonts w:hint="eastAsia" w:eastAsia="仿宋_GB2312" w:cs="Times New Roman"/>
          <w:sz w:val="32"/>
          <w:szCs w:val="32"/>
          <w:lang w:val="en-US" w:eastAsia="zh-CN"/>
        </w:rPr>
        <w:t>3.33</w:t>
      </w:r>
      <w:r>
        <w:rPr>
          <w:rFonts w:hint="eastAsia" w:ascii="Times New Roman" w:hAnsi="Times New Roman" w:eastAsia="仿宋_GB2312" w:cs="Times New Roman"/>
          <w:sz w:val="32"/>
          <w:szCs w:val="32"/>
          <w:lang w:val="en-US" w:eastAsia="zh-CN"/>
        </w:rPr>
        <w:t>%。</w:t>
      </w:r>
    </w:p>
    <w:p w14:paraId="24D1EE7E">
      <w:pPr>
        <w:keepNext w:val="0"/>
        <w:keepLines w:val="0"/>
        <w:pageBreakBefore w:val="0"/>
        <w:widowControl/>
        <w:numPr>
          <w:ilvl w:val="0"/>
          <w:numId w:val="7"/>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楷体_GB2312" w:cs="Times New Roman"/>
          <w:b/>
          <w:bCs/>
          <w:color w:val="000000"/>
          <w:kern w:val="0"/>
          <w:sz w:val="32"/>
          <w:szCs w:val="32"/>
          <w:highlight w:val="none"/>
          <w:shd w:val="clear" w:color="auto" w:fill="FFFFFF"/>
          <w:lang w:val="zh-CN"/>
        </w:rPr>
        <w:t>支出情况</w:t>
      </w:r>
      <w:r>
        <w:rPr>
          <w:rFonts w:hint="default" w:ascii="Times New Roman" w:hAnsi="Times New Roman" w:eastAsia="楷体_GB2312" w:cs="Times New Roman"/>
          <w:b/>
          <w:bCs/>
          <w:color w:val="000000"/>
          <w:kern w:val="0"/>
          <w:sz w:val="32"/>
          <w:szCs w:val="32"/>
          <w:highlight w:val="none"/>
          <w:shd w:val="clear" w:color="auto" w:fill="FFFFFF"/>
          <w:lang w:val="zh-CN"/>
        </w:rPr>
        <w:t>。</w:t>
      </w:r>
    </w:p>
    <w:p w14:paraId="44C18350">
      <w:pPr>
        <w:keepNext w:val="0"/>
        <w:keepLines w:val="0"/>
        <w:pageBreakBefore w:val="0"/>
        <w:widowControl/>
        <w:kinsoku/>
        <w:wordWrap/>
        <w:overflowPunct/>
        <w:topLinePunct w:val="0"/>
        <w:autoSpaceDE/>
        <w:autoSpaceDN/>
        <w:bidi w:val="0"/>
        <w:adjustRightInd w:val="0"/>
        <w:snapToGrid w:val="0"/>
        <w:spacing w:line="578" w:lineRule="exact"/>
        <w:ind w:firstLine="620" w:firstLineChars="200"/>
        <w:contextualSpacing/>
        <w:jc w:val="left"/>
        <w:textAlignment w:val="auto"/>
        <w:outlineLvl w:val="9"/>
        <w:rPr>
          <w:rFonts w:hint="eastAsia" w:ascii="Times New Roman" w:hAnsi="Times New Roman" w:eastAsia="仿宋_GB2312" w:cs="Times New Roman"/>
          <w:sz w:val="32"/>
          <w:szCs w:val="32"/>
          <w:lang w:val="en-US" w:eastAsia="zh-CN"/>
        </w:rPr>
      </w:pPr>
      <w:r>
        <w:rPr>
          <w:rFonts w:hint="eastAsia" w:ascii="仿宋_GB2312" w:hAnsi="仿宋_GB2312" w:eastAsia="仿宋_GB2312" w:cs="仿宋_GB2312"/>
          <w:color w:val="000000"/>
          <w:kern w:val="0"/>
          <w:sz w:val="31"/>
          <w:szCs w:val="31"/>
          <w:lang w:val="en-US" w:eastAsia="zh-CN" w:bidi="ar"/>
        </w:rPr>
        <w:t>行政</w:t>
      </w:r>
      <w:r>
        <w:rPr>
          <w:rFonts w:hint="eastAsia" w:ascii="Times New Roman" w:hAnsi="Times New Roman" w:eastAsia="仿宋_GB2312" w:cs="Times New Roman"/>
          <w:sz w:val="32"/>
          <w:szCs w:val="32"/>
          <w:lang w:val="en-US" w:eastAsia="zh-CN"/>
        </w:rPr>
        <w:t>202</w:t>
      </w:r>
      <w:r>
        <w:rPr>
          <w:rFonts w:hint="eastAsia" w:eastAsia="仿宋_GB2312" w:cs="Times New Roman"/>
          <w:sz w:val="32"/>
          <w:szCs w:val="32"/>
          <w:lang w:val="en-US" w:eastAsia="zh-CN"/>
        </w:rPr>
        <w:t>4</w:t>
      </w:r>
      <w:r>
        <w:rPr>
          <w:rFonts w:hint="eastAsia" w:ascii="Times New Roman" w:hAnsi="Times New Roman" w:eastAsia="仿宋_GB2312" w:cs="Times New Roman"/>
          <w:sz w:val="32"/>
          <w:szCs w:val="32"/>
          <w:lang w:val="en-US" w:eastAsia="zh-CN"/>
        </w:rPr>
        <w:t>年年初预算支出</w:t>
      </w:r>
      <w:r>
        <w:rPr>
          <w:rFonts w:hint="eastAsia" w:eastAsia="仿宋_GB2312" w:cs="Times New Roman"/>
          <w:sz w:val="32"/>
          <w:szCs w:val="32"/>
          <w:lang w:val="en-US" w:eastAsia="zh-CN"/>
        </w:rPr>
        <w:t>2341.72万元，</w:t>
      </w:r>
      <w:r>
        <w:rPr>
          <w:rFonts w:hint="eastAsia" w:ascii="Times New Roman" w:hAnsi="Times New Roman" w:eastAsia="仿宋_GB2312" w:cs="Times New Roman"/>
          <w:sz w:val="32"/>
          <w:szCs w:val="32"/>
          <w:lang w:val="en-US" w:eastAsia="zh-CN"/>
        </w:rPr>
        <w:t>其中社会保障和就业支出</w:t>
      </w:r>
      <w:r>
        <w:rPr>
          <w:rFonts w:hint="eastAsia" w:eastAsia="仿宋_GB2312" w:cs="Times New Roman"/>
          <w:sz w:val="32"/>
          <w:szCs w:val="32"/>
          <w:lang w:val="en-US" w:eastAsia="zh-CN"/>
        </w:rPr>
        <w:t>2178.78</w:t>
      </w:r>
      <w:r>
        <w:rPr>
          <w:rFonts w:hint="eastAsia" w:ascii="Times New Roman" w:hAnsi="Times New Roman" w:eastAsia="仿宋_GB2312" w:cs="Times New Roman"/>
          <w:sz w:val="32"/>
          <w:szCs w:val="32"/>
          <w:lang w:val="en-US" w:eastAsia="zh-CN"/>
        </w:rPr>
        <w:t>万元，占比</w:t>
      </w:r>
      <w:r>
        <w:rPr>
          <w:rFonts w:hint="eastAsia" w:eastAsia="仿宋_GB2312" w:cs="Times New Roman"/>
          <w:sz w:val="32"/>
          <w:szCs w:val="32"/>
          <w:lang w:val="en-US" w:eastAsia="zh-CN"/>
        </w:rPr>
        <w:t>93.04</w:t>
      </w:r>
      <w:r>
        <w:rPr>
          <w:rFonts w:hint="eastAsia" w:ascii="Times New Roman" w:hAnsi="Times New Roman" w:eastAsia="仿宋_GB2312" w:cs="Times New Roman"/>
          <w:sz w:val="32"/>
          <w:szCs w:val="32"/>
          <w:lang w:val="en-US" w:eastAsia="zh-CN"/>
        </w:rPr>
        <w:t>%；卫生健康支出</w:t>
      </w:r>
      <w:r>
        <w:rPr>
          <w:rFonts w:hint="eastAsia" w:eastAsia="仿宋_GB2312" w:cs="Times New Roman"/>
          <w:sz w:val="32"/>
          <w:szCs w:val="32"/>
          <w:lang w:val="en-US" w:eastAsia="zh-CN"/>
        </w:rPr>
        <w:t>74.13</w:t>
      </w:r>
      <w:r>
        <w:rPr>
          <w:rFonts w:hint="eastAsia" w:ascii="Times New Roman" w:hAnsi="Times New Roman" w:eastAsia="仿宋_GB2312" w:cs="Times New Roman"/>
          <w:sz w:val="32"/>
          <w:szCs w:val="32"/>
          <w:lang w:val="en-US" w:eastAsia="zh-CN"/>
        </w:rPr>
        <w:t>万元，占比</w:t>
      </w:r>
      <w:r>
        <w:rPr>
          <w:rFonts w:hint="eastAsia" w:eastAsia="仿宋_GB2312" w:cs="Times New Roman"/>
          <w:sz w:val="32"/>
          <w:szCs w:val="32"/>
          <w:lang w:val="en-US" w:eastAsia="zh-CN"/>
        </w:rPr>
        <w:t>3.17</w:t>
      </w:r>
      <w:r>
        <w:rPr>
          <w:rFonts w:hint="eastAsia" w:ascii="Times New Roman" w:hAnsi="Times New Roman" w:eastAsia="仿宋_GB2312" w:cs="Times New Roman"/>
          <w:sz w:val="32"/>
          <w:szCs w:val="32"/>
          <w:lang w:val="en-US" w:eastAsia="zh-CN"/>
        </w:rPr>
        <w:t>%；住房保障支出</w:t>
      </w:r>
      <w:r>
        <w:rPr>
          <w:rFonts w:hint="eastAsia" w:eastAsia="仿宋_GB2312" w:cs="Times New Roman"/>
          <w:sz w:val="32"/>
          <w:szCs w:val="32"/>
          <w:lang w:val="en-US" w:eastAsia="zh-CN"/>
        </w:rPr>
        <w:t>88.81</w:t>
      </w:r>
      <w:r>
        <w:rPr>
          <w:rFonts w:hint="eastAsia" w:ascii="Times New Roman" w:hAnsi="Times New Roman" w:eastAsia="仿宋_GB2312" w:cs="Times New Roman"/>
          <w:sz w:val="32"/>
          <w:szCs w:val="32"/>
          <w:lang w:val="en-US" w:eastAsia="zh-CN"/>
        </w:rPr>
        <w:t>万元，占比</w:t>
      </w:r>
      <w:r>
        <w:rPr>
          <w:rFonts w:hint="eastAsia" w:eastAsia="仿宋_GB2312" w:cs="Times New Roman"/>
          <w:sz w:val="32"/>
          <w:szCs w:val="32"/>
          <w:lang w:val="en-US" w:eastAsia="zh-CN"/>
        </w:rPr>
        <w:t>3.79</w:t>
      </w:r>
      <w:r>
        <w:rPr>
          <w:rFonts w:hint="eastAsia" w:ascii="Times New Roman" w:hAnsi="Times New Roman" w:eastAsia="仿宋_GB2312" w:cs="Times New Roman"/>
          <w:sz w:val="32"/>
          <w:szCs w:val="32"/>
          <w:lang w:val="en-US" w:eastAsia="zh-CN"/>
        </w:rPr>
        <w:t>%。</w:t>
      </w:r>
    </w:p>
    <w:p w14:paraId="51E5AB57">
      <w:pPr>
        <w:keepNext w:val="0"/>
        <w:keepLines w:val="0"/>
        <w:pageBreakBefore w:val="0"/>
        <w:widowControl/>
        <w:kinsoku/>
        <w:wordWrap/>
        <w:overflowPunct/>
        <w:topLinePunct w:val="0"/>
        <w:autoSpaceDE/>
        <w:autoSpaceDN/>
        <w:bidi w:val="0"/>
        <w:adjustRightInd w:val="0"/>
        <w:snapToGrid w:val="0"/>
        <w:spacing w:line="578" w:lineRule="exact"/>
        <w:ind w:firstLine="620" w:firstLineChars="200"/>
        <w:contextualSpacing/>
        <w:jc w:val="left"/>
        <w:textAlignment w:val="auto"/>
        <w:outlineLvl w:val="9"/>
        <w:rPr>
          <w:rFonts w:hint="default" w:ascii="Times New Roman" w:hAnsi="Times New Roman" w:eastAsia="楷体_GB2312" w:cs="Times New Roman"/>
          <w:b/>
          <w:bCs/>
          <w:color w:val="000000"/>
          <w:kern w:val="0"/>
          <w:szCs w:val="32"/>
          <w:highlight w:val="none"/>
          <w:shd w:val="clear" w:color="auto" w:fill="FFFFFF"/>
          <w:lang w:val="en-US"/>
        </w:rPr>
      </w:pPr>
      <w:r>
        <w:rPr>
          <w:rFonts w:hint="eastAsia" w:ascii="仿宋_GB2312" w:hAnsi="仿宋_GB2312" w:eastAsia="仿宋_GB2312" w:cs="仿宋_GB2312"/>
          <w:color w:val="000000"/>
          <w:kern w:val="0"/>
          <w:sz w:val="31"/>
          <w:szCs w:val="31"/>
          <w:lang w:val="en-US" w:eastAsia="zh-CN" w:bidi="ar"/>
        </w:rPr>
        <w:t>行政</w:t>
      </w:r>
      <w:r>
        <w:rPr>
          <w:rFonts w:hint="eastAsia" w:ascii="Times New Roman" w:hAnsi="Times New Roman" w:eastAsia="仿宋_GB2312" w:cs="Times New Roman"/>
          <w:sz w:val="32"/>
          <w:szCs w:val="32"/>
          <w:lang w:val="en-US" w:eastAsia="zh-CN"/>
        </w:rPr>
        <w:t>202</w:t>
      </w:r>
      <w:r>
        <w:rPr>
          <w:rFonts w:hint="eastAsia" w:eastAsia="仿宋_GB2312" w:cs="Times New Roman"/>
          <w:sz w:val="32"/>
          <w:szCs w:val="32"/>
          <w:lang w:val="en-US" w:eastAsia="zh-CN"/>
        </w:rPr>
        <w:t>4</w:t>
      </w:r>
      <w:r>
        <w:rPr>
          <w:rFonts w:hint="eastAsia" w:ascii="Times New Roman" w:hAnsi="Times New Roman" w:eastAsia="仿宋_GB2312" w:cs="Times New Roman"/>
          <w:sz w:val="32"/>
          <w:szCs w:val="32"/>
          <w:lang w:val="en-US" w:eastAsia="zh-CN"/>
        </w:rPr>
        <w:t>年决算报表支出</w:t>
      </w:r>
      <w:r>
        <w:rPr>
          <w:rFonts w:hint="eastAsia" w:eastAsia="仿宋_GB2312" w:cs="Times New Roman"/>
          <w:sz w:val="32"/>
          <w:szCs w:val="32"/>
          <w:lang w:val="en-US" w:eastAsia="zh-CN"/>
        </w:rPr>
        <w:t>2765.01</w:t>
      </w:r>
      <w:r>
        <w:rPr>
          <w:rFonts w:hint="eastAsia" w:ascii="Times New Roman" w:hAnsi="Times New Roman" w:eastAsia="仿宋_GB2312" w:cs="Times New Roman"/>
          <w:sz w:val="32"/>
          <w:szCs w:val="32"/>
          <w:lang w:val="en-US" w:eastAsia="zh-CN"/>
        </w:rPr>
        <w:t>万元，基本支出</w:t>
      </w:r>
      <w:r>
        <w:rPr>
          <w:rFonts w:hint="eastAsia" w:eastAsia="仿宋_GB2312" w:cs="Times New Roman"/>
          <w:sz w:val="32"/>
          <w:szCs w:val="32"/>
          <w:lang w:val="en-US" w:eastAsia="zh-CN"/>
        </w:rPr>
        <w:t>1732.15</w:t>
      </w:r>
      <w:r>
        <w:rPr>
          <w:rFonts w:hint="eastAsia" w:ascii="Times New Roman" w:hAnsi="Times New Roman" w:eastAsia="仿宋_GB2312" w:cs="Times New Roman"/>
          <w:sz w:val="32"/>
          <w:szCs w:val="32"/>
          <w:lang w:val="en-US" w:eastAsia="zh-CN"/>
        </w:rPr>
        <w:t>万元，占比</w:t>
      </w:r>
      <w:r>
        <w:rPr>
          <w:rFonts w:hint="eastAsia" w:eastAsia="仿宋_GB2312" w:cs="Times New Roman"/>
          <w:sz w:val="32"/>
          <w:szCs w:val="32"/>
          <w:lang w:val="en-US" w:eastAsia="zh-CN"/>
        </w:rPr>
        <w:t>62.65</w:t>
      </w:r>
      <w:r>
        <w:rPr>
          <w:rFonts w:hint="eastAsia" w:ascii="Times New Roman" w:hAnsi="Times New Roman" w:eastAsia="仿宋_GB2312" w:cs="Times New Roman"/>
          <w:sz w:val="32"/>
          <w:szCs w:val="32"/>
          <w:lang w:val="en-US" w:eastAsia="zh-CN"/>
        </w:rPr>
        <w:t>%；项目支出</w:t>
      </w:r>
      <w:r>
        <w:rPr>
          <w:rFonts w:hint="eastAsia" w:eastAsia="仿宋_GB2312" w:cs="Times New Roman"/>
          <w:sz w:val="32"/>
          <w:szCs w:val="32"/>
          <w:lang w:val="en-US" w:eastAsia="zh-CN"/>
        </w:rPr>
        <w:t>1032.87</w:t>
      </w:r>
      <w:r>
        <w:rPr>
          <w:rFonts w:hint="eastAsia" w:ascii="Times New Roman" w:hAnsi="Times New Roman" w:eastAsia="仿宋_GB2312" w:cs="Times New Roman"/>
          <w:sz w:val="32"/>
          <w:szCs w:val="32"/>
          <w:lang w:val="en-US" w:eastAsia="zh-CN"/>
        </w:rPr>
        <w:t>万元，占比</w:t>
      </w:r>
      <w:r>
        <w:rPr>
          <w:rFonts w:hint="eastAsia" w:eastAsia="仿宋_GB2312" w:cs="Times New Roman"/>
          <w:sz w:val="32"/>
          <w:szCs w:val="32"/>
          <w:lang w:val="en-US" w:eastAsia="zh-CN"/>
        </w:rPr>
        <w:t>37.36</w:t>
      </w:r>
      <w:r>
        <w:rPr>
          <w:rFonts w:hint="eastAsia" w:ascii="Times New Roman" w:hAnsi="Times New Roman" w:eastAsia="仿宋_GB2312" w:cs="Times New Roman"/>
          <w:sz w:val="32"/>
          <w:szCs w:val="32"/>
          <w:lang w:val="en-US" w:eastAsia="zh-CN"/>
        </w:rPr>
        <w:t>%。（其中社会保障和就业支出</w:t>
      </w:r>
      <w:r>
        <w:rPr>
          <w:rFonts w:hint="eastAsia" w:eastAsia="仿宋_GB2312" w:cs="Times New Roman"/>
          <w:sz w:val="32"/>
          <w:szCs w:val="32"/>
          <w:lang w:val="en-US" w:eastAsia="zh-CN"/>
        </w:rPr>
        <w:t>2542.28</w:t>
      </w:r>
      <w:r>
        <w:rPr>
          <w:rFonts w:hint="eastAsia" w:ascii="Times New Roman" w:hAnsi="Times New Roman" w:eastAsia="仿宋_GB2312" w:cs="Times New Roman"/>
          <w:sz w:val="32"/>
          <w:szCs w:val="32"/>
          <w:lang w:val="en-US" w:eastAsia="zh-CN"/>
        </w:rPr>
        <w:t>万元，占比</w:t>
      </w:r>
      <w:r>
        <w:rPr>
          <w:rFonts w:hint="eastAsia" w:eastAsia="仿宋_GB2312" w:cs="Times New Roman"/>
          <w:sz w:val="32"/>
          <w:szCs w:val="32"/>
          <w:lang w:val="en-US" w:eastAsia="zh-CN"/>
        </w:rPr>
        <w:t>91.94</w:t>
      </w:r>
      <w:r>
        <w:rPr>
          <w:rFonts w:hint="eastAsia" w:ascii="Times New Roman" w:hAnsi="Times New Roman" w:eastAsia="仿宋_GB2312" w:cs="Times New Roman"/>
          <w:sz w:val="32"/>
          <w:szCs w:val="32"/>
          <w:lang w:val="en-US" w:eastAsia="zh-CN"/>
        </w:rPr>
        <w:t>%；卫生健康支出</w:t>
      </w:r>
      <w:r>
        <w:rPr>
          <w:rFonts w:hint="eastAsia" w:eastAsia="仿宋_GB2312" w:cs="Times New Roman"/>
          <w:sz w:val="32"/>
          <w:szCs w:val="32"/>
          <w:lang w:val="en-US" w:eastAsia="zh-CN"/>
        </w:rPr>
        <w:t>73.72</w:t>
      </w:r>
      <w:r>
        <w:rPr>
          <w:rFonts w:hint="eastAsia" w:ascii="Times New Roman" w:hAnsi="Times New Roman" w:eastAsia="仿宋_GB2312" w:cs="Times New Roman"/>
          <w:sz w:val="32"/>
          <w:szCs w:val="32"/>
          <w:lang w:val="en-US" w:eastAsia="zh-CN"/>
        </w:rPr>
        <w:t>万元，占比</w:t>
      </w:r>
      <w:r>
        <w:rPr>
          <w:rFonts w:hint="eastAsia" w:eastAsia="仿宋_GB2312" w:cs="Times New Roman"/>
          <w:sz w:val="32"/>
          <w:szCs w:val="32"/>
          <w:lang w:val="en-US" w:eastAsia="zh-CN"/>
        </w:rPr>
        <w:t>2.67</w:t>
      </w:r>
      <w:r>
        <w:rPr>
          <w:rFonts w:hint="eastAsia" w:ascii="Times New Roman" w:hAnsi="Times New Roman" w:eastAsia="仿宋_GB2312" w:cs="Times New Roman"/>
          <w:sz w:val="32"/>
          <w:szCs w:val="32"/>
          <w:lang w:val="en-US" w:eastAsia="zh-CN"/>
        </w:rPr>
        <w:t>%；住房保障支出</w:t>
      </w:r>
      <w:r>
        <w:rPr>
          <w:rFonts w:hint="eastAsia" w:eastAsia="仿宋_GB2312" w:cs="Times New Roman"/>
          <w:sz w:val="32"/>
          <w:szCs w:val="32"/>
          <w:lang w:val="en-US" w:eastAsia="zh-CN"/>
        </w:rPr>
        <w:t>92.01</w:t>
      </w:r>
      <w:r>
        <w:rPr>
          <w:rFonts w:hint="eastAsia" w:ascii="Times New Roman" w:hAnsi="Times New Roman" w:eastAsia="仿宋_GB2312" w:cs="Times New Roman"/>
          <w:sz w:val="32"/>
          <w:szCs w:val="32"/>
          <w:lang w:val="en-US" w:eastAsia="zh-CN"/>
        </w:rPr>
        <w:t>万元，占比</w:t>
      </w:r>
      <w:r>
        <w:rPr>
          <w:rFonts w:hint="eastAsia" w:eastAsia="仿宋_GB2312" w:cs="Times New Roman"/>
          <w:sz w:val="32"/>
          <w:szCs w:val="32"/>
          <w:lang w:val="en-US" w:eastAsia="zh-CN"/>
        </w:rPr>
        <w:t>3.33</w:t>
      </w:r>
      <w:r>
        <w:rPr>
          <w:rFonts w:hint="eastAsia" w:ascii="Times New Roman" w:hAnsi="Times New Roman" w:eastAsia="仿宋_GB2312" w:cs="Times New Roman"/>
          <w:sz w:val="32"/>
          <w:szCs w:val="32"/>
          <w:lang w:val="en-US" w:eastAsia="zh-CN"/>
        </w:rPr>
        <w:t>%。）</w:t>
      </w:r>
      <w:r>
        <w:rPr>
          <w:rFonts w:hint="eastAsia" w:eastAsia="仿宋_GB2312" w:cs="Times New Roman"/>
          <w:sz w:val="32"/>
          <w:szCs w:val="32"/>
          <w:lang w:val="en-US" w:eastAsia="zh-CN"/>
        </w:rPr>
        <w:t xml:space="preserve">                                                                                                                                                                                                                                                                                                                                                                                                                                                                                                                                                                                                                                                                                                                                                                                                                             </w:t>
      </w:r>
    </w:p>
    <w:p w14:paraId="50ED139B">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ascii="Times New Roman" w:hAnsi="Times New Roman" w:eastAsia="仿宋_GB2312" w:cs="Times New Roman"/>
          <w:b w:val="0"/>
          <w:bCs w:val="0"/>
          <w:color w:val="000000"/>
          <w:kern w:val="0"/>
          <w:szCs w:val="32"/>
          <w:highlight w:val="none"/>
          <w:shd w:val="clear" w:color="auto" w:fill="FFFFFF"/>
          <w:lang w:val="zh-CN" w:eastAsia="zh-CN"/>
        </w:rPr>
      </w:pPr>
      <w:r>
        <w:rPr>
          <w:rFonts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ascii="Times New Roman" w:hAnsi="Times New Roman" w:eastAsia="楷体_GB2312" w:cs="Times New Roman"/>
          <w:b/>
          <w:bCs/>
          <w:color w:val="000000"/>
          <w:kern w:val="0"/>
          <w:sz w:val="32"/>
          <w:szCs w:val="32"/>
          <w:highlight w:val="none"/>
          <w:shd w:val="clear" w:color="auto" w:fill="FFFFFF"/>
          <w:lang w:val="zh-CN"/>
        </w:rPr>
        <w:t>）结余分配和结转结余情况</w:t>
      </w:r>
      <w:r>
        <w:rPr>
          <w:rFonts w:hint="eastAsia"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eastAsia="仿宋_GB2312" w:cs="仿宋_GB2312"/>
          <w:color w:val="auto"/>
          <w:kern w:val="2"/>
          <w:sz w:val="32"/>
          <w:szCs w:val="32"/>
          <w:highlight w:val="none"/>
          <w:lang w:val="en-US" w:eastAsia="zh-CN" w:bidi="ar-SA"/>
        </w:rPr>
        <w:t>行政</w:t>
      </w:r>
      <w:r>
        <w:rPr>
          <w:rFonts w:hint="eastAsia" w:ascii="Times New Roman" w:hAnsi="Times New Roman" w:eastAsia="仿宋_GB2312" w:cs="Times New Roman"/>
          <w:sz w:val="32"/>
          <w:szCs w:val="32"/>
          <w:lang w:val="en-US" w:eastAsia="zh-CN"/>
        </w:rPr>
        <w:t>2024年决算报表</w:t>
      </w:r>
      <w:r>
        <w:rPr>
          <w:rFonts w:ascii="Times New Roman" w:hAnsi="Times New Roman" w:eastAsia="仿宋_GB2312" w:cs="Times New Roman"/>
          <w:sz w:val="32"/>
          <w:szCs w:val="32"/>
          <w:lang w:val="en-US" w:eastAsia="zh-CN"/>
        </w:rPr>
        <w:t>结转结余</w:t>
      </w:r>
      <w:r>
        <w:rPr>
          <w:rFonts w:hint="eastAsia" w:eastAsia="仿宋_GB2312" w:cs="Times New Roman"/>
          <w:sz w:val="32"/>
          <w:szCs w:val="32"/>
          <w:lang w:val="en-US" w:eastAsia="zh-CN"/>
        </w:rPr>
        <w:t>为0</w:t>
      </w:r>
      <w:r>
        <w:rPr>
          <w:rFonts w:ascii="Times New Roman" w:hAnsi="Times New Roman" w:eastAsia="仿宋_GB2312" w:cs="Times New Roman"/>
          <w:sz w:val="32"/>
          <w:szCs w:val="32"/>
          <w:lang w:val="en-US" w:eastAsia="zh-CN"/>
        </w:rPr>
        <w:t>。</w:t>
      </w:r>
    </w:p>
    <w:p w14:paraId="0D830AAF">
      <w:pPr>
        <w:keepNext w:val="0"/>
        <w:keepLines w:val="0"/>
        <w:pageBreakBefore w:val="0"/>
        <w:widowControl/>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ascii="Times New Roman" w:hAnsi="Times New Roman" w:eastAsia="黑体" w:cs="Times New Roman"/>
          <w:color w:val="000000"/>
          <w:kern w:val="0"/>
          <w:sz w:val="32"/>
          <w:szCs w:val="32"/>
          <w:highlight w:val="none"/>
          <w:shd w:val="clear" w:color="auto" w:fill="FFFFFF"/>
          <w:lang w:val="zh-CN" w:eastAsia="zh-CN"/>
        </w:rPr>
      </w:pPr>
      <w:r>
        <w:rPr>
          <w:rFonts w:ascii="Times New Roman" w:hAnsi="Times New Roman" w:eastAsia="黑体" w:cs="Times New Roman"/>
          <w:color w:val="000000"/>
          <w:kern w:val="0"/>
          <w:sz w:val="32"/>
          <w:szCs w:val="32"/>
          <w:highlight w:val="none"/>
          <w:shd w:val="clear" w:color="auto" w:fill="FFFFFF"/>
          <w:lang w:val="zh-CN" w:eastAsia="zh-CN"/>
        </w:rPr>
        <w:t>三、部门预算绩效分析</w:t>
      </w:r>
    </w:p>
    <w:p w14:paraId="4C872292">
      <w:pPr>
        <w:keepNext w:val="0"/>
        <w:keepLines w:val="0"/>
        <w:pageBreakBefore w:val="0"/>
        <w:widowControl w:val="0"/>
        <w:kinsoku/>
        <w:wordWrap/>
        <w:overflowPunct/>
        <w:topLinePunct w:val="0"/>
        <w:autoSpaceDE/>
        <w:autoSpaceDN/>
        <w:bidi w:val="0"/>
        <w:adjustRightInd w:val="0"/>
        <w:snapToGrid w:val="0"/>
        <w:spacing w:line="578" w:lineRule="exact"/>
        <w:ind w:left="0" w:firstLine="643" w:firstLineChars="200"/>
        <w:contextualSpacing/>
        <w:jc w:val="left"/>
        <w:textAlignment w:val="auto"/>
        <w:outlineLvl w:val="9"/>
        <w:rPr>
          <w:rFonts w:ascii="Times New Roman" w:hAnsi="Times New Roman" w:eastAsia="仿宋_GB2312" w:cs="仿宋_GB2312"/>
          <w:color w:val="auto"/>
          <w:kern w:val="2"/>
          <w:sz w:val="32"/>
          <w:szCs w:val="32"/>
          <w:highlight w:val="none"/>
          <w:lang w:val="zh-CN" w:eastAsia="zh-CN" w:bidi="ar-SA"/>
        </w:rPr>
      </w:pPr>
      <w:r>
        <w:rPr>
          <w:rFonts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部门预算</w:t>
      </w:r>
      <w:r>
        <w:rPr>
          <w:rFonts w:ascii="Times New Roman" w:hAnsi="Times New Roman" w:eastAsia="楷体_GB2312" w:cs="Times New Roman"/>
          <w:b/>
          <w:bCs/>
          <w:color w:val="000000"/>
          <w:kern w:val="0"/>
          <w:sz w:val="32"/>
          <w:szCs w:val="32"/>
          <w:highlight w:val="none"/>
          <w:shd w:val="clear" w:color="auto" w:fill="FFFFFF"/>
          <w:lang w:val="zh-CN"/>
        </w:rPr>
        <w:t>总体绩效分析。</w:t>
      </w:r>
      <w:r>
        <w:rPr>
          <w:rFonts w:ascii="Times New Roman" w:hAnsi="Times New Roman" w:eastAsia="仿宋_GB2312" w:cs="仿宋_GB2312"/>
          <w:color w:val="auto"/>
          <w:kern w:val="2"/>
          <w:sz w:val="32"/>
          <w:szCs w:val="32"/>
          <w:highlight w:val="none"/>
          <w:lang w:val="zh-CN" w:eastAsia="zh-CN" w:bidi="ar-SA"/>
        </w:rPr>
        <w:t>根据部门预算绩效评价指标体系</w:t>
      </w:r>
      <w:r>
        <w:rPr>
          <w:rFonts w:hint="eastAsia" w:ascii="Times New Roman" w:hAnsi="Times New Roman" w:eastAsia="仿宋_GB2312" w:cs="仿宋_GB2312"/>
          <w:color w:val="auto"/>
          <w:kern w:val="2"/>
          <w:sz w:val="32"/>
          <w:szCs w:val="32"/>
          <w:highlight w:val="none"/>
          <w:lang w:val="zh-CN" w:eastAsia="zh-CN" w:bidi="ar-SA"/>
        </w:rPr>
        <w:t>“</w:t>
      </w:r>
      <w:r>
        <w:rPr>
          <w:rFonts w:ascii="Times New Roman" w:hAnsi="Times New Roman" w:eastAsia="仿宋_GB2312" w:cs="仿宋_GB2312"/>
          <w:color w:val="auto"/>
          <w:kern w:val="2"/>
          <w:sz w:val="32"/>
          <w:szCs w:val="32"/>
          <w:highlight w:val="none"/>
          <w:lang w:val="zh-CN" w:eastAsia="zh-CN" w:bidi="ar-SA"/>
        </w:rPr>
        <w:t>总体绩效</w:t>
      </w:r>
      <w:r>
        <w:rPr>
          <w:rFonts w:hint="eastAsia" w:ascii="Times New Roman" w:hAnsi="Times New Roman" w:eastAsia="仿宋_GB2312" w:cs="仿宋_GB2312"/>
          <w:color w:val="auto"/>
          <w:kern w:val="2"/>
          <w:sz w:val="32"/>
          <w:szCs w:val="32"/>
          <w:highlight w:val="none"/>
          <w:lang w:val="zh-CN" w:eastAsia="zh-CN" w:bidi="ar-SA"/>
        </w:rPr>
        <w:t>”</w:t>
      </w:r>
      <w:r>
        <w:rPr>
          <w:rFonts w:ascii="Times New Roman" w:hAnsi="Times New Roman" w:eastAsia="仿宋_GB2312" w:cs="仿宋_GB2312"/>
          <w:color w:val="auto"/>
          <w:kern w:val="2"/>
          <w:sz w:val="32"/>
          <w:szCs w:val="32"/>
          <w:highlight w:val="none"/>
          <w:lang w:val="zh-CN" w:eastAsia="zh-CN" w:bidi="ar-SA"/>
        </w:rPr>
        <w:t>涉及</w:t>
      </w:r>
      <w:r>
        <w:rPr>
          <w:rFonts w:hint="eastAsia" w:ascii="Times New Roman" w:hAnsi="Times New Roman" w:eastAsia="仿宋_GB2312" w:cs="仿宋_GB2312"/>
          <w:color w:val="auto"/>
          <w:kern w:val="2"/>
          <w:sz w:val="32"/>
          <w:szCs w:val="32"/>
          <w:highlight w:val="none"/>
          <w:lang w:val="zh-CN" w:eastAsia="zh-CN" w:bidi="ar-SA"/>
        </w:rPr>
        <w:t>二、三级</w:t>
      </w:r>
      <w:r>
        <w:rPr>
          <w:rFonts w:ascii="Times New Roman" w:hAnsi="Times New Roman" w:eastAsia="仿宋_GB2312" w:cs="仿宋_GB2312"/>
          <w:color w:val="auto"/>
          <w:kern w:val="2"/>
          <w:sz w:val="32"/>
          <w:szCs w:val="32"/>
          <w:highlight w:val="none"/>
          <w:lang w:val="zh-CN" w:eastAsia="zh-CN" w:bidi="ar-SA"/>
        </w:rPr>
        <w:t>指标进行</w:t>
      </w:r>
      <w:r>
        <w:rPr>
          <w:rFonts w:hint="eastAsia" w:ascii="Times New Roman" w:hAnsi="Times New Roman" w:eastAsia="仿宋_GB2312" w:cs="仿宋_GB2312"/>
          <w:color w:val="auto"/>
          <w:kern w:val="2"/>
          <w:sz w:val="32"/>
          <w:szCs w:val="32"/>
          <w:highlight w:val="none"/>
          <w:lang w:val="zh-CN" w:eastAsia="zh-CN" w:bidi="ar-SA"/>
        </w:rPr>
        <w:t>逐项</w:t>
      </w:r>
      <w:r>
        <w:rPr>
          <w:rFonts w:ascii="Times New Roman" w:hAnsi="Times New Roman" w:eastAsia="仿宋_GB2312" w:cs="仿宋_GB2312"/>
          <w:color w:val="auto"/>
          <w:kern w:val="2"/>
          <w:sz w:val="32"/>
          <w:szCs w:val="32"/>
          <w:highlight w:val="none"/>
          <w:lang w:val="zh-CN" w:eastAsia="zh-CN" w:bidi="ar-SA"/>
        </w:rPr>
        <w:t>绩效分析</w:t>
      </w:r>
      <w:r>
        <w:rPr>
          <w:rFonts w:hint="eastAsia" w:ascii="Times New Roman" w:hAnsi="Times New Roman" w:eastAsia="仿宋_GB2312" w:cs="仿宋_GB2312"/>
          <w:color w:val="auto"/>
          <w:kern w:val="2"/>
          <w:sz w:val="32"/>
          <w:szCs w:val="32"/>
          <w:highlight w:val="none"/>
          <w:lang w:val="zh-CN" w:eastAsia="zh-CN" w:bidi="ar-SA"/>
        </w:rPr>
        <w:t>并评分</w:t>
      </w:r>
      <w:r>
        <w:rPr>
          <w:rFonts w:ascii="Times New Roman" w:hAnsi="Times New Roman" w:eastAsia="仿宋_GB2312" w:cs="仿宋_GB2312"/>
          <w:color w:val="auto"/>
          <w:kern w:val="2"/>
          <w:sz w:val="32"/>
          <w:szCs w:val="32"/>
          <w:highlight w:val="none"/>
          <w:lang w:val="zh-CN" w:eastAsia="zh-CN" w:bidi="ar-SA"/>
        </w:rPr>
        <w:t>，依次包括履职效能、预算管理、财务管理、资产管理、采购管理等情况。</w:t>
      </w:r>
    </w:p>
    <w:p w14:paraId="223564DC">
      <w:pPr>
        <w:keepNext w:val="0"/>
        <w:keepLines w:val="0"/>
        <w:widowControl/>
        <w:suppressLineNumbers w:val="0"/>
        <w:jc w:val="left"/>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zh-CN" w:eastAsia="zh-CN" w:bidi="ar-SA"/>
        </w:rPr>
        <w:t>履职效能。</w:t>
      </w:r>
    </w:p>
    <w:p w14:paraId="05CED89B">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ascii="Times New Roman" w:hAnsi="Times New Roman" w:eastAsia="仿宋_GB2312" w:cs="仿宋_GB2312"/>
          <w:color w:val="auto"/>
          <w:kern w:val="2"/>
          <w:sz w:val="32"/>
          <w:szCs w:val="32"/>
          <w:highlight w:val="none"/>
          <w:lang w:val="zh-CN" w:eastAsia="zh-CN" w:bidi="ar-SA"/>
        </w:rPr>
      </w:pPr>
      <w:r>
        <w:rPr>
          <w:rFonts w:hint="default" w:ascii="Times New Roman" w:hAnsi="Times New Roman" w:eastAsia="仿宋_GB2312" w:cs="仿宋_GB2312"/>
          <w:color w:val="auto"/>
          <w:kern w:val="2"/>
          <w:sz w:val="32"/>
          <w:szCs w:val="32"/>
          <w:highlight w:val="none"/>
          <w:lang w:val="en-US" w:eastAsia="zh-CN" w:bidi="ar-SA"/>
        </w:rPr>
        <w:t>202</w:t>
      </w:r>
      <w:r>
        <w:rPr>
          <w:rFonts w:hint="eastAsia" w:eastAsia="仿宋_GB2312" w:cs="仿宋_GB2312"/>
          <w:color w:val="auto"/>
          <w:kern w:val="2"/>
          <w:sz w:val="32"/>
          <w:szCs w:val="32"/>
          <w:highlight w:val="none"/>
          <w:lang w:val="en-US" w:eastAsia="zh-CN" w:bidi="ar-SA"/>
        </w:rPr>
        <w:t>4</w:t>
      </w:r>
      <w:r>
        <w:rPr>
          <w:rFonts w:ascii="Times New Roman" w:hAnsi="Times New Roman" w:eastAsia="仿宋_GB2312" w:cs="仿宋_GB2312"/>
          <w:color w:val="auto"/>
          <w:kern w:val="2"/>
          <w:sz w:val="32"/>
          <w:szCs w:val="32"/>
          <w:highlight w:val="none"/>
          <w:lang w:val="en-US" w:eastAsia="zh-CN" w:bidi="ar-SA"/>
        </w:rPr>
        <w:t>年</w:t>
      </w:r>
      <w:r>
        <w:rPr>
          <w:rFonts w:hint="eastAsia" w:eastAsia="仿宋_GB2312" w:cs="仿宋_GB2312"/>
          <w:color w:val="auto"/>
          <w:kern w:val="2"/>
          <w:sz w:val="32"/>
          <w:szCs w:val="32"/>
          <w:highlight w:val="none"/>
          <w:lang w:val="en-US" w:eastAsia="zh-CN" w:bidi="ar-SA"/>
        </w:rPr>
        <w:t>，</w:t>
      </w:r>
      <w:r>
        <w:rPr>
          <w:rFonts w:ascii="Times New Roman" w:hAnsi="Times New Roman" w:eastAsia="仿宋_GB2312" w:cs="仿宋_GB2312"/>
          <w:color w:val="auto"/>
          <w:kern w:val="2"/>
          <w:sz w:val="32"/>
          <w:szCs w:val="32"/>
          <w:highlight w:val="none"/>
          <w:lang w:val="en-US" w:eastAsia="zh-CN" w:bidi="ar-SA"/>
        </w:rPr>
        <w:t>我</w:t>
      </w:r>
      <w:r>
        <w:rPr>
          <w:rFonts w:hint="eastAsia" w:eastAsia="仿宋_GB2312" w:cs="仿宋_GB2312"/>
          <w:color w:val="auto"/>
          <w:kern w:val="2"/>
          <w:sz w:val="32"/>
          <w:szCs w:val="32"/>
          <w:highlight w:val="none"/>
          <w:lang w:val="en-US" w:eastAsia="zh-CN" w:bidi="ar-SA"/>
        </w:rPr>
        <w:t>局</w:t>
      </w:r>
      <w:r>
        <w:rPr>
          <w:rFonts w:ascii="Times New Roman" w:hAnsi="Times New Roman" w:eastAsia="仿宋_GB2312" w:cs="仿宋_GB2312"/>
          <w:color w:val="auto"/>
          <w:kern w:val="2"/>
          <w:sz w:val="32"/>
          <w:szCs w:val="32"/>
          <w:highlight w:val="none"/>
          <w:lang w:val="en-US" w:eastAsia="zh-CN" w:bidi="ar-SA"/>
        </w:rPr>
        <w:t>深入贯彻落实党的二十大精神和习近平总书记来川重要指示精神，采取更加有力的措施抓好党中央和省委部署落地落实，全力推进四川人社事业高质量发展。一是坚决扛起政</w:t>
      </w:r>
      <w:r>
        <w:rPr>
          <w:rFonts w:hint="eastAsia" w:ascii="Times New Roman" w:hAnsi="Times New Roman" w:eastAsia="仿宋_GB2312" w:cs="仿宋_GB2312"/>
          <w:color w:val="auto"/>
          <w:kern w:val="2"/>
          <w:sz w:val="32"/>
          <w:szCs w:val="32"/>
          <w:highlight w:val="none"/>
          <w:lang w:val="en-US" w:eastAsia="zh-CN" w:bidi="ar-SA"/>
        </w:rPr>
        <w:t>－ 30 －</w:t>
      </w:r>
      <w:r>
        <w:rPr>
          <w:rFonts w:ascii="Times New Roman" w:hAnsi="Times New Roman" w:eastAsia="仿宋_GB2312" w:cs="仿宋_GB2312"/>
          <w:color w:val="auto"/>
          <w:kern w:val="2"/>
          <w:sz w:val="32"/>
          <w:szCs w:val="32"/>
          <w:highlight w:val="none"/>
          <w:lang w:val="en-US" w:eastAsia="zh-CN" w:bidi="ar-SA"/>
        </w:rPr>
        <w:t>治责任，大力实施就业促进行动，促进高质量充分就业；二是大力实施社会保障行动，切实兜牢民生底线，不断完善社会保障体系；三是有力激发人才创新创造活力，持续深化人才人事机制改革；四是大力实施分配关系行动，建立更加合理有序的工资收入分配制度；五是有效防范化解风险，积极构建和谐劳动关系；六是深入推进</w:t>
      </w:r>
      <w:r>
        <w:rPr>
          <w:rFonts w:hint="default" w:ascii="Times New Roman" w:hAnsi="Times New Roman" w:eastAsia="仿宋_GB2312" w:cs="仿宋_GB2312"/>
          <w:color w:val="auto"/>
          <w:kern w:val="2"/>
          <w:sz w:val="32"/>
          <w:szCs w:val="32"/>
          <w:highlight w:val="none"/>
          <w:lang w:val="en-US" w:eastAsia="zh-CN" w:bidi="ar-SA"/>
        </w:rPr>
        <w:t>“</w:t>
      </w:r>
      <w:r>
        <w:rPr>
          <w:rFonts w:ascii="Times New Roman" w:hAnsi="Times New Roman" w:eastAsia="仿宋_GB2312" w:cs="仿宋_GB2312"/>
          <w:color w:val="auto"/>
          <w:kern w:val="2"/>
          <w:sz w:val="32"/>
          <w:szCs w:val="32"/>
          <w:highlight w:val="none"/>
          <w:lang w:val="en-US" w:eastAsia="zh-CN" w:bidi="ar-SA"/>
        </w:rPr>
        <w:t>温暖人社</w:t>
      </w:r>
      <w:r>
        <w:rPr>
          <w:rFonts w:hint="default" w:ascii="Times New Roman" w:hAnsi="Times New Roman" w:eastAsia="仿宋_GB2312" w:cs="仿宋_GB2312"/>
          <w:color w:val="auto"/>
          <w:kern w:val="2"/>
          <w:sz w:val="32"/>
          <w:szCs w:val="32"/>
          <w:highlight w:val="none"/>
          <w:lang w:val="en-US" w:eastAsia="zh-CN" w:bidi="ar-SA"/>
        </w:rPr>
        <w:t>”</w:t>
      </w:r>
      <w:r>
        <w:rPr>
          <w:rFonts w:ascii="Times New Roman" w:hAnsi="Times New Roman" w:eastAsia="仿宋_GB2312" w:cs="仿宋_GB2312"/>
          <w:color w:val="auto"/>
          <w:kern w:val="2"/>
          <w:sz w:val="32"/>
          <w:szCs w:val="32"/>
          <w:highlight w:val="none"/>
          <w:lang w:val="en-US" w:eastAsia="zh-CN" w:bidi="ar-SA"/>
        </w:rPr>
        <w:t xml:space="preserve">建设，持续提升人社服务水平。选取全省城镇新增就业人数、全省城镇职工基本养老保险参保人数、全省工伤保险参保人数、全省就业困难人员就业人数、全省失业保险参保人数、全省城镇失业人员再就业人数完成效果进行分析，完成情况如下：全省城镇新增就业人数年初设定指标值为 </w:t>
      </w:r>
      <w:r>
        <w:rPr>
          <w:rFonts w:hint="default" w:ascii="Times New Roman" w:hAnsi="Times New Roman" w:eastAsia="仿宋_GB2312" w:cs="仿宋_GB2312"/>
          <w:color w:val="auto"/>
          <w:kern w:val="2"/>
          <w:sz w:val="32"/>
          <w:szCs w:val="32"/>
          <w:highlight w:val="none"/>
          <w:lang w:val="en-US" w:eastAsia="zh-CN" w:bidi="ar-SA"/>
        </w:rPr>
        <w:t xml:space="preserve">85 </w:t>
      </w:r>
      <w:r>
        <w:rPr>
          <w:rFonts w:ascii="Times New Roman" w:hAnsi="Times New Roman" w:eastAsia="仿宋_GB2312" w:cs="仿宋_GB2312"/>
          <w:color w:val="auto"/>
          <w:kern w:val="2"/>
          <w:sz w:val="32"/>
          <w:szCs w:val="32"/>
          <w:highlight w:val="none"/>
          <w:lang w:val="en-US" w:eastAsia="zh-CN" w:bidi="ar-SA"/>
        </w:rPr>
        <w:t xml:space="preserve">万人，全年实际完成值为 </w:t>
      </w:r>
      <w:r>
        <w:rPr>
          <w:rFonts w:hint="default" w:ascii="Times New Roman" w:hAnsi="Times New Roman" w:eastAsia="仿宋_GB2312" w:cs="仿宋_GB2312"/>
          <w:color w:val="auto"/>
          <w:kern w:val="2"/>
          <w:sz w:val="32"/>
          <w:szCs w:val="32"/>
          <w:highlight w:val="none"/>
          <w:lang w:val="en-US" w:eastAsia="zh-CN" w:bidi="ar-SA"/>
        </w:rPr>
        <w:t xml:space="preserve">106.04 </w:t>
      </w:r>
      <w:r>
        <w:rPr>
          <w:rFonts w:ascii="Times New Roman" w:hAnsi="Times New Roman" w:eastAsia="仿宋_GB2312" w:cs="仿宋_GB2312"/>
          <w:color w:val="auto"/>
          <w:kern w:val="2"/>
          <w:sz w:val="32"/>
          <w:szCs w:val="32"/>
          <w:highlight w:val="none"/>
          <w:lang w:val="en-US" w:eastAsia="zh-CN" w:bidi="ar-SA"/>
        </w:rPr>
        <w:t xml:space="preserve">万人；全省城镇职工基本养老保险参保人数年初设定指标值为 </w:t>
      </w:r>
      <w:r>
        <w:rPr>
          <w:rFonts w:hint="default" w:ascii="Times New Roman" w:hAnsi="Times New Roman" w:eastAsia="仿宋_GB2312" w:cs="仿宋_GB2312"/>
          <w:color w:val="auto"/>
          <w:kern w:val="2"/>
          <w:sz w:val="32"/>
          <w:szCs w:val="32"/>
          <w:highlight w:val="none"/>
          <w:lang w:val="en-US" w:eastAsia="zh-CN" w:bidi="ar-SA"/>
        </w:rPr>
        <w:t xml:space="preserve">3415 </w:t>
      </w:r>
      <w:r>
        <w:rPr>
          <w:rFonts w:ascii="Times New Roman" w:hAnsi="Times New Roman" w:eastAsia="仿宋_GB2312" w:cs="仿宋_GB2312"/>
          <w:color w:val="auto"/>
          <w:kern w:val="2"/>
          <w:sz w:val="32"/>
          <w:szCs w:val="32"/>
          <w:highlight w:val="none"/>
          <w:lang w:val="en-US" w:eastAsia="zh-CN" w:bidi="ar-SA"/>
        </w:rPr>
        <w:t>万人，全年实际完成值为</w:t>
      </w:r>
      <w:r>
        <w:rPr>
          <w:rFonts w:hint="default" w:ascii="Times New Roman" w:hAnsi="Times New Roman" w:eastAsia="仿宋_GB2312" w:cs="仿宋_GB2312"/>
          <w:color w:val="auto"/>
          <w:kern w:val="2"/>
          <w:sz w:val="32"/>
          <w:szCs w:val="32"/>
          <w:highlight w:val="none"/>
          <w:lang w:val="en-US" w:eastAsia="zh-CN" w:bidi="ar-SA"/>
        </w:rPr>
        <w:t xml:space="preserve">3463.91 </w:t>
      </w:r>
      <w:r>
        <w:rPr>
          <w:rFonts w:ascii="Times New Roman" w:hAnsi="Times New Roman" w:eastAsia="仿宋_GB2312" w:cs="仿宋_GB2312"/>
          <w:color w:val="auto"/>
          <w:kern w:val="2"/>
          <w:sz w:val="32"/>
          <w:szCs w:val="32"/>
          <w:highlight w:val="none"/>
          <w:lang w:val="en-US" w:eastAsia="zh-CN" w:bidi="ar-SA"/>
        </w:rPr>
        <w:t>万人；全</w:t>
      </w:r>
      <w:r>
        <w:rPr>
          <w:rFonts w:hint="eastAsia" w:eastAsia="仿宋_GB2312" w:cs="仿宋_GB2312"/>
          <w:color w:val="auto"/>
          <w:kern w:val="2"/>
          <w:sz w:val="32"/>
          <w:szCs w:val="32"/>
          <w:highlight w:val="none"/>
          <w:lang w:val="en-US" w:eastAsia="zh-CN" w:bidi="ar-SA"/>
        </w:rPr>
        <w:t>州</w:t>
      </w:r>
      <w:r>
        <w:rPr>
          <w:rFonts w:ascii="Times New Roman" w:hAnsi="Times New Roman" w:eastAsia="仿宋_GB2312" w:cs="仿宋_GB2312"/>
          <w:color w:val="auto"/>
          <w:kern w:val="2"/>
          <w:sz w:val="32"/>
          <w:szCs w:val="32"/>
          <w:highlight w:val="none"/>
          <w:lang w:val="en-US" w:eastAsia="zh-CN" w:bidi="ar-SA"/>
        </w:rPr>
        <w:t xml:space="preserve">工伤保险参保人数年初设定指标值为 </w:t>
      </w:r>
      <w:r>
        <w:rPr>
          <w:rFonts w:hint="default" w:ascii="Times New Roman" w:hAnsi="Times New Roman" w:eastAsia="仿宋_GB2312" w:cs="仿宋_GB2312"/>
          <w:color w:val="auto"/>
          <w:kern w:val="2"/>
          <w:sz w:val="32"/>
          <w:szCs w:val="32"/>
          <w:highlight w:val="none"/>
          <w:lang w:val="en-US" w:eastAsia="zh-CN" w:bidi="ar-SA"/>
        </w:rPr>
        <w:t xml:space="preserve">1550 </w:t>
      </w:r>
      <w:r>
        <w:rPr>
          <w:rFonts w:ascii="Times New Roman" w:hAnsi="Times New Roman" w:eastAsia="仿宋_GB2312" w:cs="仿宋_GB2312"/>
          <w:color w:val="auto"/>
          <w:kern w:val="2"/>
          <w:sz w:val="32"/>
          <w:szCs w:val="32"/>
          <w:highlight w:val="none"/>
          <w:lang w:val="en-US" w:eastAsia="zh-CN" w:bidi="ar-SA"/>
        </w:rPr>
        <w:t>万人，全年实际完成值</w:t>
      </w:r>
      <w:r>
        <w:rPr>
          <w:rFonts w:hint="eastAsia" w:eastAsia="仿宋_GB2312" w:cs="仿宋_GB2312"/>
          <w:color w:val="auto"/>
          <w:kern w:val="2"/>
          <w:sz w:val="32"/>
          <w:szCs w:val="32"/>
          <w:highlight w:val="none"/>
          <w:lang w:val="en-US" w:eastAsia="zh-CN" w:bidi="ar-SA"/>
        </w:rPr>
        <w:t>为</w:t>
      </w:r>
      <w:r>
        <w:rPr>
          <w:rFonts w:hint="default" w:ascii="Times New Roman" w:hAnsi="Times New Roman" w:eastAsia="仿宋_GB2312" w:cs="仿宋_GB2312"/>
          <w:color w:val="auto"/>
          <w:kern w:val="2"/>
          <w:sz w:val="32"/>
          <w:szCs w:val="32"/>
          <w:highlight w:val="none"/>
          <w:lang w:val="en-US" w:eastAsia="zh-CN" w:bidi="ar-SA"/>
        </w:rPr>
        <w:t>1638.31</w:t>
      </w:r>
      <w:r>
        <w:rPr>
          <w:rFonts w:ascii="Times New Roman" w:hAnsi="Times New Roman" w:eastAsia="仿宋_GB2312" w:cs="仿宋_GB2312"/>
          <w:color w:val="auto"/>
          <w:kern w:val="2"/>
          <w:sz w:val="32"/>
          <w:szCs w:val="32"/>
          <w:highlight w:val="none"/>
          <w:lang w:val="en-US" w:eastAsia="zh-CN" w:bidi="ar-SA"/>
        </w:rPr>
        <w:t>万人；全省就业困难人员就业人数年初设定指标值</w:t>
      </w:r>
      <w:r>
        <w:rPr>
          <w:rFonts w:hint="eastAsia" w:eastAsia="仿宋_GB2312" w:cs="仿宋_GB2312"/>
          <w:color w:val="auto"/>
          <w:kern w:val="2"/>
          <w:sz w:val="32"/>
          <w:szCs w:val="32"/>
          <w:highlight w:val="none"/>
          <w:lang w:val="en-US" w:eastAsia="zh-CN" w:bidi="ar-SA"/>
        </w:rPr>
        <w:t>为</w:t>
      </w:r>
      <w:r>
        <w:rPr>
          <w:rFonts w:hint="default" w:ascii="Times New Roman" w:hAnsi="Times New Roman" w:eastAsia="仿宋_GB2312" w:cs="仿宋_GB2312"/>
          <w:color w:val="auto"/>
          <w:kern w:val="2"/>
          <w:sz w:val="32"/>
          <w:szCs w:val="32"/>
          <w:highlight w:val="none"/>
          <w:lang w:val="en-US" w:eastAsia="zh-CN" w:bidi="ar-SA"/>
        </w:rPr>
        <w:t>6</w:t>
      </w:r>
      <w:r>
        <w:rPr>
          <w:rFonts w:ascii="Times New Roman" w:hAnsi="Times New Roman" w:eastAsia="仿宋_GB2312" w:cs="仿宋_GB2312"/>
          <w:color w:val="auto"/>
          <w:kern w:val="2"/>
          <w:sz w:val="32"/>
          <w:szCs w:val="32"/>
          <w:highlight w:val="none"/>
          <w:lang w:val="en-US" w:eastAsia="zh-CN" w:bidi="ar-SA"/>
        </w:rPr>
        <w:t xml:space="preserve">万人，全年实际完成值为 </w:t>
      </w:r>
      <w:r>
        <w:rPr>
          <w:rFonts w:hint="default" w:ascii="Times New Roman" w:hAnsi="Times New Roman" w:eastAsia="仿宋_GB2312" w:cs="仿宋_GB2312"/>
          <w:color w:val="auto"/>
          <w:kern w:val="2"/>
          <w:sz w:val="32"/>
          <w:szCs w:val="32"/>
          <w:highlight w:val="none"/>
          <w:lang w:val="en-US" w:eastAsia="zh-CN" w:bidi="ar-SA"/>
        </w:rPr>
        <w:t xml:space="preserve">8.47 </w:t>
      </w:r>
      <w:r>
        <w:rPr>
          <w:rFonts w:ascii="Times New Roman" w:hAnsi="Times New Roman" w:eastAsia="仿宋_GB2312" w:cs="仿宋_GB2312"/>
          <w:color w:val="auto"/>
          <w:kern w:val="2"/>
          <w:sz w:val="32"/>
          <w:szCs w:val="32"/>
          <w:highlight w:val="none"/>
          <w:lang w:val="en-US" w:eastAsia="zh-CN" w:bidi="ar-SA"/>
        </w:rPr>
        <w:t xml:space="preserve">万人；全省失业保险参保人数 年初设定指标值 </w:t>
      </w:r>
      <w:r>
        <w:rPr>
          <w:rFonts w:hint="default" w:ascii="Times New Roman" w:hAnsi="Times New Roman" w:eastAsia="仿宋_GB2312" w:cs="仿宋_GB2312"/>
          <w:color w:val="auto"/>
          <w:kern w:val="2"/>
          <w:sz w:val="32"/>
          <w:szCs w:val="32"/>
          <w:highlight w:val="none"/>
          <w:lang w:val="en-US" w:eastAsia="zh-CN" w:bidi="ar-SA"/>
        </w:rPr>
        <w:t xml:space="preserve">1190 </w:t>
      </w:r>
      <w:r>
        <w:rPr>
          <w:rFonts w:ascii="Times New Roman" w:hAnsi="Times New Roman" w:eastAsia="仿宋_GB2312" w:cs="仿宋_GB2312"/>
          <w:color w:val="auto"/>
          <w:kern w:val="2"/>
          <w:sz w:val="32"/>
          <w:szCs w:val="32"/>
          <w:highlight w:val="none"/>
          <w:lang w:val="en-US" w:eastAsia="zh-CN" w:bidi="ar-SA"/>
        </w:rPr>
        <w:t>万人，全年实际完成值为</w:t>
      </w:r>
      <w:r>
        <w:rPr>
          <w:rFonts w:hint="default" w:ascii="Times New Roman" w:hAnsi="Times New Roman" w:eastAsia="仿宋_GB2312" w:cs="仿宋_GB2312"/>
          <w:color w:val="auto"/>
          <w:kern w:val="2"/>
          <w:sz w:val="32"/>
          <w:szCs w:val="32"/>
          <w:highlight w:val="none"/>
          <w:lang w:val="en-US" w:eastAsia="zh-CN" w:bidi="ar-SA"/>
        </w:rPr>
        <w:t xml:space="preserve">1198.91 </w:t>
      </w:r>
      <w:r>
        <w:rPr>
          <w:rFonts w:ascii="Times New Roman" w:hAnsi="Times New Roman" w:eastAsia="仿宋_GB2312" w:cs="仿宋_GB2312"/>
          <w:color w:val="auto"/>
          <w:kern w:val="2"/>
          <w:sz w:val="32"/>
          <w:szCs w:val="32"/>
          <w:highlight w:val="none"/>
          <w:lang w:val="en-US" w:eastAsia="zh-CN" w:bidi="ar-SA"/>
        </w:rPr>
        <w:t xml:space="preserve">万人；全省城镇失业人员再就业人数年初设定指标值为 </w:t>
      </w:r>
      <w:r>
        <w:rPr>
          <w:rFonts w:hint="default" w:ascii="Times New Roman" w:hAnsi="Times New Roman" w:eastAsia="仿宋_GB2312" w:cs="仿宋_GB2312"/>
          <w:color w:val="auto"/>
          <w:kern w:val="2"/>
          <w:sz w:val="32"/>
          <w:szCs w:val="32"/>
          <w:highlight w:val="none"/>
          <w:lang w:val="en-US" w:eastAsia="zh-CN" w:bidi="ar-SA"/>
        </w:rPr>
        <w:t xml:space="preserve">22 </w:t>
      </w:r>
      <w:r>
        <w:rPr>
          <w:rFonts w:ascii="Times New Roman" w:hAnsi="Times New Roman" w:eastAsia="仿宋_GB2312" w:cs="仿宋_GB2312"/>
          <w:color w:val="auto"/>
          <w:kern w:val="2"/>
          <w:sz w:val="32"/>
          <w:szCs w:val="32"/>
          <w:highlight w:val="none"/>
          <w:lang w:val="en-US" w:eastAsia="zh-CN" w:bidi="ar-SA"/>
        </w:rPr>
        <w:t xml:space="preserve">万人，全年实际 完成值为 </w:t>
      </w:r>
      <w:r>
        <w:rPr>
          <w:rFonts w:hint="default" w:ascii="Times New Roman" w:hAnsi="Times New Roman" w:eastAsia="仿宋_GB2312" w:cs="仿宋_GB2312"/>
          <w:color w:val="auto"/>
          <w:kern w:val="2"/>
          <w:sz w:val="32"/>
          <w:szCs w:val="32"/>
          <w:highlight w:val="none"/>
          <w:lang w:val="en-US" w:eastAsia="zh-CN" w:bidi="ar-SA"/>
        </w:rPr>
        <w:t xml:space="preserve">30.18 </w:t>
      </w:r>
      <w:r>
        <w:rPr>
          <w:rFonts w:ascii="Times New Roman" w:hAnsi="Times New Roman" w:eastAsia="仿宋_GB2312" w:cs="仿宋_GB2312"/>
          <w:color w:val="auto"/>
          <w:kern w:val="2"/>
          <w:sz w:val="32"/>
          <w:szCs w:val="32"/>
          <w:highlight w:val="none"/>
          <w:lang w:val="en-US" w:eastAsia="zh-CN" w:bidi="ar-SA"/>
        </w:rPr>
        <w:t xml:space="preserve">万人。 </w:t>
      </w:r>
    </w:p>
    <w:p w14:paraId="338C53F6">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ascii="Times New Roman" w:hAnsi="Times New Roman" w:eastAsia="仿宋_GB2312" w:cs="仿宋_GB2312"/>
          <w:color w:val="auto"/>
          <w:kern w:val="2"/>
          <w:sz w:val="32"/>
          <w:szCs w:val="32"/>
          <w:highlight w:val="none"/>
          <w:lang w:val="zh-CN" w:eastAsia="zh-CN" w:bidi="ar-SA"/>
        </w:rPr>
      </w:pPr>
      <w:r>
        <w:rPr>
          <w:rFonts w:ascii="Times New Roman" w:hAnsi="Times New Roman" w:eastAsia="仿宋_GB2312" w:cs="仿宋_GB2312"/>
          <w:color w:val="auto"/>
          <w:kern w:val="2"/>
          <w:sz w:val="32"/>
          <w:szCs w:val="32"/>
          <w:highlight w:val="none"/>
          <w:lang w:val="en-US" w:eastAsia="zh-CN" w:bidi="ar-SA"/>
        </w:rPr>
        <w:t xml:space="preserve">综上，根据评分标准，该项指标不扣分，得 </w:t>
      </w:r>
      <w:r>
        <w:rPr>
          <w:rFonts w:hint="default" w:ascii="Times New Roman" w:hAnsi="Times New Roman" w:eastAsia="仿宋_GB2312" w:cs="仿宋_GB2312"/>
          <w:color w:val="auto"/>
          <w:kern w:val="2"/>
          <w:sz w:val="32"/>
          <w:szCs w:val="32"/>
          <w:highlight w:val="none"/>
          <w:lang w:val="en-US" w:eastAsia="zh-CN" w:bidi="ar-SA"/>
        </w:rPr>
        <w:t xml:space="preserve">15 </w:t>
      </w:r>
      <w:r>
        <w:rPr>
          <w:rFonts w:ascii="Times New Roman" w:hAnsi="Times New Roman" w:eastAsia="仿宋_GB2312" w:cs="仿宋_GB2312"/>
          <w:color w:val="auto"/>
          <w:kern w:val="2"/>
          <w:sz w:val="32"/>
          <w:szCs w:val="32"/>
          <w:highlight w:val="none"/>
          <w:lang w:val="en-US" w:eastAsia="zh-CN" w:bidi="ar-SA"/>
        </w:rPr>
        <w:t>分。</w:t>
      </w:r>
    </w:p>
    <w:p w14:paraId="78E5E44C">
      <w:pPr>
        <w:keepNext w:val="0"/>
        <w:keepLines w:val="0"/>
        <w:pageBreakBefore w:val="0"/>
        <w:widowControl w:val="0"/>
        <w:numPr>
          <w:ilvl w:val="0"/>
          <w:numId w:val="4"/>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outlineLvl w:val="9"/>
        <w:rPr>
          <w:rFonts w:hint="eastAsia" w:ascii="Times New Roman" w:hAnsi="Times New Roman" w:eastAsia="仿宋_GB2312" w:cs="仿宋_GB2312"/>
          <w:color w:val="auto"/>
          <w:kern w:val="2"/>
          <w:sz w:val="32"/>
          <w:szCs w:val="32"/>
          <w:highlight w:val="none"/>
          <w:lang w:val="zh-CN" w:eastAsia="zh-CN" w:bidi="ar-SA"/>
        </w:rPr>
      </w:pPr>
      <w:r>
        <w:rPr>
          <w:rFonts w:ascii="Times New Roman" w:hAnsi="Times New Roman" w:eastAsia="仿宋_GB2312" w:cs="仿宋_GB2312"/>
          <w:color w:val="auto"/>
          <w:kern w:val="2"/>
          <w:sz w:val="32"/>
          <w:szCs w:val="32"/>
          <w:highlight w:val="none"/>
          <w:lang w:val="zh-CN" w:eastAsia="zh-CN" w:bidi="ar-SA"/>
        </w:rPr>
        <w:t>预算管理</w:t>
      </w:r>
      <w:r>
        <w:rPr>
          <w:rFonts w:hint="eastAsia" w:ascii="Times New Roman" w:hAnsi="Times New Roman" w:eastAsia="仿宋_GB2312" w:cs="仿宋_GB2312"/>
          <w:color w:val="auto"/>
          <w:kern w:val="2"/>
          <w:sz w:val="32"/>
          <w:szCs w:val="32"/>
          <w:highlight w:val="none"/>
          <w:lang w:val="zh-CN" w:eastAsia="zh-CN" w:bidi="ar-SA"/>
        </w:rPr>
        <w:t>。</w:t>
      </w:r>
    </w:p>
    <w:p w14:paraId="2057F684">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leftChars="200" w:firstLine="640" w:firstLineChars="200"/>
        <w:contextualSpacing/>
        <w:jc w:val="left"/>
        <w:textAlignment w:val="auto"/>
        <w:outlineLvl w:val="9"/>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zh-CN" w:eastAsia="zh-CN" w:bidi="ar-SA"/>
        </w:rPr>
        <w:t>我部门严格按要求编制年初部门预算，年初预算编制具有一定的科学性和准确性，该项指标得分=（1-</w:t>
      </w:r>
      <w:r>
        <w:rPr>
          <w:rFonts w:hint="eastAsia" w:ascii="Times New Roman" w:hAnsi="Times New Roman" w:eastAsia="仿宋_GB2312" w:cs="仿宋_GB2312"/>
          <w:color w:val="auto"/>
          <w:kern w:val="2"/>
          <w:sz w:val="32"/>
          <w:szCs w:val="32"/>
          <w:highlight w:val="none"/>
          <w:lang w:val="en-US" w:eastAsia="zh-CN" w:bidi="ar-SA"/>
        </w:rPr>
        <w:t>0.22</w:t>
      </w:r>
      <w:r>
        <w:rPr>
          <w:rFonts w:hint="eastAsia" w:ascii="Times New Roman" w:hAnsi="Times New Roman" w:eastAsia="仿宋_GB2312" w:cs="仿宋_GB2312"/>
          <w:color w:val="auto"/>
          <w:kern w:val="2"/>
          <w:sz w:val="32"/>
          <w:szCs w:val="32"/>
          <w:highlight w:val="none"/>
          <w:lang w:val="zh-CN" w:eastAsia="zh-CN" w:bidi="ar-SA"/>
        </w:rPr>
        <w:t>）×100%×4+（1-</w:t>
      </w:r>
      <w:r>
        <w:rPr>
          <w:rFonts w:hint="eastAsia" w:ascii="Times New Roman" w:hAnsi="Times New Roman" w:eastAsia="仿宋_GB2312" w:cs="仿宋_GB2312"/>
          <w:color w:val="auto"/>
          <w:kern w:val="2"/>
          <w:sz w:val="32"/>
          <w:szCs w:val="32"/>
          <w:highlight w:val="none"/>
          <w:lang w:val="en-US" w:eastAsia="zh-CN" w:bidi="ar-SA"/>
        </w:rPr>
        <w:t>0.16</w:t>
      </w:r>
      <w:r>
        <w:rPr>
          <w:rFonts w:hint="eastAsia" w:ascii="Times New Roman" w:hAnsi="Times New Roman" w:eastAsia="仿宋_GB2312" w:cs="仿宋_GB2312"/>
          <w:color w:val="auto"/>
          <w:kern w:val="2"/>
          <w:sz w:val="32"/>
          <w:szCs w:val="32"/>
          <w:highlight w:val="none"/>
          <w:lang w:val="zh-CN" w:eastAsia="zh-CN" w:bidi="ar-SA"/>
        </w:rPr>
        <w:t>）×100%×2+（1-</w:t>
      </w:r>
      <w:r>
        <w:rPr>
          <w:rFonts w:hint="eastAsia" w:ascii="Times New Roman" w:hAnsi="Times New Roman"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zh-CN" w:eastAsia="zh-CN" w:bidi="ar-SA"/>
        </w:rPr>
        <w:t>）×100%×2，得分</w:t>
      </w:r>
      <w:r>
        <w:rPr>
          <w:rFonts w:hint="eastAsia" w:ascii="Times New Roman" w:hAnsi="Times New Roman" w:eastAsia="仿宋_GB2312" w:cs="仿宋_GB2312"/>
          <w:color w:val="auto"/>
          <w:kern w:val="2"/>
          <w:sz w:val="32"/>
          <w:szCs w:val="32"/>
          <w:highlight w:val="none"/>
          <w:lang w:val="en-US" w:eastAsia="zh-CN" w:bidi="ar-SA"/>
        </w:rPr>
        <w:t>6.8分。</w:t>
      </w:r>
    </w:p>
    <w:p w14:paraId="0E40E2D6">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zh-CN" w:eastAsia="zh-CN" w:bidi="ar-SA"/>
        </w:rPr>
        <w:t>部门统筹自有收入程度分析：该项指标得分=（</w:t>
      </w:r>
      <w:r>
        <w:rPr>
          <w:rFonts w:hint="eastAsia" w:ascii="Times New Roman" w:hAnsi="Times New Roman" w:eastAsia="仿宋_GB2312" w:cs="仿宋_GB2312"/>
          <w:color w:val="auto"/>
          <w:kern w:val="2"/>
          <w:sz w:val="32"/>
          <w:szCs w:val="32"/>
          <w:highlight w:val="none"/>
          <w:lang w:val="en-US" w:eastAsia="zh-CN" w:bidi="ar-SA"/>
        </w:rPr>
        <w:t>200</w:t>
      </w:r>
      <w:r>
        <w:rPr>
          <w:rFonts w:hint="eastAsia" w:ascii="Times New Roman" w:hAnsi="Times New Roman" w:eastAsia="仿宋_GB2312" w:cs="仿宋_GB2312"/>
          <w:color w:val="auto"/>
          <w:kern w:val="2"/>
          <w:sz w:val="32"/>
          <w:szCs w:val="32"/>
          <w:highlight w:val="none"/>
          <w:lang w:val="zh-CN" w:eastAsia="zh-CN" w:bidi="ar-SA"/>
        </w:rPr>
        <w:t>÷</w:t>
      </w:r>
      <w:r>
        <w:rPr>
          <w:rFonts w:hint="eastAsia" w:ascii="Times New Roman" w:hAnsi="Times New Roman" w:eastAsia="仿宋_GB2312" w:cs="仿宋_GB2312"/>
          <w:color w:val="auto"/>
          <w:kern w:val="2"/>
          <w:sz w:val="32"/>
          <w:szCs w:val="32"/>
          <w:highlight w:val="none"/>
          <w:lang w:val="en-US" w:eastAsia="zh-CN" w:bidi="ar-SA"/>
        </w:rPr>
        <w:t>200</w:t>
      </w:r>
      <w:r>
        <w:rPr>
          <w:rFonts w:hint="eastAsia" w:ascii="Times New Roman" w:hAnsi="Times New Roman" w:eastAsia="仿宋_GB2312" w:cs="仿宋_GB2312"/>
          <w:color w:val="auto"/>
          <w:kern w:val="2"/>
          <w:sz w:val="32"/>
          <w:szCs w:val="32"/>
          <w:highlight w:val="none"/>
          <w:lang w:val="zh-CN" w:eastAsia="zh-CN" w:bidi="ar-SA"/>
        </w:rPr>
        <w:t>）×100%×2+（</w:t>
      </w:r>
      <w:r>
        <w:rPr>
          <w:rFonts w:hint="eastAsia" w:ascii="Times New Roman" w:hAnsi="Times New Roman" w:eastAsia="仿宋_GB2312" w:cs="仿宋_GB2312"/>
          <w:color w:val="auto"/>
          <w:kern w:val="2"/>
          <w:sz w:val="32"/>
          <w:szCs w:val="32"/>
          <w:highlight w:val="none"/>
          <w:lang w:val="en-US" w:eastAsia="zh-CN" w:bidi="ar-SA"/>
        </w:rPr>
        <w:t>200</w:t>
      </w:r>
      <w:r>
        <w:rPr>
          <w:rFonts w:hint="eastAsia" w:ascii="Times New Roman" w:hAnsi="Times New Roman" w:eastAsia="仿宋_GB2312" w:cs="仿宋_GB2312"/>
          <w:color w:val="auto"/>
          <w:kern w:val="2"/>
          <w:sz w:val="32"/>
          <w:szCs w:val="32"/>
          <w:highlight w:val="none"/>
          <w:lang w:val="zh-CN" w:eastAsia="zh-CN" w:bidi="ar-SA"/>
        </w:rPr>
        <w:t>÷</w:t>
      </w:r>
      <w:r>
        <w:rPr>
          <w:rFonts w:hint="eastAsia" w:ascii="Times New Roman" w:hAnsi="Times New Roman" w:eastAsia="仿宋_GB2312" w:cs="仿宋_GB2312"/>
          <w:color w:val="auto"/>
          <w:kern w:val="2"/>
          <w:sz w:val="32"/>
          <w:szCs w:val="32"/>
          <w:highlight w:val="none"/>
          <w:lang w:val="en-US" w:eastAsia="zh-CN" w:bidi="ar-SA"/>
        </w:rPr>
        <w:t>200</w:t>
      </w:r>
      <w:r>
        <w:rPr>
          <w:rFonts w:hint="eastAsia" w:ascii="Times New Roman" w:hAnsi="Times New Roman" w:eastAsia="仿宋_GB2312" w:cs="仿宋_GB2312"/>
          <w:color w:val="auto"/>
          <w:kern w:val="2"/>
          <w:sz w:val="32"/>
          <w:szCs w:val="32"/>
          <w:highlight w:val="none"/>
          <w:lang w:val="zh-CN" w:eastAsia="zh-CN" w:bidi="ar-SA"/>
        </w:rPr>
        <w:t>）×100%×2。得分</w:t>
      </w:r>
      <w:r>
        <w:rPr>
          <w:rFonts w:hint="eastAsia" w:ascii="Times New Roman" w:hAnsi="Times New Roman" w:eastAsia="仿宋_GB2312" w:cs="仿宋_GB2312"/>
          <w:color w:val="auto"/>
          <w:kern w:val="2"/>
          <w:sz w:val="32"/>
          <w:szCs w:val="32"/>
          <w:highlight w:val="none"/>
          <w:lang w:val="en-US" w:eastAsia="zh-CN" w:bidi="ar-SA"/>
        </w:rPr>
        <w:t>4分。我部门纳入自有收入预算数200万元，年底自有收入实现支付200万元。</w:t>
      </w:r>
    </w:p>
    <w:p w14:paraId="30E9DBD0">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部门1至6月、1至10月预算执行情况：该项指标得分=（1795.84÷（3842.85×50%）×2）+（1-0%×0.8-0%×0.2）+（3001.87÷（3842.85×83.33%）×2）+（1-0%×0.8-0%×0.2），得分5.75分。</w:t>
      </w:r>
    </w:p>
    <w:p w14:paraId="6659C5F0">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仿宋_GB2312" w:cs="仿宋_GB2312"/>
          <w:color w:val="auto"/>
          <w:kern w:val="2"/>
          <w:sz w:val="32"/>
          <w:szCs w:val="32"/>
          <w:highlight w:val="none"/>
          <w:lang w:val="en-US" w:eastAsia="zh-CN" w:bidi="ar-SA"/>
        </w:rPr>
        <w:t>部门整体年终预算结余情况</w:t>
      </w:r>
      <w:r>
        <w:rPr>
          <w:rFonts w:hint="eastAsia" w:ascii="Times New Roman" w:hAnsi="Times New Roman" w:eastAsia="仿宋_GB2312" w:cs="仿宋_GB2312"/>
          <w:color w:val="auto"/>
          <w:kern w:val="2"/>
          <w:sz w:val="32"/>
          <w:szCs w:val="32"/>
          <w:highlight w:val="none"/>
          <w:lang w:val="en-US" w:eastAsia="zh-CN" w:bidi="ar-SA"/>
        </w:rPr>
        <w:t>：该项指标得分=（1-0.01）×100%×2。部门整体预算结余率为当年年终部门预算注销金额和结转金额占部门预算总金额的比率，得分1.98分。</w:t>
      </w:r>
    </w:p>
    <w:p w14:paraId="57130258">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我部门2024年</w:t>
      </w:r>
      <w:r>
        <w:rPr>
          <w:rFonts w:hint="default" w:ascii="Times New Roman" w:hAnsi="Times New Roman" w:eastAsia="仿宋_GB2312" w:cs="仿宋_GB2312"/>
          <w:color w:val="auto"/>
          <w:kern w:val="2"/>
          <w:sz w:val="32"/>
          <w:szCs w:val="32"/>
          <w:highlight w:val="none"/>
          <w:lang w:val="en-US" w:eastAsia="zh-CN" w:bidi="ar-SA"/>
        </w:rPr>
        <w:t>一般性支出财政拨款年初预算较上年</w:t>
      </w:r>
      <w:r>
        <w:rPr>
          <w:rFonts w:hint="eastAsia" w:ascii="Times New Roman" w:hAnsi="Times New Roman" w:eastAsia="仿宋_GB2312" w:cs="仿宋_GB2312"/>
          <w:color w:val="auto"/>
          <w:kern w:val="2"/>
          <w:sz w:val="32"/>
          <w:szCs w:val="32"/>
          <w:highlight w:val="none"/>
          <w:lang w:val="en-US" w:eastAsia="zh-CN" w:bidi="ar-SA"/>
        </w:rPr>
        <w:t>实现压减，但一般性支出财政拨款预算执行未能</w:t>
      </w:r>
      <w:r>
        <w:rPr>
          <w:rFonts w:hint="default" w:ascii="Times New Roman" w:hAnsi="Times New Roman" w:eastAsia="仿宋_GB2312" w:cs="仿宋_GB2312"/>
          <w:color w:val="auto"/>
          <w:kern w:val="2"/>
          <w:sz w:val="32"/>
          <w:szCs w:val="32"/>
          <w:highlight w:val="none"/>
          <w:lang w:val="en-US" w:eastAsia="zh-CN" w:bidi="ar-SA"/>
        </w:rPr>
        <w:t>实现压减</w:t>
      </w:r>
      <w:r>
        <w:rPr>
          <w:rFonts w:hint="eastAsia" w:ascii="Times New Roman" w:hAnsi="Times New Roman" w:eastAsia="仿宋_GB2312" w:cs="仿宋_GB2312"/>
          <w:color w:val="auto"/>
          <w:kern w:val="2"/>
          <w:sz w:val="32"/>
          <w:szCs w:val="32"/>
          <w:highlight w:val="none"/>
          <w:lang w:val="en-US" w:eastAsia="zh-CN" w:bidi="ar-SA"/>
        </w:rPr>
        <w:t>。原因是由于2024年我部门应上级要求召开阿坝州促进大中专毕业生就业创业工作会，本次会议参会人数较多，会议费较2023年增加，故我部门2024年度一般性支出为能有效进行压减，该项得分1分。</w:t>
      </w:r>
    </w:p>
    <w:p w14:paraId="12E36A47">
      <w:pPr>
        <w:pStyle w:val="2"/>
        <w:rPr>
          <w:rFonts w:hint="default"/>
          <w:lang w:val="en-US" w:eastAsia="zh-CN"/>
        </w:rPr>
      </w:pPr>
      <w:r>
        <w:rPr>
          <w:rFonts w:hint="eastAsia"/>
          <w:lang w:val="en-US" w:eastAsia="zh-CN"/>
        </w:rPr>
        <w:t xml:space="preserve">    综上所</w:t>
      </w:r>
      <w:r>
        <w:rPr>
          <w:rFonts w:hint="eastAsia" w:ascii="Times New Roman" w:hAnsi="Times New Roman" w:eastAsia="仿宋_GB2312" w:cs="Times New Roman"/>
          <w:b w:val="0"/>
          <w:bCs w:val="0"/>
          <w:kern w:val="2"/>
          <w:sz w:val="32"/>
          <w:szCs w:val="24"/>
          <w:lang w:val="en-US" w:eastAsia="zh-CN" w:bidi="ar-SA"/>
        </w:rPr>
        <w:t>述</w:t>
      </w:r>
      <w:r>
        <w:rPr>
          <w:rFonts w:hint="eastAsia"/>
          <w:lang w:val="en-US" w:eastAsia="zh-CN"/>
        </w:rPr>
        <w:t>预算管理项总得分：19.53分。</w:t>
      </w:r>
    </w:p>
    <w:p w14:paraId="1DF88B3E">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Times New Roman" w:hAnsi="Times New Roman" w:eastAsia="仿宋_GB2312" w:cs="仿宋_GB2312"/>
          <w:color w:val="auto"/>
          <w:kern w:val="2"/>
          <w:sz w:val="32"/>
          <w:szCs w:val="32"/>
          <w:highlight w:val="none"/>
          <w:lang w:val="zh-CN" w:eastAsia="zh-CN" w:bidi="ar-SA"/>
        </w:rPr>
      </w:pPr>
    </w:p>
    <w:p w14:paraId="25A4DD72">
      <w:pPr>
        <w:keepNext w:val="0"/>
        <w:keepLines w:val="0"/>
        <w:pageBreakBefore w:val="0"/>
        <w:widowControl w:val="0"/>
        <w:numPr>
          <w:ilvl w:val="0"/>
          <w:numId w:val="4"/>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outlineLvl w:val="9"/>
        <w:rPr>
          <w:rFonts w:hint="eastAsia" w:ascii="Times New Roman" w:hAnsi="Times New Roman" w:eastAsia="仿宋_GB2312" w:cs="仿宋_GB2312"/>
          <w:color w:val="auto"/>
          <w:kern w:val="2"/>
          <w:sz w:val="32"/>
          <w:szCs w:val="32"/>
          <w:highlight w:val="none"/>
          <w:lang w:val="zh-CN" w:eastAsia="zh-CN" w:bidi="ar-SA"/>
        </w:rPr>
      </w:pPr>
      <w:r>
        <w:rPr>
          <w:rFonts w:ascii="Times New Roman" w:hAnsi="Times New Roman" w:eastAsia="仿宋_GB2312" w:cs="仿宋_GB2312"/>
          <w:color w:val="auto"/>
          <w:kern w:val="2"/>
          <w:sz w:val="32"/>
          <w:szCs w:val="32"/>
          <w:highlight w:val="none"/>
          <w:lang w:val="zh-CN" w:eastAsia="zh-CN" w:bidi="ar-SA"/>
        </w:rPr>
        <w:t>财务管理</w:t>
      </w:r>
      <w:r>
        <w:rPr>
          <w:rFonts w:hint="eastAsia" w:ascii="Times New Roman" w:hAnsi="Times New Roman" w:eastAsia="仿宋_GB2312" w:cs="仿宋_GB2312"/>
          <w:color w:val="auto"/>
          <w:kern w:val="2"/>
          <w:sz w:val="32"/>
          <w:szCs w:val="32"/>
          <w:highlight w:val="none"/>
          <w:lang w:val="zh-CN" w:eastAsia="zh-CN" w:bidi="ar-SA"/>
        </w:rPr>
        <w:t>。</w:t>
      </w:r>
    </w:p>
    <w:p w14:paraId="6562AB33">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00" w:firstLineChars="200"/>
        <w:contextualSpacing/>
        <w:jc w:val="left"/>
        <w:textAlignment w:val="auto"/>
        <w:outlineLvl w:val="9"/>
        <w:rPr>
          <w:rFonts w:hint="eastAsia" w:ascii="仿宋_GB2312" w:hAnsi="Times New Roman" w:eastAsia="仿宋_GB2312" w:cs="Times New Roman"/>
          <w:kern w:val="0"/>
          <w:sz w:val="30"/>
          <w:szCs w:val="24"/>
          <w:lang w:val="en-US" w:eastAsia="zh-CN" w:bidi="ar-SA"/>
        </w:rPr>
      </w:pPr>
      <w:r>
        <w:rPr>
          <w:rFonts w:hint="eastAsia" w:ascii="仿宋_GB2312" w:hAnsi="Times New Roman" w:eastAsia="仿宋_GB2312" w:cs="Times New Roman"/>
          <w:kern w:val="0"/>
          <w:sz w:val="30"/>
          <w:szCs w:val="24"/>
          <w:lang w:val="zh-CN" w:eastAsia="zh-CN" w:bidi="ar-SA"/>
        </w:rPr>
        <w:t>我部门已制定内部财务管理制度等制度机制，并得到相应落实，故该项得分</w:t>
      </w:r>
      <w:r>
        <w:rPr>
          <w:rFonts w:hint="eastAsia" w:ascii="仿宋_GB2312" w:hAnsi="Times New Roman" w:eastAsia="仿宋_GB2312" w:cs="Times New Roman"/>
          <w:kern w:val="0"/>
          <w:sz w:val="30"/>
          <w:szCs w:val="24"/>
          <w:lang w:val="en-US" w:eastAsia="zh-CN" w:bidi="ar-SA"/>
        </w:rPr>
        <w:t>4分。</w:t>
      </w:r>
    </w:p>
    <w:p w14:paraId="588FECE3">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00" w:firstLineChars="200"/>
        <w:contextualSpacing/>
        <w:jc w:val="left"/>
        <w:textAlignment w:val="auto"/>
        <w:outlineLvl w:val="9"/>
        <w:rPr>
          <w:rFonts w:hint="eastAsia" w:ascii="仿宋_GB2312" w:hAnsi="Times New Roman" w:eastAsia="仿宋_GB2312" w:cs="Times New Roman"/>
          <w:kern w:val="0"/>
          <w:sz w:val="30"/>
          <w:szCs w:val="24"/>
          <w:lang w:val="en-US" w:eastAsia="zh-CN" w:bidi="ar-SA"/>
        </w:rPr>
      </w:pPr>
      <w:r>
        <w:rPr>
          <w:rFonts w:hint="eastAsia" w:ascii="仿宋_GB2312" w:hAnsi="Times New Roman" w:eastAsia="仿宋_GB2312" w:cs="Times New Roman"/>
          <w:kern w:val="0"/>
          <w:sz w:val="30"/>
          <w:szCs w:val="24"/>
          <w:lang w:val="en-US" w:eastAsia="zh-CN" w:bidi="ar-SA"/>
        </w:rPr>
        <w:t>我部门按照财经纪律相关要求合理设置财务工作岗位，明确职责权限，并严格实行不相容岗位分离。</w:t>
      </w:r>
      <w:r>
        <w:rPr>
          <w:rFonts w:hint="eastAsia" w:ascii="仿宋_GB2312" w:hAnsi="Times New Roman" w:eastAsia="仿宋_GB2312" w:cs="Times New Roman"/>
          <w:kern w:val="0"/>
          <w:sz w:val="30"/>
          <w:szCs w:val="24"/>
          <w:lang w:val="zh-CN" w:eastAsia="zh-CN" w:bidi="ar-SA"/>
        </w:rPr>
        <w:t>故该项得分</w:t>
      </w:r>
      <w:r>
        <w:rPr>
          <w:rFonts w:hint="eastAsia" w:ascii="仿宋_GB2312" w:hAnsi="Times New Roman" w:eastAsia="仿宋_GB2312" w:cs="Times New Roman"/>
          <w:kern w:val="0"/>
          <w:sz w:val="30"/>
          <w:szCs w:val="24"/>
          <w:lang w:val="en-US" w:eastAsia="zh-CN" w:bidi="ar-SA"/>
        </w:rPr>
        <w:t>2分。</w:t>
      </w:r>
    </w:p>
    <w:p w14:paraId="78A4AEE0">
      <w:pPr>
        <w:pStyle w:val="2"/>
        <w:ind w:firstLine="600" w:firstLineChars="200"/>
        <w:rPr>
          <w:rFonts w:hint="eastAsia" w:cs="Times New Roman"/>
          <w:color w:val="000000"/>
          <w:kern w:val="0"/>
          <w:szCs w:val="32"/>
          <w:highlight w:val="none"/>
          <w:shd w:val="clear" w:color="auto" w:fill="FFFFFF"/>
          <w:lang w:val="en-US" w:eastAsia="zh-CN"/>
        </w:rPr>
      </w:pPr>
      <w:r>
        <w:rPr>
          <w:rFonts w:hint="eastAsia" w:cs="Times New Roman"/>
          <w:color w:val="000000"/>
          <w:kern w:val="0"/>
          <w:szCs w:val="32"/>
          <w:highlight w:val="none"/>
          <w:shd w:val="clear" w:color="auto" w:fill="FFFFFF"/>
          <w:lang w:val="en-US" w:eastAsia="zh-CN"/>
        </w:rPr>
        <w:t>部门资金使用符合相关财务管理制度规定，该项的4分。</w:t>
      </w:r>
    </w:p>
    <w:p w14:paraId="4779E2DF">
      <w:pPr>
        <w:pStyle w:val="2"/>
        <w:ind w:firstLine="640" w:firstLineChars="200"/>
        <w:rPr>
          <w:rFonts w:hint="default" w:ascii="Times New Roman" w:hAnsi="Times New Roman" w:eastAsia="仿宋_GB2312" w:cs="Times New Roman"/>
          <w:b w:val="0"/>
          <w:bCs w:val="0"/>
          <w:color w:val="000000"/>
          <w:kern w:val="0"/>
          <w:sz w:val="32"/>
          <w:szCs w:val="32"/>
          <w:highlight w:val="none"/>
          <w:shd w:val="clear" w:color="auto" w:fill="FFFFFF"/>
          <w:lang w:val="en-US" w:eastAsia="zh-CN" w:bidi="ar-SA"/>
        </w:rPr>
      </w:pPr>
      <w:r>
        <w:rPr>
          <w:rFonts w:hint="eastAsia" w:ascii="Times New Roman" w:hAnsi="Times New Roman" w:eastAsia="仿宋_GB2312" w:cs="Times New Roman"/>
          <w:b w:val="0"/>
          <w:bCs w:val="0"/>
          <w:color w:val="000000"/>
          <w:kern w:val="0"/>
          <w:sz w:val="32"/>
          <w:szCs w:val="32"/>
          <w:highlight w:val="none"/>
          <w:shd w:val="clear" w:color="auto" w:fill="FFFFFF"/>
          <w:lang w:val="en-US" w:eastAsia="zh-CN" w:bidi="ar-SA"/>
        </w:rPr>
        <w:t>上所</w:t>
      </w:r>
      <w:r>
        <w:rPr>
          <w:rFonts w:hint="eastAsia" w:ascii="Times New Roman" w:hAnsi="Times New Roman" w:eastAsia="仿宋_GB2312" w:cs="Times New Roman"/>
          <w:b w:val="0"/>
          <w:bCs w:val="0"/>
          <w:kern w:val="2"/>
          <w:sz w:val="32"/>
          <w:szCs w:val="24"/>
          <w:lang w:val="en-US" w:eastAsia="zh-CN" w:bidi="ar-SA"/>
        </w:rPr>
        <w:t>述</w:t>
      </w:r>
      <w:r>
        <w:rPr>
          <w:rFonts w:hint="eastAsia" w:ascii="Times New Roman" w:hAnsi="Times New Roman" w:cs="Times New Roman"/>
          <w:b w:val="0"/>
          <w:bCs w:val="0"/>
          <w:color w:val="000000"/>
          <w:kern w:val="0"/>
          <w:sz w:val="32"/>
          <w:szCs w:val="32"/>
          <w:highlight w:val="none"/>
          <w:shd w:val="clear" w:color="auto" w:fill="FFFFFF"/>
          <w:lang w:val="en-US" w:eastAsia="zh-CN" w:bidi="ar-SA"/>
        </w:rPr>
        <w:t>财务管理项总得分10分。</w:t>
      </w:r>
    </w:p>
    <w:p w14:paraId="1F618912">
      <w:pPr>
        <w:keepNext w:val="0"/>
        <w:keepLines w:val="0"/>
        <w:pageBreakBefore w:val="0"/>
        <w:widowControl w:val="0"/>
        <w:numPr>
          <w:ilvl w:val="0"/>
          <w:numId w:val="4"/>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outlineLvl w:val="9"/>
        <w:rPr>
          <w:rFonts w:hint="eastAsia" w:ascii="Times New Roman" w:hAnsi="Times New Roman" w:eastAsia="仿宋_GB2312" w:cs="仿宋_GB2312"/>
          <w:color w:val="auto"/>
          <w:kern w:val="2"/>
          <w:sz w:val="32"/>
          <w:szCs w:val="32"/>
          <w:highlight w:val="none"/>
          <w:lang w:val="zh-CN" w:eastAsia="zh-CN" w:bidi="ar-SA"/>
        </w:rPr>
      </w:pPr>
      <w:r>
        <w:rPr>
          <w:rFonts w:ascii="Times New Roman" w:hAnsi="Times New Roman" w:eastAsia="仿宋_GB2312" w:cs="仿宋_GB2312"/>
          <w:color w:val="auto"/>
          <w:kern w:val="2"/>
          <w:sz w:val="32"/>
          <w:szCs w:val="32"/>
          <w:highlight w:val="none"/>
          <w:lang w:val="zh-CN" w:eastAsia="zh-CN" w:bidi="ar-SA"/>
        </w:rPr>
        <w:t>资产管理</w:t>
      </w:r>
      <w:r>
        <w:rPr>
          <w:rFonts w:hint="eastAsia" w:ascii="Times New Roman" w:hAnsi="Times New Roman" w:eastAsia="仿宋_GB2312" w:cs="仿宋_GB2312"/>
          <w:color w:val="auto"/>
          <w:kern w:val="2"/>
          <w:sz w:val="32"/>
          <w:szCs w:val="32"/>
          <w:highlight w:val="none"/>
          <w:lang w:val="zh-CN" w:eastAsia="zh-CN" w:bidi="ar-SA"/>
        </w:rPr>
        <w:t>。</w:t>
      </w:r>
    </w:p>
    <w:p w14:paraId="56A2C896">
      <w:pPr>
        <w:keepNext w:val="0"/>
        <w:keepLines w:val="0"/>
        <w:pageBreakBefore w:val="0"/>
        <w:widowControl w:val="0"/>
        <w:kinsoku/>
        <w:wordWrap/>
        <w:overflowPunct/>
        <w:topLinePunct w:val="0"/>
        <w:autoSpaceDE/>
        <w:autoSpaceDN/>
        <w:bidi w:val="0"/>
        <w:adjustRightInd w:val="0"/>
        <w:snapToGrid w:val="0"/>
        <w:spacing w:line="578" w:lineRule="exact"/>
        <w:ind w:left="0" w:firstLine="600" w:firstLineChars="200"/>
        <w:contextualSpacing/>
        <w:jc w:val="left"/>
        <w:textAlignment w:val="auto"/>
        <w:outlineLvl w:val="9"/>
        <w:rPr>
          <w:rFonts w:hint="eastAsia" w:ascii="仿宋_GB2312" w:hAnsi="Times New Roman" w:eastAsia="仿宋_GB2312" w:cs="Times New Roman"/>
          <w:color w:val="000000"/>
          <w:kern w:val="0"/>
          <w:sz w:val="30"/>
          <w:szCs w:val="32"/>
          <w:highlight w:val="none"/>
          <w:shd w:val="clear" w:color="auto" w:fill="FFFFFF"/>
          <w:lang w:val="zh-CN" w:eastAsia="zh-CN" w:bidi="ar-SA"/>
        </w:rPr>
      </w:pPr>
      <w:r>
        <w:rPr>
          <w:rFonts w:hint="eastAsia" w:ascii="仿宋_GB2312" w:hAnsi="Times New Roman" w:eastAsia="仿宋_GB2312" w:cs="Times New Roman"/>
          <w:color w:val="000000"/>
          <w:kern w:val="0"/>
          <w:sz w:val="30"/>
          <w:szCs w:val="32"/>
          <w:highlight w:val="none"/>
          <w:shd w:val="clear" w:color="auto" w:fill="FFFFFF"/>
          <w:lang w:val="zh-CN" w:eastAsia="zh-CN" w:bidi="ar-SA"/>
        </w:rPr>
        <w:t>部门人均资产变化情况：202</w:t>
      </w:r>
      <w:r>
        <w:rPr>
          <w:rFonts w:hint="eastAsia" w:ascii="仿宋_GB2312" w:hAnsi="Times New Roman" w:eastAsia="仿宋_GB2312" w:cs="Times New Roman"/>
          <w:color w:val="000000"/>
          <w:kern w:val="0"/>
          <w:sz w:val="30"/>
          <w:szCs w:val="32"/>
          <w:highlight w:val="none"/>
          <w:shd w:val="clear" w:color="auto" w:fill="FFFFFF"/>
          <w:lang w:val="en-US" w:eastAsia="zh-CN" w:bidi="ar-SA"/>
        </w:rPr>
        <w:t>4</w:t>
      </w:r>
      <w:r>
        <w:rPr>
          <w:rFonts w:hint="eastAsia" w:ascii="仿宋_GB2312" w:hAnsi="Times New Roman" w:eastAsia="仿宋_GB2312" w:cs="Times New Roman"/>
          <w:color w:val="000000"/>
          <w:kern w:val="0"/>
          <w:sz w:val="30"/>
          <w:szCs w:val="32"/>
          <w:highlight w:val="none"/>
          <w:shd w:val="clear" w:color="auto" w:fill="FFFFFF"/>
          <w:lang w:val="zh-CN" w:eastAsia="zh-CN" w:bidi="ar-SA"/>
        </w:rPr>
        <w:t>年度我单位人均资产变化率及人均资产增长率X为[（</w:t>
      </w:r>
      <w:r>
        <w:rPr>
          <w:rFonts w:hint="eastAsia" w:ascii="仿宋_GB2312" w:hAnsi="Times New Roman" w:eastAsia="仿宋_GB2312" w:cs="Times New Roman"/>
          <w:color w:val="000000"/>
          <w:kern w:val="0"/>
          <w:sz w:val="30"/>
          <w:szCs w:val="32"/>
          <w:highlight w:val="none"/>
          <w:shd w:val="clear" w:color="auto" w:fill="FFFFFF"/>
          <w:lang w:val="en-US" w:eastAsia="zh-CN" w:bidi="ar-SA"/>
        </w:rPr>
        <w:t>5586.71</w:t>
      </w:r>
      <w:r>
        <w:rPr>
          <w:rFonts w:hint="eastAsia" w:ascii="仿宋_GB2312" w:hAnsi="Times New Roman" w:eastAsia="仿宋_GB2312" w:cs="Times New Roman"/>
          <w:color w:val="000000"/>
          <w:kern w:val="0"/>
          <w:sz w:val="30"/>
          <w:szCs w:val="32"/>
          <w:highlight w:val="none"/>
          <w:shd w:val="clear" w:color="auto" w:fill="FFFFFF"/>
          <w:lang w:val="zh-CN" w:eastAsia="zh-CN" w:bidi="ar-SA"/>
        </w:rPr>
        <w:t>/9</w:t>
      </w:r>
      <w:r>
        <w:rPr>
          <w:rFonts w:hint="eastAsia" w:ascii="仿宋_GB2312" w:hAnsi="Times New Roman" w:eastAsia="仿宋_GB2312" w:cs="Times New Roman"/>
          <w:color w:val="000000"/>
          <w:kern w:val="0"/>
          <w:sz w:val="30"/>
          <w:szCs w:val="32"/>
          <w:highlight w:val="none"/>
          <w:shd w:val="clear" w:color="auto" w:fill="FFFFFF"/>
          <w:lang w:val="en-US" w:eastAsia="zh-CN" w:bidi="ar-SA"/>
        </w:rPr>
        <w:t>0</w:t>
      </w:r>
      <w:r>
        <w:rPr>
          <w:rFonts w:hint="eastAsia" w:ascii="仿宋_GB2312" w:hAnsi="Times New Roman" w:eastAsia="仿宋_GB2312" w:cs="Times New Roman"/>
          <w:color w:val="000000"/>
          <w:kern w:val="0"/>
          <w:sz w:val="30"/>
          <w:szCs w:val="32"/>
          <w:highlight w:val="none"/>
          <w:shd w:val="clear" w:color="auto" w:fill="FFFFFF"/>
          <w:lang w:val="zh-CN" w:eastAsia="zh-CN" w:bidi="ar-SA"/>
        </w:rPr>
        <w:t>）-(</w:t>
      </w:r>
      <w:r>
        <w:rPr>
          <w:rFonts w:hint="eastAsia" w:ascii="仿宋_GB2312" w:hAnsi="Times New Roman" w:eastAsia="仿宋_GB2312" w:cs="Times New Roman"/>
          <w:color w:val="000000"/>
          <w:kern w:val="0"/>
          <w:sz w:val="30"/>
          <w:szCs w:val="32"/>
          <w:highlight w:val="none"/>
          <w:shd w:val="clear" w:color="auto" w:fill="FFFFFF"/>
          <w:lang w:val="en-US" w:eastAsia="zh-CN" w:bidi="ar-SA"/>
        </w:rPr>
        <w:t>5722.19</w:t>
      </w:r>
      <w:r>
        <w:rPr>
          <w:rFonts w:hint="eastAsia" w:ascii="仿宋_GB2312" w:hAnsi="Times New Roman" w:eastAsia="仿宋_GB2312" w:cs="Times New Roman"/>
          <w:color w:val="000000"/>
          <w:kern w:val="0"/>
          <w:sz w:val="30"/>
          <w:szCs w:val="32"/>
          <w:highlight w:val="none"/>
          <w:shd w:val="clear" w:color="auto" w:fill="FFFFFF"/>
          <w:lang w:val="zh-CN" w:eastAsia="zh-CN" w:bidi="ar-SA"/>
        </w:rPr>
        <w:t>/9</w:t>
      </w:r>
      <w:r>
        <w:rPr>
          <w:rFonts w:hint="eastAsia" w:ascii="仿宋_GB2312" w:hAnsi="Times New Roman" w:eastAsia="仿宋_GB2312" w:cs="Times New Roman"/>
          <w:color w:val="000000"/>
          <w:kern w:val="0"/>
          <w:sz w:val="30"/>
          <w:szCs w:val="32"/>
          <w:highlight w:val="none"/>
          <w:shd w:val="clear" w:color="auto" w:fill="FFFFFF"/>
          <w:lang w:val="en-US" w:eastAsia="zh-CN" w:bidi="ar-SA"/>
        </w:rPr>
        <w:t>2</w:t>
      </w:r>
      <w:r>
        <w:rPr>
          <w:rFonts w:hint="eastAsia" w:ascii="仿宋_GB2312" w:hAnsi="Times New Roman" w:eastAsia="仿宋_GB2312" w:cs="Times New Roman"/>
          <w:color w:val="000000"/>
          <w:kern w:val="0"/>
          <w:sz w:val="30"/>
          <w:szCs w:val="32"/>
          <w:highlight w:val="none"/>
          <w:shd w:val="clear" w:color="auto" w:fill="FFFFFF"/>
          <w:lang w:val="zh-CN" w:eastAsia="zh-CN" w:bidi="ar-SA"/>
        </w:rPr>
        <w:t>)]/(</w:t>
      </w:r>
      <w:r>
        <w:rPr>
          <w:rFonts w:hint="eastAsia" w:ascii="仿宋_GB2312" w:hAnsi="Times New Roman" w:eastAsia="仿宋_GB2312" w:cs="Times New Roman"/>
          <w:color w:val="000000"/>
          <w:kern w:val="0"/>
          <w:sz w:val="30"/>
          <w:szCs w:val="32"/>
          <w:highlight w:val="none"/>
          <w:shd w:val="clear" w:color="auto" w:fill="FFFFFF"/>
          <w:lang w:val="en-US" w:eastAsia="zh-CN" w:bidi="ar-SA"/>
        </w:rPr>
        <w:t>5722.19</w:t>
      </w:r>
      <w:r>
        <w:rPr>
          <w:rFonts w:hint="eastAsia" w:ascii="仿宋_GB2312" w:hAnsi="Times New Roman" w:eastAsia="仿宋_GB2312" w:cs="Times New Roman"/>
          <w:color w:val="000000"/>
          <w:kern w:val="0"/>
          <w:sz w:val="30"/>
          <w:szCs w:val="32"/>
          <w:highlight w:val="none"/>
          <w:shd w:val="clear" w:color="auto" w:fill="FFFFFF"/>
          <w:lang w:val="zh-CN" w:eastAsia="zh-CN" w:bidi="ar-SA"/>
        </w:rPr>
        <w:t>/92)×100%=-</w:t>
      </w:r>
      <w:r>
        <w:rPr>
          <w:rFonts w:hint="eastAsia" w:ascii="仿宋_GB2312" w:hAnsi="Times New Roman" w:eastAsia="仿宋_GB2312" w:cs="Times New Roman"/>
          <w:color w:val="000000"/>
          <w:kern w:val="0"/>
          <w:sz w:val="30"/>
          <w:szCs w:val="32"/>
          <w:highlight w:val="none"/>
          <w:shd w:val="clear" w:color="auto" w:fill="FFFFFF"/>
          <w:lang w:val="en-US" w:eastAsia="zh-CN" w:bidi="ar-SA"/>
        </w:rPr>
        <w:t>0.19</w:t>
      </w:r>
      <w:r>
        <w:rPr>
          <w:rFonts w:hint="eastAsia" w:ascii="仿宋_GB2312" w:hAnsi="Times New Roman" w:eastAsia="仿宋_GB2312" w:cs="Times New Roman"/>
          <w:color w:val="000000"/>
          <w:kern w:val="0"/>
          <w:sz w:val="30"/>
          <w:szCs w:val="32"/>
          <w:highlight w:val="none"/>
          <w:shd w:val="clear" w:color="auto" w:fill="FFFFFF"/>
          <w:lang w:val="zh-CN" w:eastAsia="zh-CN" w:bidi="ar-SA"/>
        </w:rPr>
        <w:t>%，同期州直行政事业单位人均资产变化率N为</w:t>
      </w:r>
      <w:r>
        <w:rPr>
          <w:rFonts w:hint="eastAsia" w:ascii="仿宋_GB2312" w:hAnsi="Times New Roman" w:eastAsia="仿宋_GB2312" w:cs="Times New Roman"/>
          <w:color w:val="000000"/>
          <w:kern w:val="0"/>
          <w:sz w:val="30"/>
          <w:szCs w:val="32"/>
          <w:highlight w:val="none"/>
          <w:shd w:val="clear" w:color="auto" w:fill="FFFFFF"/>
          <w:lang w:val="en-US" w:eastAsia="zh-CN" w:bidi="ar-SA"/>
        </w:rPr>
        <w:t>24.28</w:t>
      </w:r>
      <w:r>
        <w:rPr>
          <w:rFonts w:hint="eastAsia" w:ascii="仿宋_GB2312" w:hAnsi="Times New Roman" w:eastAsia="仿宋_GB2312" w:cs="Times New Roman"/>
          <w:color w:val="000000"/>
          <w:kern w:val="0"/>
          <w:sz w:val="30"/>
          <w:szCs w:val="32"/>
          <w:highlight w:val="none"/>
          <w:shd w:val="clear" w:color="auto" w:fill="FFFFFF"/>
          <w:lang w:val="zh-CN" w:eastAsia="zh-CN" w:bidi="ar-SA"/>
        </w:rPr>
        <w:t>%，X≤N，得分1.5分，同期州级财政收入增长率为</w:t>
      </w:r>
      <w:r>
        <w:rPr>
          <w:rFonts w:hint="eastAsia" w:ascii="仿宋_GB2312" w:hAnsi="Times New Roman" w:eastAsia="仿宋_GB2312" w:cs="Times New Roman"/>
          <w:color w:val="000000"/>
          <w:kern w:val="0"/>
          <w:sz w:val="30"/>
          <w:szCs w:val="32"/>
          <w:highlight w:val="none"/>
          <w:shd w:val="clear" w:color="auto" w:fill="FFFFFF"/>
          <w:lang w:val="en-US" w:eastAsia="zh-CN" w:bidi="ar-SA"/>
        </w:rPr>
        <w:t>-30.5</w:t>
      </w:r>
      <w:r>
        <w:rPr>
          <w:rFonts w:hint="eastAsia" w:ascii="仿宋_GB2312" w:hAnsi="Times New Roman" w:eastAsia="仿宋_GB2312" w:cs="Times New Roman"/>
          <w:color w:val="000000"/>
          <w:kern w:val="0"/>
          <w:sz w:val="30"/>
          <w:szCs w:val="32"/>
          <w:highlight w:val="none"/>
          <w:shd w:val="clear" w:color="auto" w:fill="FFFFFF"/>
          <w:lang w:val="zh-CN" w:eastAsia="zh-CN" w:bidi="ar-SA"/>
        </w:rPr>
        <w:t>%，X≤0，得分1.5分。该项总得分3分。</w:t>
      </w:r>
    </w:p>
    <w:p w14:paraId="17A73D38">
      <w:pPr>
        <w:keepNext w:val="0"/>
        <w:keepLines w:val="0"/>
        <w:pageBreakBefore w:val="0"/>
        <w:widowControl w:val="0"/>
        <w:kinsoku/>
        <w:wordWrap/>
        <w:overflowPunct/>
        <w:topLinePunct w:val="0"/>
        <w:autoSpaceDE/>
        <w:autoSpaceDN/>
        <w:adjustRightInd w:val="0"/>
        <w:snapToGrid w:val="0"/>
        <w:spacing w:line="578" w:lineRule="exact"/>
        <w:ind w:left="0" w:firstLine="600" w:firstLineChars="200"/>
        <w:contextualSpacing/>
        <w:jc w:val="left"/>
        <w:rPr>
          <w:rFonts w:hint="eastAsia" w:ascii="仿宋_GB2312" w:hAnsi="Times New Roman" w:eastAsia="仿宋_GB2312" w:cs="Times New Roman"/>
          <w:color w:val="000000"/>
          <w:kern w:val="0"/>
          <w:sz w:val="30"/>
          <w:szCs w:val="32"/>
          <w:highlight w:val="none"/>
          <w:shd w:val="clear" w:color="auto" w:fill="FFFFFF"/>
          <w:lang w:val="en-US" w:eastAsia="zh-CN" w:bidi="ar-SA"/>
        </w:rPr>
      </w:pPr>
      <w:r>
        <w:rPr>
          <w:rFonts w:hint="eastAsia" w:ascii="仿宋_GB2312" w:hAnsi="Times New Roman" w:eastAsia="仿宋_GB2312" w:cs="Times New Roman"/>
          <w:color w:val="000000"/>
          <w:kern w:val="0"/>
          <w:sz w:val="30"/>
          <w:szCs w:val="32"/>
          <w:highlight w:val="none"/>
          <w:shd w:val="clear" w:color="auto" w:fill="FFFFFF"/>
          <w:lang w:val="zh-CN" w:eastAsia="zh-CN" w:bidi="ar-SA"/>
        </w:rPr>
        <w:t>部门资产盘活率情况：202</w:t>
      </w:r>
      <w:r>
        <w:rPr>
          <w:rFonts w:hint="eastAsia" w:ascii="仿宋_GB2312" w:hAnsi="Times New Roman" w:eastAsia="仿宋_GB2312" w:cs="Times New Roman"/>
          <w:color w:val="000000"/>
          <w:kern w:val="0"/>
          <w:sz w:val="30"/>
          <w:szCs w:val="32"/>
          <w:highlight w:val="none"/>
          <w:shd w:val="clear" w:color="auto" w:fill="FFFFFF"/>
          <w:lang w:val="en-US" w:eastAsia="zh-CN" w:bidi="ar-SA"/>
        </w:rPr>
        <w:t>4</w:t>
      </w:r>
      <w:r>
        <w:rPr>
          <w:rFonts w:hint="eastAsia" w:ascii="仿宋_GB2312" w:hAnsi="Times New Roman" w:eastAsia="仿宋_GB2312" w:cs="Times New Roman"/>
          <w:color w:val="000000"/>
          <w:kern w:val="0"/>
          <w:sz w:val="30"/>
          <w:szCs w:val="32"/>
          <w:highlight w:val="none"/>
          <w:shd w:val="clear" w:color="auto" w:fill="FFFFFF"/>
          <w:lang w:val="zh-CN" w:eastAsia="zh-CN" w:bidi="ar-SA"/>
        </w:rPr>
        <w:t>年我单位办公家具超最低使用年限资产利用率X=超最低使用年限的办公家具账面价值1</w:t>
      </w:r>
      <w:r>
        <w:rPr>
          <w:rFonts w:hint="eastAsia" w:ascii="仿宋_GB2312" w:hAnsi="Times New Roman" w:eastAsia="仿宋_GB2312" w:cs="Times New Roman"/>
          <w:color w:val="000000"/>
          <w:kern w:val="0"/>
          <w:sz w:val="30"/>
          <w:szCs w:val="32"/>
          <w:highlight w:val="none"/>
          <w:shd w:val="clear" w:color="auto" w:fill="FFFFFF"/>
          <w:lang w:val="en-US" w:eastAsia="zh-CN" w:bidi="ar-SA"/>
        </w:rPr>
        <w:t>1</w:t>
      </w:r>
      <w:r>
        <w:rPr>
          <w:rFonts w:hint="eastAsia" w:ascii="仿宋_GB2312" w:hAnsi="Times New Roman" w:eastAsia="仿宋_GB2312" w:cs="Times New Roman"/>
          <w:color w:val="000000"/>
          <w:kern w:val="0"/>
          <w:sz w:val="30"/>
          <w:szCs w:val="32"/>
          <w:highlight w:val="none"/>
          <w:shd w:val="clear" w:color="auto" w:fill="FFFFFF"/>
          <w:lang w:val="zh-CN" w:eastAsia="zh-CN" w:bidi="ar-SA"/>
        </w:rPr>
        <w:t>0.</w:t>
      </w:r>
      <w:r>
        <w:rPr>
          <w:rFonts w:hint="eastAsia" w:ascii="仿宋_GB2312" w:hAnsi="Times New Roman" w:eastAsia="仿宋_GB2312" w:cs="Times New Roman"/>
          <w:color w:val="000000"/>
          <w:kern w:val="0"/>
          <w:sz w:val="30"/>
          <w:szCs w:val="32"/>
          <w:highlight w:val="none"/>
          <w:shd w:val="clear" w:color="auto" w:fill="FFFFFF"/>
          <w:lang w:val="en-US" w:eastAsia="zh-CN" w:bidi="ar-SA"/>
        </w:rPr>
        <w:t>09</w:t>
      </w:r>
      <w:r>
        <w:rPr>
          <w:rFonts w:hint="eastAsia" w:ascii="仿宋_GB2312" w:hAnsi="Times New Roman" w:eastAsia="仿宋_GB2312" w:cs="Times New Roman"/>
          <w:color w:val="000000"/>
          <w:kern w:val="0"/>
          <w:sz w:val="30"/>
          <w:szCs w:val="32"/>
          <w:highlight w:val="none"/>
          <w:shd w:val="clear" w:color="auto" w:fill="FFFFFF"/>
          <w:lang w:val="zh-CN" w:eastAsia="zh-CN" w:bidi="ar-SA"/>
        </w:rPr>
        <w:t>÷办公家具账面价值351.21×100%=</w:t>
      </w:r>
      <w:r>
        <w:rPr>
          <w:rFonts w:hint="eastAsia" w:ascii="仿宋_GB2312" w:hAnsi="Times New Roman" w:eastAsia="仿宋_GB2312" w:cs="Times New Roman"/>
          <w:color w:val="000000"/>
          <w:kern w:val="0"/>
          <w:sz w:val="30"/>
          <w:szCs w:val="32"/>
          <w:highlight w:val="none"/>
          <w:shd w:val="clear" w:color="auto" w:fill="FFFFFF"/>
          <w:lang w:val="en-US" w:eastAsia="zh-CN" w:bidi="ar-SA"/>
        </w:rPr>
        <w:t>31.34</w:t>
      </w:r>
      <w:r>
        <w:rPr>
          <w:rFonts w:hint="eastAsia" w:ascii="仿宋_GB2312" w:hAnsi="Times New Roman" w:eastAsia="仿宋_GB2312" w:cs="Times New Roman"/>
          <w:color w:val="000000"/>
          <w:kern w:val="0"/>
          <w:sz w:val="30"/>
          <w:szCs w:val="32"/>
          <w:highlight w:val="none"/>
          <w:shd w:val="clear" w:color="auto" w:fill="FFFFFF"/>
          <w:lang w:val="zh-CN" w:eastAsia="zh-CN" w:bidi="ar-SA"/>
        </w:rPr>
        <w:t>%，同期州直行政事业单位平均值（办公家具）N为</w:t>
      </w:r>
      <w:r>
        <w:rPr>
          <w:rFonts w:hint="eastAsia" w:ascii="仿宋_GB2312" w:hAnsi="Times New Roman" w:eastAsia="仿宋_GB2312" w:cs="Times New Roman"/>
          <w:color w:val="000000"/>
          <w:kern w:val="0"/>
          <w:sz w:val="30"/>
          <w:szCs w:val="32"/>
          <w:highlight w:val="none"/>
          <w:shd w:val="clear" w:color="auto" w:fill="FFFFFF"/>
          <w:lang w:val="en-US" w:eastAsia="zh-CN" w:bidi="ar-SA"/>
        </w:rPr>
        <w:t>10.03%，X&gt;N，得1.5分；办公设备超最低使用年限资产利用率X=超最低使用年限的办公设备账面价值1492.43÷办公设备账面价值2760.96×100%=54.05%，</w:t>
      </w:r>
      <w:r>
        <w:rPr>
          <w:rFonts w:hint="eastAsia" w:ascii="仿宋_GB2312" w:hAnsi="Times New Roman" w:eastAsia="仿宋_GB2312" w:cs="Times New Roman"/>
          <w:color w:val="000000"/>
          <w:kern w:val="0"/>
          <w:sz w:val="30"/>
          <w:szCs w:val="32"/>
          <w:highlight w:val="none"/>
          <w:shd w:val="clear" w:color="auto" w:fill="FFFFFF"/>
          <w:lang w:val="zh-CN" w:eastAsia="zh-CN" w:bidi="ar-SA"/>
        </w:rPr>
        <w:t>同期州直行政事业单位平均值（办公设备）N为</w:t>
      </w:r>
      <w:r>
        <w:rPr>
          <w:rFonts w:hint="eastAsia" w:ascii="仿宋_GB2312" w:hAnsi="Times New Roman" w:eastAsia="仿宋_GB2312" w:cs="Times New Roman"/>
          <w:color w:val="000000"/>
          <w:kern w:val="0"/>
          <w:sz w:val="30"/>
          <w:szCs w:val="32"/>
          <w:highlight w:val="none"/>
          <w:shd w:val="clear" w:color="auto" w:fill="FFFFFF"/>
          <w:lang w:val="en-US" w:eastAsia="zh-CN" w:bidi="ar-SA"/>
        </w:rPr>
        <w:t>47.86</w:t>
      </w:r>
      <w:r>
        <w:rPr>
          <w:rFonts w:hint="eastAsia" w:ascii="仿宋_GB2312" w:hAnsi="Times New Roman" w:eastAsia="仿宋_GB2312" w:cs="Times New Roman"/>
          <w:color w:val="000000"/>
          <w:kern w:val="0"/>
          <w:sz w:val="30"/>
          <w:szCs w:val="32"/>
          <w:highlight w:val="none"/>
          <w:shd w:val="clear" w:color="auto" w:fill="FFFFFF"/>
          <w:lang w:val="zh-CN" w:eastAsia="zh-CN" w:bidi="ar-SA"/>
        </w:rPr>
        <w:t>%，</w:t>
      </w:r>
      <w:r>
        <w:rPr>
          <w:rFonts w:hint="eastAsia" w:ascii="仿宋_GB2312" w:hAnsi="Times New Roman" w:eastAsia="仿宋_GB2312" w:cs="Times New Roman"/>
          <w:color w:val="000000"/>
          <w:kern w:val="0"/>
          <w:sz w:val="30"/>
          <w:szCs w:val="32"/>
          <w:highlight w:val="none"/>
          <w:shd w:val="clear" w:color="auto" w:fill="FFFFFF"/>
          <w:lang w:val="en-US" w:eastAsia="zh-CN" w:bidi="ar-SA"/>
        </w:rPr>
        <w:t>0.8N＜X≤N，得0.9分。该项得分2.4分。</w:t>
      </w:r>
    </w:p>
    <w:p w14:paraId="42F9ADAD">
      <w:pPr>
        <w:pStyle w:val="2"/>
        <w:ind w:firstLine="640"/>
        <w:rPr>
          <w:rFonts w:hint="eastAsia"/>
          <w:lang w:val="en-US" w:eastAsia="zh-CN"/>
        </w:rPr>
      </w:pPr>
      <w:r>
        <w:rPr>
          <w:rFonts w:hint="eastAsia"/>
          <w:lang w:val="en-US" w:eastAsia="zh-CN"/>
        </w:rPr>
        <w:t>我部门无闲置资产待盘活，故该项得分3分。</w:t>
      </w:r>
    </w:p>
    <w:p w14:paraId="2364BB1B">
      <w:pPr>
        <w:pStyle w:val="3"/>
        <w:jc w:val="both"/>
        <w:rPr>
          <w:rFonts w:hint="eastAsia"/>
          <w:lang w:val="zh-CN" w:eastAsia="zh-CN"/>
        </w:rPr>
      </w:pPr>
      <w:r>
        <w:rPr>
          <w:rFonts w:hint="eastAsia"/>
          <w:lang w:val="en-US" w:eastAsia="zh-CN"/>
        </w:rPr>
        <w:t xml:space="preserve">    </w:t>
      </w:r>
      <w:r>
        <w:rPr>
          <w:rFonts w:hint="eastAsia" w:ascii="Times New Roman" w:hAnsi="Times New Roman" w:eastAsia="仿宋_GB2312" w:cs="Times New Roman"/>
          <w:b w:val="0"/>
          <w:bCs w:val="0"/>
          <w:kern w:val="2"/>
          <w:sz w:val="32"/>
          <w:szCs w:val="24"/>
          <w:lang w:val="en-US" w:eastAsia="zh-CN" w:bidi="ar-SA"/>
        </w:rPr>
        <w:t>综上所述资产管理项总得分8.4分。</w:t>
      </w:r>
    </w:p>
    <w:p w14:paraId="1DFB625B">
      <w:pPr>
        <w:keepNext w:val="0"/>
        <w:keepLines w:val="0"/>
        <w:pageBreakBefore w:val="0"/>
        <w:widowControl w:val="0"/>
        <w:numPr>
          <w:ilvl w:val="0"/>
          <w:numId w:val="4"/>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outlineLvl w:val="9"/>
        <w:rPr>
          <w:rFonts w:hint="eastAsia" w:ascii="Times New Roman" w:hAnsi="Times New Roman" w:eastAsia="仿宋_GB2312" w:cs="仿宋_GB2312"/>
          <w:color w:val="auto"/>
          <w:kern w:val="2"/>
          <w:sz w:val="32"/>
          <w:szCs w:val="32"/>
          <w:highlight w:val="none"/>
          <w:lang w:val="zh-CN" w:eastAsia="zh-CN" w:bidi="ar-SA"/>
        </w:rPr>
      </w:pPr>
      <w:r>
        <w:rPr>
          <w:rFonts w:ascii="Times New Roman" w:hAnsi="Times New Roman" w:eastAsia="仿宋_GB2312" w:cs="仿宋_GB2312"/>
          <w:color w:val="auto"/>
          <w:kern w:val="2"/>
          <w:sz w:val="32"/>
          <w:szCs w:val="32"/>
          <w:highlight w:val="none"/>
          <w:lang w:val="zh-CN" w:eastAsia="zh-CN" w:bidi="ar-SA"/>
        </w:rPr>
        <w:t>采购管理</w:t>
      </w:r>
      <w:r>
        <w:rPr>
          <w:rFonts w:hint="eastAsia" w:ascii="Times New Roman" w:hAnsi="Times New Roman" w:eastAsia="仿宋_GB2312" w:cs="仿宋_GB2312"/>
          <w:color w:val="auto"/>
          <w:kern w:val="2"/>
          <w:sz w:val="32"/>
          <w:szCs w:val="32"/>
          <w:highlight w:val="none"/>
          <w:lang w:val="zh-CN" w:eastAsia="zh-CN" w:bidi="ar-SA"/>
        </w:rPr>
        <w:t>。</w:t>
      </w:r>
    </w:p>
    <w:p w14:paraId="3F2D3F46">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color w:val="000000"/>
          <w:kern w:val="0"/>
          <w:sz w:val="32"/>
          <w:szCs w:val="32"/>
          <w:highlight w:val="none"/>
          <w:shd w:val="clear" w:color="auto" w:fill="FFFFFF"/>
          <w:lang w:val="en-US" w:eastAsia="zh-CN" w:bidi="ar-SA"/>
        </w:rPr>
      </w:pPr>
      <w:r>
        <w:rPr>
          <w:rFonts w:hint="eastAsia" w:ascii="Times New Roman" w:hAnsi="Times New Roman" w:eastAsia="仿宋_GB2312" w:cs="Times New Roman"/>
          <w:color w:val="000000"/>
          <w:kern w:val="0"/>
          <w:sz w:val="32"/>
          <w:szCs w:val="32"/>
          <w:highlight w:val="none"/>
          <w:shd w:val="clear" w:color="auto" w:fill="FFFFFF"/>
          <w:lang w:val="zh-CN" w:eastAsia="zh-CN" w:bidi="ar-SA"/>
        </w:rPr>
        <w:t>我部门</w:t>
      </w:r>
      <w:r>
        <w:rPr>
          <w:rFonts w:hint="default" w:ascii="Times New Roman" w:hAnsi="Times New Roman" w:eastAsia="仿宋_GB2312" w:cs="Times New Roman"/>
          <w:color w:val="000000"/>
          <w:kern w:val="0"/>
          <w:sz w:val="32"/>
          <w:szCs w:val="32"/>
          <w:highlight w:val="none"/>
          <w:shd w:val="clear" w:color="auto" w:fill="FFFFFF"/>
          <w:lang w:val="zh-CN" w:eastAsia="zh-CN" w:bidi="ar-SA"/>
        </w:rPr>
        <w:t>对适宜由中小企业提供的采购项目和采购包，预留采购份额专门面向中小企业采购，并在采购预算中单独列示</w:t>
      </w:r>
      <w:r>
        <w:rPr>
          <w:rFonts w:hint="eastAsia" w:ascii="Times New Roman" w:hAnsi="Times New Roman" w:eastAsia="仿宋_GB2312" w:cs="Times New Roman"/>
          <w:color w:val="000000"/>
          <w:kern w:val="0"/>
          <w:sz w:val="32"/>
          <w:szCs w:val="32"/>
          <w:highlight w:val="none"/>
          <w:shd w:val="clear" w:color="auto" w:fill="FFFFFF"/>
          <w:lang w:val="zh-CN" w:eastAsia="zh-CN" w:bidi="ar-SA"/>
        </w:rPr>
        <w:t>。故该项得分</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3分。</w:t>
      </w:r>
    </w:p>
    <w:p w14:paraId="171B1CCE">
      <w:pPr>
        <w:pStyle w:val="2"/>
        <w:rPr>
          <w:rFonts w:hint="eastAsia"/>
          <w:lang w:val="zh-CN" w:eastAsia="zh-CN"/>
        </w:rPr>
      </w:pPr>
      <w:r>
        <w:rPr>
          <w:rFonts w:hint="eastAsia" w:cs="Times New Roman"/>
          <w:color w:val="000000"/>
          <w:kern w:val="0"/>
          <w:szCs w:val="32"/>
          <w:highlight w:val="none"/>
          <w:shd w:val="clear" w:color="auto" w:fill="FFFFFF"/>
          <w:lang w:val="en-US" w:eastAsia="zh-CN"/>
        </w:rPr>
        <w:t xml:space="preserve">   </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 xml:space="preserve"> </w:t>
      </w:r>
      <w:r>
        <w:rPr>
          <w:rFonts w:hint="eastAsia" w:ascii="Times New Roman" w:hAnsi="Times New Roman" w:eastAsia="仿宋_GB2312" w:cs="Times New Roman"/>
          <w:color w:val="000000"/>
          <w:kern w:val="0"/>
          <w:sz w:val="32"/>
          <w:szCs w:val="32"/>
          <w:highlight w:val="none"/>
          <w:shd w:val="clear" w:color="auto" w:fill="FFFFFF"/>
          <w:lang w:val="zh-CN" w:eastAsia="zh-CN" w:bidi="ar-SA"/>
        </w:rPr>
        <w:t>采购执行率</w:t>
      </w:r>
      <w:r>
        <w:rPr>
          <w:rFonts w:hint="default" w:ascii="Times New Roman" w:hAnsi="Times New Roman" w:eastAsia="仿宋_GB2312" w:cs="Times New Roman"/>
          <w:color w:val="000000"/>
          <w:kern w:val="0"/>
          <w:sz w:val="32"/>
          <w:szCs w:val="32"/>
          <w:highlight w:val="none"/>
          <w:shd w:val="clear" w:color="auto" w:fill="FFFFFF"/>
          <w:lang w:val="zh-CN" w:eastAsia="zh-CN" w:bidi="ar-SA"/>
        </w:rPr>
        <w:t>情况分析：项指标得分=当年政府采购实际支付总金额</w:t>
      </w:r>
      <w:r>
        <w:rPr>
          <w:rFonts w:hint="eastAsia" w:cs="Times New Roman"/>
          <w:color w:val="000000"/>
          <w:kern w:val="0"/>
          <w:sz w:val="32"/>
          <w:szCs w:val="32"/>
          <w:highlight w:val="none"/>
          <w:shd w:val="clear" w:color="auto" w:fill="FFFFFF"/>
          <w:lang w:val="en-US" w:eastAsia="zh-CN" w:bidi="ar-SA"/>
        </w:rPr>
        <w:t>296.7</w:t>
      </w:r>
      <w:r>
        <w:rPr>
          <w:rFonts w:hint="default" w:ascii="Times New Roman" w:hAnsi="Times New Roman" w:eastAsia="仿宋_GB2312" w:cs="Times New Roman"/>
          <w:color w:val="000000"/>
          <w:kern w:val="0"/>
          <w:sz w:val="32"/>
          <w:szCs w:val="32"/>
          <w:highlight w:val="none"/>
          <w:shd w:val="clear" w:color="auto" w:fill="FFFFFF"/>
          <w:lang w:val="zh-CN" w:eastAsia="zh-CN" w:bidi="ar-SA"/>
        </w:rPr>
        <w:t>÷（当年政府采购总预算数</w:t>
      </w:r>
      <w:r>
        <w:rPr>
          <w:rFonts w:hint="eastAsia" w:cs="Times New Roman"/>
          <w:color w:val="000000"/>
          <w:kern w:val="0"/>
          <w:sz w:val="32"/>
          <w:szCs w:val="32"/>
          <w:highlight w:val="none"/>
          <w:shd w:val="clear" w:color="auto" w:fill="FFFFFF"/>
          <w:lang w:val="en-US" w:eastAsia="zh-CN" w:bidi="ar-SA"/>
        </w:rPr>
        <w:t>377.4</w:t>
      </w:r>
      <w:r>
        <w:rPr>
          <w:rFonts w:hint="default" w:ascii="Times New Roman" w:hAnsi="Times New Roman" w:eastAsia="仿宋_GB2312" w:cs="Times New Roman"/>
          <w:color w:val="000000"/>
          <w:kern w:val="0"/>
          <w:sz w:val="32"/>
          <w:szCs w:val="32"/>
          <w:highlight w:val="none"/>
          <w:shd w:val="clear" w:color="auto" w:fill="FFFFFF"/>
          <w:lang w:val="zh-CN" w:eastAsia="zh-CN" w:bidi="ar-SA"/>
        </w:rPr>
        <w:t>-当年已完成采购项目节约金额</w:t>
      </w:r>
      <w:r>
        <w:rPr>
          <w:rFonts w:hint="eastAsia" w:cs="Times New Roman"/>
          <w:color w:val="000000"/>
          <w:kern w:val="0"/>
          <w:sz w:val="32"/>
          <w:szCs w:val="32"/>
          <w:highlight w:val="none"/>
          <w:shd w:val="clear" w:color="auto" w:fill="FFFFFF"/>
          <w:lang w:val="en-US" w:eastAsia="zh-CN" w:bidi="ar-SA"/>
        </w:rPr>
        <w:t>80.7</w:t>
      </w:r>
      <w:r>
        <w:rPr>
          <w:rFonts w:hint="default" w:ascii="Times New Roman" w:hAnsi="Times New Roman" w:eastAsia="仿宋_GB2312" w:cs="Times New Roman"/>
          <w:color w:val="000000"/>
          <w:kern w:val="0"/>
          <w:sz w:val="32"/>
          <w:szCs w:val="32"/>
          <w:highlight w:val="none"/>
          <w:shd w:val="clear" w:color="auto" w:fill="FFFFFF"/>
          <w:lang w:val="zh-CN" w:eastAsia="zh-CN" w:bidi="ar-SA"/>
        </w:rPr>
        <w:t>）×100%×3，该项得分3分</w:t>
      </w:r>
      <w:r>
        <w:rPr>
          <w:rFonts w:hint="eastAsia" w:ascii="Times New Roman" w:hAnsi="Times New Roman" w:eastAsia="仿宋_GB2312" w:cs="Times New Roman"/>
          <w:color w:val="000000"/>
          <w:kern w:val="0"/>
          <w:sz w:val="32"/>
          <w:szCs w:val="32"/>
          <w:highlight w:val="none"/>
          <w:shd w:val="clear" w:color="auto" w:fill="FFFFFF"/>
          <w:lang w:val="zh-CN" w:eastAsia="zh-CN" w:bidi="ar-SA"/>
        </w:rPr>
        <w:t>。</w:t>
      </w:r>
    </w:p>
    <w:p w14:paraId="4FDB6272">
      <w:pPr>
        <w:keepNext w:val="0"/>
        <w:keepLines w:val="0"/>
        <w:pageBreakBefore w:val="0"/>
        <w:widowControl w:val="0"/>
        <w:kinsoku/>
        <w:wordWrap/>
        <w:overflowPunct/>
        <w:topLinePunct w:val="0"/>
        <w:autoSpaceDE/>
        <w:autoSpaceDN/>
        <w:bidi w:val="0"/>
        <w:adjustRightInd w:val="0"/>
        <w:snapToGrid w:val="0"/>
        <w:spacing w:line="578" w:lineRule="exact"/>
        <w:ind w:left="0" w:firstLine="643" w:firstLineChars="200"/>
        <w:contextualSpacing/>
        <w:jc w:val="both"/>
        <w:textAlignment w:val="auto"/>
        <w:outlineLvl w:val="9"/>
        <w:rPr>
          <w:rFonts w:ascii="Times New Roman" w:hAnsi="Times New Roman" w:eastAsia="仿宋_GB2312" w:cs="仿宋_GB2312"/>
          <w:color w:val="auto"/>
          <w:kern w:val="2"/>
          <w:sz w:val="32"/>
          <w:szCs w:val="32"/>
          <w:highlight w:val="none"/>
          <w:lang w:val="en-US" w:eastAsia="zh-CN" w:bidi="ar-SA"/>
        </w:rPr>
      </w:pPr>
      <w:r>
        <w:rPr>
          <w:rFonts w:ascii="Times New Roman" w:hAnsi="Times New Roman" w:eastAsia="楷体_GB2312" w:cs="Times New Roman"/>
          <w:b/>
          <w:bCs/>
          <w:color w:val="000000"/>
          <w:kern w:val="0"/>
          <w:sz w:val="32"/>
          <w:szCs w:val="32"/>
          <w:highlight w:val="none"/>
          <w:shd w:val="clear" w:color="auto" w:fill="FFFFFF"/>
          <w:lang w:val="zh-CN"/>
        </w:rPr>
        <w:t>（二）部门预算项目绩效分析。</w:t>
      </w:r>
    </w:p>
    <w:p w14:paraId="27997A40">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eastAsia="zh-CN" w:bidi="ar-SA"/>
        </w:rPr>
      </w:pPr>
      <w:r>
        <w:rPr>
          <w:rFonts w:hint="default" w:ascii="Times New Roman" w:hAnsi="Times New Roman" w:eastAsia="仿宋_GB2312" w:cs="Times New Roman"/>
          <w:color w:val="000000"/>
          <w:kern w:val="0"/>
          <w:sz w:val="32"/>
          <w:szCs w:val="32"/>
          <w:highlight w:val="none"/>
          <w:shd w:val="clear" w:color="auto" w:fill="FFFFFF"/>
          <w:lang w:val="en-US" w:eastAsia="zh-CN" w:bidi="ar-SA"/>
        </w:rPr>
        <w:t>常年项目绩效分析。</w:t>
      </w:r>
      <w:r>
        <w:rPr>
          <w:rFonts w:hint="default" w:ascii="Times New Roman" w:hAnsi="Times New Roman" w:eastAsia="仿宋_GB2312" w:cs="Times New Roman"/>
          <w:color w:val="000000"/>
          <w:kern w:val="0"/>
          <w:sz w:val="32"/>
          <w:szCs w:val="32"/>
          <w:highlight w:val="none"/>
          <w:shd w:val="clear" w:color="auto" w:fill="FFFFFF"/>
          <w:lang w:val="zh-CN" w:eastAsia="zh-CN" w:bidi="ar-SA"/>
        </w:rPr>
        <w:t>该类项目总数</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24</w:t>
      </w:r>
      <w:r>
        <w:rPr>
          <w:rFonts w:hint="default" w:ascii="Times New Roman" w:hAnsi="Times New Roman" w:eastAsia="仿宋_GB2312" w:cs="Times New Roman"/>
          <w:color w:val="000000"/>
          <w:kern w:val="0"/>
          <w:sz w:val="32"/>
          <w:szCs w:val="32"/>
          <w:highlight w:val="none"/>
          <w:shd w:val="clear" w:color="auto" w:fill="FFFFFF"/>
          <w:lang w:val="zh-CN" w:eastAsia="zh-CN" w:bidi="ar-SA"/>
        </w:rPr>
        <w:t>个，涉及预算总金额</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795.31</w:t>
      </w:r>
      <w:r>
        <w:rPr>
          <w:rFonts w:hint="default" w:ascii="Times New Roman" w:hAnsi="Times New Roman" w:eastAsia="仿宋_GB2312" w:cs="Times New Roman"/>
          <w:color w:val="000000"/>
          <w:kern w:val="0"/>
          <w:sz w:val="32"/>
          <w:szCs w:val="32"/>
          <w:highlight w:val="none"/>
          <w:shd w:val="clear" w:color="auto" w:fill="FFFFFF"/>
          <w:lang w:val="zh-CN" w:eastAsia="zh-CN" w:bidi="ar-SA"/>
        </w:rPr>
        <w:t>万元，1</w:t>
      </w:r>
      <w:r>
        <w:rPr>
          <w:rFonts w:hint="eastAsia" w:ascii="Times New Roman" w:hAnsi="Times New Roman" w:eastAsia="仿宋_GB2312" w:cs="Times New Roman"/>
          <w:color w:val="000000"/>
          <w:kern w:val="0"/>
          <w:sz w:val="32"/>
          <w:szCs w:val="32"/>
          <w:highlight w:val="none"/>
          <w:shd w:val="clear" w:color="auto" w:fill="FFFFFF"/>
          <w:lang w:val="zh-CN" w:eastAsia="zh-CN" w:bidi="ar-SA"/>
        </w:rPr>
        <w:t>—</w:t>
      </w:r>
      <w:r>
        <w:rPr>
          <w:rFonts w:hint="default" w:ascii="Times New Roman" w:hAnsi="Times New Roman" w:eastAsia="仿宋_GB2312" w:cs="Times New Roman"/>
          <w:color w:val="000000"/>
          <w:kern w:val="0"/>
          <w:sz w:val="32"/>
          <w:szCs w:val="32"/>
          <w:highlight w:val="none"/>
          <w:shd w:val="clear" w:color="auto" w:fill="FFFFFF"/>
          <w:lang w:val="zh-CN" w:eastAsia="zh-CN" w:bidi="ar-SA"/>
        </w:rPr>
        <w:t>1</w:t>
      </w:r>
      <w:r>
        <w:rPr>
          <w:rFonts w:hint="default" w:ascii="Times New Roman" w:hAnsi="Times New Roman" w:eastAsia="仿宋_GB2312" w:cs="Times New Roman"/>
          <w:color w:val="000000"/>
          <w:kern w:val="0"/>
          <w:sz w:val="32"/>
          <w:szCs w:val="32"/>
          <w:highlight w:val="none"/>
          <w:shd w:val="clear" w:color="auto" w:fill="FFFFFF"/>
          <w:lang w:val="en-US" w:eastAsia="zh-CN" w:bidi="ar-SA"/>
        </w:rPr>
        <w:t>2</w:t>
      </w:r>
      <w:r>
        <w:rPr>
          <w:rFonts w:hint="default" w:ascii="Times New Roman" w:hAnsi="Times New Roman" w:eastAsia="仿宋_GB2312" w:cs="Times New Roman"/>
          <w:color w:val="000000"/>
          <w:kern w:val="0"/>
          <w:sz w:val="32"/>
          <w:szCs w:val="32"/>
          <w:highlight w:val="none"/>
          <w:shd w:val="clear" w:color="auto" w:fill="FFFFFF"/>
          <w:lang w:val="zh-CN" w:eastAsia="zh-CN" w:bidi="ar-SA"/>
        </w:rPr>
        <w:t>月预算执行总体进度为</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94.16</w:t>
      </w:r>
      <w:r>
        <w:rPr>
          <w:rFonts w:hint="default" w:ascii="Times New Roman" w:hAnsi="Times New Roman" w:eastAsia="仿宋_GB2312" w:cs="Times New Roman"/>
          <w:color w:val="000000"/>
          <w:kern w:val="0"/>
          <w:sz w:val="32"/>
          <w:szCs w:val="32"/>
          <w:highlight w:val="none"/>
          <w:shd w:val="clear" w:color="auto" w:fill="FFFFFF"/>
          <w:lang w:val="zh-CN" w:eastAsia="zh-CN" w:bidi="ar-SA"/>
        </w:rPr>
        <w:t>%，其中：预算结余率大于</w:t>
      </w:r>
      <w:r>
        <w:rPr>
          <w:rFonts w:hint="default" w:ascii="Times New Roman" w:hAnsi="Times New Roman" w:eastAsia="仿宋_GB2312" w:cs="Times New Roman"/>
          <w:color w:val="000000"/>
          <w:kern w:val="0"/>
          <w:sz w:val="32"/>
          <w:szCs w:val="32"/>
          <w:highlight w:val="none"/>
          <w:shd w:val="clear" w:color="auto" w:fill="FFFFFF"/>
          <w:lang w:val="en-US" w:eastAsia="zh-CN" w:bidi="ar-SA"/>
        </w:rPr>
        <w:t>10%</w:t>
      </w:r>
      <w:r>
        <w:rPr>
          <w:rFonts w:hint="default" w:ascii="Times New Roman" w:hAnsi="Times New Roman" w:eastAsia="仿宋_GB2312" w:cs="Times New Roman"/>
          <w:color w:val="000000"/>
          <w:kern w:val="0"/>
          <w:sz w:val="32"/>
          <w:szCs w:val="32"/>
          <w:highlight w:val="none"/>
          <w:shd w:val="clear" w:color="auto" w:fill="FFFFFF"/>
          <w:lang w:val="zh-CN" w:eastAsia="zh-CN" w:bidi="ar-SA"/>
        </w:rPr>
        <w:t>的项目共计</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2</w:t>
      </w:r>
      <w:r>
        <w:rPr>
          <w:rFonts w:hint="default" w:ascii="Times New Roman" w:hAnsi="Times New Roman" w:eastAsia="仿宋_GB2312" w:cs="Times New Roman"/>
          <w:color w:val="000000"/>
          <w:kern w:val="0"/>
          <w:sz w:val="32"/>
          <w:szCs w:val="32"/>
          <w:highlight w:val="none"/>
          <w:shd w:val="clear" w:color="auto" w:fill="FFFFFF"/>
          <w:lang w:val="zh-CN" w:eastAsia="zh-CN" w:bidi="ar-SA"/>
        </w:rPr>
        <w:t>个</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(该类项目均为我部门信息中心项目，由于项目实施特殊性，资金分为两年支付，本年度仅支付项目总金额的50%)</w:t>
      </w:r>
      <w:r>
        <w:rPr>
          <w:rFonts w:hint="default" w:ascii="Times New Roman" w:hAnsi="Times New Roman" w:eastAsia="仿宋_GB2312" w:cs="Times New Roman"/>
          <w:color w:val="000000"/>
          <w:kern w:val="0"/>
          <w:sz w:val="32"/>
          <w:szCs w:val="32"/>
          <w:highlight w:val="none"/>
          <w:shd w:val="clear" w:color="auto" w:fill="FFFFFF"/>
          <w:lang w:val="zh-CN" w:eastAsia="zh-CN" w:bidi="ar-SA"/>
        </w:rPr>
        <w:t>。</w:t>
      </w:r>
    </w:p>
    <w:p w14:paraId="5A085CFC">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eastAsia="zh-CN" w:bidi="ar-SA"/>
        </w:rPr>
      </w:pPr>
      <w:r>
        <w:rPr>
          <w:rFonts w:hint="default" w:ascii="Times New Roman" w:hAnsi="Times New Roman" w:eastAsia="仿宋_GB2312" w:cs="Times New Roman"/>
          <w:color w:val="000000"/>
          <w:kern w:val="0"/>
          <w:sz w:val="32"/>
          <w:szCs w:val="32"/>
          <w:highlight w:val="none"/>
          <w:shd w:val="clear" w:color="auto" w:fill="FFFFFF"/>
          <w:lang w:val="en-US" w:eastAsia="zh-CN" w:bidi="ar-SA"/>
        </w:rPr>
        <w:t>阶段（</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含</w:t>
      </w:r>
      <w:r>
        <w:rPr>
          <w:rFonts w:hint="default" w:ascii="Times New Roman" w:hAnsi="Times New Roman" w:eastAsia="仿宋_GB2312" w:cs="Times New Roman"/>
          <w:color w:val="000000"/>
          <w:kern w:val="0"/>
          <w:sz w:val="32"/>
          <w:szCs w:val="32"/>
          <w:highlight w:val="none"/>
          <w:shd w:val="clear" w:color="auto" w:fill="FFFFFF"/>
          <w:lang w:val="en-US" w:eastAsia="zh-CN" w:bidi="ar-SA"/>
        </w:rPr>
        <w:t>一次性）项目绩效分析。</w:t>
      </w:r>
      <w:r>
        <w:rPr>
          <w:rFonts w:hint="default" w:ascii="Times New Roman" w:hAnsi="Times New Roman" w:eastAsia="仿宋_GB2312" w:cs="Times New Roman"/>
          <w:color w:val="000000"/>
          <w:kern w:val="0"/>
          <w:sz w:val="32"/>
          <w:szCs w:val="32"/>
          <w:highlight w:val="none"/>
          <w:shd w:val="clear" w:color="auto" w:fill="FFFFFF"/>
          <w:lang w:val="zh-CN" w:eastAsia="zh-CN" w:bidi="ar-SA"/>
        </w:rPr>
        <w:t>该类项目总数</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3</w:t>
      </w:r>
      <w:r>
        <w:rPr>
          <w:rFonts w:hint="default" w:ascii="Times New Roman" w:hAnsi="Times New Roman" w:eastAsia="仿宋_GB2312" w:cs="Times New Roman"/>
          <w:color w:val="000000"/>
          <w:kern w:val="0"/>
          <w:sz w:val="32"/>
          <w:szCs w:val="32"/>
          <w:highlight w:val="none"/>
          <w:shd w:val="clear" w:color="auto" w:fill="FFFFFF"/>
          <w:lang w:val="zh-CN" w:eastAsia="zh-CN" w:bidi="ar-SA"/>
        </w:rPr>
        <w:t>个，涉及预算总金额</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291.6</w:t>
      </w:r>
      <w:r>
        <w:rPr>
          <w:rFonts w:hint="default" w:ascii="Times New Roman" w:hAnsi="Times New Roman" w:eastAsia="仿宋_GB2312" w:cs="Times New Roman"/>
          <w:color w:val="000000"/>
          <w:kern w:val="0"/>
          <w:sz w:val="32"/>
          <w:szCs w:val="32"/>
          <w:highlight w:val="none"/>
          <w:shd w:val="clear" w:color="auto" w:fill="FFFFFF"/>
          <w:lang w:val="zh-CN" w:eastAsia="zh-CN" w:bidi="ar-SA"/>
        </w:rPr>
        <w:t>万元，1</w:t>
      </w:r>
      <w:r>
        <w:rPr>
          <w:rFonts w:hint="eastAsia" w:ascii="Times New Roman" w:hAnsi="Times New Roman" w:eastAsia="仿宋_GB2312" w:cs="Times New Roman"/>
          <w:color w:val="000000"/>
          <w:kern w:val="0"/>
          <w:sz w:val="32"/>
          <w:szCs w:val="32"/>
          <w:highlight w:val="none"/>
          <w:shd w:val="clear" w:color="auto" w:fill="FFFFFF"/>
          <w:lang w:val="zh-CN" w:eastAsia="zh-CN" w:bidi="ar-SA"/>
        </w:rPr>
        <w:t>—</w:t>
      </w:r>
      <w:r>
        <w:rPr>
          <w:rFonts w:hint="default" w:ascii="Times New Roman" w:hAnsi="Times New Roman" w:eastAsia="仿宋_GB2312" w:cs="Times New Roman"/>
          <w:color w:val="000000"/>
          <w:kern w:val="0"/>
          <w:sz w:val="32"/>
          <w:szCs w:val="32"/>
          <w:highlight w:val="none"/>
          <w:shd w:val="clear" w:color="auto" w:fill="FFFFFF"/>
          <w:lang w:val="zh-CN" w:eastAsia="zh-CN" w:bidi="ar-SA"/>
        </w:rPr>
        <w:t>1</w:t>
      </w:r>
      <w:r>
        <w:rPr>
          <w:rFonts w:hint="default" w:ascii="Times New Roman" w:hAnsi="Times New Roman" w:eastAsia="仿宋_GB2312" w:cs="Times New Roman"/>
          <w:color w:val="000000"/>
          <w:kern w:val="0"/>
          <w:sz w:val="32"/>
          <w:szCs w:val="32"/>
          <w:highlight w:val="none"/>
          <w:shd w:val="clear" w:color="auto" w:fill="FFFFFF"/>
          <w:lang w:val="en-US" w:eastAsia="zh-CN" w:bidi="ar-SA"/>
        </w:rPr>
        <w:t>2</w:t>
      </w:r>
      <w:r>
        <w:rPr>
          <w:rFonts w:hint="default" w:ascii="Times New Roman" w:hAnsi="Times New Roman" w:eastAsia="仿宋_GB2312" w:cs="Times New Roman"/>
          <w:color w:val="000000"/>
          <w:kern w:val="0"/>
          <w:sz w:val="32"/>
          <w:szCs w:val="32"/>
          <w:highlight w:val="none"/>
          <w:shd w:val="clear" w:color="auto" w:fill="FFFFFF"/>
          <w:lang w:val="zh-CN" w:eastAsia="zh-CN" w:bidi="ar-SA"/>
        </w:rPr>
        <w:t>月预算执行总体进度为</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100</w:t>
      </w:r>
      <w:r>
        <w:rPr>
          <w:rFonts w:hint="default" w:ascii="Times New Roman" w:hAnsi="Times New Roman" w:eastAsia="仿宋_GB2312" w:cs="Times New Roman"/>
          <w:color w:val="000000"/>
          <w:kern w:val="0"/>
          <w:sz w:val="32"/>
          <w:szCs w:val="32"/>
          <w:highlight w:val="none"/>
          <w:shd w:val="clear" w:color="auto" w:fill="FFFFFF"/>
          <w:lang w:val="zh-CN" w:eastAsia="zh-CN" w:bidi="ar-SA"/>
        </w:rPr>
        <w:t>%，其中：预算结余率大于</w:t>
      </w:r>
      <w:r>
        <w:rPr>
          <w:rFonts w:hint="default" w:ascii="Times New Roman" w:hAnsi="Times New Roman" w:eastAsia="仿宋_GB2312" w:cs="Times New Roman"/>
          <w:color w:val="000000"/>
          <w:kern w:val="0"/>
          <w:sz w:val="32"/>
          <w:szCs w:val="32"/>
          <w:highlight w:val="none"/>
          <w:shd w:val="clear" w:color="auto" w:fill="FFFFFF"/>
          <w:lang w:val="en-US" w:eastAsia="zh-CN" w:bidi="ar-SA"/>
        </w:rPr>
        <w:t>10%</w:t>
      </w:r>
      <w:r>
        <w:rPr>
          <w:rFonts w:hint="default" w:ascii="Times New Roman" w:hAnsi="Times New Roman" w:eastAsia="仿宋_GB2312" w:cs="Times New Roman"/>
          <w:color w:val="000000"/>
          <w:kern w:val="0"/>
          <w:sz w:val="32"/>
          <w:szCs w:val="32"/>
          <w:highlight w:val="none"/>
          <w:shd w:val="clear" w:color="auto" w:fill="FFFFFF"/>
          <w:lang w:val="zh-CN" w:eastAsia="zh-CN" w:bidi="ar-SA"/>
        </w:rPr>
        <w:t>的项目共计</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0</w:t>
      </w:r>
      <w:r>
        <w:rPr>
          <w:rFonts w:hint="default" w:ascii="Times New Roman" w:hAnsi="Times New Roman" w:eastAsia="仿宋_GB2312" w:cs="Times New Roman"/>
          <w:color w:val="000000"/>
          <w:kern w:val="0"/>
          <w:sz w:val="32"/>
          <w:szCs w:val="32"/>
          <w:highlight w:val="none"/>
          <w:shd w:val="clear" w:color="auto" w:fill="FFFFFF"/>
          <w:lang w:val="zh-CN" w:eastAsia="zh-CN" w:bidi="ar-SA"/>
        </w:rPr>
        <w:t>个。</w:t>
      </w:r>
    </w:p>
    <w:p w14:paraId="7D9A4C4D">
      <w:pPr>
        <w:keepNext w:val="0"/>
        <w:keepLines w:val="0"/>
        <w:pageBreakBefore w:val="0"/>
        <w:widowControl w:val="0"/>
        <w:numPr>
          <w:ilvl w:val="0"/>
          <w:numId w:val="8"/>
        </w:numPr>
        <w:kinsoku/>
        <w:wordWrap/>
        <w:overflowPunct/>
        <w:topLinePunct w:val="0"/>
        <w:autoSpaceDE/>
        <w:autoSpaceDN/>
        <w:bidi w:val="0"/>
        <w:adjustRightInd w:val="0"/>
        <w:snapToGrid w:val="0"/>
        <w:spacing w:line="578" w:lineRule="exact"/>
        <w:ind w:firstLine="639"/>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eastAsia="zh-CN" w:bidi="ar-SA"/>
        </w:rPr>
      </w:pPr>
      <w:r>
        <w:rPr>
          <w:rFonts w:hint="default" w:ascii="Times New Roman" w:hAnsi="Times New Roman" w:eastAsia="仿宋_GB2312" w:cs="Times New Roman"/>
          <w:color w:val="000000"/>
          <w:kern w:val="0"/>
          <w:sz w:val="32"/>
          <w:szCs w:val="32"/>
          <w:highlight w:val="none"/>
          <w:shd w:val="clear" w:color="auto" w:fill="FFFFFF"/>
          <w:lang w:val="zh-CN" w:eastAsia="zh-CN" w:bidi="ar-SA"/>
        </w:rPr>
        <w:t>项目决策。</w:t>
      </w:r>
    </w:p>
    <w:p w14:paraId="1D386A57">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eastAsia="zh-CN" w:bidi="ar-SA"/>
        </w:rPr>
      </w:pPr>
      <w:r>
        <w:rPr>
          <w:rFonts w:hint="default" w:ascii="Times New Roman" w:hAnsi="Times New Roman" w:eastAsia="仿宋_GB2312" w:cs="Times New Roman"/>
          <w:color w:val="000000"/>
          <w:kern w:val="0"/>
          <w:sz w:val="32"/>
          <w:szCs w:val="32"/>
          <w:highlight w:val="none"/>
          <w:shd w:val="clear" w:color="auto" w:fill="FFFFFF"/>
          <w:lang w:val="zh-CN" w:eastAsia="zh-CN" w:bidi="ar-SA"/>
        </w:rPr>
        <w:t>我单位预算项目按要求均履行评估论证、申报程序。</w:t>
      </w:r>
      <w:r>
        <w:rPr>
          <w:rFonts w:hint="eastAsia" w:ascii="Times New Roman" w:hAnsi="Times New Roman" w:eastAsia="仿宋_GB2312" w:cs="Times New Roman"/>
          <w:color w:val="000000"/>
          <w:kern w:val="0"/>
          <w:sz w:val="32"/>
          <w:szCs w:val="32"/>
          <w:highlight w:val="none"/>
          <w:shd w:val="clear" w:color="auto" w:fill="FFFFFF"/>
          <w:lang w:val="zh-CN" w:eastAsia="zh-CN" w:bidi="ar-SA"/>
        </w:rPr>
        <w:t>该项指标得分=4-部门未履行事前评估程序的部门预算阶段项目（含一次性项目）数量</w:t>
      </w:r>
      <w:r>
        <w:rPr>
          <w:rFonts w:hint="default" w:ascii="Times New Roman" w:hAnsi="Times New Roman" w:eastAsia="仿宋_GB2312" w:cs="Times New Roman"/>
          <w:color w:val="000000"/>
          <w:kern w:val="0"/>
          <w:sz w:val="32"/>
          <w:szCs w:val="32"/>
          <w:highlight w:val="none"/>
          <w:shd w:val="clear" w:color="auto" w:fill="FFFFFF"/>
          <w:lang w:val="zh-CN" w:eastAsia="zh-CN" w:bidi="ar-SA"/>
        </w:rPr>
        <w:t>0</w:t>
      </w:r>
      <w:r>
        <w:rPr>
          <w:rFonts w:hint="eastAsia" w:ascii="Times New Roman" w:hAnsi="Times New Roman" w:eastAsia="仿宋_GB2312" w:cs="Times New Roman"/>
          <w:color w:val="000000"/>
          <w:kern w:val="0"/>
          <w:sz w:val="32"/>
          <w:szCs w:val="32"/>
          <w:highlight w:val="none"/>
          <w:shd w:val="clear" w:color="auto" w:fill="FFFFFF"/>
          <w:lang w:val="zh-CN" w:eastAsia="zh-CN" w:bidi="ar-SA"/>
        </w:rPr>
        <w:t>÷部门预算阶段项目（含一次性项目）总数</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27</w:t>
      </w:r>
      <w:r>
        <w:rPr>
          <w:rFonts w:hint="eastAsia" w:ascii="Times New Roman" w:hAnsi="Times New Roman" w:eastAsia="仿宋_GB2312" w:cs="Times New Roman"/>
          <w:color w:val="000000"/>
          <w:kern w:val="0"/>
          <w:sz w:val="32"/>
          <w:szCs w:val="32"/>
          <w:highlight w:val="none"/>
          <w:shd w:val="clear" w:color="auto" w:fill="FFFFFF"/>
          <w:lang w:val="zh-CN" w:eastAsia="zh-CN" w:bidi="ar-SA"/>
        </w:rPr>
        <w:t>×100%×4</w:t>
      </w:r>
      <w:r>
        <w:rPr>
          <w:rFonts w:hint="default" w:ascii="Times New Roman" w:hAnsi="Times New Roman" w:eastAsia="仿宋_GB2312" w:cs="Times New Roman"/>
          <w:color w:val="000000"/>
          <w:kern w:val="0"/>
          <w:sz w:val="32"/>
          <w:szCs w:val="32"/>
          <w:highlight w:val="none"/>
          <w:shd w:val="clear" w:color="auto" w:fill="FFFFFF"/>
          <w:lang w:val="zh-CN" w:eastAsia="zh-CN" w:bidi="ar-SA"/>
        </w:rPr>
        <w:t>=4，该项得分4分。</w:t>
      </w:r>
    </w:p>
    <w:p w14:paraId="773024DA">
      <w:pPr>
        <w:keepNext w:val="0"/>
        <w:keepLines w:val="0"/>
        <w:pageBreakBefore w:val="0"/>
        <w:widowControl w:val="0"/>
        <w:kinsoku/>
        <w:wordWrap/>
        <w:overflowPunct/>
        <w:topLinePunct w:val="0"/>
        <w:autoSpaceDE/>
        <w:autoSpaceDN/>
        <w:adjustRightInd w:val="0"/>
        <w:snapToGrid w:val="0"/>
        <w:spacing w:line="578" w:lineRule="exact"/>
        <w:ind w:firstLine="639"/>
        <w:contextualSpacing/>
        <w:jc w:val="left"/>
        <w:rPr>
          <w:rFonts w:hint="eastAsia" w:ascii="Times New Roman" w:hAnsi="Times New Roman" w:eastAsia="仿宋_GB2312" w:cs="Times New Roman"/>
          <w:color w:val="000000"/>
          <w:kern w:val="0"/>
          <w:sz w:val="32"/>
          <w:szCs w:val="32"/>
          <w:highlight w:val="none"/>
          <w:shd w:val="clear" w:color="auto" w:fill="FFFFFF"/>
          <w:lang w:val="zh-CN" w:eastAsia="zh-CN" w:bidi="ar-SA"/>
        </w:rPr>
      </w:pPr>
      <w:r>
        <w:rPr>
          <w:rFonts w:hint="default" w:ascii="Times New Roman" w:hAnsi="Times New Roman" w:eastAsia="仿宋_GB2312" w:cs="Times New Roman"/>
          <w:color w:val="000000"/>
          <w:kern w:val="0"/>
          <w:sz w:val="32"/>
          <w:szCs w:val="32"/>
          <w:highlight w:val="none"/>
          <w:shd w:val="clear" w:color="auto" w:fill="FFFFFF"/>
          <w:lang w:val="zh-CN" w:eastAsia="zh-CN" w:bidi="ar-SA"/>
        </w:rPr>
        <w:t>我单位预算项目绩效目标与计划期内的任务量、预算安排相匹配，预算安排资金量与预算匹配，绩效目标设置科学合理、规范完整、量化息化。</w:t>
      </w:r>
      <w:r>
        <w:rPr>
          <w:rFonts w:hint="eastAsia" w:ascii="Times New Roman" w:hAnsi="Times New Roman" w:eastAsia="仿宋_GB2312" w:cs="Times New Roman"/>
          <w:color w:val="000000"/>
          <w:kern w:val="0"/>
          <w:sz w:val="32"/>
          <w:szCs w:val="32"/>
          <w:highlight w:val="none"/>
          <w:shd w:val="clear" w:color="auto" w:fill="FFFFFF"/>
          <w:lang w:val="zh-CN" w:eastAsia="zh-CN" w:bidi="ar-SA"/>
        </w:rPr>
        <w:t>该项指标得分=4-绩效目标与计划期内的任务量、预算安排不相匹配的部门预算阶段项目（含一次性项目）数量</w:t>
      </w:r>
      <w:r>
        <w:rPr>
          <w:rFonts w:hint="default" w:ascii="Times New Roman" w:hAnsi="Times New Roman" w:eastAsia="仿宋_GB2312" w:cs="Times New Roman"/>
          <w:color w:val="000000"/>
          <w:kern w:val="0"/>
          <w:sz w:val="32"/>
          <w:szCs w:val="32"/>
          <w:highlight w:val="none"/>
          <w:shd w:val="clear" w:color="auto" w:fill="FFFFFF"/>
          <w:lang w:val="zh-CN" w:eastAsia="zh-CN" w:bidi="ar-SA"/>
        </w:rPr>
        <w:t>0</w:t>
      </w:r>
      <w:r>
        <w:rPr>
          <w:rFonts w:hint="eastAsia" w:ascii="Times New Roman" w:hAnsi="Times New Roman" w:eastAsia="仿宋_GB2312" w:cs="Times New Roman"/>
          <w:color w:val="000000"/>
          <w:kern w:val="0"/>
          <w:sz w:val="32"/>
          <w:szCs w:val="32"/>
          <w:highlight w:val="none"/>
          <w:shd w:val="clear" w:color="auto" w:fill="FFFFFF"/>
          <w:lang w:val="zh-CN" w:eastAsia="zh-CN" w:bidi="ar-SA"/>
        </w:rPr>
        <w:t>÷部门预算阶段项目（含一次性项目）总数</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27</w:t>
      </w:r>
      <w:r>
        <w:rPr>
          <w:rFonts w:hint="eastAsia" w:ascii="Times New Roman" w:hAnsi="Times New Roman" w:eastAsia="仿宋_GB2312" w:cs="Times New Roman"/>
          <w:color w:val="000000"/>
          <w:kern w:val="0"/>
          <w:sz w:val="32"/>
          <w:szCs w:val="32"/>
          <w:highlight w:val="none"/>
          <w:shd w:val="clear" w:color="auto" w:fill="FFFFFF"/>
          <w:lang w:val="zh-CN" w:eastAsia="zh-CN" w:bidi="ar-SA"/>
        </w:rPr>
        <w:t>×100%×4</w:t>
      </w:r>
      <w:r>
        <w:rPr>
          <w:rFonts w:hint="default" w:ascii="Times New Roman" w:hAnsi="Times New Roman" w:eastAsia="仿宋_GB2312" w:cs="Times New Roman"/>
          <w:color w:val="000000"/>
          <w:kern w:val="0"/>
          <w:sz w:val="32"/>
          <w:szCs w:val="32"/>
          <w:highlight w:val="none"/>
          <w:shd w:val="clear" w:color="auto" w:fill="FFFFFF"/>
          <w:lang w:val="zh-CN" w:eastAsia="zh-CN" w:bidi="ar-SA"/>
        </w:rPr>
        <w:t>=4，该项得分4分。</w:t>
      </w:r>
    </w:p>
    <w:p w14:paraId="468D5329">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eastAsia="zh-CN" w:bidi="ar-SA"/>
        </w:rPr>
      </w:pPr>
      <w:r>
        <w:rPr>
          <w:rFonts w:hint="default" w:ascii="Times New Roman" w:hAnsi="Times New Roman" w:eastAsia="仿宋_GB2312" w:cs="Times New Roman"/>
          <w:color w:val="000000"/>
          <w:kern w:val="0"/>
          <w:sz w:val="32"/>
          <w:szCs w:val="32"/>
          <w:highlight w:val="none"/>
          <w:shd w:val="clear" w:color="auto" w:fill="FFFFFF"/>
          <w:lang w:val="zh-CN" w:eastAsia="zh-CN" w:bidi="ar-SA"/>
        </w:rPr>
        <w:t>部门预算项目均在规定时间内完成项目入库。该项得分4分。</w:t>
      </w:r>
    </w:p>
    <w:p w14:paraId="2A7A2BC9">
      <w:pPr>
        <w:keepNext w:val="0"/>
        <w:keepLines w:val="0"/>
        <w:pageBreakBefore w:val="0"/>
        <w:widowControl w:val="0"/>
        <w:numPr>
          <w:ilvl w:val="0"/>
          <w:numId w:val="8"/>
        </w:numPr>
        <w:kinsoku/>
        <w:wordWrap/>
        <w:overflowPunct/>
        <w:topLinePunct w:val="0"/>
        <w:autoSpaceDE/>
        <w:autoSpaceDN/>
        <w:bidi w:val="0"/>
        <w:adjustRightInd w:val="0"/>
        <w:snapToGrid w:val="0"/>
        <w:spacing w:line="578" w:lineRule="exact"/>
        <w:ind w:left="0" w:leftChars="0" w:firstLine="639" w:firstLineChars="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eastAsia="zh-CN" w:bidi="ar-SA"/>
        </w:rPr>
      </w:pPr>
      <w:r>
        <w:rPr>
          <w:rFonts w:hint="default" w:ascii="Times New Roman" w:hAnsi="Times New Roman" w:eastAsia="仿宋_GB2312" w:cs="Times New Roman"/>
          <w:color w:val="000000"/>
          <w:kern w:val="0"/>
          <w:sz w:val="32"/>
          <w:szCs w:val="32"/>
          <w:highlight w:val="none"/>
          <w:shd w:val="clear" w:color="auto" w:fill="FFFFFF"/>
          <w:lang w:val="en-US" w:eastAsia="zh-CN" w:bidi="ar-SA"/>
        </w:rPr>
        <w:t>项目执行</w:t>
      </w:r>
      <w:r>
        <w:rPr>
          <w:rFonts w:hint="default" w:ascii="Times New Roman" w:hAnsi="Times New Roman" w:eastAsia="仿宋_GB2312" w:cs="Times New Roman"/>
          <w:color w:val="000000"/>
          <w:kern w:val="0"/>
          <w:sz w:val="32"/>
          <w:szCs w:val="32"/>
          <w:highlight w:val="none"/>
          <w:shd w:val="clear" w:color="auto" w:fill="FFFFFF"/>
          <w:lang w:val="zh-CN" w:eastAsia="zh-CN" w:bidi="ar-SA"/>
        </w:rPr>
        <w:t>。</w:t>
      </w:r>
    </w:p>
    <w:p w14:paraId="739AE619">
      <w:pPr>
        <w:keepNext w:val="0"/>
        <w:keepLines w:val="0"/>
        <w:pageBreakBefore w:val="0"/>
        <w:widowControl w:val="0"/>
        <w:kinsoku/>
        <w:wordWrap/>
        <w:overflowPunct/>
        <w:topLinePunct w:val="0"/>
        <w:autoSpaceDE/>
        <w:autoSpaceDN/>
        <w:adjustRightInd w:val="0"/>
        <w:snapToGrid w:val="0"/>
        <w:spacing w:line="578" w:lineRule="exact"/>
        <w:ind w:left="0" w:firstLine="640" w:firstLineChars="200"/>
        <w:contextualSpacing/>
        <w:jc w:val="left"/>
        <w:rPr>
          <w:rFonts w:hint="default" w:ascii="Times New Roman" w:hAnsi="Times New Roman" w:eastAsia="仿宋_GB2312" w:cs="Times New Roman"/>
          <w:color w:val="000000"/>
          <w:kern w:val="0"/>
          <w:sz w:val="32"/>
          <w:szCs w:val="32"/>
          <w:highlight w:val="none"/>
          <w:shd w:val="clear" w:color="auto" w:fill="FFFFFF"/>
          <w:lang w:val="zh-CN" w:eastAsia="zh-CN" w:bidi="ar-SA"/>
        </w:rPr>
      </w:pPr>
      <w:r>
        <w:rPr>
          <w:rFonts w:hint="default" w:ascii="Times New Roman" w:hAnsi="Times New Roman" w:eastAsia="仿宋_GB2312" w:cs="Times New Roman"/>
          <w:color w:val="000000"/>
          <w:kern w:val="0"/>
          <w:sz w:val="32"/>
          <w:szCs w:val="32"/>
          <w:highlight w:val="none"/>
          <w:shd w:val="clear" w:color="auto" w:fill="FFFFFF"/>
          <w:lang w:val="zh-CN" w:eastAsia="zh-CN" w:bidi="ar-SA"/>
        </w:rPr>
        <w:t>我单位部门预算项目实际列支内容与绩效目标设置方向相符。该项指标得分=4-实际列支内容与绩效目标设置方向不相符的部门预算阶段项目（含一次性项目）数量0÷部门预算阶段项目（含一次性项目）总数</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27</w:t>
      </w:r>
      <w:r>
        <w:rPr>
          <w:rFonts w:hint="default" w:ascii="Times New Roman" w:hAnsi="Times New Roman" w:eastAsia="仿宋_GB2312" w:cs="Times New Roman"/>
          <w:color w:val="000000"/>
          <w:kern w:val="0"/>
          <w:sz w:val="32"/>
          <w:szCs w:val="32"/>
          <w:highlight w:val="none"/>
          <w:shd w:val="clear" w:color="auto" w:fill="FFFFFF"/>
          <w:lang w:val="zh-CN" w:eastAsia="zh-CN" w:bidi="ar-SA"/>
        </w:rPr>
        <w:t>×100%×4=0，该项得分4分。</w:t>
      </w:r>
    </w:p>
    <w:p w14:paraId="08A43E54">
      <w:pPr>
        <w:keepNext w:val="0"/>
        <w:keepLines w:val="0"/>
        <w:pageBreakBefore w:val="0"/>
        <w:widowControl w:val="0"/>
        <w:kinsoku/>
        <w:wordWrap/>
        <w:overflowPunct/>
        <w:topLinePunct w:val="0"/>
        <w:autoSpaceDE/>
        <w:autoSpaceDN/>
        <w:adjustRightInd w:val="0"/>
        <w:snapToGrid w:val="0"/>
        <w:spacing w:line="578" w:lineRule="exact"/>
        <w:ind w:left="0" w:firstLine="640" w:firstLineChars="200"/>
        <w:contextualSpacing/>
        <w:jc w:val="left"/>
        <w:rPr>
          <w:rFonts w:hint="eastAsia" w:ascii="Times New Roman" w:hAnsi="Times New Roman" w:eastAsia="仿宋_GB2312" w:cs="Times New Roman"/>
          <w:color w:val="000000"/>
          <w:kern w:val="0"/>
          <w:sz w:val="32"/>
          <w:szCs w:val="32"/>
          <w:highlight w:val="none"/>
          <w:shd w:val="clear" w:color="auto" w:fill="FFFFFF"/>
          <w:lang w:val="zh-CN" w:eastAsia="zh-CN" w:bidi="ar-SA"/>
        </w:rPr>
      </w:pPr>
      <w:r>
        <w:rPr>
          <w:rFonts w:hint="eastAsia" w:ascii="Times New Roman" w:hAnsi="Times New Roman" w:eastAsia="仿宋_GB2312" w:cs="Times New Roman"/>
          <w:color w:val="000000"/>
          <w:kern w:val="0"/>
          <w:sz w:val="32"/>
          <w:szCs w:val="32"/>
          <w:highlight w:val="none"/>
          <w:shd w:val="clear" w:color="auto" w:fill="FFFFFF"/>
          <w:lang w:val="zh-CN" w:eastAsia="zh-CN" w:bidi="ar-SA"/>
        </w:rPr>
        <w:t>部门预算项目结余结转均已采取对应调整措施，该项指标得分=4-应采取未采取收回预算、调整目标等处置措施的部门预算阶段项目（含一次性项目）数量</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2</w:t>
      </w:r>
      <w:r>
        <w:rPr>
          <w:rFonts w:hint="eastAsia" w:ascii="Times New Roman" w:hAnsi="Times New Roman" w:eastAsia="仿宋_GB2312" w:cs="Times New Roman"/>
          <w:color w:val="000000"/>
          <w:kern w:val="0"/>
          <w:sz w:val="32"/>
          <w:szCs w:val="32"/>
          <w:highlight w:val="none"/>
          <w:shd w:val="clear" w:color="auto" w:fill="FFFFFF"/>
          <w:lang w:val="zh-CN" w:eastAsia="zh-CN" w:bidi="ar-SA"/>
        </w:rPr>
        <w:t>÷应采取收回预算、调整目标等处置措施的部门预算阶段项目（含一次性项目）总数</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6</w:t>
      </w:r>
      <w:r>
        <w:rPr>
          <w:rFonts w:hint="eastAsia" w:ascii="Times New Roman" w:hAnsi="Times New Roman" w:eastAsia="仿宋_GB2312" w:cs="Times New Roman"/>
          <w:color w:val="000000"/>
          <w:kern w:val="0"/>
          <w:sz w:val="32"/>
          <w:szCs w:val="32"/>
          <w:highlight w:val="none"/>
          <w:shd w:val="clear" w:color="auto" w:fill="FFFFFF"/>
          <w:lang w:val="zh-CN" w:eastAsia="zh-CN" w:bidi="ar-SA"/>
        </w:rPr>
        <w:t>×100%×4=0，该项得分</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2.67</w:t>
      </w:r>
      <w:r>
        <w:rPr>
          <w:rFonts w:hint="eastAsia" w:ascii="Times New Roman" w:hAnsi="Times New Roman" w:eastAsia="仿宋_GB2312" w:cs="Times New Roman"/>
          <w:color w:val="000000"/>
          <w:kern w:val="0"/>
          <w:sz w:val="32"/>
          <w:szCs w:val="32"/>
          <w:highlight w:val="none"/>
          <w:shd w:val="clear" w:color="auto" w:fill="FFFFFF"/>
          <w:lang w:val="zh-CN" w:eastAsia="zh-CN" w:bidi="ar-SA"/>
        </w:rPr>
        <w:t>分。</w:t>
      </w:r>
    </w:p>
    <w:p w14:paraId="3FAFB35E">
      <w:pPr>
        <w:keepNext w:val="0"/>
        <w:keepLines w:val="0"/>
        <w:pageBreakBefore w:val="0"/>
        <w:widowControl w:val="0"/>
        <w:kinsoku/>
        <w:wordWrap/>
        <w:overflowPunct/>
        <w:topLinePunct w:val="0"/>
        <w:autoSpaceDE/>
        <w:autoSpaceDN/>
        <w:adjustRightInd w:val="0"/>
        <w:snapToGrid w:val="0"/>
        <w:spacing w:line="578" w:lineRule="exact"/>
        <w:ind w:left="0" w:firstLine="640" w:firstLineChars="200"/>
        <w:contextualSpacing/>
        <w:jc w:val="left"/>
        <w:rPr>
          <w:rFonts w:hint="eastAsia" w:ascii="Times New Roman" w:hAnsi="Times New Roman" w:eastAsia="仿宋_GB2312" w:cs="Times New Roman"/>
          <w:color w:val="000000"/>
          <w:kern w:val="0"/>
          <w:sz w:val="32"/>
          <w:szCs w:val="32"/>
          <w:highlight w:val="none"/>
          <w:shd w:val="clear" w:color="auto" w:fill="FFFFFF"/>
          <w:lang w:val="zh-CN" w:eastAsia="zh-CN" w:bidi="ar-SA"/>
        </w:rPr>
      </w:pPr>
      <w:r>
        <w:rPr>
          <w:rFonts w:hint="eastAsia" w:ascii="Times New Roman" w:hAnsi="Times New Roman" w:eastAsia="仿宋_GB2312" w:cs="Times New Roman"/>
          <w:color w:val="000000"/>
          <w:kern w:val="0"/>
          <w:sz w:val="32"/>
          <w:szCs w:val="32"/>
          <w:highlight w:val="none"/>
          <w:shd w:val="clear" w:color="auto" w:fill="FFFFFF"/>
          <w:lang w:val="zh-CN" w:eastAsia="zh-CN" w:bidi="ar-SA"/>
        </w:rPr>
        <w:t>部门预算项目预算执行情况：该项指标得分=预算结余率小于10%的常年项目数量</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22</w:t>
      </w:r>
      <w:r>
        <w:rPr>
          <w:rFonts w:hint="eastAsia" w:ascii="Times New Roman" w:hAnsi="Times New Roman" w:eastAsia="仿宋_GB2312" w:cs="Times New Roman"/>
          <w:color w:val="000000"/>
          <w:kern w:val="0"/>
          <w:sz w:val="32"/>
          <w:szCs w:val="32"/>
          <w:highlight w:val="none"/>
          <w:shd w:val="clear" w:color="auto" w:fill="FFFFFF"/>
          <w:lang w:val="zh-CN" w:eastAsia="zh-CN" w:bidi="ar-SA"/>
        </w:rPr>
        <w:t>÷部门预算常年项目总数</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24</w:t>
      </w:r>
      <w:r>
        <w:rPr>
          <w:rFonts w:hint="eastAsia" w:ascii="Times New Roman" w:hAnsi="Times New Roman" w:eastAsia="仿宋_GB2312" w:cs="Times New Roman"/>
          <w:color w:val="000000"/>
          <w:kern w:val="0"/>
          <w:sz w:val="32"/>
          <w:szCs w:val="32"/>
          <w:highlight w:val="none"/>
          <w:shd w:val="clear" w:color="auto" w:fill="FFFFFF"/>
          <w:lang w:val="zh-CN" w:eastAsia="zh-CN" w:bidi="ar-SA"/>
        </w:rPr>
        <w:t>×100%×2+预算结余率小于10%的一次性项目和阶段项目数量</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3</w:t>
      </w:r>
      <w:r>
        <w:rPr>
          <w:rFonts w:hint="eastAsia" w:ascii="Times New Roman" w:hAnsi="Times New Roman" w:eastAsia="仿宋_GB2312" w:cs="Times New Roman"/>
          <w:color w:val="000000"/>
          <w:kern w:val="0"/>
          <w:sz w:val="32"/>
          <w:szCs w:val="32"/>
          <w:highlight w:val="none"/>
          <w:shd w:val="clear" w:color="auto" w:fill="FFFFFF"/>
          <w:lang w:val="zh-CN" w:eastAsia="zh-CN" w:bidi="ar-SA"/>
        </w:rPr>
        <w:t>÷部门预算一次性项目和阶段项目总数</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3</w:t>
      </w:r>
      <w:r>
        <w:rPr>
          <w:rFonts w:hint="eastAsia" w:ascii="Times New Roman" w:hAnsi="Times New Roman" w:eastAsia="仿宋_GB2312" w:cs="Times New Roman"/>
          <w:color w:val="000000"/>
          <w:kern w:val="0"/>
          <w:sz w:val="32"/>
          <w:szCs w:val="32"/>
          <w:highlight w:val="none"/>
          <w:shd w:val="clear" w:color="auto" w:fill="FFFFFF"/>
          <w:lang w:val="zh-CN" w:eastAsia="zh-CN" w:bidi="ar-SA"/>
        </w:rPr>
        <w:t>×100%×2</w:t>
      </w:r>
      <w:r>
        <w:rPr>
          <w:rFonts w:hint="default" w:ascii="Times New Roman" w:hAnsi="Times New Roman" w:eastAsia="仿宋_GB2312" w:cs="Times New Roman"/>
          <w:color w:val="000000"/>
          <w:kern w:val="0"/>
          <w:sz w:val="32"/>
          <w:szCs w:val="32"/>
          <w:highlight w:val="none"/>
          <w:shd w:val="clear" w:color="auto" w:fill="FFFFFF"/>
          <w:lang w:val="zh-CN" w:eastAsia="zh-CN" w:bidi="ar-SA"/>
        </w:rPr>
        <w:t>=</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3.83</w:t>
      </w:r>
      <w:r>
        <w:rPr>
          <w:rFonts w:hint="default" w:ascii="Times New Roman" w:hAnsi="Times New Roman" w:eastAsia="仿宋_GB2312" w:cs="Times New Roman"/>
          <w:color w:val="000000"/>
          <w:kern w:val="0"/>
          <w:sz w:val="32"/>
          <w:szCs w:val="32"/>
          <w:highlight w:val="none"/>
          <w:shd w:val="clear" w:color="auto" w:fill="FFFFFF"/>
          <w:lang w:val="zh-CN" w:eastAsia="zh-CN" w:bidi="ar-SA"/>
        </w:rPr>
        <w:t>，该项得分</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3.83</w:t>
      </w:r>
      <w:r>
        <w:rPr>
          <w:rFonts w:hint="default" w:ascii="Times New Roman" w:hAnsi="Times New Roman" w:eastAsia="仿宋_GB2312" w:cs="Times New Roman"/>
          <w:color w:val="000000"/>
          <w:kern w:val="0"/>
          <w:sz w:val="32"/>
          <w:szCs w:val="32"/>
          <w:highlight w:val="none"/>
          <w:shd w:val="clear" w:color="auto" w:fill="FFFFFF"/>
          <w:lang w:val="zh-CN" w:eastAsia="zh-CN" w:bidi="ar-SA"/>
        </w:rPr>
        <w:t>分。</w:t>
      </w:r>
    </w:p>
    <w:p w14:paraId="572719B1">
      <w:pPr>
        <w:keepNext w:val="0"/>
        <w:keepLines w:val="0"/>
        <w:pageBreakBefore w:val="0"/>
        <w:widowControl w:val="0"/>
        <w:numPr>
          <w:ilvl w:val="0"/>
          <w:numId w:val="8"/>
        </w:numPr>
        <w:kinsoku/>
        <w:wordWrap/>
        <w:overflowPunct/>
        <w:topLinePunct w:val="0"/>
        <w:autoSpaceDE/>
        <w:autoSpaceDN/>
        <w:bidi w:val="0"/>
        <w:adjustRightInd w:val="0"/>
        <w:snapToGrid w:val="0"/>
        <w:spacing w:line="578" w:lineRule="exact"/>
        <w:ind w:left="0" w:leftChars="0" w:firstLine="639" w:firstLineChars="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eastAsia="zh-CN" w:bidi="ar-SA"/>
        </w:rPr>
      </w:pPr>
      <w:r>
        <w:rPr>
          <w:rFonts w:hint="default" w:ascii="Times New Roman" w:hAnsi="Times New Roman" w:eastAsia="仿宋_GB2312" w:cs="Times New Roman"/>
          <w:color w:val="000000"/>
          <w:kern w:val="0"/>
          <w:sz w:val="32"/>
          <w:szCs w:val="32"/>
          <w:highlight w:val="none"/>
          <w:shd w:val="clear" w:color="auto" w:fill="FFFFFF"/>
          <w:lang w:val="zh-CN" w:eastAsia="zh-CN" w:bidi="ar-SA"/>
        </w:rPr>
        <w:t>目标实现。</w:t>
      </w:r>
    </w:p>
    <w:p w14:paraId="27AA2854">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eastAsia="zh-CN" w:bidi="ar-SA"/>
        </w:rPr>
      </w:pPr>
      <w:r>
        <w:rPr>
          <w:rFonts w:hint="eastAsia" w:ascii="Times New Roman" w:hAnsi="Times New Roman" w:eastAsia="仿宋_GB2312" w:cs="Times New Roman"/>
          <w:color w:val="000000"/>
          <w:kern w:val="0"/>
          <w:sz w:val="32"/>
          <w:szCs w:val="32"/>
          <w:highlight w:val="none"/>
          <w:shd w:val="clear" w:color="auto" w:fill="FFFFFF"/>
          <w:lang w:val="zh-CN" w:eastAsia="zh-CN" w:bidi="ar-SA"/>
        </w:rPr>
        <w:t>部门预算项目绩效目标指标完成情况：</w:t>
      </w:r>
      <w:r>
        <w:rPr>
          <w:rFonts w:hint="default" w:ascii="Times New Roman" w:hAnsi="Times New Roman" w:eastAsia="仿宋_GB2312" w:cs="Times New Roman"/>
          <w:color w:val="000000"/>
          <w:kern w:val="0"/>
          <w:sz w:val="32"/>
          <w:szCs w:val="32"/>
          <w:highlight w:val="none"/>
          <w:shd w:val="clear" w:color="auto" w:fill="FFFFFF"/>
          <w:lang w:val="zh-CN" w:eastAsia="zh-CN" w:bidi="ar-SA"/>
        </w:rPr>
        <w:t>该项指标得分=完成绩效目标数量指标的部门预算阶段项目（含一次性项目）数量</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25</w:t>
      </w:r>
      <w:r>
        <w:rPr>
          <w:rFonts w:hint="default" w:ascii="Times New Roman" w:hAnsi="Times New Roman" w:eastAsia="仿宋_GB2312" w:cs="Times New Roman"/>
          <w:color w:val="000000"/>
          <w:kern w:val="0"/>
          <w:sz w:val="32"/>
          <w:szCs w:val="32"/>
          <w:highlight w:val="none"/>
          <w:shd w:val="clear" w:color="auto" w:fill="FFFFFF"/>
          <w:lang w:val="zh-CN" w:eastAsia="zh-CN" w:bidi="ar-SA"/>
        </w:rPr>
        <w:t>÷部门预算阶段项目（含一次性项目）总数</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27</w:t>
      </w:r>
      <w:r>
        <w:rPr>
          <w:rFonts w:hint="default" w:ascii="Times New Roman" w:hAnsi="Times New Roman" w:eastAsia="仿宋_GB2312" w:cs="Times New Roman"/>
          <w:color w:val="000000"/>
          <w:kern w:val="0"/>
          <w:sz w:val="32"/>
          <w:szCs w:val="32"/>
          <w:highlight w:val="none"/>
          <w:shd w:val="clear" w:color="auto" w:fill="FFFFFF"/>
          <w:lang w:val="zh-CN" w:eastAsia="zh-CN" w:bidi="ar-SA"/>
        </w:rPr>
        <w:t>×100%×4=</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3.70</w:t>
      </w:r>
      <w:r>
        <w:rPr>
          <w:rFonts w:hint="default" w:ascii="Times New Roman" w:hAnsi="Times New Roman" w:eastAsia="仿宋_GB2312" w:cs="Times New Roman"/>
          <w:color w:val="000000"/>
          <w:kern w:val="0"/>
          <w:sz w:val="32"/>
          <w:szCs w:val="32"/>
          <w:highlight w:val="none"/>
          <w:shd w:val="clear" w:color="auto" w:fill="FFFFFF"/>
          <w:lang w:val="zh-CN" w:eastAsia="zh-CN" w:bidi="ar-SA"/>
        </w:rPr>
        <w:t>，该项得分</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3.70</w:t>
      </w:r>
      <w:r>
        <w:rPr>
          <w:rFonts w:hint="default" w:ascii="Times New Roman" w:hAnsi="Times New Roman" w:eastAsia="仿宋_GB2312" w:cs="Times New Roman"/>
          <w:color w:val="000000"/>
          <w:kern w:val="0"/>
          <w:sz w:val="32"/>
          <w:szCs w:val="32"/>
          <w:highlight w:val="none"/>
          <w:shd w:val="clear" w:color="auto" w:fill="FFFFFF"/>
          <w:lang w:val="zh-CN" w:eastAsia="zh-CN" w:bidi="ar-SA"/>
        </w:rPr>
        <w:t>分。</w:t>
      </w:r>
    </w:p>
    <w:p w14:paraId="06F5FBDF">
      <w:pPr>
        <w:keepNext w:val="0"/>
        <w:keepLines w:val="0"/>
        <w:pageBreakBefore w:val="0"/>
        <w:widowControl w:val="0"/>
        <w:kinsoku/>
        <w:wordWrap/>
        <w:overflowPunct/>
        <w:topLinePunct w:val="0"/>
        <w:autoSpaceDE/>
        <w:autoSpaceDN/>
        <w:adjustRightInd w:val="0"/>
        <w:snapToGrid w:val="0"/>
        <w:spacing w:line="578" w:lineRule="exact"/>
        <w:ind w:left="0" w:firstLine="639"/>
        <w:contextualSpacing/>
        <w:jc w:val="left"/>
        <w:rPr>
          <w:rFonts w:hint="default" w:ascii="Times New Roman" w:hAnsi="Times New Roman" w:eastAsia="仿宋_GB2312" w:cs="Times New Roman"/>
          <w:color w:val="000000"/>
          <w:kern w:val="0"/>
          <w:sz w:val="32"/>
          <w:szCs w:val="32"/>
          <w:highlight w:val="none"/>
          <w:shd w:val="clear" w:color="auto" w:fill="FFFFFF"/>
          <w:lang w:val="zh-CN" w:eastAsia="zh-CN" w:bidi="ar-SA"/>
        </w:rPr>
      </w:pPr>
      <w:r>
        <w:rPr>
          <w:rFonts w:hint="eastAsia" w:ascii="Times New Roman" w:hAnsi="Times New Roman" w:eastAsia="仿宋_GB2312" w:cs="Times New Roman"/>
          <w:color w:val="000000"/>
          <w:kern w:val="0"/>
          <w:sz w:val="32"/>
          <w:szCs w:val="32"/>
          <w:highlight w:val="none"/>
          <w:shd w:val="clear" w:color="auto" w:fill="FFFFFF"/>
          <w:lang w:val="zh-CN" w:eastAsia="zh-CN" w:bidi="ar-SA"/>
        </w:rPr>
        <w:t>部门预算项目绩效目标数量指标实现程度与预期目标的偏离情况：该项指标得分=已完成预期指标值的数量指标中偏离度在30%内的指标个数</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2</w:t>
      </w:r>
      <w:r>
        <w:rPr>
          <w:rFonts w:hint="eastAsia" w:ascii="Times New Roman" w:hAnsi="Times New Roman" w:eastAsia="仿宋_GB2312" w:cs="Times New Roman"/>
          <w:color w:val="000000"/>
          <w:kern w:val="0"/>
          <w:sz w:val="32"/>
          <w:szCs w:val="32"/>
          <w:highlight w:val="none"/>
          <w:shd w:val="clear" w:color="auto" w:fill="FFFFFF"/>
          <w:lang w:val="zh-CN" w:eastAsia="zh-CN" w:bidi="ar-SA"/>
        </w:rPr>
        <w:t>÷已完成预期指标值的数量指标个数</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25</w:t>
      </w:r>
      <w:r>
        <w:rPr>
          <w:rFonts w:hint="eastAsia" w:ascii="Times New Roman" w:hAnsi="Times New Roman" w:eastAsia="仿宋_GB2312" w:cs="Times New Roman"/>
          <w:color w:val="000000"/>
          <w:kern w:val="0"/>
          <w:sz w:val="32"/>
          <w:szCs w:val="32"/>
          <w:highlight w:val="none"/>
          <w:shd w:val="clear" w:color="auto" w:fill="FFFFFF"/>
          <w:lang w:val="zh-CN" w:eastAsia="zh-CN" w:bidi="ar-SA"/>
        </w:rPr>
        <w:t>×100%×4</w:t>
      </w:r>
      <w:r>
        <w:rPr>
          <w:rFonts w:hint="default" w:ascii="Times New Roman" w:hAnsi="Times New Roman" w:eastAsia="仿宋_GB2312" w:cs="Times New Roman"/>
          <w:color w:val="000000"/>
          <w:kern w:val="0"/>
          <w:sz w:val="32"/>
          <w:szCs w:val="32"/>
          <w:highlight w:val="none"/>
          <w:shd w:val="clear" w:color="auto" w:fill="FFFFFF"/>
          <w:lang w:val="zh-CN" w:eastAsia="zh-CN" w:bidi="ar-SA"/>
        </w:rPr>
        <w:t>=</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0.32</w:t>
      </w:r>
      <w:r>
        <w:rPr>
          <w:rFonts w:hint="default" w:ascii="Times New Roman" w:hAnsi="Times New Roman" w:eastAsia="仿宋_GB2312" w:cs="Times New Roman"/>
          <w:color w:val="000000"/>
          <w:kern w:val="0"/>
          <w:sz w:val="32"/>
          <w:szCs w:val="32"/>
          <w:highlight w:val="none"/>
          <w:shd w:val="clear" w:color="auto" w:fill="FFFFFF"/>
          <w:lang w:val="zh-CN" w:eastAsia="zh-CN" w:bidi="ar-SA"/>
        </w:rPr>
        <w:t>，该项得分</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0.32</w:t>
      </w:r>
      <w:r>
        <w:rPr>
          <w:rFonts w:hint="default" w:ascii="Times New Roman" w:hAnsi="Times New Roman" w:eastAsia="仿宋_GB2312" w:cs="Times New Roman"/>
          <w:color w:val="000000"/>
          <w:kern w:val="0"/>
          <w:sz w:val="32"/>
          <w:szCs w:val="32"/>
          <w:highlight w:val="none"/>
          <w:shd w:val="clear" w:color="auto" w:fill="FFFFFF"/>
          <w:lang w:val="zh-CN" w:eastAsia="zh-CN" w:bidi="ar-SA"/>
        </w:rPr>
        <w:t>分</w:t>
      </w:r>
      <w:r>
        <w:rPr>
          <w:rFonts w:hint="eastAsia" w:ascii="Times New Roman" w:hAnsi="Times New Roman" w:eastAsia="仿宋_GB2312" w:cs="Times New Roman"/>
          <w:color w:val="000000"/>
          <w:kern w:val="0"/>
          <w:sz w:val="32"/>
          <w:szCs w:val="32"/>
          <w:highlight w:val="none"/>
          <w:shd w:val="clear" w:color="auto" w:fill="FFFFFF"/>
          <w:lang w:val="zh-CN" w:eastAsia="zh-CN" w:bidi="ar-SA"/>
        </w:rPr>
        <w:t>。</w:t>
      </w:r>
    </w:p>
    <w:p w14:paraId="3559DF20">
      <w:pPr>
        <w:pStyle w:val="3"/>
        <w:keepNext w:val="0"/>
        <w:keepLines w:val="0"/>
        <w:pageBreakBefore w:val="0"/>
        <w:widowControl w:val="0"/>
        <w:ind w:firstLine="649"/>
        <w:jc w:val="both"/>
        <w:rPr>
          <w:rFonts w:ascii="Times New Roman" w:hAnsi="Times New Roman" w:cs="楷体_GB2312"/>
          <w:b w:val="0"/>
          <w:color w:val="000000"/>
          <w:kern w:val="0"/>
          <w:shd w:val="clear" w:color="auto" w:fill="FFFFFF"/>
          <w:lang w:val="zh-CN"/>
        </w:rPr>
      </w:pPr>
      <w:r>
        <w:rPr>
          <w:rFonts w:ascii="Times New Roman" w:hAnsi="Times New Roman" w:cs="楷体_GB2312"/>
          <w:b w:val="0"/>
          <w:color w:val="000000"/>
          <w:kern w:val="0"/>
          <w:shd w:val="clear" w:color="auto" w:fill="FFFFFF"/>
          <w:lang w:val="zh-CN"/>
        </w:rPr>
        <w:t>部门预算项目绩效目标效益指标实施效果情况：该项指标得分=完成绩效目标效益指标的部门预算阶段项目（含一次性项目）数量</w:t>
      </w:r>
      <w:r>
        <w:rPr>
          <w:rFonts w:hint="eastAsia" w:ascii="Times New Roman" w:hAnsi="Times New Roman" w:cs="楷体_GB2312"/>
          <w:b w:val="0"/>
          <w:color w:val="000000"/>
          <w:kern w:val="0"/>
          <w:shd w:val="clear" w:color="auto" w:fill="FFFFFF"/>
          <w:lang w:val="en-US" w:eastAsia="zh-CN"/>
        </w:rPr>
        <w:t>25</w:t>
      </w:r>
      <w:r>
        <w:rPr>
          <w:rFonts w:ascii="Times New Roman" w:hAnsi="Times New Roman" w:cs="楷体_GB2312"/>
          <w:b w:val="0"/>
          <w:color w:val="000000"/>
          <w:kern w:val="0"/>
          <w:shd w:val="clear" w:color="auto" w:fill="FFFFFF"/>
          <w:lang w:val="zh-CN"/>
        </w:rPr>
        <w:t>÷部门预算阶段项目（含一次性项目）总数</w:t>
      </w:r>
      <w:r>
        <w:rPr>
          <w:rFonts w:hint="eastAsia" w:ascii="Times New Roman" w:hAnsi="Times New Roman" w:cs="楷体_GB2312"/>
          <w:b w:val="0"/>
          <w:color w:val="000000"/>
          <w:kern w:val="0"/>
          <w:shd w:val="clear" w:color="auto" w:fill="FFFFFF"/>
          <w:lang w:val="en-US" w:eastAsia="zh-CN"/>
        </w:rPr>
        <w:t>27</w:t>
      </w:r>
      <w:r>
        <w:rPr>
          <w:rFonts w:ascii="Times New Roman" w:hAnsi="Times New Roman" w:cs="楷体_GB2312"/>
          <w:b w:val="0"/>
          <w:color w:val="000000"/>
          <w:kern w:val="0"/>
          <w:shd w:val="clear" w:color="auto" w:fill="FFFFFF"/>
          <w:lang w:val="zh-CN"/>
        </w:rPr>
        <w:t>×100%×3=3，该项得分</w:t>
      </w:r>
      <w:r>
        <w:rPr>
          <w:rFonts w:hint="eastAsia" w:ascii="Times New Roman" w:hAnsi="Times New Roman" w:cs="楷体_GB2312"/>
          <w:b w:val="0"/>
          <w:color w:val="000000"/>
          <w:kern w:val="0"/>
          <w:shd w:val="clear" w:color="auto" w:fill="FFFFFF"/>
          <w:lang w:val="en-US" w:eastAsia="zh-CN"/>
        </w:rPr>
        <w:t>2.78</w:t>
      </w:r>
      <w:r>
        <w:rPr>
          <w:rFonts w:ascii="Times New Roman" w:hAnsi="Times New Roman" w:cs="楷体_GB2312"/>
          <w:b w:val="0"/>
          <w:color w:val="000000"/>
          <w:kern w:val="0"/>
          <w:shd w:val="clear" w:color="auto" w:fill="FFFFFF"/>
          <w:lang w:val="zh-CN"/>
        </w:rPr>
        <w:t>分。</w:t>
      </w:r>
    </w:p>
    <w:p w14:paraId="50D44A9A">
      <w:pPr>
        <w:keepNext w:val="0"/>
        <w:keepLines w:val="0"/>
        <w:pageBreakBefore w:val="0"/>
        <w:widowControl w:val="0"/>
        <w:numPr>
          <w:ilvl w:val="0"/>
          <w:numId w:val="7"/>
        </w:numPr>
        <w:kinsoku/>
        <w:wordWrap/>
        <w:overflowPunct/>
        <w:topLinePunct w:val="0"/>
        <w:autoSpaceDE/>
        <w:autoSpaceDN/>
        <w:bidi w:val="0"/>
        <w:snapToGrid w:val="0"/>
        <w:spacing w:line="600" w:lineRule="exact"/>
        <w:ind w:left="0" w:leftChars="0" w:firstLine="643" w:firstLineChars="200"/>
        <w:textAlignment w:val="auto"/>
        <w:rPr>
          <w:rFonts w:hint="eastAsia" w:ascii="Times New Roman" w:hAnsi="Times New Roman" w:eastAsia="楷体_GB2312" w:cs="Times New Roman"/>
          <w:b/>
          <w:bCs/>
          <w:color w:val="000000"/>
          <w:kern w:val="0"/>
          <w:sz w:val="32"/>
          <w:szCs w:val="32"/>
          <w:highlight w:val="none"/>
          <w:shd w:val="clear" w:color="auto" w:fill="FFFFFF"/>
          <w:lang w:val="zh-CN" w:eastAsia="zh-CN"/>
        </w:rPr>
      </w:pPr>
      <w:r>
        <w:rPr>
          <w:rFonts w:ascii="Times New Roman" w:hAnsi="Times New Roman" w:eastAsia="楷体_GB2312" w:cs="Times New Roman"/>
          <w:b/>
          <w:bCs/>
          <w:color w:val="000000"/>
          <w:kern w:val="0"/>
          <w:sz w:val="32"/>
          <w:szCs w:val="32"/>
          <w:highlight w:val="none"/>
          <w:shd w:val="clear" w:color="auto" w:fill="FFFFFF"/>
          <w:lang w:val="zh-CN" w:eastAsia="zh-CN"/>
        </w:rPr>
        <w:t>绩效结果应用情况</w:t>
      </w:r>
      <w:r>
        <w:rPr>
          <w:rFonts w:hint="eastAsia" w:ascii="Times New Roman" w:hAnsi="Times New Roman" w:eastAsia="楷体_GB2312" w:cs="Times New Roman"/>
          <w:b/>
          <w:bCs/>
          <w:color w:val="000000"/>
          <w:kern w:val="0"/>
          <w:sz w:val="32"/>
          <w:szCs w:val="32"/>
          <w:highlight w:val="none"/>
          <w:shd w:val="clear" w:color="auto" w:fill="FFFFFF"/>
          <w:lang w:val="zh-CN" w:eastAsia="zh-CN"/>
        </w:rPr>
        <w:t>。</w:t>
      </w:r>
    </w:p>
    <w:p w14:paraId="6AFD2169">
      <w:pPr>
        <w:pStyle w:val="2"/>
        <w:numPr>
          <w:ilvl w:val="0"/>
          <w:numId w:val="0"/>
        </w:numPr>
        <w:spacing w:after="217" w:afterAutospacing="0"/>
        <w:ind w:left="0" w:leftChars="0" w:firstLine="600" w:firstLineChars="200"/>
      </w:pPr>
      <w:r>
        <w:rPr>
          <w:rFonts w:hint="eastAsia"/>
          <w:lang w:val="en-US" w:eastAsia="zh-CN"/>
        </w:rPr>
        <w:t>我部门各业务科室在编报年度预算时严格按照要求设定项目绩效目标，并始终执行绩效目标要求。经财政对此审核调整，在年中及时对项目绩效目标进行调整，但由于些许项目涉及政府采购未能调整。同时按照相关财经纪律要求及时对我部门绩效评价在单位官网进行公开公示。</w:t>
      </w:r>
    </w:p>
    <w:p w14:paraId="5E7E042D">
      <w:pPr>
        <w:keepNext w:val="0"/>
        <w:keepLines w:val="0"/>
        <w:pageBreakBefore w:val="0"/>
        <w:widowControl/>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ascii="Times New Roman" w:hAnsi="Times New Roman" w:eastAsia="黑体" w:cs="Times New Roman"/>
          <w:color w:val="000000"/>
          <w:kern w:val="0"/>
          <w:sz w:val="32"/>
          <w:szCs w:val="32"/>
          <w:highlight w:val="none"/>
          <w:shd w:val="clear" w:color="auto" w:fill="FFFFFF"/>
          <w:lang w:val="zh-CN"/>
        </w:rPr>
      </w:pPr>
      <w:r>
        <w:rPr>
          <w:rFonts w:ascii="Times New Roman" w:hAnsi="Times New Roman" w:eastAsia="黑体" w:cs="Times New Roman"/>
          <w:color w:val="000000"/>
          <w:kern w:val="0"/>
          <w:sz w:val="32"/>
          <w:szCs w:val="32"/>
          <w:highlight w:val="none"/>
          <w:shd w:val="clear" w:color="auto" w:fill="FFFFFF"/>
          <w:lang w:val="zh-CN" w:eastAsia="zh-CN"/>
        </w:rPr>
        <w:t>四、</w:t>
      </w:r>
      <w:r>
        <w:rPr>
          <w:rFonts w:ascii="Times New Roman" w:hAnsi="Times New Roman" w:eastAsia="黑体" w:cs="Times New Roman"/>
          <w:color w:val="000000"/>
          <w:kern w:val="0"/>
          <w:sz w:val="32"/>
          <w:szCs w:val="32"/>
          <w:highlight w:val="none"/>
          <w:shd w:val="clear" w:color="auto" w:fill="FFFFFF"/>
          <w:lang w:val="zh-CN"/>
        </w:rPr>
        <w:t>评价结论及建议</w:t>
      </w:r>
    </w:p>
    <w:p w14:paraId="387F8430">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ascii="Times New Roman" w:hAnsi="Times New Roman" w:eastAsia="楷体_GB2312" w:cs="Times New Roman"/>
          <w:b/>
          <w:bCs/>
          <w:color w:val="000000"/>
          <w:kern w:val="0"/>
          <w:sz w:val="32"/>
          <w:szCs w:val="32"/>
          <w:highlight w:val="none"/>
          <w:shd w:val="clear" w:color="auto" w:fill="FFFFFF"/>
          <w:lang w:val="zh-CN"/>
        </w:rPr>
      </w:pPr>
      <w:r>
        <w:rPr>
          <w:rFonts w:ascii="Times New Roman" w:hAnsi="Times New Roman" w:eastAsia="楷体_GB2312" w:cs="Times New Roman"/>
          <w:b/>
          <w:bCs/>
          <w:color w:val="000000"/>
          <w:kern w:val="0"/>
          <w:sz w:val="32"/>
          <w:szCs w:val="32"/>
          <w:highlight w:val="none"/>
          <w:shd w:val="clear" w:color="auto" w:fill="FFFFFF"/>
          <w:lang w:val="zh-CN"/>
        </w:rPr>
        <w:t>（一）评价结论。</w:t>
      </w:r>
    </w:p>
    <w:p w14:paraId="0B908234">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仿宋_GB2312" w:eastAsia="仿宋_GB2312" w:cs="仿宋_GB2312"/>
          <w:b w:val="0"/>
          <w:bCs w:val="0"/>
          <w:kern w:val="0"/>
          <w:position w:val="0"/>
          <w:sz w:val="32"/>
          <w:szCs w:val="32"/>
          <w:highlight w:val="none"/>
          <w:lang w:val="en-US" w:eastAsia="zh-CN" w:bidi="ar-SA"/>
        </w:rPr>
      </w:pPr>
      <w:r>
        <w:rPr>
          <w:rFonts w:ascii="仿宋_GB2312" w:eastAsia="仿宋_GB2312" w:cs="仿宋_GB2312"/>
          <w:b w:val="0"/>
          <w:bCs w:val="0"/>
          <w:kern w:val="0"/>
          <w:position w:val="0"/>
          <w:sz w:val="32"/>
          <w:szCs w:val="32"/>
          <w:highlight w:val="none"/>
          <w:lang w:val="en-US" w:eastAsia="zh-CN" w:bidi="ar-SA"/>
        </w:rPr>
        <w:t>按照部门预算绩效评价指标体系（附件一）要求，单位整体支出自评得分</w:t>
      </w:r>
      <w:r>
        <w:rPr>
          <w:rFonts w:hint="eastAsia" w:ascii="仿宋_GB2312" w:cs="仿宋_GB2312"/>
          <w:b w:val="0"/>
          <w:bCs w:val="0"/>
          <w:kern w:val="0"/>
          <w:position w:val="0"/>
          <w:sz w:val="32"/>
          <w:szCs w:val="32"/>
          <w:highlight w:val="none"/>
          <w:lang w:val="en-US" w:eastAsia="zh-CN" w:bidi="ar-SA"/>
        </w:rPr>
        <w:t>88.23</w:t>
      </w:r>
      <w:r>
        <w:rPr>
          <w:rFonts w:ascii="仿宋_GB2312" w:eastAsia="仿宋_GB2312" w:cs="仿宋_GB2312"/>
          <w:b w:val="0"/>
          <w:bCs w:val="0"/>
          <w:kern w:val="0"/>
          <w:position w:val="0"/>
          <w:sz w:val="32"/>
          <w:szCs w:val="32"/>
          <w:highlight w:val="none"/>
          <w:lang w:val="en-US" w:eastAsia="zh-CN" w:bidi="ar-SA"/>
        </w:rPr>
        <w:t>分</w:t>
      </w:r>
    </w:p>
    <w:p w14:paraId="2845EF1E">
      <w:pPr>
        <w:pStyle w:val="2"/>
        <w:numPr>
          <w:ilvl w:val="0"/>
          <w:numId w:val="6"/>
        </w:numPr>
        <w:spacing w:line="360" w:lineRule="auto"/>
        <w:ind w:left="0" w:leftChars="0" w:firstLine="643" w:firstLineChars="200"/>
        <w:rPr>
          <w:rFonts w:hint="default" w:ascii="Times New Roman" w:hAnsi="Times New Roman" w:eastAsia="仿宋_GB2312" w:cs="Times New Roman"/>
          <w:b w:val="0"/>
          <w:bCs w:val="0"/>
          <w:kern w:val="0"/>
          <w:position w:val="0"/>
          <w:sz w:val="32"/>
          <w:szCs w:val="32"/>
          <w:highlight w:val="none"/>
          <w:lang w:val="en-US" w:eastAsia="zh-CN" w:bidi="ar-SA"/>
        </w:rPr>
      </w:pPr>
      <w:r>
        <w:rPr>
          <w:rFonts w:ascii="Times New Roman" w:hAnsi="Times New Roman" w:eastAsia="楷体_GB2312" w:cs="Times New Roman"/>
          <w:b/>
          <w:bCs/>
          <w:color w:val="000000"/>
          <w:kern w:val="0"/>
          <w:sz w:val="32"/>
          <w:szCs w:val="32"/>
          <w:highlight w:val="none"/>
          <w:shd w:val="clear" w:color="auto" w:fill="FFFFFF"/>
          <w:lang w:val="zh-CN"/>
        </w:rPr>
        <w:t>存在问题。</w:t>
      </w:r>
    </w:p>
    <w:p w14:paraId="1D8D6AAA">
      <w:pPr>
        <w:pStyle w:val="2"/>
        <w:numPr>
          <w:ilvl w:val="0"/>
          <w:numId w:val="0"/>
        </w:numPr>
        <w:spacing w:line="360" w:lineRule="auto"/>
        <w:ind w:firstLine="600" w:firstLineChars="200"/>
        <w:rPr>
          <w:rFonts w:hint="default" w:ascii="Times New Roman" w:hAnsi="Times New Roman" w:eastAsia="仿宋_GB2312" w:cs="Times New Roman"/>
          <w:b w:val="0"/>
          <w:bCs w:val="0"/>
          <w:kern w:val="0"/>
          <w:position w:val="0"/>
          <w:sz w:val="32"/>
          <w:szCs w:val="32"/>
          <w:highlight w:val="none"/>
          <w:lang w:val="en-US" w:eastAsia="zh-CN" w:bidi="ar-SA"/>
        </w:rPr>
      </w:pPr>
      <w:r>
        <w:rPr>
          <w:rFonts w:hint="eastAsia"/>
          <w:lang w:val="en-US" w:eastAsia="zh-CN"/>
        </w:rPr>
        <w:t xml:space="preserve"> </w:t>
      </w:r>
      <w:r>
        <w:rPr>
          <w:rFonts w:hint="eastAsia" w:ascii="Times New Roman" w:hAnsi="Times New Roman" w:eastAsia="仿宋_GB2312" w:cs="Times New Roman"/>
          <w:b w:val="0"/>
          <w:bCs w:val="0"/>
          <w:kern w:val="0"/>
          <w:position w:val="0"/>
          <w:sz w:val="32"/>
          <w:szCs w:val="32"/>
          <w:highlight w:val="none"/>
          <w:lang w:val="en-US" w:eastAsia="zh-CN" w:bidi="ar-SA"/>
        </w:rPr>
        <w:t xml:space="preserve"> 一是一般性支出压减不到位，2024年度由于受阿坝州促进大中专毕业生就业创业工作会的举办影响致使我部门会议费大幅上涨，一般性支出未实现压减；二是涉及政府采购项目由于采购预算的编制在后期绩效目标调整过程中具有一定的滞后性；三是项目期为两年的项目在年初预算编报时未能根据事前评估报告准确把握当年所需资金，导致该类项目年底结余超该项目10%。</w:t>
      </w:r>
    </w:p>
    <w:p w14:paraId="501B1813">
      <w:pPr>
        <w:keepNext w:val="0"/>
        <w:keepLines w:val="0"/>
        <w:pageBreakBefore w:val="0"/>
        <w:widowControl/>
        <w:numPr>
          <w:ilvl w:val="0"/>
          <w:numId w:val="6"/>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outlineLvl w:val="9"/>
        <w:rPr>
          <w:rFonts w:ascii="Times New Roman" w:hAnsi="Times New Roman" w:eastAsia="楷体_GB2312" w:cs="Times New Roman"/>
          <w:b/>
          <w:bCs/>
          <w:color w:val="000000"/>
          <w:kern w:val="0"/>
          <w:sz w:val="32"/>
          <w:szCs w:val="32"/>
          <w:highlight w:val="none"/>
          <w:shd w:val="clear" w:color="auto" w:fill="FFFFFF"/>
          <w:lang w:val="zh-CN" w:eastAsia="zh-CN"/>
        </w:rPr>
      </w:pPr>
      <w:r>
        <w:rPr>
          <w:rFonts w:ascii="Times New Roman" w:hAnsi="Times New Roman" w:eastAsia="楷体_GB2312" w:cs="Times New Roman"/>
          <w:b/>
          <w:bCs/>
          <w:color w:val="000000"/>
          <w:kern w:val="0"/>
          <w:sz w:val="32"/>
          <w:szCs w:val="32"/>
          <w:highlight w:val="none"/>
          <w:shd w:val="clear" w:color="auto" w:fill="FFFFFF"/>
          <w:lang w:val="zh-CN" w:eastAsia="zh-CN"/>
        </w:rPr>
        <w:t>改进建议。</w:t>
      </w:r>
      <w:bookmarkStart w:id="55" w:name="_Hlk110546638"/>
    </w:p>
    <w:p w14:paraId="0BDA7AE3">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Chars="200" w:firstLine="643" w:firstLineChars="200"/>
        <w:contextualSpacing/>
        <w:jc w:val="left"/>
        <w:textAlignment w:val="auto"/>
        <w:outlineLvl w:val="9"/>
        <w:rPr>
          <w:rFonts w:hint="eastAsia" w:ascii="Times New Roman" w:hAnsi="Times New Roman" w:eastAsia="仿宋_GB2312" w:cs="Times New Roman"/>
          <w:kern w:val="2"/>
          <w:sz w:val="32"/>
          <w:szCs w:val="32"/>
          <w:u w:val="none"/>
          <w:lang w:val="zh-CN" w:eastAsia="zh-CN"/>
        </w:rPr>
      </w:pPr>
      <w:r>
        <w:rPr>
          <w:rFonts w:hint="eastAsia" w:ascii="Times New Roman" w:hAnsi="Times New Roman" w:eastAsia="仿宋_GB2312" w:cs="仿宋_GB2312"/>
          <w:b/>
          <w:bCs/>
          <w:kern w:val="0"/>
          <w:position w:val="0"/>
          <w:sz w:val="32"/>
          <w:szCs w:val="32"/>
          <w:highlight w:val="none"/>
          <w:lang w:val="zh-CN" w:eastAsia="zh-CN" w:bidi="ar-SA"/>
        </w:rPr>
        <w:t>一是</w:t>
      </w:r>
      <w:r>
        <w:rPr>
          <w:rFonts w:hint="eastAsia" w:ascii="Times New Roman" w:hAnsi="Times New Roman" w:eastAsia="仿宋_GB2312" w:cs="仿宋_GB2312"/>
          <w:b w:val="0"/>
          <w:bCs w:val="0"/>
          <w:kern w:val="0"/>
          <w:position w:val="0"/>
          <w:sz w:val="32"/>
          <w:szCs w:val="32"/>
          <w:highlight w:val="none"/>
          <w:lang w:val="zh-CN" w:eastAsia="zh-CN" w:bidi="ar-SA"/>
        </w:rPr>
        <w:t>严格把控一般性支出，杜绝一般性支出压减不到位的现象再次发生；</w:t>
      </w:r>
      <w:r>
        <w:rPr>
          <w:rFonts w:hint="eastAsia" w:ascii="Times New Roman" w:hAnsi="Times New Roman" w:eastAsia="仿宋_GB2312" w:cs="仿宋_GB2312"/>
          <w:b/>
          <w:bCs/>
          <w:kern w:val="0"/>
          <w:position w:val="0"/>
          <w:sz w:val="32"/>
          <w:szCs w:val="32"/>
          <w:highlight w:val="none"/>
          <w:lang w:val="zh-CN" w:eastAsia="zh-CN" w:bidi="ar-SA"/>
        </w:rPr>
        <w:t>二是</w:t>
      </w:r>
      <w:r>
        <w:rPr>
          <w:rFonts w:hint="eastAsia" w:ascii="Times New Roman" w:hAnsi="Times New Roman" w:eastAsia="仿宋_GB2312" w:cs="仿宋_GB2312"/>
          <w:b w:val="0"/>
          <w:bCs w:val="0"/>
          <w:kern w:val="0"/>
          <w:position w:val="0"/>
          <w:sz w:val="32"/>
          <w:szCs w:val="32"/>
          <w:highlight w:val="none"/>
          <w:lang w:val="zh-CN" w:eastAsia="zh-CN" w:bidi="ar-SA"/>
        </w:rPr>
        <w:t>加强预算编制的准确性，提高预算支付的执行力度。不断优化完善预算编制流程，结合年度工作任务目标和项目计划实施进度，加强预算项目前期评估，提高预算编制准确性和执行进度，严禁超预算或无预算支出；</w:t>
      </w:r>
      <w:r>
        <w:rPr>
          <w:rFonts w:hint="eastAsia" w:ascii="Times New Roman" w:hAnsi="Times New Roman" w:eastAsia="仿宋_GB2312" w:cs="仿宋_GB2312"/>
          <w:b/>
          <w:bCs/>
          <w:kern w:val="0"/>
          <w:position w:val="0"/>
          <w:sz w:val="32"/>
          <w:szCs w:val="32"/>
          <w:highlight w:val="none"/>
          <w:lang w:val="zh-CN" w:eastAsia="zh-CN" w:bidi="ar-SA"/>
        </w:rPr>
        <w:t>三是</w:t>
      </w:r>
      <w:r>
        <w:rPr>
          <w:rFonts w:hint="eastAsia" w:ascii="Times New Roman" w:hAnsi="Times New Roman" w:eastAsia="仿宋_GB2312" w:cs="仿宋_GB2312"/>
          <w:b w:val="0"/>
          <w:bCs w:val="0"/>
          <w:kern w:val="0"/>
          <w:position w:val="0"/>
          <w:sz w:val="32"/>
          <w:szCs w:val="32"/>
          <w:highlight w:val="none"/>
          <w:lang w:val="zh-CN" w:eastAsia="zh-CN" w:bidi="ar-SA"/>
        </w:rPr>
        <w:t>严格把控事前绩效评价报告的真实性、准确性，优化绩效目标的设置。</w:t>
      </w:r>
      <w:bookmarkEnd w:id="55"/>
    </w:p>
    <w:p w14:paraId="3817C493">
      <w:pPr>
        <w:pStyle w:val="8"/>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Times New Roman" w:hAnsi="Times New Roman" w:eastAsia="仿宋_GB2312" w:cs="Times New Roman"/>
          <w:kern w:val="2"/>
          <w:sz w:val="32"/>
          <w:szCs w:val="32"/>
          <w:u w:val="none"/>
          <w:lang w:val="zh-CN" w:eastAsia="zh-CN"/>
        </w:rPr>
      </w:pPr>
      <w:r>
        <w:rPr>
          <w:rFonts w:hint="eastAsia" w:ascii="Times New Roman" w:hAnsi="Times New Roman" w:eastAsia="仿宋_GB2312" w:cs="Times New Roman"/>
          <w:kern w:val="2"/>
          <w:sz w:val="32"/>
          <w:szCs w:val="32"/>
          <w:u w:val="none"/>
          <w:lang w:val="zh-CN" w:eastAsia="zh-CN"/>
        </w:rPr>
        <w:t>附表：</w:t>
      </w:r>
      <w:r>
        <w:rPr>
          <w:rFonts w:hint="eastAsia" w:ascii="Times New Roman" w:hAnsi="Times New Roman" w:eastAsia="仿宋_GB2312" w:cs="Times New Roman"/>
          <w:kern w:val="2"/>
          <w:sz w:val="32"/>
          <w:szCs w:val="32"/>
          <w:u w:val="none"/>
          <w:lang w:val="en-US" w:eastAsia="zh-CN"/>
        </w:rPr>
        <w:t>部门预算项目支出绩效自评表（2024年度）</w:t>
      </w:r>
    </w:p>
    <w:p w14:paraId="3F23715F">
      <w:pPr>
        <w:pStyle w:val="8"/>
        <w:keepNext w:val="0"/>
        <w:keepLines w:val="0"/>
        <w:pageBreakBefore w:val="0"/>
        <w:widowControl w:val="0"/>
        <w:kinsoku/>
        <w:wordWrap/>
        <w:overflowPunct/>
        <w:topLinePunct w:val="0"/>
        <w:autoSpaceDE/>
        <w:autoSpaceDN/>
        <w:bidi w:val="0"/>
        <w:spacing w:line="560" w:lineRule="exact"/>
        <w:textAlignment w:val="auto"/>
        <w:rPr>
          <w:rFonts w:hint="eastAsia" w:ascii="Times New Roman" w:hAnsi="Times New Roman" w:cs="Times New Roman"/>
          <w:sz w:val="32"/>
          <w:szCs w:val="32"/>
          <w:highlight w:val="yellow"/>
          <w:lang w:val="zh-CN" w:eastAsia="zh-CN"/>
        </w:rPr>
      </w:pPr>
    </w:p>
    <w:p w14:paraId="61DE8A3D">
      <w:pPr>
        <w:rPr>
          <w:rFonts w:hint="eastAsia" w:ascii="Times New Roman" w:hAnsi="Times New Roman" w:eastAsia="黑体" w:cs="黑体"/>
          <w:color w:val="auto"/>
          <w:kern w:val="0"/>
          <w:sz w:val="32"/>
          <w:szCs w:val="32"/>
          <w:highlight w:val="none"/>
          <w:shd w:val="clear" w:color="auto" w:fill="FFFFFF"/>
          <w:lang w:val="zh-CN"/>
        </w:rPr>
        <w:sectPr>
          <w:footerReference r:id="rId8" w:type="default"/>
          <w:pgSz w:w="11906" w:h="16838"/>
          <w:pgMar w:top="1440" w:right="1800" w:bottom="1440" w:left="1800" w:header="851" w:footer="992" w:gutter="0"/>
          <w:pgNumType w:fmt="numberInDash" w:start="1"/>
          <w:cols w:space="720" w:num="1"/>
          <w:docGrid w:type="lines" w:linePitch="312" w:charSpace="0"/>
        </w:sectPr>
      </w:pPr>
    </w:p>
    <w:p w14:paraId="24D4FC56">
      <w:pPr>
        <w:rPr>
          <w:rFonts w:hint="eastAsia"/>
          <w:lang w:val="zh-CN"/>
        </w:rPr>
      </w:pPr>
    </w:p>
    <w:tbl>
      <w:tblPr>
        <w:tblStyle w:val="16"/>
        <w:tblW w:w="141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9"/>
        <w:gridCol w:w="2048"/>
        <w:gridCol w:w="1764"/>
        <w:gridCol w:w="2258"/>
        <w:gridCol w:w="525"/>
        <w:gridCol w:w="1674"/>
        <w:gridCol w:w="525"/>
        <w:gridCol w:w="1095"/>
        <w:gridCol w:w="510"/>
        <w:gridCol w:w="486"/>
        <w:gridCol w:w="2541"/>
      </w:tblGrid>
      <w:tr w14:paraId="1CC62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DD21216">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3F13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DE60E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FFFF00"/>
            <w:vAlign w:val="center"/>
          </w:tcPr>
          <w:p w14:paraId="10FDA3E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51320021T000000049167-仲裁办案经费</w:t>
            </w:r>
          </w:p>
        </w:tc>
      </w:tr>
      <w:tr w14:paraId="42EEA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372B7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AE831A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州人社局部门</w:t>
            </w:r>
          </w:p>
        </w:tc>
        <w:tc>
          <w:tcPr>
            <w:tcW w:w="1095" w:type="dxa"/>
            <w:tcBorders>
              <w:top w:val="nil"/>
              <w:left w:val="nil"/>
              <w:bottom w:val="nil"/>
              <w:right w:val="nil"/>
            </w:tcBorders>
            <w:shd w:val="clear" w:color="auto" w:fill="auto"/>
            <w:vAlign w:val="center"/>
          </w:tcPr>
          <w:p w14:paraId="05557CB1">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F30D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w:t>
            </w:r>
          </w:p>
        </w:tc>
      </w:tr>
      <w:tr w14:paraId="28E57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8CC0C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E8730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8F553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7A629B3">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9D31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D5D2DB">
            <w:pP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592640">
            <w:pPr>
              <w:rPr>
                <w:rFonts w:hint="eastAsia" w:ascii="宋体" w:hAnsi="宋体" w:eastAsia="宋体" w:cs="宋体"/>
                <w:i w:val="0"/>
                <w:iCs w:val="0"/>
                <w:color w:val="000000"/>
                <w:sz w:val="18"/>
                <w:szCs w:val="18"/>
                <w:u w:val="none"/>
              </w:rPr>
            </w:pP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4E446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照工作要求2022年将加强标准化仲裁院的创建工作；提升全州劳动争议仲裁员业务水平的业务培训会；开展全州劳动人事争调解员培训、裁审衔接工作会、仲裁年度工作会；开展全州劳动人事争议仲裁调研计业务指导工作，为构建全州和谐劳动关系提供保障。</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C69B3C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13县（市）开展现场业务指导10余次，开展劳动人事争议调解仲裁工作调研7次。通过现场指导及调研，提升了我州调解仲裁工作人员工作水平，促进我州劳动人事争议调解仲裁工作提质增效，全面完成目标任务。</w:t>
            </w:r>
          </w:p>
        </w:tc>
      </w:tr>
      <w:tr w14:paraId="56E22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0C41EC">
            <w:pP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A8CE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81497E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对13县（市）开展现场业务指导10余次，开展劳动人事争议调解仲裁工作调研7次。通过现场指导及调研，提升了我州调解仲裁工作人员工作水平，促进我州劳动人事争议调解仲裁工作提质增效，全面完成目标任务。</w:t>
            </w:r>
          </w:p>
        </w:tc>
      </w:tr>
      <w:tr w14:paraId="6386D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6833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643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B47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632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9F21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B99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A2C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F45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764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A69B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3081B1">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C2F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467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DD6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CFA7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44C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84F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B3C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B4A5D8">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D793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4E02CC">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11C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33E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3A0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1E2E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55C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B7A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70F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8BB14F">
            <w:pPr>
              <w:rPr>
                <w:rFonts w:hint="eastAsia" w:ascii="黑体" w:hAnsi="黑体" w:eastAsia="黑体" w:cs="黑体"/>
                <w:i/>
                <w:iCs/>
                <w:color w:val="000000"/>
                <w:sz w:val="18"/>
                <w:szCs w:val="18"/>
                <w:u w:val="none"/>
              </w:rPr>
            </w:pPr>
          </w:p>
        </w:tc>
      </w:tr>
      <w:tr w14:paraId="38C24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43680A">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DE0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EF1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3EE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3253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637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124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97C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9DFEA8">
            <w:pPr>
              <w:rPr>
                <w:rFonts w:hint="eastAsia" w:ascii="黑体" w:hAnsi="黑体" w:eastAsia="黑体" w:cs="黑体"/>
                <w:i/>
                <w:iCs/>
                <w:color w:val="000000"/>
                <w:sz w:val="18"/>
                <w:szCs w:val="18"/>
                <w:u w:val="none"/>
              </w:rPr>
            </w:pPr>
          </w:p>
        </w:tc>
      </w:tr>
      <w:tr w14:paraId="40024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85C641">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DC4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732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9E7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B249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869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395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517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A7BEC2">
            <w:pPr>
              <w:rPr>
                <w:rFonts w:hint="eastAsia" w:ascii="黑体" w:hAnsi="黑体" w:eastAsia="黑体" w:cs="黑体"/>
                <w:i/>
                <w:iCs/>
                <w:color w:val="000000"/>
                <w:sz w:val="18"/>
                <w:szCs w:val="18"/>
                <w:u w:val="none"/>
              </w:rPr>
            </w:pPr>
          </w:p>
        </w:tc>
      </w:tr>
      <w:tr w14:paraId="0C8D7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9C2C02">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DE4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A8D95">
            <w:pPr>
              <w:jc w:val="center"/>
              <w:rPr>
                <w:rFonts w:hint="eastAsia" w:ascii="微软雅黑" w:hAnsi="微软雅黑" w:eastAsia="微软雅黑" w:cs="微软雅黑"/>
                <w:i/>
                <w:iCs/>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A033B">
            <w:pPr>
              <w:jc w:val="center"/>
              <w:rPr>
                <w:rFonts w:hint="eastAsia" w:ascii="微软雅黑" w:hAnsi="微软雅黑" w:eastAsia="微软雅黑" w:cs="微软雅黑"/>
                <w:i/>
                <w:iCs/>
                <w:color w:val="000000"/>
                <w:sz w:val="16"/>
                <w:szCs w:val="16"/>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396718">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A3A74">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0BC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14A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AC0DF5">
            <w:pPr>
              <w:rPr>
                <w:rFonts w:hint="eastAsia" w:ascii="黑体" w:hAnsi="黑体" w:eastAsia="黑体" w:cs="黑体"/>
                <w:i/>
                <w:iCs/>
                <w:color w:val="000000"/>
                <w:sz w:val="18"/>
                <w:szCs w:val="18"/>
                <w:u w:val="none"/>
              </w:rPr>
            </w:pPr>
          </w:p>
        </w:tc>
      </w:tr>
      <w:tr w14:paraId="1C7AC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800C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AA9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0DB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13C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80E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182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A10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43F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89F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A7E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33E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2D4F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3C4B8D">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9C65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F07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5E1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到全州各县开展调研工作次数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4E7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367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D53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E42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AB8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DE3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CE0F2">
            <w:pPr>
              <w:jc w:val="center"/>
              <w:rPr>
                <w:rFonts w:hint="eastAsia" w:ascii="微软雅黑" w:hAnsi="微软雅黑" w:eastAsia="微软雅黑" w:cs="微软雅黑"/>
                <w:i/>
                <w:iCs/>
                <w:color w:val="000000"/>
                <w:sz w:val="16"/>
                <w:szCs w:val="16"/>
                <w:u w:val="none"/>
              </w:rPr>
            </w:pPr>
          </w:p>
        </w:tc>
      </w:tr>
      <w:tr w14:paraId="3C43C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34CE3B">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301DCC">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3B9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AF3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参训合格率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1D6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2C3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5A9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375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585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DEA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F2215">
            <w:pPr>
              <w:jc w:val="center"/>
              <w:rPr>
                <w:rFonts w:hint="eastAsia" w:ascii="微软雅黑" w:hAnsi="微软雅黑" w:eastAsia="微软雅黑" w:cs="微软雅黑"/>
                <w:i/>
                <w:iCs/>
                <w:color w:val="000000"/>
                <w:sz w:val="16"/>
                <w:szCs w:val="16"/>
                <w:u w:val="none"/>
              </w:rPr>
            </w:pPr>
          </w:p>
        </w:tc>
      </w:tr>
      <w:tr w14:paraId="2A0C1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D17875">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4A3E04">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117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2F0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项目资金支付及时率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281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A41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85C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3F9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D98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F7F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C1BC2">
            <w:pPr>
              <w:jc w:val="center"/>
              <w:rPr>
                <w:rFonts w:hint="eastAsia" w:ascii="微软雅黑" w:hAnsi="微软雅黑" w:eastAsia="微软雅黑" w:cs="微软雅黑"/>
                <w:i/>
                <w:iCs/>
                <w:color w:val="000000"/>
                <w:sz w:val="16"/>
                <w:szCs w:val="16"/>
                <w:u w:val="none"/>
              </w:rPr>
            </w:pPr>
          </w:p>
        </w:tc>
      </w:tr>
      <w:tr w14:paraId="1CB58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AE9027">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375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5F9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76C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有效化解劳动关系领域内矛盾纠纷</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60C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9C1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有效化解</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0B2FB">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64A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有效化解</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558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5A0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D9AAA">
            <w:pPr>
              <w:jc w:val="center"/>
              <w:rPr>
                <w:rFonts w:hint="eastAsia" w:ascii="微软雅黑" w:hAnsi="微软雅黑" w:eastAsia="微软雅黑" w:cs="微软雅黑"/>
                <w:i/>
                <w:iCs/>
                <w:color w:val="000000"/>
                <w:sz w:val="16"/>
                <w:szCs w:val="16"/>
                <w:u w:val="none"/>
              </w:rPr>
            </w:pPr>
          </w:p>
        </w:tc>
      </w:tr>
      <w:tr w14:paraId="578C4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190DEA">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007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F2C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F06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调解仲裁满意度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316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68A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3DE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FA2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5A9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4EE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C476C">
            <w:pPr>
              <w:jc w:val="center"/>
              <w:rPr>
                <w:rFonts w:hint="eastAsia" w:ascii="微软雅黑" w:hAnsi="微软雅黑" w:eastAsia="微软雅黑" w:cs="微软雅黑"/>
                <w:i/>
                <w:iCs/>
                <w:color w:val="000000"/>
                <w:sz w:val="16"/>
                <w:szCs w:val="16"/>
                <w:u w:val="none"/>
              </w:rPr>
            </w:pPr>
          </w:p>
        </w:tc>
      </w:tr>
      <w:tr w14:paraId="53592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8B8D3A">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3D1B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DCA4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308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项目总成本</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C27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2A3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0B0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BB8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8D8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3E3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196EF">
            <w:pPr>
              <w:jc w:val="center"/>
              <w:rPr>
                <w:rFonts w:hint="eastAsia" w:ascii="微软雅黑" w:hAnsi="微软雅黑" w:eastAsia="微软雅黑" w:cs="微软雅黑"/>
                <w:i/>
                <w:iCs/>
                <w:color w:val="000000"/>
                <w:sz w:val="16"/>
                <w:szCs w:val="16"/>
                <w:u w:val="none"/>
              </w:rPr>
            </w:pPr>
          </w:p>
        </w:tc>
      </w:tr>
      <w:tr w14:paraId="32BDD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B20B0F">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47706B">
            <w:pPr>
              <w:jc w:val="center"/>
              <w:rPr>
                <w:rFonts w:hint="eastAsia" w:ascii="宋体" w:hAnsi="宋体" w:eastAsia="宋体" w:cs="宋体"/>
                <w:i w:val="0"/>
                <w:iCs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53F368">
            <w:pPr>
              <w:jc w:val="center"/>
              <w:rPr>
                <w:rFonts w:hint="eastAsia" w:ascii="宋体" w:hAnsi="宋体" w:eastAsia="宋体" w:cs="宋体"/>
                <w:i w:val="0"/>
                <w:iCs w:val="0"/>
                <w:color w:val="000000"/>
                <w:sz w:val="18"/>
                <w:szCs w:val="18"/>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C18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FC4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1E0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72E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B37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3BD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97F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32EE5">
            <w:pPr>
              <w:jc w:val="center"/>
              <w:rPr>
                <w:rFonts w:hint="eastAsia" w:ascii="微软雅黑" w:hAnsi="微软雅黑" w:eastAsia="微软雅黑" w:cs="微软雅黑"/>
                <w:i/>
                <w:iCs/>
                <w:color w:val="000000"/>
                <w:sz w:val="16"/>
                <w:szCs w:val="16"/>
                <w:u w:val="none"/>
              </w:rPr>
            </w:pPr>
          </w:p>
        </w:tc>
      </w:tr>
      <w:tr w14:paraId="4D3B9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57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24669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ED6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C1DB7">
            <w:pP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0C3BE">
            <w:pPr>
              <w:rPr>
                <w:rFonts w:hint="eastAsia" w:ascii="宋体" w:hAnsi="宋体" w:eastAsia="宋体" w:cs="宋体"/>
                <w:i w:val="0"/>
                <w:iCs w:val="0"/>
                <w:color w:val="000000"/>
                <w:sz w:val="18"/>
                <w:szCs w:val="18"/>
                <w:u w:val="none"/>
              </w:rPr>
            </w:pPr>
          </w:p>
        </w:tc>
      </w:tr>
      <w:tr w14:paraId="1A8F8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77C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F3C071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DFCD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44D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103E72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AA45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857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237D99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B526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89" w:type="dxa"/>
            <w:tcBorders>
              <w:top w:val="nil"/>
              <w:left w:val="nil"/>
              <w:bottom w:val="nil"/>
              <w:right w:val="nil"/>
            </w:tcBorders>
            <w:shd w:val="clear" w:color="auto" w:fill="auto"/>
            <w:vAlign w:val="center"/>
          </w:tcPr>
          <w:p w14:paraId="786CC23C">
            <w:pPr>
              <w:rPr>
                <w:rFonts w:hint="eastAsia" w:ascii="宋体" w:hAnsi="宋体" w:eastAsia="宋体" w:cs="宋体"/>
                <w:i w:val="0"/>
                <w:iCs w:val="0"/>
                <w:color w:val="000000"/>
                <w:sz w:val="18"/>
                <w:szCs w:val="18"/>
                <w:u w:val="none"/>
              </w:rPr>
            </w:pPr>
          </w:p>
        </w:tc>
        <w:tc>
          <w:tcPr>
            <w:tcW w:w="2048" w:type="dxa"/>
            <w:tcBorders>
              <w:top w:val="nil"/>
              <w:left w:val="nil"/>
              <w:bottom w:val="nil"/>
              <w:right w:val="nil"/>
            </w:tcBorders>
            <w:shd w:val="clear" w:color="auto" w:fill="auto"/>
            <w:vAlign w:val="center"/>
          </w:tcPr>
          <w:p w14:paraId="285EEF66">
            <w:pPr>
              <w:rPr>
                <w:rFonts w:hint="eastAsia" w:ascii="宋体" w:hAnsi="宋体" w:eastAsia="宋体" w:cs="宋体"/>
                <w:i w:val="0"/>
                <w:iCs w:val="0"/>
                <w:color w:val="000000"/>
                <w:sz w:val="18"/>
                <w:szCs w:val="18"/>
                <w:u w:val="none"/>
              </w:rPr>
            </w:pPr>
          </w:p>
        </w:tc>
        <w:tc>
          <w:tcPr>
            <w:tcW w:w="1764" w:type="dxa"/>
            <w:tcBorders>
              <w:top w:val="nil"/>
              <w:left w:val="nil"/>
              <w:bottom w:val="nil"/>
              <w:right w:val="nil"/>
            </w:tcBorders>
            <w:shd w:val="clear" w:color="auto" w:fill="auto"/>
            <w:vAlign w:val="center"/>
          </w:tcPr>
          <w:p w14:paraId="7CD8E974">
            <w:pPr>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vAlign w:val="center"/>
          </w:tcPr>
          <w:p w14:paraId="4E00192A">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445F26C3">
            <w:pPr>
              <w:rPr>
                <w:rFonts w:hint="eastAsia" w:ascii="宋体" w:hAnsi="宋体" w:eastAsia="宋体" w:cs="宋体"/>
                <w:i w:val="0"/>
                <w:iCs w:val="0"/>
                <w:color w:val="000000"/>
                <w:sz w:val="18"/>
                <w:szCs w:val="18"/>
                <w:u w:val="none"/>
              </w:rPr>
            </w:pPr>
          </w:p>
        </w:tc>
        <w:tc>
          <w:tcPr>
            <w:tcW w:w="1674" w:type="dxa"/>
            <w:tcBorders>
              <w:top w:val="nil"/>
              <w:left w:val="nil"/>
              <w:bottom w:val="nil"/>
              <w:right w:val="nil"/>
            </w:tcBorders>
            <w:shd w:val="clear" w:color="auto" w:fill="auto"/>
            <w:vAlign w:val="center"/>
          </w:tcPr>
          <w:p w14:paraId="6CCAAF8E">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698DFEAC">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59AA2181">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638DDC36">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14E25DE1">
            <w:pPr>
              <w:rPr>
                <w:rFonts w:hint="eastAsia" w:ascii="宋体" w:hAnsi="宋体" w:eastAsia="宋体" w:cs="宋体"/>
                <w:i w:val="0"/>
                <w:iCs w:val="0"/>
                <w:color w:val="000000"/>
                <w:sz w:val="18"/>
                <w:szCs w:val="18"/>
                <w:u w:val="none"/>
              </w:rPr>
            </w:pPr>
          </w:p>
        </w:tc>
        <w:tc>
          <w:tcPr>
            <w:tcW w:w="2541" w:type="dxa"/>
            <w:tcBorders>
              <w:top w:val="nil"/>
              <w:left w:val="nil"/>
              <w:bottom w:val="nil"/>
              <w:right w:val="nil"/>
            </w:tcBorders>
            <w:shd w:val="clear" w:color="auto" w:fill="auto"/>
            <w:vAlign w:val="center"/>
          </w:tcPr>
          <w:p w14:paraId="10CEDC4E">
            <w:pPr>
              <w:rPr>
                <w:rFonts w:hint="eastAsia" w:ascii="宋体" w:hAnsi="宋体" w:eastAsia="宋体" w:cs="宋体"/>
                <w:i w:val="0"/>
                <w:iCs w:val="0"/>
                <w:color w:val="000000"/>
                <w:sz w:val="18"/>
                <w:szCs w:val="18"/>
                <w:u w:val="none"/>
              </w:rPr>
            </w:pPr>
          </w:p>
        </w:tc>
      </w:tr>
      <w:tr w14:paraId="1090D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18D84DF">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E630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84ABF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FFFF00"/>
            <w:vAlign w:val="center"/>
          </w:tcPr>
          <w:p w14:paraId="7EBDC67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51320021T000000049172-信息系统维护保养</w:t>
            </w:r>
          </w:p>
        </w:tc>
      </w:tr>
      <w:tr w14:paraId="50E83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58550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85CA87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州人社局部门</w:t>
            </w:r>
          </w:p>
        </w:tc>
        <w:tc>
          <w:tcPr>
            <w:tcW w:w="1095" w:type="dxa"/>
            <w:tcBorders>
              <w:top w:val="nil"/>
              <w:left w:val="nil"/>
              <w:bottom w:val="nil"/>
              <w:right w:val="nil"/>
            </w:tcBorders>
            <w:shd w:val="clear" w:color="auto" w:fill="auto"/>
            <w:vAlign w:val="center"/>
          </w:tcPr>
          <w:p w14:paraId="2490E69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B1ED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w:t>
            </w:r>
          </w:p>
        </w:tc>
      </w:tr>
      <w:tr w14:paraId="77717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E465A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2BEAF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A992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6EEA8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6A34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A18BA4">
            <w:pP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A72DD9">
            <w:pPr>
              <w:rPr>
                <w:rFonts w:hint="eastAsia" w:ascii="宋体" w:hAnsi="宋体" w:eastAsia="宋体" w:cs="宋体"/>
                <w:i w:val="0"/>
                <w:iCs w:val="0"/>
                <w:color w:val="000000"/>
                <w:sz w:val="18"/>
                <w:szCs w:val="18"/>
                <w:u w:val="none"/>
              </w:rPr>
            </w:pP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96C4A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保障社保卡服务中心机房的软件与硬件设备正常运行，保证“金保”信息系统对全州人社业务的支持，为全州97万参保群众和90万社保卡持卡群众提供服务。</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01711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保障了社保卡服务中心机房的软件与硬件设备正常运行。</w:t>
            </w:r>
          </w:p>
        </w:tc>
      </w:tr>
      <w:tr w14:paraId="43620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F2069B">
            <w:pP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0F39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DA60E1A">
            <w:pPr>
              <w:rPr>
                <w:rFonts w:hint="eastAsia" w:ascii="宋体" w:hAnsi="宋体" w:eastAsia="宋体" w:cs="宋体"/>
                <w:i w:val="0"/>
                <w:iCs w:val="0"/>
                <w:color w:val="000000"/>
                <w:sz w:val="18"/>
                <w:szCs w:val="18"/>
                <w:u w:val="none"/>
              </w:rPr>
            </w:pPr>
          </w:p>
        </w:tc>
      </w:tr>
      <w:tr w14:paraId="56082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C59A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0F6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596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B92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1B11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B83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C60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2EA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219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F71C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7951C9">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80B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63C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72.00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4BA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66.45</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18F7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66.45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9B2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627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86B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B9CA54">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EC42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AFAFC2">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783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E30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72.00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CA9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66.45</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7389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66.45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739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83A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741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C00DC2">
            <w:pPr>
              <w:rPr>
                <w:rFonts w:hint="eastAsia" w:ascii="黑体" w:hAnsi="黑体" w:eastAsia="黑体" w:cs="黑体"/>
                <w:i/>
                <w:iCs/>
                <w:color w:val="000000"/>
                <w:sz w:val="18"/>
                <w:szCs w:val="18"/>
                <w:u w:val="none"/>
              </w:rPr>
            </w:pPr>
          </w:p>
        </w:tc>
      </w:tr>
      <w:tr w14:paraId="625C8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00DC35">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C2B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AD5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708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3E99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63D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F8F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C81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2EA89">
            <w:pPr>
              <w:rPr>
                <w:rFonts w:hint="eastAsia" w:ascii="黑体" w:hAnsi="黑体" w:eastAsia="黑体" w:cs="黑体"/>
                <w:i/>
                <w:iCs/>
                <w:color w:val="000000"/>
                <w:sz w:val="18"/>
                <w:szCs w:val="18"/>
                <w:u w:val="none"/>
              </w:rPr>
            </w:pPr>
          </w:p>
        </w:tc>
      </w:tr>
      <w:tr w14:paraId="0DA41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46EEAB">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6D9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C18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B36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F6B6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8E2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5CB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F32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FCC99F">
            <w:pPr>
              <w:rPr>
                <w:rFonts w:hint="eastAsia" w:ascii="黑体" w:hAnsi="黑体" w:eastAsia="黑体" w:cs="黑体"/>
                <w:i/>
                <w:iCs/>
                <w:color w:val="000000"/>
                <w:sz w:val="18"/>
                <w:szCs w:val="18"/>
                <w:u w:val="none"/>
              </w:rPr>
            </w:pPr>
          </w:p>
        </w:tc>
      </w:tr>
      <w:tr w14:paraId="12C08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AC83C">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2DF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354BA">
            <w:pPr>
              <w:jc w:val="center"/>
              <w:rPr>
                <w:rFonts w:hint="eastAsia" w:ascii="微软雅黑" w:hAnsi="微软雅黑" w:eastAsia="微软雅黑" w:cs="微软雅黑"/>
                <w:i/>
                <w:iCs/>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F5B38">
            <w:pPr>
              <w:jc w:val="center"/>
              <w:rPr>
                <w:rFonts w:hint="eastAsia" w:ascii="微软雅黑" w:hAnsi="微软雅黑" w:eastAsia="微软雅黑" w:cs="微软雅黑"/>
                <w:i/>
                <w:iCs/>
                <w:color w:val="000000"/>
                <w:sz w:val="16"/>
                <w:szCs w:val="16"/>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912A26">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E5F26">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C43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88D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E77AF3">
            <w:pPr>
              <w:rPr>
                <w:rFonts w:hint="eastAsia" w:ascii="黑体" w:hAnsi="黑体" w:eastAsia="黑体" w:cs="黑体"/>
                <w:i/>
                <w:iCs/>
                <w:color w:val="000000"/>
                <w:sz w:val="18"/>
                <w:szCs w:val="18"/>
                <w:u w:val="none"/>
              </w:rPr>
            </w:pPr>
          </w:p>
        </w:tc>
      </w:tr>
      <w:tr w14:paraId="6CA8D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9481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2FD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418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858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E6D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4C7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AAA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39D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671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F66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CA2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5FB9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7FB41">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C971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E36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34E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数据机房硬件维护保养服务项目批次</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316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CB7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0FD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批次</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E80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97F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B30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570B8">
            <w:pPr>
              <w:jc w:val="center"/>
              <w:rPr>
                <w:rFonts w:hint="eastAsia" w:ascii="微软雅黑" w:hAnsi="微软雅黑" w:eastAsia="微软雅黑" w:cs="微软雅黑"/>
                <w:i/>
                <w:iCs/>
                <w:color w:val="000000"/>
                <w:sz w:val="16"/>
                <w:szCs w:val="16"/>
                <w:u w:val="none"/>
              </w:rPr>
            </w:pPr>
          </w:p>
        </w:tc>
      </w:tr>
      <w:tr w14:paraId="71377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EB1897">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F11963">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D81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7BC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设备正常运行率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624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2C6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0FB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E43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7A9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79F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3B364">
            <w:pPr>
              <w:jc w:val="center"/>
              <w:rPr>
                <w:rFonts w:hint="eastAsia" w:ascii="微软雅黑" w:hAnsi="微软雅黑" w:eastAsia="微软雅黑" w:cs="微软雅黑"/>
                <w:i/>
                <w:iCs/>
                <w:color w:val="000000"/>
                <w:sz w:val="16"/>
                <w:szCs w:val="16"/>
                <w:u w:val="none"/>
              </w:rPr>
            </w:pPr>
          </w:p>
        </w:tc>
      </w:tr>
      <w:tr w14:paraId="73C06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5A9800">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3FD4E8">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8A1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757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项目完成时间</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B15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9B3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2024年11月底前</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6A307">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C69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2024年11月底前</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B87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0E2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FFC06">
            <w:pPr>
              <w:jc w:val="center"/>
              <w:rPr>
                <w:rFonts w:hint="eastAsia" w:ascii="微软雅黑" w:hAnsi="微软雅黑" w:eastAsia="微软雅黑" w:cs="微软雅黑"/>
                <w:i/>
                <w:iCs/>
                <w:color w:val="000000"/>
                <w:sz w:val="16"/>
                <w:szCs w:val="16"/>
                <w:u w:val="none"/>
              </w:rPr>
            </w:pPr>
          </w:p>
        </w:tc>
      </w:tr>
      <w:tr w14:paraId="79BD5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0FB5D1">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20D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0FD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4B7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为群众提供优质信息化服务</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961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399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23EFD">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F65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0C5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F96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2AC89">
            <w:pPr>
              <w:jc w:val="center"/>
              <w:rPr>
                <w:rFonts w:hint="eastAsia" w:ascii="微软雅黑" w:hAnsi="微软雅黑" w:eastAsia="微软雅黑" w:cs="微软雅黑"/>
                <w:i/>
                <w:iCs/>
                <w:color w:val="000000"/>
                <w:sz w:val="16"/>
                <w:szCs w:val="16"/>
                <w:u w:val="none"/>
              </w:rPr>
            </w:pPr>
          </w:p>
        </w:tc>
      </w:tr>
      <w:tr w14:paraId="12BD4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A6A544">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242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EC6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C63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社会公众对相关工作的满意度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BF9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8AE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45B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AC0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6C1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833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07757">
            <w:pPr>
              <w:jc w:val="center"/>
              <w:rPr>
                <w:rFonts w:hint="eastAsia" w:ascii="微软雅黑" w:hAnsi="微软雅黑" w:eastAsia="微软雅黑" w:cs="微软雅黑"/>
                <w:i/>
                <w:iCs/>
                <w:color w:val="000000"/>
                <w:sz w:val="16"/>
                <w:szCs w:val="16"/>
                <w:u w:val="none"/>
              </w:rPr>
            </w:pPr>
          </w:p>
        </w:tc>
      </w:tr>
      <w:tr w14:paraId="788B1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8434B0">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4236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E480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3B3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维修（护）费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6CF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79F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6F8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7B0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38.89</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A63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80C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6FA1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本年度维修项目增多</w:t>
            </w:r>
          </w:p>
        </w:tc>
      </w:tr>
      <w:tr w14:paraId="7CB2C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26827C">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BBA833">
            <w:pPr>
              <w:jc w:val="center"/>
              <w:rPr>
                <w:rFonts w:hint="eastAsia" w:ascii="宋体" w:hAnsi="宋体" w:eastAsia="宋体" w:cs="宋体"/>
                <w:i w:val="0"/>
                <w:iCs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C2AC27">
            <w:pPr>
              <w:jc w:val="center"/>
              <w:rPr>
                <w:rFonts w:hint="eastAsia" w:ascii="宋体" w:hAnsi="宋体" w:eastAsia="宋体" w:cs="宋体"/>
                <w:i w:val="0"/>
                <w:iCs w:val="0"/>
                <w:color w:val="000000"/>
                <w:sz w:val="18"/>
                <w:szCs w:val="18"/>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3C2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项目总费用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090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B37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72</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764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0B0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66.45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2B8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BF6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EA784">
            <w:pPr>
              <w:jc w:val="center"/>
              <w:rPr>
                <w:rFonts w:hint="eastAsia" w:ascii="微软雅黑" w:hAnsi="微软雅黑" w:eastAsia="微软雅黑" w:cs="微软雅黑"/>
                <w:i/>
                <w:iCs/>
                <w:color w:val="000000"/>
                <w:sz w:val="16"/>
                <w:szCs w:val="16"/>
                <w:u w:val="none"/>
              </w:rPr>
            </w:pPr>
          </w:p>
        </w:tc>
      </w:tr>
      <w:tr w14:paraId="16C13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57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6AF69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38F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94D8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B4D19">
            <w:pPr>
              <w:rPr>
                <w:rFonts w:hint="eastAsia" w:ascii="宋体" w:hAnsi="宋体" w:eastAsia="宋体" w:cs="宋体"/>
                <w:i w:val="0"/>
                <w:iCs w:val="0"/>
                <w:color w:val="000000"/>
                <w:sz w:val="18"/>
                <w:szCs w:val="18"/>
                <w:u w:val="none"/>
              </w:rPr>
            </w:pPr>
          </w:p>
        </w:tc>
      </w:tr>
      <w:tr w14:paraId="68796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AF2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194E51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达到工作预期， 保障了社保卡服务中心机房的软件与硬件设备正常运行。</w:t>
            </w:r>
          </w:p>
        </w:tc>
      </w:tr>
      <w:tr w14:paraId="05F5B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D06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8C1E6F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E31B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C36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4C233E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812E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89" w:type="dxa"/>
            <w:tcBorders>
              <w:top w:val="nil"/>
              <w:left w:val="nil"/>
              <w:bottom w:val="nil"/>
              <w:right w:val="nil"/>
            </w:tcBorders>
            <w:shd w:val="clear" w:color="auto" w:fill="auto"/>
            <w:vAlign w:val="center"/>
          </w:tcPr>
          <w:p w14:paraId="3A472037">
            <w:pPr>
              <w:rPr>
                <w:rFonts w:hint="eastAsia" w:ascii="宋体" w:hAnsi="宋体" w:eastAsia="宋体" w:cs="宋体"/>
                <w:i w:val="0"/>
                <w:iCs w:val="0"/>
                <w:color w:val="000000"/>
                <w:sz w:val="18"/>
                <w:szCs w:val="18"/>
                <w:u w:val="none"/>
              </w:rPr>
            </w:pPr>
          </w:p>
        </w:tc>
        <w:tc>
          <w:tcPr>
            <w:tcW w:w="2048" w:type="dxa"/>
            <w:tcBorders>
              <w:top w:val="nil"/>
              <w:left w:val="nil"/>
              <w:bottom w:val="nil"/>
              <w:right w:val="nil"/>
            </w:tcBorders>
            <w:shd w:val="clear" w:color="auto" w:fill="auto"/>
            <w:vAlign w:val="center"/>
          </w:tcPr>
          <w:p w14:paraId="6EC2316E">
            <w:pPr>
              <w:rPr>
                <w:rFonts w:hint="eastAsia" w:ascii="宋体" w:hAnsi="宋体" w:eastAsia="宋体" w:cs="宋体"/>
                <w:i w:val="0"/>
                <w:iCs w:val="0"/>
                <w:color w:val="000000"/>
                <w:sz w:val="18"/>
                <w:szCs w:val="18"/>
                <w:u w:val="none"/>
              </w:rPr>
            </w:pPr>
          </w:p>
        </w:tc>
        <w:tc>
          <w:tcPr>
            <w:tcW w:w="1764" w:type="dxa"/>
            <w:tcBorders>
              <w:top w:val="nil"/>
              <w:left w:val="nil"/>
              <w:bottom w:val="nil"/>
              <w:right w:val="nil"/>
            </w:tcBorders>
            <w:shd w:val="clear" w:color="auto" w:fill="auto"/>
            <w:vAlign w:val="center"/>
          </w:tcPr>
          <w:p w14:paraId="3951DFF3">
            <w:pPr>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vAlign w:val="center"/>
          </w:tcPr>
          <w:p w14:paraId="59E6B30D">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5B3B6B5A">
            <w:pPr>
              <w:rPr>
                <w:rFonts w:hint="eastAsia" w:ascii="宋体" w:hAnsi="宋体" w:eastAsia="宋体" w:cs="宋体"/>
                <w:i w:val="0"/>
                <w:iCs w:val="0"/>
                <w:color w:val="000000"/>
                <w:sz w:val="18"/>
                <w:szCs w:val="18"/>
                <w:u w:val="none"/>
              </w:rPr>
            </w:pPr>
          </w:p>
        </w:tc>
        <w:tc>
          <w:tcPr>
            <w:tcW w:w="1674" w:type="dxa"/>
            <w:tcBorders>
              <w:top w:val="nil"/>
              <w:left w:val="nil"/>
              <w:bottom w:val="nil"/>
              <w:right w:val="nil"/>
            </w:tcBorders>
            <w:shd w:val="clear" w:color="auto" w:fill="auto"/>
            <w:vAlign w:val="center"/>
          </w:tcPr>
          <w:p w14:paraId="3082B0C0">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1F4ADBF2">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2B54ACC2">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55E41759">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0A46E9B9">
            <w:pPr>
              <w:rPr>
                <w:rFonts w:hint="eastAsia" w:ascii="宋体" w:hAnsi="宋体" w:eastAsia="宋体" w:cs="宋体"/>
                <w:i w:val="0"/>
                <w:iCs w:val="0"/>
                <w:color w:val="000000"/>
                <w:sz w:val="18"/>
                <w:szCs w:val="18"/>
                <w:u w:val="none"/>
              </w:rPr>
            </w:pPr>
          </w:p>
        </w:tc>
        <w:tc>
          <w:tcPr>
            <w:tcW w:w="2541" w:type="dxa"/>
            <w:tcBorders>
              <w:top w:val="nil"/>
              <w:left w:val="nil"/>
              <w:bottom w:val="nil"/>
              <w:right w:val="nil"/>
            </w:tcBorders>
            <w:shd w:val="clear" w:color="auto" w:fill="auto"/>
            <w:vAlign w:val="center"/>
          </w:tcPr>
          <w:p w14:paraId="24BD1745">
            <w:pPr>
              <w:rPr>
                <w:rFonts w:hint="eastAsia" w:ascii="宋体" w:hAnsi="宋体" w:eastAsia="宋体" w:cs="宋体"/>
                <w:i w:val="0"/>
                <w:iCs w:val="0"/>
                <w:color w:val="000000"/>
                <w:sz w:val="18"/>
                <w:szCs w:val="18"/>
                <w:u w:val="none"/>
              </w:rPr>
            </w:pPr>
          </w:p>
        </w:tc>
      </w:tr>
      <w:tr w14:paraId="52ECB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458EA97">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1D2F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51461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FFFF00"/>
            <w:vAlign w:val="center"/>
          </w:tcPr>
          <w:p w14:paraId="7AFD70E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51320021T000000049178-法律顾问经费</w:t>
            </w:r>
          </w:p>
        </w:tc>
      </w:tr>
      <w:tr w14:paraId="23E5F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7F8A0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D3FA1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州人社局部门</w:t>
            </w:r>
          </w:p>
        </w:tc>
        <w:tc>
          <w:tcPr>
            <w:tcW w:w="1095" w:type="dxa"/>
            <w:tcBorders>
              <w:top w:val="nil"/>
              <w:left w:val="nil"/>
              <w:bottom w:val="nil"/>
              <w:right w:val="nil"/>
            </w:tcBorders>
            <w:shd w:val="clear" w:color="auto" w:fill="auto"/>
            <w:vAlign w:val="center"/>
          </w:tcPr>
          <w:p w14:paraId="4DF05E9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6253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w:t>
            </w:r>
          </w:p>
        </w:tc>
      </w:tr>
      <w:tr w14:paraId="5FE72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EED33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789E2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E5484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F9BBA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0CE6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39FB67">
            <w:pP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5BC380">
            <w:pPr>
              <w:rPr>
                <w:rFonts w:hint="eastAsia" w:ascii="宋体" w:hAnsi="宋体" w:eastAsia="宋体" w:cs="宋体"/>
                <w:i w:val="0"/>
                <w:iCs w:val="0"/>
                <w:color w:val="000000"/>
                <w:sz w:val="18"/>
                <w:szCs w:val="18"/>
                <w:u w:val="none"/>
              </w:rPr>
            </w:pP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F7E9A1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按照依法行政要求，有效开展行政复议行政诉讼，做好培训工作   </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4DD5A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按规定签约法律顾问，开展法治培训，加强法治宣传，树牢法治意识，营造良好法治氛围。</w:t>
            </w:r>
          </w:p>
        </w:tc>
      </w:tr>
      <w:tr w14:paraId="26D85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46B024">
            <w:pP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3860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2A9EFB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与律师事务所签订常年法律顾问合同。组织全单位开展法治培训。利用线上+线下方式，开展法治培训。</w:t>
            </w:r>
          </w:p>
        </w:tc>
      </w:tr>
      <w:tr w14:paraId="169CE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9009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712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870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6DA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91FE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63C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BB3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506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43B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1B36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267389">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DB3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BA6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62B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3362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22A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BDB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CD220">
            <w:pPr>
              <w:jc w:val="center"/>
              <w:rPr>
                <w:rFonts w:hint="eastAsia" w:ascii="宋体" w:hAnsi="宋体" w:eastAsia="宋体" w:cs="宋体"/>
                <w:i w:val="0"/>
                <w:iCs w:val="0"/>
                <w:color w:val="000000"/>
                <w:sz w:val="18"/>
                <w:szCs w:val="18"/>
                <w:u w:val="none"/>
              </w:rPr>
            </w:pPr>
          </w:p>
        </w:tc>
        <w:tc>
          <w:tcPr>
            <w:tcW w:w="2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00F2FA">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0031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0A73E4">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E44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720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A63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8CAE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A57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158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946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98AB6C">
            <w:pPr>
              <w:rPr>
                <w:rFonts w:hint="eastAsia" w:ascii="黑体" w:hAnsi="黑体" w:eastAsia="黑体" w:cs="黑体"/>
                <w:i/>
                <w:iCs/>
                <w:color w:val="000000"/>
                <w:sz w:val="18"/>
                <w:szCs w:val="18"/>
                <w:u w:val="none"/>
              </w:rPr>
            </w:pPr>
          </w:p>
        </w:tc>
      </w:tr>
      <w:tr w14:paraId="59EF9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9F2013">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64A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121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FE0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0993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EFB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C0D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519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549C5">
            <w:pPr>
              <w:rPr>
                <w:rFonts w:hint="eastAsia" w:ascii="黑体" w:hAnsi="黑体" w:eastAsia="黑体" w:cs="黑体"/>
                <w:i/>
                <w:iCs/>
                <w:color w:val="000000"/>
                <w:sz w:val="18"/>
                <w:szCs w:val="18"/>
                <w:u w:val="none"/>
              </w:rPr>
            </w:pPr>
          </w:p>
        </w:tc>
      </w:tr>
      <w:tr w14:paraId="0FA74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AB926A">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474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36C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CED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06C4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28C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014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849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1932AA">
            <w:pPr>
              <w:rPr>
                <w:rFonts w:hint="eastAsia" w:ascii="黑体" w:hAnsi="黑体" w:eastAsia="黑体" w:cs="黑体"/>
                <w:i/>
                <w:iCs/>
                <w:color w:val="000000"/>
                <w:sz w:val="18"/>
                <w:szCs w:val="18"/>
                <w:u w:val="none"/>
              </w:rPr>
            </w:pPr>
          </w:p>
        </w:tc>
      </w:tr>
      <w:tr w14:paraId="6BB16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4FD6B1">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E6A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AEECA">
            <w:pPr>
              <w:jc w:val="center"/>
              <w:rPr>
                <w:rFonts w:hint="eastAsia" w:ascii="微软雅黑" w:hAnsi="微软雅黑" w:eastAsia="微软雅黑" w:cs="微软雅黑"/>
                <w:i/>
                <w:iCs/>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42A61">
            <w:pPr>
              <w:jc w:val="center"/>
              <w:rPr>
                <w:rFonts w:hint="eastAsia" w:ascii="微软雅黑" w:hAnsi="微软雅黑" w:eastAsia="微软雅黑" w:cs="微软雅黑"/>
                <w:i/>
                <w:iCs/>
                <w:color w:val="000000"/>
                <w:sz w:val="16"/>
                <w:szCs w:val="16"/>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D6929C">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EE7D9">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ADE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F17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8BCEBD">
            <w:pPr>
              <w:rPr>
                <w:rFonts w:hint="eastAsia" w:ascii="黑体" w:hAnsi="黑体" w:eastAsia="黑体" w:cs="黑体"/>
                <w:i/>
                <w:iCs/>
                <w:color w:val="000000"/>
                <w:sz w:val="18"/>
                <w:szCs w:val="18"/>
                <w:u w:val="none"/>
              </w:rPr>
            </w:pPr>
          </w:p>
        </w:tc>
      </w:tr>
      <w:tr w14:paraId="55090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3AC5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31B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AF7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68D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197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71E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F04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CDA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350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EAA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17D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6E33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562936">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5633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CEA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CB0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参加相关培训工作次数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55D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88A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FB4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BE5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FE0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054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51354">
            <w:pPr>
              <w:jc w:val="center"/>
              <w:rPr>
                <w:rFonts w:hint="eastAsia" w:ascii="微软雅黑" w:hAnsi="微软雅黑" w:eastAsia="微软雅黑" w:cs="微软雅黑"/>
                <w:i/>
                <w:iCs/>
                <w:color w:val="000000"/>
                <w:sz w:val="16"/>
                <w:szCs w:val="16"/>
                <w:u w:val="none"/>
              </w:rPr>
            </w:pPr>
          </w:p>
        </w:tc>
      </w:tr>
      <w:tr w14:paraId="022C1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67DB55">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8F6E58">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59D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1C1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培训合格率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DBE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CBF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617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1B7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C96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547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EC86A">
            <w:pPr>
              <w:jc w:val="center"/>
              <w:rPr>
                <w:rFonts w:hint="eastAsia" w:ascii="微软雅黑" w:hAnsi="微软雅黑" w:eastAsia="微软雅黑" w:cs="微软雅黑"/>
                <w:i/>
                <w:iCs/>
                <w:color w:val="000000"/>
                <w:sz w:val="16"/>
                <w:szCs w:val="16"/>
                <w:u w:val="none"/>
              </w:rPr>
            </w:pPr>
          </w:p>
        </w:tc>
      </w:tr>
      <w:tr w14:paraId="157CA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2DFAC4">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FF7FD9">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05C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D7A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诉讼工作完成时间</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F28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C70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2024年度11月底前</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F85E2">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4A5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2024年度11月底前</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3C3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D4A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90E65">
            <w:pPr>
              <w:jc w:val="center"/>
              <w:rPr>
                <w:rFonts w:hint="eastAsia" w:ascii="微软雅黑" w:hAnsi="微软雅黑" w:eastAsia="微软雅黑" w:cs="微软雅黑"/>
                <w:i/>
                <w:iCs/>
                <w:color w:val="000000"/>
                <w:sz w:val="16"/>
                <w:szCs w:val="16"/>
                <w:u w:val="none"/>
              </w:rPr>
            </w:pPr>
          </w:p>
        </w:tc>
      </w:tr>
      <w:tr w14:paraId="6ADC6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994E76">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8B7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8B0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B41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有效开展行政复议行政诉讼，做好培训工作</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0CB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B20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效果显著</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AEE40">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FA3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效果显著</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6F5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1B7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22CAF">
            <w:pPr>
              <w:jc w:val="center"/>
              <w:rPr>
                <w:rFonts w:hint="eastAsia" w:ascii="微软雅黑" w:hAnsi="微软雅黑" w:eastAsia="微软雅黑" w:cs="微软雅黑"/>
                <w:i/>
                <w:iCs/>
                <w:color w:val="000000"/>
                <w:sz w:val="16"/>
                <w:szCs w:val="16"/>
                <w:u w:val="none"/>
              </w:rPr>
            </w:pPr>
          </w:p>
        </w:tc>
      </w:tr>
      <w:tr w14:paraId="387D7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3B3CB9">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D50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CCC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317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服务群众满意率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BB4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C48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250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0A8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EA3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B8E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5A8A0">
            <w:pPr>
              <w:jc w:val="center"/>
              <w:rPr>
                <w:rFonts w:hint="eastAsia" w:ascii="微软雅黑" w:hAnsi="微软雅黑" w:eastAsia="微软雅黑" w:cs="微软雅黑"/>
                <w:i/>
                <w:iCs/>
                <w:color w:val="000000"/>
                <w:sz w:val="16"/>
                <w:szCs w:val="16"/>
                <w:u w:val="none"/>
              </w:rPr>
            </w:pPr>
          </w:p>
        </w:tc>
      </w:tr>
      <w:tr w14:paraId="6684F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B85866">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E0F0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DD09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A87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项目总成本</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55F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14E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068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755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8B0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CCE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9F75C">
            <w:pPr>
              <w:jc w:val="center"/>
              <w:rPr>
                <w:rFonts w:hint="eastAsia" w:ascii="微软雅黑" w:hAnsi="微软雅黑" w:eastAsia="微软雅黑" w:cs="微软雅黑"/>
                <w:i/>
                <w:iCs/>
                <w:color w:val="000000"/>
                <w:sz w:val="16"/>
                <w:szCs w:val="16"/>
                <w:u w:val="none"/>
              </w:rPr>
            </w:pPr>
          </w:p>
        </w:tc>
      </w:tr>
      <w:tr w14:paraId="0A6E5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89067F">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10B7A">
            <w:pPr>
              <w:jc w:val="center"/>
              <w:rPr>
                <w:rFonts w:hint="eastAsia" w:ascii="宋体" w:hAnsi="宋体" w:eastAsia="宋体" w:cs="宋体"/>
                <w:i w:val="0"/>
                <w:iCs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1855B8">
            <w:pPr>
              <w:jc w:val="center"/>
              <w:rPr>
                <w:rFonts w:hint="eastAsia" w:ascii="宋体" w:hAnsi="宋体" w:eastAsia="宋体" w:cs="宋体"/>
                <w:i w:val="0"/>
                <w:iCs w:val="0"/>
                <w:color w:val="000000"/>
                <w:sz w:val="18"/>
                <w:szCs w:val="18"/>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35E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委托业务服务费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D2D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E05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299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C49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F66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415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A0E11">
            <w:pPr>
              <w:jc w:val="center"/>
              <w:rPr>
                <w:rFonts w:hint="eastAsia" w:ascii="微软雅黑" w:hAnsi="微软雅黑" w:eastAsia="微软雅黑" w:cs="微软雅黑"/>
                <w:i/>
                <w:iCs/>
                <w:color w:val="000000"/>
                <w:sz w:val="16"/>
                <w:szCs w:val="16"/>
                <w:u w:val="none"/>
              </w:rPr>
            </w:pPr>
          </w:p>
        </w:tc>
      </w:tr>
      <w:tr w14:paraId="5A464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57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F0E9D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D24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F45F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8EAD7">
            <w:pPr>
              <w:rPr>
                <w:rFonts w:hint="eastAsia" w:ascii="宋体" w:hAnsi="宋体" w:eastAsia="宋体" w:cs="宋体"/>
                <w:i w:val="0"/>
                <w:iCs w:val="0"/>
                <w:color w:val="000000"/>
                <w:sz w:val="18"/>
                <w:szCs w:val="18"/>
                <w:u w:val="none"/>
              </w:rPr>
            </w:pPr>
          </w:p>
        </w:tc>
      </w:tr>
      <w:tr w14:paraId="7EADC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79A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2382C3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积极参加全省、全州法治培训。让群众可感可及人社温度。</w:t>
            </w:r>
          </w:p>
        </w:tc>
      </w:tr>
      <w:tr w14:paraId="3837F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202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CBAE82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4EA7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736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B1E1C5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7C3C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89" w:type="dxa"/>
            <w:tcBorders>
              <w:top w:val="nil"/>
              <w:left w:val="nil"/>
              <w:bottom w:val="nil"/>
              <w:right w:val="nil"/>
            </w:tcBorders>
            <w:shd w:val="clear" w:color="auto" w:fill="auto"/>
            <w:vAlign w:val="center"/>
          </w:tcPr>
          <w:p w14:paraId="792967FB">
            <w:pPr>
              <w:rPr>
                <w:rFonts w:hint="eastAsia" w:ascii="宋体" w:hAnsi="宋体" w:eastAsia="宋体" w:cs="宋体"/>
                <w:i w:val="0"/>
                <w:iCs w:val="0"/>
                <w:color w:val="000000"/>
                <w:sz w:val="18"/>
                <w:szCs w:val="18"/>
                <w:u w:val="none"/>
              </w:rPr>
            </w:pPr>
          </w:p>
        </w:tc>
        <w:tc>
          <w:tcPr>
            <w:tcW w:w="2048" w:type="dxa"/>
            <w:tcBorders>
              <w:top w:val="nil"/>
              <w:left w:val="nil"/>
              <w:bottom w:val="nil"/>
              <w:right w:val="nil"/>
            </w:tcBorders>
            <w:shd w:val="clear" w:color="auto" w:fill="auto"/>
            <w:vAlign w:val="center"/>
          </w:tcPr>
          <w:p w14:paraId="4F841E20">
            <w:pPr>
              <w:rPr>
                <w:rFonts w:hint="eastAsia" w:ascii="宋体" w:hAnsi="宋体" w:eastAsia="宋体" w:cs="宋体"/>
                <w:i w:val="0"/>
                <w:iCs w:val="0"/>
                <w:color w:val="000000"/>
                <w:sz w:val="18"/>
                <w:szCs w:val="18"/>
                <w:u w:val="none"/>
              </w:rPr>
            </w:pPr>
          </w:p>
        </w:tc>
        <w:tc>
          <w:tcPr>
            <w:tcW w:w="1764" w:type="dxa"/>
            <w:tcBorders>
              <w:top w:val="nil"/>
              <w:left w:val="nil"/>
              <w:bottom w:val="nil"/>
              <w:right w:val="nil"/>
            </w:tcBorders>
            <w:shd w:val="clear" w:color="auto" w:fill="auto"/>
            <w:vAlign w:val="center"/>
          </w:tcPr>
          <w:p w14:paraId="40C019E0">
            <w:pPr>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vAlign w:val="center"/>
          </w:tcPr>
          <w:p w14:paraId="581D54EF">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14CD22FA">
            <w:pPr>
              <w:rPr>
                <w:rFonts w:hint="eastAsia" w:ascii="宋体" w:hAnsi="宋体" w:eastAsia="宋体" w:cs="宋体"/>
                <w:i w:val="0"/>
                <w:iCs w:val="0"/>
                <w:color w:val="000000"/>
                <w:sz w:val="18"/>
                <w:szCs w:val="18"/>
                <w:u w:val="none"/>
              </w:rPr>
            </w:pPr>
          </w:p>
        </w:tc>
        <w:tc>
          <w:tcPr>
            <w:tcW w:w="1674" w:type="dxa"/>
            <w:tcBorders>
              <w:top w:val="nil"/>
              <w:left w:val="nil"/>
              <w:bottom w:val="nil"/>
              <w:right w:val="nil"/>
            </w:tcBorders>
            <w:shd w:val="clear" w:color="auto" w:fill="auto"/>
            <w:vAlign w:val="center"/>
          </w:tcPr>
          <w:p w14:paraId="0406FFFE">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62CB0B85">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5889C1B5">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05EE6B78">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39B548B1">
            <w:pPr>
              <w:rPr>
                <w:rFonts w:hint="eastAsia" w:ascii="宋体" w:hAnsi="宋体" w:eastAsia="宋体" w:cs="宋体"/>
                <w:i w:val="0"/>
                <w:iCs w:val="0"/>
                <w:color w:val="000000"/>
                <w:sz w:val="18"/>
                <w:szCs w:val="18"/>
                <w:u w:val="none"/>
              </w:rPr>
            </w:pPr>
          </w:p>
        </w:tc>
        <w:tc>
          <w:tcPr>
            <w:tcW w:w="2541" w:type="dxa"/>
            <w:tcBorders>
              <w:top w:val="nil"/>
              <w:left w:val="nil"/>
              <w:bottom w:val="nil"/>
              <w:right w:val="nil"/>
            </w:tcBorders>
            <w:shd w:val="clear" w:color="auto" w:fill="auto"/>
            <w:vAlign w:val="center"/>
          </w:tcPr>
          <w:p w14:paraId="32F834BC">
            <w:pPr>
              <w:rPr>
                <w:rFonts w:hint="eastAsia" w:ascii="宋体" w:hAnsi="宋体" w:eastAsia="宋体" w:cs="宋体"/>
                <w:i w:val="0"/>
                <w:iCs w:val="0"/>
                <w:color w:val="000000"/>
                <w:sz w:val="18"/>
                <w:szCs w:val="18"/>
                <w:u w:val="none"/>
              </w:rPr>
            </w:pPr>
          </w:p>
        </w:tc>
      </w:tr>
      <w:tr w14:paraId="47043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0F0CA36">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5839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087D0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00B050"/>
            <w:vAlign w:val="center"/>
          </w:tcPr>
          <w:p w14:paraId="036BF3A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51320021T000000049182-主干网络使用费</w:t>
            </w:r>
          </w:p>
        </w:tc>
      </w:tr>
      <w:tr w14:paraId="2825B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5D0A2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9885E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州人社局部门</w:t>
            </w:r>
          </w:p>
        </w:tc>
        <w:tc>
          <w:tcPr>
            <w:tcW w:w="1095" w:type="dxa"/>
            <w:tcBorders>
              <w:top w:val="nil"/>
              <w:left w:val="nil"/>
              <w:bottom w:val="nil"/>
              <w:right w:val="nil"/>
            </w:tcBorders>
            <w:shd w:val="clear" w:color="auto" w:fill="auto"/>
            <w:vAlign w:val="center"/>
          </w:tcPr>
          <w:p w14:paraId="145741D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F205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w:t>
            </w:r>
          </w:p>
        </w:tc>
      </w:tr>
      <w:tr w14:paraId="70A97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DCABA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108A1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2129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BEC9532">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7851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07CA10">
            <w:pP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6CF517">
            <w:pPr>
              <w:rPr>
                <w:rFonts w:hint="eastAsia" w:ascii="宋体" w:hAnsi="宋体" w:eastAsia="宋体" w:cs="宋体"/>
                <w:i w:val="0"/>
                <w:iCs w:val="0"/>
                <w:color w:val="000000"/>
                <w:sz w:val="18"/>
                <w:szCs w:val="18"/>
                <w:u w:val="none"/>
              </w:rPr>
            </w:pP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71CA1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保障全州域网（州到各县、区）主干业务专网、互联网、视频会议、人社服务大厅监控系统、阿坝州惠民惠农财政补贴资金“一卡通”等汇聚线路及备用线路的互联互通和“金保工程业务专网”安全、稳定运行。</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EEEFA0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保障了全州域网（州到各县、区）主干业务专网、互联网、视频会议、人社服务大厅监控系统、阿坝州惠民惠农财政补贴资金“一卡通”等汇聚线路及备用线路的互联互通和“金保工程业务专网”安全、稳定运行。</w:t>
            </w:r>
          </w:p>
        </w:tc>
      </w:tr>
      <w:tr w14:paraId="44B14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6D41F8">
            <w:pP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226E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EC6DDE1">
            <w:pPr>
              <w:rPr>
                <w:rFonts w:hint="eastAsia" w:ascii="宋体" w:hAnsi="宋体" w:eastAsia="宋体" w:cs="宋体"/>
                <w:i w:val="0"/>
                <w:iCs w:val="0"/>
                <w:color w:val="000000"/>
                <w:sz w:val="18"/>
                <w:szCs w:val="18"/>
                <w:u w:val="none"/>
              </w:rPr>
            </w:pPr>
          </w:p>
        </w:tc>
      </w:tr>
      <w:tr w14:paraId="38329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1A45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D08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2CA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11E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20F7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FF2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993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1D1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101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C1F3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2489EC">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9B6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29A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66.00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916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65.40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CDCD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65.40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564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FC7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3E5EB">
            <w:pPr>
              <w:jc w:val="center"/>
              <w:rPr>
                <w:rFonts w:hint="eastAsia" w:ascii="宋体" w:hAnsi="宋体" w:eastAsia="宋体" w:cs="宋体"/>
                <w:i w:val="0"/>
                <w:iCs w:val="0"/>
                <w:color w:val="000000"/>
                <w:sz w:val="18"/>
                <w:szCs w:val="18"/>
                <w:u w:val="none"/>
              </w:rPr>
            </w:pPr>
          </w:p>
        </w:tc>
        <w:tc>
          <w:tcPr>
            <w:tcW w:w="2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94D4BA">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4FA10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79EB3E">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E4B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80B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66.00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D14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65.40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D6CE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65.40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7B5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AC4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F11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4FA25A">
            <w:pPr>
              <w:rPr>
                <w:rFonts w:hint="eastAsia" w:ascii="黑体" w:hAnsi="黑体" w:eastAsia="黑体" w:cs="黑体"/>
                <w:i/>
                <w:iCs/>
                <w:color w:val="000000"/>
                <w:sz w:val="18"/>
                <w:szCs w:val="18"/>
                <w:u w:val="none"/>
              </w:rPr>
            </w:pPr>
          </w:p>
        </w:tc>
      </w:tr>
      <w:tr w14:paraId="71150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5B7C8F">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5E4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FB5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1C8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C2CE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E3E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98D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8A1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72474E">
            <w:pPr>
              <w:rPr>
                <w:rFonts w:hint="eastAsia" w:ascii="黑体" w:hAnsi="黑体" w:eastAsia="黑体" w:cs="黑体"/>
                <w:i/>
                <w:iCs/>
                <w:color w:val="000000"/>
                <w:sz w:val="18"/>
                <w:szCs w:val="18"/>
                <w:u w:val="none"/>
              </w:rPr>
            </w:pPr>
          </w:p>
        </w:tc>
      </w:tr>
      <w:tr w14:paraId="36069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F1DA12">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9BF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F3D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40D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B3E0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A0C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4B8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107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331E1">
            <w:pPr>
              <w:rPr>
                <w:rFonts w:hint="eastAsia" w:ascii="黑体" w:hAnsi="黑体" w:eastAsia="黑体" w:cs="黑体"/>
                <w:i/>
                <w:iCs/>
                <w:color w:val="000000"/>
                <w:sz w:val="18"/>
                <w:szCs w:val="18"/>
                <w:u w:val="none"/>
              </w:rPr>
            </w:pPr>
          </w:p>
        </w:tc>
      </w:tr>
      <w:tr w14:paraId="62A8D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01F956">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066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53FBF">
            <w:pPr>
              <w:jc w:val="center"/>
              <w:rPr>
                <w:rFonts w:hint="eastAsia" w:ascii="微软雅黑" w:hAnsi="微软雅黑" w:eastAsia="微软雅黑" w:cs="微软雅黑"/>
                <w:i/>
                <w:iCs/>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A7B1A">
            <w:pPr>
              <w:jc w:val="center"/>
              <w:rPr>
                <w:rFonts w:hint="eastAsia" w:ascii="微软雅黑" w:hAnsi="微软雅黑" w:eastAsia="微软雅黑" w:cs="微软雅黑"/>
                <w:i/>
                <w:iCs/>
                <w:color w:val="000000"/>
                <w:sz w:val="16"/>
                <w:szCs w:val="16"/>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37A98C">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2E773">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E49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697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A1E13">
            <w:pPr>
              <w:rPr>
                <w:rFonts w:hint="eastAsia" w:ascii="黑体" w:hAnsi="黑体" w:eastAsia="黑体" w:cs="黑体"/>
                <w:i/>
                <w:iCs/>
                <w:color w:val="000000"/>
                <w:sz w:val="18"/>
                <w:szCs w:val="18"/>
                <w:u w:val="none"/>
              </w:rPr>
            </w:pPr>
          </w:p>
        </w:tc>
      </w:tr>
      <w:tr w14:paraId="59CF0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2C78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C3D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89A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E5E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45A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690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C58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BC4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9D5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F10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71F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D8CC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2114C8">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D1D0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01C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D31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线路租赁条数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E24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578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214</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2E1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条</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8AC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214</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70E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86A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920BE">
            <w:pPr>
              <w:jc w:val="center"/>
              <w:rPr>
                <w:rFonts w:hint="eastAsia" w:ascii="微软雅黑" w:hAnsi="微软雅黑" w:eastAsia="微软雅黑" w:cs="微软雅黑"/>
                <w:i/>
                <w:iCs/>
                <w:color w:val="000000"/>
                <w:sz w:val="16"/>
                <w:szCs w:val="16"/>
                <w:u w:val="none"/>
              </w:rPr>
            </w:pPr>
          </w:p>
        </w:tc>
      </w:tr>
      <w:tr w14:paraId="6E227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9BEFA0">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CAF9D4">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137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4A7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维护金保工程业务专网安全率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A85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273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维护金保工程业务专网安全率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9BB21">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8E0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维护金保工程业务专网安全率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5AF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DF2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F8EDC">
            <w:pPr>
              <w:jc w:val="center"/>
              <w:rPr>
                <w:rFonts w:hint="eastAsia" w:ascii="微软雅黑" w:hAnsi="微软雅黑" w:eastAsia="微软雅黑" w:cs="微软雅黑"/>
                <w:i/>
                <w:iCs/>
                <w:color w:val="000000"/>
                <w:sz w:val="16"/>
                <w:szCs w:val="16"/>
                <w:u w:val="none"/>
              </w:rPr>
            </w:pPr>
          </w:p>
        </w:tc>
      </w:tr>
      <w:tr w14:paraId="3B2A1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5A5607">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F1888B">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8DB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B18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将于2024年11月底前完成该项目</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AC2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A4A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及时完成</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AFF6B">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0AA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及时完成</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41D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DF4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A0E9F">
            <w:pPr>
              <w:jc w:val="center"/>
              <w:rPr>
                <w:rFonts w:hint="eastAsia" w:ascii="微软雅黑" w:hAnsi="微软雅黑" w:eastAsia="微软雅黑" w:cs="微软雅黑"/>
                <w:i/>
                <w:iCs/>
                <w:color w:val="000000"/>
                <w:sz w:val="16"/>
                <w:szCs w:val="16"/>
                <w:u w:val="none"/>
              </w:rPr>
            </w:pPr>
          </w:p>
        </w:tc>
      </w:tr>
      <w:tr w14:paraId="76550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99BE6B">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3167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420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1CA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提高办公效率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955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9EC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显著提高</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58479">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FC0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显著提高</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ACA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09D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6A093">
            <w:pPr>
              <w:jc w:val="center"/>
              <w:rPr>
                <w:rFonts w:hint="eastAsia" w:ascii="微软雅黑" w:hAnsi="微软雅黑" w:eastAsia="微软雅黑" w:cs="微软雅黑"/>
                <w:i/>
                <w:iCs/>
                <w:color w:val="000000"/>
                <w:sz w:val="16"/>
                <w:szCs w:val="16"/>
                <w:u w:val="none"/>
              </w:rPr>
            </w:pPr>
          </w:p>
        </w:tc>
      </w:tr>
      <w:tr w14:paraId="34DDB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34528E">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A46D38">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9FE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E53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为实现人社业务“马上办，网上办，就近办，一次办”，方便群众办理人社业务，提供信息技术支持</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372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9E4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39594">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D67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7A3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7DF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11229">
            <w:pPr>
              <w:jc w:val="center"/>
              <w:rPr>
                <w:rFonts w:hint="eastAsia" w:ascii="微软雅黑" w:hAnsi="微软雅黑" w:eastAsia="微软雅黑" w:cs="微软雅黑"/>
                <w:i/>
                <w:iCs/>
                <w:color w:val="000000"/>
                <w:sz w:val="16"/>
                <w:szCs w:val="16"/>
                <w:u w:val="none"/>
              </w:rPr>
            </w:pPr>
          </w:p>
        </w:tc>
      </w:tr>
      <w:tr w14:paraId="3A6C1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40C928">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BC8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95B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EE4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“一卡通”使用群众满意度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236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F8C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5E8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84C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110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40C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EC2C5">
            <w:pPr>
              <w:jc w:val="center"/>
              <w:rPr>
                <w:rFonts w:hint="eastAsia" w:ascii="微软雅黑" w:hAnsi="微软雅黑" w:eastAsia="微软雅黑" w:cs="微软雅黑"/>
                <w:i/>
                <w:iCs/>
                <w:color w:val="000000"/>
                <w:sz w:val="16"/>
                <w:szCs w:val="16"/>
                <w:u w:val="none"/>
              </w:rPr>
            </w:pPr>
          </w:p>
        </w:tc>
      </w:tr>
      <w:tr w14:paraId="6BBAA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D906AC">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A77A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2400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78B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租赁费（移动）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A46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782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38E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475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965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F9D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8B875">
            <w:pPr>
              <w:jc w:val="center"/>
              <w:rPr>
                <w:rFonts w:hint="eastAsia" w:ascii="微软雅黑" w:hAnsi="微软雅黑" w:eastAsia="微软雅黑" w:cs="微软雅黑"/>
                <w:i/>
                <w:iCs/>
                <w:color w:val="000000"/>
                <w:sz w:val="16"/>
                <w:szCs w:val="16"/>
                <w:u w:val="none"/>
              </w:rPr>
            </w:pPr>
          </w:p>
        </w:tc>
      </w:tr>
      <w:tr w14:paraId="52C45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E70623">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911BE7">
            <w:pPr>
              <w:jc w:val="center"/>
              <w:rPr>
                <w:rFonts w:hint="eastAsia" w:ascii="宋体" w:hAnsi="宋体" w:eastAsia="宋体" w:cs="宋体"/>
                <w:i w:val="0"/>
                <w:iCs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D610BD">
            <w:pPr>
              <w:jc w:val="center"/>
              <w:rPr>
                <w:rFonts w:hint="eastAsia" w:ascii="宋体" w:hAnsi="宋体" w:eastAsia="宋体" w:cs="宋体"/>
                <w:i w:val="0"/>
                <w:iCs w:val="0"/>
                <w:color w:val="000000"/>
                <w:sz w:val="18"/>
                <w:szCs w:val="18"/>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655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租赁费（电信）</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EF1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636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441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6ED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09A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038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920EE">
            <w:pPr>
              <w:jc w:val="center"/>
              <w:rPr>
                <w:rFonts w:hint="eastAsia" w:ascii="微软雅黑" w:hAnsi="微软雅黑" w:eastAsia="微软雅黑" w:cs="微软雅黑"/>
                <w:i/>
                <w:iCs/>
                <w:color w:val="000000"/>
                <w:sz w:val="16"/>
                <w:szCs w:val="16"/>
                <w:u w:val="none"/>
              </w:rPr>
            </w:pPr>
          </w:p>
        </w:tc>
      </w:tr>
      <w:tr w14:paraId="121D1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57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26DAF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558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7800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3F58A">
            <w:pPr>
              <w:rPr>
                <w:rFonts w:hint="eastAsia" w:ascii="宋体" w:hAnsi="宋体" w:eastAsia="宋体" w:cs="宋体"/>
                <w:i w:val="0"/>
                <w:iCs w:val="0"/>
                <w:color w:val="000000"/>
                <w:sz w:val="18"/>
                <w:szCs w:val="18"/>
                <w:u w:val="none"/>
              </w:rPr>
            </w:pPr>
          </w:p>
        </w:tc>
      </w:tr>
      <w:tr w14:paraId="75DA3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C4F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9520DC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达到工作预期，保障了全州域网（州到各县、区）主干业务专网、互联网、视频会议、人社服务大厅监控系统、阿坝州惠民惠农财政补贴资金“一卡通”等汇聚线路及备用线路的互联互通和“金保工程业务专网”安全、稳定运行。</w:t>
            </w:r>
          </w:p>
        </w:tc>
      </w:tr>
      <w:tr w14:paraId="1B57E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B56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72698D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74D4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CB7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7A4B9A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1C5F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89" w:type="dxa"/>
            <w:tcBorders>
              <w:top w:val="nil"/>
              <w:left w:val="nil"/>
              <w:bottom w:val="nil"/>
              <w:right w:val="nil"/>
            </w:tcBorders>
            <w:shd w:val="clear" w:color="auto" w:fill="auto"/>
            <w:vAlign w:val="center"/>
          </w:tcPr>
          <w:p w14:paraId="770A361C">
            <w:pPr>
              <w:rPr>
                <w:rFonts w:hint="eastAsia" w:ascii="宋体" w:hAnsi="宋体" w:eastAsia="宋体" w:cs="宋体"/>
                <w:i w:val="0"/>
                <w:iCs w:val="0"/>
                <w:color w:val="000000"/>
                <w:sz w:val="18"/>
                <w:szCs w:val="18"/>
                <w:u w:val="none"/>
              </w:rPr>
            </w:pPr>
          </w:p>
        </w:tc>
        <w:tc>
          <w:tcPr>
            <w:tcW w:w="2048" w:type="dxa"/>
            <w:tcBorders>
              <w:top w:val="nil"/>
              <w:left w:val="nil"/>
              <w:bottom w:val="nil"/>
              <w:right w:val="nil"/>
            </w:tcBorders>
            <w:shd w:val="clear" w:color="auto" w:fill="auto"/>
            <w:vAlign w:val="center"/>
          </w:tcPr>
          <w:p w14:paraId="47AE4576">
            <w:pPr>
              <w:rPr>
                <w:rFonts w:hint="eastAsia" w:ascii="宋体" w:hAnsi="宋体" w:eastAsia="宋体" w:cs="宋体"/>
                <w:i w:val="0"/>
                <w:iCs w:val="0"/>
                <w:color w:val="000000"/>
                <w:sz w:val="18"/>
                <w:szCs w:val="18"/>
                <w:u w:val="none"/>
              </w:rPr>
            </w:pPr>
          </w:p>
        </w:tc>
        <w:tc>
          <w:tcPr>
            <w:tcW w:w="1764" w:type="dxa"/>
            <w:tcBorders>
              <w:top w:val="nil"/>
              <w:left w:val="nil"/>
              <w:bottom w:val="nil"/>
              <w:right w:val="nil"/>
            </w:tcBorders>
            <w:shd w:val="clear" w:color="auto" w:fill="auto"/>
            <w:vAlign w:val="center"/>
          </w:tcPr>
          <w:p w14:paraId="338B1573">
            <w:pPr>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vAlign w:val="center"/>
          </w:tcPr>
          <w:p w14:paraId="5393D987">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77598D15">
            <w:pPr>
              <w:rPr>
                <w:rFonts w:hint="eastAsia" w:ascii="宋体" w:hAnsi="宋体" w:eastAsia="宋体" w:cs="宋体"/>
                <w:i w:val="0"/>
                <w:iCs w:val="0"/>
                <w:color w:val="000000"/>
                <w:sz w:val="18"/>
                <w:szCs w:val="18"/>
                <w:u w:val="none"/>
              </w:rPr>
            </w:pPr>
          </w:p>
        </w:tc>
        <w:tc>
          <w:tcPr>
            <w:tcW w:w="1674" w:type="dxa"/>
            <w:tcBorders>
              <w:top w:val="nil"/>
              <w:left w:val="nil"/>
              <w:bottom w:val="nil"/>
              <w:right w:val="nil"/>
            </w:tcBorders>
            <w:shd w:val="clear" w:color="auto" w:fill="auto"/>
            <w:vAlign w:val="center"/>
          </w:tcPr>
          <w:p w14:paraId="245D36CB">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5FA62F60">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0040659B">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33293535">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41120CA6">
            <w:pPr>
              <w:rPr>
                <w:rFonts w:hint="eastAsia" w:ascii="宋体" w:hAnsi="宋体" w:eastAsia="宋体" w:cs="宋体"/>
                <w:i w:val="0"/>
                <w:iCs w:val="0"/>
                <w:color w:val="000000"/>
                <w:sz w:val="18"/>
                <w:szCs w:val="18"/>
                <w:u w:val="none"/>
              </w:rPr>
            </w:pPr>
          </w:p>
        </w:tc>
        <w:tc>
          <w:tcPr>
            <w:tcW w:w="2541" w:type="dxa"/>
            <w:tcBorders>
              <w:top w:val="nil"/>
              <w:left w:val="nil"/>
              <w:bottom w:val="nil"/>
              <w:right w:val="nil"/>
            </w:tcBorders>
            <w:shd w:val="clear" w:color="auto" w:fill="auto"/>
            <w:vAlign w:val="center"/>
          </w:tcPr>
          <w:p w14:paraId="10925C47">
            <w:pPr>
              <w:rPr>
                <w:rFonts w:hint="eastAsia" w:ascii="宋体" w:hAnsi="宋体" w:eastAsia="宋体" w:cs="宋体"/>
                <w:i w:val="0"/>
                <w:iCs w:val="0"/>
                <w:color w:val="000000"/>
                <w:sz w:val="18"/>
                <w:szCs w:val="18"/>
                <w:u w:val="none"/>
              </w:rPr>
            </w:pPr>
          </w:p>
        </w:tc>
      </w:tr>
      <w:tr w14:paraId="09E23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FD518A6">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FF06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03C04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00B050"/>
            <w:vAlign w:val="center"/>
          </w:tcPr>
          <w:p w14:paraId="61A7955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51320023T000007887556-2023年阿坝州社保基金智能监督平台建设项目</w:t>
            </w:r>
          </w:p>
        </w:tc>
      </w:tr>
      <w:tr w14:paraId="32F5C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707CC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43AA38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州人社局部门</w:t>
            </w:r>
          </w:p>
        </w:tc>
        <w:tc>
          <w:tcPr>
            <w:tcW w:w="1095" w:type="dxa"/>
            <w:tcBorders>
              <w:top w:val="nil"/>
              <w:left w:val="nil"/>
              <w:bottom w:val="nil"/>
              <w:right w:val="nil"/>
            </w:tcBorders>
            <w:shd w:val="clear" w:color="auto" w:fill="auto"/>
            <w:vAlign w:val="center"/>
          </w:tcPr>
          <w:p w14:paraId="55457DE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5B30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w:t>
            </w:r>
          </w:p>
        </w:tc>
      </w:tr>
      <w:tr w14:paraId="19CC4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D3B90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9E1EE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10D4F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F84C6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9DAB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7"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FAF87E">
            <w:pP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98367E">
            <w:pPr>
              <w:rPr>
                <w:rFonts w:hint="eastAsia" w:ascii="宋体" w:hAnsi="宋体" w:eastAsia="宋体" w:cs="宋体"/>
                <w:i w:val="0"/>
                <w:iCs w:val="0"/>
                <w:color w:val="000000"/>
                <w:sz w:val="18"/>
                <w:szCs w:val="18"/>
                <w:u w:val="none"/>
              </w:rPr>
            </w:pP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15AC73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进一步健全完善社保基金非现场监管工作，不断强化人防、制防、技防、群防“四防协同”的工作机制，结合我州社保基金监管工作实际，在全省社保信息系统风险防控子系统的基础上，拟搭建我州社会保险基金智能监管平台，以实现社保基金监管从人工审核向大数据全方位、全流程、全环节智能监控转变，确保基金安全，全力推动全州社会保障事业高质量发展。       </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xml:space="preserve">       </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xml:space="preserve">       </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xml:space="preserve">       </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92CD86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社会保险基金监督工作座谈会议暨社保基金监督管理业务培训会议，进一步加强全州社会保险基金监督专业化队伍建设。全面完成了社会保险基金管理巩固提升行动深化整改阶段7个方面24项内容60条重点工作、持续“以案促改、以案促治”深入推进社保基金管理巩固提升行动6个重点领域整治提升行动和集中开展警示和廉洁文化2个专题教育工作、打击根治骗取社保基金问题自查工作和13县（市）、卧龙社会保险基金管理巩固提升行动交叉评估工作以及2020年-2023年工伤预防费使用和服务合同履行监督工作任务。印发《阿坝州社会保险基金管理巩固提升行动强基固本阶段工作要点》的通知（阿州人社办〔2024〕81号），有序推进强基固本阶段31项重点工作任务。</w:t>
            </w:r>
          </w:p>
        </w:tc>
      </w:tr>
      <w:tr w14:paraId="1794A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F11E01">
            <w:pP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9DB3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629B1D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保险基金监督工作座谈会议暨社保基金监督管理业务培训会议，进一步加强全州社会保险基金监督专业化队伍建设。全面完成了社会保险基金管理巩固提升行动深化整改阶段7个方面24项内容60条重点工作、持续“以案促改、以案促治”深入推进社保基金管理巩固提升行动6个重点领域整治提升行动和集中开展警示和廉洁文化2个专题教育工作、打击根治骗取社保基金问题自查工作和13县（市）、卧龙社会保险基金管理巩固提升行动交叉评估工作以及2020年-2023年工伤预防费使用和服务合同履行监督工作任务。印发《阿坝州社会保险基金管理巩固提升行动强基固本阶段工作要点》的通知（阿州人社办〔2024〕81号），有序推进强基固本阶段31项重点工作任务。</w:t>
            </w:r>
          </w:p>
        </w:tc>
      </w:tr>
      <w:tr w14:paraId="476FA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877F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596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2D3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9A9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3323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819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DB7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062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B7F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D790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4A1EBF">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2A6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03A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4DD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39.90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912D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39.90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48D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463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A92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C086B1">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4D75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113F66">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F64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065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C78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39.90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C4DA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39.90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C59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E30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021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E2BA5">
            <w:pPr>
              <w:rPr>
                <w:rFonts w:hint="eastAsia" w:ascii="黑体" w:hAnsi="黑体" w:eastAsia="黑体" w:cs="黑体"/>
                <w:i/>
                <w:iCs/>
                <w:color w:val="000000"/>
                <w:sz w:val="18"/>
                <w:szCs w:val="18"/>
                <w:u w:val="none"/>
              </w:rPr>
            </w:pPr>
          </w:p>
        </w:tc>
      </w:tr>
      <w:tr w14:paraId="05913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DB40BF">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3F0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9FD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851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04C0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214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BBC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6D4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520056">
            <w:pPr>
              <w:rPr>
                <w:rFonts w:hint="eastAsia" w:ascii="黑体" w:hAnsi="黑体" w:eastAsia="黑体" w:cs="黑体"/>
                <w:i/>
                <w:iCs/>
                <w:color w:val="000000"/>
                <w:sz w:val="18"/>
                <w:szCs w:val="18"/>
                <w:u w:val="none"/>
              </w:rPr>
            </w:pPr>
          </w:p>
        </w:tc>
      </w:tr>
      <w:tr w14:paraId="323FF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F39ABE">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FE8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16F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1C6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24A6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FBD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F92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43A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098CEB">
            <w:pPr>
              <w:rPr>
                <w:rFonts w:hint="eastAsia" w:ascii="黑体" w:hAnsi="黑体" w:eastAsia="黑体" w:cs="黑体"/>
                <w:i/>
                <w:iCs/>
                <w:color w:val="000000"/>
                <w:sz w:val="18"/>
                <w:szCs w:val="18"/>
                <w:u w:val="none"/>
              </w:rPr>
            </w:pPr>
          </w:p>
        </w:tc>
      </w:tr>
      <w:tr w14:paraId="36C3F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318885">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9AD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FD98B">
            <w:pPr>
              <w:jc w:val="center"/>
              <w:rPr>
                <w:rFonts w:hint="eastAsia" w:ascii="微软雅黑" w:hAnsi="微软雅黑" w:eastAsia="微软雅黑" w:cs="微软雅黑"/>
                <w:i/>
                <w:iCs/>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EBF5B">
            <w:pPr>
              <w:jc w:val="center"/>
              <w:rPr>
                <w:rFonts w:hint="eastAsia" w:ascii="微软雅黑" w:hAnsi="微软雅黑" w:eastAsia="微软雅黑" w:cs="微软雅黑"/>
                <w:i/>
                <w:iCs/>
                <w:color w:val="000000"/>
                <w:sz w:val="16"/>
                <w:szCs w:val="16"/>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7DA069">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5936B">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477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A1E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E88379">
            <w:pPr>
              <w:rPr>
                <w:rFonts w:hint="eastAsia" w:ascii="黑体" w:hAnsi="黑体" w:eastAsia="黑体" w:cs="黑体"/>
                <w:i/>
                <w:iCs/>
                <w:color w:val="000000"/>
                <w:sz w:val="18"/>
                <w:szCs w:val="18"/>
                <w:u w:val="none"/>
              </w:rPr>
            </w:pPr>
          </w:p>
        </w:tc>
      </w:tr>
      <w:tr w14:paraId="51CBF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5CCE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E0C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777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115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024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EFF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A5B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79F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819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542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C55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3DCE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367A7E">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1200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1FE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F30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搭建我州社会保险基金智能监管平台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CB9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01D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A17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7CDB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35F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A8B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7C954">
            <w:pPr>
              <w:jc w:val="center"/>
              <w:rPr>
                <w:rFonts w:hint="eastAsia" w:ascii="微软雅黑" w:hAnsi="微软雅黑" w:eastAsia="微软雅黑" w:cs="微软雅黑"/>
                <w:i/>
                <w:iCs/>
                <w:color w:val="000000"/>
                <w:sz w:val="16"/>
                <w:szCs w:val="16"/>
                <w:u w:val="none"/>
              </w:rPr>
            </w:pPr>
          </w:p>
        </w:tc>
      </w:tr>
      <w:tr w14:paraId="27B99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8BFD91">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2FD98A">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447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677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确保基金安全，全力推动全州社会保障事业高质量发展</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918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F12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中</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AC25C">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B36D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BF1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783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38078">
            <w:pPr>
              <w:jc w:val="center"/>
              <w:rPr>
                <w:rFonts w:hint="eastAsia" w:ascii="微软雅黑" w:hAnsi="微软雅黑" w:eastAsia="微软雅黑" w:cs="微软雅黑"/>
                <w:i/>
                <w:iCs/>
                <w:color w:val="000000"/>
                <w:sz w:val="16"/>
                <w:szCs w:val="16"/>
                <w:u w:val="none"/>
              </w:rPr>
            </w:pPr>
          </w:p>
        </w:tc>
      </w:tr>
      <w:tr w14:paraId="4EC88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DC7242">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086E9B">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1E5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684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项目完成时间</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26F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953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本年度12月前</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13C6E">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910E3">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F15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D66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3D19C">
            <w:pPr>
              <w:jc w:val="center"/>
              <w:rPr>
                <w:rFonts w:hint="eastAsia" w:ascii="微软雅黑" w:hAnsi="微软雅黑" w:eastAsia="微软雅黑" w:cs="微软雅黑"/>
                <w:i/>
                <w:iCs/>
                <w:color w:val="000000"/>
                <w:sz w:val="16"/>
                <w:szCs w:val="16"/>
                <w:u w:val="none"/>
              </w:rPr>
            </w:pPr>
          </w:p>
        </w:tc>
      </w:tr>
      <w:tr w14:paraId="7F9A6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76C608">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12AA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5DB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A7D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进一步规范和加强社会保险基金监督工作，充分利用信息化手段健全社会保险基金监督体系，实现对基本养老保险基金、工伤保险基金、失业保险基金等社会保险基金收、支管理情况的智能化监督，构建全领域、全流程的基金安全防控机制，推动形成查处侵害社会保险基金违法违纪行为和严厉打击欺诈骗保行为的高压态势，确保社会保险基</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C35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968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中</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6D761">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1C2DD">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F68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454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41CCB">
            <w:pPr>
              <w:jc w:val="center"/>
              <w:rPr>
                <w:rFonts w:hint="eastAsia" w:ascii="微软雅黑" w:hAnsi="微软雅黑" w:eastAsia="微软雅黑" w:cs="微软雅黑"/>
                <w:i/>
                <w:iCs/>
                <w:color w:val="000000"/>
                <w:sz w:val="16"/>
                <w:szCs w:val="16"/>
                <w:u w:val="none"/>
              </w:rPr>
            </w:pPr>
          </w:p>
        </w:tc>
      </w:tr>
      <w:tr w14:paraId="2BB94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D49CB3">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C0E8DD">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A75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44A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推动全州社会保障事业高质量发展</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293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0A5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中</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72AE3">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FB17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98</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465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01B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C1814">
            <w:pPr>
              <w:jc w:val="center"/>
              <w:rPr>
                <w:rFonts w:hint="eastAsia" w:ascii="微软雅黑" w:hAnsi="微软雅黑" w:eastAsia="微软雅黑" w:cs="微软雅黑"/>
                <w:i/>
                <w:iCs/>
                <w:color w:val="000000"/>
                <w:sz w:val="16"/>
                <w:szCs w:val="16"/>
                <w:u w:val="none"/>
              </w:rPr>
            </w:pPr>
          </w:p>
        </w:tc>
      </w:tr>
      <w:tr w14:paraId="61D30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9A2F1B">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FE6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614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133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实现社保基金监管从人工审核向大数据全方位、全流程、全环节智能监控转变</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9B6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513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实现社保基金监管从人工审核向大数据全方位、全流程、全环节智能监控转变</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80E36">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23EE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C13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A95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92FD1">
            <w:pPr>
              <w:jc w:val="center"/>
              <w:rPr>
                <w:rFonts w:hint="eastAsia" w:ascii="微软雅黑" w:hAnsi="微软雅黑" w:eastAsia="微软雅黑" w:cs="微软雅黑"/>
                <w:i/>
                <w:iCs/>
                <w:color w:val="000000"/>
                <w:sz w:val="16"/>
                <w:szCs w:val="16"/>
                <w:u w:val="none"/>
              </w:rPr>
            </w:pPr>
          </w:p>
        </w:tc>
      </w:tr>
      <w:tr w14:paraId="52D4C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8C1B47">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935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8DC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90D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阿坝州社保基金智能监督平台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42E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BC3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39.9</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DDD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DC10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3.35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8AC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C6A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94C3E">
            <w:pPr>
              <w:jc w:val="center"/>
              <w:rPr>
                <w:rFonts w:hint="eastAsia" w:ascii="微软雅黑" w:hAnsi="微软雅黑" w:eastAsia="微软雅黑" w:cs="微软雅黑"/>
                <w:i/>
                <w:iCs/>
                <w:color w:val="000000"/>
                <w:sz w:val="16"/>
                <w:szCs w:val="16"/>
                <w:u w:val="none"/>
              </w:rPr>
            </w:pPr>
          </w:p>
        </w:tc>
      </w:tr>
      <w:tr w14:paraId="55530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57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8D00C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D9B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2950F">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69D8E">
            <w:pPr>
              <w:rPr>
                <w:rFonts w:hint="eastAsia" w:ascii="宋体" w:hAnsi="宋体" w:eastAsia="宋体" w:cs="宋体"/>
                <w:i w:val="0"/>
                <w:iCs w:val="0"/>
                <w:color w:val="000000"/>
                <w:sz w:val="18"/>
                <w:szCs w:val="18"/>
                <w:u w:val="none"/>
              </w:rPr>
            </w:pPr>
          </w:p>
        </w:tc>
      </w:tr>
      <w:tr w14:paraId="5EBC1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A91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F74D10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项目完成情况较好</w:t>
            </w:r>
          </w:p>
        </w:tc>
      </w:tr>
      <w:tr w14:paraId="72360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5EE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102138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8C30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B13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97E141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96B1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89" w:type="dxa"/>
            <w:tcBorders>
              <w:top w:val="nil"/>
              <w:left w:val="nil"/>
              <w:bottom w:val="nil"/>
              <w:right w:val="nil"/>
            </w:tcBorders>
            <w:shd w:val="clear" w:color="auto" w:fill="auto"/>
            <w:vAlign w:val="center"/>
          </w:tcPr>
          <w:p w14:paraId="1B5D7891">
            <w:pPr>
              <w:rPr>
                <w:rFonts w:hint="eastAsia" w:ascii="宋体" w:hAnsi="宋体" w:eastAsia="宋体" w:cs="宋体"/>
                <w:i w:val="0"/>
                <w:iCs w:val="0"/>
                <w:color w:val="000000"/>
                <w:sz w:val="18"/>
                <w:szCs w:val="18"/>
                <w:u w:val="none"/>
              </w:rPr>
            </w:pPr>
          </w:p>
        </w:tc>
        <w:tc>
          <w:tcPr>
            <w:tcW w:w="2048" w:type="dxa"/>
            <w:tcBorders>
              <w:top w:val="nil"/>
              <w:left w:val="nil"/>
              <w:bottom w:val="nil"/>
              <w:right w:val="nil"/>
            </w:tcBorders>
            <w:shd w:val="clear" w:color="auto" w:fill="auto"/>
            <w:vAlign w:val="center"/>
          </w:tcPr>
          <w:p w14:paraId="6ACCE96E">
            <w:pPr>
              <w:rPr>
                <w:rFonts w:hint="eastAsia" w:ascii="宋体" w:hAnsi="宋体" w:eastAsia="宋体" w:cs="宋体"/>
                <w:i w:val="0"/>
                <w:iCs w:val="0"/>
                <w:color w:val="000000"/>
                <w:sz w:val="18"/>
                <w:szCs w:val="18"/>
                <w:u w:val="none"/>
              </w:rPr>
            </w:pPr>
          </w:p>
        </w:tc>
        <w:tc>
          <w:tcPr>
            <w:tcW w:w="1764" w:type="dxa"/>
            <w:tcBorders>
              <w:top w:val="nil"/>
              <w:left w:val="nil"/>
              <w:bottom w:val="nil"/>
              <w:right w:val="nil"/>
            </w:tcBorders>
            <w:shd w:val="clear" w:color="auto" w:fill="auto"/>
            <w:vAlign w:val="center"/>
          </w:tcPr>
          <w:p w14:paraId="5FDE1EB5">
            <w:pPr>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vAlign w:val="center"/>
          </w:tcPr>
          <w:p w14:paraId="4E727551">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7300D7B8">
            <w:pPr>
              <w:rPr>
                <w:rFonts w:hint="eastAsia" w:ascii="宋体" w:hAnsi="宋体" w:eastAsia="宋体" w:cs="宋体"/>
                <w:i w:val="0"/>
                <w:iCs w:val="0"/>
                <w:color w:val="000000"/>
                <w:sz w:val="18"/>
                <w:szCs w:val="18"/>
                <w:u w:val="none"/>
              </w:rPr>
            </w:pPr>
          </w:p>
        </w:tc>
        <w:tc>
          <w:tcPr>
            <w:tcW w:w="1674" w:type="dxa"/>
            <w:tcBorders>
              <w:top w:val="nil"/>
              <w:left w:val="nil"/>
              <w:bottom w:val="nil"/>
              <w:right w:val="nil"/>
            </w:tcBorders>
            <w:shd w:val="clear" w:color="auto" w:fill="auto"/>
            <w:vAlign w:val="center"/>
          </w:tcPr>
          <w:p w14:paraId="212C34E5">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09EABF12">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45044476">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3C88C334">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4F03B0F6">
            <w:pPr>
              <w:rPr>
                <w:rFonts w:hint="eastAsia" w:ascii="宋体" w:hAnsi="宋体" w:eastAsia="宋体" w:cs="宋体"/>
                <w:i w:val="0"/>
                <w:iCs w:val="0"/>
                <w:color w:val="000000"/>
                <w:sz w:val="18"/>
                <w:szCs w:val="18"/>
                <w:u w:val="none"/>
              </w:rPr>
            </w:pPr>
          </w:p>
        </w:tc>
        <w:tc>
          <w:tcPr>
            <w:tcW w:w="2541" w:type="dxa"/>
            <w:tcBorders>
              <w:top w:val="nil"/>
              <w:left w:val="nil"/>
              <w:bottom w:val="nil"/>
              <w:right w:val="nil"/>
            </w:tcBorders>
            <w:shd w:val="clear" w:color="auto" w:fill="auto"/>
            <w:vAlign w:val="center"/>
          </w:tcPr>
          <w:p w14:paraId="24CD0771">
            <w:pPr>
              <w:rPr>
                <w:rFonts w:hint="eastAsia" w:ascii="宋体" w:hAnsi="宋体" w:eastAsia="宋体" w:cs="宋体"/>
                <w:i w:val="0"/>
                <w:iCs w:val="0"/>
                <w:color w:val="000000"/>
                <w:sz w:val="18"/>
                <w:szCs w:val="18"/>
                <w:u w:val="none"/>
              </w:rPr>
            </w:pPr>
          </w:p>
        </w:tc>
      </w:tr>
      <w:tr w14:paraId="2DFD5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D850EEB">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58F0F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97838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92D050"/>
            <w:vAlign w:val="center"/>
          </w:tcPr>
          <w:p w14:paraId="7C133A8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51320023T000009499645-大型招聘会</w:t>
            </w:r>
          </w:p>
        </w:tc>
      </w:tr>
      <w:tr w14:paraId="1A46F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E888E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710F99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州人社局部门</w:t>
            </w:r>
          </w:p>
        </w:tc>
        <w:tc>
          <w:tcPr>
            <w:tcW w:w="1095" w:type="dxa"/>
            <w:tcBorders>
              <w:top w:val="nil"/>
              <w:left w:val="nil"/>
              <w:bottom w:val="nil"/>
              <w:right w:val="nil"/>
            </w:tcBorders>
            <w:shd w:val="clear" w:color="auto" w:fill="auto"/>
            <w:vAlign w:val="center"/>
          </w:tcPr>
          <w:p w14:paraId="3DFCDCA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8B75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w:t>
            </w:r>
          </w:p>
        </w:tc>
      </w:tr>
      <w:tr w14:paraId="24105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D0598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3424F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84ED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191159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CFF1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E6C5D5">
            <w:pP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D176C9">
            <w:pPr>
              <w:rPr>
                <w:rFonts w:hint="eastAsia" w:ascii="宋体" w:hAnsi="宋体" w:eastAsia="宋体" w:cs="宋体"/>
                <w:i w:val="0"/>
                <w:iCs w:val="0"/>
                <w:color w:val="000000"/>
                <w:sz w:val="18"/>
                <w:szCs w:val="18"/>
                <w:u w:val="none"/>
              </w:rPr>
            </w:pP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FFDC52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为充分发挥州级人力资源服务平台稳就业、保就业的作用，大力促进大中专毕业生和各类社会人才更高质量和更充分就业。</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AB33E6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15F91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87899">
            <w:pP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9C85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B25561D">
            <w:pPr>
              <w:rPr>
                <w:rFonts w:hint="eastAsia" w:ascii="宋体" w:hAnsi="宋体" w:eastAsia="宋体" w:cs="宋体"/>
                <w:i w:val="0"/>
                <w:iCs w:val="0"/>
                <w:color w:val="000000"/>
                <w:sz w:val="18"/>
                <w:szCs w:val="18"/>
                <w:u w:val="none"/>
              </w:rPr>
            </w:pPr>
          </w:p>
        </w:tc>
      </w:tr>
      <w:tr w14:paraId="09AB6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3D52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647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B72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476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2EC1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9C2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12A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521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A44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B5D4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57FF27">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4E4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358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8D8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19.58</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B21A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19.58</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A74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CEC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8E2C7">
            <w:pPr>
              <w:jc w:val="center"/>
              <w:rPr>
                <w:rFonts w:hint="eastAsia" w:ascii="宋体" w:hAnsi="宋体" w:eastAsia="宋体" w:cs="宋体"/>
                <w:i w:val="0"/>
                <w:iCs w:val="0"/>
                <w:color w:val="000000"/>
                <w:sz w:val="18"/>
                <w:szCs w:val="18"/>
                <w:u w:val="none"/>
              </w:rPr>
            </w:pPr>
          </w:p>
        </w:tc>
        <w:tc>
          <w:tcPr>
            <w:tcW w:w="2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F3568E">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2488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C5D64B">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373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3D9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761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19.58</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8148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19.58</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BAF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A81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797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8C66EA">
            <w:pPr>
              <w:rPr>
                <w:rFonts w:hint="eastAsia" w:ascii="黑体" w:hAnsi="黑体" w:eastAsia="黑体" w:cs="黑体"/>
                <w:i/>
                <w:iCs/>
                <w:color w:val="000000"/>
                <w:sz w:val="18"/>
                <w:szCs w:val="18"/>
                <w:u w:val="none"/>
              </w:rPr>
            </w:pPr>
          </w:p>
        </w:tc>
      </w:tr>
      <w:tr w14:paraId="19128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4D9CA7">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9FA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66D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96E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8294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964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7B8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B71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A8222A">
            <w:pPr>
              <w:rPr>
                <w:rFonts w:hint="eastAsia" w:ascii="黑体" w:hAnsi="黑体" w:eastAsia="黑体" w:cs="黑体"/>
                <w:i/>
                <w:iCs/>
                <w:color w:val="000000"/>
                <w:sz w:val="18"/>
                <w:szCs w:val="18"/>
                <w:u w:val="none"/>
              </w:rPr>
            </w:pPr>
          </w:p>
        </w:tc>
      </w:tr>
      <w:tr w14:paraId="56E26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FE3E61">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E15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690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776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1B38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645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93E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CCE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A8DE7F">
            <w:pPr>
              <w:rPr>
                <w:rFonts w:hint="eastAsia" w:ascii="黑体" w:hAnsi="黑体" w:eastAsia="黑体" w:cs="黑体"/>
                <w:i/>
                <w:iCs/>
                <w:color w:val="000000"/>
                <w:sz w:val="18"/>
                <w:szCs w:val="18"/>
                <w:u w:val="none"/>
              </w:rPr>
            </w:pPr>
          </w:p>
        </w:tc>
      </w:tr>
      <w:tr w14:paraId="37809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EF70C9">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82F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CA4EE">
            <w:pPr>
              <w:jc w:val="center"/>
              <w:rPr>
                <w:rFonts w:hint="eastAsia" w:ascii="微软雅黑" w:hAnsi="微软雅黑" w:eastAsia="微软雅黑" w:cs="微软雅黑"/>
                <w:i/>
                <w:iCs/>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A883F">
            <w:pPr>
              <w:jc w:val="center"/>
              <w:rPr>
                <w:rFonts w:hint="eastAsia" w:ascii="微软雅黑" w:hAnsi="微软雅黑" w:eastAsia="微软雅黑" w:cs="微软雅黑"/>
                <w:i/>
                <w:iCs/>
                <w:color w:val="000000"/>
                <w:sz w:val="16"/>
                <w:szCs w:val="16"/>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657823">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13A5B">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28D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053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9024D4">
            <w:pPr>
              <w:rPr>
                <w:rFonts w:hint="eastAsia" w:ascii="黑体" w:hAnsi="黑体" w:eastAsia="黑体" w:cs="黑体"/>
                <w:i/>
                <w:iCs/>
                <w:color w:val="000000"/>
                <w:sz w:val="18"/>
                <w:szCs w:val="18"/>
                <w:u w:val="none"/>
              </w:rPr>
            </w:pPr>
          </w:p>
        </w:tc>
      </w:tr>
      <w:tr w14:paraId="212C9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8A07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146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5A3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91F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6BC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7DA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CD8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357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3B9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F2C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5A0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74C0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11F637">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6180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BB3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03C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50家企业提供900个岗位</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E3D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8F6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B0B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ACD69">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487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02231">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F6AC0">
            <w:pPr>
              <w:jc w:val="center"/>
              <w:rPr>
                <w:rFonts w:hint="eastAsia" w:ascii="微软雅黑" w:hAnsi="微软雅黑" w:eastAsia="微软雅黑" w:cs="微软雅黑"/>
                <w:i/>
                <w:iCs/>
                <w:color w:val="000000"/>
                <w:sz w:val="16"/>
                <w:szCs w:val="16"/>
                <w:u w:val="none"/>
              </w:rPr>
            </w:pPr>
          </w:p>
        </w:tc>
      </w:tr>
      <w:tr w14:paraId="2D898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0C98B1">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8D8ED7">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161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230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投简历1000人以上</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28D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FB9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8EA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份</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67CBB">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5A7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74F35">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C5474">
            <w:pPr>
              <w:jc w:val="center"/>
              <w:rPr>
                <w:rFonts w:hint="eastAsia" w:ascii="微软雅黑" w:hAnsi="微软雅黑" w:eastAsia="微软雅黑" w:cs="微软雅黑"/>
                <w:i/>
                <w:iCs/>
                <w:color w:val="000000"/>
                <w:sz w:val="16"/>
                <w:szCs w:val="16"/>
                <w:u w:val="none"/>
              </w:rPr>
            </w:pPr>
          </w:p>
        </w:tc>
      </w:tr>
      <w:tr w14:paraId="1266F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CB6380">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6661B5">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5FF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516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6月底之前和10月底之前</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E72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9B4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174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16CF8">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715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736FD">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62EF6">
            <w:pPr>
              <w:jc w:val="center"/>
              <w:rPr>
                <w:rFonts w:hint="eastAsia" w:ascii="微软雅黑" w:hAnsi="微软雅黑" w:eastAsia="微软雅黑" w:cs="微软雅黑"/>
                <w:i/>
                <w:iCs/>
                <w:color w:val="000000"/>
                <w:sz w:val="16"/>
                <w:szCs w:val="16"/>
                <w:u w:val="none"/>
              </w:rPr>
            </w:pPr>
          </w:p>
        </w:tc>
      </w:tr>
      <w:tr w14:paraId="65F97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685208">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4199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708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929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不少于500人就业</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8F6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F88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B44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人/户</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79D8C">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80A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F1C2F">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78CD1">
            <w:pPr>
              <w:jc w:val="center"/>
              <w:rPr>
                <w:rFonts w:hint="eastAsia" w:ascii="微软雅黑" w:hAnsi="微软雅黑" w:eastAsia="微软雅黑" w:cs="微软雅黑"/>
                <w:i/>
                <w:iCs/>
                <w:color w:val="000000"/>
                <w:sz w:val="16"/>
                <w:szCs w:val="16"/>
                <w:u w:val="none"/>
              </w:rPr>
            </w:pPr>
          </w:p>
        </w:tc>
      </w:tr>
      <w:tr w14:paraId="12074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DA5D9A">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73EDE1">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91A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878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为2000千人提供服务</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9AF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16B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59A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D99F5">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F98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2A43B">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2B428">
            <w:pPr>
              <w:jc w:val="center"/>
              <w:rPr>
                <w:rFonts w:hint="eastAsia" w:ascii="微软雅黑" w:hAnsi="微软雅黑" w:eastAsia="微软雅黑" w:cs="微软雅黑"/>
                <w:i/>
                <w:iCs/>
                <w:color w:val="000000"/>
                <w:sz w:val="16"/>
                <w:szCs w:val="16"/>
                <w:u w:val="none"/>
              </w:rPr>
            </w:pPr>
          </w:p>
        </w:tc>
      </w:tr>
      <w:tr w14:paraId="10B93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01EE0B">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B0FA54">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450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EFB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为未就业学生提供就业</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146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E96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E69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1AF26">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FCC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BFD2C">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F4729">
            <w:pPr>
              <w:jc w:val="center"/>
              <w:rPr>
                <w:rFonts w:hint="eastAsia" w:ascii="微软雅黑" w:hAnsi="微软雅黑" w:eastAsia="微软雅黑" w:cs="微软雅黑"/>
                <w:i/>
                <w:iCs/>
                <w:color w:val="000000"/>
                <w:sz w:val="16"/>
                <w:szCs w:val="16"/>
                <w:u w:val="none"/>
              </w:rPr>
            </w:pPr>
          </w:p>
        </w:tc>
      </w:tr>
      <w:tr w14:paraId="28CAD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8D493C">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14C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DD7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D18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对求职者满意度达到%90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F34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629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C71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43EEB">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F61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09572">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723D3">
            <w:pPr>
              <w:jc w:val="center"/>
              <w:rPr>
                <w:rFonts w:hint="eastAsia" w:ascii="微软雅黑" w:hAnsi="微软雅黑" w:eastAsia="微软雅黑" w:cs="微软雅黑"/>
                <w:i/>
                <w:iCs/>
                <w:color w:val="000000"/>
                <w:sz w:val="16"/>
                <w:szCs w:val="16"/>
                <w:u w:val="none"/>
              </w:rPr>
            </w:pPr>
          </w:p>
        </w:tc>
      </w:tr>
      <w:tr w14:paraId="44D0D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209829">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5FD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D10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社会成本指标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A63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提供公共服务</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C19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759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92C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场次</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8C363">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0B8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DE940">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7467F">
            <w:pPr>
              <w:jc w:val="center"/>
              <w:rPr>
                <w:rFonts w:hint="eastAsia" w:ascii="微软雅黑" w:hAnsi="微软雅黑" w:eastAsia="微软雅黑" w:cs="微软雅黑"/>
                <w:i/>
                <w:iCs/>
                <w:color w:val="000000"/>
                <w:sz w:val="16"/>
                <w:szCs w:val="16"/>
                <w:u w:val="none"/>
              </w:rPr>
            </w:pPr>
          </w:p>
        </w:tc>
      </w:tr>
      <w:tr w14:paraId="08BF3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57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113A0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477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6C6EE">
            <w:pP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B67FC">
            <w:pPr>
              <w:rPr>
                <w:rFonts w:hint="eastAsia" w:ascii="宋体" w:hAnsi="宋体" w:eastAsia="宋体" w:cs="宋体"/>
                <w:i w:val="0"/>
                <w:iCs w:val="0"/>
                <w:color w:val="000000"/>
                <w:sz w:val="18"/>
                <w:szCs w:val="18"/>
                <w:u w:val="none"/>
              </w:rPr>
            </w:pPr>
          </w:p>
        </w:tc>
      </w:tr>
      <w:tr w14:paraId="6D19E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759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5F6FD4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34D35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93E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5D9C89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197A5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990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BB9CB3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28FC3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tcBorders>
              <w:top w:val="nil"/>
              <w:left w:val="nil"/>
              <w:bottom w:val="nil"/>
              <w:right w:val="nil"/>
            </w:tcBorders>
            <w:shd w:val="clear" w:color="auto" w:fill="auto"/>
            <w:vAlign w:val="center"/>
          </w:tcPr>
          <w:p w14:paraId="73D3063D">
            <w:pPr>
              <w:rPr>
                <w:rFonts w:hint="eastAsia" w:ascii="宋体" w:hAnsi="宋体" w:eastAsia="宋体" w:cs="宋体"/>
                <w:i w:val="0"/>
                <w:iCs w:val="0"/>
                <w:color w:val="000000"/>
                <w:sz w:val="18"/>
                <w:szCs w:val="18"/>
                <w:u w:val="none"/>
              </w:rPr>
            </w:pPr>
          </w:p>
        </w:tc>
        <w:tc>
          <w:tcPr>
            <w:tcW w:w="2048" w:type="dxa"/>
            <w:tcBorders>
              <w:top w:val="nil"/>
              <w:left w:val="nil"/>
              <w:bottom w:val="nil"/>
              <w:right w:val="nil"/>
            </w:tcBorders>
            <w:shd w:val="clear" w:color="auto" w:fill="auto"/>
            <w:vAlign w:val="center"/>
          </w:tcPr>
          <w:p w14:paraId="72D86017">
            <w:pPr>
              <w:rPr>
                <w:rFonts w:hint="eastAsia" w:ascii="宋体" w:hAnsi="宋体" w:eastAsia="宋体" w:cs="宋体"/>
                <w:i w:val="0"/>
                <w:iCs w:val="0"/>
                <w:color w:val="000000"/>
                <w:sz w:val="18"/>
                <w:szCs w:val="18"/>
                <w:u w:val="none"/>
              </w:rPr>
            </w:pPr>
          </w:p>
        </w:tc>
        <w:tc>
          <w:tcPr>
            <w:tcW w:w="1764" w:type="dxa"/>
            <w:tcBorders>
              <w:top w:val="nil"/>
              <w:left w:val="nil"/>
              <w:bottom w:val="nil"/>
              <w:right w:val="nil"/>
            </w:tcBorders>
            <w:shd w:val="clear" w:color="auto" w:fill="auto"/>
            <w:vAlign w:val="center"/>
          </w:tcPr>
          <w:p w14:paraId="43BF7DAF">
            <w:pPr>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vAlign w:val="center"/>
          </w:tcPr>
          <w:p w14:paraId="6D9303FC">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0F329866">
            <w:pPr>
              <w:rPr>
                <w:rFonts w:hint="eastAsia" w:ascii="宋体" w:hAnsi="宋体" w:eastAsia="宋体" w:cs="宋体"/>
                <w:i w:val="0"/>
                <w:iCs w:val="0"/>
                <w:color w:val="000000"/>
                <w:sz w:val="18"/>
                <w:szCs w:val="18"/>
                <w:u w:val="none"/>
              </w:rPr>
            </w:pPr>
          </w:p>
        </w:tc>
        <w:tc>
          <w:tcPr>
            <w:tcW w:w="1674" w:type="dxa"/>
            <w:tcBorders>
              <w:top w:val="nil"/>
              <w:left w:val="nil"/>
              <w:bottom w:val="nil"/>
              <w:right w:val="nil"/>
            </w:tcBorders>
            <w:shd w:val="clear" w:color="auto" w:fill="auto"/>
            <w:vAlign w:val="center"/>
          </w:tcPr>
          <w:p w14:paraId="23CC07B8">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0FFBBD85">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7D3C047B">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4769EF02">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21F53BF0">
            <w:pPr>
              <w:rPr>
                <w:rFonts w:hint="eastAsia" w:ascii="宋体" w:hAnsi="宋体" w:eastAsia="宋体" w:cs="宋体"/>
                <w:i w:val="0"/>
                <w:iCs w:val="0"/>
                <w:color w:val="000000"/>
                <w:sz w:val="18"/>
                <w:szCs w:val="18"/>
                <w:u w:val="none"/>
              </w:rPr>
            </w:pPr>
          </w:p>
        </w:tc>
        <w:tc>
          <w:tcPr>
            <w:tcW w:w="2541" w:type="dxa"/>
            <w:tcBorders>
              <w:top w:val="nil"/>
              <w:left w:val="nil"/>
              <w:bottom w:val="nil"/>
              <w:right w:val="nil"/>
            </w:tcBorders>
            <w:shd w:val="clear" w:color="auto" w:fill="auto"/>
            <w:vAlign w:val="center"/>
          </w:tcPr>
          <w:p w14:paraId="5EA0AEDD">
            <w:pPr>
              <w:rPr>
                <w:rFonts w:hint="eastAsia" w:ascii="宋体" w:hAnsi="宋体" w:eastAsia="宋体" w:cs="宋体"/>
                <w:i w:val="0"/>
                <w:iCs w:val="0"/>
                <w:color w:val="000000"/>
                <w:sz w:val="18"/>
                <w:szCs w:val="18"/>
                <w:u w:val="none"/>
              </w:rPr>
            </w:pPr>
          </w:p>
        </w:tc>
      </w:tr>
      <w:tr w14:paraId="10E6D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CB82651">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90AC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02E6E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5FEB7D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51320024T000010645020-“一卡通”平台运维服务及业务培训费等</w:t>
            </w:r>
          </w:p>
        </w:tc>
      </w:tr>
      <w:tr w14:paraId="0267A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DA001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39245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州人社局部门</w:t>
            </w:r>
          </w:p>
        </w:tc>
        <w:tc>
          <w:tcPr>
            <w:tcW w:w="1095" w:type="dxa"/>
            <w:tcBorders>
              <w:top w:val="nil"/>
              <w:left w:val="nil"/>
              <w:bottom w:val="nil"/>
              <w:right w:val="nil"/>
            </w:tcBorders>
            <w:shd w:val="clear" w:color="auto" w:fill="auto"/>
            <w:vAlign w:val="center"/>
          </w:tcPr>
          <w:p w14:paraId="0E311CF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FB3D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w:t>
            </w:r>
          </w:p>
        </w:tc>
      </w:tr>
      <w:tr w14:paraId="03ECC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7CD1D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B4B31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C20D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5C72BA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D058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A7CBD7">
            <w:pP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89EC03">
            <w:pPr>
              <w:rPr>
                <w:rFonts w:hint="eastAsia" w:ascii="宋体" w:hAnsi="宋体" w:eastAsia="宋体" w:cs="宋体"/>
                <w:i w:val="0"/>
                <w:iCs w:val="0"/>
                <w:color w:val="000000"/>
                <w:sz w:val="18"/>
                <w:szCs w:val="18"/>
                <w:u w:val="none"/>
              </w:rPr>
            </w:pP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2AD25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省纪委监委、省财政厅、省人社厅、省审计厅、四川银监局《关于印发&lt;惠民惠农财政补贴资金社会保障卡“一卡通”试点方案&gt;的通知》（川财办〔2018〕61号）、省人社厅《关于做好惠民惠农财政补贴资金社会保障卡“一卡通”有关于工作的通知》（川人社办发〔2018〕207号）和州纪委监委、州财政局、州人社局、州审计局、阿坝银保监分局《关于印发&lt;阿坝州惠民惠农财政补贴资金社会保障卡“一卡通”试点方案&gt;的通知》（阿州财〔2019〕32号），确保阿坝州惠民惠农“一卡通”发放监管平台和阳光审批平台正常、安全、稳定运行，为阿坝州惠民惠农财政补贴资金按时发放提供信息化支撑。</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6E12D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确保了阿坝州惠民惠农“一卡通”发放监管平台和阳光审批平台正常、安全、稳定运行，为阿坝州惠民惠农财政补贴资金按时发放提供信息化支撑。</w:t>
            </w:r>
          </w:p>
        </w:tc>
      </w:tr>
      <w:tr w14:paraId="3E5D8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E024A7">
            <w:pP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5BF6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FEC9856">
            <w:pPr>
              <w:rPr>
                <w:rFonts w:hint="eastAsia" w:ascii="宋体" w:hAnsi="宋体" w:eastAsia="宋体" w:cs="宋体"/>
                <w:i w:val="0"/>
                <w:iCs w:val="0"/>
                <w:color w:val="000000"/>
                <w:sz w:val="18"/>
                <w:szCs w:val="18"/>
                <w:u w:val="none"/>
              </w:rPr>
            </w:pPr>
          </w:p>
        </w:tc>
      </w:tr>
      <w:tr w14:paraId="43DF0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5A08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E45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4E8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243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136C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2DB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FA1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75C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94A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107A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989908">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52B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AC5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747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89.35</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173F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89.35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239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15F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AA6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77C3CB">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AB77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091F05">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F6B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CC2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155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89.35</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BE18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89.35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3B5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32B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765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1D0776">
            <w:pPr>
              <w:rPr>
                <w:rFonts w:hint="eastAsia" w:ascii="黑体" w:hAnsi="黑体" w:eastAsia="黑体" w:cs="黑体"/>
                <w:i/>
                <w:iCs/>
                <w:color w:val="000000"/>
                <w:sz w:val="18"/>
                <w:szCs w:val="18"/>
                <w:u w:val="none"/>
              </w:rPr>
            </w:pPr>
          </w:p>
        </w:tc>
      </w:tr>
      <w:tr w14:paraId="7F480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6B5A08">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DDA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A37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CEF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DEB9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819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704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EA2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78B885">
            <w:pPr>
              <w:rPr>
                <w:rFonts w:hint="eastAsia" w:ascii="黑体" w:hAnsi="黑体" w:eastAsia="黑体" w:cs="黑体"/>
                <w:i/>
                <w:iCs/>
                <w:color w:val="000000"/>
                <w:sz w:val="18"/>
                <w:szCs w:val="18"/>
                <w:u w:val="none"/>
              </w:rPr>
            </w:pPr>
          </w:p>
        </w:tc>
      </w:tr>
      <w:tr w14:paraId="3E732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B48741">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1C5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96C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9AC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866D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2DB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295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036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02AB85">
            <w:pPr>
              <w:rPr>
                <w:rFonts w:hint="eastAsia" w:ascii="黑体" w:hAnsi="黑体" w:eastAsia="黑体" w:cs="黑体"/>
                <w:i/>
                <w:iCs/>
                <w:color w:val="000000"/>
                <w:sz w:val="18"/>
                <w:szCs w:val="18"/>
                <w:u w:val="none"/>
              </w:rPr>
            </w:pPr>
          </w:p>
        </w:tc>
      </w:tr>
      <w:tr w14:paraId="11958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C55177">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A4B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C7722">
            <w:pPr>
              <w:jc w:val="center"/>
              <w:rPr>
                <w:rFonts w:hint="eastAsia" w:ascii="微软雅黑" w:hAnsi="微软雅黑" w:eastAsia="微软雅黑" w:cs="微软雅黑"/>
                <w:i/>
                <w:iCs/>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F7EA6">
            <w:pPr>
              <w:jc w:val="center"/>
              <w:rPr>
                <w:rFonts w:hint="eastAsia" w:ascii="微软雅黑" w:hAnsi="微软雅黑" w:eastAsia="微软雅黑" w:cs="微软雅黑"/>
                <w:i/>
                <w:iCs/>
                <w:color w:val="000000"/>
                <w:sz w:val="16"/>
                <w:szCs w:val="16"/>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494584">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497DF">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7A9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23D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14EAD7">
            <w:pPr>
              <w:rPr>
                <w:rFonts w:hint="eastAsia" w:ascii="黑体" w:hAnsi="黑体" w:eastAsia="黑体" w:cs="黑体"/>
                <w:i/>
                <w:iCs/>
                <w:color w:val="000000"/>
                <w:sz w:val="18"/>
                <w:szCs w:val="18"/>
                <w:u w:val="none"/>
              </w:rPr>
            </w:pPr>
          </w:p>
        </w:tc>
      </w:tr>
      <w:tr w14:paraId="3CEB5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FE29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E2C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A1F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B22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5F3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A81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977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327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7BB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B5A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E58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0E67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CB58D0">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FE8A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7C1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665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业务培训批次</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527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08B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318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批次</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A8C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304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B23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252D1">
            <w:pPr>
              <w:jc w:val="center"/>
              <w:rPr>
                <w:rFonts w:hint="eastAsia" w:ascii="微软雅黑" w:hAnsi="微软雅黑" w:eastAsia="微软雅黑" w:cs="微软雅黑"/>
                <w:i/>
                <w:iCs/>
                <w:color w:val="000000"/>
                <w:sz w:val="16"/>
                <w:szCs w:val="16"/>
                <w:u w:val="none"/>
              </w:rPr>
            </w:pPr>
          </w:p>
        </w:tc>
      </w:tr>
      <w:tr w14:paraId="3CDDD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6614D">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BEAF1B">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F22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F04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培训合格率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484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6E1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745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B27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A90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D68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864D5">
            <w:pPr>
              <w:jc w:val="center"/>
              <w:rPr>
                <w:rFonts w:hint="eastAsia" w:ascii="微软雅黑" w:hAnsi="微软雅黑" w:eastAsia="微软雅黑" w:cs="微软雅黑"/>
                <w:i/>
                <w:iCs/>
                <w:color w:val="000000"/>
                <w:sz w:val="16"/>
                <w:szCs w:val="16"/>
                <w:u w:val="none"/>
              </w:rPr>
            </w:pPr>
          </w:p>
        </w:tc>
      </w:tr>
      <w:tr w14:paraId="492E0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735157">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8FD0A6">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9B7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507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该项目将于2024年11月底前完成</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AD3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136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及时完成</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B809A">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C0D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及时完成</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804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7EF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7544F">
            <w:pPr>
              <w:jc w:val="center"/>
              <w:rPr>
                <w:rFonts w:hint="eastAsia" w:ascii="微软雅黑" w:hAnsi="微软雅黑" w:eastAsia="微软雅黑" w:cs="微软雅黑"/>
                <w:i/>
                <w:iCs/>
                <w:color w:val="000000"/>
                <w:sz w:val="16"/>
                <w:szCs w:val="16"/>
                <w:u w:val="none"/>
              </w:rPr>
            </w:pPr>
          </w:p>
        </w:tc>
      </w:tr>
      <w:tr w14:paraId="2AFD8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A10035">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805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7BF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5B8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为惠民惠农财政补贴资金发放提供信息化支撑。</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CCD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D8F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有效提高</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DC1CF">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B3C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有效提高</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93A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1BB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F0870">
            <w:pPr>
              <w:jc w:val="center"/>
              <w:rPr>
                <w:rFonts w:hint="eastAsia" w:ascii="微软雅黑" w:hAnsi="微软雅黑" w:eastAsia="微软雅黑" w:cs="微软雅黑"/>
                <w:i/>
                <w:iCs/>
                <w:color w:val="000000"/>
                <w:sz w:val="16"/>
                <w:szCs w:val="16"/>
                <w:u w:val="none"/>
              </w:rPr>
            </w:pPr>
          </w:p>
        </w:tc>
      </w:tr>
      <w:tr w14:paraId="78B87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D2F16">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D07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2DD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CD6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社会公众对该项服务的满意度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774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CDF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A94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5F1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669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2B8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2C6F3">
            <w:pPr>
              <w:jc w:val="center"/>
              <w:rPr>
                <w:rFonts w:hint="eastAsia" w:ascii="微软雅黑" w:hAnsi="微软雅黑" w:eastAsia="微软雅黑" w:cs="微软雅黑"/>
                <w:i/>
                <w:iCs/>
                <w:color w:val="000000"/>
                <w:sz w:val="16"/>
                <w:szCs w:val="16"/>
                <w:u w:val="none"/>
              </w:rPr>
            </w:pPr>
          </w:p>
        </w:tc>
      </w:tr>
      <w:tr w14:paraId="67087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04F50F">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B31E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A36D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09E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048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08E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DE5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188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24B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12D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46A86">
            <w:pPr>
              <w:jc w:val="center"/>
              <w:rPr>
                <w:rFonts w:hint="eastAsia" w:ascii="微软雅黑" w:hAnsi="微软雅黑" w:eastAsia="微软雅黑" w:cs="微软雅黑"/>
                <w:i/>
                <w:iCs/>
                <w:color w:val="000000"/>
                <w:sz w:val="16"/>
                <w:szCs w:val="16"/>
                <w:u w:val="none"/>
              </w:rPr>
            </w:pPr>
          </w:p>
        </w:tc>
      </w:tr>
      <w:tr w14:paraId="65C4A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73437E">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F7E23A">
            <w:pPr>
              <w:jc w:val="center"/>
              <w:rPr>
                <w:rFonts w:hint="eastAsia" w:ascii="宋体" w:hAnsi="宋体" w:eastAsia="宋体" w:cs="宋体"/>
                <w:i w:val="0"/>
                <w:iCs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FEFB08">
            <w:pPr>
              <w:jc w:val="center"/>
              <w:rPr>
                <w:rFonts w:hint="eastAsia" w:ascii="宋体" w:hAnsi="宋体" w:eastAsia="宋体" w:cs="宋体"/>
                <w:i w:val="0"/>
                <w:iCs w:val="0"/>
                <w:color w:val="000000"/>
                <w:sz w:val="18"/>
                <w:szCs w:val="18"/>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562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维修（护）费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8AF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4FE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980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D34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A4D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376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C5A1E">
            <w:pPr>
              <w:jc w:val="center"/>
              <w:rPr>
                <w:rFonts w:hint="eastAsia" w:ascii="微软雅黑" w:hAnsi="微软雅黑" w:eastAsia="微软雅黑" w:cs="微软雅黑"/>
                <w:i/>
                <w:iCs/>
                <w:color w:val="000000"/>
                <w:sz w:val="16"/>
                <w:szCs w:val="16"/>
                <w:u w:val="none"/>
              </w:rPr>
            </w:pPr>
          </w:p>
        </w:tc>
      </w:tr>
      <w:tr w14:paraId="27441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57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210BD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E10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DCB15">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43157">
            <w:pPr>
              <w:rPr>
                <w:rFonts w:hint="eastAsia" w:ascii="宋体" w:hAnsi="宋体" w:eastAsia="宋体" w:cs="宋体"/>
                <w:i w:val="0"/>
                <w:iCs w:val="0"/>
                <w:color w:val="000000"/>
                <w:sz w:val="18"/>
                <w:szCs w:val="18"/>
                <w:u w:val="none"/>
              </w:rPr>
            </w:pPr>
          </w:p>
        </w:tc>
      </w:tr>
      <w:tr w14:paraId="723D8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13E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BD7C0E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达到工作预期，确保了阿坝州惠民惠农“一卡通”发放监管平台和阳光审批平台正常、安全、稳定运行，为阿坝州惠民惠农财政补贴资金按时发放提供信息化支撑。</w:t>
            </w:r>
          </w:p>
        </w:tc>
      </w:tr>
      <w:tr w14:paraId="79AB6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65A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632791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DBCC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D05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C68559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3192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89" w:type="dxa"/>
            <w:tcBorders>
              <w:top w:val="nil"/>
              <w:left w:val="nil"/>
              <w:bottom w:val="nil"/>
              <w:right w:val="nil"/>
            </w:tcBorders>
            <w:shd w:val="clear" w:color="auto" w:fill="auto"/>
            <w:vAlign w:val="center"/>
          </w:tcPr>
          <w:p w14:paraId="58827C29">
            <w:pPr>
              <w:rPr>
                <w:rFonts w:hint="eastAsia" w:ascii="宋体" w:hAnsi="宋体" w:eastAsia="宋体" w:cs="宋体"/>
                <w:i w:val="0"/>
                <w:iCs w:val="0"/>
                <w:color w:val="000000"/>
                <w:sz w:val="18"/>
                <w:szCs w:val="18"/>
                <w:u w:val="none"/>
              </w:rPr>
            </w:pPr>
          </w:p>
        </w:tc>
        <w:tc>
          <w:tcPr>
            <w:tcW w:w="2048" w:type="dxa"/>
            <w:tcBorders>
              <w:top w:val="nil"/>
              <w:left w:val="nil"/>
              <w:bottom w:val="nil"/>
              <w:right w:val="nil"/>
            </w:tcBorders>
            <w:shd w:val="clear" w:color="auto" w:fill="auto"/>
            <w:vAlign w:val="center"/>
          </w:tcPr>
          <w:p w14:paraId="28C8BC3B">
            <w:pPr>
              <w:rPr>
                <w:rFonts w:hint="eastAsia" w:ascii="宋体" w:hAnsi="宋体" w:eastAsia="宋体" w:cs="宋体"/>
                <w:i w:val="0"/>
                <w:iCs w:val="0"/>
                <w:color w:val="000000"/>
                <w:sz w:val="18"/>
                <w:szCs w:val="18"/>
                <w:u w:val="none"/>
              </w:rPr>
            </w:pPr>
          </w:p>
        </w:tc>
        <w:tc>
          <w:tcPr>
            <w:tcW w:w="1764" w:type="dxa"/>
            <w:tcBorders>
              <w:top w:val="nil"/>
              <w:left w:val="nil"/>
              <w:bottom w:val="nil"/>
              <w:right w:val="nil"/>
            </w:tcBorders>
            <w:shd w:val="clear" w:color="auto" w:fill="auto"/>
            <w:vAlign w:val="center"/>
          </w:tcPr>
          <w:p w14:paraId="6BD9AE55">
            <w:pPr>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vAlign w:val="center"/>
          </w:tcPr>
          <w:p w14:paraId="1C4A6C46">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1B9635D8">
            <w:pPr>
              <w:rPr>
                <w:rFonts w:hint="eastAsia" w:ascii="宋体" w:hAnsi="宋体" w:eastAsia="宋体" w:cs="宋体"/>
                <w:i w:val="0"/>
                <w:iCs w:val="0"/>
                <w:color w:val="000000"/>
                <w:sz w:val="18"/>
                <w:szCs w:val="18"/>
                <w:u w:val="none"/>
              </w:rPr>
            </w:pPr>
          </w:p>
        </w:tc>
        <w:tc>
          <w:tcPr>
            <w:tcW w:w="1674" w:type="dxa"/>
            <w:tcBorders>
              <w:top w:val="nil"/>
              <w:left w:val="nil"/>
              <w:bottom w:val="nil"/>
              <w:right w:val="nil"/>
            </w:tcBorders>
            <w:shd w:val="clear" w:color="auto" w:fill="auto"/>
            <w:vAlign w:val="center"/>
          </w:tcPr>
          <w:p w14:paraId="50DA100D">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1FFD1470">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62141966">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31C67E85">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01EB4F83">
            <w:pPr>
              <w:rPr>
                <w:rFonts w:hint="eastAsia" w:ascii="宋体" w:hAnsi="宋体" w:eastAsia="宋体" w:cs="宋体"/>
                <w:i w:val="0"/>
                <w:iCs w:val="0"/>
                <w:color w:val="000000"/>
                <w:sz w:val="18"/>
                <w:szCs w:val="18"/>
                <w:u w:val="none"/>
              </w:rPr>
            </w:pPr>
          </w:p>
        </w:tc>
        <w:tc>
          <w:tcPr>
            <w:tcW w:w="2541" w:type="dxa"/>
            <w:tcBorders>
              <w:top w:val="nil"/>
              <w:left w:val="nil"/>
              <w:bottom w:val="nil"/>
              <w:right w:val="nil"/>
            </w:tcBorders>
            <w:shd w:val="clear" w:color="auto" w:fill="auto"/>
            <w:vAlign w:val="center"/>
          </w:tcPr>
          <w:p w14:paraId="437E0FE7">
            <w:pPr>
              <w:rPr>
                <w:rFonts w:hint="eastAsia" w:ascii="宋体" w:hAnsi="宋体" w:eastAsia="宋体" w:cs="宋体"/>
                <w:i w:val="0"/>
                <w:iCs w:val="0"/>
                <w:color w:val="000000"/>
                <w:sz w:val="18"/>
                <w:szCs w:val="18"/>
                <w:u w:val="none"/>
              </w:rPr>
            </w:pPr>
          </w:p>
        </w:tc>
      </w:tr>
      <w:tr w14:paraId="6E05E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6CEB744">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5D3F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23904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9E6B40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51320024T000010645656-视频会议系统维保经费</w:t>
            </w:r>
          </w:p>
        </w:tc>
      </w:tr>
      <w:tr w14:paraId="05763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AFC13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63C31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州人社局部门</w:t>
            </w:r>
          </w:p>
        </w:tc>
        <w:tc>
          <w:tcPr>
            <w:tcW w:w="1095" w:type="dxa"/>
            <w:tcBorders>
              <w:top w:val="nil"/>
              <w:left w:val="nil"/>
              <w:bottom w:val="nil"/>
              <w:right w:val="nil"/>
            </w:tcBorders>
            <w:shd w:val="clear" w:color="auto" w:fill="auto"/>
            <w:vAlign w:val="center"/>
          </w:tcPr>
          <w:p w14:paraId="69A2D30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AB8C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w:t>
            </w:r>
          </w:p>
        </w:tc>
      </w:tr>
      <w:tr w14:paraId="08769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3FEF4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37BCF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F0FC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F3FC44A">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3FB8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3"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36B8D4">
            <w:pP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14E731">
            <w:pPr>
              <w:rPr>
                <w:rFonts w:hint="eastAsia" w:ascii="宋体" w:hAnsi="宋体" w:eastAsia="宋体" w:cs="宋体"/>
                <w:i w:val="0"/>
                <w:iCs w:val="0"/>
                <w:color w:val="000000"/>
                <w:sz w:val="18"/>
                <w:szCs w:val="18"/>
                <w:u w:val="none"/>
              </w:rPr>
            </w:pP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8E58D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是保障部-省-州-县（市）人社视频会议系统四级联通，正常、稳定运行。二是派出驻点服务人员1名。三是根据公安部、国家保密局、国家密码管理局、国务院信息化工作办公室《信息安全等级保护管理办法》（公通字2007〔43〕号）要求，为保障人社信息系统安全运行，开展阿坝州金保工程信息系统网络安全等级保护测评工作，确保参保对象数据安全、业务经办环境安全、管理安全。四是开展阿坝州人力资源和社会保障视频会议系统发电机维护保养工作</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66385F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保障了部-省-州-县（市）人社视频会议系统四级联通，正常、稳定运行。保障了人社信息系统安全运行，开展了阿坝州金保工程信息系统网络安全等级保护测评工作，确保了参保对象数据安全、业务经办环境安全、管理安全。</w:t>
            </w:r>
          </w:p>
        </w:tc>
      </w:tr>
      <w:tr w14:paraId="01C83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178275">
            <w:pP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8467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C3DCDF9">
            <w:pPr>
              <w:rPr>
                <w:rFonts w:hint="eastAsia" w:ascii="宋体" w:hAnsi="宋体" w:eastAsia="宋体" w:cs="宋体"/>
                <w:i w:val="0"/>
                <w:iCs w:val="0"/>
                <w:color w:val="000000"/>
                <w:sz w:val="18"/>
                <w:szCs w:val="18"/>
                <w:u w:val="none"/>
              </w:rPr>
            </w:pPr>
          </w:p>
        </w:tc>
      </w:tr>
      <w:tr w14:paraId="1902E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A788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4BB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C7D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66A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17FC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B7B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EAC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B38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061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9D4B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8E00AA">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494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586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687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16.90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E670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16.90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0BF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CF1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24051">
            <w:pPr>
              <w:jc w:val="center"/>
              <w:rPr>
                <w:rFonts w:hint="eastAsia" w:ascii="宋体" w:hAnsi="宋体" w:eastAsia="宋体" w:cs="宋体"/>
                <w:i w:val="0"/>
                <w:iCs w:val="0"/>
                <w:color w:val="000000"/>
                <w:sz w:val="18"/>
                <w:szCs w:val="18"/>
                <w:u w:val="none"/>
              </w:rPr>
            </w:pPr>
          </w:p>
        </w:tc>
        <w:tc>
          <w:tcPr>
            <w:tcW w:w="2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FF2D30">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2FF1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7E17A6">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E45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1F1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649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16.90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BCCA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16.90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1FE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446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018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B728F5">
            <w:pPr>
              <w:rPr>
                <w:rFonts w:hint="eastAsia" w:ascii="黑体" w:hAnsi="黑体" w:eastAsia="黑体" w:cs="黑体"/>
                <w:i/>
                <w:iCs/>
                <w:color w:val="000000"/>
                <w:sz w:val="18"/>
                <w:szCs w:val="18"/>
                <w:u w:val="none"/>
              </w:rPr>
            </w:pPr>
          </w:p>
        </w:tc>
      </w:tr>
      <w:tr w14:paraId="17053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288CEF">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15C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E93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F79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C4DE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770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6DC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B3A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FA3252">
            <w:pPr>
              <w:rPr>
                <w:rFonts w:hint="eastAsia" w:ascii="黑体" w:hAnsi="黑体" w:eastAsia="黑体" w:cs="黑体"/>
                <w:i/>
                <w:iCs/>
                <w:color w:val="000000"/>
                <w:sz w:val="18"/>
                <w:szCs w:val="18"/>
                <w:u w:val="none"/>
              </w:rPr>
            </w:pPr>
          </w:p>
        </w:tc>
      </w:tr>
      <w:tr w14:paraId="2DFA9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4A6218">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CDD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537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864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8445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B38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452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6D4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70DA5C">
            <w:pPr>
              <w:rPr>
                <w:rFonts w:hint="eastAsia" w:ascii="黑体" w:hAnsi="黑体" w:eastAsia="黑体" w:cs="黑体"/>
                <w:i/>
                <w:iCs/>
                <w:color w:val="000000"/>
                <w:sz w:val="18"/>
                <w:szCs w:val="18"/>
                <w:u w:val="none"/>
              </w:rPr>
            </w:pPr>
          </w:p>
        </w:tc>
      </w:tr>
      <w:tr w14:paraId="16669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A48E40">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49E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3382E">
            <w:pPr>
              <w:jc w:val="center"/>
              <w:rPr>
                <w:rFonts w:hint="eastAsia" w:ascii="微软雅黑" w:hAnsi="微软雅黑" w:eastAsia="微软雅黑" w:cs="微软雅黑"/>
                <w:i/>
                <w:iCs/>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5C042">
            <w:pPr>
              <w:jc w:val="center"/>
              <w:rPr>
                <w:rFonts w:hint="eastAsia" w:ascii="微软雅黑" w:hAnsi="微软雅黑" w:eastAsia="微软雅黑" w:cs="微软雅黑"/>
                <w:i/>
                <w:iCs/>
                <w:color w:val="000000"/>
                <w:sz w:val="16"/>
                <w:szCs w:val="16"/>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B6F7DF">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4B3BE">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B13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A32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75B388">
            <w:pPr>
              <w:rPr>
                <w:rFonts w:hint="eastAsia" w:ascii="黑体" w:hAnsi="黑体" w:eastAsia="黑体" w:cs="黑体"/>
                <w:i/>
                <w:iCs/>
                <w:color w:val="000000"/>
                <w:sz w:val="18"/>
                <w:szCs w:val="18"/>
                <w:u w:val="none"/>
              </w:rPr>
            </w:pPr>
          </w:p>
        </w:tc>
      </w:tr>
      <w:tr w14:paraId="0BD92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F115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2B0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264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683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073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F4E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88C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321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DF4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A7A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73A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D749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9C2A25">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866F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63C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5F3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维护保养次数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F21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E67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4C6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0A0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014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A0D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CD064">
            <w:pPr>
              <w:jc w:val="center"/>
              <w:rPr>
                <w:rFonts w:hint="eastAsia" w:ascii="微软雅黑" w:hAnsi="微软雅黑" w:eastAsia="微软雅黑" w:cs="微软雅黑"/>
                <w:i/>
                <w:iCs/>
                <w:color w:val="000000"/>
                <w:sz w:val="16"/>
                <w:szCs w:val="16"/>
                <w:u w:val="none"/>
              </w:rPr>
            </w:pPr>
          </w:p>
        </w:tc>
      </w:tr>
      <w:tr w14:paraId="52A73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89ACBF">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8410DE">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410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4BA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视频会议室会议系统维护保养率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475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14E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E50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006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7C6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5E8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451DA">
            <w:pPr>
              <w:jc w:val="center"/>
              <w:rPr>
                <w:rFonts w:hint="eastAsia" w:ascii="微软雅黑" w:hAnsi="微软雅黑" w:eastAsia="微软雅黑" w:cs="微软雅黑"/>
                <w:i/>
                <w:iCs/>
                <w:color w:val="000000"/>
                <w:sz w:val="16"/>
                <w:szCs w:val="16"/>
                <w:u w:val="none"/>
              </w:rPr>
            </w:pPr>
          </w:p>
        </w:tc>
      </w:tr>
      <w:tr w14:paraId="1BBC3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8FA2C2">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4CFE39">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AAD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E68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该项目将于2024年度11月底前完成</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67A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196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及时完成</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30444">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DA0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及时完成</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8D5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1B6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AFA40">
            <w:pPr>
              <w:jc w:val="center"/>
              <w:rPr>
                <w:rFonts w:hint="eastAsia" w:ascii="微软雅黑" w:hAnsi="微软雅黑" w:eastAsia="微软雅黑" w:cs="微软雅黑"/>
                <w:i/>
                <w:iCs/>
                <w:color w:val="000000"/>
                <w:sz w:val="16"/>
                <w:szCs w:val="16"/>
                <w:u w:val="none"/>
              </w:rPr>
            </w:pPr>
          </w:p>
        </w:tc>
      </w:tr>
      <w:tr w14:paraId="415FF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5B9939">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DF7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459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195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确保参保数据安全，保障参保人员利益</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38D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FB3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有效保障</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B5E5D">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A13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有效保障</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87B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50D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F4B18">
            <w:pPr>
              <w:jc w:val="center"/>
              <w:rPr>
                <w:rFonts w:hint="eastAsia" w:ascii="微软雅黑" w:hAnsi="微软雅黑" w:eastAsia="微软雅黑" w:cs="微软雅黑"/>
                <w:i/>
                <w:iCs/>
                <w:color w:val="000000"/>
                <w:sz w:val="16"/>
                <w:szCs w:val="16"/>
                <w:u w:val="none"/>
              </w:rPr>
            </w:pPr>
          </w:p>
        </w:tc>
      </w:tr>
      <w:tr w14:paraId="09726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9C7528">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EE2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532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3FD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社会公众对相关工作的满意度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BA2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395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89D39">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A19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61C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F8A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18101">
            <w:pPr>
              <w:jc w:val="center"/>
              <w:rPr>
                <w:rFonts w:hint="eastAsia" w:ascii="微软雅黑" w:hAnsi="微软雅黑" w:eastAsia="微软雅黑" w:cs="微软雅黑"/>
                <w:i/>
                <w:iCs/>
                <w:color w:val="000000"/>
                <w:sz w:val="16"/>
                <w:szCs w:val="16"/>
                <w:u w:val="none"/>
              </w:rPr>
            </w:pPr>
          </w:p>
        </w:tc>
      </w:tr>
      <w:tr w14:paraId="6FA06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AD4B14">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D0F8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E788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4FC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视频会议系统维护保养服务项目</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5C5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BA1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1AD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ABD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527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C4A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DF64F">
            <w:pPr>
              <w:jc w:val="center"/>
              <w:rPr>
                <w:rFonts w:hint="eastAsia" w:ascii="微软雅黑" w:hAnsi="微软雅黑" w:eastAsia="微软雅黑" w:cs="微软雅黑"/>
                <w:i/>
                <w:iCs/>
                <w:color w:val="000000"/>
                <w:sz w:val="16"/>
                <w:szCs w:val="16"/>
                <w:u w:val="none"/>
              </w:rPr>
            </w:pPr>
          </w:p>
        </w:tc>
      </w:tr>
      <w:tr w14:paraId="4E2B8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2E44D8">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42120B">
            <w:pPr>
              <w:jc w:val="center"/>
              <w:rPr>
                <w:rFonts w:hint="eastAsia" w:ascii="宋体" w:hAnsi="宋体" w:eastAsia="宋体" w:cs="宋体"/>
                <w:i w:val="0"/>
                <w:iCs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B8D581">
            <w:pPr>
              <w:jc w:val="center"/>
              <w:rPr>
                <w:rFonts w:hint="eastAsia" w:ascii="宋体" w:hAnsi="宋体" w:eastAsia="宋体" w:cs="宋体"/>
                <w:i w:val="0"/>
                <w:iCs w:val="0"/>
                <w:color w:val="000000"/>
                <w:sz w:val="18"/>
                <w:szCs w:val="18"/>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2C0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维修（护）费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FF2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0C3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FB3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1FC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A66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85A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51468">
            <w:pPr>
              <w:jc w:val="center"/>
              <w:rPr>
                <w:rFonts w:hint="eastAsia" w:ascii="微软雅黑" w:hAnsi="微软雅黑" w:eastAsia="微软雅黑" w:cs="微软雅黑"/>
                <w:i/>
                <w:iCs/>
                <w:color w:val="000000"/>
                <w:sz w:val="16"/>
                <w:szCs w:val="16"/>
                <w:u w:val="none"/>
              </w:rPr>
            </w:pPr>
          </w:p>
        </w:tc>
      </w:tr>
      <w:tr w14:paraId="3F7D0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57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1968F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93D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C74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101</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EEC17">
            <w:pPr>
              <w:rPr>
                <w:rFonts w:hint="eastAsia" w:ascii="宋体" w:hAnsi="宋体" w:eastAsia="宋体" w:cs="宋体"/>
                <w:i w:val="0"/>
                <w:iCs w:val="0"/>
                <w:color w:val="000000"/>
                <w:sz w:val="18"/>
                <w:szCs w:val="18"/>
                <w:u w:val="none"/>
              </w:rPr>
            </w:pPr>
          </w:p>
        </w:tc>
      </w:tr>
      <w:tr w14:paraId="47B82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6FF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2A53F2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达到工作预期，保障了部-省-州-县（市）人社视频会议系统四级联通，正常、稳定运行，保障了人社信息系统安全运行。</w:t>
            </w:r>
          </w:p>
        </w:tc>
      </w:tr>
      <w:tr w14:paraId="56288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F18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397711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50C83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A95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C8A9F6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2ABBC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89" w:type="dxa"/>
            <w:tcBorders>
              <w:top w:val="nil"/>
              <w:left w:val="nil"/>
              <w:bottom w:val="nil"/>
              <w:right w:val="nil"/>
            </w:tcBorders>
            <w:shd w:val="clear" w:color="auto" w:fill="auto"/>
            <w:vAlign w:val="center"/>
          </w:tcPr>
          <w:p w14:paraId="71B14F9B">
            <w:pPr>
              <w:rPr>
                <w:rFonts w:hint="eastAsia" w:ascii="宋体" w:hAnsi="宋体" w:eastAsia="宋体" w:cs="宋体"/>
                <w:i w:val="0"/>
                <w:iCs w:val="0"/>
                <w:color w:val="000000"/>
                <w:sz w:val="18"/>
                <w:szCs w:val="18"/>
                <w:u w:val="none"/>
              </w:rPr>
            </w:pPr>
          </w:p>
        </w:tc>
        <w:tc>
          <w:tcPr>
            <w:tcW w:w="2048" w:type="dxa"/>
            <w:tcBorders>
              <w:top w:val="nil"/>
              <w:left w:val="nil"/>
              <w:bottom w:val="nil"/>
              <w:right w:val="nil"/>
            </w:tcBorders>
            <w:shd w:val="clear" w:color="auto" w:fill="auto"/>
            <w:vAlign w:val="center"/>
          </w:tcPr>
          <w:p w14:paraId="0372608D">
            <w:pPr>
              <w:rPr>
                <w:rFonts w:hint="eastAsia" w:ascii="宋体" w:hAnsi="宋体" w:eastAsia="宋体" w:cs="宋体"/>
                <w:i w:val="0"/>
                <w:iCs w:val="0"/>
                <w:color w:val="000000"/>
                <w:sz w:val="18"/>
                <w:szCs w:val="18"/>
                <w:u w:val="none"/>
              </w:rPr>
            </w:pPr>
          </w:p>
        </w:tc>
        <w:tc>
          <w:tcPr>
            <w:tcW w:w="1764" w:type="dxa"/>
            <w:tcBorders>
              <w:top w:val="nil"/>
              <w:left w:val="nil"/>
              <w:bottom w:val="nil"/>
              <w:right w:val="nil"/>
            </w:tcBorders>
            <w:shd w:val="clear" w:color="auto" w:fill="auto"/>
            <w:vAlign w:val="center"/>
          </w:tcPr>
          <w:p w14:paraId="30C69DE8">
            <w:pPr>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vAlign w:val="center"/>
          </w:tcPr>
          <w:p w14:paraId="2A720236">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40F63C89">
            <w:pPr>
              <w:rPr>
                <w:rFonts w:hint="eastAsia" w:ascii="宋体" w:hAnsi="宋体" w:eastAsia="宋体" w:cs="宋体"/>
                <w:i w:val="0"/>
                <w:iCs w:val="0"/>
                <w:color w:val="000000"/>
                <w:sz w:val="18"/>
                <w:szCs w:val="18"/>
                <w:u w:val="none"/>
              </w:rPr>
            </w:pPr>
          </w:p>
        </w:tc>
        <w:tc>
          <w:tcPr>
            <w:tcW w:w="1674" w:type="dxa"/>
            <w:tcBorders>
              <w:top w:val="nil"/>
              <w:left w:val="nil"/>
              <w:bottom w:val="nil"/>
              <w:right w:val="nil"/>
            </w:tcBorders>
            <w:shd w:val="clear" w:color="auto" w:fill="auto"/>
            <w:vAlign w:val="center"/>
          </w:tcPr>
          <w:p w14:paraId="0BA16F71">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328AA4F3">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0D53AB66">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02797D9A">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347B70BB">
            <w:pPr>
              <w:rPr>
                <w:rFonts w:hint="eastAsia" w:ascii="宋体" w:hAnsi="宋体" w:eastAsia="宋体" w:cs="宋体"/>
                <w:i w:val="0"/>
                <w:iCs w:val="0"/>
                <w:color w:val="000000"/>
                <w:sz w:val="18"/>
                <w:szCs w:val="18"/>
                <w:u w:val="none"/>
              </w:rPr>
            </w:pPr>
          </w:p>
        </w:tc>
        <w:tc>
          <w:tcPr>
            <w:tcW w:w="2541" w:type="dxa"/>
            <w:tcBorders>
              <w:top w:val="nil"/>
              <w:left w:val="nil"/>
              <w:bottom w:val="nil"/>
              <w:right w:val="nil"/>
            </w:tcBorders>
            <w:shd w:val="clear" w:color="auto" w:fill="auto"/>
            <w:vAlign w:val="center"/>
          </w:tcPr>
          <w:p w14:paraId="6A00BC27">
            <w:pPr>
              <w:rPr>
                <w:rFonts w:hint="eastAsia" w:ascii="宋体" w:hAnsi="宋体" w:eastAsia="宋体" w:cs="宋体"/>
                <w:i w:val="0"/>
                <w:iCs w:val="0"/>
                <w:color w:val="000000"/>
                <w:sz w:val="18"/>
                <w:szCs w:val="18"/>
                <w:u w:val="none"/>
              </w:rPr>
            </w:pPr>
          </w:p>
        </w:tc>
      </w:tr>
      <w:tr w14:paraId="77FC9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C679F8D">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DFC7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89F52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FFFF00"/>
            <w:vAlign w:val="center"/>
          </w:tcPr>
          <w:p w14:paraId="281CB7F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51320024T000010663198-社保基金监督检查及内部审计</w:t>
            </w:r>
          </w:p>
        </w:tc>
      </w:tr>
      <w:tr w14:paraId="76F78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C4F4C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B77E04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州人社局部门</w:t>
            </w:r>
          </w:p>
        </w:tc>
        <w:tc>
          <w:tcPr>
            <w:tcW w:w="1095" w:type="dxa"/>
            <w:tcBorders>
              <w:top w:val="nil"/>
              <w:left w:val="nil"/>
              <w:bottom w:val="nil"/>
              <w:right w:val="nil"/>
            </w:tcBorders>
            <w:shd w:val="clear" w:color="auto" w:fill="auto"/>
            <w:vAlign w:val="center"/>
          </w:tcPr>
          <w:p w14:paraId="5F8009A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9BF2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w:t>
            </w:r>
          </w:p>
        </w:tc>
      </w:tr>
      <w:tr w14:paraId="72F7A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8AF68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4D56F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42911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185BB0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79CD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6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DA901A">
            <w:pP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903BBE">
            <w:pPr>
              <w:rPr>
                <w:rFonts w:hint="eastAsia" w:ascii="宋体" w:hAnsi="宋体" w:eastAsia="宋体" w:cs="宋体"/>
                <w:i w:val="0"/>
                <w:iCs w:val="0"/>
                <w:color w:val="000000"/>
                <w:sz w:val="18"/>
                <w:szCs w:val="18"/>
                <w:u w:val="none"/>
              </w:rPr>
            </w:pP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75601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一）聘请第三方审计。第三方审计主要采用财务审计和业务检查项结合方式，重点审计基金财务管理和社会保险经办机构风险防控情况等内容。主要采取以下方法进行审计：一是查阅被检查单位的会计资料和业务平台；二是对所经办业务抽查核实；三是检查社会保险经办机构内控制度建设和执行情况、风险防控落实情况。通过财务和业务检查，双管齐下，较全面地了解和掌握社保基金在征缴、支付、管理和审批等方面的情况。                                                                                                                                                                                                   （二）社保基金专项整治、社保基金巩固提升行动等工作业务培训是按照省、州基金监督工作的总体部署，创新监督机制，提高基金监督检查质量，确保高质量完成基金监督各项工作任务的迫切需要。业务培训也是使基金监督工作者提高思想认识、研究问题再深入、专业能力再提升的要求。过培训不断升专业能力、专业素养和专业精神。                                           （三） 社会保险基金监督检查。通过定期或不定期开展社会保险基金监督检查，全面地了解和掌握社保基金在支付、管理和审批等方面的情况，督促社保经办机构依据经办规程办理社保业务，确保基金安全。                                               </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90EF0D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聘请第三方会计师事务所对州社保局、州就业局、金川县和壤塘县开展社会保险各险种及经办机构审计评估。2024年8月13日-16日在茂县举办全州社会保险基金监督工作座谈会议暨社保基金监督管理业务培训会议，进一步加强全州社会保险基金监督专业化队伍建设。全面完成了社会保险基金管理巩固提升行动深化整改阶段7个方面24项内容60条重点工作、持续“以案促改、以案促治”深入推进社保基金管理巩固提升行动6个重点领域整治提升行动和集中开展警示和廉洁文化2个专题教育工作、打击根治骗取社保基金问题自查工作和13县（市）、卧龙社会保险基金管理巩固提升行动交叉评估工作以及2020年-2023年工伤预防费使用和服务合同履行监督工作任务。印发《阿坝州社会保险基金管理巩固提升行动强基固本阶段工作要点》的通知（阿州人社办〔2024〕81号），有序推进强基固本阶段31项重点工作任务。</w:t>
            </w:r>
          </w:p>
        </w:tc>
      </w:tr>
      <w:tr w14:paraId="75778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63C816">
            <w:pP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0210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EC6B65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聘请第三方审计。第三方审计主要采用财务审计和业务检查项结合方式，重点审计基金财务管理和社会保险经办机构风险防控情况等内容。主要采取以下方法进行审计：一是查阅被检查单位的会计资料和业务平台；二是对所经办业务抽查核实；三是检查社会保险经办机构内控制度建设和执行情况、风险防控落实情况。通过财务和业务检查，双管齐下，较全面地了解和掌握社保基金在征缴、支付、管理和审批等方面的情况。2.社会保险基金监督检查。通过定期或不定期开展社会保险基金监督检查，全面地了解和掌握社保基金在支付、管理和审批等方面的情况，督促社保经办机构依据经办规程办理社保业务，确保基金安全。</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3.加强基金监督业务培训是按照省、州基金监督工作的总体部署，创新监督机制，提高基金监督检查质量，确保高质量完成基金监督各项工作任务的迫切需要。业务培训也是使基金监督工作者提高思想认识、研究问题再深入、专业能力再提升的要求。过培训不断升专业能力、专业素养和专业精神。</w:t>
            </w:r>
          </w:p>
        </w:tc>
      </w:tr>
      <w:tr w14:paraId="32EBF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714B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5A6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4D3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FEC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3423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0BC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7FD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31E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4F9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626F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20EFB4">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96B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21E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240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6A01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D01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8B6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F67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154377">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8D38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D07947">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E02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FF3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3AD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3529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CD5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5B6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7F1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C2B396">
            <w:pPr>
              <w:rPr>
                <w:rFonts w:hint="eastAsia" w:ascii="黑体" w:hAnsi="黑体" w:eastAsia="黑体" w:cs="黑体"/>
                <w:i/>
                <w:iCs/>
                <w:color w:val="000000"/>
                <w:sz w:val="18"/>
                <w:szCs w:val="18"/>
                <w:u w:val="none"/>
              </w:rPr>
            </w:pPr>
          </w:p>
        </w:tc>
      </w:tr>
      <w:tr w14:paraId="31EF2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EFA5A3">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DA1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36C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672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A4AD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E5C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F83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ED8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D33E0">
            <w:pPr>
              <w:rPr>
                <w:rFonts w:hint="eastAsia" w:ascii="黑体" w:hAnsi="黑体" w:eastAsia="黑体" w:cs="黑体"/>
                <w:i/>
                <w:iCs/>
                <w:color w:val="000000"/>
                <w:sz w:val="18"/>
                <w:szCs w:val="18"/>
                <w:u w:val="none"/>
              </w:rPr>
            </w:pPr>
          </w:p>
        </w:tc>
      </w:tr>
      <w:tr w14:paraId="4FC82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666272">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177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73C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CB3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B6C8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A8D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A52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00D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623DF5">
            <w:pPr>
              <w:rPr>
                <w:rFonts w:hint="eastAsia" w:ascii="黑体" w:hAnsi="黑体" w:eastAsia="黑体" w:cs="黑体"/>
                <w:i/>
                <w:iCs/>
                <w:color w:val="000000"/>
                <w:sz w:val="18"/>
                <w:szCs w:val="18"/>
                <w:u w:val="none"/>
              </w:rPr>
            </w:pPr>
          </w:p>
        </w:tc>
      </w:tr>
      <w:tr w14:paraId="3730F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D90A55">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86D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63E95">
            <w:pPr>
              <w:jc w:val="center"/>
              <w:rPr>
                <w:rFonts w:hint="eastAsia" w:ascii="微软雅黑" w:hAnsi="微软雅黑" w:eastAsia="微软雅黑" w:cs="微软雅黑"/>
                <w:i/>
                <w:iCs/>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8D336">
            <w:pPr>
              <w:jc w:val="center"/>
              <w:rPr>
                <w:rFonts w:hint="eastAsia" w:ascii="微软雅黑" w:hAnsi="微软雅黑" w:eastAsia="微软雅黑" w:cs="微软雅黑"/>
                <w:i/>
                <w:iCs/>
                <w:color w:val="000000"/>
                <w:sz w:val="16"/>
                <w:szCs w:val="16"/>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80213C">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41805">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F72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B2B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AE35B">
            <w:pPr>
              <w:rPr>
                <w:rFonts w:hint="eastAsia" w:ascii="黑体" w:hAnsi="黑体" w:eastAsia="黑体" w:cs="黑体"/>
                <w:i/>
                <w:iCs/>
                <w:color w:val="000000"/>
                <w:sz w:val="18"/>
                <w:szCs w:val="18"/>
                <w:u w:val="none"/>
              </w:rPr>
            </w:pPr>
          </w:p>
        </w:tc>
      </w:tr>
      <w:tr w14:paraId="2B72C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205B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39A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24F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B53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765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A2E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67C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2DA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CE3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38D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1C2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E7B1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4D222B">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3846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038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BB5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审计、检查、培训次数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F52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CFD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8B5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26B7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556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AEF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8A08E">
            <w:pPr>
              <w:jc w:val="center"/>
              <w:rPr>
                <w:rFonts w:hint="eastAsia" w:ascii="微软雅黑" w:hAnsi="微软雅黑" w:eastAsia="微软雅黑" w:cs="微软雅黑"/>
                <w:i/>
                <w:iCs/>
                <w:color w:val="000000"/>
                <w:sz w:val="16"/>
                <w:szCs w:val="16"/>
                <w:u w:val="none"/>
              </w:rPr>
            </w:pPr>
          </w:p>
        </w:tc>
      </w:tr>
      <w:tr w14:paraId="6FDCF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22DF39">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48D028">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EF2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C6C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保证社保基金安全率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713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0EA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425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45EF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4B7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F84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25FA0">
            <w:pPr>
              <w:jc w:val="center"/>
              <w:rPr>
                <w:rFonts w:hint="eastAsia" w:ascii="微软雅黑" w:hAnsi="微软雅黑" w:eastAsia="微软雅黑" w:cs="微软雅黑"/>
                <w:i/>
                <w:iCs/>
                <w:color w:val="000000"/>
                <w:sz w:val="16"/>
                <w:szCs w:val="16"/>
                <w:u w:val="none"/>
              </w:rPr>
            </w:pPr>
          </w:p>
        </w:tc>
      </w:tr>
      <w:tr w14:paraId="4398A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B79F0E">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BBF693">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12F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B5B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该项目将于2024年11月底前完成</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3C9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7B3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及时完成</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72526">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7C5BA">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C9D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E66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94840">
            <w:pPr>
              <w:jc w:val="center"/>
              <w:rPr>
                <w:rFonts w:hint="eastAsia" w:ascii="微软雅黑" w:hAnsi="微软雅黑" w:eastAsia="微软雅黑" w:cs="微软雅黑"/>
                <w:i/>
                <w:iCs/>
                <w:color w:val="000000"/>
                <w:sz w:val="16"/>
                <w:szCs w:val="16"/>
                <w:u w:val="none"/>
              </w:rPr>
            </w:pPr>
          </w:p>
        </w:tc>
      </w:tr>
      <w:tr w14:paraId="1617B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FD57AB">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A0F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4BA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40F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保证率社保基金的安全性，提高了基金的使用效率。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84D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292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效果显著</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9E03C">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51DF3">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635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84D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7EBD5">
            <w:pPr>
              <w:jc w:val="center"/>
              <w:rPr>
                <w:rFonts w:hint="eastAsia" w:ascii="微软雅黑" w:hAnsi="微软雅黑" w:eastAsia="微软雅黑" w:cs="微软雅黑"/>
                <w:i/>
                <w:iCs/>
                <w:color w:val="000000"/>
                <w:sz w:val="16"/>
                <w:szCs w:val="16"/>
                <w:u w:val="none"/>
              </w:rPr>
            </w:pPr>
          </w:p>
        </w:tc>
      </w:tr>
      <w:tr w14:paraId="2AFE7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CBE545">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315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ECB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318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39E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73C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DF0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7592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98</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F83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5C5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1E73C">
            <w:pPr>
              <w:jc w:val="center"/>
              <w:rPr>
                <w:rFonts w:hint="eastAsia" w:ascii="微软雅黑" w:hAnsi="微软雅黑" w:eastAsia="微软雅黑" w:cs="微软雅黑"/>
                <w:i/>
                <w:iCs/>
                <w:color w:val="000000"/>
                <w:sz w:val="16"/>
                <w:szCs w:val="16"/>
                <w:u w:val="none"/>
              </w:rPr>
            </w:pPr>
          </w:p>
        </w:tc>
      </w:tr>
      <w:tr w14:paraId="5979E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DED90D">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119B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5EFA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AE6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项目总成本</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23D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473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1BC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47A7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FEE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F19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63DF0">
            <w:pPr>
              <w:jc w:val="center"/>
              <w:rPr>
                <w:rFonts w:hint="eastAsia" w:ascii="微软雅黑" w:hAnsi="微软雅黑" w:eastAsia="微软雅黑" w:cs="微软雅黑"/>
                <w:i/>
                <w:iCs/>
                <w:color w:val="000000"/>
                <w:sz w:val="16"/>
                <w:szCs w:val="16"/>
                <w:u w:val="none"/>
              </w:rPr>
            </w:pPr>
          </w:p>
        </w:tc>
      </w:tr>
      <w:tr w14:paraId="5B485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394F5A">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55223C">
            <w:pPr>
              <w:jc w:val="center"/>
              <w:rPr>
                <w:rFonts w:hint="eastAsia" w:ascii="宋体" w:hAnsi="宋体" w:eastAsia="宋体" w:cs="宋体"/>
                <w:i w:val="0"/>
                <w:iCs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3E31E7">
            <w:pPr>
              <w:jc w:val="center"/>
              <w:rPr>
                <w:rFonts w:hint="eastAsia" w:ascii="宋体" w:hAnsi="宋体" w:eastAsia="宋体" w:cs="宋体"/>
                <w:i w:val="0"/>
                <w:iCs w:val="0"/>
                <w:color w:val="000000"/>
                <w:sz w:val="18"/>
                <w:szCs w:val="18"/>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D46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委托业务费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BC3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245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DA3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0ADD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3.35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1B4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1F4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FBC95">
            <w:pPr>
              <w:jc w:val="center"/>
              <w:rPr>
                <w:rFonts w:hint="eastAsia" w:ascii="微软雅黑" w:hAnsi="微软雅黑" w:eastAsia="微软雅黑" w:cs="微软雅黑"/>
                <w:i/>
                <w:iCs/>
                <w:color w:val="000000"/>
                <w:sz w:val="16"/>
                <w:szCs w:val="16"/>
                <w:u w:val="none"/>
              </w:rPr>
            </w:pPr>
          </w:p>
        </w:tc>
      </w:tr>
      <w:tr w14:paraId="30A61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57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539DA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D55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D35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84E87">
            <w:pPr>
              <w:rPr>
                <w:rFonts w:hint="eastAsia" w:ascii="宋体" w:hAnsi="宋体" w:eastAsia="宋体" w:cs="宋体"/>
                <w:i w:val="0"/>
                <w:iCs w:val="0"/>
                <w:color w:val="000000"/>
                <w:sz w:val="18"/>
                <w:szCs w:val="18"/>
                <w:u w:val="none"/>
              </w:rPr>
            </w:pPr>
          </w:p>
        </w:tc>
      </w:tr>
      <w:tr w14:paraId="232B2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B6D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0A39C5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项目完成情况较好</w:t>
            </w:r>
          </w:p>
        </w:tc>
      </w:tr>
      <w:tr w14:paraId="76E42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A9D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A01AA5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D994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CC2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762735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BF4E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tcBorders>
              <w:top w:val="nil"/>
              <w:left w:val="nil"/>
              <w:bottom w:val="nil"/>
              <w:right w:val="nil"/>
            </w:tcBorders>
            <w:shd w:val="clear" w:color="auto" w:fill="auto"/>
            <w:vAlign w:val="center"/>
          </w:tcPr>
          <w:p w14:paraId="726BADE5">
            <w:pPr>
              <w:rPr>
                <w:rFonts w:hint="eastAsia" w:ascii="宋体" w:hAnsi="宋体" w:eastAsia="宋体" w:cs="宋体"/>
                <w:i w:val="0"/>
                <w:iCs w:val="0"/>
                <w:color w:val="000000"/>
                <w:sz w:val="18"/>
                <w:szCs w:val="18"/>
                <w:u w:val="none"/>
              </w:rPr>
            </w:pPr>
          </w:p>
        </w:tc>
        <w:tc>
          <w:tcPr>
            <w:tcW w:w="2048" w:type="dxa"/>
            <w:tcBorders>
              <w:top w:val="nil"/>
              <w:left w:val="nil"/>
              <w:bottom w:val="nil"/>
              <w:right w:val="nil"/>
            </w:tcBorders>
            <w:shd w:val="clear" w:color="auto" w:fill="auto"/>
            <w:vAlign w:val="center"/>
          </w:tcPr>
          <w:p w14:paraId="159BE97D">
            <w:pPr>
              <w:rPr>
                <w:rFonts w:hint="eastAsia" w:ascii="宋体" w:hAnsi="宋体" w:eastAsia="宋体" w:cs="宋体"/>
                <w:i w:val="0"/>
                <w:iCs w:val="0"/>
                <w:color w:val="000000"/>
                <w:sz w:val="18"/>
                <w:szCs w:val="18"/>
                <w:u w:val="none"/>
              </w:rPr>
            </w:pPr>
          </w:p>
        </w:tc>
        <w:tc>
          <w:tcPr>
            <w:tcW w:w="1764" w:type="dxa"/>
            <w:tcBorders>
              <w:top w:val="nil"/>
              <w:left w:val="nil"/>
              <w:bottom w:val="nil"/>
              <w:right w:val="nil"/>
            </w:tcBorders>
            <w:shd w:val="clear" w:color="auto" w:fill="auto"/>
            <w:vAlign w:val="center"/>
          </w:tcPr>
          <w:p w14:paraId="542DFFB7">
            <w:pPr>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vAlign w:val="center"/>
          </w:tcPr>
          <w:p w14:paraId="5B463352">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1BA83D35">
            <w:pPr>
              <w:rPr>
                <w:rFonts w:hint="eastAsia" w:ascii="宋体" w:hAnsi="宋体" w:eastAsia="宋体" w:cs="宋体"/>
                <w:i w:val="0"/>
                <w:iCs w:val="0"/>
                <w:color w:val="000000"/>
                <w:sz w:val="18"/>
                <w:szCs w:val="18"/>
                <w:u w:val="none"/>
              </w:rPr>
            </w:pPr>
          </w:p>
        </w:tc>
        <w:tc>
          <w:tcPr>
            <w:tcW w:w="1674" w:type="dxa"/>
            <w:tcBorders>
              <w:top w:val="nil"/>
              <w:left w:val="nil"/>
              <w:bottom w:val="nil"/>
              <w:right w:val="nil"/>
            </w:tcBorders>
            <w:shd w:val="clear" w:color="auto" w:fill="auto"/>
            <w:vAlign w:val="center"/>
          </w:tcPr>
          <w:p w14:paraId="23AC2891">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67D405AE">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794D350C">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59C4EC84">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62F29C65">
            <w:pPr>
              <w:rPr>
                <w:rFonts w:hint="eastAsia" w:ascii="宋体" w:hAnsi="宋体" w:eastAsia="宋体" w:cs="宋体"/>
                <w:i w:val="0"/>
                <w:iCs w:val="0"/>
                <w:color w:val="000000"/>
                <w:sz w:val="18"/>
                <w:szCs w:val="18"/>
                <w:u w:val="none"/>
              </w:rPr>
            </w:pPr>
          </w:p>
        </w:tc>
        <w:tc>
          <w:tcPr>
            <w:tcW w:w="2541" w:type="dxa"/>
            <w:tcBorders>
              <w:top w:val="nil"/>
              <w:left w:val="nil"/>
              <w:bottom w:val="nil"/>
              <w:right w:val="nil"/>
            </w:tcBorders>
            <w:shd w:val="clear" w:color="auto" w:fill="auto"/>
            <w:vAlign w:val="center"/>
          </w:tcPr>
          <w:p w14:paraId="5E880FF8">
            <w:pPr>
              <w:rPr>
                <w:rFonts w:hint="eastAsia" w:ascii="宋体" w:hAnsi="宋体" w:eastAsia="宋体" w:cs="宋体"/>
                <w:i w:val="0"/>
                <w:iCs w:val="0"/>
                <w:color w:val="000000"/>
                <w:sz w:val="18"/>
                <w:szCs w:val="18"/>
                <w:u w:val="none"/>
              </w:rPr>
            </w:pPr>
          </w:p>
        </w:tc>
      </w:tr>
      <w:tr w14:paraId="55F41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0E4E8F7">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4C990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B5653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FFFF00"/>
            <w:vAlign w:val="center"/>
          </w:tcPr>
          <w:p w14:paraId="7BF963A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51320024T000010663262-购置各类证书经费</w:t>
            </w:r>
          </w:p>
        </w:tc>
      </w:tr>
      <w:tr w14:paraId="751A7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996F2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A4847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州人社局部门</w:t>
            </w:r>
          </w:p>
        </w:tc>
        <w:tc>
          <w:tcPr>
            <w:tcW w:w="1095" w:type="dxa"/>
            <w:tcBorders>
              <w:top w:val="nil"/>
              <w:left w:val="nil"/>
              <w:bottom w:val="nil"/>
              <w:right w:val="nil"/>
            </w:tcBorders>
            <w:shd w:val="clear" w:color="auto" w:fill="auto"/>
            <w:vAlign w:val="center"/>
          </w:tcPr>
          <w:p w14:paraId="52E5478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9439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w:t>
            </w:r>
          </w:p>
        </w:tc>
      </w:tr>
      <w:tr w14:paraId="1CEDC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BBB39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E0901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5D5A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92C5310">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3743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3BB9AC">
            <w:pP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22A84B">
            <w:pPr>
              <w:rPr>
                <w:rFonts w:hint="eastAsia" w:ascii="宋体" w:hAnsi="宋体" w:eastAsia="宋体" w:cs="宋体"/>
                <w:i w:val="0"/>
                <w:iCs w:val="0"/>
                <w:color w:val="000000"/>
                <w:sz w:val="18"/>
                <w:szCs w:val="18"/>
                <w:u w:val="none"/>
              </w:rPr>
            </w:pP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8C6BF6">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1"/>
                <w:lang w:val="en-US" w:eastAsia="zh-CN" w:bidi="ar"/>
              </w:rPr>
              <w:t xml:space="preserve">能建科：技能培训是由技能培训机构开展的，劳动者通过技能考核，可以获得国家认可的技能证书，目的增强劳动者市场就业竞争力     。                                          </w:t>
            </w:r>
            <w:r>
              <w:rPr>
                <w:rStyle w:val="32"/>
                <w:rFonts w:eastAsia="宋体"/>
                <w:lang w:val="en-US" w:eastAsia="zh-CN" w:bidi="ar"/>
              </w:rPr>
              <w:t xml:space="preserve">       </w:t>
            </w:r>
            <w:r>
              <w:rPr>
                <w:rStyle w:val="31"/>
                <w:lang w:val="en-US" w:eastAsia="zh-CN" w:bidi="ar"/>
              </w:rPr>
              <w:br w:type="textWrapping"/>
            </w:r>
            <w:r>
              <w:rPr>
                <w:rStyle w:val="31"/>
                <w:lang w:val="en-US" w:eastAsia="zh-CN" w:bidi="ar"/>
              </w:rPr>
              <w:t>事管科：为460名事业单位工作人员和机关工勤人员记功奖励获得者购买证书及奖章。</w:t>
            </w:r>
            <w:r>
              <w:rPr>
                <w:rStyle w:val="32"/>
                <w:rFonts w:eastAsia="宋体"/>
                <w:lang w:val="en-US" w:eastAsia="zh-CN" w:bidi="ar"/>
              </w:rPr>
              <w:t xml:space="preserve"> </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1C4443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年度实际采购证书及奖章305份。</w:t>
            </w:r>
          </w:p>
        </w:tc>
      </w:tr>
      <w:tr w14:paraId="160F4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8019AA">
            <w:pP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F45C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6C4AA2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于2024年11月份事业单位工作人员和机关工勤人员连续三年优秀人员确定后实施采购，年度实际采购证书及奖章305份。</w:t>
            </w:r>
          </w:p>
        </w:tc>
      </w:tr>
      <w:tr w14:paraId="5A1B6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9529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32D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15D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084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4016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84F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4BC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725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A9F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24B5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501C21">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E70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9EE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E06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1.18</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FEBF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1.18</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DBD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27D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C68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F192FD">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1AD8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31902D">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8E2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772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623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1.18</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4DFC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1.18</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DE4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A53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BB5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0C452E">
            <w:pPr>
              <w:rPr>
                <w:rFonts w:hint="eastAsia" w:ascii="黑体" w:hAnsi="黑体" w:eastAsia="黑体" w:cs="黑体"/>
                <w:i/>
                <w:iCs/>
                <w:color w:val="000000"/>
                <w:sz w:val="18"/>
                <w:szCs w:val="18"/>
                <w:u w:val="none"/>
              </w:rPr>
            </w:pPr>
          </w:p>
        </w:tc>
      </w:tr>
      <w:tr w14:paraId="6BF20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01E932">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662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B91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2B5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0540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5F5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C2E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E0C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18D0E5">
            <w:pPr>
              <w:rPr>
                <w:rFonts w:hint="eastAsia" w:ascii="黑体" w:hAnsi="黑体" w:eastAsia="黑体" w:cs="黑体"/>
                <w:i/>
                <w:iCs/>
                <w:color w:val="000000"/>
                <w:sz w:val="18"/>
                <w:szCs w:val="18"/>
                <w:u w:val="none"/>
              </w:rPr>
            </w:pPr>
          </w:p>
        </w:tc>
      </w:tr>
      <w:tr w14:paraId="5F36A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031624">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DC4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E80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490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57FC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5A1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80B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891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9BB31">
            <w:pPr>
              <w:rPr>
                <w:rFonts w:hint="eastAsia" w:ascii="黑体" w:hAnsi="黑体" w:eastAsia="黑体" w:cs="黑体"/>
                <w:i/>
                <w:iCs/>
                <w:color w:val="000000"/>
                <w:sz w:val="18"/>
                <w:szCs w:val="18"/>
                <w:u w:val="none"/>
              </w:rPr>
            </w:pPr>
          </w:p>
        </w:tc>
      </w:tr>
      <w:tr w14:paraId="2C75B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E40909">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E4C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4CC7F">
            <w:pPr>
              <w:jc w:val="center"/>
              <w:rPr>
                <w:rFonts w:hint="eastAsia" w:ascii="微软雅黑" w:hAnsi="微软雅黑" w:eastAsia="微软雅黑" w:cs="微软雅黑"/>
                <w:i/>
                <w:iCs/>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C1365">
            <w:pPr>
              <w:jc w:val="center"/>
              <w:rPr>
                <w:rFonts w:hint="eastAsia" w:ascii="微软雅黑" w:hAnsi="微软雅黑" w:eastAsia="微软雅黑" w:cs="微软雅黑"/>
                <w:i/>
                <w:iCs/>
                <w:color w:val="000000"/>
                <w:sz w:val="16"/>
                <w:szCs w:val="16"/>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77DF71">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F4DF8">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428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8CC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75D6D3">
            <w:pPr>
              <w:rPr>
                <w:rFonts w:hint="eastAsia" w:ascii="黑体" w:hAnsi="黑体" w:eastAsia="黑体" w:cs="黑体"/>
                <w:i/>
                <w:iCs/>
                <w:color w:val="000000"/>
                <w:sz w:val="18"/>
                <w:szCs w:val="18"/>
                <w:u w:val="none"/>
              </w:rPr>
            </w:pPr>
          </w:p>
        </w:tc>
      </w:tr>
      <w:tr w14:paraId="59CBB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30B6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C9E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E5F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61F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CFE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C0D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AF1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0CC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BBC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4BD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313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4979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33D1E2">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E205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3FA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BCD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购买职业技能培训合格证书和等级证书数量</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050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D46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10B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50C5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305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CC1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86A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BFAD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能建科本年度为采购相关证书</w:t>
            </w:r>
          </w:p>
        </w:tc>
      </w:tr>
      <w:tr w14:paraId="6B9FE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A26A0C">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C72B61">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DC8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A09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均按要求制作</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C84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938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均按要求制作</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7DD96">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AE0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均按要求制作</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946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718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A6C74">
            <w:pPr>
              <w:jc w:val="center"/>
              <w:rPr>
                <w:rFonts w:hint="eastAsia" w:ascii="微软雅黑" w:hAnsi="微软雅黑" w:eastAsia="微软雅黑" w:cs="微软雅黑"/>
                <w:i/>
                <w:iCs/>
                <w:color w:val="000000"/>
                <w:sz w:val="16"/>
                <w:szCs w:val="16"/>
                <w:u w:val="none"/>
              </w:rPr>
            </w:pPr>
          </w:p>
        </w:tc>
      </w:tr>
      <w:tr w14:paraId="7D8FB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A6A794">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AFBE93">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52A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F18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项目完成时间</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F3B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1BD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11月底前</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D95B0">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B8D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11月底前</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C25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AF7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49F18">
            <w:pPr>
              <w:jc w:val="center"/>
              <w:rPr>
                <w:rFonts w:hint="eastAsia" w:ascii="微软雅黑" w:hAnsi="微软雅黑" w:eastAsia="微软雅黑" w:cs="微软雅黑"/>
                <w:i/>
                <w:iCs/>
                <w:color w:val="000000"/>
                <w:sz w:val="16"/>
                <w:szCs w:val="16"/>
                <w:u w:val="none"/>
              </w:rPr>
            </w:pPr>
          </w:p>
        </w:tc>
      </w:tr>
      <w:tr w14:paraId="77BE2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511026">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C48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3FE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3C5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增强劳动者市场就业竞争力</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C29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950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持续增强</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B3352">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E29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持续增强</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923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F51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CBAA7">
            <w:pPr>
              <w:jc w:val="center"/>
              <w:rPr>
                <w:rFonts w:hint="eastAsia" w:ascii="微软雅黑" w:hAnsi="微软雅黑" w:eastAsia="微软雅黑" w:cs="微软雅黑"/>
                <w:i/>
                <w:iCs/>
                <w:color w:val="000000"/>
                <w:sz w:val="16"/>
                <w:szCs w:val="16"/>
                <w:u w:val="none"/>
              </w:rPr>
            </w:pPr>
          </w:p>
        </w:tc>
      </w:tr>
      <w:tr w14:paraId="143D8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146872">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C8A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517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7A1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获得证书人员满意度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1DB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59D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97A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2E85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D24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8C8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9DB5F">
            <w:pPr>
              <w:jc w:val="center"/>
              <w:rPr>
                <w:rFonts w:hint="eastAsia" w:ascii="微软雅黑" w:hAnsi="微软雅黑" w:eastAsia="微软雅黑" w:cs="微软雅黑"/>
                <w:i/>
                <w:iCs/>
                <w:color w:val="000000"/>
                <w:sz w:val="16"/>
                <w:szCs w:val="16"/>
                <w:u w:val="none"/>
              </w:rPr>
            </w:pPr>
          </w:p>
        </w:tc>
      </w:tr>
      <w:tr w14:paraId="3C8F2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164945">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D3ED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3C0C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F96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办公费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55E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7CB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31F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24ED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1.18</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90F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CD6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D7AF2">
            <w:pPr>
              <w:jc w:val="center"/>
              <w:rPr>
                <w:rFonts w:hint="eastAsia" w:ascii="微软雅黑" w:hAnsi="微软雅黑" w:eastAsia="微软雅黑" w:cs="微软雅黑"/>
                <w:i/>
                <w:iCs/>
                <w:color w:val="000000"/>
                <w:sz w:val="16"/>
                <w:szCs w:val="16"/>
                <w:u w:val="none"/>
              </w:rPr>
            </w:pPr>
          </w:p>
        </w:tc>
      </w:tr>
      <w:tr w14:paraId="68132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248AB6">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139EE5">
            <w:pPr>
              <w:jc w:val="center"/>
              <w:rPr>
                <w:rFonts w:hint="eastAsia" w:ascii="宋体" w:hAnsi="宋体" w:eastAsia="宋体" w:cs="宋体"/>
                <w:i w:val="0"/>
                <w:iCs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39056F">
            <w:pPr>
              <w:jc w:val="center"/>
              <w:rPr>
                <w:rFonts w:hint="eastAsia" w:ascii="宋体" w:hAnsi="宋体" w:eastAsia="宋体" w:cs="宋体"/>
                <w:i w:val="0"/>
                <w:iCs w:val="0"/>
                <w:color w:val="000000"/>
                <w:sz w:val="18"/>
                <w:szCs w:val="18"/>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3B6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项目总成本</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085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394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1A4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A9EA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1.18</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F5E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D13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D7FA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项目节约成本</w:t>
            </w:r>
          </w:p>
        </w:tc>
      </w:tr>
      <w:tr w14:paraId="0BFEF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57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6A450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E0B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A6668">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3875E">
            <w:pPr>
              <w:rPr>
                <w:rFonts w:hint="eastAsia" w:ascii="宋体" w:hAnsi="宋体" w:eastAsia="宋体" w:cs="宋体"/>
                <w:i w:val="0"/>
                <w:iCs w:val="0"/>
                <w:color w:val="000000"/>
                <w:sz w:val="18"/>
                <w:szCs w:val="18"/>
                <w:u w:val="none"/>
              </w:rPr>
            </w:pPr>
          </w:p>
        </w:tc>
      </w:tr>
      <w:tr w14:paraId="10967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F8A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A34FE6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较好的完成了绩效目标</w:t>
            </w:r>
          </w:p>
        </w:tc>
      </w:tr>
      <w:tr w14:paraId="49732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953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8D2A58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未能及时调整绩效目标</w:t>
            </w:r>
          </w:p>
        </w:tc>
      </w:tr>
      <w:tr w14:paraId="60CE4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360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66C224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在今后工作中及时对绩效目标进行调整</w:t>
            </w:r>
          </w:p>
        </w:tc>
      </w:tr>
      <w:tr w14:paraId="2E1EC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89" w:type="dxa"/>
            <w:tcBorders>
              <w:top w:val="nil"/>
              <w:left w:val="nil"/>
              <w:bottom w:val="nil"/>
              <w:right w:val="nil"/>
            </w:tcBorders>
            <w:shd w:val="clear" w:color="auto" w:fill="auto"/>
            <w:vAlign w:val="center"/>
          </w:tcPr>
          <w:p w14:paraId="25722457">
            <w:pPr>
              <w:rPr>
                <w:rFonts w:hint="eastAsia" w:ascii="宋体" w:hAnsi="宋体" w:eastAsia="宋体" w:cs="宋体"/>
                <w:i w:val="0"/>
                <w:iCs w:val="0"/>
                <w:color w:val="000000"/>
                <w:sz w:val="18"/>
                <w:szCs w:val="18"/>
                <w:u w:val="none"/>
              </w:rPr>
            </w:pPr>
          </w:p>
        </w:tc>
        <w:tc>
          <w:tcPr>
            <w:tcW w:w="2048" w:type="dxa"/>
            <w:tcBorders>
              <w:top w:val="nil"/>
              <w:left w:val="nil"/>
              <w:bottom w:val="nil"/>
              <w:right w:val="nil"/>
            </w:tcBorders>
            <w:shd w:val="clear" w:color="auto" w:fill="auto"/>
            <w:vAlign w:val="center"/>
          </w:tcPr>
          <w:p w14:paraId="69535727">
            <w:pPr>
              <w:rPr>
                <w:rFonts w:hint="eastAsia" w:ascii="宋体" w:hAnsi="宋体" w:eastAsia="宋体" w:cs="宋体"/>
                <w:i w:val="0"/>
                <w:iCs w:val="0"/>
                <w:color w:val="000000"/>
                <w:sz w:val="18"/>
                <w:szCs w:val="18"/>
                <w:u w:val="none"/>
              </w:rPr>
            </w:pPr>
          </w:p>
        </w:tc>
        <w:tc>
          <w:tcPr>
            <w:tcW w:w="1764" w:type="dxa"/>
            <w:tcBorders>
              <w:top w:val="nil"/>
              <w:left w:val="nil"/>
              <w:bottom w:val="nil"/>
              <w:right w:val="nil"/>
            </w:tcBorders>
            <w:shd w:val="clear" w:color="auto" w:fill="auto"/>
            <w:vAlign w:val="center"/>
          </w:tcPr>
          <w:p w14:paraId="169E1A68">
            <w:pPr>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vAlign w:val="center"/>
          </w:tcPr>
          <w:p w14:paraId="1449008E">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5DEBAE46">
            <w:pPr>
              <w:rPr>
                <w:rFonts w:hint="eastAsia" w:ascii="宋体" w:hAnsi="宋体" w:eastAsia="宋体" w:cs="宋体"/>
                <w:i w:val="0"/>
                <w:iCs w:val="0"/>
                <w:color w:val="000000"/>
                <w:sz w:val="18"/>
                <w:szCs w:val="18"/>
                <w:u w:val="none"/>
              </w:rPr>
            </w:pPr>
          </w:p>
        </w:tc>
        <w:tc>
          <w:tcPr>
            <w:tcW w:w="1674" w:type="dxa"/>
            <w:tcBorders>
              <w:top w:val="nil"/>
              <w:left w:val="nil"/>
              <w:bottom w:val="nil"/>
              <w:right w:val="nil"/>
            </w:tcBorders>
            <w:shd w:val="clear" w:color="auto" w:fill="auto"/>
            <w:vAlign w:val="center"/>
          </w:tcPr>
          <w:p w14:paraId="63612242">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53AAD2BD">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3C221569">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712C94D6">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3E543003">
            <w:pPr>
              <w:rPr>
                <w:rFonts w:hint="eastAsia" w:ascii="宋体" w:hAnsi="宋体" w:eastAsia="宋体" w:cs="宋体"/>
                <w:i w:val="0"/>
                <w:iCs w:val="0"/>
                <w:color w:val="000000"/>
                <w:sz w:val="18"/>
                <w:szCs w:val="18"/>
                <w:u w:val="none"/>
              </w:rPr>
            </w:pPr>
          </w:p>
        </w:tc>
        <w:tc>
          <w:tcPr>
            <w:tcW w:w="2541" w:type="dxa"/>
            <w:tcBorders>
              <w:top w:val="nil"/>
              <w:left w:val="nil"/>
              <w:bottom w:val="nil"/>
              <w:right w:val="nil"/>
            </w:tcBorders>
            <w:shd w:val="clear" w:color="auto" w:fill="auto"/>
            <w:vAlign w:val="center"/>
          </w:tcPr>
          <w:p w14:paraId="1DB3DAF5">
            <w:pPr>
              <w:rPr>
                <w:rFonts w:hint="eastAsia" w:ascii="宋体" w:hAnsi="宋体" w:eastAsia="宋体" w:cs="宋体"/>
                <w:i w:val="0"/>
                <w:iCs w:val="0"/>
                <w:color w:val="000000"/>
                <w:sz w:val="18"/>
                <w:szCs w:val="18"/>
                <w:u w:val="none"/>
              </w:rPr>
            </w:pPr>
          </w:p>
        </w:tc>
      </w:tr>
      <w:tr w14:paraId="5DF43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9515C6C">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C9A9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37CB8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EEE449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51320024T000010663869-机房更换蓄电池</w:t>
            </w:r>
          </w:p>
        </w:tc>
      </w:tr>
      <w:tr w14:paraId="5CBA7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81B13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D160B3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州人社局部门</w:t>
            </w:r>
          </w:p>
        </w:tc>
        <w:tc>
          <w:tcPr>
            <w:tcW w:w="1095" w:type="dxa"/>
            <w:tcBorders>
              <w:top w:val="nil"/>
              <w:left w:val="nil"/>
              <w:bottom w:val="nil"/>
              <w:right w:val="nil"/>
            </w:tcBorders>
            <w:shd w:val="clear" w:color="auto" w:fill="auto"/>
            <w:vAlign w:val="center"/>
          </w:tcPr>
          <w:p w14:paraId="797AEF9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F449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w:t>
            </w:r>
          </w:p>
        </w:tc>
      </w:tr>
      <w:tr w14:paraId="1857B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A7EC1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54922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A975D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6AA500">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0471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9552C1">
            <w:pP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9652C5">
            <w:pPr>
              <w:rPr>
                <w:rFonts w:hint="eastAsia" w:ascii="宋体" w:hAnsi="宋体" w:eastAsia="宋体" w:cs="宋体"/>
                <w:i w:val="0"/>
                <w:iCs w:val="0"/>
                <w:color w:val="000000"/>
                <w:sz w:val="18"/>
                <w:szCs w:val="18"/>
                <w:u w:val="none"/>
              </w:rPr>
            </w:pP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65981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阿坝州人力资源和社会保障局负一楼蓄电池房于2010年建设并投入使用，至今已运行13年。目前，已出 部分电池容量下降严重 ， 且出现爬酸、漏液现象，电池内阻极大，电池充电时发热、发烫，严重情况下将造成电池鼓包、漏液甚至起火 ， 发生爆炸。为保障阿坝州人力资源和社会保障信息系统、机房硬件设备、金保业务专网安全、稳定运行，拟于2024年4月实施阿坝州人力资源和社会保障数据中心机房蓄电池更换采购项目</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DED16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达到工作预期，保障了阿坝州人力资源和社会保障信息系统、机房硬件设备、金保业务专网安全、稳定运行。</w:t>
            </w:r>
          </w:p>
        </w:tc>
      </w:tr>
      <w:tr w14:paraId="4E3D3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524C26">
            <w:pP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FBB5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4A44E25">
            <w:pPr>
              <w:rPr>
                <w:rFonts w:hint="eastAsia" w:ascii="宋体" w:hAnsi="宋体" w:eastAsia="宋体" w:cs="宋体"/>
                <w:i w:val="0"/>
                <w:iCs w:val="0"/>
                <w:color w:val="000000"/>
                <w:sz w:val="18"/>
                <w:szCs w:val="18"/>
                <w:u w:val="none"/>
              </w:rPr>
            </w:pPr>
          </w:p>
        </w:tc>
      </w:tr>
      <w:tr w14:paraId="73046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5E0F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331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EC8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5C6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82F3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220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265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D46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82C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875B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5C52A7">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B47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890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D0E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70.80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7053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70.80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B21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AF3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8E5A9">
            <w:pPr>
              <w:jc w:val="center"/>
              <w:rPr>
                <w:rFonts w:hint="eastAsia" w:ascii="宋体" w:hAnsi="宋体" w:eastAsia="宋体" w:cs="宋体"/>
                <w:i w:val="0"/>
                <w:iCs w:val="0"/>
                <w:color w:val="000000"/>
                <w:sz w:val="18"/>
                <w:szCs w:val="18"/>
                <w:u w:val="none"/>
              </w:rPr>
            </w:pPr>
          </w:p>
        </w:tc>
        <w:tc>
          <w:tcPr>
            <w:tcW w:w="2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5597B8">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DB20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AD90C">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C01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4F4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F84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70.80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A82D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70.80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4A1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B9B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061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936621">
            <w:pPr>
              <w:rPr>
                <w:rFonts w:hint="eastAsia" w:ascii="黑体" w:hAnsi="黑体" w:eastAsia="黑体" w:cs="黑体"/>
                <w:i/>
                <w:iCs/>
                <w:color w:val="000000"/>
                <w:sz w:val="18"/>
                <w:szCs w:val="18"/>
                <w:u w:val="none"/>
              </w:rPr>
            </w:pPr>
          </w:p>
        </w:tc>
      </w:tr>
      <w:tr w14:paraId="57A6B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ED495D">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BE2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97B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EE8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0281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982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E0F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408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5ED8D6">
            <w:pPr>
              <w:rPr>
                <w:rFonts w:hint="eastAsia" w:ascii="黑体" w:hAnsi="黑体" w:eastAsia="黑体" w:cs="黑体"/>
                <w:i/>
                <w:iCs/>
                <w:color w:val="000000"/>
                <w:sz w:val="18"/>
                <w:szCs w:val="18"/>
                <w:u w:val="none"/>
              </w:rPr>
            </w:pPr>
          </w:p>
        </w:tc>
      </w:tr>
      <w:tr w14:paraId="5C523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A83368">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823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C95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B81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607D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377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5C7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F27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F0A12F">
            <w:pPr>
              <w:rPr>
                <w:rFonts w:hint="eastAsia" w:ascii="黑体" w:hAnsi="黑体" w:eastAsia="黑体" w:cs="黑体"/>
                <w:i/>
                <w:iCs/>
                <w:color w:val="000000"/>
                <w:sz w:val="18"/>
                <w:szCs w:val="18"/>
                <w:u w:val="none"/>
              </w:rPr>
            </w:pPr>
          </w:p>
        </w:tc>
      </w:tr>
      <w:tr w14:paraId="6692B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8A10F4">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C29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03E77">
            <w:pPr>
              <w:jc w:val="center"/>
              <w:rPr>
                <w:rFonts w:hint="eastAsia" w:ascii="微软雅黑" w:hAnsi="微软雅黑" w:eastAsia="微软雅黑" w:cs="微软雅黑"/>
                <w:i/>
                <w:iCs/>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7A572">
            <w:pPr>
              <w:jc w:val="center"/>
              <w:rPr>
                <w:rFonts w:hint="eastAsia" w:ascii="微软雅黑" w:hAnsi="微软雅黑" w:eastAsia="微软雅黑" w:cs="微软雅黑"/>
                <w:i/>
                <w:iCs/>
                <w:color w:val="000000"/>
                <w:sz w:val="16"/>
                <w:szCs w:val="16"/>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1BD14F">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0BDD7">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9FF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085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6FA733">
            <w:pPr>
              <w:rPr>
                <w:rFonts w:hint="eastAsia" w:ascii="黑体" w:hAnsi="黑体" w:eastAsia="黑体" w:cs="黑体"/>
                <w:i/>
                <w:iCs/>
                <w:color w:val="000000"/>
                <w:sz w:val="18"/>
                <w:szCs w:val="18"/>
                <w:u w:val="none"/>
              </w:rPr>
            </w:pPr>
          </w:p>
        </w:tc>
      </w:tr>
      <w:tr w14:paraId="5AA68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F2B2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DAA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18A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95D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80B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66E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958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A70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583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E7D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5BB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400E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0F3BF9">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8515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0C1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3F2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蓄电池更换采购项目数量</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192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28A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55B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批次</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F7D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E7C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E322F">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F9699">
            <w:pPr>
              <w:jc w:val="center"/>
              <w:rPr>
                <w:rFonts w:hint="eastAsia" w:ascii="微软雅黑" w:hAnsi="微软雅黑" w:eastAsia="微软雅黑" w:cs="微软雅黑"/>
                <w:i/>
                <w:iCs/>
                <w:color w:val="000000"/>
                <w:sz w:val="16"/>
                <w:szCs w:val="16"/>
                <w:u w:val="none"/>
              </w:rPr>
            </w:pPr>
          </w:p>
        </w:tc>
      </w:tr>
      <w:tr w14:paraId="59054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AD1D4E">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2CA7C8">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A64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907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完成项目采购率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48B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F25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CA6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B8C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301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83AB9">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55CF9">
            <w:pPr>
              <w:jc w:val="center"/>
              <w:rPr>
                <w:rFonts w:hint="eastAsia" w:ascii="微软雅黑" w:hAnsi="微软雅黑" w:eastAsia="微软雅黑" w:cs="微软雅黑"/>
                <w:i/>
                <w:iCs/>
                <w:color w:val="000000"/>
                <w:sz w:val="16"/>
                <w:szCs w:val="16"/>
                <w:u w:val="none"/>
              </w:rPr>
            </w:pPr>
          </w:p>
        </w:tc>
      </w:tr>
      <w:tr w14:paraId="3BADF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99293">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F2042C">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96A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C93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机房更换电池及时率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9D1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1A4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E81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0B4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7DA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070B9">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61BA7">
            <w:pPr>
              <w:jc w:val="center"/>
              <w:rPr>
                <w:rFonts w:hint="eastAsia" w:ascii="微软雅黑" w:hAnsi="微软雅黑" w:eastAsia="微软雅黑" w:cs="微软雅黑"/>
                <w:i/>
                <w:iCs/>
                <w:color w:val="000000"/>
                <w:sz w:val="16"/>
                <w:szCs w:val="16"/>
                <w:u w:val="none"/>
              </w:rPr>
            </w:pPr>
          </w:p>
        </w:tc>
      </w:tr>
      <w:tr w14:paraId="74F61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618D7E">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F44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036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DA9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保障机房稳定运行</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A2B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6A6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4EDAF">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362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08E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35C71">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91057">
            <w:pPr>
              <w:jc w:val="center"/>
              <w:rPr>
                <w:rFonts w:hint="eastAsia" w:ascii="微软雅黑" w:hAnsi="微软雅黑" w:eastAsia="微软雅黑" w:cs="微软雅黑"/>
                <w:i/>
                <w:iCs/>
                <w:color w:val="000000"/>
                <w:sz w:val="16"/>
                <w:szCs w:val="16"/>
                <w:u w:val="none"/>
              </w:rPr>
            </w:pPr>
          </w:p>
        </w:tc>
      </w:tr>
      <w:tr w14:paraId="0F162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0190E3">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EAA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685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E51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社会公众对相关工作的满意度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F94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A3B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D22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E46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F54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B7416">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3B0A7">
            <w:pPr>
              <w:jc w:val="center"/>
              <w:rPr>
                <w:rFonts w:hint="eastAsia" w:ascii="微软雅黑" w:hAnsi="微软雅黑" w:eastAsia="微软雅黑" w:cs="微软雅黑"/>
                <w:i/>
                <w:iCs/>
                <w:color w:val="000000"/>
                <w:sz w:val="16"/>
                <w:szCs w:val="16"/>
                <w:u w:val="none"/>
              </w:rPr>
            </w:pPr>
          </w:p>
        </w:tc>
      </w:tr>
      <w:tr w14:paraId="4B3ED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E7603A">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5336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B0AE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F6D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数据中心机房蓄电池更换采购项目</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E96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B6B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D92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E07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A35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80255">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D7CBA">
            <w:pPr>
              <w:jc w:val="center"/>
              <w:rPr>
                <w:rFonts w:hint="eastAsia" w:ascii="微软雅黑" w:hAnsi="微软雅黑" w:eastAsia="微软雅黑" w:cs="微软雅黑"/>
                <w:i/>
                <w:iCs/>
                <w:color w:val="000000"/>
                <w:sz w:val="16"/>
                <w:szCs w:val="16"/>
                <w:u w:val="none"/>
              </w:rPr>
            </w:pPr>
          </w:p>
        </w:tc>
      </w:tr>
      <w:tr w14:paraId="47CC6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5A1DD2">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2405F0">
            <w:pPr>
              <w:jc w:val="center"/>
              <w:rPr>
                <w:rFonts w:hint="eastAsia" w:ascii="宋体" w:hAnsi="宋体" w:eastAsia="宋体" w:cs="宋体"/>
                <w:i w:val="0"/>
                <w:iCs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B19247">
            <w:pPr>
              <w:jc w:val="center"/>
              <w:rPr>
                <w:rFonts w:hint="eastAsia" w:ascii="宋体" w:hAnsi="宋体" w:eastAsia="宋体" w:cs="宋体"/>
                <w:i w:val="0"/>
                <w:iCs w:val="0"/>
                <w:color w:val="000000"/>
                <w:sz w:val="18"/>
                <w:szCs w:val="18"/>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CFB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专用设备购置</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7C8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226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39A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18C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D49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29D4A">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63A45">
            <w:pPr>
              <w:jc w:val="center"/>
              <w:rPr>
                <w:rFonts w:hint="eastAsia" w:ascii="微软雅黑" w:hAnsi="微软雅黑" w:eastAsia="微软雅黑" w:cs="微软雅黑"/>
                <w:i/>
                <w:iCs/>
                <w:color w:val="000000"/>
                <w:sz w:val="16"/>
                <w:szCs w:val="16"/>
                <w:u w:val="none"/>
              </w:rPr>
            </w:pPr>
          </w:p>
        </w:tc>
      </w:tr>
      <w:tr w14:paraId="618C8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57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B3F5E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C69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63E7A">
            <w:pP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19A0C">
            <w:pPr>
              <w:rPr>
                <w:rFonts w:hint="eastAsia" w:ascii="宋体" w:hAnsi="宋体" w:eastAsia="宋体" w:cs="宋体"/>
                <w:i w:val="0"/>
                <w:iCs w:val="0"/>
                <w:color w:val="000000"/>
                <w:sz w:val="18"/>
                <w:szCs w:val="18"/>
                <w:u w:val="none"/>
              </w:rPr>
            </w:pPr>
          </w:p>
        </w:tc>
      </w:tr>
      <w:tr w14:paraId="0AB63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792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4FB4D0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达到工作预期，保障了阿坝州人力资源和社会保障信息系统、机房硬件设备、金保业务专网安全、稳定运行</w:t>
            </w:r>
          </w:p>
        </w:tc>
      </w:tr>
      <w:tr w14:paraId="6186B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1E4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77F332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DE06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A28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39438D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18B7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tcBorders>
              <w:top w:val="nil"/>
              <w:left w:val="nil"/>
              <w:bottom w:val="nil"/>
              <w:right w:val="nil"/>
            </w:tcBorders>
            <w:shd w:val="clear" w:color="auto" w:fill="auto"/>
            <w:vAlign w:val="center"/>
          </w:tcPr>
          <w:p w14:paraId="1134A4A0">
            <w:pPr>
              <w:rPr>
                <w:rFonts w:hint="eastAsia" w:ascii="宋体" w:hAnsi="宋体" w:eastAsia="宋体" w:cs="宋体"/>
                <w:i w:val="0"/>
                <w:iCs w:val="0"/>
                <w:color w:val="000000"/>
                <w:sz w:val="18"/>
                <w:szCs w:val="18"/>
                <w:u w:val="none"/>
              </w:rPr>
            </w:pPr>
          </w:p>
        </w:tc>
        <w:tc>
          <w:tcPr>
            <w:tcW w:w="2048" w:type="dxa"/>
            <w:tcBorders>
              <w:top w:val="nil"/>
              <w:left w:val="nil"/>
              <w:bottom w:val="nil"/>
              <w:right w:val="nil"/>
            </w:tcBorders>
            <w:shd w:val="clear" w:color="auto" w:fill="auto"/>
            <w:vAlign w:val="center"/>
          </w:tcPr>
          <w:p w14:paraId="3E4D221C">
            <w:pPr>
              <w:rPr>
                <w:rFonts w:hint="eastAsia" w:ascii="宋体" w:hAnsi="宋体" w:eastAsia="宋体" w:cs="宋体"/>
                <w:i w:val="0"/>
                <w:iCs w:val="0"/>
                <w:color w:val="000000"/>
                <w:sz w:val="18"/>
                <w:szCs w:val="18"/>
                <w:u w:val="none"/>
              </w:rPr>
            </w:pPr>
          </w:p>
        </w:tc>
        <w:tc>
          <w:tcPr>
            <w:tcW w:w="1764" w:type="dxa"/>
            <w:tcBorders>
              <w:top w:val="nil"/>
              <w:left w:val="nil"/>
              <w:bottom w:val="nil"/>
              <w:right w:val="nil"/>
            </w:tcBorders>
            <w:shd w:val="clear" w:color="auto" w:fill="auto"/>
            <w:vAlign w:val="center"/>
          </w:tcPr>
          <w:p w14:paraId="171C515C">
            <w:pPr>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vAlign w:val="center"/>
          </w:tcPr>
          <w:p w14:paraId="448C92B0">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7133E544">
            <w:pPr>
              <w:rPr>
                <w:rFonts w:hint="eastAsia" w:ascii="宋体" w:hAnsi="宋体" w:eastAsia="宋体" w:cs="宋体"/>
                <w:i w:val="0"/>
                <w:iCs w:val="0"/>
                <w:color w:val="000000"/>
                <w:sz w:val="18"/>
                <w:szCs w:val="18"/>
                <w:u w:val="none"/>
              </w:rPr>
            </w:pPr>
          </w:p>
        </w:tc>
        <w:tc>
          <w:tcPr>
            <w:tcW w:w="1674" w:type="dxa"/>
            <w:tcBorders>
              <w:top w:val="nil"/>
              <w:left w:val="nil"/>
              <w:bottom w:val="nil"/>
              <w:right w:val="nil"/>
            </w:tcBorders>
            <w:shd w:val="clear" w:color="auto" w:fill="auto"/>
            <w:vAlign w:val="center"/>
          </w:tcPr>
          <w:p w14:paraId="24F1915B">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4E401AB1">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337D876E">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24A7912D">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7D1C5D18">
            <w:pPr>
              <w:rPr>
                <w:rFonts w:hint="eastAsia" w:ascii="宋体" w:hAnsi="宋体" w:eastAsia="宋体" w:cs="宋体"/>
                <w:i w:val="0"/>
                <w:iCs w:val="0"/>
                <w:color w:val="000000"/>
                <w:sz w:val="18"/>
                <w:szCs w:val="18"/>
                <w:u w:val="none"/>
              </w:rPr>
            </w:pPr>
          </w:p>
        </w:tc>
        <w:tc>
          <w:tcPr>
            <w:tcW w:w="2541" w:type="dxa"/>
            <w:tcBorders>
              <w:top w:val="nil"/>
              <w:left w:val="nil"/>
              <w:bottom w:val="nil"/>
              <w:right w:val="nil"/>
            </w:tcBorders>
            <w:shd w:val="clear" w:color="auto" w:fill="auto"/>
            <w:vAlign w:val="center"/>
          </w:tcPr>
          <w:p w14:paraId="0B81F0A7">
            <w:pPr>
              <w:rPr>
                <w:rFonts w:hint="eastAsia" w:ascii="宋体" w:hAnsi="宋体" w:eastAsia="宋体" w:cs="宋体"/>
                <w:i w:val="0"/>
                <w:iCs w:val="0"/>
                <w:color w:val="000000"/>
                <w:sz w:val="18"/>
                <w:szCs w:val="18"/>
                <w:u w:val="none"/>
              </w:rPr>
            </w:pPr>
          </w:p>
        </w:tc>
      </w:tr>
      <w:tr w14:paraId="3C879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F443A02">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431FF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27A1A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FFFF00"/>
            <w:vAlign w:val="center"/>
          </w:tcPr>
          <w:p w14:paraId="560EB3D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51320024T000010663916-流动人员档案管理</w:t>
            </w:r>
          </w:p>
        </w:tc>
      </w:tr>
      <w:tr w14:paraId="5A863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0EB40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49AAFD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州人社局部门</w:t>
            </w:r>
          </w:p>
        </w:tc>
        <w:tc>
          <w:tcPr>
            <w:tcW w:w="1095" w:type="dxa"/>
            <w:tcBorders>
              <w:top w:val="nil"/>
              <w:left w:val="nil"/>
              <w:bottom w:val="nil"/>
              <w:right w:val="nil"/>
            </w:tcBorders>
            <w:shd w:val="clear" w:color="auto" w:fill="auto"/>
            <w:vAlign w:val="center"/>
          </w:tcPr>
          <w:p w14:paraId="1D00CC9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852C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w:t>
            </w:r>
          </w:p>
        </w:tc>
      </w:tr>
      <w:tr w14:paraId="0A54C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25DA5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8D13C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94CD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2B3337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07A8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83A3AC">
            <w:pP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A84E9E">
            <w:pPr>
              <w:rPr>
                <w:rFonts w:hint="eastAsia" w:ascii="宋体" w:hAnsi="宋体" w:eastAsia="宋体" w:cs="宋体"/>
                <w:i w:val="0"/>
                <w:iCs w:val="0"/>
                <w:color w:val="000000"/>
                <w:sz w:val="18"/>
                <w:szCs w:val="18"/>
                <w:u w:val="none"/>
              </w:rPr>
            </w:pP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203B3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年度公共服务耗材、流动人员人事档案数字化购买服务、公共服务人员能力培训、人力资源公共服务宣传活动及宣传品制作、托管档案人员就业岗位供需对接信息化建设、人力资源招聘对接活动、流动人员人事档案库房设施设备配置 "</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A3735B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完成公共服务耗材采购、流动人员人事档案数字化购买服务、公共服务人员能力提升培训、人力资源公共服务宣传活动及宣传品制作、人力资源招聘对接活动、托管档案人员就业岗位供需对接信息化建, 流动人员人事档案库房设施设备配。严格按照相关文件规定完成了采购项目。</w:t>
            </w:r>
          </w:p>
        </w:tc>
      </w:tr>
      <w:tr w14:paraId="643FF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0C5C83">
            <w:pP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650B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E4EADE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完成公共服务耗材采购、流动人员人事档案数字化购买服务、公共服务人员能力提升培训、人力资源公共服务宣传活动及宣传品制作、人力资源招聘对接活动、托管档案人员就业岗位供需对接信息化建, 流动人员人事档案库房设施设备配。严格按照相关文件规定完成了采购项目。</w:t>
            </w:r>
          </w:p>
        </w:tc>
      </w:tr>
      <w:tr w14:paraId="748DB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E427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EC4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566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146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39F0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709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C9D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3B3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80B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775C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D3C07C">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469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5D5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83A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C926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8AE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FAF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1E8D5">
            <w:pPr>
              <w:jc w:val="center"/>
              <w:rPr>
                <w:rFonts w:hint="eastAsia" w:ascii="宋体" w:hAnsi="宋体" w:eastAsia="宋体" w:cs="宋体"/>
                <w:i w:val="0"/>
                <w:iCs w:val="0"/>
                <w:color w:val="000000"/>
                <w:sz w:val="18"/>
                <w:szCs w:val="18"/>
                <w:u w:val="none"/>
              </w:rPr>
            </w:pPr>
          </w:p>
        </w:tc>
        <w:tc>
          <w:tcPr>
            <w:tcW w:w="2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8EDF16">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4CE29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2E99F0">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3C7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226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E37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0FA4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35D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601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9DF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53F01">
            <w:pPr>
              <w:rPr>
                <w:rFonts w:hint="eastAsia" w:ascii="黑体" w:hAnsi="黑体" w:eastAsia="黑体" w:cs="黑体"/>
                <w:i/>
                <w:iCs/>
                <w:color w:val="000000"/>
                <w:sz w:val="18"/>
                <w:szCs w:val="18"/>
                <w:u w:val="none"/>
              </w:rPr>
            </w:pPr>
          </w:p>
        </w:tc>
      </w:tr>
      <w:tr w14:paraId="770A5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586566">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66D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2AD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BCD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A9E4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148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C16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C3C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22EE33">
            <w:pPr>
              <w:rPr>
                <w:rFonts w:hint="eastAsia" w:ascii="黑体" w:hAnsi="黑体" w:eastAsia="黑体" w:cs="黑体"/>
                <w:i/>
                <w:iCs/>
                <w:color w:val="000000"/>
                <w:sz w:val="18"/>
                <w:szCs w:val="18"/>
                <w:u w:val="none"/>
              </w:rPr>
            </w:pPr>
          </w:p>
        </w:tc>
      </w:tr>
      <w:tr w14:paraId="160FE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11315D">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137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367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843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6A47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970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4D2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B55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760E60">
            <w:pPr>
              <w:rPr>
                <w:rFonts w:hint="eastAsia" w:ascii="黑体" w:hAnsi="黑体" w:eastAsia="黑体" w:cs="黑体"/>
                <w:i/>
                <w:iCs/>
                <w:color w:val="000000"/>
                <w:sz w:val="18"/>
                <w:szCs w:val="18"/>
                <w:u w:val="none"/>
              </w:rPr>
            </w:pPr>
          </w:p>
        </w:tc>
      </w:tr>
      <w:tr w14:paraId="3831A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A3898B">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45A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21244">
            <w:pPr>
              <w:jc w:val="center"/>
              <w:rPr>
                <w:rFonts w:hint="eastAsia" w:ascii="微软雅黑" w:hAnsi="微软雅黑" w:eastAsia="微软雅黑" w:cs="微软雅黑"/>
                <w:i/>
                <w:iCs/>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B3DE0">
            <w:pPr>
              <w:jc w:val="center"/>
              <w:rPr>
                <w:rFonts w:hint="eastAsia" w:ascii="微软雅黑" w:hAnsi="微软雅黑" w:eastAsia="微软雅黑" w:cs="微软雅黑"/>
                <w:i/>
                <w:iCs/>
                <w:color w:val="000000"/>
                <w:sz w:val="16"/>
                <w:szCs w:val="16"/>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04F6FB">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828A4">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0D4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993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27F0BF">
            <w:pPr>
              <w:rPr>
                <w:rFonts w:hint="eastAsia" w:ascii="黑体" w:hAnsi="黑体" w:eastAsia="黑体" w:cs="黑体"/>
                <w:i/>
                <w:iCs/>
                <w:color w:val="000000"/>
                <w:sz w:val="18"/>
                <w:szCs w:val="18"/>
                <w:u w:val="none"/>
              </w:rPr>
            </w:pPr>
          </w:p>
        </w:tc>
      </w:tr>
      <w:tr w14:paraId="581B5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A099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94D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A39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F54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E53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43F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4B6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D4F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D34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93F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991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7D8F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FB5295">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D5C9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9A4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39A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流动人员人事档案库房设施设备配置数量</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E79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084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2A5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0C95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247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608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39AE1">
            <w:pPr>
              <w:jc w:val="center"/>
              <w:rPr>
                <w:rFonts w:hint="eastAsia" w:ascii="微软雅黑" w:hAnsi="微软雅黑" w:eastAsia="微软雅黑" w:cs="微软雅黑"/>
                <w:i/>
                <w:iCs/>
                <w:color w:val="000000"/>
                <w:sz w:val="16"/>
                <w:szCs w:val="16"/>
                <w:u w:val="none"/>
              </w:rPr>
            </w:pPr>
          </w:p>
        </w:tc>
      </w:tr>
      <w:tr w14:paraId="197D4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5A5F92">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50A8CA">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3A6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90B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培训合格率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A5F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36E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1D8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57A9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E99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E69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2429C">
            <w:pPr>
              <w:jc w:val="center"/>
              <w:rPr>
                <w:rFonts w:hint="eastAsia" w:ascii="微软雅黑" w:hAnsi="微软雅黑" w:eastAsia="微软雅黑" w:cs="微软雅黑"/>
                <w:i/>
                <w:iCs/>
                <w:color w:val="000000"/>
                <w:sz w:val="16"/>
                <w:szCs w:val="16"/>
                <w:u w:val="none"/>
              </w:rPr>
            </w:pPr>
          </w:p>
        </w:tc>
      </w:tr>
      <w:tr w14:paraId="037F2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2A93C5">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DC66CF">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B01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0A0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流动人员档案管理工作完成时间</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416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B66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本年度11月底前</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0E5C1">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7129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本年度11月底前</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562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616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58C5C">
            <w:pPr>
              <w:jc w:val="center"/>
              <w:rPr>
                <w:rFonts w:hint="eastAsia" w:ascii="微软雅黑" w:hAnsi="微软雅黑" w:eastAsia="微软雅黑" w:cs="微软雅黑"/>
                <w:i/>
                <w:iCs/>
                <w:color w:val="000000"/>
                <w:sz w:val="16"/>
                <w:szCs w:val="16"/>
                <w:u w:val="none"/>
              </w:rPr>
            </w:pPr>
          </w:p>
        </w:tc>
      </w:tr>
      <w:tr w14:paraId="13AC3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EA7985">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9FD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53D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998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让高校毕业生办理档案转接高效、快捷</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5D9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248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6E8F6">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689D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高</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797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85D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1565B">
            <w:pPr>
              <w:jc w:val="center"/>
              <w:rPr>
                <w:rFonts w:hint="eastAsia" w:ascii="微软雅黑" w:hAnsi="微软雅黑" w:eastAsia="微软雅黑" w:cs="微软雅黑"/>
                <w:i/>
                <w:iCs/>
                <w:color w:val="000000"/>
                <w:sz w:val="16"/>
                <w:szCs w:val="16"/>
                <w:u w:val="none"/>
              </w:rPr>
            </w:pPr>
          </w:p>
        </w:tc>
      </w:tr>
      <w:tr w14:paraId="158C0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E71ECB">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172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A90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704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寄存档案大中专毕业生满意度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A5D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BCA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F4F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759A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830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D44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D50E6">
            <w:pPr>
              <w:jc w:val="center"/>
              <w:rPr>
                <w:rFonts w:hint="eastAsia" w:ascii="微软雅黑" w:hAnsi="微软雅黑" w:eastAsia="微软雅黑" w:cs="微软雅黑"/>
                <w:i/>
                <w:iCs/>
                <w:color w:val="000000"/>
                <w:sz w:val="16"/>
                <w:szCs w:val="16"/>
                <w:u w:val="none"/>
              </w:rPr>
            </w:pPr>
          </w:p>
        </w:tc>
      </w:tr>
      <w:tr w14:paraId="4B0A8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3DB09D">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5B69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CB0A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7B0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348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E66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564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AEB6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0.84</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15B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742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369F8">
            <w:pPr>
              <w:jc w:val="center"/>
              <w:rPr>
                <w:rFonts w:hint="eastAsia" w:ascii="微软雅黑" w:hAnsi="微软雅黑" w:eastAsia="微软雅黑" w:cs="微软雅黑"/>
                <w:i/>
                <w:iCs/>
                <w:color w:val="000000"/>
                <w:sz w:val="16"/>
                <w:szCs w:val="16"/>
                <w:u w:val="none"/>
              </w:rPr>
            </w:pPr>
          </w:p>
        </w:tc>
      </w:tr>
      <w:tr w14:paraId="13B16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CAA8B7">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F1FC9D">
            <w:pPr>
              <w:jc w:val="center"/>
              <w:rPr>
                <w:rFonts w:hint="eastAsia" w:ascii="宋体" w:hAnsi="宋体" w:eastAsia="宋体" w:cs="宋体"/>
                <w:i w:val="0"/>
                <w:iCs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FBD05A">
            <w:pPr>
              <w:jc w:val="center"/>
              <w:rPr>
                <w:rFonts w:hint="eastAsia" w:ascii="宋体" w:hAnsi="宋体" w:eastAsia="宋体" w:cs="宋体"/>
                <w:i w:val="0"/>
                <w:iCs w:val="0"/>
                <w:color w:val="000000"/>
                <w:sz w:val="18"/>
                <w:szCs w:val="18"/>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FE0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项目总成本</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F71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A8F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CBA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CA54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8AA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B9D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BC052">
            <w:pPr>
              <w:jc w:val="center"/>
              <w:rPr>
                <w:rFonts w:hint="eastAsia" w:ascii="微软雅黑" w:hAnsi="微软雅黑" w:eastAsia="微软雅黑" w:cs="微软雅黑"/>
                <w:i/>
                <w:iCs/>
                <w:color w:val="000000"/>
                <w:sz w:val="16"/>
                <w:szCs w:val="16"/>
                <w:u w:val="none"/>
              </w:rPr>
            </w:pPr>
          </w:p>
        </w:tc>
      </w:tr>
      <w:tr w14:paraId="7C3D1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57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5E011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52F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E2AD6">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044E9">
            <w:pPr>
              <w:rPr>
                <w:rFonts w:hint="eastAsia" w:ascii="宋体" w:hAnsi="宋体" w:eastAsia="宋体" w:cs="宋体"/>
                <w:i w:val="0"/>
                <w:iCs w:val="0"/>
                <w:color w:val="000000"/>
                <w:sz w:val="18"/>
                <w:szCs w:val="18"/>
                <w:u w:val="none"/>
              </w:rPr>
            </w:pPr>
          </w:p>
        </w:tc>
      </w:tr>
      <w:tr w14:paraId="4CF59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E14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FACBA7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项目完成情况较好</w:t>
            </w:r>
          </w:p>
        </w:tc>
      </w:tr>
      <w:tr w14:paraId="07218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B08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15BE42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C42A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261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5DADB9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3AB7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28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756E2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项目负责人：刘菲</w:t>
            </w:r>
          </w:p>
        </w:tc>
        <w:tc>
          <w:tcPr>
            <w:tcW w:w="68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2D0B0D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财务负责人：宁华荣</w:t>
            </w:r>
          </w:p>
        </w:tc>
      </w:tr>
      <w:tr w14:paraId="1F3E0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89" w:type="dxa"/>
            <w:tcBorders>
              <w:top w:val="nil"/>
              <w:left w:val="nil"/>
              <w:bottom w:val="nil"/>
              <w:right w:val="nil"/>
            </w:tcBorders>
            <w:shd w:val="clear" w:color="auto" w:fill="auto"/>
            <w:vAlign w:val="center"/>
          </w:tcPr>
          <w:p w14:paraId="6862586D">
            <w:pPr>
              <w:rPr>
                <w:rFonts w:hint="eastAsia" w:ascii="宋体" w:hAnsi="宋体" w:eastAsia="宋体" w:cs="宋体"/>
                <w:i w:val="0"/>
                <w:iCs w:val="0"/>
                <w:color w:val="000000"/>
                <w:sz w:val="18"/>
                <w:szCs w:val="18"/>
                <w:u w:val="none"/>
              </w:rPr>
            </w:pPr>
          </w:p>
        </w:tc>
        <w:tc>
          <w:tcPr>
            <w:tcW w:w="2048" w:type="dxa"/>
            <w:tcBorders>
              <w:top w:val="nil"/>
              <w:left w:val="nil"/>
              <w:bottom w:val="nil"/>
              <w:right w:val="nil"/>
            </w:tcBorders>
            <w:shd w:val="clear" w:color="auto" w:fill="auto"/>
            <w:vAlign w:val="center"/>
          </w:tcPr>
          <w:p w14:paraId="6CBCB057">
            <w:pPr>
              <w:rPr>
                <w:rFonts w:hint="eastAsia" w:ascii="宋体" w:hAnsi="宋体" w:eastAsia="宋体" w:cs="宋体"/>
                <w:i w:val="0"/>
                <w:iCs w:val="0"/>
                <w:color w:val="000000"/>
                <w:sz w:val="18"/>
                <w:szCs w:val="18"/>
                <w:u w:val="none"/>
              </w:rPr>
            </w:pPr>
          </w:p>
        </w:tc>
        <w:tc>
          <w:tcPr>
            <w:tcW w:w="1764" w:type="dxa"/>
            <w:tcBorders>
              <w:top w:val="nil"/>
              <w:left w:val="nil"/>
              <w:bottom w:val="nil"/>
              <w:right w:val="nil"/>
            </w:tcBorders>
            <w:shd w:val="clear" w:color="auto" w:fill="auto"/>
            <w:vAlign w:val="center"/>
          </w:tcPr>
          <w:p w14:paraId="751D1774">
            <w:pPr>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vAlign w:val="center"/>
          </w:tcPr>
          <w:p w14:paraId="1E96FBF1">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44A02267">
            <w:pPr>
              <w:rPr>
                <w:rFonts w:hint="eastAsia" w:ascii="宋体" w:hAnsi="宋体" w:eastAsia="宋体" w:cs="宋体"/>
                <w:i w:val="0"/>
                <w:iCs w:val="0"/>
                <w:color w:val="000000"/>
                <w:sz w:val="18"/>
                <w:szCs w:val="18"/>
                <w:u w:val="none"/>
              </w:rPr>
            </w:pPr>
          </w:p>
        </w:tc>
        <w:tc>
          <w:tcPr>
            <w:tcW w:w="1674" w:type="dxa"/>
            <w:tcBorders>
              <w:top w:val="nil"/>
              <w:left w:val="nil"/>
              <w:bottom w:val="nil"/>
              <w:right w:val="nil"/>
            </w:tcBorders>
            <w:shd w:val="clear" w:color="auto" w:fill="auto"/>
            <w:vAlign w:val="center"/>
          </w:tcPr>
          <w:p w14:paraId="69F2DB6B">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4BC8E117">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7E41B7C6">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683F6A50">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0846D2A7">
            <w:pPr>
              <w:rPr>
                <w:rFonts w:hint="eastAsia" w:ascii="宋体" w:hAnsi="宋体" w:eastAsia="宋体" w:cs="宋体"/>
                <w:i w:val="0"/>
                <w:iCs w:val="0"/>
                <w:color w:val="000000"/>
                <w:sz w:val="18"/>
                <w:szCs w:val="18"/>
                <w:u w:val="none"/>
              </w:rPr>
            </w:pPr>
          </w:p>
        </w:tc>
        <w:tc>
          <w:tcPr>
            <w:tcW w:w="2541" w:type="dxa"/>
            <w:tcBorders>
              <w:top w:val="nil"/>
              <w:left w:val="nil"/>
              <w:bottom w:val="nil"/>
              <w:right w:val="nil"/>
            </w:tcBorders>
            <w:shd w:val="clear" w:color="auto" w:fill="auto"/>
            <w:vAlign w:val="center"/>
          </w:tcPr>
          <w:p w14:paraId="074FDC43">
            <w:pPr>
              <w:rPr>
                <w:rFonts w:hint="eastAsia" w:ascii="宋体" w:hAnsi="宋体" w:eastAsia="宋体" w:cs="宋体"/>
                <w:i w:val="0"/>
                <w:iCs w:val="0"/>
                <w:color w:val="000000"/>
                <w:sz w:val="18"/>
                <w:szCs w:val="18"/>
                <w:u w:val="none"/>
              </w:rPr>
            </w:pPr>
          </w:p>
        </w:tc>
      </w:tr>
      <w:tr w14:paraId="34575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3AC2AE3">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8220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DBE0D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1870BE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51320024T000010664039-事业人员岗前及提升培训</w:t>
            </w:r>
          </w:p>
        </w:tc>
      </w:tr>
      <w:tr w14:paraId="4779A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B428B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BC0A43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州人社局部门</w:t>
            </w:r>
          </w:p>
        </w:tc>
        <w:tc>
          <w:tcPr>
            <w:tcW w:w="1095" w:type="dxa"/>
            <w:tcBorders>
              <w:top w:val="nil"/>
              <w:left w:val="nil"/>
              <w:bottom w:val="nil"/>
              <w:right w:val="nil"/>
            </w:tcBorders>
            <w:shd w:val="clear" w:color="auto" w:fill="auto"/>
            <w:vAlign w:val="center"/>
          </w:tcPr>
          <w:p w14:paraId="1FE33D0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A4E8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w:t>
            </w:r>
          </w:p>
        </w:tc>
      </w:tr>
      <w:tr w14:paraId="0982B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0AC29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06CB1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A605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D03D86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06C4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D445FB">
            <w:pP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AEFD4">
            <w:pPr>
              <w:rPr>
                <w:rFonts w:hint="eastAsia" w:ascii="宋体" w:hAnsi="宋体" w:eastAsia="宋体" w:cs="宋体"/>
                <w:i w:val="0"/>
                <w:iCs w:val="0"/>
                <w:color w:val="000000"/>
                <w:sz w:val="18"/>
                <w:szCs w:val="18"/>
                <w:u w:val="none"/>
              </w:rPr>
            </w:pP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73136A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通过培训，提升事业单位新进人员、“9+3”工作人员的政治鉴别能力、公共服务能力、学习能力、履职能力、沟通协调能力、心理调适能力，使其尽快熟悉、掌握履行职责所需的基本知识与技能。  </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E990A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433FA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D976D5">
            <w:pP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7009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7256A7E">
            <w:pPr>
              <w:rPr>
                <w:rFonts w:hint="eastAsia" w:ascii="宋体" w:hAnsi="宋体" w:eastAsia="宋体" w:cs="宋体"/>
                <w:i w:val="0"/>
                <w:iCs w:val="0"/>
                <w:color w:val="000000"/>
                <w:sz w:val="18"/>
                <w:szCs w:val="18"/>
                <w:u w:val="none"/>
              </w:rPr>
            </w:pPr>
          </w:p>
        </w:tc>
      </w:tr>
      <w:tr w14:paraId="7734D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17A1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48D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CE5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DAA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B96F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A51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C6B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453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CFB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1F46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123A1D">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F46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31F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3E6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27.49</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6857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27.49</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84A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5EA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5C66A">
            <w:pPr>
              <w:jc w:val="center"/>
              <w:rPr>
                <w:rFonts w:hint="eastAsia" w:ascii="宋体" w:hAnsi="宋体" w:eastAsia="宋体" w:cs="宋体"/>
                <w:i w:val="0"/>
                <w:iCs w:val="0"/>
                <w:color w:val="000000"/>
                <w:sz w:val="18"/>
                <w:szCs w:val="18"/>
                <w:u w:val="none"/>
              </w:rPr>
            </w:pPr>
          </w:p>
        </w:tc>
        <w:tc>
          <w:tcPr>
            <w:tcW w:w="2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A28446">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09D9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C6DFAC">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2CE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D79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73D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27.49</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93AB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27.49</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DF6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9B1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3F6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30B38A">
            <w:pPr>
              <w:rPr>
                <w:rFonts w:hint="eastAsia" w:ascii="黑体" w:hAnsi="黑体" w:eastAsia="黑体" w:cs="黑体"/>
                <w:i/>
                <w:iCs/>
                <w:color w:val="000000"/>
                <w:sz w:val="18"/>
                <w:szCs w:val="18"/>
                <w:u w:val="none"/>
              </w:rPr>
            </w:pPr>
          </w:p>
        </w:tc>
      </w:tr>
      <w:tr w14:paraId="0E1AF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F23754">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569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A05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B15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B725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7E6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A5C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CD6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18DAD7">
            <w:pPr>
              <w:rPr>
                <w:rFonts w:hint="eastAsia" w:ascii="黑体" w:hAnsi="黑体" w:eastAsia="黑体" w:cs="黑体"/>
                <w:i/>
                <w:iCs/>
                <w:color w:val="000000"/>
                <w:sz w:val="18"/>
                <w:szCs w:val="18"/>
                <w:u w:val="none"/>
              </w:rPr>
            </w:pPr>
          </w:p>
        </w:tc>
      </w:tr>
      <w:tr w14:paraId="344EB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F087BB">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56F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CB2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6D0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EC09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975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07D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0B7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46CB5">
            <w:pPr>
              <w:rPr>
                <w:rFonts w:hint="eastAsia" w:ascii="黑体" w:hAnsi="黑体" w:eastAsia="黑体" w:cs="黑体"/>
                <w:i/>
                <w:iCs/>
                <w:color w:val="000000"/>
                <w:sz w:val="18"/>
                <w:szCs w:val="18"/>
                <w:u w:val="none"/>
              </w:rPr>
            </w:pPr>
          </w:p>
        </w:tc>
      </w:tr>
      <w:tr w14:paraId="46169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A8B308">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1A0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908CF">
            <w:pPr>
              <w:jc w:val="center"/>
              <w:rPr>
                <w:rFonts w:hint="eastAsia" w:ascii="微软雅黑" w:hAnsi="微软雅黑" w:eastAsia="微软雅黑" w:cs="微软雅黑"/>
                <w:i/>
                <w:iCs/>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0EF5E">
            <w:pPr>
              <w:jc w:val="center"/>
              <w:rPr>
                <w:rFonts w:hint="eastAsia" w:ascii="微软雅黑" w:hAnsi="微软雅黑" w:eastAsia="微软雅黑" w:cs="微软雅黑"/>
                <w:i/>
                <w:iCs/>
                <w:color w:val="000000"/>
                <w:sz w:val="16"/>
                <w:szCs w:val="16"/>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687E46">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620E6">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59F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78A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93836D">
            <w:pPr>
              <w:rPr>
                <w:rFonts w:hint="eastAsia" w:ascii="黑体" w:hAnsi="黑体" w:eastAsia="黑体" w:cs="黑体"/>
                <w:i/>
                <w:iCs/>
                <w:color w:val="000000"/>
                <w:sz w:val="18"/>
                <w:szCs w:val="18"/>
                <w:u w:val="none"/>
              </w:rPr>
            </w:pPr>
          </w:p>
        </w:tc>
      </w:tr>
      <w:tr w14:paraId="65ED0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0C33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C29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F56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BC8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C26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ADA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126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5E0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BE9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49C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D97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404B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5D62DF">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48FE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72A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E19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事业单位新进人员人数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AB9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FFF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D95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2BC85">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8BE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FF53A">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985DE">
            <w:pPr>
              <w:jc w:val="center"/>
              <w:rPr>
                <w:rFonts w:hint="eastAsia" w:ascii="微软雅黑" w:hAnsi="微软雅黑" w:eastAsia="微软雅黑" w:cs="微软雅黑"/>
                <w:i/>
                <w:iCs/>
                <w:color w:val="000000"/>
                <w:sz w:val="16"/>
                <w:szCs w:val="16"/>
                <w:u w:val="none"/>
              </w:rPr>
            </w:pPr>
          </w:p>
        </w:tc>
      </w:tr>
      <w:tr w14:paraId="6817E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DC8917">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156F6D">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EB8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DC4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参训人员合格率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EBA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CC7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EB0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C8A88">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053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15A24">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D0996">
            <w:pPr>
              <w:jc w:val="center"/>
              <w:rPr>
                <w:rFonts w:hint="eastAsia" w:ascii="微软雅黑" w:hAnsi="微软雅黑" w:eastAsia="微软雅黑" w:cs="微软雅黑"/>
                <w:i/>
                <w:iCs/>
                <w:color w:val="000000"/>
                <w:sz w:val="16"/>
                <w:szCs w:val="16"/>
                <w:u w:val="none"/>
              </w:rPr>
            </w:pPr>
          </w:p>
        </w:tc>
      </w:tr>
      <w:tr w14:paraId="7CCAF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61DCBF">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403C75">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EC9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105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项目资金支付及时率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23E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AA1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5EB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8A8F0">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7B5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21E59">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3A3D9">
            <w:pPr>
              <w:jc w:val="center"/>
              <w:rPr>
                <w:rFonts w:hint="eastAsia" w:ascii="微软雅黑" w:hAnsi="微软雅黑" w:eastAsia="微软雅黑" w:cs="微软雅黑"/>
                <w:i/>
                <w:iCs/>
                <w:color w:val="000000"/>
                <w:sz w:val="16"/>
                <w:szCs w:val="16"/>
                <w:u w:val="none"/>
              </w:rPr>
            </w:pPr>
          </w:p>
        </w:tc>
      </w:tr>
      <w:tr w14:paraId="3DC5C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33911">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059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497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EDF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提高参训人员业务能力</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357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C2B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提高参训人员业务能力</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43755">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68039">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EE7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7CC02">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E42DC">
            <w:pPr>
              <w:jc w:val="center"/>
              <w:rPr>
                <w:rFonts w:hint="eastAsia" w:ascii="微软雅黑" w:hAnsi="微软雅黑" w:eastAsia="微软雅黑" w:cs="微软雅黑"/>
                <w:i/>
                <w:iCs/>
                <w:color w:val="000000"/>
                <w:sz w:val="16"/>
                <w:szCs w:val="16"/>
                <w:u w:val="none"/>
              </w:rPr>
            </w:pPr>
          </w:p>
        </w:tc>
      </w:tr>
      <w:tr w14:paraId="4B555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39DCA7">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DAA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3A3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697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参训对象的满意度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4F3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F31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D03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2463B">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8AF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9EEA8">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6E9A3">
            <w:pPr>
              <w:jc w:val="center"/>
              <w:rPr>
                <w:rFonts w:hint="eastAsia" w:ascii="微软雅黑" w:hAnsi="微软雅黑" w:eastAsia="微软雅黑" w:cs="微软雅黑"/>
                <w:i/>
                <w:iCs/>
                <w:color w:val="000000"/>
                <w:sz w:val="16"/>
                <w:szCs w:val="16"/>
                <w:u w:val="none"/>
              </w:rPr>
            </w:pPr>
          </w:p>
        </w:tc>
      </w:tr>
      <w:tr w14:paraId="3838B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95F599">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4616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D71E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A3B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项目总费用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19A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90F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3AC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94C0C">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D54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A00CE">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82598">
            <w:pPr>
              <w:jc w:val="center"/>
              <w:rPr>
                <w:rFonts w:hint="eastAsia" w:ascii="微软雅黑" w:hAnsi="微软雅黑" w:eastAsia="微软雅黑" w:cs="微软雅黑"/>
                <w:i/>
                <w:iCs/>
                <w:color w:val="000000"/>
                <w:sz w:val="16"/>
                <w:szCs w:val="16"/>
                <w:u w:val="none"/>
              </w:rPr>
            </w:pPr>
          </w:p>
        </w:tc>
      </w:tr>
      <w:tr w14:paraId="254C8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FDE8E">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3BEB21">
            <w:pPr>
              <w:jc w:val="center"/>
              <w:rPr>
                <w:rFonts w:hint="eastAsia" w:ascii="宋体" w:hAnsi="宋体" w:eastAsia="宋体" w:cs="宋体"/>
                <w:i w:val="0"/>
                <w:iCs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CE8172">
            <w:pPr>
              <w:jc w:val="center"/>
              <w:rPr>
                <w:rFonts w:hint="eastAsia" w:ascii="宋体" w:hAnsi="宋体" w:eastAsia="宋体" w:cs="宋体"/>
                <w:i w:val="0"/>
                <w:iCs w:val="0"/>
                <w:color w:val="000000"/>
                <w:sz w:val="18"/>
                <w:szCs w:val="18"/>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390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999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3A5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B25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B640C">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AD1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B7A34">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E9D4E">
            <w:pPr>
              <w:jc w:val="center"/>
              <w:rPr>
                <w:rFonts w:hint="eastAsia" w:ascii="微软雅黑" w:hAnsi="微软雅黑" w:eastAsia="微软雅黑" w:cs="微软雅黑"/>
                <w:i/>
                <w:iCs/>
                <w:color w:val="000000"/>
                <w:sz w:val="16"/>
                <w:szCs w:val="16"/>
                <w:u w:val="none"/>
              </w:rPr>
            </w:pPr>
          </w:p>
        </w:tc>
      </w:tr>
      <w:tr w14:paraId="01272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57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E7A39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479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AB8F8">
            <w:pP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0E008">
            <w:pPr>
              <w:rPr>
                <w:rFonts w:hint="eastAsia" w:ascii="宋体" w:hAnsi="宋体" w:eastAsia="宋体" w:cs="宋体"/>
                <w:i w:val="0"/>
                <w:iCs w:val="0"/>
                <w:color w:val="000000"/>
                <w:sz w:val="18"/>
                <w:szCs w:val="18"/>
                <w:u w:val="none"/>
              </w:rPr>
            </w:pPr>
          </w:p>
        </w:tc>
      </w:tr>
      <w:tr w14:paraId="7C239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F15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38E5FA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413EC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A15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597A4A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6E442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2B1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1D4081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0DC72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89" w:type="dxa"/>
            <w:tcBorders>
              <w:top w:val="nil"/>
              <w:left w:val="nil"/>
              <w:bottom w:val="nil"/>
              <w:right w:val="nil"/>
            </w:tcBorders>
            <w:shd w:val="clear" w:color="auto" w:fill="auto"/>
            <w:vAlign w:val="center"/>
          </w:tcPr>
          <w:p w14:paraId="13CA3179">
            <w:pPr>
              <w:rPr>
                <w:rFonts w:hint="eastAsia" w:ascii="宋体" w:hAnsi="宋体" w:eastAsia="宋体" w:cs="宋体"/>
                <w:i w:val="0"/>
                <w:iCs w:val="0"/>
                <w:color w:val="000000"/>
                <w:sz w:val="18"/>
                <w:szCs w:val="18"/>
                <w:u w:val="none"/>
              </w:rPr>
            </w:pPr>
          </w:p>
        </w:tc>
        <w:tc>
          <w:tcPr>
            <w:tcW w:w="2048" w:type="dxa"/>
            <w:tcBorders>
              <w:top w:val="nil"/>
              <w:left w:val="nil"/>
              <w:bottom w:val="nil"/>
              <w:right w:val="nil"/>
            </w:tcBorders>
            <w:shd w:val="clear" w:color="auto" w:fill="auto"/>
            <w:vAlign w:val="center"/>
          </w:tcPr>
          <w:p w14:paraId="57D09645">
            <w:pPr>
              <w:rPr>
                <w:rFonts w:hint="eastAsia" w:ascii="宋体" w:hAnsi="宋体" w:eastAsia="宋体" w:cs="宋体"/>
                <w:i w:val="0"/>
                <w:iCs w:val="0"/>
                <w:color w:val="000000"/>
                <w:sz w:val="18"/>
                <w:szCs w:val="18"/>
                <w:u w:val="none"/>
              </w:rPr>
            </w:pPr>
          </w:p>
        </w:tc>
        <w:tc>
          <w:tcPr>
            <w:tcW w:w="1764" w:type="dxa"/>
            <w:tcBorders>
              <w:top w:val="nil"/>
              <w:left w:val="nil"/>
              <w:bottom w:val="nil"/>
              <w:right w:val="nil"/>
            </w:tcBorders>
            <w:shd w:val="clear" w:color="auto" w:fill="auto"/>
            <w:vAlign w:val="center"/>
          </w:tcPr>
          <w:p w14:paraId="26B688D9">
            <w:pPr>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vAlign w:val="center"/>
          </w:tcPr>
          <w:p w14:paraId="42834621">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58FF01A5">
            <w:pPr>
              <w:rPr>
                <w:rFonts w:hint="eastAsia" w:ascii="宋体" w:hAnsi="宋体" w:eastAsia="宋体" w:cs="宋体"/>
                <w:i w:val="0"/>
                <w:iCs w:val="0"/>
                <w:color w:val="000000"/>
                <w:sz w:val="18"/>
                <w:szCs w:val="18"/>
                <w:u w:val="none"/>
              </w:rPr>
            </w:pPr>
          </w:p>
        </w:tc>
        <w:tc>
          <w:tcPr>
            <w:tcW w:w="1674" w:type="dxa"/>
            <w:tcBorders>
              <w:top w:val="nil"/>
              <w:left w:val="nil"/>
              <w:bottom w:val="nil"/>
              <w:right w:val="nil"/>
            </w:tcBorders>
            <w:shd w:val="clear" w:color="auto" w:fill="auto"/>
            <w:vAlign w:val="center"/>
          </w:tcPr>
          <w:p w14:paraId="2278A633">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5C9B7208">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527A1E13">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517CE08A">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2A747D1C">
            <w:pPr>
              <w:rPr>
                <w:rFonts w:hint="eastAsia" w:ascii="宋体" w:hAnsi="宋体" w:eastAsia="宋体" w:cs="宋体"/>
                <w:i w:val="0"/>
                <w:iCs w:val="0"/>
                <w:color w:val="000000"/>
                <w:sz w:val="18"/>
                <w:szCs w:val="18"/>
                <w:u w:val="none"/>
              </w:rPr>
            </w:pPr>
          </w:p>
        </w:tc>
        <w:tc>
          <w:tcPr>
            <w:tcW w:w="2541" w:type="dxa"/>
            <w:tcBorders>
              <w:top w:val="nil"/>
              <w:left w:val="nil"/>
              <w:bottom w:val="nil"/>
              <w:right w:val="nil"/>
            </w:tcBorders>
            <w:shd w:val="clear" w:color="auto" w:fill="auto"/>
            <w:vAlign w:val="center"/>
          </w:tcPr>
          <w:p w14:paraId="03CB45A6">
            <w:pPr>
              <w:rPr>
                <w:rFonts w:hint="eastAsia" w:ascii="宋体" w:hAnsi="宋体" w:eastAsia="宋体" w:cs="宋体"/>
                <w:i w:val="0"/>
                <w:iCs w:val="0"/>
                <w:color w:val="000000"/>
                <w:sz w:val="18"/>
                <w:szCs w:val="18"/>
                <w:u w:val="none"/>
              </w:rPr>
            </w:pPr>
          </w:p>
        </w:tc>
      </w:tr>
      <w:tr w14:paraId="69CF7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9F0EF28">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CC32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B1F65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FFFF00"/>
            <w:vAlign w:val="center"/>
          </w:tcPr>
          <w:p w14:paraId="21FA528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51320024T000010711845-国产电脑更新</w:t>
            </w:r>
          </w:p>
        </w:tc>
      </w:tr>
      <w:tr w14:paraId="21C2D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F80D7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C0E2E0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州人社局部门</w:t>
            </w:r>
          </w:p>
        </w:tc>
        <w:tc>
          <w:tcPr>
            <w:tcW w:w="1095" w:type="dxa"/>
            <w:tcBorders>
              <w:top w:val="nil"/>
              <w:left w:val="nil"/>
              <w:bottom w:val="nil"/>
              <w:right w:val="nil"/>
            </w:tcBorders>
            <w:shd w:val="clear" w:color="auto" w:fill="auto"/>
            <w:vAlign w:val="center"/>
          </w:tcPr>
          <w:p w14:paraId="5DABF66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7CB2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w:t>
            </w:r>
          </w:p>
        </w:tc>
      </w:tr>
      <w:tr w14:paraId="45D08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7E9B2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B4AB9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9FD43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A14D72">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D090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2C9AE2">
            <w:pP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884A6E">
            <w:pPr>
              <w:rPr>
                <w:rFonts w:hint="eastAsia" w:ascii="宋体" w:hAnsi="宋体" w:eastAsia="宋体" w:cs="宋体"/>
                <w:i w:val="0"/>
                <w:iCs w:val="0"/>
                <w:color w:val="000000"/>
                <w:sz w:val="18"/>
                <w:szCs w:val="18"/>
                <w:u w:val="none"/>
              </w:rPr>
            </w:pP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48097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国产电脑更新</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CB492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按照相关规定进行国产电脑采购</w:t>
            </w:r>
          </w:p>
        </w:tc>
      </w:tr>
      <w:tr w14:paraId="5CEDA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6363C6">
            <w:pP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5CB5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08DED2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按照相关规定进行国产电脑采购，同时进行国产电脑更新。</w:t>
            </w:r>
          </w:p>
        </w:tc>
      </w:tr>
      <w:tr w14:paraId="6A752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57CC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FBC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83D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4F7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D251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A09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8E0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96C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A57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D4AF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DBF4DB">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B78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1E0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3A5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1.19</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B88C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1.19</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736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FC6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A80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6AD7EF">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886C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1A59D2">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214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7C2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DA4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1.19</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EED6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1.19</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B05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717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B35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E1B3A3">
            <w:pPr>
              <w:rPr>
                <w:rFonts w:hint="eastAsia" w:ascii="黑体" w:hAnsi="黑体" w:eastAsia="黑体" w:cs="黑体"/>
                <w:i/>
                <w:iCs/>
                <w:color w:val="000000"/>
                <w:sz w:val="18"/>
                <w:szCs w:val="18"/>
                <w:u w:val="none"/>
              </w:rPr>
            </w:pPr>
          </w:p>
        </w:tc>
      </w:tr>
      <w:tr w14:paraId="3E548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590CBA">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140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444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23A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1C85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41C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DA0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5A4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F02C76">
            <w:pPr>
              <w:rPr>
                <w:rFonts w:hint="eastAsia" w:ascii="黑体" w:hAnsi="黑体" w:eastAsia="黑体" w:cs="黑体"/>
                <w:i/>
                <w:iCs/>
                <w:color w:val="000000"/>
                <w:sz w:val="18"/>
                <w:szCs w:val="18"/>
                <w:u w:val="none"/>
              </w:rPr>
            </w:pPr>
          </w:p>
        </w:tc>
      </w:tr>
      <w:tr w14:paraId="15F44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FDF50D">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BBD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605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AF5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0C23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A29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CDE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27B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9F4D08">
            <w:pPr>
              <w:rPr>
                <w:rFonts w:hint="eastAsia" w:ascii="黑体" w:hAnsi="黑体" w:eastAsia="黑体" w:cs="黑体"/>
                <w:i/>
                <w:iCs/>
                <w:color w:val="000000"/>
                <w:sz w:val="18"/>
                <w:szCs w:val="18"/>
                <w:u w:val="none"/>
              </w:rPr>
            </w:pPr>
          </w:p>
        </w:tc>
      </w:tr>
      <w:tr w14:paraId="0D303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997987">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2D0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96A88">
            <w:pPr>
              <w:jc w:val="center"/>
              <w:rPr>
                <w:rFonts w:hint="eastAsia" w:ascii="微软雅黑" w:hAnsi="微软雅黑" w:eastAsia="微软雅黑" w:cs="微软雅黑"/>
                <w:i/>
                <w:iCs/>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B09D8">
            <w:pPr>
              <w:jc w:val="center"/>
              <w:rPr>
                <w:rFonts w:hint="eastAsia" w:ascii="微软雅黑" w:hAnsi="微软雅黑" w:eastAsia="微软雅黑" w:cs="微软雅黑"/>
                <w:i/>
                <w:iCs/>
                <w:color w:val="000000"/>
                <w:sz w:val="16"/>
                <w:szCs w:val="16"/>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93EC90">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02F8A">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8B9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FA9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56122A">
            <w:pPr>
              <w:rPr>
                <w:rFonts w:hint="eastAsia" w:ascii="黑体" w:hAnsi="黑体" w:eastAsia="黑体" w:cs="黑体"/>
                <w:i/>
                <w:iCs/>
                <w:color w:val="000000"/>
                <w:sz w:val="18"/>
                <w:szCs w:val="18"/>
                <w:u w:val="none"/>
              </w:rPr>
            </w:pPr>
          </w:p>
        </w:tc>
      </w:tr>
      <w:tr w14:paraId="217F6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9383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AB6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FF5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60B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0A5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DFA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8AE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CCA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416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62A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178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D219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1AAA60">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2BD1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60F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7BC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更新国产电脑数量</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AFE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058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443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55B5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B6E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D66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68B80">
            <w:pPr>
              <w:jc w:val="center"/>
              <w:rPr>
                <w:rFonts w:hint="eastAsia" w:ascii="微软雅黑" w:hAnsi="微软雅黑" w:eastAsia="微软雅黑" w:cs="微软雅黑"/>
                <w:i/>
                <w:iCs/>
                <w:color w:val="000000"/>
                <w:sz w:val="16"/>
                <w:szCs w:val="16"/>
                <w:u w:val="none"/>
              </w:rPr>
            </w:pPr>
          </w:p>
        </w:tc>
      </w:tr>
      <w:tr w14:paraId="61F15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120649">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3AA478">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525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779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国产电脑更新率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EF3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02D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21D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DC4B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658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DFD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4DF79">
            <w:pPr>
              <w:jc w:val="center"/>
              <w:rPr>
                <w:rFonts w:hint="eastAsia" w:ascii="微软雅黑" w:hAnsi="微软雅黑" w:eastAsia="微软雅黑" w:cs="微软雅黑"/>
                <w:i/>
                <w:iCs/>
                <w:color w:val="000000"/>
                <w:sz w:val="16"/>
                <w:szCs w:val="16"/>
                <w:u w:val="none"/>
              </w:rPr>
            </w:pPr>
          </w:p>
        </w:tc>
      </w:tr>
      <w:tr w14:paraId="3D3E5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7BD165">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04828E">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323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7AF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将于2024年11月底前完成高项目</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852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56F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及时完成</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D9761">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4313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及时完成</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74C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CB6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648A9">
            <w:pPr>
              <w:jc w:val="center"/>
              <w:rPr>
                <w:rFonts w:hint="eastAsia" w:ascii="微软雅黑" w:hAnsi="微软雅黑" w:eastAsia="微软雅黑" w:cs="微软雅黑"/>
                <w:i/>
                <w:iCs/>
                <w:color w:val="000000"/>
                <w:sz w:val="16"/>
                <w:szCs w:val="16"/>
                <w:u w:val="none"/>
              </w:rPr>
            </w:pPr>
          </w:p>
        </w:tc>
      </w:tr>
      <w:tr w14:paraId="01652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D81D91">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D15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373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BB0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国产电脑更新，促进办公设备的使用效率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36F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A00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有效促进</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466B9">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11FE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有效促进</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943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51F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99FB1">
            <w:pPr>
              <w:jc w:val="center"/>
              <w:rPr>
                <w:rFonts w:hint="eastAsia" w:ascii="微软雅黑" w:hAnsi="微软雅黑" w:eastAsia="微软雅黑" w:cs="微软雅黑"/>
                <w:i/>
                <w:iCs/>
                <w:color w:val="000000"/>
                <w:sz w:val="16"/>
                <w:szCs w:val="16"/>
                <w:u w:val="none"/>
              </w:rPr>
            </w:pPr>
          </w:p>
        </w:tc>
      </w:tr>
      <w:tr w14:paraId="3E36C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AE0388">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895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D20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D80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使用国产电脑职工满意度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6BD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B3C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A1C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723A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C49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8F9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30311">
            <w:pPr>
              <w:jc w:val="center"/>
              <w:rPr>
                <w:rFonts w:hint="eastAsia" w:ascii="微软雅黑" w:hAnsi="微软雅黑" w:eastAsia="微软雅黑" w:cs="微软雅黑"/>
                <w:i/>
                <w:iCs/>
                <w:color w:val="000000"/>
                <w:sz w:val="16"/>
                <w:szCs w:val="16"/>
                <w:u w:val="none"/>
              </w:rPr>
            </w:pPr>
          </w:p>
        </w:tc>
      </w:tr>
      <w:tr w14:paraId="1A4EC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730A54">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EE30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EA4D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CFD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项目总费用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BD1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9DE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951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38DC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1.19</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73E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47E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E23E3">
            <w:pPr>
              <w:jc w:val="center"/>
              <w:rPr>
                <w:rFonts w:hint="eastAsia" w:ascii="微软雅黑" w:hAnsi="微软雅黑" w:eastAsia="微软雅黑" w:cs="微软雅黑"/>
                <w:i/>
                <w:iCs/>
                <w:color w:val="000000"/>
                <w:sz w:val="16"/>
                <w:szCs w:val="16"/>
                <w:u w:val="none"/>
              </w:rPr>
            </w:pPr>
          </w:p>
        </w:tc>
      </w:tr>
      <w:tr w14:paraId="5EC7D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714365">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B60CC3">
            <w:pPr>
              <w:jc w:val="center"/>
              <w:rPr>
                <w:rFonts w:hint="eastAsia" w:ascii="宋体" w:hAnsi="宋体" w:eastAsia="宋体" w:cs="宋体"/>
                <w:i w:val="0"/>
                <w:iCs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FE7E9C">
            <w:pPr>
              <w:jc w:val="center"/>
              <w:rPr>
                <w:rFonts w:hint="eastAsia" w:ascii="宋体" w:hAnsi="宋体" w:eastAsia="宋体" w:cs="宋体"/>
                <w:i w:val="0"/>
                <w:iCs w:val="0"/>
                <w:color w:val="000000"/>
                <w:sz w:val="18"/>
                <w:szCs w:val="18"/>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11C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办公设备购置</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D4B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4D6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5DB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CC19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1.19</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F5A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5A6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35D5E">
            <w:pPr>
              <w:jc w:val="center"/>
              <w:rPr>
                <w:rFonts w:hint="eastAsia" w:ascii="微软雅黑" w:hAnsi="微软雅黑" w:eastAsia="微软雅黑" w:cs="微软雅黑"/>
                <w:i/>
                <w:iCs/>
                <w:color w:val="000000"/>
                <w:sz w:val="16"/>
                <w:szCs w:val="16"/>
                <w:u w:val="none"/>
              </w:rPr>
            </w:pPr>
          </w:p>
        </w:tc>
      </w:tr>
      <w:tr w14:paraId="40593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57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4C264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9E0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77ED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913AE">
            <w:pPr>
              <w:rPr>
                <w:rFonts w:hint="eastAsia" w:ascii="宋体" w:hAnsi="宋体" w:eastAsia="宋体" w:cs="宋体"/>
                <w:i w:val="0"/>
                <w:iCs w:val="0"/>
                <w:color w:val="000000"/>
                <w:sz w:val="18"/>
                <w:szCs w:val="18"/>
                <w:u w:val="none"/>
              </w:rPr>
            </w:pPr>
          </w:p>
        </w:tc>
      </w:tr>
      <w:tr w14:paraId="38765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E55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78EA0B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4454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169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C944F4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CEDC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A89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3F2BC4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A6B3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89" w:type="dxa"/>
            <w:tcBorders>
              <w:top w:val="nil"/>
              <w:left w:val="nil"/>
              <w:bottom w:val="nil"/>
              <w:right w:val="nil"/>
            </w:tcBorders>
            <w:shd w:val="clear" w:color="auto" w:fill="auto"/>
            <w:vAlign w:val="center"/>
          </w:tcPr>
          <w:p w14:paraId="0ED09EC0">
            <w:pPr>
              <w:rPr>
                <w:rFonts w:hint="eastAsia" w:ascii="宋体" w:hAnsi="宋体" w:eastAsia="宋体" w:cs="宋体"/>
                <w:i w:val="0"/>
                <w:iCs w:val="0"/>
                <w:color w:val="000000"/>
                <w:sz w:val="18"/>
                <w:szCs w:val="18"/>
                <w:u w:val="none"/>
              </w:rPr>
            </w:pPr>
          </w:p>
        </w:tc>
        <w:tc>
          <w:tcPr>
            <w:tcW w:w="2048" w:type="dxa"/>
            <w:tcBorders>
              <w:top w:val="nil"/>
              <w:left w:val="nil"/>
              <w:bottom w:val="nil"/>
              <w:right w:val="nil"/>
            </w:tcBorders>
            <w:shd w:val="clear" w:color="auto" w:fill="auto"/>
            <w:vAlign w:val="center"/>
          </w:tcPr>
          <w:p w14:paraId="312D7D3B">
            <w:pPr>
              <w:rPr>
                <w:rFonts w:hint="eastAsia" w:ascii="宋体" w:hAnsi="宋体" w:eastAsia="宋体" w:cs="宋体"/>
                <w:i w:val="0"/>
                <w:iCs w:val="0"/>
                <w:color w:val="000000"/>
                <w:sz w:val="18"/>
                <w:szCs w:val="18"/>
                <w:u w:val="none"/>
              </w:rPr>
            </w:pPr>
          </w:p>
        </w:tc>
        <w:tc>
          <w:tcPr>
            <w:tcW w:w="1764" w:type="dxa"/>
            <w:tcBorders>
              <w:top w:val="nil"/>
              <w:left w:val="nil"/>
              <w:bottom w:val="nil"/>
              <w:right w:val="nil"/>
            </w:tcBorders>
            <w:shd w:val="clear" w:color="auto" w:fill="auto"/>
            <w:vAlign w:val="center"/>
          </w:tcPr>
          <w:p w14:paraId="010EBF07">
            <w:pPr>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vAlign w:val="center"/>
          </w:tcPr>
          <w:p w14:paraId="3C55926B">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6E7C3A66">
            <w:pPr>
              <w:rPr>
                <w:rFonts w:hint="eastAsia" w:ascii="宋体" w:hAnsi="宋体" w:eastAsia="宋体" w:cs="宋体"/>
                <w:i w:val="0"/>
                <w:iCs w:val="0"/>
                <w:color w:val="000000"/>
                <w:sz w:val="18"/>
                <w:szCs w:val="18"/>
                <w:u w:val="none"/>
              </w:rPr>
            </w:pPr>
          </w:p>
        </w:tc>
        <w:tc>
          <w:tcPr>
            <w:tcW w:w="1674" w:type="dxa"/>
            <w:tcBorders>
              <w:top w:val="nil"/>
              <w:left w:val="nil"/>
              <w:bottom w:val="nil"/>
              <w:right w:val="nil"/>
            </w:tcBorders>
            <w:shd w:val="clear" w:color="auto" w:fill="auto"/>
            <w:vAlign w:val="center"/>
          </w:tcPr>
          <w:p w14:paraId="47C2AECE">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0DE99064">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7FFB58D5">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00617634">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42B3BFC9">
            <w:pPr>
              <w:rPr>
                <w:rFonts w:hint="eastAsia" w:ascii="宋体" w:hAnsi="宋体" w:eastAsia="宋体" w:cs="宋体"/>
                <w:i w:val="0"/>
                <w:iCs w:val="0"/>
                <w:color w:val="000000"/>
                <w:sz w:val="18"/>
                <w:szCs w:val="18"/>
                <w:u w:val="none"/>
              </w:rPr>
            </w:pPr>
          </w:p>
        </w:tc>
        <w:tc>
          <w:tcPr>
            <w:tcW w:w="2541" w:type="dxa"/>
            <w:tcBorders>
              <w:top w:val="nil"/>
              <w:left w:val="nil"/>
              <w:bottom w:val="nil"/>
              <w:right w:val="nil"/>
            </w:tcBorders>
            <w:shd w:val="clear" w:color="auto" w:fill="auto"/>
            <w:vAlign w:val="center"/>
          </w:tcPr>
          <w:p w14:paraId="17A718C6">
            <w:pPr>
              <w:rPr>
                <w:rFonts w:hint="eastAsia" w:ascii="宋体" w:hAnsi="宋体" w:eastAsia="宋体" w:cs="宋体"/>
                <w:i w:val="0"/>
                <w:iCs w:val="0"/>
                <w:color w:val="000000"/>
                <w:sz w:val="18"/>
                <w:szCs w:val="18"/>
                <w:u w:val="none"/>
              </w:rPr>
            </w:pPr>
          </w:p>
        </w:tc>
      </w:tr>
      <w:tr w14:paraId="72889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91E32D1">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54DB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13CB2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CAC4E8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51320024T000010911116-人事考试考务专项经费</w:t>
            </w:r>
          </w:p>
        </w:tc>
      </w:tr>
      <w:tr w14:paraId="66450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B2C58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AF84E3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州人社局部门</w:t>
            </w:r>
          </w:p>
        </w:tc>
        <w:tc>
          <w:tcPr>
            <w:tcW w:w="1095" w:type="dxa"/>
            <w:tcBorders>
              <w:top w:val="nil"/>
              <w:left w:val="nil"/>
              <w:bottom w:val="nil"/>
              <w:right w:val="nil"/>
            </w:tcBorders>
            <w:shd w:val="clear" w:color="auto" w:fill="auto"/>
            <w:vAlign w:val="center"/>
          </w:tcPr>
          <w:p w14:paraId="26879E9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BD6C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w:t>
            </w:r>
          </w:p>
        </w:tc>
      </w:tr>
      <w:tr w14:paraId="754C7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AB539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AD7CE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8B1D7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F15BD5A">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ABE7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8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033DCF">
            <w:pP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7D17D9">
            <w:pPr>
              <w:rPr>
                <w:rFonts w:hint="eastAsia" w:ascii="宋体" w:hAnsi="宋体" w:eastAsia="宋体" w:cs="宋体"/>
                <w:i w:val="0"/>
                <w:iCs w:val="0"/>
                <w:color w:val="000000"/>
                <w:sz w:val="18"/>
                <w:szCs w:val="18"/>
                <w:u w:val="none"/>
              </w:rPr>
            </w:pP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F51154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一、人事考试费用</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xml:space="preserve">    依据《四川省人事考试考务费支出管理暂行办法》（川人社厅办〔2017〕32号）、《阿坝州人力资源和社会保障局人事考试等劳务费支出标准》（阿州人社办〔2017〕220号）所规定标准，按省厅对人事考试预防高科技作弊，增加技防安保设备要求和投入预计参考人数进行预测。服务国家经济社会发展和人才队伍建设，把确保考试安全作为人事考试的首要任务,做好全年的职称资格考试、公务员录用考试、事业单位招聘考试、社会化考试、证书发放等工作，防范化解人事考试安全风险。</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二、公开考试招聘事业单位工作人员和“9+3”毕业生考试经费：40万元</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xml:space="preserve">    1.将分上半年、下半年2次发布年度公开考试招聘事业单位工作人员的公告，按照相关要求，州人力资源社会保障局承担了此项工作的报名、资格审查、笔试、面试、体检和考核等管理工作，预计报考者超过2万人，考试报名平台网络租金、试卷往返运送费、考场租金、考务用品购买费、监考老师及工作人员考务费和资格审查、面试考务费以及聘用合同印刷费等费用合计需要25万元。</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xml:space="preserve">    2.将面向应届“9+3”毕业生、“9+3”退役士兵发布年度公开考试招聘“9+3”人员的公告，按照相关要求，州人力资源社会保障局承担了此项工作的报名、资格审查、笔试、面试、体检和考核等管理工作，预计报考者在1000人左右，考试试卷往返运送费、考场租金、考务用品购买费、监考老师及工作人员考务费和资格审查、面试考务费、考生体检费以及聘用合同印刷费等费用合计需要15万元。</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xml:space="preserve">    3、绩效论证：通过公开考试招聘为全州事业单位补充工作人员，促进各项社会事业发展。</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三、事业单位到高校直接考核招聘紧缺专业技术人员工作经费：15万元</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xml:space="preserve">   1、 测算依据：将分上半年、下半年2次发布年度事业单位到高校直接考核招聘紧缺专业技术人员的公告，按照相关要求，州人力资源社会保障局承担了此项工作的现场组织报名、资格审查、面试、体检和考核等管理工作，由于在异地组织这项工作，且参加此项工作的州、县工作人员较多，分布在多个院校开展工作。招聘场地布置、考场租金、考务用品购买费、监考老师及工作人员考务费、差旅费以及新招聘人员聘用合同印刷费等费用合计需要15万元。</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xml:space="preserve">   2、绩效论证：通过公开考核招聘为全州事业单位补充紧缺专业技术人员，促进各项社会事业发展。</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四、从县（市）或者州外考试调动管理人员和专业技术人员工作经费：10万元</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五、剩余为其他职称类考试工作经费等。</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DE1CA4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08A91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2D4F8D">
            <w:pP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99BF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3D41F42">
            <w:pPr>
              <w:rPr>
                <w:rFonts w:hint="eastAsia" w:ascii="宋体" w:hAnsi="宋体" w:eastAsia="宋体" w:cs="宋体"/>
                <w:i w:val="0"/>
                <w:iCs w:val="0"/>
                <w:color w:val="000000"/>
                <w:sz w:val="18"/>
                <w:szCs w:val="18"/>
                <w:u w:val="none"/>
              </w:rPr>
            </w:pPr>
          </w:p>
        </w:tc>
      </w:tr>
      <w:tr w14:paraId="2C568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AAE3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EFA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52D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A9E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4A49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225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0EF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DB2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7E6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2B47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B05FB6">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53F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D15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0E6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299.95</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24BD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299.95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C5E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248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C3155">
            <w:pPr>
              <w:jc w:val="center"/>
              <w:rPr>
                <w:rFonts w:hint="eastAsia" w:ascii="宋体" w:hAnsi="宋体" w:eastAsia="宋体" w:cs="宋体"/>
                <w:i w:val="0"/>
                <w:iCs w:val="0"/>
                <w:color w:val="000000"/>
                <w:sz w:val="18"/>
                <w:szCs w:val="18"/>
                <w:u w:val="none"/>
              </w:rPr>
            </w:pPr>
          </w:p>
        </w:tc>
        <w:tc>
          <w:tcPr>
            <w:tcW w:w="2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81EC88">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5B23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4525D8">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63E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4C5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6A7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299.95</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010F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299.95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427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097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B09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2D2047">
            <w:pPr>
              <w:rPr>
                <w:rFonts w:hint="eastAsia" w:ascii="黑体" w:hAnsi="黑体" w:eastAsia="黑体" w:cs="黑体"/>
                <w:i/>
                <w:iCs/>
                <w:color w:val="000000"/>
                <w:sz w:val="18"/>
                <w:szCs w:val="18"/>
                <w:u w:val="none"/>
              </w:rPr>
            </w:pPr>
          </w:p>
        </w:tc>
      </w:tr>
      <w:tr w14:paraId="6B05D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FD419C">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C1C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015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EB8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1301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866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102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4F7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EBE13C">
            <w:pPr>
              <w:rPr>
                <w:rFonts w:hint="eastAsia" w:ascii="黑体" w:hAnsi="黑体" w:eastAsia="黑体" w:cs="黑体"/>
                <w:i/>
                <w:iCs/>
                <w:color w:val="000000"/>
                <w:sz w:val="18"/>
                <w:szCs w:val="18"/>
                <w:u w:val="none"/>
              </w:rPr>
            </w:pPr>
          </w:p>
        </w:tc>
      </w:tr>
      <w:tr w14:paraId="52476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3FB8CF">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854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594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DFB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76B5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61B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D58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58F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F309AA">
            <w:pPr>
              <w:rPr>
                <w:rFonts w:hint="eastAsia" w:ascii="黑体" w:hAnsi="黑体" w:eastAsia="黑体" w:cs="黑体"/>
                <w:i/>
                <w:iCs/>
                <w:color w:val="000000"/>
                <w:sz w:val="18"/>
                <w:szCs w:val="18"/>
                <w:u w:val="none"/>
              </w:rPr>
            </w:pPr>
          </w:p>
        </w:tc>
      </w:tr>
      <w:tr w14:paraId="262DF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C80C18">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6E8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745B7">
            <w:pPr>
              <w:jc w:val="center"/>
              <w:rPr>
                <w:rFonts w:hint="eastAsia" w:ascii="微软雅黑" w:hAnsi="微软雅黑" w:eastAsia="微软雅黑" w:cs="微软雅黑"/>
                <w:i/>
                <w:iCs/>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ADCA6">
            <w:pPr>
              <w:jc w:val="center"/>
              <w:rPr>
                <w:rFonts w:hint="eastAsia" w:ascii="微软雅黑" w:hAnsi="微软雅黑" w:eastAsia="微软雅黑" w:cs="微软雅黑"/>
                <w:i/>
                <w:iCs/>
                <w:color w:val="000000"/>
                <w:sz w:val="16"/>
                <w:szCs w:val="16"/>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82B66A">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4ACA0">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27F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79E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9AD710">
            <w:pPr>
              <w:rPr>
                <w:rFonts w:hint="eastAsia" w:ascii="黑体" w:hAnsi="黑体" w:eastAsia="黑体" w:cs="黑体"/>
                <w:i/>
                <w:iCs/>
                <w:color w:val="000000"/>
                <w:sz w:val="18"/>
                <w:szCs w:val="18"/>
                <w:u w:val="none"/>
              </w:rPr>
            </w:pPr>
          </w:p>
        </w:tc>
      </w:tr>
      <w:tr w14:paraId="21026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4332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806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B11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144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436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242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422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A81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97B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633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C28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90F3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832F73">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C7A6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3C8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5D8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参考考生人数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851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44F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25000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64A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ABF7D">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7C0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802BF">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B7C35">
            <w:pPr>
              <w:jc w:val="center"/>
              <w:rPr>
                <w:rFonts w:hint="eastAsia" w:ascii="微软雅黑" w:hAnsi="微软雅黑" w:eastAsia="微软雅黑" w:cs="微软雅黑"/>
                <w:i/>
                <w:iCs/>
                <w:color w:val="000000"/>
                <w:sz w:val="16"/>
                <w:szCs w:val="16"/>
                <w:u w:val="none"/>
              </w:rPr>
            </w:pPr>
          </w:p>
        </w:tc>
      </w:tr>
      <w:tr w14:paraId="1319C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9E6007">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B90F37">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F6E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03A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参考考生达到率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806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217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1A7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506C2">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CC7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43E93">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CB4CF">
            <w:pPr>
              <w:jc w:val="center"/>
              <w:rPr>
                <w:rFonts w:hint="eastAsia" w:ascii="微软雅黑" w:hAnsi="微软雅黑" w:eastAsia="微软雅黑" w:cs="微软雅黑"/>
                <w:i/>
                <w:iCs/>
                <w:color w:val="000000"/>
                <w:sz w:val="16"/>
                <w:szCs w:val="16"/>
                <w:u w:val="none"/>
              </w:rPr>
            </w:pPr>
          </w:p>
        </w:tc>
      </w:tr>
      <w:tr w14:paraId="52D28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083456">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86987D">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3D2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C70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考务工作完成时间</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EA1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640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2024年年底前完成</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3FCC2">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753FC">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30D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14880">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0C3C5">
            <w:pPr>
              <w:jc w:val="center"/>
              <w:rPr>
                <w:rFonts w:hint="eastAsia" w:ascii="微软雅黑" w:hAnsi="微软雅黑" w:eastAsia="微软雅黑" w:cs="微软雅黑"/>
                <w:i/>
                <w:iCs/>
                <w:color w:val="000000"/>
                <w:sz w:val="16"/>
                <w:szCs w:val="16"/>
                <w:u w:val="none"/>
              </w:rPr>
            </w:pPr>
          </w:p>
        </w:tc>
      </w:tr>
      <w:tr w14:paraId="43271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6D4E25">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822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614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367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服务国家经济社会发展和人才队伍建设，确保考试安全，防范化解人事考试安全风险。</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669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73C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E2FB3">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7CD46">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54F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B7C44">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10F3D">
            <w:pPr>
              <w:jc w:val="center"/>
              <w:rPr>
                <w:rFonts w:hint="eastAsia" w:ascii="微软雅黑" w:hAnsi="微软雅黑" w:eastAsia="微软雅黑" w:cs="微软雅黑"/>
                <w:i/>
                <w:iCs/>
                <w:color w:val="000000"/>
                <w:sz w:val="16"/>
                <w:szCs w:val="16"/>
                <w:u w:val="none"/>
              </w:rPr>
            </w:pPr>
          </w:p>
        </w:tc>
      </w:tr>
      <w:tr w14:paraId="31F8B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772D7D">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BC8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C09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462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参考考生满意度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0AF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E5D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3BC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27597">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DF8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62E16">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6CB6D">
            <w:pPr>
              <w:jc w:val="center"/>
              <w:rPr>
                <w:rFonts w:hint="eastAsia" w:ascii="微软雅黑" w:hAnsi="微软雅黑" w:eastAsia="微软雅黑" w:cs="微软雅黑"/>
                <w:i/>
                <w:iCs/>
                <w:color w:val="000000"/>
                <w:sz w:val="16"/>
                <w:szCs w:val="16"/>
                <w:u w:val="none"/>
              </w:rPr>
            </w:pPr>
          </w:p>
        </w:tc>
      </w:tr>
      <w:tr w14:paraId="1C594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69E7DC">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4F11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4AE7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84B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委托业务费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059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A36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94E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F9096">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6C2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2E923">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12152">
            <w:pPr>
              <w:jc w:val="center"/>
              <w:rPr>
                <w:rFonts w:hint="eastAsia" w:ascii="微软雅黑" w:hAnsi="微软雅黑" w:eastAsia="微软雅黑" w:cs="微软雅黑"/>
                <w:i/>
                <w:iCs/>
                <w:color w:val="000000"/>
                <w:sz w:val="16"/>
                <w:szCs w:val="16"/>
                <w:u w:val="none"/>
              </w:rPr>
            </w:pPr>
          </w:p>
        </w:tc>
      </w:tr>
      <w:tr w14:paraId="30852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029C8E">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0F71D2">
            <w:pPr>
              <w:jc w:val="center"/>
              <w:rPr>
                <w:rFonts w:hint="eastAsia" w:ascii="宋体" w:hAnsi="宋体" w:eastAsia="宋体" w:cs="宋体"/>
                <w:i w:val="0"/>
                <w:iCs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D3C57">
            <w:pPr>
              <w:jc w:val="center"/>
              <w:rPr>
                <w:rFonts w:hint="eastAsia" w:ascii="宋体" w:hAnsi="宋体" w:eastAsia="宋体" w:cs="宋体"/>
                <w:i w:val="0"/>
                <w:iCs w:val="0"/>
                <w:color w:val="000000"/>
                <w:sz w:val="18"/>
                <w:szCs w:val="18"/>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CCD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劳务费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327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339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393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641AB">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8B5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1367B">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39EEF">
            <w:pPr>
              <w:jc w:val="center"/>
              <w:rPr>
                <w:rFonts w:hint="eastAsia" w:ascii="微软雅黑" w:hAnsi="微软雅黑" w:eastAsia="微软雅黑" w:cs="微软雅黑"/>
                <w:i/>
                <w:iCs/>
                <w:color w:val="000000"/>
                <w:sz w:val="16"/>
                <w:szCs w:val="16"/>
                <w:u w:val="none"/>
              </w:rPr>
            </w:pPr>
          </w:p>
        </w:tc>
      </w:tr>
      <w:tr w14:paraId="67951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57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43578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C27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A1FC0">
            <w:pP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A856F">
            <w:pPr>
              <w:rPr>
                <w:rFonts w:hint="eastAsia" w:ascii="宋体" w:hAnsi="宋体" w:eastAsia="宋体" w:cs="宋体"/>
                <w:i w:val="0"/>
                <w:iCs w:val="0"/>
                <w:color w:val="000000"/>
                <w:sz w:val="18"/>
                <w:szCs w:val="18"/>
                <w:u w:val="none"/>
              </w:rPr>
            </w:pPr>
          </w:p>
        </w:tc>
      </w:tr>
      <w:tr w14:paraId="03B08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251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E3C1D7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55FE2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8FE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88D877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238B8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A91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A81871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3E98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89" w:type="dxa"/>
            <w:tcBorders>
              <w:top w:val="nil"/>
              <w:left w:val="nil"/>
              <w:bottom w:val="nil"/>
              <w:right w:val="nil"/>
            </w:tcBorders>
            <w:shd w:val="clear" w:color="auto" w:fill="auto"/>
            <w:vAlign w:val="center"/>
          </w:tcPr>
          <w:p w14:paraId="5B963AEF">
            <w:pPr>
              <w:rPr>
                <w:rFonts w:hint="eastAsia" w:ascii="宋体" w:hAnsi="宋体" w:eastAsia="宋体" w:cs="宋体"/>
                <w:i w:val="0"/>
                <w:iCs w:val="0"/>
                <w:color w:val="000000"/>
                <w:sz w:val="18"/>
                <w:szCs w:val="18"/>
                <w:u w:val="none"/>
              </w:rPr>
            </w:pPr>
          </w:p>
        </w:tc>
        <w:tc>
          <w:tcPr>
            <w:tcW w:w="2048" w:type="dxa"/>
            <w:tcBorders>
              <w:top w:val="nil"/>
              <w:left w:val="nil"/>
              <w:bottom w:val="nil"/>
              <w:right w:val="nil"/>
            </w:tcBorders>
            <w:shd w:val="clear" w:color="auto" w:fill="auto"/>
            <w:vAlign w:val="center"/>
          </w:tcPr>
          <w:p w14:paraId="3D1B6CE7">
            <w:pPr>
              <w:rPr>
                <w:rFonts w:hint="eastAsia" w:ascii="宋体" w:hAnsi="宋体" w:eastAsia="宋体" w:cs="宋体"/>
                <w:i w:val="0"/>
                <w:iCs w:val="0"/>
                <w:color w:val="000000"/>
                <w:sz w:val="18"/>
                <w:szCs w:val="18"/>
                <w:u w:val="none"/>
              </w:rPr>
            </w:pPr>
          </w:p>
        </w:tc>
        <w:tc>
          <w:tcPr>
            <w:tcW w:w="1764" w:type="dxa"/>
            <w:tcBorders>
              <w:top w:val="nil"/>
              <w:left w:val="nil"/>
              <w:bottom w:val="nil"/>
              <w:right w:val="nil"/>
            </w:tcBorders>
            <w:shd w:val="clear" w:color="auto" w:fill="auto"/>
            <w:vAlign w:val="center"/>
          </w:tcPr>
          <w:p w14:paraId="35351E8C">
            <w:pPr>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vAlign w:val="center"/>
          </w:tcPr>
          <w:p w14:paraId="546B477A">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7F74340C">
            <w:pPr>
              <w:rPr>
                <w:rFonts w:hint="eastAsia" w:ascii="宋体" w:hAnsi="宋体" w:eastAsia="宋体" w:cs="宋体"/>
                <w:i w:val="0"/>
                <w:iCs w:val="0"/>
                <w:color w:val="000000"/>
                <w:sz w:val="18"/>
                <w:szCs w:val="18"/>
                <w:u w:val="none"/>
              </w:rPr>
            </w:pPr>
          </w:p>
        </w:tc>
        <w:tc>
          <w:tcPr>
            <w:tcW w:w="1674" w:type="dxa"/>
            <w:tcBorders>
              <w:top w:val="nil"/>
              <w:left w:val="nil"/>
              <w:bottom w:val="nil"/>
              <w:right w:val="nil"/>
            </w:tcBorders>
            <w:shd w:val="clear" w:color="auto" w:fill="auto"/>
            <w:vAlign w:val="center"/>
          </w:tcPr>
          <w:p w14:paraId="67C15B7A">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5284F787">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7CA1AD67">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58BEEE91">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03BE8FC1">
            <w:pPr>
              <w:rPr>
                <w:rFonts w:hint="eastAsia" w:ascii="宋体" w:hAnsi="宋体" w:eastAsia="宋体" w:cs="宋体"/>
                <w:i w:val="0"/>
                <w:iCs w:val="0"/>
                <w:color w:val="000000"/>
                <w:sz w:val="18"/>
                <w:szCs w:val="18"/>
                <w:u w:val="none"/>
              </w:rPr>
            </w:pPr>
          </w:p>
        </w:tc>
        <w:tc>
          <w:tcPr>
            <w:tcW w:w="2541" w:type="dxa"/>
            <w:tcBorders>
              <w:top w:val="nil"/>
              <w:left w:val="nil"/>
              <w:bottom w:val="nil"/>
              <w:right w:val="nil"/>
            </w:tcBorders>
            <w:shd w:val="clear" w:color="auto" w:fill="auto"/>
            <w:vAlign w:val="center"/>
          </w:tcPr>
          <w:p w14:paraId="5ADE9ACE">
            <w:pPr>
              <w:rPr>
                <w:rFonts w:hint="eastAsia" w:ascii="宋体" w:hAnsi="宋体" w:eastAsia="宋体" w:cs="宋体"/>
                <w:i w:val="0"/>
                <w:iCs w:val="0"/>
                <w:color w:val="000000"/>
                <w:sz w:val="18"/>
                <w:szCs w:val="18"/>
                <w:u w:val="none"/>
              </w:rPr>
            </w:pPr>
          </w:p>
        </w:tc>
      </w:tr>
      <w:tr w14:paraId="590AD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8D81F9D">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F0D2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6A0AB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FFFF00"/>
            <w:vAlign w:val="center"/>
          </w:tcPr>
          <w:p w14:paraId="09374AC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51320024T000010913375-工资福利调研专项经费</w:t>
            </w:r>
          </w:p>
        </w:tc>
      </w:tr>
      <w:tr w14:paraId="71939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0A3CC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2E27C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州人社局部门</w:t>
            </w:r>
          </w:p>
        </w:tc>
        <w:tc>
          <w:tcPr>
            <w:tcW w:w="1095" w:type="dxa"/>
            <w:tcBorders>
              <w:top w:val="nil"/>
              <w:left w:val="nil"/>
              <w:bottom w:val="nil"/>
              <w:right w:val="nil"/>
            </w:tcBorders>
            <w:shd w:val="clear" w:color="auto" w:fill="auto"/>
            <w:vAlign w:val="center"/>
          </w:tcPr>
          <w:p w14:paraId="3912406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051C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w:t>
            </w:r>
          </w:p>
        </w:tc>
      </w:tr>
      <w:tr w14:paraId="37BC5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06381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EFEA1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F1A6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E1E88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B630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A5366E">
            <w:pP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31A056">
            <w:pPr>
              <w:rPr>
                <w:rFonts w:hint="eastAsia" w:ascii="宋体" w:hAnsi="宋体" w:eastAsia="宋体" w:cs="宋体"/>
                <w:i w:val="0"/>
                <w:iCs w:val="0"/>
                <w:color w:val="000000"/>
                <w:sz w:val="18"/>
                <w:szCs w:val="18"/>
                <w:u w:val="none"/>
              </w:rPr>
            </w:pP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99E25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1、组织全州从事工资福利与表彰奖励工作的经办人员进行业务培训。 </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xml:space="preserve"> 2、加强工资管理信息化建设相关培训。                                                                       </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3、开展工资福利与表彰奖励相关工作调研。</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EE4A85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 xml:space="preserve">1、组织全州从事工资福利与表彰奖励工作的经办人员进行业务培训。 </w:t>
            </w:r>
            <w:r>
              <w:rPr>
                <w:rFonts w:hint="eastAsia" w:ascii="黑体" w:hAnsi="黑体" w:eastAsia="黑体" w:cs="黑体"/>
                <w:i w:val="0"/>
                <w:iCs w:val="0"/>
                <w:color w:val="000000"/>
                <w:kern w:val="0"/>
                <w:sz w:val="18"/>
                <w:szCs w:val="18"/>
                <w:u w:val="none"/>
                <w:lang w:val="en-US" w:eastAsia="zh-CN" w:bidi="ar"/>
              </w:rPr>
              <w:br w:type="textWrapping"/>
            </w:r>
            <w:r>
              <w:rPr>
                <w:rFonts w:hint="eastAsia" w:ascii="黑体" w:hAnsi="黑体" w:eastAsia="黑体" w:cs="黑体"/>
                <w:i w:val="0"/>
                <w:iCs w:val="0"/>
                <w:color w:val="000000"/>
                <w:kern w:val="0"/>
                <w:sz w:val="18"/>
                <w:szCs w:val="18"/>
                <w:u w:val="none"/>
                <w:lang w:val="en-US" w:eastAsia="zh-CN" w:bidi="ar"/>
              </w:rPr>
              <w:t xml:space="preserve"> 2、加强工资管理信息化建设相关培训。                                                                       </w:t>
            </w:r>
            <w:r>
              <w:rPr>
                <w:rFonts w:hint="eastAsia" w:ascii="黑体" w:hAnsi="黑体" w:eastAsia="黑体" w:cs="黑体"/>
                <w:i w:val="0"/>
                <w:iCs w:val="0"/>
                <w:color w:val="000000"/>
                <w:kern w:val="0"/>
                <w:sz w:val="18"/>
                <w:szCs w:val="18"/>
                <w:u w:val="none"/>
                <w:lang w:val="en-US" w:eastAsia="zh-CN" w:bidi="ar"/>
              </w:rPr>
              <w:br w:type="textWrapping"/>
            </w:r>
            <w:r>
              <w:rPr>
                <w:rFonts w:hint="eastAsia" w:ascii="黑体" w:hAnsi="黑体" w:eastAsia="黑体" w:cs="黑体"/>
                <w:i w:val="0"/>
                <w:iCs w:val="0"/>
                <w:color w:val="000000"/>
                <w:kern w:val="0"/>
                <w:sz w:val="18"/>
                <w:szCs w:val="18"/>
                <w:u w:val="none"/>
                <w:lang w:val="en-US" w:eastAsia="zh-CN" w:bidi="ar"/>
              </w:rPr>
              <w:t>3、开展工资福利与表彰奖励相关工作调研。</w:t>
            </w:r>
          </w:p>
        </w:tc>
      </w:tr>
      <w:tr w14:paraId="34387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F6F5C8">
            <w:pP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1F85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6F51A8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1、组织全州从事工资福利与表彰奖励工作的经办人员进行业务培训。 </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xml:space="preserve"> 2、加强工资管理信息化建设相关培训。                                                                       </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3、开展工资福利与表彰奖励相关工作调研。</w:t>
            </w:r>
          </w:p>
        </w:tc>
      </w:tr>
      <w:tr w14:paraId="66C0D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32CC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997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437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0C3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ADBD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1E8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7DB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784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3D6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42E5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888509">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997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E5A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8CD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4AC4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8B5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31A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33B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9F39B8">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4A526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B783A6">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6E8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568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19E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FFE7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FD0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CA0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85D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FBCAA">
            <w:pPr>
              <w:rPr>
                <w:rFonts w:hint="eastAsia" w:ascii="黑体" w:hAnsi="黑体" w:eastAsia="黑体" w:cs="黑体"/>
                <w:i/>
                <w:iCs/>
                <w:color w:val="000000"/>
                <w:sz w:val="18"/>
                <w:szCs w:val="18"/>
                <w:u w:val="none"/>
              </w:rPr>
            </w:pPr>
          </w:p>
        </w:tc>
      </w:tr>
      <w:tr w14:paraId="2CC63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20D78E">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AB1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EA4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6AF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1306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7CF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F24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44E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49EF96">
            <w:pPr>
              <w:rPr>
                <w:rFonts w:hint="eastAsia" w:ascii="黑体" w:hAnsi="黑体" w:eastAsia="黑体" w:cs="黑体"/>
                <w:i/>
                <w:iCs/>
                <w:color w:val="000000"/>
                <w:sz w:val="18"/>
                <w:szCs w:val="18"/>
                <w:u w:val="none"/>
              </w:rPr>
            </w:pPr>
          </w:p>
        </w:tc>
      </w:tr>
      <w:tr w14:paraId="255B0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124C80">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C57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F52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245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7D7E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5D4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856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D3C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B8FF9B">
            <w:pPr>
              <w:rPr>
                <w:rFonts w:hint="eastAsia" w:ascii="黑体" w:hAnsi="黑体" w:eastAsia="黑体" w:cs="黑体"/>
                <w:i/>
                <w:iCs/>
                <w:color w:val="000000"/>
                <w:sz w:val="18"/>
                <w:szCs w:val="18"/>
                <w:u w:val="none"/>
              </w:rPr>
            </w:pPr>
          </w:p>
        </w:tc>
      </w:tr>
      <w:tr w14:paraId="0C9FA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D9A09">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A1A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6AB4C">
            <w:pPr>
              <w:jc w:val="center"/>
              <w:rPr>
                <w:rFonts w:hint="eastAsia" w:ascii="微软雅黑" w:hAnsi="微软雅黑" w:eastAsia="微软雅黑" w:cs="微软雅黑"/>
                <w:i/>
                <w:iCs/>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38833">
            <w:pPr>
              <w:jc w:val="center"/>
              <w:rPr>
                <w:rFonts w:hint="eastAsia" w:ascii="微软雅黑" w:hAnsi="微软雅黑" w:eastAsia="微软雅黑" w:cs="微软雅黑"/>
                <w:i/>
                <w:iCs/>
                <w:color w:val="000000"/>
                <w:sz w:val="16"/>
                <w:szCs w:val="16"/>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51FADC">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2CC3C">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336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E74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2C65B9">
            <w:pPr>
              <w:rPr>
                <w:rFonts w:hint="eastAsia" w:ascii="黑体" w:hAnsi="黑体" w:eastAsia="黑体" w:cs="黑体"/>
                <w:i/>
                <w:iCs/>
                <w:color w:val="000000"/>
                <w:sz w:val="18"/>
                <w:szCs w:val="18"/>
                <w:u w:val="none"/>
              </w:rPr>
            </w:pPr>
          </w:p>
        </w:tc>
      </w:tr>
      <w:tr w14:paraId="24389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73E2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621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C76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F39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665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1F4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86F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69B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F7B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E14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728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1118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5EA7EA">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CA72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E30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0B6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培训人数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422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CE5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479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5D61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285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1E3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B2AB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本年度未组织相关培训</w:t>
            </w:r>
          </w:p>
        </w:tc>
      </w:tr>
      <w:tr w14:paraId="616A5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C42044">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C93564">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324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D61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培训合格率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345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458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786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4C78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522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1EC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C8A20">
            <w:pPr>
              <w:jc w:val="center"/>
              <w:rPr>
                <w:rFonts w:hint="eastAsia" w:ascii="微软雅黑" w:hAnsi="微软雅黑" w:eastAsia="微软雅黑" w:cs="微软雅黑"/>
                <w:i/>
                <w:iCs/>
                <w:color w:val="000000"/>
                <w:sz w:val="16"/>
                <w:szCs w:val="16"/>
                <w:u w:val="none"/>
              </w:rPr>
            </w:pPr>
          </w:p>
        </w:tc>
      </w:tr>
      <w:tr w14:paraId="7028C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BC0A2D">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19F2E7">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627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901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支付及时率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CFB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A04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21F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03F9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3A9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F6F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064B0">
            <w:pPr>
              <w:jc w:val="center"/>
              <w:rPr>
                <w:rFonts w:hint="eastAsia" w:ascii="微软雅黑" w:hAnsi="微软雅黑" w:eastAsia="微软雅黑" w:cs="微软雅黑"/>
                <w:i/>
                <w:iCs/>
                <w:color w:val="000000"/>
                <w:sz w:val="16"/>
                <w:szCs w:val="16"/>
                <w:u w:val="none"/>
              </w:rPr>
            </w:pPr>
          </w:p>
        </w:tc>
      </w:tr>
      <w:tr w14:paraId="07370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7A33E2">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1B5B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C7D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80D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参训人员业务能力进一步提高</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0BC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2AC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持续提升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27097">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5AF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持续提升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B49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9B7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F0319">
            <w:pPr>
              <w:jc w:val="center"/>
              <w:rPr>
                <w:rFonts w:hint="eastAsia" w:ascii="微软雅黑" w:hAnsi="微软雅黑" w:eastAsia="微软雅黑" w:cs="微软雅黑"/>
                <w:i/>
                <w:iCs/>
                <w:color w:val="000000"/>
                <w:sz w:val="16"/>
                <w:szCs w:val="16"/>
                <w:u w:val="none"/>
              </w:rPr>
            </w:pPr>
          </w:p>
        </w:tc>
      </w:tr>
      <w:tr w14:paraId="75905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89B82F">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19475">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871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99B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为下一步推进相关工作奠定基础</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D0C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F40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有效推进</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D026D">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CC6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有效推进</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50C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23B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5B48B">
            <w:pPr>
              <w:jc w:val="center"/>
              <w:rPr>
                <w:rFonts w:hint="eastAsia" w:ascii="微软雅黑" w:hAnsi="微软雅黑" w:eastAsia="微软雅黑" w:cs="微软雅黑"/>
                <w:i/>
                <w:iCs/>
                <w:color w:val="000000"/>
                <w:sz w:val="16"/>
                <w:szCs w:val="16"/>
                <w:u w:val="none"/>
              </w:rPr>
            </w:pPr>
          </w:p>
        </w:tc>
      </w:tr>
      <w:tr w14:paraId="4F510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75A7CB">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BE4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F4C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E80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培训人员和调研工作的满意度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F3C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00F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1E1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4B8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8BF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76D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4F762">
            <w:pPr>
              <w:jc w:val="center"/>
              <w:rPr>
                <w:rFonts w:hint="eastAsia" w:ascii="微软雅黑" w:hAnsi="微软雅黑" w:eastAsia="微软雅黑" w:cs="微软雅黑"/>
                <w:i/>
                <w:iCs/>
                <w:color w:val="000000"/>
                <w:sz w:val="16"/>
                <w:szCs w:val="16"/>
                <w:u w:val="none"/>
              </w:rPr>
            </w:pPr>
          </w:p>
        </w:tc>
      </w:tr>
      <w:tr w14:paraId="11B4C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68626A">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B72E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F6FD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5EE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CDE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86A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701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DCCF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328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329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426CF">
            <w:pPr>
              <w:jc w:val="center"/>
              <w:rPr>
                <w:rFonts w:hint="eastAsia" w:ascii="微软雅黑" w:hAnsi="微软雅黑" w:eastAsia="微软雅黑" w:cs="微软雅黑"/>
                <w:i/>
                <w:iCs/>
                <w:color w:val="000000"/>
                <w:sz w:val="16"/>
                <w:szCs w:val="16"/>
                <w:u w:val="none"/>
              </w:rPr>
            </w:pPr>
          </w:p>
        </w:tc>
      </w:tr>
      <w:tr w14:paraId="343D2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2234AA">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23D878">
            <w:pPr>
              <w:jc w:val="center"/>
              <w:rPr>
                <w:rFonts w:hint="eastAsia" w:ascii="宋体" w:hAnsi="宋体" w:eastAsia="宋体" w:cs="宋体"/>
                <w:i w:val="0"/>
                <w:iCs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EABEFF">
            <w:pPr>
              <w:jc w:val="center"/>
              <w:rPr>
                <w:rFonts w:hint="eastAsia" w:ascii="宋体" w:hAnsi="宋体" w:eastAsia="宋体" w:cs="宋体"/>
                <w:i w:val="0"/>
                <w:iCs w:val="0"/>
                <w:color w:val="000000"/>
                <w:sz w:val="18"/>
                <w:szCs w:val="18"/>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929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差旅费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2A7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4E7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56D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01BA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7AC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685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A70C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本年度调研次数增加</w:t>
            </w:r>
          </w:p>
        </w:tc>
      </w:tr>
      <w:tr w14:paraId="1CF87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57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22260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589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29FE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83</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446D3">
            <w:pPr>
              <w:rPr>
                <w:rFonts w:hint="eastAsia" w:ascii="宋体" w:hAnsi="宋体" w:eastAsia="宋体" w:cs="宋体"/>
                <w:i w:val="0"/>
                <w:iCs w:val="0"/>
                <w:color w:val="000000"/>
                <w:sz w:val="18"/>
                <w:szCs w:val="18"/>
                <w:u w:val="none"/>
              </w:rPr>
            </w:pPr>
          </w:p>
        </w:tc>
      </w:tr>
      <w:tr w14:paraId="76CAD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57F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3F1420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项目完成情况较好。</w:t>
            </w:r>
          </w:p>
        </w:tc>
      </w:tr>
      <w:tr w14:paraId="769FB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0A1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30F558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本年度调研工作次数增多导致差旅费增加，未及时对绩效目标进行调整。</w:t>
            </w:r>
          </w:p>
        </w:tc>
      </w:tr>
      <w:tr w14:paraId="4EC97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66F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A081BB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在今后工作中及时对绩效目标进行调整修改。</w:t>
            </w:r>
          </w:p>
        </w:tc>
      </w:tr>
      <w:tr w14:paraId="52379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89" w:type="dxa"/>
            <w:tcBorders>
              <w:top w:val="nil"/>
              <w:left w:val="nil"/>
              <w:bottom w:val="nil"/>
              <w:right w:val="nil"/>
            </w:tcBorders>
            <w:shd w:val="clear" w:color="auto" w:fill="auto"/>
            <w:vAlign w:val="center"/>
          </w:tcPr>
          <w:p w14:paraId="3D79A43B">
            <w:pPr>
              <w:rPr>
                <w:rFonts w:hint="eastAsia" w:ascii="宋体" w:hAnsi="宋体" w:eastAsia="宋体" w:cs="宋体"/>
                <w:i w:val="0"/>
                <w:iCs w:val="0"/>
                <w:color w:val="000000"/>
                <w:sz w:val="18"/>
                <w:szCs w:val="18"/>
                <w:u w:val="none"/>
              </w:rPr>
            </w:pPr>
          </w:p>
        </w:tc>
        <w:tc>
          <w:tcPr>
            <w:tcW w:w="2048" w:type="dxa"/>
            <w:tcBorders>
              <w:top w:val="nil"/>
              <w:left w:val="nil"/>
              <w:bottom w:val="nil"/>
              <w:right w:val="nil"/>
            </w:tcBorders>
            <w:shd w:val="clear" w:color="auto" w:fill="auto"/>
            <w:vAlign w:val="center"/>
          </w:tcPr>
          <w:p w14:paraId="2387CD05">
            <w:pPr>
              <w:rPr>
                <w:rFonts w:hint="eastAsia" w:ascii="宋体" w:hAnsi="宋体" w:eastAsia="宋体" w:cs="宋体"/>
                <w:i w:val="0"/>
                <w:iCs w:val="0"/>
                <w:color w:val="000000"/>
                <w:sz w:val="18"/>
                <w:szCs w:val="18"/>
                <w:u w:val="none"/>
              </w:rPr>
            </w:pPr>
          </w:p>
        </w:tc>
        <w:tc>
          <w:tcPr>
            <w:tcW w:w="1764" w:type="dxa"/>
            <w:tcBorders>
              <w:top w:val="nil"/>
              <w:left w:val="nil"/>
              <w:bottom w:val="nil"/>
              <w:right w:val="nil"/>
            </w:tcBorders>
            <w:shd w:val="clear" w:color="auto" w:fill="auto"/>
            <w:vAlign w:val="center"/>
          </w:tcPr>
          <w:p w14:paraId="77FF2199">
            <w:pPr>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vAlign w:val="center"/>
          </w:tcPr>
          <w:p w14:paraId="58422E11">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74442B3B">
            <w:pPr>
              <w:rPr>
                <w:rFonts w:hint="eastAsia" w:ascii="宋体" w:hAnsi="宋体" w:eastAsia="宋体" w:cs="宋体"/>
                <w:i w:val="0"/>
                <w:iCs w:val="0"/>
                <w:color w:val="000000"/>
                <w:sz w:val="18"/>
                <w:szCs w:val="18"/>
                <w:u w:val="none"/>
              </w:rPr>
            </w:pPr>
          </w:p>
        </w:tc>
        <w:tc>
          <w:tcPr>
            <w:tcW w:w="1674" w:type="dxa"/>
            <w:tcBorders>
              <w:top w:val="nil"/>
              <w:left w:val="nil"/>
              <w:bottom w:val="nil"/>
              <w:right w:val="nil"/>
            </w:tcBorders>
            <w:shd w:val="clear" w:color="auto" w:fill="auto"/>
            <w:vAlign w:val="center"/>
          </w:tcPr>
          <w:p w14:paraId="00E8B7B7">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667337C6">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55BC84FC">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01F034A3">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75C38693">
            <w:pPr>
              <w:rPr>
                <w:rFonts w:hint="eastAsia" w:ascii="宋体" w:hAnsi="宋体" w:eastAsia="宋体" w:cs="宋体"/>
                <w:i w:val="0"/>
                <w:iCs w:val="0"/>
                <w:color w:val="000000"/>
                <w:sz w:val="18"/>
                <w:szCs w:val="18"/>
                <w:u w:val="none"/>
              </w:rPr>
            </w:pPr>
          </w:p>
        </w:tc>
        <w:tc>
          <w:tcPr>
            <w:tcW w:w="2541" w:type="dxa"/>
            <w:tcBorders>
              <w:top w:val="nil"/>
              <w:left w:val="nil"/>
              <w:bottom w:val="nil"/>
              <w:right w:val="nil"/>
            </w:tcBorders>
            <w:shd w:val="clear" w:color="auto" w:fill="auto"/>
            <w:vAlign w:val="center"/>
          </w:tcPr>
          <w:p w14:paraId="3D193551">
            <w:pPr>
              <w:rPr>
                <w:rFonts w:hint="eastAsia" w:ascii="宋体" w:hAnsi="宋体" w:eastAsia="宋体" w:cs="宋体"/>
                <w:i w:val="0"/>
                <w:iCs w:val="0"/>
                <w:color w:val="000000"/>
                <w:sz w:val="18"/>
                <w:szCs w:val="18"/>
                <w:u w:val="none"/>
              </w:rPr>
            </w:pPr>
          </w:p>
        </w:tc>
      </w:tr>
      <w:tr w14:paraId="318F9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F1BD104">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1F86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74E66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FFFF00"/>
            <w:vAlign w:val="center"/>
          </w:tcPr>
          <w:p w14:paraId="5282AD9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51320024T000010916000-企业薪酬调查和信息发布专项经费</w:t>
            </w:r>
          </w:p>
        </w:tc>
      </w:tr>
      <w:tr w14:paraId="23C6A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E26A8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79940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州人社局部门</w:t>
            </w:r>
          </w:p>
        </w:tc>
        <w:tc>
          <w:tcPr>
            <w:tcW w:w="1095" w:type="dxa"/>
            <w:tcBorders>
              <w:top w:val="nil"/>
              <w:left w:val="nil"/>
              <w:bottom w:val="nil"/>
              <w:right w:val="nil"/>
            </w:tcBorders>
            <w:shd w:val="clear" w:color="auto" w:fill="auto"/>
            <w:vAlign w:val="center"/>
          </w:tcPr>
          <w:p w14:paraId="445A5F0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3811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w:t>
            </w:r>
          </w:p>
        </w:tc>
      </w:tr>
      <w:tr w14:paraId="52E63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9F87E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D39CA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8B5A6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7AC9BBD">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7FBF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3"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9AB13A">
            <w:pP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363A97">
            <w:pPr>
              <w:rPr>
                <w:rFonts w:hint="eastAsia" w:ascii="宋体" w:hAnsi="宋体" w:eastAsia="宋体" w:cs="宋体"/>
                <w:i w:val="0"/>
                <w:iCs w:val="0"/>
                <w:color w:val="000000"/>
                <w:sz w:val="18"/>
                <w:szCs w:val="18"/>
                <w:u w:val="none"/>
              </w:rPr>
            </w:pP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CE844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企业调查人员按要求填报数据，聘请的第三方机构对调查人员进行全面指导并分析调查数据制作工资指导价位和行业人工成本信息报告.                                                                                                                 2.按照阿坝州人力资源和社会保障局等4部门关于印发《阿坝州劳动关系“和谐同行”能力提升三年行动计划实施方案》的通知要求，力争3年全州大多数大中型企业配备至少1名劳动关系协调员。           </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D6F904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完成117户企业薪酬调查，发布年度分析报告，提升劳动力市场资源配置效率。实际完成117户企业数据采集，报告按时发布，但分析报告延迟1周发布。</w:t>
            </w:r>
          </w:p>
        </w:tc>
      </w:tr>
      <w:tr w14:paraId="7090E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2EEF87">
            <w:pP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DE9C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0EE53A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据《人力资源社会保障部关于建立企业薪酬调查和信息发布制度的通知》及四川省人社厅工作要求，自2020年起全面建立省、市企业薪酬调查体系。2024年延续该项目，向参与调查企业发放劳务补助，委托第三方机构完成数据监测与分析，覆盖制造业等重点行业。</w:t>
            </w:r>
          </w:p>
        </w:tc>
      </w:tr>
      <w:tr w14:paraId="4CB12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4C98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B8D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A2F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1EF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2539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2A4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020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93A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4CD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8544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74D0D0">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6FD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CFD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2DC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7.32</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E047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7.32</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ED7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539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C33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FD2453">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7EA3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BDE81A">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A2C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C50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803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7.32</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708D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7.32</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1FB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0D1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246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D2E3F8">
            <w:pPr>
              <w:rPr>
                <w:rFonts w:hint="eastAsia" w:ascii="黑体" w:hAnsi="黑体" w:eastAsia="黑体" w:cs="黑体"/>
                <w:i/>
                <w:iCs/>
                <w:color w:val="000000"/>
                <w:sz w:val="18"/>
                <w:szCs w:val="18"/>
                <w:u w:val="none"/>
              </w:rPr>
            </w:pPr>
          </w:p>
        </w:tc>
      </w:tr>
      <w:tr w14:paraId="0BEE8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EC3A8E">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986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E60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5CF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6065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199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0F7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0B5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86E9E4">
            <w:pPr>
              <w:rPr>
                <w:rFonts w:hint="eastAsia" w:ascii="黑体" w:hAnsi="黑体" w:eastAsia="黑体" w:cs="黑体"/>
                <w:i/>
                <w:iCs/>
                <w:color w:val="000000"/>
                <w:sz w:val="18"/>
                <w:szCs w:val="18"/>
                <w:u w:val="none"/>
              </w:rPr>
            </w:pPr>
          </w:p>
        </w:tc>
      </w:tr>
      <w:tr w14:paraId="15A0D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F4EA5C">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628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946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C38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364A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EA7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6C8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00D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7D42B4">
            <w:pPr>
              <w:rPr>
                <w:rFonts w:hint="eastAsia" w:ascii="黑体" w:hAnsi="黑体" w:eastAsia="黑体" w:cs="黑体"/>
                <w:i/>
                <w:iCs/>
                <w:color w:val="000000"/>
                <w:sz w:val="18"/>
                <w:szCs w:val="18"/>
                <w:u w:val="none"/>
              </w:rPr>
            </w:pPr>
          </w:p>
        </w:tc>
      </w:tr>
      <w:tr w14:paraId="5F6AC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F34CE3">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957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49EEF">
            <w:pPr>
              <w:jc w:val="center"/>
              <w:rPr>
                <w:rFonts w:hint="eastAsia" w:ascii="微软雅黑" w:hAnsi="微软雅黑" w:eastAsia="微软雅黑" w:cs="微软雅黑"/>
                <w:i/>
                <w:iCs/>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5954D">
            <w:pPr>
              <w:jc w:val="center"/>
              <w:rPr>
                <w:rFonts w:hint="eastAsia" w:ascii="微软雅黑" w:hAnsi="微软雅黑" w:eastAsia="微软雅黑" w:cs="微软雅黑"/>
                <w:i/>
                <w:iCs/>
                <w:color w:val="000000"/>
                <w:sz w:val="16"/>
                <w:szCs w:val="16"/>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F94E0A">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FD084">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CE9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9AA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DC5396">
            <w:pPr>
              <w:rPr>
                <w:rFonts w:hint="eastAsia" w:ascii="黑体" w:hAnsi="黑体" w:eastAsia="黑体" w:cs="黑体"/>
                <w:i/>
                <w:iCs/>
                <w:color w:val="000000"/>
                <w:sz w:val="18"/>
                <w:szCs w:val="18"/>
                <w:u w:val="none"/>
              </w:rPr>
            </w:pPr>
          </w:p>
        </w:tc>
      </w:tr>
      <w:tr w14:paraId="3A58E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CF75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90D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A37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861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1E4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F4F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21E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66E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4A9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9E4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67C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3D5A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6C292F">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8B05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3E6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72A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参与调查的企业数量</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D27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C00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123</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C54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户</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E53B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123</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E12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1B1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02F90">
            <w:pPr>
              <w:jc w:val="center"/>
              <w:rPr>
                <w:rFonts w:hint="eastAsia" w:ascii="微软雅黑" w:hAnsi="微软雅黑" w:eastAsia="微软雅黑" w:cs="微软雅黑"/>
                <w:i/>
                <w:iCs/>
                <w:color w:val="000000"/>
                <w:sz w:val="16"/>
                <w:szCs w:val="16"/>
                <w:u w:val="none"/>
              </w:rPr>
            </w:pPr>
          </w:p>
        </w:tc>
      </w:tr>
      <w:tr w14:paraId="1662C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C5969B">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221AF1">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24D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AB7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符合薪酬调查合同条款</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DA2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31F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较为符合</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E5A2C">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4CE7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符合</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744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2DA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09FA4">
            <w:pPr>
              <w:jc w:val="center"/>
              <w:rPr>
                <w:rFonts w:hint="eastAsia" w:ascii="微软雅黑" w:hAnsi="微软雅黑" w:eastAsia="微软雅黑" w:cs="微软雅黑"/>
                <w:i/>
                <w:iCs/>
                <w:color w:val="000000"/>
                <w:sz w:val="16"/>
                <w:szCs w:val="16"/>
                <w:u w:val="none"/>
              </w:rPr>
            </w:pPr>
          </w:p>
        </w:tc>
      </w:tr>
      <w:tr w14:paraId="2E86A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CBFC6E">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C9F7DB">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738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615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按照省人社厅通知时间完成</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41A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F85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及时完成</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1FFA9">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B58C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734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195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CF7C9">
            <w:pPr>
              <w:jc w:val="center"/>
              <w:rPr>
                <w:rFonts w:hint="eastAsia" w:ascii="微软雅黑" w:hAnsi="微软雅黑" w:eastAsia="微软雅黑" w:cs="微软雅黑"/>
                <w:i/>
                <w:iCs/>
                <w:color w:val="000000"/>
                <w:sz w:val="16"/>
                <w:szCs w:val="16"/>
                <w:u w:val="none"/>
              </w:rPr>
            </w:pPr>
          </w:p>
        </w:tc>
      </w:tr>
      <w:tr w14:paraId="6F6D1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EB8921">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50B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745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6DF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指导企业合理确定职工工资水平，减少资源的浪费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273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D9F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积极推进</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E7D8F">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93B2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积极推进</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D08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303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DC178">
            <w:pPr>
              <w:jc w:val="center"/>
              <w:rPr>
                <w:rFonts w:hint="eastAsia" w:ascii="微软雅黑" w:hAnsi="微软雅黑" w:eastAsia="微软雅黑" w:cs="微软雅黑"/>
                <w:i/>
                <w:iCs/>
                <w:color w:val="000000"/>
                <w:sz w:val="16"/>
                <w:szCs w:val="16"/>
                <w:u w:val="none"/>
              </w:rPr>
            </w:pPr>
          </w:p>
        </w:tc>
      </w:tr>
      <w:tr w14:paraId="5B9FA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6CCB0B">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C45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BEE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8FD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被调查的企业满意度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34D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0D6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CDE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C07A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5E7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6B5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79AC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企业参与数量、报告时效及企业满意度方面未完全达到目标</w:t>
            </w:r>
          </w:p>
        </w:tc>
      </w:tr>
      <w:tr w14:paraId="0607A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E2C4D1">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E78B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97FE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962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委托业务费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D0E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4A7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8B8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D06F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2.7</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E91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CB4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30F36">
            <w:pPr>
              <w:jc w:val="center"/>
              <w:rPr>
                <w:rFonts w:hint="eastAsia" w:ascii="微软雅黑" w:hAnsi="微软雅黑" w:eastAsia="微软雅黑" w:cs="微软雅黑"/>
                <w:i/>
                <w:iCs/>
                <w:color w:val="000000"/>
                <w:sz w:val="16"/>
                <w:szCs w:val="16"/>
                <w:u w:val="none"/>
              </w:rPr>
            </w:pPr>
          </w:p>
        </w:tc>
      </w:tr>
      <w:tr w14:paraId="2FDBA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BEEF93">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507FD0">
            <w:pPr>
              <w:jc w:val="center"/>
              <w:rPr>
                <w:rFonts w:hint="eastAsia" w:ascii="宋体" w:hAnsi="宋体" w:eastAsia="宋体" w:cs="宋体"/>
                <w:i w:val="0"/>
                <w:iCs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F5B89E">
            <w:pPr>
              <w:jc w:val="center"/>
              <w:rPr>
                <w:rFonts w:hint="eastAsia" w:ascii="宋体" w:hAnsi="宋体" w:eastAsia="宋体" w:cs="宋体"/>
                <w:i w:val="0"/>
                <w:iCs w:val="0"/>
                <w:color w:val="000000"/>
                <w:sz w:val="18"/>
                <w:szCs w:val="18"/>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908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劳务费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D89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80D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EBE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CEE1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4.05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5D4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5F2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9F4FF">
            <w:pPr>
              <w:jc w:val="center"/>
              <w:rPr>
                <w:rFonts w:hint="eastAsia" w:ascii="微软雅黑" w:hAnsi="微软雅黑" w:eastAsia="微软雅黑" w:cs="微软雅黑"/>
                <w:i/>
                <w:iCs/>
                <w:color w:val="000000"/>
                <w:sz w:val="16"/>
                <w:szCs w:val="16"/>
                <w:u w:val="none"/>
              </w:rPr>
            </w:pPr>
          </w:p>
        </w:tc>
      </w:tr>
      <w:tr w14:paraId="682BD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57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AC53C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BE7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D50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98BF6">
            <w:pPr>
              <w:rPr>
                <w:rFonts w:hint="eastAsia" w:ascii="宋体" w:hAnsi="宋体" w:eastAsia="宋体" w:cs="宋体"/>
                <w:i w:val="0"/>
                <w:iCs w:val="0"/>
                <w:color w:val="000000"/>
                <w:sz w:val="18"/>
                <w:szCs w:val="18"/>
                <w:u w:val="none"/>
              </w:rPr>
            </w:pPr>
          </w:p>
        </w:tc>
      </w:tr>
      <w:tr w14:paraId="2AB87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548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2806A9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结自评总分90分，项目实施取得一定成效，完成企业薪酬调查并发布报告，但在企业参与数量、报告时效及企业满意度方面未完全达到目标。</w:t>
            </w:r>
          </w:p>
        </w:tc>
      </w:tr>
      <w:tr w14:paraId="456FF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92A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EE7A55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部分小微企业填报数据完整性不足（缺漏率5%），第三方机构分析报告时效性待提升（延迟1周发布），参与调查企业数量未达目标。</w:t>
            </w:r>
          </w:p>
        </w:tc>
      </w:tr>
      <w:tr w14:paraId="02574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7EF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D8B3E0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优化数据采集：增设线上培训指导，降低企业填报误差。强化合同约束：明确第三方机构报告交付期限，纳入履约考核。动态调整预算：根据物价水平适度提高劳务补助标准，以吸引更多企业参与。</w:t>
            </w:r>
          </w:p>
        </w:tc>
      </w:tr>
      <w:tr w14:paraId="34762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8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80EAC1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项目负责人：陈勇</w:t>
            </w:r>
          </w:p>
        </w:tc>
        <w:tc>
          <w:tcPr>
            <w:tcW w:w="68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5F5886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财务负责人：宁华荣</w:t>
            </w:r>
          </w:p>
        </w:tc>
      </w:tr>
      <w:tr w14:paraId="68ECA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89" w:type="dxa"/>
            <w:tcBorders>
              <w:top w:val="nil"/>
              <w:left w:val="nil"/>
              <w:bottom w:val="nil"/>
              <w:right w:val="nil"/>
            </w:tcBorders>
            <w:shd w:val="clear" w:color="auto" w:fill="auto"/>
            <w:vAlign w:val="center"/>
          </w:tcPr>
          <w:p w14:paraId="217423C2">
            <w:pPr>
              <w:rPr>
                <w:rFonts w:hint="eastAsia" w:ascii="宋体" w:hAnsi="宋体" w:eastAsia="宋体" w:cs="宋体"/>
                <w:i w:val="0"/>
                <w:iCs w:val="0"/>
                <w:color w:val="000000"/>
                <w:sz w:val="18"/>
                <w:szCs w:val="18"/>
                <w:u w:val="none"/>
              </w:rPr>
            </w:pPr>
          </w:p>
        </w:tc>
        <w:tc>
          <w:tcPr>
            <w:tcW w:w="2048" w:type="dxa"/>
            <w:tcBorders>
              <w:top w:val="nil"/>
              <w:left w:val="nil"/>
              <w:bottom w:val="nil"/>
              <w:right w:val="nil"/>
            </w:tcBorders>
            <w:shd w:val="clear" w:color="auto" w:fill="auto"/>
            <w:vAlign w:val="center"/>
          </w:tcPr>
          <w:p w14:paraId="5CF9686B">
            <w:pPr>
              <w:rPr>
                <w:rFonts w:hint="eastAsia" w:ascii="宋体" w:hAnsi="宋体" w:eastAsia="宋体" w:cs="宋体"/>
                <w:i w:val="0"/>
                <w:iCs w:val="0"/>
                <w:color w:val="000000"/>
                <w:sz w:val="18"/>
                <w:szCs w:val="18"/>
                <w:u w:val="none"/>
              </w:rPr>
            </w:pPr>
          </w:p>
        </w:tc>
        <w:tc>
          <w:tcPr>
            <w:tcW w:w="1764" w:type="dxa"/>
            <w:tcBorders>
              <w:top w:val="nil"/>
              <w:left w:val="nil"/>
              <w:bottom w:val="nil"/>
              <w:right w:val="nil"/>
            </w:tcBorders>
            <w:shd w:val="clear" w:color="auto" w:fill="auto"/>
            <w:vAlign w:val="center"/>
          </w:tcPr>
          <w:p w14:paraId="385DDD3C">
            <w:pPr>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vAlign w:val="center"/>
          </w:tcPr>
          <w:p w14:paraId="2BF55ED9">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431474B8">
            <w:pPr>
              <w:rPr>
                <w:rFonts w:hint="eastAsia" w:ascii="宋体" w:hAnsi="宋体" w:eastAsia="宋体" w:cs="宋体"/>
                <w:i w:val="0"/>
                <w:iCs w:val="0"/>
                <w:color w:val="000000"/>
                <w:sz w:val="18"/>
                <w:szCs w:val="18"/>
                <w:u w:val="none"/>
              </w:rPr>
            </w:pPr>
          </w:p>
        </w:tc>
        <w:tc>
          <w:tcPr>
            <w:tcW w:w="1674" w:type="dxa"/>
            <w:tcBorders>
              <w:top w:val="nil"/>
              <w:left w:val="nil"/>
              <w:bottom w:val="nil"/>
              <w:right w:val="nil"/>
            </w:tcBorders>
            <w:shd w:val="clear" w:color="auto" w:fill="auto"/>
            <w:vAlign w:val="center"/>
          </w:tcPr>
          <w:p w14:paraId="6D9336E2">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0F015905">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0580E6D8">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08E340CC">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4BE5FF39">
            <w:pPr>
              <w:rPr>
                <w:rFonts w:hint="eastAsia" w:ascii="宋体" w:hAnsi="宋体" w:eastAsia="宋体" w:cs="宋体"/>
                <w:i w:val="0"/>
                <w:iCs w:val="0"/>
                <w:color w:val="000000"/>
                <w:sz w:val="18"/>
                <w:szCs w:val="18"/>
                <w:u w:val="none"/>
              </w:rPr>
            </w:pPr>
          </w:p>
        </w:tc>
        <w:tc>
          <w:tcPr>
            <w:tcW w:w="2541" w:type="dxa"/>
            <w:tcBorders>
              <w:top w:val="nil"/>
              <w:left w:val="nil"/>
              <w:bottom w:val="nil"/>
              <w:right w:val="nil"/>
            </w:tcBorders>
            <w:shd w:val="clear" w:color="auto" w:fill="auto"/>
            <w:vAlign w:val="center"/>
          </w:tcPr>
          <w:p w14:paraId="761CB184">
            <w:pPr>
              <w:rPr>
                <w:rFonts w:hint="eastAsia" w:ascii="宋体" w:hAnsi="宋体" w:eastAsia="宋体" w:cs="宋体"/>
                <w:i w:val="0"/>
                <w:iCs w:val="0"/>
                <w:color w:val="000000"/>
                <w:sz w:val="18"/>
                <w:szCs w:val="18"/>
                <w:u w:val="none"/>
              </w:rPr>
            </w:pPr>
          </w:p>
        </w:tc>
      </w:tr>
      <w:tr w14:paraId="2F245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DA07FE6">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FF7D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87CD2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FFFF00"/>
            <w:vAlign w:val="center"/>
          </w:tcPr>
          <w:p w14:paraId="0771167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51320024T000010918826-劳鉴、工伤鉴定专项经费</w:t>
            </w:r>
          </w:p>
        </w:tc>
      </w:tr>
      <w:tr w14:paraId="6571E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D9E17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60E734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州人社局部门</w:t>
            </w:r>
          </w:p>
        </w:tc>
        <w:tc>
          <w:tcPr>
            <w:tcW w:w="1095" w:type="dxa"/>
            <w:tcBorders>
              <w:top w:val="nil"/>
              <w:left w:val="nil"/>
              <w:bottom w:val="nil"/>
              <w:right w:val="nil"/>
            </w:tcBorders>
            <w:shd w:val="clear" w:color="auto" w:fill="auto"/>
            <w:vAlign w:val="center"/>
          </w:tcPr>
          <w:p w14:paraId="66B72FA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A298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w:t>
            </w:r>
          </w:p>
        </w:tc>
      </w:tr>
      <w:tr w14:paraId="12B32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39A76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55C54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28A23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45AC8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45A7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3"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4CADCF">
            <w:pP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9681A6">
            <w:pPr>
              <w:rPr>
                <w:rFonts w:hint="eastAsia" w:ascii="宋体" w:hAnsi="宋体" w:eastAsia="宋体" w:cs="宋体"/>
                <w:i w:val="0"/>
                <w:iCs w:val="0"/>
                <w:color w:val="000000"/>
                <w:sz w:val="18"/>
                <w:szCs w:val="18"/>
                <w:u w:val="none"/>
              </w:rPr>
            </w:pP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D7FD2E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一是开展工伤预防及宣传相关、组织全州从事工工伤认定及社保经办工作的人员进行业务培训、州级工伤认定案件进行外调等工作。                                                                                             二、根据《四川省工伤保险条例》，对阿坝州劳动能力鉴定专家库专家进行系统培训。2024年劳动能力拟开展6次，对全州工伤职工申请劳动能力鉴定、因病非因工丧失劳动能力鉴定及组织部委托进行的领导干部履职能力进行鉴定。</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4B350D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2024年全年共开展劳动能力鉴定6次，共鉴定523人次。开展工伤宣传活动1次，开展全州工伤认定暨工伤案卷评查1次，开展全州劳动能力鉴定专家提升活动1次。2024年州本级共认定工伤47人，前往成都、都江堰、茂县等地开展工伤案件调查4次。</w:t>
            </w:r>
          </w:p>
        </w:tc>
      </w:tr>
      <w:tr w14:paraId="45685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22F3D5">
            <w:pP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DB67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AFA3F8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全年共开展劳动能力鉴定6次，共鉴定523人次。开展工伤宣传活动1次，开展全州工伤认定暨工伤案卷评查1次，开展全州劳动能力鉴定专家提升活动1次。2024年州本级共认定工伤47人，前往成都、都江堰、茂县等地开展工伤案件调查4次。</w:t>
            </w:r>
          </w:p>
        </w:tc>
      </w:tr>
      <w:tr w14:paraId="6067C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4870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602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B41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653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08BE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61F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36F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E2A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C2F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E2C4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26427B">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DB8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80E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3CB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9C2C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B71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354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890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4B9FE6">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7776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C0ECCD">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920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7E7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E47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788C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CD6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FD7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E01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20953F">
            <w:pPr>
              <w:rPr>
                <w:rFonts w:hint="eastAsia" w:ascii="黑体" w:hAnsi="黑体" w:eastAsia="黑体" w:cs="黑体"/>
                <w:i/>
                <w:iCs/>
                <w:color w:val="000000"/>
                <w:sz w:val="18"/>
                <w:szCs w:val="18"/>
                <w:u w:val="none"/>
              </w:rPr>
            </w:pPr>
          </w:p>
        </w:tc>
      </w:tr>
      <w:tr w14:paraId="00499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BE9264">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33C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36A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0B0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680B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70F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1E5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3B2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A947C0">
            <w:pPr>
              <w:rPr>
                <w:rFonts w:hint="eastAsia" w:ascii="黑体" w:hAnsi="黑体" w:eastAsia="黑体" w:cs="黑体"/>
                <w:i/>
                <w:iCs/>
                <w:color w:val="000000"/>
                <w:sz w:val="18"/>
                <w:szCs w:val="18"/>
                <w:u w:val="none"/>
              </w:rPr>
            </w:pPr>
          </w:p>
        </w:tc>
      </w:tr>
      <w:tr w14:paraId="7CCB9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C4C67C">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68A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EFE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6DA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7106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584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DDA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198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648165">
            <w:pPr>
              <w:rPr>
                <w:rFonts w:hint="eastAsia" w:ascii="黑体" w:hAnsi="黑体" w:eastAsia="黑体" w:cs="黑体"/>
                <w:i/>
                <w:iCs/>
                <w:color w:val="000000"/>
                <w:sz w:val="18"/>
                <w:szCs w:val="18"/>
                <w:u w:val="none"/>
              </w:rPr>
            </w:pPr>
          </w:p>
        </w:tc>
      </w:tr>
      <w:tr w14:paraId="132B2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295154">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71F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1E95A">
            <w:pPr>
              <w:jc w:val="center"/>
              <w:rPr>
                <w:rFonts w:hint="eastAsia" w:ascii="微软雅黑" w:hAnsi="微软雅黑" w:eastAsia="微软雅黑" w:cs="微软雅黑"/>
                <w:i/>
                <w:iCs/>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7325E">
            <w:pPr>
              <w:jc w:val="center"/>
              <w:rPr>
                <w:rFonts w:hint="eastAsia" w:ascii="微软雅黑" w:hAnsi="微软雅黑" w:eastAsia="微软雅黑" w:cs="微软雅黑"/>
                <w:i/>
                <w:iCs/>
                <w:color w:val="000000"/>
                <w:sz w:val="16"/>
                <w:szCs w:val="16"/>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5D3356">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02917">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805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6D9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7AC219">
            <w:pPr>
              <w:rPr>
                <w:rFonts w:hint="eastAsia" w:ascii="黑体" w:hAnsi="黑体" w:eastAsia="黑体" w:cs="黑体"/>
                <w:i/>
                <w:iCs/>
                <w:color w:val="000000"/>
                <w:sz w:val="18"/>
                <w:szCs w:val="18"/>
                <w:u w:val="none"/>
              </w:rPr>
            </w:pPr>
          </w:p>
        </w:tc>
      </w:tr>
      <w:tr w14:paraId="08580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8DE5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004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EDA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685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7F0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5FD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B01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4CC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AD9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CE1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7D2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9C21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54C43F">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40BE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374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974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开展劳动能力鉴定次数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E8F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4BB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AD9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F2C1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4</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EF9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91A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63F1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受州内申请鉴定人数影响</w:t>
            </w:r>
          </w:p>
        </w:tc>
      </w:tr>
      <w:tr w14:paraId="5FAB6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1B0403">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2EA1E9">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863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208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完成劳动能力鉴定、工伤鉴定率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D7D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D0A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96D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ADE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549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CAD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9AF87">
            <w:pPr>
              <w:jc w:val="center"/>
              <w:rPr>
                <w:rFonts w:hint="eastAsia" w:ascii="微软雅黑" w:hAnsi="微软雅黑" w:eastAsia="微软雅黑" w:cs="微软雅黑"/>
                <w:i/>
                <w:iCs/>
                <w:color w:val="000000"/>
                <w:sz w:val="16"/>
                <w:szCs w:val="16"/>
                <w:u w:val="none"/>
              </w:rPr>
            </w:pPr>
          </w:p>
        </w:tc>
      </w:tr>
      <w:tr w14:paraId="0F65A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9BABA2">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FD7557">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C3B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55E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全年开展6次劳动能力鉴定，9月前完成专家培训，8月前完成专家库更新维护</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56B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236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及时完成</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027D1">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2DE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及时完成</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05B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04F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0974A">
            <w:pPr>
              <w:jc w:val="center"/>
              <w:rPr>
                <w:rFonts w:hint="eastAsia" w:ascii="微软雅黑" w:hAnsi="微软雅黑" w:eastAsia="微软雅黑" w:cs="微软雅黑"/>
                <w:i/>
                <w:iCs/>
                <w:color w:val="000000"/>
                <w:sz w:val="16"/>
                <w:szCs w:val="16"/>
                <w:u w:val="none"/>
              </w:rPr>
            </w:pPr>
          </w:p>
        </w:tc>
      </w:tr>
      <w:tr w14:paraId="13116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86C1CC">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6E8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7EA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8B1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有效的维护率受害职工及用人单位权益，维护社会稳定。</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0D1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383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效果显著</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1AD1C">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DC6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效果显著</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E70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9C3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3F7AC">
            <w:pPr>
              <w:jc w:val="center"/>
              <w:rPr>
                <w:rFonts w:hint="eastAsia" w:ascii="微软雅黑" w:hAnsi="微软雅黑" w:eastAsia="微软雅黑" w:cs="微软雅黑"/>
                <w:i/>
                <w:iCs/>
                <w:color w:val="000000"/>
                <w:sz w:val="16"/>
                <w:szCs w:val="16"/>
                <w:u w:val="none"/>
              </w:rPr>
            </w:pPr>
          </w:p>
        </w:tc>
      </w:tr>
      <w:tr w14:paraId="7CBFC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A5B8BE">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C64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A8F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BA2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参加劳动能力鉴定及工伤鉴定职工满意度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890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217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845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CD0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D28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3CC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78F1E">
            <w:pPr>
              <w:jc w:val="center"/>
              <w:rPr>
                <w:rFonts w:hint="eastAsia" w:ascii="微软雅黑" w:hAnsi="微软雅黑" w:eastAsia="微软雅黑" w:cs="微软雅黑"/>
                <w:i/>
                <w:iCs/>
                <w:color w:val="000000"/>
                <w:sz w:val="16"/>
                <w:szCs w:val="16"/>
                <w:u w:val="none"/>
              </w:rPr>
            </w:pPr>
          </w:p>
        </w:tc>
      </w:tr>
      <w:tr w14:paraId="39461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F5D10D">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966F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FC4E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56D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工伤鉴定项目总成本</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04B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7A8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7AE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642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CC1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F98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5AF09">
            <w:pPr>
              <w:jc w:val="center"/>
              <w:rPr>
                <w:rFonts w:hint="eastAsia" w:ascii="微软雅黑" w:hAnsi="微软雅黑" w:eastAsia="微软雅黑" w:cs="微软雅黑"/>
                <w:i/>
                <w:iCs/>
                <w:color w:val="000000"/>
                <w:sz w:val="16"/>
                <w:szCs w:val="16"/>
                <w:u w:val="none"/>
              </w:rPr>
            </w:pPr>
          </w:p>
        </w:tc>
      </w:tr>
      <w:tr w14:paraId="4E62D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0748CF">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5E4E4B">
            <w:pPr>
              <w:jc w:val="center"/>
              <w:rPr>
                <w:rFonts w:hint="eastAsia" w:ascii="宋体" w:hAnsi="宋体" w:eastAsia="宋体" w:cs="宋体"/>
                <w:i w:val="0"/>
                <w:iCs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18C14F">
            <w:pPr>
              <w:jc w:val="center"/>
              <w:rPr>
                <w:rFonts w:hint="eastAsia" w:ascii="宋体" w:hAnsi="宋体" w:eastAsia="宋体" w:cs="宋体"/>
                <w:i w:val="0"/>
                <w:iCs w:val="0"/>
                <w:color w:val="000000"/>
                <w:sz w:val="18"/>
                <w:szCs w:val="18"/>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523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F4D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46D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D65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015F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1.88</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526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8ED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F0330">
            <w:pPr>
              <w:jc w:val="center"/>
              <w:rPr>
                <w:rFonts w:hint="eastAsia" w:ascii="微软雅黑" w:hAnsi="微软雅黑" w:eastAsia="微软雅黑" w:cs="微软雅黑"/>
                <w:i/>
                <w:iCs/>
                <w:color w:val="000000"/>
                <w:sz w:val="16"/>
                <w:szCs w:val="16"/>
                <w:u w:val="none"/>
              </w:rPr>
            </w:pPr>
          </w:p>
        </w:tc>
      </w:tr>
      <w:tr w14:paraId="693FC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439160">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E6097F">
            <w:pPr>
              <w:jc w:val="center"/>
              <w:rPr>
                <w:rFonts w:hint="eastAsia" w:ascii="宋体" w:hAnsi="宋体" w:eastAsia="宋体" w:cs="宋体"/>
                <w:i w:val="0"/>
                <w:iCs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EF9C41">
            <w:pPr>
              <w:jc w:val="center"/>
              <w:rPr>
                <w:rFonts w:hint="eastAsia" w:ascii="宋体" w:hAnsi="宋体" w:eastAsia="宋体" w:cs="宋体"/>
                <w:i w:val="0"/>
                <w:iCs w:val="0"/>
                <w:color w:val="000000"/>
                <w:sz w:val="18"/>
                <w:szCs w:val="18"/>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970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劳动能力鉴定项目总成本</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42B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AE4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F82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B1D4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516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5FB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90B0D">
            <w:pPr>
              <w:jc w:val="center"/>
              <w:rPr>
                <w:rFonts w:hint="eastAsia" w:ascii="微软雅黑" w:hAnsi="微软雅黑" w:eastAsia="微软雅黑" w:cs="微软雅黑"/>
                <w:i/>
                <w:iCs/>
                <w:color w:val="000000"/>
                <w:sz w:val="16"/>
                <w:szCs w:val="16"/>
                <w:u w:val="none"/>
              </w:rPr>
            </w:pPr>
          </w:p>
        </w:tc>
      </w:tr>
      <w:tr w14:paraId="324EE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57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9AAAE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C95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98BB6">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065AF">
            <w:pPr>
              <w:rPr>
                <w:rFonts w:hint="eastAsia" w:ascii="宋体" w:hAnsi="宋体" w:eastAsia="宋体" w:cs="宋体"/>
                <w:i w:val="0"/>
                <w:iCs w:val="0"/>
                <w:color w:val="000000"/>
                <w:sz w:val="18"/>
                <w:szCs w:val="18"/>
                <w:u w:val="none"/>
              </w:rPr>
            </w:pPr>
          </w:p>
        </w:tc>
      </w:tr>
      <w:tr w14:paraId="32DD0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2"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A1A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9B6E28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2024年全年共开展劳动能力鉴定6次，共鉴定523人次。开展工伤宣传活动1次，开展全州工伤认定暨工伤案卷评查1次，开展全州劳动能力鉴定专家提升活动1次。2024年州本级共认定工伤47人，前往成都、都江堰、茂县等地开展工伤案件调查4次。维护了工伤职工及用人单位合法权益，加快经办时间，做好温暖人社，更好的为伤者服好务。依据法律的授权对职工因事故伤害（或者患职业病）是否属于工伤或者视同工伤给予定性的行政确认。减少开展次数，缩短鉴定天数，相对节约经济成本</w:t>
            </w:r>
          </w:p>
        </w:tc>
      </w:tr>
      <w:tr w14:paraId="1D439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841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8F341E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工作人员不足，设备老化</w:t>
            </w:r>
          </w:p>
        </w:tc>
      </w:tr>
      <w:tr w14:paraId="0AE31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07C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47AF8A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补充相关工作人员，优化设备。</w:t>
            </w:r>
          </w:p>
        </w:tc>
      </w:tr>
      <w:tr w14:paraId="79CEC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89" w:type="dxa"/>
            <w:tcBorders>
              <w:top w:val="nil"/>
              <w:left w:val="nil"/>
              <w:bottom w:val="nil"/>
              <w:right w:val="nil"/>
            </w:tcBorders>
            <w:shd w:val="clear" w:color="auto" w:fill="auto"/>
            <w:vAlign w:val="center"/>
          </w:tcPr>
          <w:p w14:paraId="50E612D6">
            <w:pPr>
              <w:rPr>
                <w:rFonts w:hint="eastAsia" w:ascii="宋体" w:hAnsi="宋体" w:eastAsia="宋体" w:cs="宋体"/>
                <w:i w:val="0"/>
                <w:iCs w:val="0"/>
                <w:color w:val="000000"/>
                <w:sz w:val="18"/>
                <w:szCs w:val="18"/>
                <w:u w:val="none"/>
              </w:rPr>
            </w:pPr>
          </w:p>
        </w:tc>
        <w:tc>
          <w:tcPr>
            <w:tcW w:w="2048" w:type="dxa"/>
            <w:tcBorders>
              <w:top w:val="nil"/>
              <w:left w:val="nil"/>
              <w:bottom w:val="nil"/>
              <w:right w:val="nil"/>
            </w:tcBorders>
            <w:shd w:val="clear" w:color="auto" w:fill="auto"/>
            <w:vAlign w:val="center"/>
          </w:tcPr>
          <w:p w14:paraId="5287701E">
            <w:pPr>
              <w:rPr>
                <w:rFonts w:hint="eastAsia" w:ascii="宋体" w:hAnsi="宋体" w:eastAsia="宋体" w:cs="宋体"/>
                <w:i w:val="0"/>
                <w:iCs w:val="0"/>
                <w:color w:val="000000"/>
                <w:sz w:val="18"/>
                <w:szCs w:val="18"/>
                <w:u w:val="none"/>
              </w:rPr>
            </w:pPr>
          </w:p>
        </w:tc>
        <w:tc>
          <w:tcPr>
            <w:tcW w:w="1764" w:type="dxa"/>
            <w:tcBorders>
              <w:top w:val="nil"/>
              <w:left w:val="nil"/>
              <w:bottom w:val="nil"/>
              <w:right w:val="nil"/>
            </w:tcBorders>
            <w:shd w:val="clear" w:color="auto" w:fill="auto"/>
            <w:vAlign w:val="center"/>
          </w:tcPr>
          <w:p w14:paraId="0FE0BA35">
            <w:pPr>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vAlign w:val="center"/>
          </w:tcPr>
          <w:p w14:paraId="77D173C5">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216F6376">
            <w:pPr>
              <w:rPr>
                <w:rFonts w:hint="eastAsia" w:ascii="宋体" w:hAnsi="宋体" w:eastAsia="宋体" w:cs="宋体"/>
                <w:i w:val="0"/>
                <w:iCs w:val="0"/>
                <w:color w:val="000000"/>
                <w:sz w:val="18"/>
                <w:szCs w:val="18"/>
                <w:u w:val="none"/>
              </w:rPr>
            </w:pPr>
          </w:p>
        </w:tc>
        <w:tc>
          <w:tcPr>
            <w:tcW w:w="1674" w:type="dxa"/>
            <w:tcBorders>
              <w:top w:val="nil"/>
              <w:left w:val="nil"/>
              <w:bottom w:val="nil"/>
              <w:right w:val="nil"/>
            </w:tcBorders>
            <w:shd w:val="clear" w:color="auto" w:fill="auto"/>
            <w:vAlign w:val="center"/>
          </w:tcPr>
          <w:p w14:paraId="784B3AD7">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60006EE1">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156AF909">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121FCF14">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7E227104">
            <w:pPr>
              <w:rPr>
                <w:rFonts w:hint="eastAsia" w:ascii="宋体" w:hAnsi="宋体" w:eastAsia="宋体" w:cs="宋体"/>
                <w:i w:val="0"/>
                <w:iCs w:val="0"/>
                <w:color w:val="000000"/>
                <w:sz w:val="18"/>
                <w:szCs w:val="18"/>
                <w:u w:val="none"/>
              </w:rPr>
            </w:pPr>
          </w:p>
        </w:tc>
        <w:tc>
          <w:tcPr>
            <w:tcW w:w="2541" w:type="dxa"/>
            <w:tcBorders>
              <w:top w:val="nil"/>
              <w:left w:val="nil"/>
              <w:bottom w:val="nil"/>
              <w:right w:val="nil"/>
            </w:tcBorders>
            <w:shd w:val="clear" w:color="auto" w:fill="auto"/>
            <w:vAlign w:val="center"/>
          </w:tcPr>
          <w:p w14:paraId="41A0B1D6">
            <w:pPr>
              <w:rPr>
                <w:rFonts w:hint="eastAsia" w:ascii="宋体" w:hAnsi="宋体" w:eastAsia="宋体" w:cs="宋体"/>
                <w:i w:val="0"/>
                <w:iCs w:val="0"/>
                <w:color w:val="000000"/>
                <w:sz w:val="18"/>
                <w:szCs w:val="18"/>
                <w:u w:val="none"/>
              </w:rPr>
            </w:pPr>
          </w:p>
        </w:tc>
      </w:tr>
      <w:tr w14:paraId="241C0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96BF00F">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09DB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B1E5F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FFFF00"/>
            <w:vAlign w:val="center"/>
          </w:tcPr>
          <w:p w14:paraId="2FAE1A5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51320024T000010919977-信访办案专项经费</w:t>
            </w:r>
          </w:p>
        </w:tc>
      </w:tr>
      <w:tr w14:paraId="4B59B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B76C5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854E85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州人社局部门</w:t>
            </w:r>
          </w:p>
        </w:tc>
        <w:tc>
          <w:tcPr>
            <w:tcW w:w="1095" w:type="dxa"/>
            <w:tcBorders>
              <w:top w:val="nil"/>
              <w:left w:val="nil"/>
              <w:bottom w:val="nil"/>
              <w:right w:val="nil"/>
            </w:tcBorders>
            <w:shd w:val="clear" w:color="auto" w:fill="auto"/>
            <w:vAlign w:val="center"/>
          </w:tcPr>
          <w:p w14:paraId="3C5B2DA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89CD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w:t>
            </w:r>
          </w:p>
        </w:tc>
      </w:tr>
      <w:tr w14:paraId="1C8B0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3FDA1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DB57C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8C7A3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3CBFB1">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BACA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25BBB5">
            <w:pP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17B248">
            <w:pPr>
              <w:rPr>
                <w:rFonts w:hint="eastAsia" w:ascii="宋体" w:hAnsi="宋体" w:eastAsia="宋体" w:cs="宋体"/>
                <w:i w:val="0"/>
                <w:iCs w:val="0"/>
                <w:color w:val="000000"/>
                <w:sz w:val="18"/>
                <w:szCs w:val="18"/>
                <w:u w:val="none"/>
              </w:rPr>
            </w:pP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CAF6E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完成群众来信来访办理、案件复查复核、矛盾纠纷排查化解、业务培训、资料印制、差旅费用、信访工作调研、信访基础基层建设等费用支出，实现提高办信工作质量，提高人社信访规范化、标准化、法治化工作能力，维护群众合法权益，提升群众满意度，有效化解全州人社领域矛盾纠纷和信访案件，积极维护社会稳定。       </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2CAC99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全年没有因工作处理不到位引发的负面舆情、重点问题和非法来州进京到省集访情况发生；对全系统信访工作人员开展法治化业务培训，推进人社系统信访工作法治化建设；每月开展矛盾纠纷排查，上报安全形势研判；在全省“两会”、春节、“三月期间”、养老保险重大改革、中华人民共和国成立75周年庆祝活动、省州重要会议活动等敏感节点开展信访安全保障工作。</w:t>
            </w:r>
          </w:p>
        </w:tc>
      </w:tr>
      <w:tr w14:paraId="77F15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19BA95">
            <w:pP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EF76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A8CA63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2024年我局共收到办理群众来信201件，接待来访群众17批次、35人次，对重点案件办理开展核查；对全系统信访工作人员开展法治化业务培训；每月开展矛盾纠纷排查；在全国全省“两会”、春节、“三月期间”、</w:t>
            </w:r>
            <w:r>
              <w:rPr>
                <w:rFonts w:hint="eastAsia" w:ascii="宋体" w:hAnsi="宋体" w:eastAsia="宋体" w:cs="宋体"/>
                <w:i w:val="0"/>
                <w:iCs w:val="0"/>
                <w:color w:val="000000"/>
                <w:kern w:val="0"/>
                <w:sz w:val="18"/>
                <w:szCs w:val="18"/>
                <w:u w:val="none"/>
                <w:lang w:val="en-US" w:eastAsia="zh-CN" w:bidi="ar"/>
              </w:rPr>
              <w:t>中华人民共和国成立75周年</w:t>
            </w:r>
            <w:bookmarkStart w:id="70" w:name="_GoBack"/>
            <w:bookmarkEnd w:id="70"/>
            <w:r>
              <w:rPr>
                <w:rFonts w:ascii="宋体" w:hAnsi="宋体" w:eastAsia="宋体" w:cs="宋体"/>
                <w:i w:val="0"/>
                <w:iCs w:val="0"/>
                <w:color w:val="000000"/>
                <w:kern w:val="0"/>
                <w:sz w:val="18"/>
                <w:szCs w:val="18"/>
                <w:u w:val="none"/>
                <w:lang w:val="en-US" w:eastAsia="zh-CN" w:bidi="ar"/>
              </w:rPr>
              <w:t>庆祝活动、省州重要会议活动等敏感节点开展信访安全保障工作。按照养老保险重大改革工作部署，开展工作安排和专项信访维稳业务培训。</w:t>
            </w:r>
          </w:p>
        </w:tc>
      </w:tr>
      <w:tr w14:paraId="6F339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EA62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DC6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C60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FC7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29C5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4ED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043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EB1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004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0AEB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684941">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10F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388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618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8AFF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FD5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167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287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780DD2">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04FF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2F9FBE">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395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8B4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E03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B863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B4B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D91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DB1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D383EB">
            <w:pPr>
              <w:rPr>
                <w:rFonts w:hint="eastAsia" w:ascii="黑体" w:hAnsi="黑体" w:eastAsia="黑体" w:cs="黑体"/>
                <w:i/>
                <w:iCs/>
                <w:color w:val="000000"/>
                <w:sz w:val="18"/>
                <w:szCs w:val="18"/>
                <w:u w:val="none"/>
              </w:rPr>
            </w:pPr>
          </w:p>
        </w:tc>
      </w:tr>
      <w:tr w14:paraId="12B7A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C784D4">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2E2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6D0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23A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96CE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CEC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955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6CD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749462">
            <w:pPr>
              <w:rPr>
                <w:rFonts w:hint="eastAsia" w:ascii="黑体" w:hAnsi="黑体" w:eastAsia="黑体" w:cs="黑体"/>
                <w:i/>
                <w:iCs/>
                <w:color w:val="000000"/>
                <w:sz w:val="18"/>
                <w:szCs w:val="18"/>
                <w:u w:val="none"/>
              </w:rPr>
            </w:pPr>
          </w:p>
        </w:tc>
      </w:tr>
      <w:tr w14:paraId="2C05A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E53742">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BA3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AF5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621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3455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9A0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489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61A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4D3FBF">
            <w:pPr>
              <w:rPr>
                <w:rFonts w:hint="eastAsia" w:ascii="黑体" w:hAnsi="黑体" w:eastAsia="黑体" w:cs="黑体"/>
                <w:i/>
                <w:iCs/>
                <w:color w:val="000000"/>
                <w:sz w:val="18"/>
                <w:szCs w:val="18"/>
                <w:u w:val="none"/>
              </w:rPr>
            </w:pPr>
          </w:p>
        </w:tc>
      </w:tr>
      <w:tr w14:paraId="6EBBB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331ADF">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D09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976AE">
            <w:pPr>
              <w:jc w:val="center"/>
              <w:rPr>
                <w:rFonts w:hint="eastAsia" w:ascii="微软雅黑" w:hAnsi="微软雅黑" w:eastAsia="微软雅黑" w:cs="微软雅黑"/>
                <w:i/>
                <w:iCs/>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56F33">
            <w:pPr>
              <w:jc w:val="center"/>
              <w:rPr>
                <w:rFonts w:hint="eastAsia" w:ascii="微软雅黑" w:hAnsi="微软雅黑" w:eastAsia="微软雅黑" w:cs="微软雅黑"/>
                <w:i/>
                <w:iCs/>
                <w:color w:val="000000"/>
                <w:sz w:val="16"/>
                <w:szCs w:val="16"/>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104CED">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B7617">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27F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5BD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49DC0">
            <w:pPr>
              <w:rPr>
                <w:rFonts w:hint="eastAsia" w:ascii="黑体" w:hAnsi="黑体" w:eastAsia="黑体" w:cs="黑体"/>
                <w:i/>
                <w:iCs/>
                <w:color w:val="000000"/>
                <w:sz w:val="18"/>
                <w:szCs w:val="18"/>
                <w:u w:val="none"/>
              </w:rPr>
            </w:pPr>
          </w:p>
        </w:tc>
      </w:tr>
      <w:tr w14:paraId="0ADDD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A2AA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B29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ADE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11B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D7C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BEB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E5C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DA6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644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F5B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31A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C1AA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01D26B">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0FC2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021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DE3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业务培训次数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2CB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BFF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F69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FA59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C0F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B1A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3DFC0">
            <w:pPr>
              <w:jc w:val="center"/>
              <w:rPr>
                <w:rFonts w:hint="eastAsia" w:ascii="微软雅黑" w:hAnsi="微软雅黑" w:eastAsia="微软雅黑" w:cs="微软雅黑"/>
                <w:i/>
                <w:iCs/>
                <w:color w:val="000000"/>
                <w:sz w:val="16"/>
                <w:szCs w:val="16"/>
                <w:u w:val="none"/>
              </w:rPr>
            </w:pPr>
          </w:p>
        </w:tc>
      </w:tr>
      <w:tr w14:paraId="3129E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A5934F">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569630">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955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ABB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信访案件完成率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E1D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E74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302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E02C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06E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7E0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33336">
            <w:pPr>
              <w:jc w:val="center"/>
              <w:rPr>
                <w:rFonts w:hint="eastAsia" w:ascii="微软雅黑" w:hAnsi="微软雅黑" w:eastAsia="微软雅黑" w:cs="微软雅黑"/>
                <w:i/>
                <w:iCs/>
                <w:color w:val="000000"/>
                <w:sz w:val="16"/>
                <w:szCs w:val="16"/>
                <w:u w:val="none"/>
              </w:rPr>
            </w:pPr>
          </w:p>
        </w:tc>
      </w:tr>
      <w:tr w14:paraId="5BD32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8732D1">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76940A">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541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FC2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支付及时率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632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4C3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D1D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3870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01E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AEB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00FF4">
            <w:pPr>
              <w:jc w:val="center"/>
              <w:rPr>
                <w:rFonts w:hint="eastAsia" w:ascii="微软雅黑" w:hAnsi="微软雅黑" w:eastAsia="微软雅黑" w:cs="微软雅黑"/>
                <w:i/>
                <w:iCs/>
                <w:color w:val="000000"/>
                <w:sz w:val="16"/>
                <w:szCs w:val="16"/>
                <w:u w:val="none"/>
              </w:rPr>
            </w:pPr>
          </w:p>
        </w:tc>
      </w:tr>
      <w:tr w14:paraId="48403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EE6B96">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F11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0DB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029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有效化解人社领域矛盾纠纷，积极维护社会稳定</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A08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0F8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有效维护</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CC6B5">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2275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无重大突出问题，维护了社会稳定</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F56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CDC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1AFED">
            <w:pPr>
              <w:jc w:val="center"/>
              <w:rPr>
                <w:rFonts w:hint="eastAsia" w:ascii="微软雅黑" w:hAnsi="微软雅黑" w:eastAsia="微软雅黑" w:cs="微软雅黑"/>
                <w:i/>
                <w:iCs/>
                <w:color w:val="000000"/>
                <w:sz w:val="16"/>
                <w:szCs w:val="16"/>
                <w:u w:val="none"/>
              </w:rPr>
            </w:pPr>
          </w:p>
        </w:tc>
      </w:tr>
      <w:tr w14:paraId="02BA5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469777">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3CFF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B15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F7D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社会公众对相关工作的满意度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88C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501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33C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D489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842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C55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D6DCB">
            <w:pPr>
              <w:jc w:val="center"/>
              <w:rPr>
                <w:rFonts w:hint="eastAsia" w:ascii="微软雅黑" w:hAnsi="微软雅黑" w:eastAsia="微软雅黑" w:cs="微软雅黑"/>
                <w:i/>
                <w:iCs/>
                <w:color w:val="000000"/>
                <w:sz w:val="16"/>
                <w:szCs w:val="16"/>
                <w:u w:val="none"/>
              </w:rPr>
            </w:pPr>
          </w:p>
        </w:tc>
      </w:tr>
      <w:tr w14:paraId="0745E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D6C5F0">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48F7B9">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677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874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信访工作办理的满意度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60B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262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BFC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05C8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B89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709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FA674">
            <w:pPr>
              <w:jc w:val="center"/>
              <w:rPr>
                <w:rFonts w:hint="eastAsia" w:ascii="微软雅黑" w:hAnsi="微软雅黑" w:eastAsia="微软雅黑" w:cs="微软雅黑"/>
                <w:i/>
                <w:iCs/>
                <w:color w:val="000000"/>
                <w:sz w:val="16"/>
                <w:szCs w:val="16"/>
                <w:u w:val="none"/>
              </w:rPr>
            </w:pPr>
          </w:p>
        </w:tc>
      </w:tr>
      <w:tr w14:paraId="5C6C0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C864B7">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EB4C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35A8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80F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差旅费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8A9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A4A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C5B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5D44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9EE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6F2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6E31B">
            <w:pPr>
              <w:jc w:val="center"/>
              <w:rPr>
                <w:rFonts w:hint="eastAsia" w:ascii="微软雅黑" w:hAnsi="微软雅黑" w:eastAsia="微软雅黑" w:cs="微软雅黑"/>
                <w:i/>
                <w:iCs/>
                <w:color w:val="000000"/>
                <w:sz w:val="16"/>
                <w:szCs w:val="16"/>
                <w:u w:val="none"/>
              </w:rPr>
            </w:pPr>
          </w:p>
        </w:tc>
      </w:tr>
      <w:tr w14:paraId="0A722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4BCBE">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F6D155">
            <w:pPr>
              <w:jc w:val="center"/>
              <w:rPr>
                <w:rFonts w:hint="eastAsia" w:ascii="宋体" w:hAnsi="宋体" w:eastAsia="宋体" w:cs="宋体"/>
                <w:i w:val="0"/>
                <w:iCs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5D3C82">
            <w:pPr>
              <w:jc w:val="center"/>
              <w:rPr>
                <w:rFonts w:hint="eastAsia" w:ascii="宋体" w:hAnsi="宋体" w:eastAsia="宋体" w:cs="宋体"/>
                <w:i w:val="0"/>
                <w:iCs w:val="0"/>
                <w:color w:val="000000"/>
                <w:sz w:val="18"/>
                <w:szCs w:val="18"/>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18F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1F8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3CE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C9B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8EE3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0.5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881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259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B2B29">
            <w:pPr>
              <w:jc w:val="center"/>
              <w:rPr>
                <w:rFonts w:hint="eastAsia" w:ascii="微软雅黑" w:hAnsi="微软雅黑" w:eastAsia="微软雅黑" w:cs="微软雅黑"/>
                <w:i/>
                <w:iCs/>
                <w:color w:val="000000"/>
                <w:sz w:val="16"/>
                <w:szCs w:val="16"/>
                <w:u w:val="none"/>
              </w:rPr>
            </w:pPr>
          </w:p>
        </w:tc>
      </w:tr>
      <w:tr w14:paraId="6F921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57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D0C60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273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322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71C12">
            <w:pPr>
              <w:rPr>
                <w:rFonts w:hint="eastAsia" w:ascii="宋体" w:hAnsi="宋体" w:eastAsia="宋体" w:cs="宋体"/>
                <w:i w:val="0"/>
                <w:iCs w:val="0"/>
                <w:color w:val="000000"/>
                <w:sz w:val="18"/>
                <w:szCs w:val="18"/>
                <w:u w:val="none"/>
              </w:rPr>
            </w:pPr>
          </w:p>
        </w:tc>
      </w:tr>
      <w:tr w14:paraId="24BEA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F94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C12A47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项目预算执行率100%，工作取得了预期成效</w:t>
            </w:r>
          </w:p>
        </w:tc>
      </w:tr>
      <w:tr w14:paraId="3CA93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317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444AC0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01BE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16F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A45F18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7588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89" w:type="dxa"/>
            <w:tcBorders>
              <w:top w:val="nil"/>
              <w:left w:val="nil"/>
              <w:bottom w:val="nil"/>
              <w:right w:val="nil"/>
            </w:tcBorders>
            <w:shd w:val="clear" w:color="auto" w:fill="auto"/>
            <w:vAlign w:val="center"/>
          </w:tcPr>
          <w:p w14:paraId="5B1F88CF">
            <w:pPr>
              <w:rPr>
                <w:rFonts w:hint="eastAsia" w:ascii="宋体" w:hAnsi="宋体" w:eastAsia="宋体" w:cs="宋体"/>
                <w:i w:val="0"/>
                <w:iCs w:val="0"/>
                <w:color w:val="000000"/>
                <w:sz w:val="18"/>
                <w:szCs w:val="18"/>
                <w:u w:val="none"/>
              </w:rPr>
            </w:pPr>
          </w:p>
        </w:tc>
        <w:tc>
          <w:tcPr>
            <w:tcW w:w="2048" w:type="dxa"/>
            <w:tcBorders>
              <w:top w:val="nil"/>
              <w:left w:val="nil"/>
              <w:bottom w:val="nil"/>
              <w:right w:val="nil"/>
            </w:tcBorders>
            <w:shd w:val="clear" w:color="auto" w:fill="auto"/>
            <w:vAlign w:val="center"/>
          </w:tcPr>
          <w:p w14:paraId="269DE995">
            <w:pPr>
              <w:rPr>
                <w:rFonts w:hint="eastAsia" w:ascii="宋体" w:hAnsi="宋体" w:eastAsia="宋体" w:cs="宋体"/>
                <w:i w:val="0"/>
                <w:iCs w:val="0"/>
                <w:color w:val="000000"/>
                <w:sz w:val="18"/>
                <w:szCs w:val="18"/>
                <w:u w:val="none"/>
              </w:rPr>
            </w:pPr>
          </w:p>
        </w:tc>
        <w:tc>
          <w:tcPr>
            <w:tcW w:w="1764" w:type="dxa"/>
            <w:tcBorders>
              <w:top w:val="nil"/>
              <w:left w:val="nil"/>
              <w:bottom w:val="nil"/>
              <w:right w:val="nil"/>
            </w:tcBorders>
            <w:shd w:val="clear" w:color="auto" w:fill="auto"/>
            <w:vAlign w:val="center"/>
          </w:tcPr>
          <w:p w14:paraId="0EF1455D">
            <w:pPr>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vAlign w:val="center"/>
          </w:tcPr>
          <w:p w14:paraId="040EC4E5">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5A161CF8">
            <w:pPr>
              <w:rPr>
                <w:rFonts w:hint="eastAsia" w:ascii="宋体" w:hAnsi="宋体" w:eastAsia="宋体" w:cs="宋体"/>
                <w:i w:val="0"/>
                <w:iCs w:val="0"/>
                <w:color w:val="000000"/>
                <w:sz w:val="18"/>
                <w:szCs w:val="18"/>
                <w:u w:val="none"/>
              </w:rPr>
            </w:pPr>
          </w:p>
        </w:tc>
        <w:tc>
          <w:tcPr>
            <w:tcW w:w="1674" w:type="dxa"/>
            <w:tcBorders>
              <w:top w:val="nil"/>
              <w:left w:val="nil"/>
              <w:bottom w:val="nil"/>
              <w:right w:val="nil"/>
            </w:tcBorders>
            <w:shd w:val="clear" w:color="auto" w:fill="auto"/>
            <w:vAlign w:val="center"/>
          </w:tcPr>
          <w:p w14:paraId="25F9A39B">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0CB28428">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120451AA">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5D2D1075">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6F5E9661">
            <w:pPr>
              <w:rPr>
                <w:rFonts w:hint="eastAsia" w:ascii="宋体" w:hAnsi="宋体" w:eastAsia="宋体" w:cs="宋体"/>
                <w:i w:val="0"/>
                <w:iCs w:val="0"/>
                <w:color w:val="000000"/>
                <w:sz w:val="18"/>
                <w:szCs w:val="18"/>
                <w:u w:val="none"/>
              </w:rPr>
            </w:pPr>
          </w:p>
        </w:tc>
        <w:tc>
          <w:tcPr>
            <w:tcW w:w="2541" w:type="dxa"/>
            <w:tcBorders>
              <w:top w:val="nil"/>
              <w:left w:val="nil"/>
              <w:bottom w:val="nil"/>
              <w:right w:val="nil"/>
            </w:tcBorders>
            <w:shd w:val="clear" w:color="auto" w:fill="auto"/>
            <w:vAlign w:val="center"/>
          </w:tcPr>
          <w:p w14:paraId="14E83863">
            <w:pPr>
              <w:rPr>
                <w:rFonts w:hint="eastAsia" w:ascii="宋体" w:hAnsi="宋体" w:eastAsia="宋体" w:cs="宋体"/>
                <w:i w:val="0"/>
                <w:iCs w:val="0"/>
                <w:color w:val="000000"/>
                <w:sz w:val="18"/>
                <w:szCs w:val="18"/>
                <w:u w:val="none"/>
              </w:rPr>
            </w:pPr>
          </w:p>
        </w:tc>
      </w:tr>
      <w:tr w14:paraId="38ADC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B08B380">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D2EC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0887C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3AC3AA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51320024T000010921224-深化职称制度改革专项经费</w:t>
            </w:r>
          </w:p>
        </w:tc>
      </w:tr>
      <w:tr w14:paraId="4EC77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CC4AE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46717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州人社局部门</w:t>
            </w:r>
          </w:p>
        </w:tc>
        <w:tc>
          <w:tcPr>
            <w:tcW w:w="1095" w:type="dxa"/>
            <w:tcBorders>
              <w:top w:val="nil"/>
              <w:left w:val="nil"/>
              <w:bottom w:val="nil"/>
              <w:right w:val="nil"/>
            </w:tcBorders>
            <w:shd w:val="clear" w:color="auto" w:fill="auto"/>
            <w:vAlign w:val="center"/>
          </w:tcPr>
          <w:p w14:paraId="64706CF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3A87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w:t>
            </w:r>
          </w:p>
        </w:tc>
      </w:tr>
      <w:tr w14:paraId="48E3F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BF90F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DCB51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62EFE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B8907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1DC8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28FF01">
            <w:pP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00AE60">
            <w:pPr>
              <w:rPr>
                <w:rFonts w:hint="eastAsia" w:ascii="宋体" w:hAnsi="宋体" w:eastAsia="宋体" w:cs="宋体"/>
                <w:i w:val="0"/>
                <w:iCs w:val="0"/>
                <w:color w:val="000000"/>
                <w:sz w:val="18"/>
                <w:szCs w:val="18"/>
                <w:u w:val="none"/>
              </w:rPr>
            </w:pP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8D8A8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依据中共四川省委办公厅  四川省人民政府办公厅《关于印发&lt;关于深化职称制度改革的实施意见&gt;的通知》（川委办〔2018〕13号）和四川省人力资源社会保障厅《四川省职称评审管理暂行办法》（川人社发〔2020〕31号）相关要求，开展本州职称综合管理、职称评审和人才培育培养组织实施工作，通过指导宣传、培训培养、调研考察、信息化建设等措施，建立一支优质的职称管理人员和高水平专业技术人才队伍。</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C7B8CA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7A561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40BC0">
            <w:pP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EFC1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824B0D0">
            <w:pPr>
              <w:rPr>
                <w:rFonts w:hint="eastAsia" w:ascii="宋体" w:hAnsi="宋体" w:eastAsia="宋体" w:cs="宋体"/>
                <w:i w:val="0"/>
                <w:iCs w:val="0"/>
                <w:color w:val="000000"/>
                <w:sz w:val="18"/>
                <w:szCs w:val="18"/>
                <w:u w:val="none"/>
              </w:rPr>
            </w:pPr>
          </w:p>
        </w:tc>
      </w:tr>
      <w:tr w14:paraId="2C154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ECB2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60E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4CA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BD9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CB1D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4D2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685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5D8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BB5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CB50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30C5C3">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B2E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36B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3C6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8341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E59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EF7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B7207">
            <w:pPr>
              <w:jc w:val="center"/>
              <w:rPr>
                <w:rFonts w:hint="eastAsia" w:ascii="宋体" w:hAnsi="宋体" w:eastAsia="宋体" w:cs="宋体"/>
                <w:i w:val="0"/>
                <w:iCs w:val="0"/>
                <w:color w:val="000000"/>
                <w:sz w:val="18"/>
                <w:szCs w:val="18"/>
                <w:u w:val="none"/>
              </w:rPr>
            </w:pPr>
          </w:p>
        </w:tc>
        <w:tc>
          <w:tcPr>
            <w:tcW w:w="2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A692A2">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45BF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76E7C9">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199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7A8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1B2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D60B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C1B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9CF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EBC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76C78C">
            <w:pPr>
              <w:rPr>
                <w:rFonts w:hint="eastAsia" w:ascii="黑体" w:hAnsi="黑体" w:eastAsia="黑体" w:cs="黑体"/>
                <w:i/>
                <w:iCs/>
                <w:color w:val="000000"/>
                <w:sz w:val="18"/>
                <w:szCs w:val="18"/>
                <w:u w:val="none"/>
              </w:rPr>
            </w:pPr>
          </w:p>
        </w:tc>
      </w:tr>
      <w:tr w14:paraId="56964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903E67">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589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AE4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B81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0FCB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A9D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2A0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3B4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E8B8EA">
            <w:pPr>
              <w:rPr>
                <w:rFonts w:hint="eastAsia" w:ascii="黑体" w:hAnsi="黑体" w:eastAsia="黑体" w:cs="黑体"/>
                <w:i/>
                <w:iCs/>
                <w:color w:val="000000"/>
                <w:sz w:val="18"/>
                <w:szCs w:val="18"/>
                <w:u w:val="none"/>
              </w:rPr>
            </w:pPr>
          </w:p>
        </w:tc>
      </w:tr>
      <w:tr w14:paraId="5A66B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609499">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967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58D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3F5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2540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0EC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232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019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3373F8">
            <w:pPr>
              <w:rPr>
                <w:rFonts w:hint="eastAsia" w:ascii="黑体" w:hAnsi="黑体" w:eastAsia="黑体" w:cs="黑体"/>
                <w:i/>
                <w:iCs/>
                <w:color w:val="000000"/>
                <w:sz w:val="18"/>
                <w:szCs w:val="18"/>
                <w:u w:val="none"/>
              </w:rPr>
            </w:pPr>
          </w:p>
        </w:tc>
      </w:tr>
      <w:tr w14:paraId="6CE0B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12C4A5">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8E9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67728">
            <w:pPr>
              <w:jc w:val="center"/>
              <w:rPr>
                <w:rFonts w:hint="eastAsia" w:ascii="微软雅黑" w:hAnsi="微软雅黑" w:eastAsia="微软雅黑" w:cs="微软雅黑"/>
                <w:i/>
                <w:iCs/>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A1DE5">
            <w:pPr>
              <w:jc w:val="center"/>
              <w:rPr>
                <w:rFonts w:hint="eastAsia" w:ascii="微软雅黑" w:hAnsi="微软雅黑" w:eastAsia="微软雅黑" w:cs="微软雅黑"/>
                <w:i/>
                <w:iCs/>
                <w:color w:val="000000"/>
                <w:sz w:val="16"/>
                <w:szCs w:val="16"/>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B6942B">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280F1">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47E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333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6FA51B">
            <w:pPr>
              <w:rPr>
                <w:rFonts w:hint="eastAsia" w:ascii="黑体" w:hAnsi="黑体" w:eastAsia="黑体" w:cs="黑体"/>
                <w:i/>
                <w:iCs/>
                <w:color w:val="000000"/>
                <w:sz w:val="18"/>
                <w:szCs w:val="18"/>
                <w:u w:val="none"/>
              </w:rPr>
            </w:pPr>
          </w:p>
        </w:tc>
      </w:tr>
      <w:tr w14:paraId="690F1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6291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734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C20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24E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DEA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52C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0E4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333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8C3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917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0E0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5D4E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33CA16">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DA9D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3B5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E98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培训、考察调研次数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F4D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25B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D03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EE6A0">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78E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F6F12">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EF7A4">
            <w:pPr>
              <w:jc w:val="center"/>
              <w:rPr>
                <w:rFonts w:hint="eastAsia" w:ascii="微软雅黑" w:hAnsi="微软雅黑" w:eastAsia="微软雅黑" w:cs="微软雅黑"/>
                <w:i/>
                <w:iCs/>
                <w:color w:val="000000"/>
                <w:sz w:val="16"/>
                <w:szCs w:val="16"/>
                <w:u w:val="none"/>
              </w:rPr>
            </w:pPr>
          </w:p>
        </w:tc>
      </w:tr>
      <w:tr w14:paraId="10285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AD01A2">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58C44B">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5C0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780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信息化建设率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288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BEA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04B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1AFE4">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5D7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39BF2">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39DA2">
            <w:pPr>
              <w:jc w:val="center"/>
              <w:rPr>
                <w:rFonts w:hint="eastAsia" w:ascii="微软雅黑" w:hAnsi="微软雅黑" w:eastAsia="微软雅黑" w:cs="微软雅黑"/>
                <w:i/>
                <w:iCs/>
                <w:color w:val="000000"/>
                <w:sz w:val="16"/>
                <w:szCs w:val="16"/>
                <w:u w:val="none"/>
              </w:rPr>
            </w:pPr>
          </w:p>
        </w:tc>
      </w:tr>
      <w:tr w14:paraId="75961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6EF9DF">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0C7635">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3FE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D87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项目将于2024年11月底前完成</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EFE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43E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及时完成</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A559B">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22FFE">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8F1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52CCE">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9F3B8">
            <w:pPr>
              <w:jc w:val="center"/>
              <w:rPr>
                <w:rFonts w:hint="eastAsia" w:ascii="微软雅黑" w:hAnsi="微软雅黑" w:eastAsia="微软雅黑" w:cs="微软雅黑"/>
                <w:i/>
                <w:iCs/>
                <w:color w:val="000000"/>
                <w:sz w:val="16"/>
                <w:szCs w:val="16"/>
                <w:u w:val="none"/>
              </w:rPr>
            </w:pPr>
          </w:p>
        </w:tc>
      </w:tr>
      <w:tr w14:paraId="11743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273639">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3332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64E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049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节约专业技术人员申报成本</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34D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AA2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0A471">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CA7F7">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AD5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91EB8">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6D8C1">
            <w:pPr>
              <w:jc w:val="center"/>
              <w:rPr>
                <w:rFonts w:hint="eastAsia" w:ascii="微软雅黑" w:hAnsi="微软雅黑" w:eastAsia="微软雅黑" w:cs="微软雅黑"/>
                <w:i/>
                <w:iCs/>
                <w:color w:val="000000"/>
                <w:sz w:val="16"/>
                <w:szCs w:val="16"/>
                <w:u w:val="none"/>
              </w:rPr>
            </w:pPr>
          </w:p>
        </w:tc>
      </w:tr>
      <w:tr w14:paraId="1F888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B36CC3">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C94C3C">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0CC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296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通过培训、考察调研、信息管理等工作，提升服务能力</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AA4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CFB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CCF48">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F43C2">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C9A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E730F">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CD29C">
            <w:pPr>
              <w:jc w:val="center"/>
              <w:rPr>
                <w:rFonts w:hint="eastAsia" w:ascii="微软雅黑" w:hAnsi="微软雅黑" w:eastAsia="微软雅黑" w:cs="微软雅黑"/>
                <w:i/>
                <w:iCs/>
                <w:color w:val="000000"/>
                <w:sz w:val="16"/>
                <w:szCs w:val="16"/>
                <w:u w:val="none"/>
              </w:rPr>
            </w:pPr>
          </w:p>
        </w:tc>
      </w:tr>
      <w:tr w14:paraId="34C6B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0CD637">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7F8642">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2A1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生态效益指标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271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减少环境污染</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398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EBD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减少环境污染</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5B752">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CB190">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C07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A6070">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02A87">
            <w:pPr>
              <w:jc w:val="center"/>
              <w:rPr>
                <w:rFonts w:hint="eastAsia" w:ascii="微软雅黑" w:hAnsi="微软雅黑" w:eastAsia="微软雅黑" w:cs="微软雅黑"/>
                <w:i/>
                <w:iCs/>
                <w:color w:val="000000"/>
                <w:sz w:val="16"/>
                <w:szCs w:val="16"/>
                <w:u w:val="none"/>
              </w:rPr>
            </w:pPr>
          </w:p>
        </w:tc>
      </w:tr>
      <w:tr w14:paraId="56C8A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1C6DD2">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6E16F">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CF1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22B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使职称评审更加公平、科学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C17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A27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9A793">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4D1AA">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9ED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430F6">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C60FA">
            <w:pPr>
              <w:jc w:val="center"/>
              <w:rPr>
                <w:rFonts w:hint="eastAsia" w:ascii="微软雅黑" w:hAnsi="微软雅黑" w:eastAsia="微软雅黑" w:cs="微软雅黑"/>
                <w:i/>
                <w:iCs/>
                <w:color w:val="000000"/>
                <w:sz w:val="16"/>
                <w:szCs w:val="16"/>
                <w:u w:val="none"/>
              </w:rPr>
            </w:pPr>
          </w:p>
        </w:tc>
      </w:tr>
      <w:tr w14:paraId="09AB3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804CAC">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AC0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D80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263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专业技术人员、职称管理人员、职称评审专家满意度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8B6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356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784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CBC48">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1CF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BDA00">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FAE35">
            <w:pPr>
              <w:jc w:val="center"/>
              <w:rPr>
                <w:rFonts w:hint="eastAsia" w:ascii="微软雅黑" w:hAnsi="微软雅黑" w:eastAsia="微软雅黑" w:cs="微软雅黑"/>
                <w:i/>
                <w:iCs/>
                <w:color w:val="000000"/>
                <w:sz w:val="16"/>
                <w:szCs w:val="16"/>
                <w:u w:val="none"/>
              </w:rPr>
            </w:pPr>
          </w:p>
        </w:tc>
      </w:tr>
      <w:tr w14:paraId="5C9D9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1E7FC7">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0EC9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CD72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8EA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339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3C4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F1E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A8A1B">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251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F17DF">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9E20D">
            <w:pPr>
              <w:jc w:val="center"/>
              <w:rPr>
                <w:rFonts w:hint="eastAsia" w:ascii="微软雅黑" w:hAnsi="微软雅黑" w:eastAsia="微软雅黑" w:cs="微软雅黑"/>
                <w:i/>
                <w:iCs/>
                <w:color w:val="000000"/>
                <w:sz w:val="16"/>
                <w:szCs w:val="16"/>
                <w:u w:val="none"/>
              </w:rPr>
            </w:pPr>
          </w:p>
        </w:tc>
      </w:tr>
      <w:tr w14:paraId="6DE12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59255A">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BD5495">
            <w:pPr>
              <w:jc w:val="center"/>
              <w:rPr>
                <w:rFonts w:hint="eastAsia" w:ascii="宋体" w:hAnsi="宋体" w:eastAsia="宋体" w:cs="宋体"/>
                <w:i w:val="0"/>
                <w:iCs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FC9348">
            <w:pPr>
              <w:jc w:val="center"/>
              <w:rPr>
                <w:rFonts w:hint="eastAsia" w:ascii="宋体" w:hAnsi="宋体" w:eastAsia="宋体" w:cs="宋体"/>
                <w:i w:val="0"/>
                <w:iCs w:val="0"/>
                <w:color w:val="000000"/>
                <w:sz w:val="18"/>
                <w:szCs w:val="18"/>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501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劳务费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023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DE9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69E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D4759">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AC8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A61A7">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31FEA">
            <w:pPr>
              <w:jc w:val="center"/>
              <w:rPr>
                <w:rFonts w:hint="eastAsia" w:ascii="微软雅黑" w:hAnsi="微软雅黑" w:eastAsia="微软雅黑" w:cs="微软雅黑"/>
                <w:i/>
                <w:iCs/>
                <w:color w:val="000000"/>
                <w:sz w:val="16"/>
                <w:szCs w:val="16"/>
                <w:u w:val="none"/>
              </w:rPr>
            </w:pPr>
          </w:p>
        </w:tc>
      </w:tr>
      <w:tr w14:paraId="20FD3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57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8BC4E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B73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D2ADF">
            <w:pP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7E3C2">
            <w:pPr>
              <w:rPr>
                <w:rFonts w:hint="eastAsia" w:ascii="宋体" w:hAnsi="宋体" w:eastAsia="宋体" w:cs="宋体"/>
                <w:i w:val="0"/>
                <w:iCs w:val="0"/>
                <w:color w:val="000000"/>
                <w:sz w:val="18"/>
                <w:szCs w:val="18"/>
                <w:u w:val="none"/>
              </w:rPr>
            </w:pPr>
          </w:p>
        </w:tc>
      </w:tr>
      <w:tr w14:paraId="53D75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7E2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1FDCA2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25BF3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DF1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5C4629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510E4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8F3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CA0075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3CB96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89" w:type="dxa"/>
            <w:tcBorders>
              <w:top w:val="nil"/>
              <w:left w:val="nil"/>
              <w:bottom w:val="nil"/>
              <w:right w:val="nil"/>
            </w:tcBorders>
            <w:shd w:val="clear" w:color="auto" w:fill="auto"/>
            <w:vAlign w:val="center"/>
          </w:tcPr>
          <w:p w14:paraId="1E4E9AA2">
            <w:pPr>
              <w:rPr>
                <w:rFonts w:hint="eastAsia" w:ascii="宋体" w:hAnsi="宋体" w:eastAsia="宋体" w:cs="宋体"/>
                <w:i w:val="0"/>
                <w:iCs w:val="0"/>
                <w:color w:val="000000"/>
                <w:sz w:val="18"/>
                <w:szCs w:val="18"/>
                <w:u w:val="none"/>
              </w:rPr>
            </w:pPr>
          </w:p>
        </w:tc>
        <w:tc>
          <w:tcPr>
            <w:tcW w:w="2048" w:type="dxa"/>
            <w:tcBorders>
              <w:top w:val="nil"/>
              <w:left w:val="nil"/>
              <w:bottom w:val="nil"/>
              <w:right w:val="nil"/>
            </w:tcBorders>
            <w:shd w:val="clear" w:color="auto" w:fill="auto"/>
            <w:vAlign w:val="center"/>
          </w:tcPr>
          <w:p w14:paraId="530A6F27">
            <w:pPr>
              <w:rPr>
                <w:rFonts w:hint="eastAsia" w:ascii="宋体" w:hAnsi="宋体" w:eastAsia="宋体" w:cs="宋体"/>
                <w:i w:val="0"/>
                <w:iCs w:val="0"/>
                <w:color w:val="000000"/>
                <w:sz w:val="18"/>
                <w:szCs w:val="18"/>
                <w:u w:val="none"/>
              </w:rPr>
            </w:pPr>
          </w:p>
        </w:tc>
        <w:tc>
          <w:tcPr>
            <w:tcW w:w="1764" w:type="dxa"/>
            <w:tcBorders>
              <w:top w:val="nil"/>
              <w:left w:val="nil"/>
              <w:bottom w:val="nil"/>
              <w:right w:val="nil"/>
            </w:tcBorders>
            <w:shd w:val="clear" w:color="auto" w:fill="auto"/>
            <w:vAlign w:val="center"/>
          </w:tcPr>
          <w:p w14:paraId="1D141ED7">
            <w:pPr>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vAlign w:val="center"/>
          </w:tcPr>
          <w:p w14:paraId="248548B5">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4AE21B48">
            <w:pPr>
              <w:rPr>
                <w:rFonts w:hint="eastAsia" w:ascii="宋体" w:hAnsi="宋体" w:eastAsia="宋体" w:cs="宋体"/>
                <w:i w:val="0"/>
                <w:iCs w:val="0"/>
                <w:color w:val="000000"/>
                <w:sz w:val="18"/>
                <w:szCs w:val="18"/>
                <w:u w:val="none"/>
              </w:rPr>
            </w:pPr>
          </w:p>
        </w:tc>
        <w:tc>
          <w:tcPr>
            <w:tcW w:w="1674" w:type="dxa"/>
            <w:tcBorders>
              <w:top w:val="nil"/>
              <w:left w:val="nil"/>
              <w:bottom w:val="nil"/>
              <w:right w:val="nil"/>
            </w:tcBorders>
            <w:shd w:val="clear" w:color="auto" w:fill="auto"/>
            <w:vAlign w:val="center"/>
          </w:tcPr>
          <w:p w14:paraId="2E3BC0A9">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4CD99B23">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2E0EDF22">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0AE42555">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1D6BBF3C">
            <w:pPr>
              <w:rPr>
                <w:rFonts w:hint="eastAsia" w:ascii="宋体" w:hAnsi="宋体" w:eastAsia="宋体" w:cs="宋体"/>
                <w:i w:val="0"/>
                <w:iCs w:val="0"/>
                <w:color w:val="000000"/>
                <w:sz w:val="18"/>
                <w:szCs w:val="18"/>
                <w:u w:val="none"/>
              </w:rPr>
            </w:pPr>
          </w:p>
        </w:tc>
        <w:tc>
          <w:tcPr>
            <w:tcW w:w="2541" w:type="dxa"/>
            <w:tcBorders>
              <w:top w:val="nil"/>
              <w:left w:val="nil"/>
              <w:bottom w:val="nil"/>
              <w:right w:val="nil"/>
            </w:tcBorders>
            <w:shd w:val="clear" w:color="auto" w:fill="auto"/>
            <w:vAlign w:val="center"/>
          </w:tcPr>
          <w:p w14:paraId="79B25078">
            <w:pPr>
              <w:rPr>
                <w:rFonts w:hint="eastAsia" w:ascii="宋体" w:hAnsi="宋体" w:eastAsia="宋体" w:cs="宋体"/>
                <w:i w:val="0"/>
                <w:iCs w:val="0"/>
                <w:color w:val="000000"/>
                <w:sz w:val="18"/>
                <w:szCs w:val="18"/>
                <w:u w:val="none"/>
              </w:rPr>
            </w:pPr>
          </w:p>
        </w:tc>
      </w:tr>
      <w:tr w14:paraId="3E997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15E467A">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B506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F9589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479499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51320024T000010925474-统计业务专项经费</w:t>
            </w:r>
          </w:p>
        </w:tc>
      </w:tr>
      <w:tr w14:paraId="4A12D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4EE87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59F50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州人社局部门</w:t>
            </w:r>
          </w:p>
        </w:tc>
        <w:tc>
          <w:tcPr>
            <w:tcW w:w="1095" w:type="dxa"/>
            <w:tcBorders>
              <w:top w:val="nil"/>
              <w:left w:val="nil"/>
              <w:bottom w:val="nil"/>
              <w:right w:val="nil"/>
            </w:tcBorders>
            <w:shd w:val="clear" w:color="auto" w:fill="auto"/>
            <w:vAlign w:val="center"/>
          </w:tcPr>
          <w:p w14:paraId="4251C03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8C26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w:t>
            </w:r>
          </w:p>
        </w:tc>
      </w:tr>
      <w:tr w14:paraId="1E2F2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54171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1A1D0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E91A3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21CDDB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87B8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7ACCC5">
            <w:pP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CCD9BB">
            <w:pPr>
              <w:rPr>
                <w:rFonts w:hint="eastAsia" w:ascii="宋体" w:hAnsi="宋体" w:eastAsia="宋体" w:cs="宋体"/>
                <w:i w:val="0"/>
                <w:iCs w:val="0"/>
                <w:color w:val="000000"/>
                <w:sz w:val="18"/>
                <w:szCs w:val="18"/>
                <w:u w:val="none"/>
              </w:rPr>
            </w:pP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E46DEB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对13县（市）、卧龙特区人力资源和社会保障统计人员进行专题培训，将请老师对系统操作进行培训，以训代会的形式进行全年工作布置，包括培训费、住宿费，工作餐费等。对13县（市）、卧龙特区开展城镇居民人均可支配收入情况调研、组织业务骨干培训、召开联席会议、进行督促工作。</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B714E4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63C84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9E48C9">
            <w:pP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EF4F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57EFA05">
            <w:pPr>
              <w:rPr>
                <w:rFonts w:hint="eastAsia" w:ascii="宋体" w:hAnsi="宋体" w:eastAsia="宋体" w:cs="宋体"/>
                <w:i w:val="0"/>
                <w:iCs w:val="0"/>
                <w:color w:val="000000"/>
                <w:sz w:val="18"/>
                <w:szCs w:val="18"/>
                <w:u w:val="none"/>
              </w:rPr>
            </w:pPr>
          </w:p>
        </w:tc>
      </w:tr>
      <w:tr w14:paraId="04F41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09E6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206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2F3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FCF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CEFC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BB6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4ED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6F8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150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306C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C54815">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0FC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478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A89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3.63</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DF54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3.63</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644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D3A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3E5F0">
            <w:pPr>
              <w:jc w:val="center"/>
              <w:rPr>
                <w:rFonts w:hint="eastAsia" w:ascii="宋体" w:hAnsi="宋体" w:eastAsia="宋体" w:cs="宋体"/>
                <w:i w:val="0"/>
                <w:iCs w:val="0"/>
                <w:color w:val="000000"/>
                <w:sz w:val="18"/>
                <w:szCs w:val="18"/>
                <w:u w:val="none"/>
              </w:rPr>
            </w:pPr>
          </w:p>
        </w:tc>
        <w:tc>
          <w:tcPr>
            <w:tcW w:w="2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1F9EC9">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1329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D29630">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E55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8FF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89C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3.63</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744F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3.63</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153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43B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56C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5FA549">
            <w:pPr>
              <w:rPr>
                <w:rFonts w:hint="eastAsia" w:ascii="黑体" w:hAnsi="黑体" w:eastAsia="黑体" w:cs="黑体"/>
                <w:i/>
                <w:iCs/>
                <w:color w:val="000000"/>
                <w:sz w:val="18"/>
                <w:szCs w:val="18"/>
                <w:u w:val="none"/>
              </w:rPr>
            </w:pPr>
          </w:p>
        </w:tc>
      </w:tr>
      <w:tr w14:paraId="54C49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33DCEF">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978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A2E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DD8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3186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AF6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364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AEC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0C7D33">
            <w:pPr>
              <w:rPr>
                <w:rFonts w:hint="eastAsia" w:ascii="黑体" w:hAnsi="黑体" w:eastAsia="黑体" w:cs="黑体"/>
                <w:i/>
                <w:iCs/>
                <w:color w:val="000000"/>
                <w:sz w:val="18"/>
                <w:szCs w:val="18"/>
                <w:u w:val="none"/>
              </w:rPr>
            </w:pPr>
          </w:p>
        </w:tc>
      </w:tr>
      <w:tr w14:paraId="14799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CAF4F1">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222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DCB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06B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C3BD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784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5D6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B1B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366AC4">
            <w:pPr>
              <w:rPr>
                <w:rFonts w:hint="eastAsia" w:ascii="黑体" w:hAnsi="黑体" w:eastAsia="黑体" w:cs="黑体"/>
                <w:i/>
                <w:iCs/>
                <w:color w:val="000000"/>
                <w:sz w:val="18"/>
                <w:szCs w:val="18"/>
                <w:u w:val="none"/>
              </w:rPr>
            </w:pPr>
          </w:p>
        </w:tc>
      </w:tr>
      <w:tr w14:paraId="64A34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F43D5C">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4EE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20C24">
            <w:pPr>
              <w:jc w:val="center"/>
              <w:rPr>
                <w:rFonts w:hint="eastAsia" w:ascii="微软雅黑" w:hAnsi="微软雅黑" w:eastAsia="微软雅黑" w:cs="微软雅黑"/>
                <w:i/>
                <w:iCs/>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18E56">
            <w:pPr>
              <w:jc w:val="center"/>
              <w:rPr>
                <w:rFonts w:hint="eastAsia" w:ascii="微软雅黑" w:hAnsi="微软雅黑" w:eastAsia="微软雅黑" w:cs="微软雅黑"/>
                <w:i/>
                <w:iCs/>
                <w:color w:val="000000"/>
                <w:sz w:val="16"/>
                <w:szCs w:val="16"/>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DA00A8">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66BC4">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064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1F5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0B3097">
            <w:pPr>
              <w:rPr>
                <w:rFonts w:hint="eastAsia" w:ascii="黑体" w:hAnsi="黑体" w:eastAsia="黑体" w:cs="黑体"/>
                <w:i/>
                <w:iCs/>
                <w:color w:val="000000"/>
                <w:sz w:val="18"/>
                <w:szCs w:val="18"/>
                <w:u w:val="none"/>
              </w:rPr>
            </w:pPr>
          </w:p>
        </w:tc>
      </w:tr>
      <w:tr w14:paraId="1A373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2C3F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8DD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6CF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CA7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CDD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C39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E3B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A8E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7F1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18D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066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D593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A052FB">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9DD9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105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331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参训人员人数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210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617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62F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36A82">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9A2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3E5C1">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BD94A">
            <w:pPr>
              <w:jc w:val="center"/>
              <w:rPr>
                <w:rFonts w:hint="eastAsia" w:ascii="微软雅黑" w:hAnsi="微软雅黑" w:eastAsia="微软雅黑" w:cs="微软雅黑"/>
                <w:i/>
                <w:iCs/>
                <w:color w:val="000000"/>
                <w:sz w:val="16"/>
                <w:szCs w:val="16"/>
                <w:u w:val="none"/>
              </w:rPr>
            </w:pPr>
          </w:p>
        </w:tc>
      </w:tr>
      <w:tr w14:paraId="12676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F46541">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46BEF0">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09D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80A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参加培训人员合格率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255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231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E5D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01C4A">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B61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3B7F8">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441DA">
            <w:pPr>
              <w:jc w:val="center"/>
              <w:rPr>
                <w:rFonts w:hint="eastAsia" w:ascii="微软雅黑" w:hAnsi="微软雅黑" w:eastAsia="微软雅黑" w:cs="微软雅黑"/>
                <w:i/>
                <w:iCs/>
                <w:color w:val="000000"/>
                <w:sz w:val="16"/>
                <w:szCs w:val="16"/>
                <w:u w:val="none"/>
              </w:rPr>
            </w:pPr>
          </w:p>
        </w:tc>
      </w:tr>
      <w:tr w14:paraId="306A0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DA2DBC">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3B006F">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628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65A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出差时间</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413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C44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E61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5B7AA">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669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586CB">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2A896">
            <w:pPr>
              <w:jc w:val="center"/>
              <w:rPr>
                <w:rFonts w:hint="eastAsia" w:ascii="微软雅黑" w:hAnsi="微软雅黑" w:eastAsia="微软雅黑" w:cs="微软雅黑"/>
                <w:i/>
                <w:iCs/>
                <w:color w:val="000000"/>
                <w:sz w:val="16"/>
                <w:szCs w:val="16"/>
                <w:u w:val="none"/>
              </w:rPr>
            </w:pPr>
          </w:p>
        </w:tc>
      </w:tr>
      <w:tr w14:paraId="2041C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E0F9C1">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DA8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860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1AA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促进城镇居民人均可支配收入增长</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5A1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863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有效促进</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1DE54">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30D62">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9A9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4E1AA">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080DE">
            <w:pPr>
              <w:jc w:val="center"/>
              <w:rPr>
                <w:rFonts w:hint="eastAsia" w:ascii="微软雅黑" w:hAnsi="微软雅黑" w:eastAsia="微软雅黑" w:cs="微软雅黑"/>
                <w:i/>
                <w:iCs/>
                <w:color w:val="000000"/>
                <w:sz w:val="16"/>
                <w:szCs w:val="16"/>
                <w:u w:val="none"/>
              </w:rPr>
            </w:pPr>
          </w:p>
        </w:tc>
      </w:tr>
      <w:tr w14:paraId="4262C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ED0548">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B64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926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F86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参训人员满意度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3DD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FD0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AEB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B4379">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073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69C4A">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C23F9">
            <w:pPr>
              <w:jc w:val="center"/>
              <w:rPr>
                <w:rFonts w:hint="eastAsia" w:ascii="微软雅黑" w:hAnsi="微软雅黑" w:eastAsia="微软雅黑" w:cs="微软雅黑"/>
                <w:i/>
                <w:iCs/>
                <w:color w:val="000000"/>
                <w:sz w:val="16"/>
                <w:szCs w:val="16"/>
                <w:u w:val="none"/>
              </w:rPr>
            </w:pPr>
          </w:p>
        </w:tc>
      </w:tr>
      <w:tr w14:paraId="3722D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771A5B">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C4BA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848A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366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差旅费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D1B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4B7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C36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04723">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419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1E77A">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DD559">
            <w:pPr>
              <w:jc w:val="center"/>
              <w:rPr>
                <w:rFonts w:hint="eastAsia" w:ascii="微软雅黑" w:hAnsi="微软雅黑" w:eastAsia="微软雅黑" w:cs="微软雅黑"/>
                <w:i/>
                <w:iCs/>
                <w:color w:val="000000"/>
                <w:sz w:val="16"/>
                <w:szCs w:val="16"/>
                <w:u w:val="none"/>
              </w:rPr>
            </w:pPr>
          </w:p>
        </w:tc>
      </w:tr>
      <w:tr w14:paraId="577E2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E014E">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CD92F4">
            <w:pPr>
              <w:jc w:val="center"/>
              <w:rPr>
                <w:rFonts w:hint="eastAsia" w:ascii="宋体" w:hAnsi="宋体" w:eastAsia="宋体" w:cs="宋体"/>
                <w:i w:val="0"/>
                <w:iCs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0B8FD0">
            <w:pPr>
              <w:jc w:val="center"/>
              <w:rPr>
                <w:rFonts w:hint="eastAsia" w:ascii="宋体" w:hAnsi="宋体" w:eastAsia="宋体" w:cs="宋体"/>
                <w:i w:val="0"/>
                <w:iCs w:val="0"/>
                <w:color w:val="000000"/>
                <w:sz w:val="18"/>
                <w:szCs w:val="18"/>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497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07E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916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44B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BC197">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602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D3085">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C7EFB">
            <w:pPr>
              <w:jc w:val="center"/>
              <w:rPr>
                <w:rFonts w:hint="eastAsia" w:ascii="微软雅黑" w:hAnsi="微软雅黑" w:eastAsia="微软雅黑" w:cs="微软雅黑"/>
                <w:i/>
                <w:iCs/>
                <w:color w:val="000000"/>
                <w:sz w:val="16"/>
                <w:szCs w:val="16"/>
                <w:u w:val="none"/>
              </w:rPr>
            </w:pPr>
          </w:p>
        </w:tc>
      </w:tr>
      <w:tr w14:paraId="1DC4B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57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AFCFE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64E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85C1C">
            <w:pP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79F41">
            <w:pPr>
              <w:rPr>
                <w:rFonts w:hint="eastAsia" w:ascii="宋体" w:hAnsi="宋体" w:eastAsia="宋体" w:cs="宋体"/>
                <w:i w:val="0"/>
                <w:iCs w:val="0"/>
                <w:color w:val="000000"/>
                <w:sz w:val="18"/>
                <w:szCs w:val="18"/>
                <w:u w:val="none"/>
              </w:rPr>
            </w:pPr>
          </w:p>
        </w:tc>
      </w:tr>
      <w:tr w14:paraId="2E214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067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C05136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4FAE8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194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EFA07B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1B63B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61F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BB7B7A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1663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89" w:type="dxa"/>
            <w:tcBorders>
              <w:top w:val="nil"/>
              <w:left w:val="nil"/>
              <w:bottom w:val="nil"/>
              <w:right w:val="nil"/>
            </w:tcBorders>
            <w:shd w:val="clear" w:color="auto" w:fill="auto"/>
            <w:vAlign w:val="center"/>
          </w:tcPr>
          <w:p w14:paraId="569A3442">
            <w:pPr>
              <w:rPr>
                <w:rFonts w:hint="eastAsia" w:ascii="宋体" w:hAnsi="宋体" w:eastAsia="宋体" w:cs="宋体"/>
                <w:i w:val="0"/>
                <w:iCs w:val="0"/>
                <w:color w:val="000000"/>
                <w:sz w:val="18"/>
                <w:szCs w:val="18"/>
                <w:u w:val="none"/>
              </w:rPr>
            </w:pPr>
          </w:p>
        </w:tc>
        <w:tc>
          <w:tcPr>
            <w:tcW w:w="2048" w:type="dxa"/>
            <w:tcBorders>
              <w:top w:val="nil"/>
              <w:left w:val="nil"/>
              <w:bottom w:val="nil"/>
              <w:right w:val="nil"/>
            </w:tcBorders>
            <w:shd w:val="clear" w:color="auto" w:fill="auto"/>
            <w:vAlign w:val="center"/>
          </w:tcPr>
          <w:p w14:paraId="474EB54D">
            <w:pPr>
              <w:rPr>
                <w:rFonts w:hint="eastAsia" w:ascii="宋体" w:hAnsi="宋体" w:eastAsia="宋体" w:cs="宋体"/>
                <w:i w:val="0"/>
                <w:iCs w:val="0"/>
                <w:color w:val="000000"/>
                <w:sz w:val="18"/>
                <w:szCs w:val="18"/>
                <w:u w:val="none"/>
              </w:rPr>
            </w:pPr>
          </w:p>
        </w:tc>
        <w:tc>
          <w:tcPr>
            <w:tcW w:w="1764" w:type="dxa"/>
            <w:tcBorders>
              <w:top w:val="nil"/>
              <w:left w:val="nil"/>
              <w:bottom w:val="nil"/>
              <w:right w:val="nil"/>
            </w:tcBorders>
            <w:shd w:val="clear" w:color="auto" w:fill="auto"/>
            <w:vAlign w:val="center"/>
          </w:tcPr>
          <w:p w14:paraId="40CF83E8">
            <w:pPr>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vAlign w:val="center"/>
          </w:tcPr>
          <w:p w14:paraId="06DBF3A3">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1E424853">
            <w:pPr>
              <w:rPr>
                <w:rFonts w:hint="eastAsia" w:ascii="宋体" w:hAnsi="宋体" w:eastAsia="宋体" w:cs="宋体"/>
                <w:i w:val="0"/>
                <w:iCs w:val="0"/>
                <w:color w:val="000000"/>
                <w:sz w:val="18"/>
                <w:szCs w:val="18"/>
                <w:u w:val="none"/>
              </w:rPr>
            </w:pPr>
          </w:p>
        </w:tc>
        <w:tc>
          <w:tcPr>
            <w:tcW w:w="1674" w:type="dxa"/>
            <w:tcBorders>
              <w:top w:val="nil"/>
              <w:left w:val="nil"/>
              <w:bottom w:val="nil"/>
              <w:right w:val="nil"/>
            </w:tcBorders>
            <w:shd w:val="clear" w:color="auto" w:fill="auto"/>
            <w:vAlign w:val="center"/>
          </w:tcPr>
          <w:p w14:paraId="0ED5F3B2">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1D27F218">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6D2471DD">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167D6558">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15AD97AA">
            <w:pPr>
              <w:rPr>
                <w:rFonts w:hint="eastAsia" w:ascii="宋体" w:hAnsi="宋体" w:eastAsia="宋体" w:cs="宋体"/>
                <w:i w:val="0"/>
                <w:iCs w:val="0"/>
                <w:color w:val="000000"/>
                <w:sz w:val="18"/>
                <w:szCs w:val="18"/>
                <w:u w:val="none"/>
              </w:rPr>
            </w:pPr>
          </w:p>
        </w:tc>
        <w:tc>
          <w:tcPr>
            <w:tcW w:w="2541" w:type="dxa"/>
            <w:tcBorders>
              <w:top w:val="nil"/>
              <w:left w:val="nil"/>
              <w:bottom w:val="nil"/>
              <w:right w:val="nil"/>
            </w:tcBorders>
            <w:shd w:val="clear" w:color="auto" w:fill="auto"/>
            <w:vAlign w:val="center"/>
          </w:tcPr>
          <w:p w14:paraId="2BB68F4F">
            <w:pPr>
              <w:rPr>
                <w:rFonts w:hint="eastAsia" w:ascii="宋体" w:hAnsi="宋体" w:eastAsia="宋体" w:cs="宋体"/>
                <w:i w:val="0"/>
                <w:iCs w:val="0"/>
                <w:color w:val="000000"/>
                <w:sz w:val="18"/>
                <w:szCs w:val="18"/>
                <w:u w:val="none"/>
              </w:rPr>
            </w:pPr>
          </w:p>
        </w:tc>
      </w:tr>
      <w:tr w14:paraId="3E64F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8520ACD">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7D36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8351F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FFFF00"/>
            <w:vAlign w:val="center"/>
          </w:tcPr>
          <w:p w14:paraId="0F3D937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51320024T000010925569-劳动保障监察专项经费</w:t>
            </w:r>
          </w:p>
        </w:tc>
      </w:tr>
      <w:tr w14:paraId="65E2C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7CF71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DBFB08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州人社局部门</w:t>
            </w:r>
          </w:p>
        </w:tc>
        <w:tc>
          <w:tcPr>
            <w:tcW w:w="1095" w:type="dxa"/>
            <w:tcBorders>
              <w:top w:val="nil"/>
              <w:left w:val="nil"/>
              <w:bottom w:val="nil"/>
              <w:right w:val="nil"/>
            </w:tcBorders>
            <w:shd w:val="clear" w:color="auto" w:fill="auto"/>
            <w:vAlign w:val="center"/>
          </w:tcPr>
          <w:p w14:paraId="31FD54E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6087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w:t>
            </w:r>
          </w:p>
        </w:tc>
      </w:tr>
      <w:tr w14:paraId="4FE27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1CB0D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5C13A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DAFC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8B4523">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981D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7AA620">
            <w:pP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0C0A91">
            <w:pPr>
              <w:rPr>
                <w:rFonts w:hint="eastAsia" w:ascii="宋体" w:hAnsi="宋体" w:eastAsia="宋体" w:cs="宋体"/>
                <w:i w:val="0"/>
                <w:iCs w:val="0"/>
                <w:color w:val="000000"/>
                <w:sz w:val="18"/>
                <w:szCs w:val="18"/>
                <w:u w:val="none"/>
              </w:rPr>
            </w:pP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9115AD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目标1：开展劳动保障监察队伍业务能力能力提升培训；目标2：开展日常巡查及专项活动检查；目标3：完成国务院、省政府对州政府拖欠农民工工资支付考核；目标4：配备执法装备和设施</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850283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2024年底前组织259人进行劳动保障监察培训，培训合格率≥95%，指标已完成；2024年底前农民工对该项工作满意度达到95%，指标已完成；2024年底前已完成夏季和冬季行动，“双随机、一公开”、女职工和禁止使用童工等执法检查，共检查125家企业和用人单位。接受组织省、州考核检查调研4次，为4名执法人员购置执法服，指标已完成。</w:t>
            </w:r>
          </w:p>
        </w:tc>
      </w:tr>
      <w:tr w14:paraId="2903F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74FEC5">
            <w:pP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38AF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605DD5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该项目经费列入本级财政预算，明确工作所需经费列入本级预算，完成宣传劳动保障法律、法规和规章，督促用人单位贯彻执行；检查用人单位遵守劳动保障法律、法规和规章的情况；受理对违反劳动保障法律、法规或者规章的行为的举报、投诉；依法纠正和查处违反劳动保障法律、法规或者规章的行为；劳动保障监察业务培训、资料印制、差旅费用、工作调研、劳动保障监察办公场所建设等费用支出，实现提高工作质量，进一步强化劳动保障监察规范化、标准化、法治化工作能力，维护群众合法权益，提升群众满意度，高效办理各类维权案件。</w:t>
            </w:r>
          </w:p>
        </w:tc>
      </w:tr>
      <w:tr w14:paraId="6DCCB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9C7E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7FF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2DF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E1F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91CB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195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036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8CC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057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B6F6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8A084B">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6AA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FDD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52E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14.16</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DC07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14.16</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B7E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EE9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A59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8C77FC">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1EC8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9A9D2B">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AF6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209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176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14.16</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A6AF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14.16</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5FC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80A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2CB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17ED58">
            <w:pPr>
              <w:rPr>
                <w:rFonts w:hint="eastAsia" w:ascii="黑体" w:hAnsi="黑体" w:eastAsia="黑体" w:cs="黑体"/>
                <w:i/>
                <w:iCs/>
                <w:color w:val="000000"/>
                <w:sz w:val="18"/>
                <w:szCs w:val="18"/>
                <w:u w:val="none"/>
              </w:rPr>
            </w:pPr>
          </w:p>
        </w:tc>
      </w:tr>
      <w:tr w14:paraId="04FF2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4187FE">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0C5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B56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684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A07C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00B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C1D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A22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1B7C12">
            <w:pPr>
              <w:rPr>
                <w:rFonts w:hint="eastAsia" w:ascii="黑体" w:hAnsi="黑体" w:eastAsia="黑体" w:cs="黑体"/>
                <w:i/>
                <w:iCs/>
                <w:color w:val="000000"/>
                <w:sz w:val="18"/>
                <w:szCs w:val="18"/>
                <w:u w:val="none"/>
              </w:rPr>
            </w:pPr>
          </w:p>
        </w:tc>
      </w:tr>
      <w:tr w14:paraId="16FB5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E99B9E">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F83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946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FBC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CF7D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84E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301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D01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C1AE43">
            <w:pPr>
              <w:rPr>
                <w:rFonts w:hint="eastAsia" w:ascii="黑体" w:hAnsi="黑体" w:eastAsia="黑体" w:cs="黑体"/>
                <w:i/>
                <w:iCs/>
                <w:color w:val="000000"/>
                <w:sz w:val="18"/>
                <w:szCs w:val="18"/>
                <w:u w:val="none"/>
              </w:rPr>
            </w:pPr>
          </w:p>
        </w:tc>
      </w:tr>
      <w:tr w14:paraId="75AA1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63303D">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177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1C9B2">
            <w:pPr>
              <w:jc w:val="center"/>
              <w:rPr>
                <w:rFonts w:hint="eastAsia" w:ascii="微软雅黑" w:hAnsi="微软雅黑" w:eastAsia="微软雅黑" w:cs="微软雅黑"/>
                <w:i/>
                <w:iCs/>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A0C42">
            <w:pPr>
              <w:jc w:val="center"/>
              <w:rPr>
                <w:rFonts w:hint="eastAsia" w:ascii="微软雅黑" w:hAnsi="微软雅黑" w:eastAsia="微软雅黑" w:cs="微软雅黑"/>
                <w:i/>
                <w:iCs/>
                <w:color w:val="000000"/>
                <w:sz w:val="16"/>
                <w:szCs w:val="16"/>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01D5A8">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0AA62">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DF1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C26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8E07F6">
            <w:pPr>
              <w:rPr>
                <w:rFonts w:hint="eastAsia" w:ascii="黑体" w:hAnsi="黑体" w:eastAsia="黑体" w:cs="黑体"/>
                <w:i/>
                <w:iCs/>
                <w:color w:val="000000"/>
                <w:sz w:val="18"/>
                <w:szCs w:val="18"/>
                <w:u w:val="none"/>
              </w:rPr>
            </w:pPr>
          </w:p>
        </w:tc>
      </w:tr>
      <w:tr w14:paraId="23799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B809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B1C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9CD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BB7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FE0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26D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37C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9CC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663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288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2C8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B075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F09DF">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96A5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5E6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2C9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参加培训人次</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D07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EDF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47F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94CC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259人</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816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AD6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3DBF1">
            <w:pPr>
              <w:jc w:val="center"/>
              <w:rPr>
                <w:rFonts w:hint="eastAsia" w:ascii="微软雅黑" w:hAnsi="微软雅黑" w:eastAsia="微软雅黑" w:cs="微软雅黑"/>
                <w:i/>
                <w:iCs/>
                <w:color w:val="000000"/>
                <w:sz w:val="16"/>
                <w:szCs w:val="16"/>
                <w:u w:val="none"/>
              </w:rPr>
            </w:pPr>
          </w:p>
        </w:tc>
      </w:tr>
      <w:tr w14:paraId="42D46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79FF14">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12FE15">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6DB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D44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培训合格率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F64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37C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580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0A87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ADC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323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0A4F5">
            <w:pPr>
              <w:jc w:val="center"/>
              <w:rPr>
                <w:rFonts w:hint="eastAsia" w:ascii="微软雅黑" w:hAnsi="微软雅黑" w:eastAsia="微软雅黑" w:cs="微软雅黑"/>
                <w:i/>
                <w:iCs/>
                <w:color w:val="000000"/>
                <w:sz w:val="16"/>
                <w:szCs w:val="16"/>
                <w:u w:val="none"/>
              </w:rPr>
            </w:pPr>
          </w:p>
        </w:tc>
      </w:tr>
      <w:tr w14:paraId="4CD3C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69794F">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E0D372">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F19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CB9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2024年年完成底前</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BCA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AA1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2024年年完成底前</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917B2">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6086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2024年年完成底前已完成</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8BF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8F5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89BF5">
            <w:pPr>
              <w:jc w:val="center"/>
              <w:rPr>
                <w:rFonts w:hint="eastAsia" w:ascii="微软雅黑" w:hAnsi="微软雅黑" w:eastAsia="微软雅黑" w:cs="微软雅黑"/>
                <w:i/>
                <w:iCs/>
                <w:color w:val="000000"/>
                <w:sz w:val="16"/>
                <w:szCs w:val="16"/>
                <w:u w:val="none"/>
              </w:rPr>
            </w:pPr>
          </w:p>
        </w:tc>
      </w:tr>
      <w:tr w14:paraId="5D8D1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1D7C28">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F722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E4C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D60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维护劳动者合法权益</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F96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FD0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维护劳动者合法权益</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1BAC1">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C748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维护了劳动者合法权益</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F8B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E8F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A03BA">
            <w:pPr>
              <w:jc w:val="center"/>
              <w:rPr>
                <w:rFonts w:hint="eastAsia" w:ascii="微软雅黑" w:hAnsi="微软雅黑" w:eastAsia="微软雅黑" w:cs="微软雅黑"/>
                <w:i/>
                <w:iCs/>
                <w:color w:val="000000"/>
                <w:sz w:val="16"/>
                <w:szCs w:val="16"/>
                <w:u w:val="none"/>
              </w:rPr>
            </w:pPr>
          </w:p>
        </w:tc>
      </w:tr>
      <w:tr w14:paraId="3041C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F0A3F8">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C6E014">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CD4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553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持续维护社会和谐稳定</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F52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3D8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持续维护</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3AC96">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FB02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持续维护</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D7B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C20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20C28">
            <w:pPr>
              <w:jc w:val="center"/>
              <w:rPr>
                <w:rFonts w:hint="eastAsia" w:ascii="微软雅黑" w:hAnsi="微软雅黑" w:eastAsia="微软雅黑" w:cs="微软雅黑"/>
                <w:i/>
                <w:iCs/>
                <w:color w:val="000000"/>
                <w:sz w:val="16"/>
                <w:szCs w:val="16"/>
                <w:u w:val="none"/>
              </w:rPr>
            </w:pPr>
          </w:p>
        </w:tc>
      </w:tr>
      <w:tr w14:paraId="47D50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74EFDB">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DF5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717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458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农民工对该项工作满意度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4F0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CA3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46B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067A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53E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0FD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791EF">
            <w:pPr>
              <w:jc w:val="center"/>
              <w:rPr>
                <w:rFonts w:hint="eastAsia" w:ascii="微软雅黑" w:hAnsi="微软雅黑" w:eastAsia="微软雅黑" w:cs="微软雅黑"/>
                <w:i/>
                <w:iCs/>
                <w:color w:val="000000"/>
                <w:sz w:val="16"/>
                <w:szCs w:val="16"/>
                <w:u w:val="none"/>
              </w:rPr>
            </w:pPr>
          </w:p>
        </w:tc>
      </w:tr>
      <w:tr w14:paraId="21DF8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3CD3E9">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73A7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C975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4E5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差旅费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AC1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0E2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441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8FDC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3.66</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29E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223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4042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本年度检查次数增多</w:t>
            </w:r>
          </w:p>
        </w:tc>
      </w:tr>
      <w:tr w14:paraId="3F3A4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012918">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C2787B">
            <w:pPr>
              <w:jc w:val="center"/>
              <w:rPr>
                <w:rFonts w:hint="eastAsia" w:ascii="宋体" w:hAnsi="宋体" w:eastAsia="宋体" w:cs="宋体"/>
                <w:i w:val="0"/>
                <w:iCs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3F187D">
            <w:pPr>
              <w:jc w:val="center"/>
              <w:rPr>
                <w:rFonts w:hint="eastAsia" w:ascii="宋体" w:hAnsi="宋体" w:eastAsia="宋体" w:cs="宋体"/>
                <w:i w:val="0"/>
                <w:iCs w:val="0"/>
                <w:color w:val="000000"/>
                <w:sz w:val="18"/>
                <w:szCs w:val="18"/>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25B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被装购置费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415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484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327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7452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4.096万元</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2EF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6BF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4CC3B">
            <w:pPr>
              <w:jc w:val="center"/>
              <w:rPr>
                <w:rFonts w:hint="eastAsia" w:ascii="微软雅黑" w:hAnsi="微软雅黑" w:eastAsia="微软雅黑" w:cs="微软雅黑"/>
                <w:i/>
                <w:iCs/>
                <w:color w:val="000000"/>
                <w:sz w:val="16"/>
                <w:szCs w:val="16"/>
                <w:u w:val="none"/>
              </w:rPr>
            </w:pPr>
          </w:p>
        </w:tc>
      </w:tr>
      <w:tr w14:paraId="27D87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57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A6CB9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ACF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D28F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99191">
            <w:pPr>
              <w:rPr>
                <w:rFonts w:hint="eastAsia" w:ascii="宋体" w:hAnsi="宋体" w:eastAsia="宋体" w:cs="宋体"/>
                <w:i w:val="0"/>
                <w:iCs w:val="0"/>
                <w:color w:val="000000"/>
                <w:sz w:val="18"/>
                <w:szCs w:val="18"/>
                <w:u w:val="none"/>
              </w:rPr>
            </w:pPr>
          </w:p>
        </w:tc>
      </w:tr>
      <w:tr w14:paraId="14528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AD6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3C8462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项目完成情况较好。</w:t>
            </w:r>
          </w:p>
        </w:tc>
      </w:tr>
      <w:tr w14:paraId="21C23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688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2AFD72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本年度检查次数增多导致差旅费增加，未及时对绩效目标进行调整</w:t>
            </w:r>
          </w:p>
        </w:tc>
      </w:tr>
      <w:tr w14:paraId="44F1D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C0D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B8DE40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在今后工作中及时对绩效目标进行调整</w:t>
            </w:r>
          </w:p>
        </w:tc>
      </w:tr>
      <w:tr w14:paraId="023BA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89" w:type="dxa"/>
            <w:tcBorders>
              <w:top w:val="nil"/>
              <w:left w:val="nil"/>
              <w:bottom w:val="nil"/>
              <w:right w:val="nil"/>
            </w:tcBorders>
            <w:shd w:val="clear" w:color="auto" w:fill="auto"/>
            <w:vAlign w:val="center"/>
          </w:tcPr>
          <w:p w14:paraId="6E91F1F9">
            <w:pPr>
              <w:rPr>
                <w:rFonts w:hint="eastAsia" w:ascii="宋体" w:hAnsi="宋体" w:eastAsia="宋体" w:cs="宋体"/>
                <w:i w:val="0"/>
                <w:iCs w:val="0"/>
                <w:color w:val="000000"/>
                <w:sz w:val="18"/>
                <w:szCs w:val="18"/>
                <w:u w:val="none"/>
              </w:rPr>
            </w:pPr>
          </w:p>
        </w:tc>
        <w:tc>
          <w:tcPr>
            <w:tcW w:w="2048" w:type="dxa"/>
            <w:tcBorders>
              <w:top w:val="nil"/>
              <w:left w:val="nil"/>
              <w:bottom w:val="nil"/>
              <w:right w:val="nil"/>
            </w:tcBorders>
            <w:shd w:val="clear" w:color="auto" w:fill="auto"/>
            <w:vAlign w:val="center"/>
          </w:tcPr>
          <w:p w14:paraId="46F8A580">
            <w:pPr>
              <w:rPr>
                <w:rFonts w:hint="eastAsia" w:ascii="宋体" w:hAnsi="宋体" w:eastAsia="宋体" w:cs="宋体"/>
                <w:i w:val="0"/>
                <w:iCs w:val="0"/>
                <w:color w:val="000000"/>
                <w:sz w:val="18"/>
                <w:szCs w:val="18"/>
                <w:u w:val="none"/>
              </w:rPr>
            </w:pPr>
          </w:p>
        </w:tc>
        <w:tc>
          <w:tcPr>
            <w:tcW w:w="1764" w:type="dxa"/>
            <w:tcBorders>
              <w:top w:val="nil"/>
              <w:left w:val="nil"/>
              <w:bottom w:val="nil"/>
              <w:right w:val="nil"/>
            </w:tcBorders>
            <w:shd w:val="clear" w:color="auto" w:fill="auto"/>
            <w:vAlign w:val="center"/>
          </w:tcPr>
          <w:p w14:paraId="42A742F0">
            <w:pPr>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vAlign w:val="center"/>
          </w:tcPr>
          <w:p w14:paraId="3B9002AA">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1FE59F7D">
            <w:pPr>
              <w:rPr>
                <w:rFonts w:hint="eastAsia" w:ascii="宋体" w:hAnsi="宋体" w:eastAsia="宋体" w:cs="宋体"/>
                <w:i w:val="0"/>
                <w:iCs w:val="0"/>
                <w:color w:val="000000"/>
                <w:sz w:val="18"/>
                <w:szCs w:val="18"/>
                <w:u w:val="none"/>
              </w:rPr>
            </w:pPr>
          </w:p>
        </w:tc>
        <w:tc>
          <w:tcPr>
            <w:tcW w:w="1674" w:type="dxa"/>
            <w:tcBorders>
              <w:top w:val="nil"/>
              <w:left w:val="nil"/>
              <w:bottom w:val="nil"/>
              <w:right w:val="nil"/>
            </w:tcBorders>
            <w:shd w:val="clear" w:color="auto" w:fill="auto"/>
            <w:vAlign w:val="center"/>
          </w:tcPr>
          <w:p w14:paraId="6BAA1F10">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34973015">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433DB0F9">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1E21F5AF">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3BAF9732">
            <w:pPr>
              <w:rPr>
                <w:rFonts w:hint="eastAsia" w:ascii="宋体" w:hAnsi="宋体" w:eastAsia="宋体" w:cs="宋体"/>
                <w:i w:val="0"/>
                <w:iCs w:val="0"/>
                <w:color w:val="000000"/>
                <w:sz w:val="18"/>
                <w:szCs w:val="18"/>
                <w:u w:val="none"/>
              </w:rPr>
            </w:pPr>
          </w:p>
        </w:tc>
        <w:tc>
          <w:tcPr>
            <w:tcW w:w="2541" w:type="dxa"/>
            <w:tcBorders>
              <w:top w:val="nil"/>
              <w:left w:val="nil"/>
              <w:bottom w:val="nil"/>
              <w:right w:val="nil"/>
            </w:tcBorders>
            <w:shd w:val="clear" w:color="auto" w:fill="auto"/>
            <w:vAlign w:val="center"/>
          </w:tcPr>
          <w:p w14:paraId="5BE6FE81">
            <w:pPr>
              <w:rPr>
                <w:rFonts w:hint="eastAsia" w:ascii="宋体" w:hAnsi="宋体" w:eastAsia="宋体" w:cs="宋体"/>
                <w:i w:val="0"/>
                <w:iCs w:val="0"/>
                <w:color w:val="000000"/>
                <w:sz w:val="18"/>
                <w:szCs w:val="18"/>
                <w:u w:val="none"/>
              </w:rPr>
            </w:pPr>
          </w:p>
        </w:tc>
      </w:tr>
      <w:tr w14:paraId="16736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9860097">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AB30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173C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65B171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51320024T000011587642-职业技能大赛专项资金</w:t>
            </w:r>
          </w:p>
        </w:tc>
      </w:tr>
      <w:tr w14:paraId="46DB0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A3F2A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9AFE81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州人社局部门</w:t>
            </w:r>
          </w:p>
        </w:tc>
        <w:tc>
          <w:tcPr>
            <w:tcW w:w="1095" w:type="dxa"/>
            <w:tcBorders>
              <w:top w:val="nil"/>
              <w:left w:val="nil"/>
              <w:bottom w:val="nil"/>
              <w:right w:val="nil"/>
            </w:tcBorders>
            <w:shd w:val="clear" w:color="auto" w:fill="auto"/>
            <w:vAlign w:val="center"/>
          </w:tcPr>
          <w:p w14:paraId="2C32574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314B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w:t>
            </w:r>
          </w:p>
        </w:tc>
      </w:tr>
      <w:tr w14:paraId="51AD5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98F01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684C2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A9A01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FD8210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018E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08850D">
            <w:pP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AD9C24">
            <w:pPr>
              <w:rPr>
                <w:rFonts w:hint="eastAsia" w:ascii="宋体" w:hAnsi="宋体" w:eastAsia="宋体" w:cs="宋体"/>
                <w:i w:val="0"/>
                <w:iCs w:val="0"/>
                <w:color w:val="000000"/>
                <w:sz w:val="18"/>
                <w:szCs w:val="18"/>
                <w:u w:val="none"/>
              </w:rPr>
            </w:pP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FE69D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按照省厅要求，每年均需要组织人员参加职业技能大赛，需要解决参赛人员交通、食宿、生活补助、比赛工具材料费等，以及工匠认定评审工作费用和职业能力鉴定指导中心技能人才队伍建设费用。</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BCE7C8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40A50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B148C6">
            <w:pP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E187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8B54AE9">
            <w:pPr>
              <w:rPr>
                <w:rFonts w:hint="eastAsia" w:ascii="宋体" w:hAnsi="宋体" w:eastAsia="宋体" w:cs="宋体"/>
                <w:i w:val="0"/>
                <w:iCs w:val="0"/>
                <w:color w:val="000000"/>
                <w:sz w:val="18"/>
                <w:szCs w:val="18"/>
                <w:u w:val="none"/>
              </w:rPr>
            </w:pPr>
          </w:p>
        </w:tc>
      </w:tr>
      <w:tr w14:paraId="05DA2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CE3E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530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9AA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5F2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5031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864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A96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B6B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E74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A325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981B55">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0EE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DDC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65A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099E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1F4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A33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51463">
            <w:pPr>
              <w:jc w:val="center"/>
              <w:rPr>
                <w:rFonts w:hint="eastAsia" w:ascii="宋体" w:hAnsi="宋体" w:eastAsia="宋体" w:cs="宋体"/>
                <w:i w:val="0"/>
                <w:iCs w:val="0"/>
                <w:color w:val="000000"/>
                <w:sz w:val="18"/>
                <w:szCs w:val="18"/>
                <w:u w:val="none"/>
              </w:rPr>
            </w:pPr>
          </w:p>
        </w:tc>
        <w:tc>
          <w:tcPr>
            <w:tcW w:w="2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A63786">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FF82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DD2266">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C00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25D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3CD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210E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0C5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C21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C48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F4F9B1">
            <w:pPr>
              <w:rPr>
                <w:rFonts w:hint="eastAsia" w:ascii="黑体" w:hAnsi="黑体" w:eastAsia="黑体" w:cs="黑体"/>
                <w:i/>
                <w:iCs/>
                <w:color w:val="000000"/>
                <w:sz w:val="18"/>
                <w:szCs w:val="18"/>
                <w:u w:val="none"/>
              </w:rPr>
            </w:pPr>
          </w:p>
        </w:tc>
      </w:tr>
      <w:tr w14:paraId="28F56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11E0C9">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955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131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C28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994C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4A4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69C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EC4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1E21DE">
            <w:pPr>
              <w:rPr>
                <w:rFonts w:hint="eastAsia" w:ascii="黑体" w:hAnsi="黑体" w:eastAsia="黑体" w:cs="黑体"/>
                <w:i/>
                <w:iCs/>
                <w:color w:val="000000"/>
                <w:sz w:val="18"/>
                <w:szCs w:val="18"/>
                <w:u w:val="none"/>
              </w:rPr>
            </w:pPr>
          </w:p>
        </w:tc>
      </w:tr>
      <w:tr w14:paraId="1DEC0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AB0810">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424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451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D36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DC96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904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303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C34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1A98CD">
            <w:pPr>
              <w:rPr>
                <w:rFonts w:hint="eastAsia" w:ascii="黑体" w:hAnsi="黑体" w:eastAsia="黑体" w:cs="黑体"/>
                <w:i/>
                <w:iCs/>
                <w:color w:val="000000"/>
                <w:sz w:val="18"/>
                <w:szCs w:val="18"/>
                <w:u w:val="none"/>
              </w:rPr>
            </w:pPr>
          </w:p>
        </w:tc>
      </w:tr>
      <w:tr w14:paraId="664A4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2BDC20">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23D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9E2CB">
            <w:pPr>
              <w:jc w:val="center"/>
              <w:rPr>
                <w:rFonts w:hint="eastAsia" w:ascii="微软雅黑" w:hAnsi="微软雅黑" w:eastAsia="微软雅黑" w:cs="微软雅黑"/>
                <w:i/>
                <w:iCs/>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814C6">
            <w:pPr>
              <w:jc w:val="center"/>
              <w:rPr>
                <w:rFonts w:hint="eastAsia" w:ascii="微软雅黑" w:hAnsi="微软雅黑" w:eastAsia="微软雅黑" w:cs="微软雅黑"/>
                <w:i/>
                <w:iCs/>
                <w:color w:val="000000"/>
                <w:sz w:val="16"/>
                <w:szCs w:val="16"/>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15CDCC">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A688C">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C6D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9B5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825540">
            <w:pPr>
              <w:rPr>
                <w:rFonts w:hint="eastAsia" w:ascii="黑体" w:hAnsi="黑体" w:eastAsia="黑体" w:cs="黑体"/>
                <w:i/>
                <w:iCs/>
                <w:color w:val="000000"/>
                <w:sz w:val="18"/>
                <w:szCs w:val="18"/>
                <w:u w:val="none"/>
              </w:rPr>
            </w:pPr>
          </w:p>
        </w:tc>
      </w:tr>
      <w:tr w14:paraId="7C688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1CDD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4D2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61E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360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879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C54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7BE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3FB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756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61D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C0D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025E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9E254D">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62B0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5AE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831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参赛队员人数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0B7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211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7C8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E4D63">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60F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82CC1">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65F97">
            <w:pPr>
              <w:jc w:val="center"/>
              <w:rPr>
                <w:rFonts w:hint="eastAsia" w:ascii="微软雅黑" w:hAnsi="微软雅黑" w:eastAsia="微软雅黑" w:cs="微软雅黑"/>
                <w:i/>
                <w:iCs/>
                <w:color w:val="000000"/>
                <w:sz w:val="16"/>
                <w:szCs w:val="16"/>
                <w:u w:val="none"/>
              </w:rPr>
            </w:pPr>
          </w:p>
        </w:tc>
      </w:tr>
      <w:tr w14:paraId="399A6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ECFC73">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0BF110">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5BC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1C3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技能人才参赛率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6E6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E31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8B3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8FE65">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8B3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7DC0C">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9B80A">
            <w:pPr>
              <w:jc w:val="center"/>
              <w:rPr>
                <w:rFonts w:hint="eastAsia" w:ascii="微软雅黑" w:hAnsi="微软雅黑" w:eastAsia="微软雅黑" w:cs="微软雅黑"/>
                <w:i/>
                <w:iCs/>
                <w:color w:val="000000"/>
                <w:sz w:val="16"/>
                <w:szCs w:val="16"/>
                <w:u w:val="none"/>
              </w:rPr>
            </w:pPr>
          </w:p>
        </w:tc>
      </w:tr>
      <w:tr w14:paraId="4B235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126B8A">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6A1871">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DE7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7EB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项目完成时间</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A35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59E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本年度12月初</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0EE8D">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C5EB3">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DB7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00B22">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DB8D3">
            <w:pPr>
              <w:jc w:val="center"/>
              <w:rPr>
                <w:rFonts w:hint="eastAsia" w:ascii="微软雅黑" w:hAnsi="微软雅黑" w:eastAsia="微软雅黑" w:cs="微软雅黑"/>
                <w:i/>
                <w:iCs/>
                <w:color w:val="000000"/>
                <w:sz w:val="16"/>
                <w:szCs w:val="16"/>
                <w:u w:val="none"/>
              </w:rPr>
            </w:pPr>
          </w:p>
        </w:tc>
      </w:tr>
      <w:tr w14:paraId="71CB6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16FE87">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693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DA1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313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为全州培养更多的技能人才</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899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45A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5DAC3">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C9E73">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08B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1D0AD">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859E0">
            <w:pPr>
              <w:jc w:val="center"/>
              <w:rPr>
                <w:rFonts w:hint="eastAsia" w:ascii="微软雅黑" w:hAnsi="微软雅黑" w:eastAsia="微软雅黑" w:cs="微软雅黑"/>
                <w:i/>
                <w:iCs/>
                <w:color w:val="000000"/>
                <w:sz w:val="16"/>
                <w:szCs w:val="16"/>
                <w:u w:val="none"/>
              </w:rPr>
            </w:pPr>
          </w:p>
        </w:tc>
      </w:tr>
      <w:tr w14:paraId="4D951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2D7B21">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50A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4F1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8DA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参赛队员对工作的满意度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A4F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829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A54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A8D3A">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B79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2697B">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7670D">
            <w:pPr>
              <w:jc w:val="center"/>
              <w:rPr>
                <w:rFonts w:hint="eastAsia" w:ascii="微软雅黑" w:hAnsi="微软雅黑" w:eastAsia="微软雅黑" w:cs="微软雅黑"/>
                <w:i/>
                <w:iCs/>
                <w:color w:val="000000"/>
                <w:sz w:val="16"/>
                <w:szCs w:val="16"/>
                <w:u w:val="none"/>
              </w:rPr>
            </w:pPr>
          </w:p>
        </w:tc>
      </w:tr>
      <w:tr w14:paraId="2CC30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A6B711">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CEBD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8A8E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1FF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差旅费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A4F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72F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EC3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E12FC">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F03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8ED56">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211FC">
            <w:pPr>
              <w:jc w:val="center"/>
              <w:rPr>
                <w:rFonts w:hint="eastAsia" w:ascii="微软雅黑" w:hAnsi="微软雅黑" w:eastAsia="微软雅黑" w:cs="微软雅黑"/>
                <w:i/>
                <w:iCs/>
                <w:color w:val="000000"/>
                <w:sz w:val="16"/>
                <w:szCs w:val="16"/>
                <w:u w:val="none"/>
              </w:rPr>
            </w:pPr>
          </w:p>
        </w:tc>
      </w:tr>
      <w:tr w14:paraId="4CBBB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97082B">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E3066D">
            <w:pPr>
              <w:jc w:val="center"/>
              <w:rPr>
                <w:rFonts w:hint="eastAsia" w:ascii="宋体" w:hAnsi="宋体" w:eastAsia="宋体" w:cs="宋体"/>
                <w:i w:val="0"/>
                <w:iCs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06FB11">
            <w:pPr>
              <w:jc w:val="center"/>
              <w:rPr>
                <w:rFonts w:hint="eastAsia" w:ascii="宋体" w:hAnsi="宋体" w:eastAsia="宋体" w:cs="宋体"/>
                <w:i w:val="0"/>
                <w:iCs w:val="0"/>
                <w:color w:val="000000"/>
                <w:sz w:val="18"/>
                <w:szCs w:val="18"/>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1C5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项目总金额</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414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A48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8CC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2DF36">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556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39BFE">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496D0">
            <w:pPr>
              <w:jc w:val="center"/>
              <w:rPr>
                <w:rFonts w:hint="eastAsia" w:ascii="微软雅黑" w:hAnsi="微软雅黑" w:eastAsia="微软雅黑" w:cs="微软雅黑"/>
                <w:i/>
                <w:iCs/>
                <w:color w:val="000000"/>
                <w:sz w:val="16"/>
                <w:szCs w:val="16"/>
                <w:u w:val="none"/>
              </w:rPr>
            </w:pPr>
          </w:p>
        </w:tc>
      </w:tr>
      <w:tr w14:paraId="27073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57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3BEAC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212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EF7B8">
            <w:pP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9198B">
            <w:pPr>
              <w:rPr>
                <w:rFonts w:hint="eastAsia" w:ascii="宋体" w:hAnsi="宋体" w:eastAsia="宋体" w:cs="宋体"/>
                <w:i w:val="0"/>
                <w:iCs w:val="0"/>
                <w:color w:val="000000"/>
                <w:sz w:val="18"/>
                <w:szCs w:val="18"/>
                <w:u w:val="none"/>
              </w:rPr>
            </w:pPr>
          </w:p>
        </w:tc>
      </w:tr>
      <w:tr w14:paraId="2FBFE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4FF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FF14A1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65F50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32C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0DBC6A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5F210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198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BD86BD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3A52E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tcBorders>
              <w:top w:val="nil"/>
              <w:left w:val="nil"/>
              <w:bottom w:val="nil"/>
              <w:right w:val="nil"/>
            </w:tcBorders>
            <w:shd w:val="clear" w:color="auto" w:fill="auto"/>
            <w:vAlign w:val="center"/>
          </w:tcPr>
          <w:p w14:paraId="2F13BBD0">
            <w:pPr>
              <w:rPr>
                <w:rFonts w:hint="eastAsia" w:ascii="宋体" w:hAnsi="宋体" w:eastAsia="宋体" w:cs="宋体"/>
                <w:i w:val="0"/>
                <w:iCs w:val="0"/>
                <w:color w:val="000000"/>
                <w:sz w:val="18"/>
                <w:szCs w:val="18"/>
                <w:u w:val="none"/>
              </w:rPr>
            </w:pPr>
          </w:p>
        </w:tc>
        <w:tc>
          <w:tcPr>
            <w:tcW w:w="2048" w:type="dxa"/>
            <w:tcBorders>
              <w:top w:val="nil"/>
              <w:left w:val="nil"/>
              <w:bottom w:val="nil"/>
              <w:right w:val="nil"/>
            </w:tcBorders>
            <w:shd w:val="clear" w:color="auto" w:fill="auto"/>
            <w:vAlign w:val="center"/>
          </w:tcPr>
          <w:p w14:paraId="4E26DA27">
            <w:pPr>
              <w:rPr>
                <w:rFonts w:hint="eastAsia" w:ascii="宋体" w:hAnsi="宋体" w:eastAsia="宋体" w:cs="宋体"/>
                <w:i w:val="0"/>
                <w:iCs w:val="0"/>
                <w:color w:val="000000"/>
                <w:sz w:val="18"/>
                <w:szCs w:val="18"/>
                <w:u w:val="none"/>
              </w:rPr>
            </w:pPr>
          </w:p>
        </w:tc>
        <w:tc>
          <w:tcPr>
            <w:tcW w:w="1764" w:type="dxa"/>
            <w:tcBorders>
              <w:top w:val="nil"/>
              <w:left w:val="nil"/>
              <w:bottom w:val="nil"/>
              <w:right w:val="nil"/>
            </w:tcBorders>
            <w:shd w:val="clear" w:color="auto" w:fill="auto"/>
            <w:vAlign w:val="center"/>
          </w:tcPr>
          <w:p w14:paraId="38BC29A3">
            <w:pPr>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vAlign w:val="center"/>
          </w:tcPr>
          <w:p w14:paraId="452E24EA">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6D050454">
            <w:pPr>
              <w:rPr>
                <w:rFonts w:hint="eastAsia" w:ascii="宋体" w:hAnsi="宋体" w:eastAsia="宋体" w:cs="宋体"/>
                <w:i w:val="0"/>
                <w:iCs w:val="0"/>
                <w:color w:val="000000"/>
                <w:sz w:val="18"/>
                <w:szCs w:val="18"/>
                <w:u w:val="none"/>
              </w:rPr>
            </w:pPr>
          </w:p>
        </w:tc>
        <w:tc>
          <w:tcPr>
            <w:tcW w:w="1674" w:type="dxa"/>
            <w:tcBorders>
              <w:top w:val="nil"/>
              <w:left w:val="nil"/>
              <w:bottom w:val="nil"/>
              <w:right w:val="nil"/>
            </w:tcBorders>
            <w:shd w:val="clear" w:color="auto" w:fill="auto"/>
            <w:vAlign w:val="center"/>
          </w:tcPr>
          <w:p w14:paraId="3A55354B">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01C7C72A">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51B18187">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126861DB">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2E85E676">
            <w:pPr>
              <w:rPr>
                <w:rFonts w:hint="eastAsia" w:ascii="宋体" w:hAnsi="宋体" w:eastAsia="宋体" w:cs="宋体"/>
                <w:i w:val="0"/>
                <w:iCs w:val="0"/>
                <w:color w:val="000000"/>
                <w:sz w:val="18"/>
                <w:szCs w:val="18"/>
                <w:u w:val="none"/>
              </w:rPr>
            </w:pPr>
          </w:p>
        </w:tc>
        <w:tc>
          <w:tcPr>
            <w:tcW w:w="2541" w:type="dxa"/>
            <w:tcBorders>
              <w:top w:val="nil"/>
              <w:left w:val="nil"/>
              <w:bottom w:val="nil"/>
              <w:right w:val="nil"/>
            </w:tcBorders>
            <w:shd w:val="clear" w:color="auto" w:fill="auto"/>
            <w:vAlign w:val="center"/>
          </w:tcPr>
          <w:p w14:paraId="27678C7A">
            <w:pPr>
              <w:rPr>
                <w:rFonts w:hint="eastAsia" w:ascii="宋体" w:hAnsi="宋体" w:eastAsia="宋体" w:cs="宋体"/>
                <w:i w:val="0"/>
                <w:iCs w:val="0"/>
                <w:color w:val="000000"/>
                <w:sz w:val="18"/>
                <w:szCs w:val="18"/>
                <w:u w:val="none"/>
              </w:rPr>
            </w:pPr>
          </w:p>
        </w:tc>
      </w:tr>
      <w:tr w14:paraId="49280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64933E4">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618A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75E46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FFFF00"/>
            <w:vAlign w:val="center"/>
          </w:tcPr>
          <w:p w14:paraId="7735661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51320024T000011589681-阿坝英才计划工作经费</w:t>
            </w:r>
          </w:p>
        </w:tc>
      </w:tr>
      <w:tr w14:paraId="60365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2A478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8E535A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州人社局部门</w:t>
            </w:r>
          </w:p>
        </w:tc>
        <w:tc>
          <w:tcPr>
            <w:tcW w:w="1095" w:type="dxa"/>
            <w:tcBorders>
              <w:top w:val="nil"/>
              <w:left w:val="nil"/>
              <w:bottom w:val="nil"/>
              <w:right w:val="nil"/>
            </w:tcBorders>
            <w:shd w:val="clear" w:color="auto" w:fill="auto"/>
            <w:vAlign w:val="center"/>
          </w:tcPr>
          <w:p w14:paraId="47245F0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9C75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w:t>
            </w:r>
          </w:p>
        </w:tc>
      </w:tr>
      <w:tr w14:paraId="643C3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B989A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CD140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BAEE6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6FB1AA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F271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F17BD1">
            <w:pP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B6453">
            <w:pPr>
              <w:rPr>
                <w:rFonts w:hint="eastAsia" w:ascii="宋体" w:hAnsi="宋体" w:eastAsia="宋体" w:cs="宋体"/>
                <w:i w:val="0"/>
                <w:iCs w:val="0"/>
                <w:color w:val="000000"/>
                <w:sz w:val="18"/>
                <w:szCs w:val="18"/>
                <w:u w:val="none"/>
              </w:rPr>
            </w:pP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A7ADB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"阿坝英才计划"入选人员资助资金</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0AD9B1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按照相关规定及时对该项资金进行了拨付。</w:t>
            </w:r>
          </w:p>
        </w:tc>
      </w:tr>
      <w:tr w14:paraId="05CD3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AB2328">
            <w:pP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5750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80D0AF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该笔资金项目入库后，按照相关规定及时对该项资金进行了拨付。</w:t>
            </w:r>
          </w:p>
        </w:tc>
      </w:tr>
      <w:tr w14:paraId="50BB8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8583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7D5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343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735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F37B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730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3CA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914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B1C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1306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17DC6D">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E4A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5AE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504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57.00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9D08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57.00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E22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6AC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E3C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470E5E">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4F29F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9F55BF">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E48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DE8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949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57.00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CEA5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57.00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ABD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9AC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016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31216E">
            <w:pPr>
              <w:rPr>
                <w:rFonts w:hint="eastAsia" w:ascii="黑体" w:hAnsi="黑体" w:eastAsia="黑体" w:cs="黑体"/>
                <w:i/>
                <w:iCs/>
                <w:color w:val="000000"/>
                <w:sz w:val="18"/>
                <w:szCs w:val="18"/>
                <w:u w:val="none"/>
              </w:rPr>
            </w:pPr>
          </w:p>
        </w:tc>
      </w:tr>
      <w:tr w14:paraId="65408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C61201">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E17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AF3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6F2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40B9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5A7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690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260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CCAC21">
            <w:pPr>
              <w:rPr>
                <w:rFonts w:hint="eastAsia" w:ascii="黑体" w:hAnsi="黑体" w:eastAsia="黑体" w:cs="黑体"/>
                <w:i/>
                <w:iCs/>
                <w:color w:val="000000"/>
                <w:sz w:val="18"/>
                <w:szCs w:val="18"/>
                <w:u w:val="none"/>
              </w:rPr>
            </w:pPr>
          </w:p>
        </w:tc>
      </w:tr>
      <w:tr w14:paraId="0CC63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162DA2">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66E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194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C34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67CC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A0C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9D4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861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C8D9C">
            <w:pPr>
              <w:rPr>
                <w:rFonts w:hint="eastAsia" w:ascii="黑体" w:hAnsi="黑体" w:eastAsia="黑体" w:cs="黑体"/>
                <w:i/>
                <w:iCs/>
                <w:color w:val="000000"/>
                <w:sz w:val="18"/>
                <w:szCs w:val="18"/>
                <w:u w:val="none"/>
              </w:rPr>
            </w:pPr>
          </w:p>
        </w:tc>
      </w:tr>
      <w:tr w14:paraId="61592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DCCF5B">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70E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4E75F">
            <w:pPr>
              <w:jc w:val="center"/>
              <w:rPr>
                <w:rFonts w:hint="eastAsia" w:ascii="微软雅黑" w:hAnsi="微软雅黑" w:eastAsia="微软雅黑" w:cs="微软雅黑"/>
                <w:i/>
                <w:iCs/>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DAFEA">
            <w:pPr>
              <w:jc w:val="center"/>
              <w:rPr>
                <w:rFonts w:hint="eastAsia" w:ascii="微软雅黑" w:hAnsi="微软雅黑" w:eastAsia="微软雅黑" w:cs="微软雅黑"/>
                <w:i/>
                <w:iCs/>
                <w:color w:val="000000"/>
                <w:sz w:val="16"/>
                <w:szCs w:val="16"/>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5C65AB">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CB94A">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09B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275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170F18">
            <w:pPr>
              <w:rPr>
                <w:rFonts w:hint="eastAsia" w:ascii="黑体" w:hAnsi="黑体" w:eastAsia="黑体" w:cs="黑体"/>
                <w:i/>
                <w:iCs/>
                <w:color w:val="000000"/>
                <w:sz w:val="18"/>
                <w:szCs w:val="18"/>
                <w:u w:val="none"/>
              </w:rPr>
            </w:pPr>
          </w:p>
        </w:tc>
      </w:tr>
      <w:tr w14:paraId="5691A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BCC7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C54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AEF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7E4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A41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212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4BF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F58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866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C31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FD3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7471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B4CA8A">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E72A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0A4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890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高标准 高质量完成该项目</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CF1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53E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高标准 高质量完成该项目</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AF443">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94D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高标准 高质量完成该项目</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E3A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853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C7A4A">
            <w:pPr>
              <w:jc w:val="center"/>
              <w:rPr>
                <w:rFonts w:hint="eastAsia" w:ascii="微软雅黑" w:hAnsi="微软雅黑" w:eastAsia="微软雅黑" w:cs="微软雅黑"/>
                <w:i/>
                <w:iCs/>
                <w:color w:val="000000"/>
                <w:sz w:val="16"/>
                <w:szCs w:val="16"/>
                <w:u w:val="none"/>
              </w:rPr>
            </w:pPr>
          </w:p>
        </w:tc>
      </w:tr>
      <w:tr w14:paraId="674F9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27008B">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E895C2">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58A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5F5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支付及时率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AB0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F6C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744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A50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BC6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48B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2B2B1">
            <w:pPr>
              <w:jc w:val="center"/>
              <w:rPr>
                <w:rFonts w:hint="eastAsia" w:ascii="微软雅黑" w:hAnsi="微软雅黑" w:eastAsia="微软雅黑" w:cs="微软雅黑"/>
                <w:i/>
                <w:iCs/>
                <w:color w:val="000000"/>
                <w:sz w:val="16"/>
                <w:szCs w:val="16"/>
                <w:u w:val="none"/>
              </w:rPr>
            </w:pPr>
          </w:p>
        </w:tc>
      </w:tr>
      <w:tr w14:paraId="53243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A2BAB9">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B6FC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983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B0C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维护社会问题,促进阿坝州人才发展</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7C8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25F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维护社会问题,促进阿坝州人才发展</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9289B">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263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维护社会问题,促进阿坝州人才发展</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63E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A48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759E4">
            <w:pPr>
              <w:jc w:val="center"/>
              <w:rPr>
                <w:rFonts w:hint="eastAsia" w:ascii="微软雅黑" w:hAnsi="微软雅黑" w:eastAsia="微软雅黑" w:cs="微软雅黑"/>
                <w:i/>
                <w:iCs/>
                <w:color w:val="000000"/>
                <w:sz w:val="16"/>
                <w:szCs w:val="16"/>
                <w:u w:val="none"/>
              </w:rPr>
            </w:pPr>
          </w:p>
        </w:tc>
      </w:tr>
      <w:tr w14:paraId="69165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435238">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FCF8BF">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880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6A7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促进阿坝州人才发展</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03A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B98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促进阿坝州人才发展</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30AD9">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000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促进阿坝州人才发展</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75A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B12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B358A">
            <w:pPr>
              <w:jc w:val="center"/>
              <w:rPr>
                <w:rFonts w:hint="eastAsia" w:ascii="微软雅黑" w:hAnsi="微软雅黑" w:eastAsia="微软雅黑" w:cs="微软雅黑"/>
                <w:i/>
                <w:iCs/>
                <w:color w:val="000000"/>
                <w:sz w:val="16"/>
                <w:szCs w:val="16"/>
                <w:u w:val="none"/>
              </w:rPr>
            </w:pPr>
          </w:p>
        </w:tc>
      </w:tr>
      <w:tr w14:paraId="73CA2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C076B9">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4BA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3ED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CD9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授予对象满意度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D2D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634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A58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BC6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4AB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794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AB86F">
            <w:pPr>
              <w:jc w:val="center"/>
              <w:rPr>
                <w:rFonts w:hint="eastAsia" w:ascii="微软雅黑" w:hAnsi="微软雅黑" w:eastAsia="微软雅黑" w:cs="微软雅黑"/>
                <w:i/>
                <w:iCs/>
                <w:color w:val="000000"/>
                <w:sz w:val="16"/>
                <w:szCs w:val="16"/>
                <w:u w:val="none"/>
              </w:rPr>
            </w:pPr>
          </w:p>
        </w:tc>
      </w:tr>
      <w:tr w14:paraId="6227E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9932D3">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2479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FD49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EA9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回引人才标兵资助资金</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319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FEC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B04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1A3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C80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DD8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21F13">
            <w:pPr>
              <w:jc w:val="center"/>
              <w:rPr>
                <w:rFonts w:hint="eastAsia" w:ascii="微软雅黑" w:hAnsi="微软雅黑" w:eastAsia="微软雅黑" w:cs="微软雅黑"/>
                <w:i/>
                <w:iCs/>
                <w:color w:val="000000"/>
                <w:sz w:val="16"/>
                <w:szCs w:val="16"/>
                <w:u w:val="none"/>
              </w:rPr>
            </w:pPr>
          </w:p>
        </w:tc>
      </w:tr>
      <w:tr w14:paraId="2E25C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45AC57">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6C060D">
            <w:pPr>
              <w:jc w:val="center"/>
              <w:rPr>
                <w:rFonts w:hint="eastAsia" w:ascii="宋体" w:hAnsi="宋体" w:eastAsia="宋体" w:cs="宋体"/>
                <w:i w:val="0"/>
                <w:iCs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34948A">
            <w:pPr>
              <w:jc w:val="center"/>
              <w:rPr>
                <w:rFonts w:hint="eastAsia" w:ascii="宋体" w:hAnsi="宋体" w:eastAsia="宋体" w:cs="宋体"/>
                <w:i w:val="0"/>
                <w:iCs w:val="0"/>
                <w:color w:val="000000"/>
                <w:sz w:val="18"/>
                <w:szCs w:val="18"/>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AAF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雪山工匠工作经费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0BB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A9B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769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D02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11A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A69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509EB">
            <w:pPr>
              <w:jc w:val="center"/>
              <w:rPr>
                <w:rFonts w:hint="eastAsia" w:ascii="微软雅黑" w:hAnsi="微软雅黑" w:eastAsia="微软雅黑" w:cs="微软雅黑"/>
                <w:i/>
                <w:iCs/>
                <w:color w:val="000000"/>
                <w:sz w:val="16"/>
                <w:szCs w:val="16"/>
                <w:u w:val="none"/>
              </w:rPr>
            </w:pPr>
          </w:p>
        </w:tc>
      </w:tr>
      <w:tr w14:paraId="69746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57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3074A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96C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C217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85177">
            <w:pPr>
              <w:rPr>
                <w:rFonts w:hint="eastAsia" w:ascii="宋体" w:hAnsi="宋体" w:eastAsia="宋体" w:cs="宋体"/>
                <w:i w:val="0"/>
                <w:iCs w:val="0"/>
                <w:color w:val="000000"/>
                <w:sz w:val="18"/>
                <w:szCs w:val="18"/>
                <w:u w:val="none"/>
              </w:rPr>
            </w:pPr>
          </w:p>
        </w:tc>
      </w:tr>
      <w:tr w14:paraId="23CAE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2DB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41C0D8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较好的完成了绩效目标</w:t>
            </w:r>
          </w:p>
        </w:tc>
      </w:tr>
      <w:tr w14:paraId="6A5D6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832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6A0DCB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2253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735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5E840F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F461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89" w:type="dxa"/>
            <w:tcBorders>
              <w:top w:val="nil"/>
              <w:left w:val="nil"/>
              <w:bottom w:val="nil"/>
              <w:right w:val="nil"/>
            </w:tcBorders>
            <w:shd w:val="clear" w:color="auto" w:fill="auto"/>
            <w:vAlign w:val="center"/>
          </w:tcPr>
          <w:p w14:paraId="51F8DCAF">
            <w:pPr>
              <w:rPr>
                <w:rFonts w:hint="eastAsia" w:ascii="宋体" w:hAnsi="宋体" w:eastAsia="宋体" w:cs="宋体"/>
                <w:i w:val="0"/>
                <w:iCs w:val="0"/>
                <w:color w:val="000000"/>
                <w:sz w:val="18"/>
                <w:szCs w:val="18"/>
                <w:u w:val="none"/>
              </w:rPr>
            </w:pPr>
          </w:p>
        </w:tc>
        <w:tc>
          <w:tcPr>
            <w:tcW w:w="2048" w:type="dxa"/>
            <w:tcBorders>
              <w:top w:val="nil"/>
              <w:left w:val="nil"/>
              <w:bottom w:val="nil"/>
              <w:right w:val="nil"/>
            </w:tcBorders>
            <w:shd w:val="clear" w:color="auto" w:fill="auto"/>
            <w:vAlign w:val="center"/>
          </w:tcPr>
          <w:p w14:paraId="71CB4664">
            <w:pPr>
              <w:rPr>
                <w:rFonts w:hint="eastAsia" w:ascii="宋体" w:hAnsi="宋体" w:eastAsia="宋体" w:cs="宋体"/>
                <w:i w:val="0"/>
                <w:iCs w:val="0"/>
                <w:color w:val="000000"/>
                <w:sz w:val="18"/>
                <w:szCs w:val="18"/>
                <w:u w:val="none"/>
              </w:rPr>
            </w:pPr>
          </w:p>
        </w:tc>
        <w:tc>
          <w:tcPr>
            <w:tcW w:w="1764" w:type="dxa"/>
            <w:tcBorders>
              <w:top w:val="nil"/>
              <w:left w:val="nil"/>
              <w:bottom w:val="nil"/>
              <w:right w:val="nil"/>
            </w:tcBorders>
            <w:shd w:val="clear" w:color="auto" w:fill="auto"/>
            <w:vAlign w:val="center"/>
          </w:tcPr>
          <w:p w14:paraId="1001B6FF">
            <w:pPr>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vAlign w:val="center"/>
          </w:tcPr>
          <w:p w14:paraId="704C4E8C">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4597BD29">
            <w:pPr>
              <w:rPr>
                <w:rFonts w:hint="eastAsia" w:ascii="宋体" w:hAnsi="宋体" w:eastAsia="宋体" w:cs="宋体"/>
                <w:i w:val="0"/>
                <w:iCs w:val="0"/>
                <w:color w:val="000000"/>
                <w:sz w:val="18"/>
                <w:szCs w:val="18"/>
                <w:u w:val="none"/>
              </w:rPr>
            </w:pPr>
          </w:p>
        </w:tc>
        <w:tc>
          <w:tcPr>
            <w:tcW w:w="1674" w:type="dxa"/>
            <w:tcBorders>
              <w:top w:val="nil"/>
              <w:left w:val="nil"/>
              <w:bottom w:val="nil"/>
              <w:right w:val="nil"/>
            </w:tcBorders>
            <w:shd w:val="clear" w:color="auto" w:fill="auto"/>
            <w:vAlign w:val="center"/>
          </w:tcPr>
          <w:p w14:paraId="59E9ABBB">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6A0DE3FC">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3910A7F5">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4D896CCA">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3EB78701">
            <w:pPr>
              <w:rPr>
                <w:rFonts w:hint="eastAsia" w:ascii="宋体" w:hAnsi="宋体" w:eastAsia="宋体" w:cs="宋体"/>
                <w:i w:val="0"/>
                <w:iCs w:val="0"/>
                <w:color w:val="000000"/>
                <w:sz w:val="18"/>
                <w:szCs w:val="18"/>
                <w:u w:val="none"/>
              </w:rPr>
            </w:pPr>
          </w:p>
        </w:tc>
        <w:tc>
          <w:tcPr>
            <w:tcW w:w="2541" w:type="dxa"/>
            <w:tcBorders>
              <w:top w:val="nil"/>
              <w:left w:val="nil"/>
              <w:bottom w:val="nil"/>
              <w:right w:val="nil"/>
            </w:tcBorders>
            <w:shd w:val="clear" w:color="auto" w:fill="auto"/>
            <w:vAlign w:val="center"/>
          </w:tcPr>
          <w:p w14:paraId="7B5F8689">
            <w:pPr>
              <w:rPr>
                <w:rFonts w:hint="eastAsia" w:ascii="宋体" w:hAnsi="宋体" w:eastAsia="宋体" w:cs="宋体"/>
                <w:i w:val="0"/>
                <w:iCs w:val="0"/>
                <w:color w:val="000000"/>
                <w:sz w:val="18"/>
                <w:szCs w:val="18"/>
                <w:u w:val="none"/>
              </w:rPr>
            </w:pPr>
          </w:p>
        </w:tc>
      </w:tr>
      <w:tr w14:paraId="545AF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2F0BF86">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DB3D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0BA0E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05FA47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51320025T000012646345-大中专毕业生就业创业激励资金</w:t>
            </w:r>
          </w:p>
        </w:tc>
      </w:tr>
      <w:tr w14:paraId="1E86B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77154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AD0C6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州人社局部门</w:t>
            </w:r>
          </w:p>
        </w:tc>
        <w:tc>
          <w:tcPr>
            <w:tcW w:w="1095" w:type="dxa"/>
            <w:tcBorders>
              <w:top w:val="nil"/>
              <w:left w:val="nil"/>
              <w:bottom w:val="nil"/>
              <w:right w:val="nil"/>
            </w:tcBorders>
            <w:shd w:val="clear" w:color="auto" w:fill="auto"/>
            <w:vAlign w:val="center"/>
          </w:tcPr>
          <w:p w14:paraId="09674A6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E74D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w:t>
            </w:r>
          </w:p>
        </w:tc>
      </w:tr>
      <w:tr w14:paraId="0B3BB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FC1F7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A6653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6AED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86D1315">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6492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167822">
            <w:pP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B0A864">
            <w:pPr>
              <w:rPr>
                <w:rFonts w:hint="eastAsia" w:ascii="宋体" w:hAnsi="宋体" w:eastAsia="宋体" w:cs="宋体"/>
                <w:i w:val="0"/>
                <w:iCs w:val="0"/>
                <w:color w:val="000000"/>
                <w:sz w:val="18"/>
                <w:szCs w:val="18"/>
                <w:u w:val="none"/>
              </w:rPr>
            </w:pP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F43A98">
            <w:pPr>
              <w:rPr>
                <w:rFonts w:hint="eastAsia" w:ascii="宋体" w:hAnsi="宋体" w:eastAsia="宋体" w:cs="宋体"/>
                <w:i w:val="0"/>
                <w:iCs w:val="0"/>
                <w:color w:val="000000"/>
                <w:sz w:val="18"/>
                <w:szCs w:val="18"/>
                <w:u w:val="none"/>
              </w:rPr>
            </w:pP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234A73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19275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67DB27">
            <w:pP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ED82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E932E38">
            <w:pPr>
              <w:rPr>
                <w:rFonts w:hint="eastAsia" w:ascii="宋体" w:hAnsi="宋体" w:eastAsia="宋体" w:cs="宋体"/>
                <w:i w:val="0"/>
                <w:iCs w:val="0"/>
                <w:color w:val="000000"/>
                <w:sz w:val="18"/>
                <w:szCs w:val="18"/>
                <w:u w:val="none"/>
              </w:rPr>
            </w:pPr>
          </w:p>
        </w:tc>
      </w:tr>
      <w:tr w14:paraId="2C56D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69B8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350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10E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EE1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23E2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FB2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9A6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904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7DB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2CDC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DB2C2">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EA7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25F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520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1B77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4E0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52B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CCB0D">
            <w:pPr>
              <w:jc w:val="center"/>
              <w:rPr>
                <w:rFonts w:hint="eastAsia" w:ascii="宋体" w:hAnsi="宋体" w:eastAsia="宋体" w:cs="宋体"/>
                <w:i w:val="0"/>
                <w:iCs w:val="0"/>
                <w:color w:val="000000"/>
                <w:sz w:val="18"/>
                <w:szCs w:val="18"/>
                <w:u w:val="none"/>
              </w:rPr>
            </w:pPr>
          </w:p>
        </w:tc>
        <w:tc>
          <w:tcPr>
            <w:tcW w:w="2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261DEB">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C112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B993C4">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307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C80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2B8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06E5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2ED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CA0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92F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35507C">
            <w:pPr>
              <w:rPr>
                <w:rFonts w:hint="eastAsia" w:ascii="黑体" w:hAnsi="黑体" w:eastAsia="黑体" w:cs="黑体"/>
                <w:i/>
                <w:iCs/>
                <w:color w:val="000000"/>
                <w:sz w:val="18"/>
                <w:szCs w:val="18"/>
                <w:u w:val="none"/>
              </w:rPr>
            </w:pPr>
          </w:p>
        </w:tc>
      </w:tr>
      <w:tr w14:paraId="6225C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EBF086">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0F6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62A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F23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4BD8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6F5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95C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5B2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3AF9BE">
            <w:pPr>
              <w:rPr>
                <w:rFonts w:hint="eastAsia" w:ascii="黑体" w:hAnsi="黑体" w:eastAsia="黑体" w:cs="黑体"/>
                <w:i/>
                <w:iCs/>
                <w:color w:val="000000"/>
                <w:sz w:val="18"/>
                <w:szCs w:val="18"/>
                <w:u w:val="none"/>
              </w:rPr>
            </w:pPr>
          </w:p>
        </w:tc>
      </w:tr>
      <w:tr w14:paraId="355A0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900FC3">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CF8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7DB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035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37B7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830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C9E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526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276777">
            <w:pPr>
              <w:rPr>
                <w:rFonts w:hint="eastAsia" w:ascii="黑体" w:hAnsi="黑体" w:eastAsia="黑体" w:cs="黑体"/>
                <w:i/>
                <w:iCs/>
                <w:color w:val="000000"/>
                <w:sz w:val="18"/>
                <w:szCs w:val="18"/>
                <w:u w:val="none"/>
              </w:rPr>
            </w:pPr>
          </w:p>
        </w:tc>
      </w:tr>
      <w:tr w14:paraId="05B46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C04253">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272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FEFCC">
            <w:pPr>
              <w:jc w:val="center"/>
              <w:rPr>
                <w:rFonts w:hint="eastAsia" w:ascii="微软雅黑" w:hAnsi="微软雅黑" w:eastAsia="微软雅黑" w:cs="微软雅黑"/>
                <w:i/>
                <w:iCs/>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1E8C0">
            <w:pPr>
              <w:jc w:val="center"/>
              <w:rPr>
                <w:rFonts w:hint="eastAsia" w:ascii="微软雅黑" w:hAnsi="微软雅黑" w:eastAsia="微软雅黑" w:cs="微软雅黑"/>
                <w:i/>
                <w:iCs/>
                <w:color w:val="000000"/>
                <w:sz w:val="16"/>
                <w:szCs w:val="16"/>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9B316F">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87C88">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716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348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A862DB">
            <w:pPr>
              <w:rPr>
                <w:rFonts w:hint="eastAsia" w:ascii="黑体" w:hAnsi="黑体" w:eastAsia="黑体" w:cs="黑体"/>
                <w:i/>
                <w:iCs/>
                <w:color w:val="000000"/>
                <w:sz w:val="18"/>
                <w:szCs w:val="18"/>
                <w:u w:val="none"/>
              </w:rPr>
            </w:pPr>
          </w:p>
        </w:tc>
      </w:tr>
      <w:tr w14:paraId="73287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94B2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567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933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8F9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F97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B27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C98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344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A44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E61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A5A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AE1B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5D5C8C">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D2E50">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007ED">
            <w:pPr>
              <w:jc w:val="center"/>
              <w:rPr>
                <w:rFonts w:hint="eastAsia" w:ascii="宋体" w:hAnsi="宋体" w:eastAsia="宋体" w:cs="宋体"/>
                <w:i w:val="0"/>
                <w:iCs w:val="0"/>
                <w:color w:val="000000"/>
                <w:sz w:val="18"/>
                <w:szCs w:val="18"/>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1EB69">
            <w:pPr>
              <w:jc w:val="center"/>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D55EB">
            <w:pPr>
              <w:jc w:val="center"/>
              <w:rPr>
                <w:rFonts w:hint="eastAsia" w:ascii="宋体" w:hAnsi="宋体" w:eastAsia="宋体" w:cs="宋体"/>
                <w:i w:val="0"/>
                <w:iCs w:val="0"/>
                <w:color w:val="000000"/>
                <w:sz w:val="18"/>
                <w:szCs w:val="18"/>
                <w:u w:val="none"/>
              </w:rPr>
            </w:pP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72EE6">
            <w:pPr>
              <w:jc w:val="center"/>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B073B">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507B0">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8AEF4">
            <w:pPr>
              <w:jc w:val="center"/>
              <w:rPr>
                <w:rFonts w:hint="eastAsia" w:ascii="宋体" w:hAnsi="宋体" w:eastAsia="宋体" w:cs="宋体"/>
                <w:i w:val="0"/>
                <w:iCs w:val="0"/>
                <w:color w:val="000000"/>
                <w:sz w:val="18"/>
                <w:szCs w:val="18"/>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F9C3B">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13E1E">
            <w:pPr>
              <w:jc w:val="center"/>
              <w:rPr>
                <w:rFonts w:hint="eastAsia" w:ascii="微软雅黑" w:hAnsi="微软雅黑" w:eastAsia="微软雅黑" w:cs="微软雅黑"/>
                <w:i/>
                <w:iCs/>
                <w:color w:val="000000"/>
                <w:sz w:val="16"/>
                <w:szCs w:val="16"/>
                <w:u w:val="none"/>
              </w:rPr>
            </w:pPr>
          </w:p>
        </w:tc>
      </w:tr>
      <w:tr w14:paraId="31DBD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57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59265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23D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A8906">
            <w:pP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21BA4">
            <w:pPr>
              <w:rPr>
                <w:rFonts w:hint="eastAsia" w:ascii="宋体" w:hAnsi="宋体" w:eastAsia="宋体" w:cs="宋体"/>
                <w:i w:val="0"/>
                <w:iCs w:val="0"/>
                <w:color w:val="000000"/>
                <w:sz w:val="18"/>
                <w:szCs w:val="18"/>
                <w:u w:val="none"/>
              </w:rPr>
            </w:pPr>
          </w:p>
        </w:tc>
      </w:tr>
      <w:tr w14:paraId="4B252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0FE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5FECC5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050BA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26E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797C8E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6F192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368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1F5397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177C7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tcBorders>
              <w:top w:val="nil"/>
              <w:left w:val="nil"/>
              <w:bottom w:val="nil"/>
              <w:right w:val="nil"/>
            </w:tcBorders>
            <w:shd w:val="clear" w:color="auto" w:fill="auto"/>
            <w:vAlign w:val="center"/>
          </w:tcPr>
          <w:p w14:paraId="0548BF06">
            <w:pPr>
              <w:rPr>
                <w:rFonts w:hint="eastAsia" w:ascii="宋体" w:hAnsi="宋体" w:eastAsia="宋体" w:cs="宋体"/>
                <w:i w:val="0"/>
                <w:iCs w:val="0"/>
                <w:color w:val="000000"/>
                <w:sz w:val="18"/>
                <w:szCs w:val="18"/>
                <w:u w:val="none"/>
              </w:rPr>
            </w:pPr>
          </w:p>
        </w:tc>
        <w:tc>
          <w:tcPr>
            <w:tcW w:w="2048" w:type="dxa"/>
            <w:tcBorders>
              <w:top w:val="nil"/>
              <w:left w:val="nil"/>
              <w:bottom w:val="nil"/>
              <w:right w:val="nil"/>
            </w:tcBorders>
            <w:shd w:val="clear" w:color="auto" w:fill="auto"/>
            <w:vAlign w:val="center"/>
          </w:tcPr>
          <w:p w14:paraId="7A050AA3">
            <w:pPr>
              <w:rPr>
                <w:rFonts w:hint="eastAsia" w:ascii="宋体" w:hAnsi="宋体" w:eastAsia="宋体" w:cs="宋体"/>
                <w:i w:val="0"/>
                <w:iCs w:val="0"/>
                <w:color w:val="000000"/>
                <w:sz w:val="18"/>
                <w:szCs w:val="18"/>
                <w:u w:val="none"/>
              </w:rPr>
            </w:pPr>
          </w:p>
        </w:tc>
        <w:tc>
          <w:tcPr>
            <w:tcW w:w="1764" w:type="dxa"/>
            <w:tcBorders>
              <w:top w:val="nil"/>
              <w:left w:val="nil"/>
              <w:bottom w:val="nil"/>
              <w:right w:val="nil"/>
            </w:tcBorders>
            <w:shd w:val="clear" w:color="auto" w:fill="auto"/>
            <w:vAlign w:val="center"/>
          </w:tcPr>
          <w:p w14:paraId="6B036E95">
            <w:pPr>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vAlign w:val="center"/>
          </w:tcPr>
          <w:p w14:paraId="58CE96C6">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635234E9">
            <w:pPr>
              <w:rPr>
                <w:rFonts w:hint="eastAsia" w:ascii="宋体" w:hAnsi="宋体" w:eastAsia="宋体" w:cs="宋体"/>
                <w:i w:val="0"/>
                <w:iCs w:val="0"/>
                <w:color w:val="000000"/>
                <w:sz w:val="18"/>
                <w:szCs w:val="18"/>
                <w:u w:val="none"/>
              </w:rPr>
            </w:pPr>
          </w:p>
        </w:tc>
        <w:tc>
          <w:tcPr>
            <w:tcW w:w="1674" w:type="dxa"/>
            <w:tcBorders>
              <w:top w:val="nil"/>
              <w:left w:val="nil"/>
              <w:bottom w:val="nil"/>
              <w:right w:val="nil"/>
            </w:tcBorders>
            <w:shd w:val="clear" w:color="auto" w:fill="auto"/>
            <w:vAlign w:val="center"/>
          </w:tcPr>
          <w:p w14:paraId="3896B4C7">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1889F7F2">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63A4576D">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392ABECF">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2B172B19">
            <w:pPr>
              <w:rPr>
                <w:rFonts w:hint="eastAsia" w:ascii="宋体" w:hAnsi="宋体" w:eastAsia="宋体" w:cs="宋体"/>
                <w:i w:val="0"/>
                <w:iCs w:val="0"/>
                <w:color w:val="000000"/>
                <w:sz w:val="18"/>
                <w:szCs w:val="18"/>
                <w:u w:val="none"/>
              </w:rPr>
            </w:pPr>
          </w:p>
        </w:tc>
        <w:tc>
          <w:tcPr>
            <w:tcW w:w="2541" w:type="dxa"/>
            <w:tcBorders>
              <w:top w:val="nil"/>
              <w:left w:val="nil"/>
              <w:bottom w:val="nil"/>
              <w:right w:val="nil"/>
            </w:tcBorders>
            <w:shd w:val="clear" w:color="auto" w:fill="auto"/>
            <w:vAlign w:val="center"/>
          </w:tcPr>
          <w:p w14:paraId="7ACF4FBF">
            <w:pPr>
              <w:rPr>
                <w:rFonts w:hint="eastAsia" w:ascii="宋体" w:hAnsi="宋体" w:eastAsia="宋体" w:cs="宋体"/>
                <w:i w:val="0"/>
                <w:iCs w:val="0"/>
                <w:color w:val="000000"/>
                <w:sz w:val="18"/>
                <w:szCs w:val="18"/>
                <w:u w:val="none"/>
              </w:rPr>
            </w:pPr>
          </w:p>
        </w:tc>
      </w:tr>
      <w:tr w14:paraId="507EF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632FAB6">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9DDD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D3212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66D765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51320025T000012972690-访企探岗活动专项</w:t>
            </w:r>
          </w:p>
        </w:tc>
      </w:tr>
      <w:tr w14:paraId="3377A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DC8D4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0CC52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州人社局部门</w:t>
            </w:r>
          </w:p>
        </w:tc>
        <w:tc>
          <w:tcPr>
            <w:tcW w:w="1095" w:type="dxa"/>
            <w:tcBorders>
              <w:top w:val="nil"/>
              <w:left w:val="nil"/>
              <w:bottom w:val="nil"/>
              <w:right w:val="nil"/>
            </w:tcBorders>
            <w:shd w:val="clear" w:color="auto" w:fill="auto"/>
            <w:vAlign w:val="center"/>
          </w:tcPr>
          <w:p w14:paraId="6BE2B7C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9878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w:t>
            </w:r>
          </w:p>
        </w:tc>
      </w:tr>
      <w:tr w14:paraId="2CCBF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8F75F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9E84C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FC9B1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F04300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0C5C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388E8A">
            <w:pP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553317">
            <w:pPr>
              <w:rPr>
                <w:rFonts w:hint="eastAsia" w:ascii="宋体" w:hAnsi="宋体" w:eastAsia="宋体" w:cs="宋体"/>
                <w:i w:val="0"/>
                <w:iCs w:val="0"/>
                <w:color w:val="000000"/>
                <w:sz w:val="18"/>
                <w:szCs w:val="18"/>
                <w:u w:val="none"/>
              </w:rPr>
            </w:pP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3A8029">
            <w:pPr>
              <w:rPr>
                <w:rFonts w:hint="eastAsia" w:ascii="宋体" w:hAnsi="宋体" w:eastAsia="宋体" w:cs="宋体"/>
                <w:i w:val="0"/>
                <w:iCs w:val="0"/>
                <w:color w:val="000000"/>
                <w:sz w:val="18"/>
                <w:szCs w:val="18"/>
                <w:u w:val="none"/>
              </w:rPr>
            </w:pP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59803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636EC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E2A359">
            <w:pP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7BA0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5CD8507">
            <w:pPr>
              <w:rPr>
                <w:rFonts w:hint="eastAsia" w:ascii="宋体" w:hAnsi="宋体" w:eastAsia="宋体" w:cs="宋体"/>
                <w:i w:val="0"/>
                <w:iCs w:val="0"/>
                <w:color w:val="000000"/>
                <w:sz w:val="18"/>
                <w:szCs w:val="18"/>
                <w:u w:val="none"/>
              </w:rPr>
            </w:pPr>
          </w:p>
        </w:tc>
      </w:tr>
      <w:tr w14:paraId="76A8C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5D5B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E1E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BFA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547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C9C6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64D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103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D1E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267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798E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05E596">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04B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DE2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8C0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B9D4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DE5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83A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F204E">
            <w:pPr>
              <w:jc w:val="center"/>
              <w:rPr>
                <w:rFonts w:hint="eastAsia" w:ascii="宋体" w:hAnsi="宋体" w:eastAsia="宋体" w:cs="宋体"/>
                <w:i w:val="0"/>
                <w:iCs w:val="0"/>
                <w:color w:val="000000"/>
                <w:sz w:val="18"/>
                <w:szCs w:val="18"/>
                <w:u w:val="none"/>
              </w:rPr>
            </w:pPr>
          </w:p>
        </w:tc>
        <w:tc>
          <w:tcPr>
            <w:tcW w:w="2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E8C650">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22D8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53FA5">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EAB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C32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B26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095B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964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76C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A17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33E891">
            <w:pPr>
              <w:rPr>
                <w:rFonts w:hint="eastAsia" w:ascii="黑体" w:hAnsi="黑体" w:eastAsia="黑体" w:cs="黑体"/>
                <w:i/>
                <w:iCs/>
                <w:color w:val="000000"/>
                <w:sz w:val="18"/>
                <w:szCs w:val="18"/>
                <w:u w:val="none"/>
              </w:rPr>
            </w:pPr>
          </w:p>
        </w:tc>
      </w:tr>
      <w:tr w14:paraId="09554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D382D4">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FFA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F26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5F7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6231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EB7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7C6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E5E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1DECB9">
            <w:pPr>
              <w:rPr>
                <w:rFonts w:hint="eastAsia" w:ascii="黑体" w:hAnsi="黑体" w:eastAsia="黑体" w:cs="黑体"/>
                <w:i/>
                <w:iCs/>
                <w:color w:val="000000"/>
                <w:sz w:val="18"/>
                <w:szCs w:val="18"/>
                <w:u w:val="none"/>
              </w:rPr>
            </w:pPr>
          </w:p>
        </w:tc>
      </w:tr>
      <w:tr w14:paraId="4650B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E27C6D">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E63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07A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522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1D5A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55D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753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468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3CF1D">
            <w:pPr>
              <w:rPr>
                <w:rFonts w:hint="eastAsia" w:ascii="黑体" w:hAnsi="黑体" w:eastAsia="黑体" w:cs="黑体"/>
                <w:i/>
                <w:iCs/>
                <w:color w:val="000000"/>
                <w:sz w:val="18"/>
                <w:szCs w:val="18"/>
                <w:u w:val="none"/>
              </w:rPr>
            </w:pPr>
          </w:p>
        </w:tc>
      </w:tr>
      <w:tr w14:paraId="39A11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621B0">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FD8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D7BD0">
            <w:pPr>
              <w:jc w:val="center"/>
              <w:rPr>
                <w:rFonts w:hint="eastAsia" w:ascii="微软雅黑" w:hAnsi="微软雅黑" w:eastAsia="微软雅黑" w:cs="微软雅黑"/>
                <w:i/>
                <w:iCs/>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0CFC5">
            <w:pPr>
              <w:jc w:val="center"/>
              <w:rPr>
                <w:rFonts w:hint="eastAsia" w:ascii="微软雅黑" w:hAnsi="微软雅黑" w:eastAsia="微软雅黑" w:cs="微软雅黑"/>
                <w:i/>
                <w:iCs/>
                <w:color w:val="000000"/>
                <w:sz w:val="16"/>
                <w:szCs w:val="16"/>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D955B7">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BA28E">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517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E58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93506E">
            <w:pPr>
              <w:rPr>
                <w:rFonts w:hint="eastAsia" w:ascii="黑体" w:hAnsi="黑体" w:eastAsia="黑体" w:cs="黑体"/>
                <w:i/>
                <w:iCs/>
                <w:color w:val="000000"/>
                <w:sz w:val="18"/>
                <w:szCs w:val="18"/>
                <w:u w:val="none"/>
              </w:rPr>
            </w:pPr>
          </w:p>
        </w:tc>
      </w:tr>
      <w:tr w14:paraId="08EC3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E34C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901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215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569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D4D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185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B2C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8B1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F07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0A6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30E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526D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8FFD41">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0E3B6">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59389">
            <w:pPr>
              <w:jc w:val="center"/>
              <w:rPr>
                <w:rFonts w:hint="eastAsia" w:ascii="宋体" w:hAnsi="宋体" w:eastAsia="宋体" w:cs="宋体"/>
                <w:i w:val="0"/>
                <w:iCs w:val="0"/>
                <w:color w:val="000000"/>
                <w:sz w:val="18"/>
                <w:szCs w:val="18"/>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336EF">
            <w:pPr>
              <w:jc w:val="center"/>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F9A57">
            <w:pPr>
              <w:jc w:val="center"/>
              <w:rPr>
                <w:rFonts w:hint="eastAsia" w:ascii="宋体" w:hAnsi="宋体" w:eastAsia="宋体" w:cs="宋体"/>
                <w:i w:val="0"/>
                <w:iCs w:val="0"/>
                <w:color w:val="000000"/>
                <w:sz w:val="18"/>
                <w:szCs w:val="18"/>
                <w:u w:val="none"/>
              </w:rPr>
            </w:pP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D8E5C">
            <w:pPr>
              <w:jc w:val="center"/>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873EA">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0F84B">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B292D">
            <w:pPr>
              <w:jc w:val="center"/>
              <w:rPr>
                <w:rFonts w:hint="eastAsia" w:ascii="宋体" w:hAnsi="宋体" w:eastAsia="宋体" w:cs="宋体"/>
                <w:i w:val="0"/>
                <w:iCs w:val="0"/>
                <w:color w:val="000000"/>
                <w:sz w:val="18"/>
                <w:szCs w:val="18"/>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50D82">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69F28">
            <w:pPr>
              <w:jc w:val="center"/>
              <w:rPr>
                <w:rFonts w:hint="eastAsia" w:ascii="微软雅黑" w:hAnsi="微软雅黑" w:eastAsia="微软雅黑" w:cs="微软雅黑"/>
                <w:i/>
                <w:iCs/>
                <w:color w:val="000000"/>
                <w:sz w:val="16"/>
                <w:szCs w:val="16"/>
                <w:u w:val="none"/>
              </w:rPr>
            </w:pPr>
          </w:p>
        </w:tc>
      </w:tr>
      <w:tr w14:paraId="012D3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57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B3555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A0A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C2AE4">
            <w:pP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421CB">
            <w:pPr>
              <w:rPr>
                <w:rFonts w:hint="eastAsia" w:ascii="宋体" w:hAnsi="宋体" w:eastAsia="宋体" w:cs="宋体"/>
                <w:i w:val="0"/>
                <w:iCs w:val="0"/>
                <w:color w:val="000000"/>
                <w:sz w:val="18"/>
                <w:szCs w:val="18"/>
                <w:u w:val="none"/>
              </w:rPr>
            </w:pPr>
          </w:p>
        </w:tc>
      </w:tr>
      <w:tr w14:paraId="06CD8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741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093983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6DBB3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26F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66F159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47230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FE7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27485A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11989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tcBorders>
              <w:top w:val="nil"/>
              <w:left w:val="nil"/>
              <w:bottom w:val="nil"/>
              <w:right w:val="nil"/>
            </w:tcBorders>
            <w:shd w:val="clear" w:color="auto" w:fill="auto"/>
            <w:vAlign w:val="center"/>
          </w:tcPr>
          <w:p w14:paraId="54F9AC54">
            <w:pPr>
              <w:rPr>
                <w:rFonts w:hint="eastAsia" w:ascii="宋体" w:hAnsi="宋体" w:eastAsia="宋体" w:cs="宋体"/>
                <w:i w:val="0"/>
                <w:iCs w:val="0"/>
                <w:color w:val="000000"/>
                <w:sz w:val="18"/>
                <w:szCs w:val="18"/>
                <w:u w:val="none"/>
              </w:rPr>
            </w:pPr>
          </w:p>
        </w:tc>
        <w:tc>
          <w:tcPr>
            <w:tcW w:w="2048" w:type="dxa"/>
            <w:tcBorders>
              <w:top w:val="nil"/>
              <w:left w:val="nil"/>
              <w:bottom w:val="nil"/>
              <w:right w:val="nil"/>
            </w:tcBorders>
            <w:shd w:val="clear" w:color="auto" w:fill="auto"/>
            <w:vAlign w:val="center"/>
          </w:tcPr>
          <w:p w14:paraId="3F08EEF8">
            <w:pPr>
              <w:rPr>
                <w:rFonts w:hint="eastAsia" w:ascii="宋体" w:hAnsi="宋体" w:eastAsia="宋体" w:cs="宋体"/>
                <w:i w:val="0"/>
                <w:iCs w:val="0"/>
                <w:color w:val="000000"/>
                <w:sz w:val="18"/>
                <w:szCs w:val="18"/>
                <w:u w:val="none"/>
              </w:rPr>
            </w:pPr>
          </w:p>
        </w:tc>
        <w:tc>
          <w:tcPr>
            <w:tcW w:w="1764" w:type="dxa"/>
            <w:tcBorders>
              <w:top w:val="nil"/>
              <w:left w:val="nil"/>
              <w:bottom w:val="nil"/>
              <w:right w:val="nil"/>
            </w:tcBorders>
            <w:shd w:val="clear" w:color="auto" w:fill="auto"/>
            <w:vAlign w:val="center"/>
          </w:tcPr>
          <w:p w14:paraId="700CB4CD">
            <w:pPr>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vAlign w:val="center"/>
          </w:tcPr>
          <w:p w14:paraId="74AF3397">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5697FD87">
            <w:pPr>
              <w:rPr>
                <w:rFonts w:hint="eastAsia" w:ascii="宋体" w:hAnsi="宋体" w:eastAsia="宋体" w:cs="宋体"/>
                <w:i w:val="0"/>
                <w:iCs w:val="0"/>
                <w:color w:val="000000"/>
                <w:sz w:val="18"/>
                <w:szCs w:val="18"/>
                <w:u w:val="none"/>
              </w:rPr>
            </w:pPr>
          </w:p>
        </w:tc>
        <w:tc>
          <w:tcPr>
            <w:tcW w:w="1674" w:type="dxa"/>
            <w:tcBorders>
              <w:top w:val="nil"/>
              <w:left w:val="nil"/>
              <w:bottom w:val="nil"/>
              <w:right w:val="nil"/>
            </w:tcBorders>
            <w:shd w:val="clear" w:color="auto" w:fill="auto"/>
            <w:vAlign w:val="center"/>
          </w:tcPr>
          <w:p w14:paraId="327085DB">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3F521993">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6453EB35">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7BAE6F2F">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38E0A944">
            <w:pPr>
              <w:rPr>
                <w:rFonts w:hint="eastAsia" w:ascii="宋体" w:hAnsi="宋体" w:eastAsia="宋体" w:cs="宋体"/>
                <w:i w:val="0"/>
                <w:iCs w:val="0"/>
                <w:color w:val="000000"/>
                <w:sz w:val="18"/>
                <w:szCs w:val="18"/>
                <w:u w:val="none"/>
              </w:rPr>
            </w:pPr>
          </w:p>
        </w:tc>
        <w:tc>
          <w:tcPr>
            <w:tcW w:w="2541" w:type="dxa"/>
            <w:tcBorders>
              <w:top w:val="nil"/>
              <w:left w:val="nil"/>
              <w:bottom w:val="nil"/>
              <w:right w:val="nil"/>
            </w:tcBorders>
            <w:shd w:val="clear" w:color="auto" w:fill="auto"/>
            <w:vAlign w:val="center"/>
          </w:tcPr>
          <w:p w14:paraId="0C574BD8">
            <w:pPr>
              <w:rPr>
                <w:rFonts w:hint="eastAsia" w:ascii="宋体" w:hAnsi="宋体" w:eastAsia="宋体" w:cs="宋体"/>
                <w:i w:val="0"/>
                <w:iCs w:val="0"/>
                <w:color w:val="000000"/>
                <w:sz w:val="18"/>
                <w:szCs w:val="18"/>
                <w:u w:val="none"/>
              </w:rPr>
            </w:pPr>
          </w:p>
        </w:tc>
      </w:tr>
    </w:tbl>
    <w:p w14:paraId="338D8F50">
      <w:pPr>
        <w:pStyle w:val="2"/>
        <w:rPr>
          <w:rFonts w:hint="eastAsia"/>
          <w:lang w:val="zh-CN"/>
        </w:rPr>
      </w:pPr>
    </w:p>
    <w:p w14:paraId="1DF4B5FC">
      <w:pPr>
        <w:pStyle w:val="3"/>
        <w:rPr>
          <w:rFonts w:hint="eastAsia"/>
          <w:lang w:val="zh-CN"/>
        </w:rPr>
      </w:pPr>
    </w:p>
    <w:p w14:paraId="6A54D18B">
      <w:pPr>
        <w:widowControl/>
        <w:jc w:val="both"/>
        <w:rPr>
          <w:rFonts w:hint="eastAsia" w:ascii="Times New Roman" w:hAnsi="Times New Roman" w:eastAsia="黑体"/>
          <w:color w:val="auto"/>
          <w:sz w:val="44"/>
          <w:szCs w:val="44"/>
          <w:highlight w:val="none"/>
        </w:rPr>
      </w:pPr>
      <w:bookmarkStart w:id="56" w:name="_Toc15396618"/>
    </w:p>
    <w:p w14:paraId="0B799CE2">
      <w:pPr>
        <w:widowControl/>
        <w:jc w:val="center"/>
        <w:rPr>
          <w:rFonts w:hint="eastAsia" w:ascii="Times New Roman" w:hAnsi="Times New Roman" w:eastAsia="仿宋"/>
          <w:b w:val="0"/>
          <w:color w:val="auto"/>
          <w:highlight w:val="none"/>
        </w:rPr>
      </w:pPr>
      <w:r>
        <w:rPr>
          <w:rFonts w:hint="eastAsia" w:ascii="Times New Roman" w:hAnsi="Times New Roman" w:eastAsia="黑体"/>
          <w:color w:val="auto"/>
          <w:sz w:val="44"/>
          <w:szCs w:val="44"/>
          <w:highlight w:val="none"/>
        </w:rPr>
        <w:t>第</w:t>
      </w:r>
      <w:r>
        <w:rPr>
          <w:rStyle w:val="20"/>
          <w:rFonts w:hint="eastAsia" w:ascii="Times New Roman" w:hAnsi="Times New Roman" w:eastAsia="黑体"/>
          <w:b w:val="0"/>
          <w:color w:val="auto"/>
          <w:highlight w:val="none"/>
        </w:rPr>
        <w:t>五部分 附表</w:t>
      </w:r>
      <w:bookmarkEnd w:id="54"/>
      <w:bookmarkEnd w:id="56"/>
      <w:bookmarkStart w:id="57" w:name="_Toc15396619"/>
    </w:p>
    <w:p w14:paraId="2D037B69">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79C322CE">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57"/>
    </w:p>
    <w:p w14:paraId="3B8B8D24">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8" w:name="_Toc15396620"/>
      <w:r>
        <w:rPr>
          <w:rFonts w:hint="eastAsia" w:ascii="Times New Roman" w:hAnsi="Times New Roman" w:eastAsia="仿宋_GB2312" w:cs="仿宋_GB2312"/>
          <w:color w:val="auto"/>
          <w:sz w:val="32"/>
          <w:szCs w:val="32"/>
          <w:highlight w:val="none"/>
        </w:rPr>
        <w:t>二、收入决算表</w:t>
      </w:r>
      <w:bookmarkEnd w:id="58"/>
    </w:p>
    <w:p w14:paraId="45F1D3FF">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9" w:name="_Toc15396621"/>
      <w:r>
        <w:rPr>
          <w:rFonts w:hint="eastAsia" w:ascii="Times New Roman" w:hAnsi="Times New Roman" w:eastAsia="仿宋_GB2312" w:cs="仿宋_GB2312"/>
          <w:color w:val="auto"/>
          <w:sz w:val="32"/>
          <w:szCs w:val="32"/>
          <w:highlight w:val="none"/>
        </w:rPr>
        <w:t>三、支出决算表</w:t>
      </w:r>
      <w:bookmarkEnd w:id="59"/>
    </w:p>
    <w:p w14:paraId="4FFDB209">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0" w:name="_Toc15396622"/>
      <w:r>
        <w:rPr>
          <w:rFonts w:hint="eastAsia" w:ascii="Times New Roman" w:hAnsi="Times New Roman" w:eastAsia="仿宋_GB2312" w:cs="仿宋_GB2312"/>
          <w:color w:val="auto"/>
          <w:sz w:val="32"/>
          <w:szCs w:val="32"/>
          <w:highlight w:val="none"/>
        </w:rPr>
        <w:t>四、财政拨款收入支出决算总表</w:t>
      </w:r>
      <w:bookmarkEnd w:id="60"/>
    </w:p>
    <w:p w14:paraId="48519442">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1" w:name="_Toc15396623"/>
      <w:r>
        <w:rPr>
          <w:rFonts w:hint="eastAsia" w:ascii="Times New Roman" w:hAnsi="Times New Roman" w:eastAsia="仿宋_GB2312" w:cs="仿宋_GB2312"/>
          <w:color w:val="auto"/>
          <w:sz w:val="32"/>
          <w:szCs w:val="32"/>
          <w:highlight w:val="none"/>
        </w:rPr>
        <w:t>五、财政拨款支出决算明细表</w:t>
      </w:r>
      <w:bookmarkEnd w:id="61"/>
      <w:bookmarkStart w:id="62" w:name="_Toc15396624"/>
    </w:p>
    <w:p w14:paraId="65DA11BB">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62"/>
    </w:p>
    <w:p w14:paraId="43120541">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3" w:name="_Toc15396625"/>
      <w:r>
        <w:rPr>
          <w:rFonts w:hint="eastAsia" w:ascii="Times New Roman" w:hAnsi="Times New Roman" w:eastAsia="仿宋_GB2312" w:cs="仿宋_GB2312"/>
          <w:color w:val="auto"/>
          <w:sz w:val="32"/>
          <w:szCs w:val="32"/>
          <w:highlight w:val="none"/>
        </w:rPr>
        <w:t>七、一般公共预算财政拨款支出决算明细表</w:t>
      </w:r>
      <w:bookmarkEnd w:id="63"/>
    </w:p>
    <w:p w14:paraId="4E47A7CE">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4" w:name="_Toc15396626"/>
      <w:r>
        <w:rPr>
          <w:rFonts w:hint="eastAsia" w:ascii="Times New Roman" w:hAnsi="Times New Roman" w:eastAsia="仿宋_GB2312" w:cs="仿宋_GB2312"/>
          <w:color w:val="auto"/>
          <w:sz w:val="32"/>
          <w:szCs w:val="32"/>
          <w:highlight w:val="none"/>
        </w:rPr>
        <w:t>八、一般公共预算财政拨款基本支出决算表</w:t>
      </w:r>
      <w:bookmarkEnd w:id="64"/>
    </w:p>
    <w:p w14:paraId="03371334">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5" w:name="_Toc15396627"/>
      <w:r>
        <w:rPr>
          <w:rFonts w:hint="eastAsia" w:ascii="Times New Roman" w:hAnsi="Times New Roman" w:eastAsia="仿宋_GB2312" w:cs="仿宋_GB2312"/>
          <w:color w:val="auto"/>
          <w:sz w:val="32"/>
          <w:szCs w:val="32"/>
          <w:highlight w:val="none"/>
        </w:rPr>
        <w:t>九、一般公共预算财政拨款项目支出决算表</w:t>
      </w:r>
      <w:bookmarkEnd w:id="65"/>
    </w:p>
    <w:p w14:paraId="1055B150">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6" w:name="_Toc15396628"/>
      <w:r>
        <w:rPr>
          <w:rFonts w:hint="eastAsia" w:ascii="Times New Roman" w:hAnsi="Times New Roman" w:eastAsia="仿宋_GB2312" w:cs="仿宋_GB2312"/>
          <w:color w:val="auto"/>
          <w:sz w:val="32"/>
          <w:szCs w:val="32"/>
          <w:highlight w:val="none"/>
        </w:rPr>
        <w:t>十、</w:t>
      </w:r>
      <w:bookmarkEnd w:id="66"/>
      <w:r>
        <w:rPr>
          <w:rFonts w:hint="eastAsia" w:ascii="Times New Roman" w:hAnsi="Times New Roman" w:eastAsia="仿宋_GB2312" w:cs="仿宋_GB2312"/>
          <w:color w:val="auto"/>
          <w:sz w:val="32"/>
          <w:szCs w:val="32"/>
          <w:highlight w:val="none"/>
        </w:rPr>
        <w:t>政府性基金预算财政拨款收入支出决算表</w:t>
      </w:r>
    </w:p>
    <w:p w14:paraId="178FF878">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7" w:name="_Toc15396629"/>
      <w:r>
        <w:rPr>
          <w:rFonts w:hint="eastAsia" w:ascii="Times New Roman" w:hAnsi="Times New Roman" w:eastAsia="仿宋_GB2312" w:cs="仿宋_GB2312"/>
          <w:color w:val="auto"/>
          <w:sz w:val="32"/>
          <w:szCs w:val="32"/>
          <w:highlight w:val="none"/>
        </w:rPr>
        <w:t>十一、</w:t>
      </w:r>
      <w:bookmarkEnd w:id="67"/>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14:paraId="30E71FA3">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8" w:name="_Toc15396630"/>
      <w:r>
        <w:rPr>
          <w:rFonts w:hint="eastAsia" w:ascii="Times New Roman" w:hAnsi="Times New Roman" w:eastAsia="仿宋_GB2312" w:cs="仿宋_GB2312"/>
          <w:color w:val="auto"/>
          <w:sz w:val="32"/>
          <w:szCs w:val="32"/>
          <w:highlight w:val="none"/>
        </w:rPr>
        <w:t>十二、</w:t>
      </w:r>
      <w:bookmarkEnd w:id="68"/>
      <w:r>
        <w:rPr>
          <w:rFonts w:hint="eastAsia" w:ascii="Times New Roman" w:hAnsi="Times New Roman" w:eastAsia="仿宋_GB2312" w:cs="仿宋_GB2312"/>
          <w:color w:val="auto"/>
          <w:sz w:val="32"/>
          <w:szCs w:val="32"/>
          <w:highlight w:val="none"/>
          <w:lang w:eastAsia="zh-CN"/>
        </w:rPr>
        <w:t>国有资本经营预算财政拨款支出决算表</w:t>
      </w:r>
    </w:p>
    <w:p w14:paraId="37D736AE">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69" w:name="_Toc15396631"/>
      <w:r>
        <w:rPr>
          <w:rFonts w:hint="eastAsia" w:ascii="Times New Roman" w:hAnsi="Times New Roman" w:eastAsia="仿宋_GB2312" w:cs="仿宋_GB2312"/>
          <w:color w:val="auto"/>
          <w:sz w:val="32"/>
          <w:szCs w:val="32"/>
          <w:highlight w:val="none"/>
        </w:rPr>
        <w:t>十三、</w:t>
      </w:r>
      <w:bookmarkEnd w:id="69"/>
      <w:r>
        <w:rPr>
          <w:rFonts w:hint="eastAsia" w:ascii="Times New Roman" w:hAnsi="Times New Roman" w:eastAsia="仿宋_GB2312" w:cs="仿宋_GB2312"/>
          <w:color w:val="auto"/>
          <w:sz w:val="32"/>
          <w:szCs w:val="32"/>
          <w:highlight w:val="none"/>
          <w:lang w:eastAsia="zh-CN"/>
        </w:rPr>
        <w:t>财政拨款“三公”经费支出决算表</w:t>
      </w:r>
    </w:p>
    <w:p w14:paraId="03FEA349">
      <w:pPr>
        <w:rPr>
          <w:rFonts w:hint="eastAsia" w:ascii="Times New Roman" w:hAnsi="Times New Roman"/>
          <w:lang w:eastAsia="zh-CN"/>
        </w:rPr>
      </w:pPr>
    </w:p>
    <w:sectPr>
      <w:pgSz w:w="16838" w:h="11906" w:orient="landscape"/>
      <w:pgMar w:top="1800" w:right="1440" w:bottom="1800" w:left="1440" w:header="851" w:footer="992"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F7C16">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D67965">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7D67965">
                    <w:pPr>
                      <w:pStyle w:val="11"/>
                    </w:pPr>
                    <w:r>
                      <w:fldChar w:fldCharType="begin"/>
                    </w:r>
                    <w:r>
                      <w:instrText xml:space="preserve"> PAGE  \* MERGEFORMAT </w:instrText>
                    </w:r>
                    <w:r>
                      <w:fldChar w:fldCharType="separate"/>
                    </w:r>
                    <w:r>
                      <w:t>- 1 -</w:t>
                    </w:r>
                    <w:r>
                      <w:fldChar w:fldCharType="end"/>
                    </w:r>
                  </w:p>
                </w:txbxContent>
              </v:textbox>
            </v:shape>
          </w:pict>
        </mc:Fallback>
      </mc:AlternateContent>
    </w:r>
  </w:p>
  <w:p w14:paraId="01D08534">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A7C6F9">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ECAF67">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EECAF67">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91FD2">
    <w:pPr>
      <w:pStyle w:val="11"/>
      <w:jc w:val="center"/>
    </w:pPr>
  </w:p>
  <w:p w14:paraId="037DBD77">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5638D">
    <w:pPr>
      <w:pStyle w:val="11"/>
    </w:pPr>
    <w:r>
      <w:rPr>
        <w:sz w:val="18"/>
      </w:rP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743D4A">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39743D4A">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D3937">
    <w:pPr>
      <w:pStyle w:val="11"/>
      <w:jc w:val="center"/>
    </w:pPr>
    <w:r>
      <w:rPr>
        <w:sz w:val="18"/>
      </w:rP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90C62C">
                          <w:pPr>
                            <w:pStyle w:val="11"/>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6290C62C">
                    <w:pPr>
                      <w:pStyle w:val="11"/>
                    </w:pPr>
                    <w:r>
                      <w:fldChar w:fldCharType="begin"/>
                    </w:r>
                    <w:r>
                      <w:instrText xml:space="preserve"> PAGE  \* MERGEFORMAT </w:instrText>
                    </w:r>
                    <w:r>
                      <w:fldChar w:fldCharType="separate"/>
                    </w:r>
                    <w:r>
                      <w:t>- 2 -</w:t>
                    </w:r>
                    <w:r>
                      <w:fldChar w:fldCharType="end"/>
                    </w:r>
                  </w:p>
                </w:txbxContent>
              </v:textbox>
            </v:shape>
          </w:pict>
        </mc:Fallback>
      </mc:AlternateContent>
    </w:r>
  </w:p>
  <w:p w14:paraId="4907F362">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16086">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F9F4E3"/>
    <w:multiLevelType w:val="singleLevel"/>
    <w:tmpl w:val="86F9F4E3"/>
    <w:lvl w:ilvl="0" w:tentative="0">
      <w:start w:val="3"/>
      <w:numFmt w:val="chineseCounting"/>
      <w:suff w:val="nothing"/>
      <w:lvlText w:val="（%1）"/>
      <w:lvlJc w:val="left"/>
      <w:rPr>
        <w:rFonts w:hint="eastAsia"/>
      </w:rPr>
    </w:lvl>
  </w:abstractNum>
  <w:abstractNum w:abstractNumId="1">
    <w:nsid w:val="AF44425D"/>
    <w:multiLevelType w:val="singleLevel"/>
    <w:tmpl w:val="AF44425D"/>
    <w:lvl w:ilvl="0" w:tentative="0">
      <w:start w:val="1"/>
      <w:numFmt w:val="chineseCounting"/>
      <w:suff w:val="nothing"/>
      <w:lvlText w:val="%1、"/>
      <w:lvlJc w:val="left"/>
      <w:rPr>
        <w:rFonts w:hint="eastAsia"/>
      </w:rPr>
    </w:lvl>
  </w:abstractNum>
  <w:abstractNum w:abstractNumId="2">
    <w:nsid w:val="BED0DD44"/>
    <w:multiLevelType w:val="singleLevel"/>
    <w:tmpl w:val="BED0DD44"/>
    <w:lvl w:ilvl="0" w:tentative="0">
      <w:start w:val="2"/>
      <w:numFmt w:val="chineseCounting"/>
      <w:suff w:val="nothing"/>
      <w:lvlText w:val="（%1）"/>
      <w:lvlJc w:val="left"/>
      <w:rPr>
        <w:rFonts w:hint="eastAsia"/>
      </w:rPr>
    </w:lvl>
  </w:abstractNum>
  <w:abstractNum w:abstractNumId="3">
    <w:nsid w:val="D5484518"/>
    <w:multiLevelType w:val="singleLevel"/>
    <w:tmpl w:val="D5484518"/>
    <w:lvl w:ilvl="0" w:tentative="0">
      <w:start w:val="1"/>
      <w:numFmt w:val="decimal"/>
      <w:lvlText w:val="%1."/>
      <w:lvlJc w:val="left"/>
      <w:pPr>
        <w:tabs>
          <w:tab w:val="left" w:pos="312"/>
        </w:tabs>
      </w:pPr>
    </w:lvl>
  </w:abstractNum>
  <w:abstractNum w:abstractNumId="4">
    <w:nsid w:val="0BD7BB02"/>
    <w:multiLevelType w:val="singleLevel"/>
    <w:tmpl w:val="0BD7BB02"/>
    <w:lvl w:ilvl="0" w:tentative="0">
      <w:start w:val="9"/>
      <w:numFmt w:val="chineseCounting"/>
      <w:suff w:val="nothing"/>
      <w:lvlText w:val="%1、"/>
      <w:lvlJc w:val="left"/>
      <w:rPr>
        <w:rFonts w:hint="eastAsia"/>
      </w:rPr>
    </w:lvl>
  </w:abstractNum>
  <w:abstractNum w:abstractNumId="5">
    <w:nsid w:val="51DF268F"/>
    <w:multiLevelType w:val="singleLevel"/>
    <w:tmpl w:val="51DF268F"/>
    <w:lvl w:ilvl="0" w:tentative="0">
      <w:start w:val="1"/>
      <w:numFmt w:val="decimal"/>
      <w:lvlText w:val="%1."/>
      <w:lvlJc w:val="left"/>
      <w:pPr>
        <w:tabs>
          <w:tab w:val="left" w:pos="312"/>
        </w:tabs>
      </w:pPr>
    </w:lvl>
  </w:abstractNum>
  <w:abstractNum w:abstractNumId="6">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abstractNum w:abstractNumId="7">
    <w:nsid w:val="77679EE5"/>
    <w:multiLevelType w:val="singleLevel"/>
    <w:tmpl w:val="77679EE5"/>
    <w:lvl w:ilvl="0" w:tentative="0">
      <w:start w:val="2"/>
      <w:numFmt w:val="chineseCounting"/>
      <w:suff w:val="nothing"/>
      <w:lvlText w:val="（%1）"/>
      <w:lvlJc w:val="left"/>
      <w:rPr>
        <w:rFonts w:hint="eastAsia"/>
        <w:b/>
        <w:bCs/>
      </w:rPr>
    </w:lvl>
  </w:abstractNum>
  <w:num w:numId="1">
    <w:abstractNumId w:val="1"/>
  </w:num>
  <w:num w:numId="2">
    <w:abstractNumId w:val="6"/>
  </w:num>
  <w:num w:numId="3">
    <w:abstractNumId w:val="0"/>
  </w:num>
  <w:num w:numId="4">
    <w:abstractNumId w:val="5"/>
  </w:num>
  <w:num w:numId="5">
    <w:abstractNumId w:val="4"/>
  </w:num>
  <w:num w:numId="6">
    <w:abstractNumId w:val="2"/>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compatSetting w:name="compatibilityMode" w:uri="http://schemas.microsoft.com/office/word" w:val="14"/>
  </w:compat>
  <w:rsids>
    <w:rsidRoot w:val="00000000"/>
    <w:rsid w:val="016F699D"/>
    <w:rsid w:val="03101E00"/>
    <w:rsid w:val="03B409DD"/>
    <w:rsid w:val="03E21036"/>
    <w:rsid w:val="07610E7C"/>
    <w:rsid w:val="0992356F"/>
    <w:rsid w:val="0BCD6AE0"/>
    <w:rsid w:val="0C5F3F70"/>
    <w:rsid w:val="0E7703E5"/>
    <w:rsid w:val="0FAB28B0"/>
    <w:rsid w:val="10CA5CE4"/>
    <w:rsid w:val="22552F34"/>
    <w:rsid w:val="2268180B"/>
    <w:rsid w:val="265A320F"/>
    <w:rsid w:val="2E8B0409"/>
    <w:rsid w:val="303F76FD"/>
    <w:rsid w:val="30C2583B"/>
    <w:rsid w:val="34257E84"/>
    <w:rsid w:val="387D7F88"/>
    <w:rsid w:val="391060DB"/>
    <w:rsid w:val="3F15070B"/>
    <w:rsid w:val="3FA94B93"/>
    <w:rsid w:val="428B67D2"/>
    <w:rsid w:val="45CF2E79"/>
    <w:rsid w:val="48152D04"/>
    <w:rsid w:val="49D251F8"/>
    <w:rsid w:val="49FF0961"/>
    <w:rsid w:val="4D897DB2"/>
    <w:rsid w:val="504F0E3F"/>
    <w:rsid w:val="518A6C1F"/>
    <w:rsid w:val="553700F3"/>
    <w:rsid w:val="55645087"/>
    <w:rsid w:val="5639533C"/>
    <w:rsid w:val="568A7075"/>
    <w:rsid w:val="57364B06"/>
    <w:rsid w:val="589C4E3D"/>
    <w:rsid w:val="59597927"/>
    <w:rsid w:val="5DCB18F7"/>
    <w:rsid w:val="5F6C7580"/>
    <w:rsid w:val="60E03D35"/>
    <w:rsid w:val="64F77C12"/>
    <w:rsid w:val="6A1D5C82"/>
    <w:rsid w:val="6CE0261F"/>
    <w:rsid w:val="6E824C49"/>
    <w:rsid w:val="6EA152E4"/>
    <w:rsid w:val="6F790532"/>
    <w:rsid w:val="6FAA79E8"/>
    <w:rsid w:val="703A6FBE"/>
    <w:rsid w:val="71E53AF6"/>
    <w:rsid w:val="7317681F"/>
    <w:rsid w:val="752C70F1"/>
    <w:rsid w:val="76C17AC3"/>
    <w:rsid w:val="773861BD"/>
    <w:rsid w:val="77BD2282"/>
    <w:rsid w:val="78C8620E"/>
    <w:rsid w:val="79FC6BC1"/>
    <w:rsid w:val="7F84200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0"/>
    <w:qFormat/>
    <w:uiPriority w:val="0"/>
    <w:pPr>
      <w:keepNext/>
      <w:keepLines/>
      <w:widowControl w:val="0"/>
      <w:spacing w:before="340" w:after="330" w:line="578" w:lineRule="auto"/>
      <w:outlineLvl w:val="0"/>
    </w:pPr>
    <w:rPr>
      <w:b/>
      <w:bCs/>
      <w:kern w:val="44"/>
      <w:sz w:val="44"/>
      <w:szCs w:val="44"/>
    </w:rPr>
  </w:style>
  <w:style w:type="paragraph" w:styleId="5">
    <w:name w:val="heading 2"/>
    <w:basedOn w:val="1"/>
    <w:next w:val="1"/>
    <w:link w:val="21"/>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6">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7">
    <w:name w:val="Default Paragraph Font"/>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before="30" w:beforeLines="30"/>
    </w:pPr>
    <w:rPr>
      <w:rFonts w:ascii="仿宋_GB2312" w:eastAsia="仿宋_GB2312"/>
      <w:kern w:val="0"/>
      <w:sz w:val="30"/>
    </w:rPr>
  </w:style>
  <w:style w:type="paragraph" w:styleId="3">
    <w:name w:val="Subtitle"/>
    <w:basedOn w:val="1"/>
    <w:next w:val="1"/>
    <w:qFormat/>
    <w:uiPriority w:val="0"/>
    <w:pPr>
      <w:spacing w:before="240" w:after="60" w:line="312" w:lineRule="auto"/>
      <w:jc w:val="center"/>
      <w:outlineLvl w:val="1"/>
    </w:pPr>
    <w:rPr>
      <w:rFonts w:ascii="Calibri Light" w:hAnsi="Calibri Light"/>
      <w:b/>
      <w:bCs/>
      <w:kern w:val="28"/>
      <w:sz w:val="32"/>
      <w:szCs w:val="32"/>
    </w:rPr>
  </w:style>
  <w:style w:type="paragraph" w:styleId="7">
    <w:name w:val="Body Text Indent"/>
    <w:basedOn w:val="1"/>
    <w:next w:val="8"/>
    <w:qFormat/>
    <w:uiPriority w:val="0"/>
    <w:pPr>
      <w:spacing w:after="120"/>
      <w:ind w:left="200" w:leftChars="200"/>
    </w:pPr>
    <w:rPr>
      <w:rFonts w:ascii="仿宋_GB2312" w:hAnsi="仿宋_GB2312"/>
      <w:szCs w:val="32"/>
    </w:rPr>
  </w:style>
  <w:style w:type="paragraph" w:styleId="8">
    <w:name w:val="Body Text First Indent 2"/>
    <w:basedOn w:val="7"/>
    <w:qFormat/>
    <w:uiPriority w:val="0"/>
    <w:pPr>
      <w:ind w:firstLine="200" w:firstLineChars="200"/>
    </w:pPr>
  </w:style>
  <w:style w:type="paragraph" w:styleId="9">
    <w:name w:val="toc 3"/>
    <w:basedOn w:val="1"/>
    <w:next w:val="1"/>
    <w:qFormat/>
    <w:uiPriority w:val="0"/>
    <w:pPr>
      <w:tabs>
        <w:tab w:val="right" w:leader="dot" w:pos="8296"/>
      </w:tabs>
      <w:ind w:left="400" w:leftChars="400"/>
    </w:pPr>
  </w:style>
  <w:style w:type="paragraph" w:styleId="10">
    <w:name w:val="Balloon Text"/>
    <w:basedOn w:val="1"/>
    <w:qFormat/>
    <w:uiPriority w:val="0"/>
    <w:rPr>
      <w:sz w:val="18"/>
      <w:szCs w:val="18"/>
    </w:rPr>
  </w:style>
  <w:style w:type="paragraph" w:styleId="11">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qFormat/>
    <w:uiPriority w:val="0"/>
    <w:pPr>
      <w:tabs>
        <w:tab w:val="right" w:leader="dot" w:pos="8296"/>
      </w:tabs>
      <w:spacing w:before="93"/>
      <w:jc w:val="center"/>
    </w:pPr>
    <w:rPr>
      <w:rFonts w:ascii="仿宋" w:eastAsia="仿宋"/>
      <w:sz w:val="28"/>
      <w:szCs w:val="28"/>
    </w:rPr>
  </w:style>
  <w:style w:type="paragraph" w:styleId="14">
    <w:name w:val="footnote text"/>
    <w:basedOn w:val="1"/>
    <w:next w:val="8"/>
    <w:qFormat/>
    <w:uiPriority w:val="0"/>
    <w:pPr>
      <w:snapToGrid w:val="0"/>
      <w:jc w:val="left"/>
    </w:pPr>
    <w:rPr>
      <w:sz w:val="18"/>
      <w:szCs w:val="18"/>
    </w:rPr>
  </w:style>
  <w:style w:type="paragraph" w:styleId="15">
    <w:name w:val="toc 2"/>
    <w:basedOn w:val="1"/>
    <w:next w:val="1"/>
    <w:qFormat/>
    <w:uiPriority w:val="0"/>
    <w:pPr>
      <w:tabs>
        <w:tab w:val="right" w:leader="dot" w:pos="8296"/>
      </w:tabs>
      <w:ind w:left="200" w:leftChars="200"/>
    </w:pPr>
  </w:style>
  <w:style w:type="character" w:styleId="18">
    <w:name w:val="Strong"/>
    <w:basedOn w:val="17"/>
    <w:qFormat/>
    <w:uiPriority w:val="0"/>
    <w:rPr>
      <w:b/>
    </w:rPr>
  </w:style>
  <w:style w:type="character" w:styleId="19">
    <w:name w:val="Hyperlink"/>
    <w:basedOn w:val="17"/>
    <w:qFormat/>
    <w:uiPriority w:val="0"/>
    <w:rPr>
      <w:color w:val="0000FF"/>
      <w:u w:val="single"/>
    </w:rPr>
  </w:style>
  <w:style w:type="character" w:customStyle="1" w:styleId="20">
    <w:name w:val="heading 1 Char"/>
    <w:basedOn w:val="17"/>
    <w:link w:val="4"/>
    <w:qFormat/>
    <w:uiPriority w:val="0"/>
    <w:rPr>
      <w:rFonts w:ascii="Times New Roman" w:hAnsi="Times New Roman" w:eastAsia="宋体" w:cs="Times New Roman"/>
      <w:b/>
      <w:bCs/>
      <w:kern w:val="44"/>
      <w:sz w:val="44"/>
      <w:szCs w:val="44"/>
      <w:lang w:val="en-US" w:eastAsia="zh-CN" w:bidi="ar-SA"/>
    </w:rPr>
  </w:style>
  <w:style w:type="character" w:customStyle="1" w:styleId="21">
    <w:name w:val="heading 2 Char"/>
    <w:basedOn w:val="17"/>
    <w:link w:val="5"/>
    <w:qFormat/>
    <w:uiPriority w:val="0"/>
    <w:rPr>
      <w:rFonts w:ascii="Cambria" w:hAnsi="Cambria" w:eastAsia="宋体" w:cs="Times New Roman"/>
      <w:b/>
      <w:bCs/>
      <w:kern w:val="2"/>
      <w:sz w:val="32"/>
      <w:szCs w:val="32"/>
      <w:lang w:val="en-US" w:eastAsia="zh-CN" w:bidi="ar-SA"/>
    </w:rPr>
  </w:style>
  <w:style w:type="paragraph" w:customStyle="1" w:styleId="22">
    <w:name w:val="标题 5（有编号）（绿盟科技）"/>
    <w:next w:val="1"/>
    <w:qFormat/>
    <w:uiPriority w:val="0"/>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3">
    <w:name w:val="Header Char"/>
    <w:basedOn w:val="17"/>
    <w:qFormat/>
    <w:uiPriority w:val="0"/>
    <w:rPr>
      <w:rFonts w:ascii="Times New Roman" w:hAnsi="Times New Roman"/>
      <w:sz w:val="18"/>
      <w:szCs w:val="18"/>
    </w:rPr>
  </w:style>
  <w:style w:type="character" w:customStyle="1" w:styleId="24">
    <w:name w:val="Footer Char"/>
    <w:basedOn w:val="17"/>
    <w:qFormat/>
    <w:uiPriority w:val="0"/>
    <w:rPr>
      <w:rFonts w:ascii="Times New Roman" w:hAnsi="Times New Roman"/>
      <w:sz w:val="18"/>
      <w:szCs w:val="18"/>
    </w:rPr>
  </w:style>
  <w:style w:type="character" w:customStyle="1" w:styleId="25">
    <w:name w:val="Body Text Char"/>
    <w:basedOn w:val="17"/>
    <w:qFormat/>
    <w:uiPriority w:val="0"/>
    <w:rPr>
      <w:rFonts w:ascii="Times New Roman" w:hAnsi="Times New Roman"/>
      <w:szCs w:val="24"/>
    </w:rPr>
  </w:style>
  <w:style w:type="paragraph" w:customStyle="1" w:styleId="26">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7">
    <w:name w:val="List Paragraph"/>
    <w:basedOn w:val="1"/>
    <w:qFormat/>
    <w:uiPriority w:val="0"/>
    <w:pPr>
      <w:ind w:firstLine="200" w:firstLineChars="200"/>
    </w:pPr>
  </w:style>
  <w:style w:type="paragraph" w:customStyle="1" w:styleId="28">
    <w:name w:val="TOC 标题1"/>
    <w:basedOn w:val="4"/>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29">
    <w:name w:val="TOC Heading"/>
    <w:basedOn w:val="4"/>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30">
    <w:name w:val="四号正文"/>
    <w:basedOn w:val="1"/>
    <w:qFormat/>
    <w:uiPriority w:val="0"/>
    <w:pPr>
      <w:spacing w:line="360" w:lineRule="auto"/>
    </w:pPr>
    <w:rPr>
      <w:rFonts w:ascii="??" w:hAnsi="??" w:eastAsia="宋体"/>
      <w:color w:val="000000"/>
      <w:kern w:val="0"/>
      <w:sz w:val="28"/>
      <w:szCs w:val="21"/>
      <w:lang w:val="zh-CN" w:eastAsia="zh-CN"/>
    </w:rPr>
  </w:style>
  <w:style w:type="character" w:customStyle="1" w:styleId="31">
    <w:name w:val="font21"/>
    <w:basedOn w:val="17"/>
    <w:qFormat/>
    <w:uiPriority w:val="0"/>
    <w:rPr>
      <w:rFonts w:ascii="宋体" w:hAnsi="宋体" w:eastAsia="宋体" w:cs="宋体"/>
      <w:color w:val="000000"/>
      <w:sz w:val="18"/>
      <w:szCs w:val="18"/>
      <w:u w:val="none"/>
    </w:rPr>
  </w:style>
  <w:style w:type="character" w:customStyle="1" w:styleId="32">
    <w:name w:val="font71"/>
    <w:basedOn w:val="17"/>
    <w:qFormat/>
    <w:uiPriority w:val="0"/>
    <w:rPr>
      <w:rFonts w:ascii="Arial" w:hAnsi="Arial" w:cs="Arial"/>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chart" Target="charts/chart7.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7.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5846.4</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5846.4</c:v>
                </c:pt>
                <c:pt idx="1">
                  <c:v>2765.01</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Sheet1!$C$2:$C$3</c:f>
              <c:numCache>
                <c:formatCode>General</c:formatCode>
                <c:ptCount val="2"/>
                <c:pt idx="0">
                  <c:v>5846.4</c:v>
                </c:pt>
                <c:pt idx="1">
                  <c:v>2765.01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2023年</c:v>
                </c:pt>
                <c:pt idx="1">
                  <c:v>2024年</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46"/>
        <c:overlap val="-28"/>
        <c:axId val="958620680"/>
        <c:axId val="676168054"/>
      </c:barChart>
      <c:catAx>
        <c:axId val="95862068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76168054"/>
        <c:crosses val="autoZero"/>
        <c:auto val="1"/>
        <c:lblAlgn val="ctr"/>
        <c:lblOffset val="100"/>
        <c:noMultiLvlLbl val="0"/>
      </c:catAx>
      <c:valAx>
        <c:axId val="676168054"/>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8620680"/>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de992a4-d94d-4ae9-bbd8-42fd7cb742f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2765.01</a:t>
                    </a:r>
                  </a:p>
                  <a:p>
                    <a:pPr defTabSz="914400">
                      <a:defRPr lang="zh-CN" sz="1000" b="0" i="0" u="none" strike="noStrike" kern="1200" baseline="0">
                        <a:solidFill>
                          <a:schemeClr val="tx1">
                            <a:lumMod val="75000"/>
                            <a:lumOff val="25000"/>
                          </a:schemeClr>
                        </a:solidFill>
                        <a:latin typeface="+mn-lt"/>
                        <a:ea typeface="+mn-ea"/>
                        <a:cs typeface="+mn-cs"/>
                      </a:defRPr>
                    </a:pPr>
                    <a:r>
                      <a:rPr lang="en-US" altLang="zh-CN"/>
                      <a:t>100%</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一般公共预算财政拨款收入</c:v>
                </c:pt>
                <c:pt idx="1">
                  <c:v>其他收入</c:v>
                </c:pt>
                <c:pt idx="2">
                  <c:v>事业收入</c:v>
                </c:pt>
              </c:strCache>
            </c:strRef>
          </c:cat>
          <c:val>
            <c:numRef>
              <c:f>Sheet1!$B$2:$B$4</c:f>
              <c:numCache>
                <c:formatCode>General</c:formatCode>
                <c:ptCount val="3"/>
                <c:pt idx="0">
                  <c:v>2765.01</c:v>
                </c:pt>
                <c:pt idx="1">
                  <c:v>0</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5af26e7-eec0-45f3-a3d2-2c80d97676d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7274704034791"/>
          <c:y val="0.13769655758606"/>
          <c:w val="0.465450591930418"/>
          <c:h val="0.818742031449214"/>
        </c:manualLayout>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1732.15</a:t>
                    </a:r>
                  </a:p>
                  <a:p>
                    <a:pPr defTabSz="914400">
                      <a:defRPr lang="zh-CN" sz="1000" b="0" i="0" u="none" strike="noStrike" kern="1200" baseline="0">
                        <a:solidFill>
                          <a:schemeClr val="tx1">
                            <a:lumMod val="75000"/>
                            <a:lumOff val="25000"/>
                          </a:schemeClr>
                        </a:solidFill>
                        <a:latin typeface="+mn-lt"/>
                        <a:ea typeface="+mn-ea"/>
                        <a:cs typeface="+mn-cs"/>
                      </a:defRPr>
                    </a:pPr>
                    <a:r>
                      <a:rPr lang="en-US" altLang="zh-CN"/>
                      <a:t>62.64</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1032.87</a:t>
                    </a:r>
                  </a:p>
                  <a:p>
                    <a:pPr defTabSz="914400">
                      <a:defRPr lang="zh-CN" sz="1000" b="0" i="0" u="none" strike="noStrike" kern="1200" baseline="0">
                        <a:solidFill>
                          <a:schemeClr val="tx1">
                            <a:lumMod val="75000"/>
                            <a:lumOff val="25000"/>
                          </a:schemeClr>
                        </a:solidFill>
                        <a:latin typeface="+mn-lt"/>
                        <a:ea typeface="+mn-ea"/>
                        <a:cs typeface="+mn-cs"/>
                      </a:defRPr>
                    </a:pPr>
                    <a:r>
                      <a:rPr lang="en-US" altLang="zh-CN"/>
                      <a:t>37.35%</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1732.15</c:v>
                </c:pt>
                <c:pt idx="1">
                  <c:v>1032.87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manualLayout>
          <c:xMode val="edge"/>
          <c:yMode val="edge"/>
          <c:x val="0.381130707900459"/>
          <c:y val="0.0254993625159371"/>
          <c:w val="0.237859386325199"/>
          <c:h val="0.077348066298342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ca76d7c-65c7-4fdf-b891-6b284074ccf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财政拨款收入、支出总计</c:v>
                </c:pt>
              </c:strCache>
            </c:strRef>
          </c:cat>
          <c:val>
            <c:numRef>
              <c:f>Sheet1!$B$2</c:f>
              <c:numCache>
                <c:formatCode>General</c:formatCode>
                <c:ptCount val="1"/>
                <c:pt idx="0">
                  <c:v>5846.4</c:v>
                </c:pt>
              </c:numCache>
            </c:numRef>
          </c:val>
        </c:ser>
        <c:ser>
          <c:idx val="1"/>
          <c:order val="1"/>
          <c:tx>
            <c:strRef>
              <c:f>Sheet1!$C$1</c:f>
              <c:strCache>
                <c:ptCount val="1"/>
                <c:pt idx="0">
                  <c:v>2024年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财政拨款收入、支出总计</c:v>
                </c:pt>
              </c:strCache>
            </c:strRef>
          </c:cat>
          <c:val>
            <c:numRef>
              <c:f>Sheet1!$C$2</c:f>
              <c:numCache>
                <c:formatCode>General</c:formatCode>
                <c:ptCount val="1"/>
                <c:pt idx="0">
                  <c:v>2765.01</c:v>
                </c:pt>
              </c:numCache>
            </c:numRef>
          </c:val>
        </c:ser>
        <c:dLbls>
          <c:showLegendKey val="0"/>
          <c:showVal val="1"/>
          <c:showCatName val="0"/>
          <c:showSerName val="0"/>
          <c:showPercent val="0"/>
          <c:showBubbleSize val="0"/>
        </c:dLbls>
        <c:gapWidth val="246"/>
        <c:overlap val="-28"/>
        <c:axId val="251867708"/>
        <c:axId val="114379448"/>
      </c:barChart>
      <c:catAx>
        <c:axId val="25186770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14379448"/>
        <c:crosses val="autoZero"/>
        <c:auto val="1"/>
        <c:lblAlgn val="ctr"/>
        <c:lblOffset val="100"/>
        <c:noMultiLvlLbl val="0"/>
      </c:catAx>
      <c:valAx>
        <c:axId val="114379448"/>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186770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d8f7616-4533-471e-87f3-5ebd93d1ccd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一般公共预算财政拨款支出</c:v>
                </c:pt>
              </c:strCache>
            </c:strRef>
          </c:cat>
          <c:val>
            <c:numRef>
              <c:f>Sheet1!$B$2</c:f>
              <c:numCache>
                <c:formatCode>General</c:formatCode>
                <c:ptCount val="1"/>
                <c:pt idx="0">
                  <c:v>5846.4</c:v>
                </c:pt>
              </c:numCache>
            </c:numRef>
          </c:val>
        </c:ser>
        <c:ser>
          <c:idx val="1"/>
          <c:order val="1"/>
          <c:tx>
            <c:strRef>
              <c:f>Sheet1!$C$1</c:f>
              <c:strCache>
                <c:ptCount val="1"/>
                <c:pt idx="0">
                  <c:v>2024年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一般公共预算财政拨款支出</c:v>
                </c:pt>
              </c:strCache>
            </c:strRef>
          </c:cat>
          <c:val>
            <c:numRef>
              <c:f>Sheet1!$C$2</c:f>
              <c:numCache>
                <c:formatCode>General</c:formatCode>
                <c:ptCount val="1"/>
                <c:pt idx="0">
                  <c:v>2765.01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c:f>
              <c:strCache>
                <c:ptCount val="1"/>
                <c:pt idx="0">
                  <c:v>一般公共预算财政拨款支出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46"/>
        <c:overlap val="-28"/>
        <c:axId val="190597312"/>
        <c:axId val="28674871"/>
      </c:barChart>
      <c:catAx>
        <c:axId val="19059731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8674871"/>
        <c:crosses val="autoZero"/>
        <c:auto val="1"/>
        <c:lblAlgn val="ctr"/>
        <c:lblOffset val="100"/>
        <c:noMultiLvlLbl val="0"/>
      </c:catAx>
      <c:valAx>
        <c:axId val="28674871"/>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90597312"/>
        <c:crosses val="autoZero"/>
        <c:crossBetween val="between"/>
      </c:valAx>
      <c:spPr>
        <a:noFill/>
        <a:ln>
          <a:noFill/>
        </a:ln>
        <a:effectLst/>
      </c:spPr>
    </c:plotArea>
    <c:legend>
      <c:legendPos val="b"/>
      <c:legendEntry>
        <c:idx val="2"/>
        <c:delete val="1"/>
      </c:legendEntry>
      <c:layout>
        <c:manualLayout>
          <c:xMode val="edge"/>
          <c:yMode val="edge"/>
          <c:x val="0.360896351775791"/>
          <c:y val="0.912877178070548"/>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26f8563-f071-4597-853a-58c0c715dab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2024年</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教育支出</c:v>
                </c:pt>
                <c:pt idx="1">
                  <c:v>社会保障和就业支出</c:v>
                </c:pt>
                <c:pt idx="2">
                  <c:v>住房保障支出</c:v>
                </c:pt>
                <c:pt idx="3">
                  <c:v>卫生健康支出</c:v>
                </c:pt>
              </c:strCache>
            </c:strRef>
          </c:cat>
          <c:val>
            <c:numRef>
              <c:f>Sheet1!$B$2:$B$5</c:f>
              <c:numCache>
                <c:formatCode>0.00%</c:formatCode>
                <c:ptCount val="4"/>
                <c:pt idx="0">
                  <c:v>0.0206</c:v>
                </c:pt>
                <c:pt idx="1">
                  <c:v>0.9194</c:v>
                </c:pt>
                <c:pt idx="2">
                  <c:v>0.0267</c:v>
                </c:pt>
                <c:pt idx="3">
                  <c:v>0.7372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manualLayout>
          <c:xMode val="edge"/>
          <c:yMode val="edge"/>
          <c:x val="0.165986777324518"/>
          <c:y val="0.15285497726124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22492eb-efa5-4233-a661-01befdfffd5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因公出国（境）费支出</c:v>
                </c:pt>
                <c:pt idx="1">
                  <c:v>公务用车购置及运行维护费支出</c:v>
                </c:pt>
                <c:pt idx="2">
                  <c:v>公务接待费支出</c:v>
                </c:pt>
              </c:strCache>
            </c:strRef>
          </c:cat>
          <c:val>
            <c:numRef>
              <c:f>Sheet1!$B$2:$B$4</c:f>
              <c:numCache>
                <c:formatCode>0%</c:formatCode>
                <c:ptCount val="3"/>
                <c:pt idx="0">
                  <c:v>0</c:v>
                </c:pt>
                <c:pt idx="1" c:formatCode="0.00%">
                  <c:v>0.9916</c:v>
                </c:pt>
                <c:pt idx="2" c:formatCode="0.00%">
                  <c:v>0.0083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8921424-7030-41c9-8d41-edc20091317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90</Pages>
  <Words>5731</Words>
  <Characters>7012</Characters>
  <Lines>467</Lines>
  <Paragraphs>225</Paragraphs>
  <TotalTime>28</TotalTime>
  <ScaleCrop>false</ScaleCrop>
  <LinksUpToDate>false</LinksUpToDate>
  <CharactersWithSpaces>7043</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WPS_1544932437</cp:lastModifiedBy>
  <cp:lastPrinted>2025-08-06T17:34:00Z</cp:lastPrinted>
  <dcterms:modified xsi:type="dcterms:W3CDTF">2026-04-24T01:54:41Z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04787F2533EB45DC91BCDE4AB213247F</vt:lpwstr>
  </property>
  <property fmtid="{D5CDD505-2E9C-101B-9397-08002B2CF9AE}" pid="4" name="KSOTemplateDocerSaveRecord">
    <vt:lpwstr>eyJoZGlkIjoiYTBkODQxZGJhZmQyN2M5ZGFmMTUwM2QxY2MxNTdlZjEiLCJ1c2VySWQiOiI0NDQ3NTEyNTgifQ==</vt:lpwstr>
  </property>
</Properties>
</file>