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441C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r>
        <w:rPr>
          <w:rFonts w:hint="eastAsia"/>
          <w:color w:val="auto"/>
          <w:lang w:val="en-US" w:eastAsia="zh-CN"/>
        </w:rPr>
        <w:t xml:space="preserve"> </w:t>
      </w:r>
    </w:p>
    <w:p w14:paraId="35D1AE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p>
    <w:p w14:paraId="194F4FB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auto"/>
          <w:lang w:val="en-US" w:eastAsia="zh-CN"/>
        </w:rPr>
      </w:pPr>
    </w:p>
    <w:p w14:paraId="12379B69">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p w14:paraId="68F36100">
      <w:pPr>
        <w:keepNext w:val="0"/>
        <w:keepLines w:val="0"/>
        <w:pageBreakBefore w:val="0"/>
        <w:widowControl w:val="0"/>
        <w:kinsoku/>
        <w:wordWrap/>
        <w:overflowPunct/>
        <w:topLinePunct w:val="0"/>
        <w:autoSpaceDE/>
        <w:autoSpaceDN/>
        <w:bidi w:val="0"/>
        <w:adjustRightInd/>
        <w:snapToGrid/>
        <w:spacing w:line="560" w:lineRule="exact"/>
        <w:textAlignment w:val="auto"/>
        <w:rPr>
          <w:color w:val="auto"/>
        </w:rPr>
      </w:pPr>
    </w:p>
    <w:p w14:paraId="612E3A54">
      <w:pPr>
        <w:keepNext w:val="0"/>
        <w:keepLines w:val="0"/>
        <w:pageBreakBefore w:val="0"/>
        <w:widowControl w:val="0"/>
        <w:kinsoku/>
        <w:wordWrap/>
        <w:overflowPunct/>
        <w:topLinePunct w:val="0"/>
        <w:autoSpaceDE/>
        <w:autoSpaceDN/>
        <w:bidi w:val="0"/>
        <w:adjustRightInd/>
        <w:snapToGrid/>
        <w:spacing w:line="560" w:lineRule="exact"/>
        <w:ind w:firstLine="1050" w:firstLineChars="500"/>
        <w:textAlignment w:val="auto"/>
        <w:rPr>
          <w:color w:val="auto"/>
        </w:rPr>
      </w:pPr>
    </w:p>
    <w:p w14:paraId="3262596C">
      <w:pPr>
        <w:keepNext w:val="0"/>
        <w:keepLines w:val="0"/>
        <w:pageBreakBefore w:val="0"/>
        <w:widowControl w:val="0"/>
        <w:kinsoku/>
        <w:wordWrap/>
        <w:overflowPunct/>
        <w:topLinePunct w:val="0"/>
        <w:autoSpaceDE/>
        <w:autoSpaceDN/>
        <w:bidi w:val="0"/>
        <w:adjustRightInd/>
        <w:snapToGrid/>
        <w:spacing w:line="560" w:lineRule="exact"/>
        <w:ind w:firstLine="1050" w:firstLineChars="500"/>
        <w:textAlignment w:val="auto"/>
        <w:rPr>
          <w:color w:val="auto"/>
        </w:rPr>
      </w:pPr>
    </w:p>
    <w:p w14:paraId="573FBF69">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5546217D">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53F942C1">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color w:val="auto"/>
          <w:sz w:val="44"/>
          <w:szCs w:val="44"/>
          <w:lang w:eastAsia="zh-CN"/>
        </w:rPr>
      </w:pPr>
      <w:bookmarkStart w:id="0" w:name="_Toc5363"/>
      <w:r>
        <w:rPr>
          <w:rFonts w:hint="eastAsia" w:ascii="方正小标宋简体" w:hAnsi="方正小标宋简体" w:eastAsia="方正小标宋简体" w:cs="方正小标宋简体"/>
          <w:color w:val="auto"/>
          <w:sz w:val="44"/>
          <w:szCs w:val="44"/>
        </w:rPr>
        <w:t>阿坝州教育局</w:t>
      </w:r>
      <w:bookmarkEnd w:id="0"/>
      <w:r>
        <w:rPr>
          <w:rFonts w:hint="eastAsia" w:ascii="方正小标宋简体" w:hAnsi="方正小标宋简体" w:eastAsia="方正小标宋简体" w:cs="方正小标宋简体"/>
          <w:color w:val="auto"/>
          <w:sz w:val="44"/>
          <w:szCs w:val="44"/>
          <w:lang w:eastAsia="zh-CN"/>
        </w:rPr>
        <w:t>（</w:t>
      </w:r>
      <w:r>
        <w:rPr>
          <w:rFonts w:hint="eastAsia" w:ascii="方正小标宋简体" w:hAnsi="方正小标宋简体" w:eastAsia="方正小标宋简体" w:cs="方正小标宋简体"/>
          <w:color w:val="auto"/>
          <w:sz w:val="44"/>
          <w:szCs w:val="44"/>
          <w:lang w:val="en-US" w:eastAsia="zh-CN"/>
        </w:rPr>
        <w:t>本级</w:t>
      </w:r>
      <w:r>
        <w:rPr>
          <w:rFonts w:hint="eastAsia" w:ascii="方正小标宋简体" w:hAnsi="方正小标宋简体" w:eastAsia="方正小标宋简体" w:cs="方正小标宋简体"/>
          <w:color w:val="auto"/>
          <w:sz w:val="44"/>
          <w:szCs w:val="44"/>
          <w:lang w:eastAsia="zh-CN"/>
        </w:rPr>
        <w:t>）</w:t>
      </w:r>
    </w:p>
    <w:p w14:paraId="3F872E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eastAsia="zh-CN"/>
        </w:rPr>
        <w:t>2025年</w:t>
      </w:r>
      <w:r>
        <w:rPr>
          <w:rFonts w:hint="eastAsia" w:ascii="方正小标宋简体" w:hAnsi="方正小标宋简体" w:eastAsia="方正小标宋简体" w:cs="方正小标宋简体"/>
          <w:color w:val="auto"/>
          <w:sz w:val="44"/>
          <w:szCs w:val="44"/>
        </w:rPr>
        <w:t>部门预算</w:t>
      </w:r>
      <w:r>
        <w:rPr>
          <w:rFonts w:hint="eastAsia" w:ascii="方正小标宋简体" w:hAnsi="方正小标宋简体" w:eastAsia="方正小标宋简体" w:cs="方正小标宋简体"/>
          <w:color w:val="auto"/>
          <w:sz w:val="44"/>
          <w:szCs w:val="44"/>
          <w:lang w:val="en-US" w:eastAsia="zh-CN"/>
        </w:rPr>
        <w:t>公开</w:t>
      </w:r>
    </w:p>
    <w:p w14:paraId="28DA997F">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6BB5A51A">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5586FB16">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08A764F3">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12BF7BEC">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7EAA7890">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06F5FFCE">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31684663">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6C9D098E">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5666A4A3">
      <w:pPr>
        <w:keepNext w:val="0"/>
        <w:keepLines w:val="0"/>
        <w:pageBreakBefore w:val="0"/>
        <w:widowControl w:val="0"/>
        <w:kinsoku/>
        <w:wordWrap/>
        <w:overflowPunct/>
        <w:topLinePunct w:val="0"/>
        <w:autoSpaceDE/>
        <w:autoSpaceDN/>
        <w:bidi w:val="0"/>
        <w:adjustRightInd/>
        <w:snapToGrid/>
        <w:spacing w:line="560" w:lineRule="exact"/>
        <w:ind w:firstLine="1760" w:firstLineChars="400"/>
        <w:textAlignment w:val="auto"/>
        <w:rPr>
          <w:rFonts w:ascii="黑体" w:hAnsi="黑体" w:eastAsia="黑体"/>
          <w:color w:val="auto"/>
          <w:sz w:val="44"/>
          <w:szCs w:val="44"/>
        </w:rPr>
      </w:pPr>
    </w:p>
    <w:p w14:paraId="3E51E3B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olor w:val="auto"/>
          <w:sz w:val="52"/>
          <w:szCs w:val="52"/>
        </w:rPr>
      </w:pPr>
    </w:p>
    <w:p w14:paraId="1AB7FCE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黑体" w:hAnsi="黑体" w:eastAsia="黑体"/>
          <w:color w:val="auto"/>
          <w:sz w:val="52"/>
          <w:szCs w:val="52"/>
        </w:rPr>
        <w:sectPr>
          <w:headerReference r:id="rId3" w:type="default"/>
          <w:footerReference r:id="rId4" w:type="default"/>
          <w:pgSz w:w="11906" w:h="16838"/>
          <w:pgMar w:top="2098" w:right="1474" w:bottom="1984" w:left="1587" w:header="851" w:footer="992" w:gutter="0"/>
          <w:pgNumType w:fmt="numberInDash" w:start="1"/>
          <w:cols w:space="720" w:num="1"/>
          <w:docGrid w:type="lines" w:linePitch="312" w:charSpace="0"/>
        </w:sectPr>
      </w:pPr>
    </w:p>
    <w:p w14:paraId="46DFA33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目录</w:t>
      </w:r>
    </w:p>
    <w:sdt>
      <w:sdtPr>
        <w:rPr>
          <w:rFonts w:ascii="宋体" w:hAnsi="宋体" w:eastAsia="宋体" w:cs="Times New Roman"/>
          <w:kern w:val="2"/>
          <w:sz w:val="21"/>
          <w:szCs w:val="21"/>
          <w:lang w:val="en-US" w:eastAsia="zh-CN" w:bidi="ar-SA"/>
        </w:rPr>
        <w:id w:val="147479658"/>
        <w15:color w:val="DBDBDB"/>
        <w:docPartObj>
          <w:docPartGallery w:val="Table of Contents"/>
          <w:docPartUnique/>
        </w:docPartObj>
      </w:sdtPr>
      <w:sdtEndPr>
        <w:rPr>
          <w:rFonts w:ascii="黑体" w:hAnsi="黑体" w:eastAsia="黑体" w:cs="Times New Roman"/>
          <w:color w:val="auto"/>
          <w:kern w:val="2"/>
          <w:sz w:val="21"/>
          <w:szCs w:val="44"/>
          <w:lang w:val="en-US" w:eastAsia="zh-CN" w:bidi="ar-SA"/>
        </w:rPr>
      </w:sdtEndPr>
      <w:sdtContent>
        <w:p w14:paraId="49DD175F">
          <w:pPr>
            <w:pageBreakBefore w:val="0"/>
            <w:kinsoku/>
            <w:wordWrap/>
            <w:overflowPunct/>
            <w:topLinePunct w:val="0"/>
            <w:autoSpaceDE/>
            <w:autoSpaceDN/>
            <w:bidi w:val="0"/>
            <w:adjustRightInd/>
            <w:spacing w:before="0" w:beforeLines="0" w:after="0" w:afterLines="0" w:line="560" w:lineRule="exact"/>
            <w:ind w:left="0" w:leftChars="0" w:right="0" w:rightChars="0" w:firstLine="0" w:firstLineChars="0"/>
            <w:jc w:val="center"/>
            <w:rPr>
              <w:sz w:val="21"/>
              <w:szCs w:val="21"/>
            </w:rPr>
          </w:pPr>
          <w:r>
            <w:rPr>
              <w:rFonts w:ascii="黑体" w:hAnsi="黑体" w:eastAsia="黑体"/>
              <w:color w:val="auto"/>
              <w:sz w:val="21"/>
              <w:szCs w:val="21"/>
            </w:rPr>
            <w:fldChar w:fldCharType="begin"/>
          </w:r>
          <w:r>
            <w:rPr>
              <w:rFonts w:ascii="黑体" w:hAnsi="黑体" w:eastAsia="黑体"/>
              <w:color w:val="auto"/>
              <w:sz w:val="21"/>
              <w:szCs w:val="21"/>
            </w:rPr>
            <w:instrText xml:space="preserve">TOC \o "1-3" \h \u </w:instrText>
          </w:r>
          <w:r>
            <w:rPr>
              <w:rFonts w:ascii="黑体" w:hAnsi="黑体" w:eastAsia="黑体"/>
              <w:color w:val="auto"/>
              <w:sz w:val="21"/>
              <w:szCs w:val="21"/>
            </w:rPr>
            <w:fldChar w:fldCharType="separate"/>
          </w:r>
        </w:p>
        <w:p w14:paraId="12683CAE">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_Toc17598 </w:instrText>
          </w:r>
          <w:r>
            <w:rPr>
              <w:rFonts w:ascii="黑体" w:hAnsi="黑体" w:eastAsia="黑体"/>
              <w:sz w:val="21"/>
              <w:szCs w:val="21"/>
            </w:rPr>
            <w:fldChar w:fldCharType="separate"/>
          </w:r>
          <w:r>
            <w:rPr>
              <w:rFonts w:hint="eastAsia"/>
              <w:sz w:val="21"/>
              <w:szCs w:val="21"/>
            </w:rPr>
            <w:t>一、基本职能及主要工作</w:t>
          </w:r>
          <w:r>
            <w:rPr>
              <w:sz w:val="21"/>
              <w:szCs w:val="21"/>
            </w:rPr>
            <w:tab/>
          </w:r>
          <w:r>
            <w:rPr>
              <w:sz w:val="21"/>
              <w:szCs w:val="21"/>
            </w:rPr>
            <w:fldChar w:fldCharType="begin"/>
          </w:r>
          <w:r>
            <w:rPr>
              <w:sz w:val="21"/>
              <w:szCs w:val="21"/>
            </w:rPr>
            <w:instrText xml:space="preserve"> PAGEREF _Toc17598 \h </w:instrText>
          </w:r>
          <w:r>
            <w:rPr>
              <w:sz w:val="21"/>
              <w:szCs w:val="21"/>
            </w:rPr>
            <w:fldChar w:fldCharType="separate"/>
          </w:r>
          <w:r>
            <w:rPr>
              <w:sz w:val="21"/>
              <w:szCs w:val="21"/>
            </w:rPr>
            <w:t>- 1 -</w:t>
          </w:r>
          <w:r>
            <w:rPr>
              <w:sz w:val="21"/>
              <w:szCs w:val="21"/>
            </w:rPr>
            <w:fldChar w:fldCharType="end"/>
          </w:r>
          <w:r>
            <w:rPr>
              <w:rFonts w:ascii="黑体" w:hAnsi="黑体" w:eastAsia="黑体"/>
              <w:color w:val="auto"/>
              <w:sz w:val="21"/>
              <w:szCs w:val="21"/>
            </w:rPr>
            <w:fldChar w:fldCharType="end"/>
          </w:r>
        </w:p>
        <w:p w14:paraId="6977959F">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_Toc9611 </w:instrText>
          </w:r>
          <w:r>
            <w:rPr>
              <w:rFonts w:ascii="黑体" w:hAnsi="黑体" w:eastAsia="黑体"/>
              <w:sz w:val="21"/>
              <w:szCs w:val="21"/>
            </w:rPr>
            <w:fldChar w:fldCharType="separate"/>
          </w:r>
          <w:r>
            <w:rPr>
              <w:rFonts w:hint="eastAsia"/>
              <w:sz w:val="21"/>
              <w:szCs w:val="21"/>
            </w:rPr>
            <w:t>（一）部门职能简介</w:t>
          </w:r>
          <w:r>
            <w:rPr>
              <w:sz w:val="21"/>
              <w:szCs w:val="21"/>
            </w:rPr>
            <w:tab/>
          </w:r>
          <w:r>
            <w:rPr>
              <w:sz w:val="21"/>
              <w:szCs w:val="21"/>
            </w:rPr>
            <w:fldChar w:fldCharType="begin"/>
          </w:r>
          <w:r>
            <w:rPr>
              <w:sz w:val="21"/>
              <w:szCs w:val="21"/>
            </w:rPr>
            <w:instrText xml:space="preserve"> PAGEREF _Toc9611 \h </w:instrText>
          </w:r>
          <w:r>
            <w:rPr>
              <w:sz w:val="21"/>
              <w:szCs w:val="21"/>
            </w:rPr>
            <w:fldChar w:fldCharType="separate"/>
          </w:r>
          <w:r>
            <w:rPr>
              <w:sz w:val="21"/>
              <w:szCs w:val="21"/>
            </w:rPr>
            <w:t>- 1 -</w:t>
          </w:r>
          <w:r>
            <w:rPr>
              <w:sz w:val="21"/>
              <w:szCs w:val="21"/>
            </w:rPr>
            <w:fldChar w:fldCharType="end"/>
          </w:r>
          <w:r>
            <w:rPr>
              <w:rFonts w:ascii="黑体" w:hAnsi="黑体" w:eastAsia="黑体"/>
              <w:color w:val="auto"/>
              <w:sz w:val="21"/>
              <w:szCs w:val="21"/>
            </w:rPr>
            <w:fldChar w:fldCharType="end"/>
          </w:r>
        </w:p>
        <w:p w14:paraId="7C1CA196">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_Toc31049 </w:instrText>
          </w:r>
          <w:r>
            <w:rPr>
              <w:rFonts w:ascii="黑体" w:hAnsi="黑体" w:eastAsia="黑体"/>
              <w:sz w:val="21"/>
              <w:szCs w:val="21"/>
            </w:rPr>
            <w:fldChar w:fldCharType="separate"/>
          </w:r>
          <w:r>
            <w:rPr>
              <w:rFonts w:hint="eastAsia"/>
              <w:sz w:val="21"/>
              <w:szCs w:val="21"/>
            </w:rPr>
            <w:t>（二）</w:t>
          </w:r>
          <w:r>
            <w:rPr>
              <w:rFonts w:hint="eastAsia"/>
              <w:sz w:val="21"/>
              <w:szCs w:val="21"/>
              <w:lang w:eastAsia="zh-CN"/>
            </w:rPr>
            <w:t>2025年</w:t>
          </w:r>
          <w:r>
            <w:rPr>
              <w:rFonts w:hint="eastAsia"/>
              <w:sz w:val="21"/>
              <w:szCs w:val="21"/>
            </w:rPr>
            <w:t>重点工作</w:t>
          </w:r>
          <w:r>
            <w:rPr>
              <w:sz w:val="21"/>
              <w:szCs w:val="21"/>
            </w:rPr>
            <w:tab/>
          </w:r>
          <w:r>
            <w:rPr>
              <w:sz w:val="21"/>
              <w:szCs w:val="21"/>
            </w:rPr>
            <w:fldChar w:fldCharType="begin"/>
          </w:r>
          <w:r>
            <w:rPr>
              <w:sz w:val="21"/>
              <w:szCs w:val="21"/>
            </w:rPr>
            <w:instrText xml:space="preserve"> PAGEREF _Toc31049 \h </w:instrText>
          </w:r>
          <w:r>
            <w:rPr>
              <w:sz w:val="21"/>
              <w:szCs w:val="21"/>
            </w:rPr>
            <w:fldChar w:fldCharType="separate"/>
          </w:r>
          <w:r>
            <w:rPr>
              <w:sz w:val="21"/>
              <w:szCs w:val="21"/>
            </w:rPr>
            <w:t>- 3 -</w:t>
          </w:r>
          <w:r>
            <w:rPr>
              <w:sz w:val="21"/>
              <w:szCs w:val="21"/>
            </w:rPr>
            <w:fldChar w:fldCharType="end"/>
          </w:r>
          <w:r>
            <w:rPr>
              <w:rFonts w:ascii="黑体" w:hAnsi="黑体" w:eastAsia="黑体"/>
              <w:color w:val="auto"/>
              <w:sz w:val="21"/>
              <w:szCs w:val="21"/>
            </w:rPr>
            <w:fldChar w:fldCharType="end"/>
          </w:r>
        </w:p>
        <w:p w14:paraId="61757D41">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_Toc10070 </w:instrText>
          </w:r>
          <w:r>
            <w:rPr>
              <w:rFonts w:ascii="黑体" w:hAnsi="黑体" w:eastAsia="黑体"/>
              <w:sz w:val="21"/>
              <w:szCs w:val="21"/>
            </w:rPr>
            <w:fldChar w:fldCharType="separate"/>
          </w:r>
          <w:r>
            <w:rPr>
              <w:rFonts w:hint="eastAsia"/>
              <w:sz w:val="21"/>
              <w:szCs w:val="21"/>
              <w:lang w:val="en-US" w:eastAsia="zh-CN"/>
            </w:rPr>
            <w:t>二、</w:t>
          </w:r>
          <w:r>
            <w:rPr>
              <w:rFonts w:hint="eastAsia"/>
              <w:sz w:val="21"/>
              <w:szCs w:val="21"/>
            </w:rPr>
            <w:t>部门预算单位构成</w:t>
          </w:r>
          <w:r>
            <w:rPr>
              <w:sz w:val="21"/>
              <w:szCs w:val="21"/>
            </w:rPr>
            <w:tab/>
          </w:r>
          <w:r>
            <w:rPr>
              <w:sz w:val="21"/>
              <w:szCs w:val="21"/>
            </w:rPr>
            <w:fldChar w:fldCharType="begin"/>
          </w:r>
          <w:r>
            <w:rPr>
              <w:sz w:val="21"/>
              <w:szCs w:val="21"/>
            </w:rPr>
            <w:instrText xml:space="preserve"> PAGEREF _Toc10070 \h </w:instrText>
          </w:r>
          <w:r>
            <w:rPr>
              <w:sz w:val="21"/>
              <w:szCs w:val="21"/>
            </w:rPr>
            <w:fldChar w:fldCharType="separate"/>
          </w:r>
          <w:r>
            <w:rPr>
              <w:sz w:val="21"/>
              <w:szCs w:val="21"/>
            </w:rPr>
            <w:t>- 3 -</w:t>
          </w:r>
          <w:r>
            <w:rPr>
              <w:sz w:val="21"/>
              <w:szCs w:val="21"/>
            </w:rPr>
            <w:fldChar w:fldCharType="end"/>
          </w:r>
          <w:r>
            <w:rPr>
              <w:rFonts w:ascii="黑体" w:hAnsi="黑体" w:eastAsia="黑体"/>
              <w:color w:val="auto"/>
              <w:sz w:val="21"/>
              <w:szCs w:val="21"/>
            </w:rPr>
            <w:fldChar w:fldCharType="end"/>
          </w:r>
        </w:p>
        <w:p w14:paraId="61C62F04">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_Toc9422 </w:instrText>
          </w:r>
          <w:r>
            <w:rPr>
              <w:rFonts w:ascii="黑体" w:hAnsi="黑体" w:eastAsia="黑体"/>
              <w:sz w:val="21"/>
              <w:szCs w:val="21"/>
            </w:rPr>
            <w:fldChar w:fldCharType="separate"/>
          </w:r>
          <w:r>
            <w:rPr>
              <w:rFonts w:hint="eastAsia"/>
              <w:sz w:val="21"/>
              <w:szCs w:val="21"/>
            </w:rPr>
            <w:t>三、收支预算情况说明</w:t>
          </w:r>
          <w:r>
            <w:rPr>
              <w:sz w:val="21"/>
              <w:szCs w:val="21"/>
            </w:rPr>
            <w:tab/>
          </w:r>
          <w:r>
            <w:rPr>
              <w:sz w:val="21"/>
              <w:szCs w:val="21"/>
            </w:rPr>
            <w:fldChar w:fldCharType="begin"/>
          </w:r>
          <w:r>
            <w:rPr>
              <w:sz w:val="21"/>
              <w:szCs w:val="21"/>
            </w:rPr>
            <w:instrText xml:space="preserve"> PAGEREF _Toc9422 \h </w:instrText>
          </w:r>
          <w:r>
            <w:rPr>
              <w:sz w:val="21"/>
              <w:szCs w:val="21"/>
            </w:rPr>
            <w:fldChar w:fldCharType="separate"/>
          </w:r>
          <w:r>
            <w:rPr>
              <w:sz w:val="21"/>
              <w:szCs w:val="21"/>
            </w:rPr>
            <w:t>- 4 -</w:t>
          </w:r>
          <w:r>
            <w:rPr>
              <w:sz w:val="21"/>
              <w:szCs w:val="21"/>
            </w:rPr>
            <w:fldChar w:fldCharType="end"/>
          </w:r>
          <w:r>
            <w:rPr>
              <w:rFonts w:ascii="黑体" w:hAnsi="黑体" w:eastAsia="黑体"/>
              <w:color w:val="auto"/>
              <w:sz w:val="21"/>
              <w:szCs w:val="21"/>
            </w:rPr>
            <w:fldChar w:fldCharType="end"/>
          </w:r>
        </w:p>
        <w:p w14:paraId="151AE0A4">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_Toc10814 </w:instrText>
          </w:r>
          <w:r>
            <w:rPr>
              <w:rFonts w:ascii="黑体" w:hAnsi="黑体" w:eastAsia="黑体"/>
              <w:sz w:val="21"/>
              <w:szCs w:val="21"/>
            </w:rPr>
            <w:fldChar w:fldCharType="separate"/>
          </w:r>
          <w:r>
            <w:rPr>
              <w:rFonts w:hint="eastAsia"/>
              <w:sz w:val="21"/>
              <w:szCs w:val="21"/>
            </w:rPr>
            <w:t>（一）收入预算情况</w:t>
          </w:r>
          <w:r>
            <w:rPr>
              <w:sz w:val="21"/>
              <w:szCs w:val="21"/>
            </w:rPr>
            <w:tab/>
          </w:r>
          <w:r>
            <w:rPr>
              <w:sz w:val="21"/>
              <w:szCs w:val="21"/>
            </w:rPr>
            <w:fldChar w:fldCharType="begin"/>
          </w:r>
          <w:r>
            <w:rPr>
              <w:sz w:val="21"/>
              <w:szCs w:val="21"/>
            </w:rPr>
            <w:instrText xml:space="preserve"> PAGEREF _Toc10814 \h </w:instrText>
          </w:r>
          <w:r>
            <w:rPr>
              <w:sz w:val="21"/>
              <w:szCs w:val="21"/>
            </w:rPr>
            <w:fldChar w:fldCharType="separate"/>
          </w:r>
          <w:r>
            <w:rPr>
              <w:sz w:val="21"/>
              <w:szCs w:val="21"/>
            </w:rPr>
            <w:t>- 4 -</w:t>
          </w:r>
          <w:r>
            <w:rPr>
              <w:sz w:val="21"/>
              <w:szCs w:val="21"/>
            </w:rPr>
            <w:fldChar w:fldCharType="end"/>
          </w:r>
          <w:r>
            <w:rPr>
              <w:rFonts w:ascii="黑体" w:hAnsi="黑体" w:eastAsia="黑体"/>
              <w:color w:val="auto"/>
              <w:sz w:val="21"/>
              <w:szCs w:val="21"/>
            </w:rPr>
            <w:fldChar w:fldCharType="end"/>
          </w:r>
        </w:p>
        <w:p w14:paraId="53BC3D00">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_Toc8789 </w:instrText>
          </w:r>
          <w:r>
            <w:rPr>
              <w:rFonts w:ascii="黑体" w:hAnsi="黑体" w:eastAsia="黑体"/>
              <w:sz w:val="21"/>
              <w:szCs w:val="21"/>
            </w:rPr>
            <w:fldChar w:fldCharType="separate"/>
          </w:r>
          <w:r>
            <w:rPr>
              <w:rFonts w:hint="eastAsia"/>
              <w:sz w:val="21"/>
              <w:szCs w:val="21"/>
              <w:lang w:val="en-US" w:eastAsia="zh-CN"/>
            </w:rPr>
            <w:t>（二）</w:t>
          </w:r>
          <w:r>
            <w:rPr>
              <w:rFonts w:hint="eastAsia"/>
              <w:sz w:val="21"/>
              <w:szCs w:val="21"/>
            </w:rPr>
            <w:t>支出预算情况</w:t>
          </w:r>
          <w:r>
            <w:rPr>
              <w:sz w:val="21"/>
              <w:szCs w:val="21"/>
            </w:rPr>
            <w:tab/>
          </w:r>
          <w:r>
            <w:rPr>
              <w:sz w:val="21"/>
              <w:szCs w:val="21"/>
            </w:rPr>
            <w:fldChar w:fldCharType="begin"/>
          </w:r>
          <w:r>
            <w:rPr>
              <w:sz w:val="21"/>
              <w:szCs w:val="21"/>
            </w:rPr>
            <w:instrText xml:space="preserve"> PAGEREF _Toc8789 \h </w:instrText>
          </w:r>
          <w:r>
            <w:rPr>
              <w:sz w:val="21"/>
              <w:szCs w:val="21"/>
            </w:rPr>
            <w:fldChar w:fldCharType="separate"/>
          </w:r>
          <w:r>
            <w:rPr>
              <w:sz w:val="21"/>
              <w:szCs w:val="21"/>
            </w:rPr>
            <w:t>- 4 -</w:t>
          </w:r>
          <w:r>
            <w:rPr>
              <w:sz w:val="21"/>
              <w:szCs w:val="21"/>
            </w:rPr>
            <w:fldChar w:fldCharType="end"/>
          </w:r>
          <w:r>
            <w:rPr>
              <w:rFonts w:ascii="黑体" w:hAnsi="黑体" w:eastAsia="黑体"/>
              <w:color w:val="auto"/>
              <w:sz w:val="21"/>
              <w:szCs w:val="21"/>
            </w:rPr>
            <w:fldChar w:fldCharType="end"/>
          </w:r>
        </w:p>
        <w:p w14:paraId="32DABABC">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_Toc23302 </w:instrText>
          </w:r>
          <w:r>
            <w:rPr>
              <w:rFonts w:ascii="黑体" w:hAnsi="黑体" w:eastAsia="黑体"/>
              <w:sz w:val="21"/>
              <w:szCs w:val="21"/>
            </w:rPr>
            <w:fldChar w:fldCharType="separate"/>
          </w:r>
          <w:r>
            <w:rPr>
              <w:rFonts w:hint="eastAsia"/>
              <w:sz w:val="21"/>
              <w:szCs w:val="21"/>
            </w:rPr>
            <w:t>四、财政拨款收支预算情况说明</w:t>
          </w:r>
          <w:r>
            <w:rPr>
              <w:sz w:val="21"/>
              <w:szCs w:val="21"/>
            </w:rPr>
            <w:tab/>
          </w:r>
          <w:r>
            <w:rPr>
              <w:sz w:val="21"/>
              <w:szCs w:val="21"/>
            </w:rPr>
            <w:fldChar w:fldCharType="begin"/>
          </w:r>
          <w:r>
            <w:rPr>
              <w:sz w:val="21"/>
              <w:szCs w:val="21"/>
            </w:rPr>
            <w:instrText xml:space="preserve"> PAGEREF _Toc23302 \h </w:instrText>
          </w:r>
          <w:r>
            <w:rPr>
              <w:sz w:val="21"/>
              <w:szCs w:val="21"/>
            </w:rPr>
            <w:fldChar w:fldCharType="separate"/>
          </w:r>
          <w:r>
            <w:rPr>
              <w:sz w:val="21"/>
              <w:szCs w:val="21"/>
            </w:rPr>
            <w:t>- 4 -</w:t>
          </w:r>
          <w:r>
            <w:rPr>
              <w:sz w:val="21"/>
              <w:szCs w:val="21"/>
            </w:rPr>
            <w:fldChar w:fldCharType="end"/>
          </w:r>
          <w:r>
            <w:rPr>
              <w:rFonts w:ascii="黑体" w:hAnsi="黑体" w:eastAsia="黑体"/>
              <w:color w:val="auto"/>
              <w:sz w:val="21"/>
              <w:szCs w:val="21"/>
            </w:rPr>
            <w:fldChar w:fldCharType="end"/>
          </w:r>
        </w:p>
        <w:p w14:paraId="57AD5C1E">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_Toc24452 </w:instrText>
          </w:r>
          <w:r>
            <w:rPr>
              <w:rFonts w:ascii="黑体" w:hAnsi="黑体" w:eastAsia="黑体"/>
              <w:sz w:val="21"/>
              <w:szCs w:val="21"/>
            </w:rPr>
            <w:fldChar w:fldCharType="separate"/>
          </w:r>
          <w:r>
            <w:rPr>
              <w:rFonts w:hint="eastAsia"/>
              <w:sz w:val="21"/>
              <w:szCs w:val="21"/>
            </w:rPr>
            <w:t>五、一般公共预算当年拨款情况说明</w:t>
          </w:r>
          <w:r>
            <w:rPr>
              <w:sz w:val="21"/>
              <w:szCs w:val="21"/>
            </w:rPr>
            <w:tab/>
          </w:r>
          <w:r>
            <w:rPr>
              <w:sz w:val="21"/>
              <w:szCs w:val="21"/>
            </w:rPr>
            <w:fldChar w:fldCharType="begin"/>
          </w:r>
          <w:r>
            <w:rPr>
              <w:sz w:val="21"/>
              <w:szCs w:val="21"/>
            </w:rPr>
            <w:instrText xml:space="preserve"> PAGEREF _Toc24452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14:paraId="73C9D130">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_Toc21003 </w:instrText>
          </w:r>
          <w:r>
            <w:rPr>
              <w:rFonts w:ascii="黑体" w:hAnsi="黑体" w:eastAsia="黑体"/>
              <w:sz w:val="21"/>
              <w:szCs w:val="21"/>
            </w:rPr>
            <w:fldChar w:fldCharType="separate"/>
          </w:r>
          <w:r>
            <w:rPr>
              <w:rFonts w:hint="eastAsia"/>
              <w:sz w:val="21"/>
              <w:szCs w:val="21"/>
            </w:rPr>
            <w:t>（一）一般公共预算当年拨款规模变化情况</w:t>
          </w:r>
          <w:r>
            <w:rPr>
              <w:sz w:val="21"/>
              <w:szCs w:val="21"/>
            </w:rPr>
            <w:tab/>
          </w:r>
          <w:r>
            <w:rPr>
              <w:sz w:val="21"/>
              <w:szCs w:val="21"/>
            </w:rPr>
            <w:fldChar w:fldCharType="begin"/>
          </w:r>
          <w:r>
            <w:rPr>
              <w:sz w:val="21"/>
              <w:szCs w:val="21"/>
            </w:rPr>
            <w:instrText xml:space="preserve"> PAGEREF _Toc21003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14:paraId="181372A2">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_Toc5985 </w:instrText>
          </w:r>
          <w:r>
            <w:rPr>
              <w:rFonts w:ascii="黑体" w:hAnsi="黑体" w:eastAsia="黑体"/>
              <w:sz w:val="21"/>
              <w:szCs w:val="21"/>
            </w:rPr>
            <w:fldChar w:fldCharType="separate"/>
          </w:r>
          <w:r>
            <w:rPr>
              <w:rFonts w:hint="eastAsia"/>
              <w:sz w:val="21"/>
              <w:szCs w:val="21"/>
            </w:rPr>
            <w:t>（二）一般公共预算当年拨款结构情况</w:t>
          </w:r>
          <w:r>
            <w:rPr>
              <w:sz w:val="21"/>
              <w:szCs w:val="21"/>
            </w:rPr>
            <w:tab/>
          </w:r>
          <w:r>
            <w:rPr>
              <w:sz w:val="21"/>
              <w:szCs w:val="21"/>
            </w:rPr>
            <w:fldChar w:fldCharType="begin"/>
          </w:r>
          <w:r>
            <w:rPr>
              <w:sz w:val="21"/>
              <w:szCs w:val="21"/>
            </w:rPr>
            <w:instrText xml:space="preserve"> PAGEREF _Toc5985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14:paraId="110E2183">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_Toc22997 </w:instrText>
          </w:r>
          <w:r>
            <w:rPr>
              <w:rFonts w:ascii="黑体" w:hAnsi="黑体" w:eastAsia="黑体"/>
              <w:sz w:val="21"/>
              <w:szCs w:val="21"/>
            </w:rPr>
            <w:fldChar w:fldCharType="separate"/>
          </w:r>
          <w:r>
            <w:rPr>
              <w:rFonts w:hint="eastAsia"/>
              <w:sz w:val="21"/>
              <w:szCs w:val="21"/>
            </w:rPr>
            <w:t>（三）一般公共预算当年拨款具体使用情况</w:t>
          </w:r>
          <w:r>
            <w:rPr>
              <w:sz w:val="21"/>
              <w:szCs w:val="21"/>
            </w:rPr>
            <w:tab/>
          </w:r>
          <w:r>
            <w:rPr>
              <w:sz w:val="21"/>
              <w:szCs w:val="21"/>
            </w:rPr>
            <w:fldChar w:fldCharType="begin"/>
          </w:r>
          <w:r>
            <w:rPr>
              <w:sz w:val="21"/>
              <w:szCs w:val="21"/>
            </w:rPr>
            <w:instrText xml:space="preserve"> PAGEREF _Toc22997 \h </w:instrText>
          </w:r>
          <w:r>
            <w:rPr>
              <w:sz w:val="21"/>
              <w:szCs w:val="21"/>
            </w:rPr>
            <w:fldChar w:fldCharType="separate"/>
          </w:r>
          <w:r>
            <w:rPr>
              <w:sz w:val="21"/>
              <w:szCs w:val="21"/>
            </w:rPr>
            <w:t>- 5 -</w:t>
          </w:r>
          <w:r>
            <w:rPr>
              <w:sz w:val="21"/>
              <w:szCs w:val="21"/>
            </w:rPr>
            <w:fldChar w:fldCharType="end"/>
          </w:r>
          <w:r>
            <w:rPr>
              <w:rFonts w:ascii="黑体" w:hAnsi="黑体" w:eastAsia="黑体"/>
              <w:color w:val="auto"/>
              <w:sz w:val="21"/>
              <w:szCs w:val="21"/>
            </w:rPr>
            <w:fldChar w:fldCharType="end"/>
          </w:r>
        </w:p>
        <w:p w14:paraId="57583C21">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_Toc24453 </w:instrText>
          </w:r>
          <w:r>
            <w:rPr>
              <w:rFonts w:ascii="黑体" w:hAnsi="黑体" w:eastAsia="黑体"/>
              <w:sz w:val="21"/>
              <w:szCs w:val="21"/>
            </w:rPr>
            <w:fldChar w:fldCharType="separate"/>
          </w:r>
          <w:r>
            <w:rPr>
              <w:rFonts w:hint="eastAsia"/>
              <w:sz w:val="21"/>
              <w:szCs w:val="21"/>
            </w:rPr>
            <w:t>六、一般公共预算基本支出情况说明</w:t>
          </w:r>
          <w:r>
            <w:rPr>
              <w:sz w:val="21"/>
              <w:szCs w:val="21"/>
            </w:rPr>
            <w:tab/>
          </w:r>
          <w:r>
            <w:rPr>
              <w:sz w:val="21"/>
              <w:szCs w:val="21"/>
            </w:rPr>
            <w:fldChar w:fldCharType="begin"/>
          </w:r>
          <w:r>
            <w:rPr>
              <w:sz w:val="21"/>
              <w:szCs w:val="21"/>
            </w:rPr>
            <w:instrText xml:space="preserve"> PAGEREF _Toc24453 \h </w:instrText>
          </w:r>
          <w:r>
            <w:rPr>
              <w:sz w:val="21"/>
              <w:szCs w:val="21"/>
            </w:rPr>
            <w:fldChar w:fldCharType="separate"/>
          </w:r>
          <w:r>
            <w:rPr>
              <w:sz w:val="21"/>
              <w:szCs w:val="21"/>
            </w:rPr>
            <w:t>- 6 -</w:t>
          </w:r>
          <w:r>
            <w:rPr>
              <w:sz w:val="21"/>
              <w:szCs w:val="21"/>
            </w:rPr>
            <w:fldChar w:fldCharType="end"/>
          </w:r>
          <w:r>
            <w:rPr>
              <w:rFonts w:ascii="黑体" w:hAnsi="黑体" w:eastAsia="黑体"/>
              <w:color w:val="auto"/>
              <w:sz w:val="21"/>
              <w:szCs w:val="21"/>
            </w:rPr>
            <w:fldChar w:fldCharType="end"/>
          </w:r>
        </w:p>
        <w:p w14:paraId="1FDFE3F1">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_Toc6653 </w:instrText>
          </w:r>
          <w:r>
            <w:rPr>
              <w:rFonts w:ascii="黑体" w:hAnsi="黑体" w:eastAsia="黑体"/>
              <w:sz w:val="21"/>
              <w:szCs w:val="21"/>
            </w:rPr>
            <w:fldChar w:fldCharType="separate"/>
          </w:r>
          <w:r>
            <w:rPr>
              <w:rFonts w:hint="eastAsia"/>
              <w:sz w:val="21"/>
              <w:szCs w:val="21"/>
            </w:rPr>
            <w:t>七、“三公”经费财政拨款预算安排情况说明</w:t>
          </w:r>
          <w:r>
            <w:rPr>
              <w:sz w:val="21"/>
              <w:szCs w:val="21"/>
            </w:rPr>
            <w:tab/>
          </w:r>
          <w:r>
            <w:rPr>
              <w:sz w:val="21"/>
              <w:szCs w:val="21"/>
            </w:rPr>
            <w:fldChar w:fldCharType="begin"/>
          </w:r>
          <w:r>
            <w:rPr>
              <w:sz w:val="21"/>
              <w:szCs w:val="21"/>
            </w:rPr>
            <w:instrText xml:space="preserve"> PAGEREF _Toc6653 \h </w:instrText>
          </w:r>
          <w:r>
            <w:rPr>
              <w:sz w:val="21"/>
              <w:szCs w:val="21"/>
            </w:rPr>
            <w:fldChar w:fldCharType="separate"/>
          </w:r>
          <w:r>
            <w:rPr>
              <w:sz w:val="21"/>
              <w:szCs w:val="21"/>
            </w:rPr>
            <w:t>- 7 -</w:t>
          </w:r>
          <w:r>
            <w:rPr>
              <w:sz w:val="21"/>
              <w:szCs w:val="21"/>
            </w:rPr>
            <w:fldChar w:fldCharType="end"/>
          </w:r>
          <w:r>
            <w:rPr>
              <w:rFonts w:ascii="黑体" w:hAnsi="黑体" w:eastAsia="黑体"/>
              <w:color w:val="auto"/>
              <w:sz w:val="21"/>
              <w:szCs w:val="21"/>
            </w:rPr>
            <w:fldChar w:fldCharType="end"/>
          </w:r>
        </w:p>
        <w:p w14:paraId="6F18E338">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_Toc26198 </w:instrText>
          </w:r>
          <w:r>
            <w:rPr>
              <w:rFonts w:ascii="黑体" w:hAnsi="黑体" w:eastAsia="黑体"/>
              <w:sz w:val="21"/>
              <w:szCs w:val="21"/>
            </w:rPr>
            <w:fldChar w:fldCharType="separate"/>
          </w:r>
          <w:r>
            <w:rPr>
              <w:rFonts w:hint="eastAsia"/>
              <w:sz w:val="21"/>
              <w:szCs w:val="21"/>
            </w:rPr>
            <w:t>八、政府性基金预算支出情况说明</w:t>
          </w:r>
          <w:r>
            <w:rPr>
              <w:sz w:val="21"/>
              <w:szCs w:val="21"/>
            </w:rPr>
            <w:tab/>
          </w:r>
          <w:r>
            <w:rPr>
              <w:sz w:val="21"/>
              <w:szCs w:val="21"/>
            </w:rPr>
            <w:fldChar w:fldCharType="begin"/>
          </w:r>
          <w:r>
            <w:rPr>
              <w:sz w:val="21"/>
              <w:szCs w:val="21"/>
            </w:rPr>
            <w:instrText xml:space="preserve"> PAGEREF _Toc26198 \h </w:instrText>
          </w:r>
          <w:r>
            <w:rPr>
              <w:sz w:val="21"/>
              <w:szCs w:val="21"/>
            </w:rPr>
            <w:fldChar w:fldCharType="separate"/>
          </w:r>
          <w:r>
            <w:rPr>
              <w:sz w:val="21"/>
              <w:szCs w:val="21"/>
            </w:rPr>
            <w:t>- 7 -</w:t>
          </w:r>
          <w:r>
            <w:rPr>
              <w:sz w:val="21"/>
              <w:szCs w:val="21"/>
            </w:rPr>
            <w:fldChar w:fldCharType="end"/>
          </w:r>
          <w:r>
            <w:rPr>
              <w:rFonts w:ascii="黑体" w:hAnsi="黑体" w:eastAsia="黑体"/>
              <w:color w:val="auto"/>
              <w:sz w:val="21"/>
              <w:szCs w:val="21"/>
            </w:rPr>
            <w:fldChar w:fldCharType="end"/>
          </w:r>
        </w:p>
        <w:p w14:paraId="1F223C85">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_Toc16871 </w:instrText>
          </w:r>
          <w:r>
            <w:rPr>
              <w:rFonts w:ascii="黑体" w:hAnsi="黑体" w:eastAsia="黑体"/>
              <w:sz w:val="21"/>
              <w:szCs w:val="21"/>
            </w:rPr>
            <w:fldChar w:fldCharType="separate"/>
          </w:r>
          <w:r>
            <w:rPr>
              <w:rFonts w:hint="eastAsia"/>
              <w:sz w:val="21"/>
              <w:szCs w:val="21"/>
            </w:rPr>
            <w:t>九、其他重要事项的情况说明</w:t>
          </w:r>
          <w:r>
            <w:rPr>
              <w:sz w:val="21"/>
              <w:szCs w:val="21"/>
            </w:rPr>
            <w:tab/>
          </w:r>
          <w:r>
            <w:rPr>
              <w:sz w:val="21"/>
              <w:szCs w:val="21"/>
            </w:rPr>
            <w:fldChar w:fldCharType="begin"/>
          </w:r>
          <w:r>
            <w:rPr>
              <w:sz w:val="21"/>
              <w:szCs w:val="21"/>
            </w:rPr>
            <w:instrText xml:space="preserve"> PAGEREF _Toc16871 \h </w:instrText>
          </w:r>
          <w:r>
            <w:rPr>
              <w:sz w:val="21"/>
              <w:szCs w:val="21"/>
            </w:rPr>
            <w:fldChar w:fldCharType="separate"/>
          </w:r>
          <w:r>
            <w:rPr>
              <w:sz w:val="21"/>
              <w:szCs w:val="21"/>
            </w:rPr>
            <w:t>- 7 -</w:t>
          </w:r>
          <w:r>
            <w:rPr>
              <w:sz w:val="21"/>
              <w:szCs w:val="21"/>
            </w:rPr>
            <w:fldChar w:fldCharType="end"/>
          </w:r>
          <w:r>
            <w:rPr>
              <w:rFonts w:ascii="黑体" w:hAnsi="黑体" w:eastAsia="黑体"/>
              <w:color w:val="auto"/>
              <w:sz w:val="21"/>
              <w:szCs w:val="21"/>
            </w:rPr>
            <w:fldChar w:fldCharType="end"/>
          </w:r>
        </w:p>
        <w:p w14:paraId="695A0DED">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_Toc15456 </w:instrText>
          </w:r>
          <w:r>
            <w:rPr>
              <w:rFonts w:ascii="黑体" w:hAnsi="黑体" w:eastAsia="黑体"/>
              <w:sz w:val="21"/>
              <w:szCs w:val="21"/>
            </w:rPr>
            <w:fldChar w:fldCharType="separate"/>
          </w:r>
          <w:r>
            <w:rPr>
              <w:rFonts w:hint="eastAsia"/>
              <w:sz w:val="21"/>
              <w:szCs w:val="21"/>
            </w:rPr>
            <w:t>（一）机关运行经费</w:t>
          </w:r>
          <w:r>
            <w:rPr>
              <w:sz w:val="21"/>
              <w:szCs w:val="21"/>
            </w:rPr>
            <w:tab/>
          </w:r>
          <w:r>
            <w:rPr>
              <w:sz w:val="21"/>
              <w:szCs w:val="21"/>
            </w:rPr>
            <w:fldChar w:fldCharType="begin"/>
          </w:r>
          <w:r>
            <w:rPr>
              <w:sz w:val="21"/>
              <w:szCs w:val="21"/>
            </w:rPr>
            <w:instrText xml:space="preserve"> PAGEREF _Toc15456 \h </w:instrText>
          </w:r>
          <w:r>
            <w:rPr>
              <w:sz w:val="21"/>
              <w:szCs w:val="21"/>
            </w:rPr>
            <w:fldChar w:fldCharType="separate"/>
          </w:r>
          <w:r>
            <w:rPr>
              <w:sz w:val="21"/>
              <w:szCs w:val="21"/>
            </w:rPr>
            <w:t>- 7 -</w:t>
          </w:r>
          <w:r>
            <w:rPr>
              <w:sz w:val="21"/>
              <w:szCs w:val="21"/>
            </w:rPr>
            <w:fldChar w:fldCharType="end"/>
          </w:r>
          <w:r>
            <w:rPr>
              <w:rFonts w:ascii="黑体" w:hAnsi="黑体" w:eastAsia="黑体"/>
              <w:color w:val="auto"/>
              <w:sz w:val="21"/>
              <w:szCs w:val="21"/>
            </w:rPr>
            <w:fldChar w:fldCharType="end"/>
          </w:r>
        </w:p>
        <w:p w14:paraId="5BDF6EF8">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_Toc18530 </w:instrText>
          </w:r>
          <w:r>
            <w:rPr>
              <w:rFonts w:ascii="黑体" w:hAnsi="黑体" w:eastAsia="黑体"/>
              <w:sz w:val="21"/>
              <w:szCs w:val="21"/>
            </w:rPr>
            <w:fldChar w:fldCharType="separate"/>
          </w:r>
          <w:r>
            <w:rPr>
              <w:rFonts w:hint="eastAsia"/>
              <w:sz w:val="21"/>
              <w:szCs w:val="21"/>
            </w:rPr>
            <w:t>（二）政府采购情况</w:t>
          </w:r>
          <w:r>
            <w:rPr>
              <w:sz w:val="21"/>
              <w:szCs w:val="21"/>
            </w:rPr>
            <w:tab/>
          </w:r>
          <w:r>
            <w:rPr>
              <w:sz w:val="21"/>
              <w:szCs w:val="21"/>
            </w:rPr>
            <w:fldChar w:fldCharType="begin"/>
          </w:r>
          <w:r>
            <w:rPr>
              <w:sz w:val="21"/>
              <w:szCs w:val="21"/>
            </w:rPr>
            <w:instrText xml:space="preserve"> PAGEREF _Toc18530 \h </w:instrText>
          </w:r>
          <w:r>
            <w:rPr>
              <w:sz w:val="21"/>
              <w:szCs w:val="21"/>
            </w:rPr>
            <w:fldChar w:fldCharType="separate"/>
          </w:r>
          <w:r>
            <w:rPr>
              <w:sz w:val="21"/>
              <w:szCs w:val="21"/>
            </w:rPr>
            <w:t>- 8 -</w:t>
          </w:r>
          <w:r>
            <w:rPr>
              <w:sz w:val="21"/>
              <w:szCs w:val="21"/>
            </w:rPr>
            <w:fldChar w:fldCharType="end"/>
          </w:r>
          <w:r>
            <w:rPr>
              <w:rFonts w:ascii="黑体" w:hAnsi="黑体" w:eastAsia="黑体"/>
              <w:color w:val="auto"/>
              <w:sz w:val="21"/>
              <w:szCs w:val="21"/>
            </w:rPr>
            <w:fldChar w:fldCharType="end"/>
          </w:r>
        </w:p>
        <w:p w14:paraId="7BC4871A">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_Toc2378 </w:instrText>
          </w:r>
          <w:r>
            <w:rPr>
              <w:rFonts w:ascii="黑体" w:hAnsi="黑体" w:eastAsia="黑体"/>
              <w:sz w:val="21"/>
              <w:szCs w:val="21"/>
            </w:rPr>
            <w:fldChar w:fldCharType="separate"/>
          </w:r>
          <w:r>
            <w:rPr>
              <w:rFonts w:hint="eastAsia"/>
              <w:sz w:val="21"/>
              <w:szCs w:val="21"/>
            </w:rPr>
            <w:t>（三）国有资产占有使用情况</w:t>
          </w:r>
          <w:r>
            <w:rPr>
              <w:sz w:val="21"/>
              <w:szCs w:val="21"/>
            </w:rPr>
            <w:tab/>
          </w:r>
          <w:r>
            <w:rPr>
              <w:sz w:val="21"/>
              <w:szCs w:val="21"/>
            </w:rPr>
            <w:fldChar w:fldCharType="begin"/>
          </w:r>
          <w:r>
            <w:rPr>
              <w:sz w:val="21"/>
              <w:szCs w:val="21"/>
            </w:rPr>
            <w:instrText xml:space="preserve"> PAGEREF _Toc2378 \h </w:instrText>
          </w:r>
          <w:r>
            <w:rPr>
              <w:sz w:val="21"/>
              <w:szCs w:val="21"/>
            </w:rPr>
            <w:fldChar w:fldCharType="separate"/>
          </w:r>
          <w:r>
            <w:rPr>
              <w:sz w:val="21"/>
              <w:szCs w:val="21"/>
            </w:rPr>
            <w:t>- 8 -</w:t>
          </w:r>
          <w:r>
            <w:rPr>
              <w:sz w:val="21"/>
              <w:szCs w:val="21"/>
            </w:rPr>
            <w:fldChar w:fldCharType="end"/>
          </w:r>
          <w:r>
            <w:rPr>
              <w:rFonts w:ascii="黑体" w:hAnsi="黑体" w:eastAsia="黑体"/>
              <w:color w:val="auto"/>
              <w:sz w:val="21"/>
              <w:szCs w:val="21"/>
            </w:rPr>
            <w:fldChar w:fldCharType="end"/>
          </w:r>
        </w:p>
        <w:p w14:paraId="65B51332">
          <w:pPr>
            <w:pStyle w:val="15"/>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_Toc21053 </w:instrText>
          </w:r>
          <w:r>
            <w:rPr>
              <w:rFonts w:ascii="黑体" w:hAnsi="黑体" w:eastAsia="黑体"/>
              <w:sz w:val="21"/>
              <w:szCs w:val="21"/>
            </w:rPr>
            <w:fldChar w:fldCharType="separate"/>
          </w:r>
          <w:r>
            <w:rPr>
              <w:rFonts w:hint="eastAsia"/>
              <w:sz w:val="21"/>
              <w:szCs w:val="21"/>
            </w:rPr>
            <w:t>（四）绩效目标设置情况</w:t>
          </w:r>
          <w:r>
            <w:rPr>
              <w:sz w:val="21"/>
              <w:szCs w:val="21"/>
            </w:rPr>
            <w:tab/>
          </w:r>
          <w:r>
            <w:rPr>
              <w:sz w:val="21"/>
              <w:szCs w:val="21"/>
            </w:rPr>
            <w:fldChar w:fldCharType="begin"/>
          </w:r>
          <w:r>
            <w:rPr>
              <w:sz w:val="21"/>
              <w:szCs w:val="21"/>
            </w:rPr>
            <w:instrText xml:space="preserve"> PAGEREF _Toc21053 \h </w:instrText>
          </w:r>
          <w:r>
            <w:rPr>
              <w:sz w:val="21"/>
              <w:szCs w:val="21"/>
            </w:rPr>
            <w:fldChar w:fldCharType="separate"/>
          </w:r>
          <w:r>
            <w:rPr>
              <w:sz w:val="21"/>
              <w:szCs w:val="21"/>
            </w:rPr>
            <w:t>- 8 -</w:t>
          </w:r>
          <w:r>
            <w:rPr>
              <w:sz w:val="21"/>
              <w:szCs w:val="21"/>
            </w:rPr>
            <w:fldChar w:fldCharType="end"/>
          </w:r>
          <w:r>
            <w:rPr>
              <w:rFonts w:ascii="黑体" w:hAnsi="黑体" w:eastAsia="黑体"/>
              <w:color w:val="auto"/>
              <w:sz w:val="21"/>
              <w:szCs w:val="21"/>
            </w:rPr>
            <w:fldChar w:fldCharType="end"/>
          </w:r>
        </w:p>
        <w:p w14:paraId="0E3BAA4B">
          <w:pPr>
            <w:pStyle w:val="14"/>
            <w:keepNext w:val="0"/>
            <w:keepLines w:val="0"/>
            <w:pageBreakBefore w:val="0"/>
            <w:widowControl/>
            <w:tabs>
              <w:tab w:val="right" w:leader="dot" w:pos="8845"/>
            </w:tabs>
            <w:kinsoku/>
            <w:wordWrap/>
            <w:overflowPunct/>
            <w:topLinePunct w:val="0"/>
            <w:autoSpaceDE/>
            <w:autoSpaceDN/>
            <w:bidi w:val="0"/>
            <w:adjustRightInd/>
            <w:snapToGrid/>
            <w:spacing w:line="400" w:lineRule="exact"/>
            <w:textAlignment w:val="auto"/>
            <w:rPr>
              <w:sz w:val="21"/>
              <w:szCs w:val="21"/>
            </w:rPr>
          </w:pPr>
          <w:r>
            <w:rPr>
              <w:rFonts w:ascii="黑体" w:hAnsi="黑体" w:eastAsia="黑体"/>
              <w:color w:val="auto"/>
              <w:sz w:val="21"/>
              <w:szCs w:val="21"/>
            </w:rPr>
            <w:fldChar w:fldCharType="begin"/>
          </w:r>
          <w:r>
            <w:rPr>
              <w:rFonts w:ascii="黑体" w:hAnsi="黑体" w:eastAsia="黑体"/>
              <w:sz w:val="21"/>
              <w:szCs w:val="21"/>
            </w:rPr>
            <w:instrText xml:space="preserve"> HYPERLINK \l _Toc25869 </w:instrText>
          </w:r>
          <w:r>
            <w:rPr>
              <w:rFonts w:ascii="黑体" w:hAnsi="黑体" w:eastAsia="黑体"/>
              <w:sz w:val="21"/>
              <w:szCs w:val="21"/>
            </w:rPr>
            <w:fldChar w:fldCharType="separate"/>
          </w:r>
          <w:r>
            <w:rPr>
              <w:rFonts w:hint="eastAsia"/>
              <w:sz w:val="21"/>
              <w:szCs w:val="21"/>
            </w:rPr>
            <w:t>十、名称解释</w:t>
          </w:r>
          <w:r>
            <w:rPr>
              <w:sz w:val="21"/>
              <w:szCs w:val="21"/>
            </w:rPr>
            <w:tab/>
          </w:r>
          <w:r>
            <w:rPr>
              <w:sz w:val="21"/>
              <w:szCs w:val="21"/>
            </w:rPr>
            <w:fldChar w:fldCharType="begin"/>
          </w:r>
          <w:r>
            <w:rPr>
              <w:sz w:val="21"/>
              <w:szCs w:val="21"/>
            </w:rPr>
            <w:instrText xml:space="preserve"> PAGEREF _Toc25869 \h </w:instrText>
          </w:r>
          <w:r>
            <w:rPr>
              <w:sz w:val="21"/>
              <w:szCs w:val="21"/>
            </w:rPr>
            <w:fldChar w:fldCharType="separate"/>
          </w:r>
          <w:r>
            <w:rPr>
              <w:sz w:val="21"/>
              <w:szCs w:val="21"/>
            </w:rPr>
            <w:t>- 8 -</w:t>
          </w:r>
          <w:r>
            <w:rPr>
              <w:sz w:val="21"/>
              <w:szCs w:val="21"/>
            </w:rPr>
            <w:fldChar w:fldCharType="end"/>
          </w:r>
          <w:r>
            <w:rPr>
              <w:rFonts w:ascii="黑体" w:hAnsi="黑体" w:eastAsia="黑体"/>
              <w:color w:val="auto"/>
              <w:sz w:val="21"/>
              <w:szCs w:val="21"/>
            </w:rPr>
            <w:fldChar w:fldCharType="end"/>
          </w:r>
        </w:p>
        <w:p w14:paraId="5F01E0AD">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olor w:val="auto"/>
              <w:sz w:val="44"/>
              <w:szCs w:val="44"/>
            </w:rPr>
          </w:pPr>
          <w:r>
            <w:rPr>
              <w:rFonts w:ascii="黑体" w:hAnsi="黑体" w:eastAsia="黑体"/>
              <w:color w:val="auto"/>
              <w:sz w:val="21"/>
              <w:szCs w:val="21"/>
            </w:rPr>
            <w:fldChar w:fldCharType="end"/>
          </w:r>
        </w:p>
      </w:sdtContent>
    </w:sdt>
    <w:p w14:paraId="6EE15ABE">
      <w:pPr>
        <w:pStyle w:val="2"/>
        <w:keepNext w:val="0"/>
        <w:keepLines w:val="0"/>
        <w:pageBreakBefore w:val="0"/>
        <w:widowControl w:val="0"/>
        <w:kinsoku/>
        <w:wordWrap/>
        <w:overflowPunct/>
        <w:topLinePunct w:val="0"/>
        <w:autoSpaceDE/>
        <w:autoSpaceDN/>
        <w:bidi w:val="0"/>
        <w:adjustRightInd/>
        <w:snapToGrid/>
        <w:spacing w:afterLines="0" w:afterAutospacing="0" w:line="560" w:lineRule="exact"/>
        <w:ind w:left="0" w:leftChars="0" w:firstLine="640" w:firstLineChars="200"/>
        <w:textAlignment w:val="auto"/>
        <w:rPr>
          <w:rFonts w:hint="eastAsia"/>
        </w:rPr>
        <w:sectPr>
          <w:footerReference r:id="rId5" w:type="default"/>
          <w:pgSz w:w="11906" w:h="16838"/>
          <w:pgMar w:top="2098" w:right="1474" w:bottom="1984" w:left="1587" w:header="851" w:footer="992" w:gutter="0"/>
          <w:pgNumType w:fmt="numberInDash" w:start="1"/>
          <w:cols w:space="720" w:num="1"/>
          <w:docGrid w:type="lines" w:linePitch="312" w:charSpace="0"/>
        </w:sectPr>
      </w:pPr>
      <w:bookmarkStart w:id="1" w:name="_Toc17598"/>
      <w:bookmarkStart w:id="23" w:name="_GoBack"/>
      <w:bookmarkEnd w:id="23"/>
    </w:p>
    <w:p w14:paraId="29A30DD3">
      <w:pPr>
        <w:pStyle w:val="2"/>
        <w:keepNext w:val="0"/>
        <w:keepLines w:val="0"/>
        <w:pageBreakBefore w:val="0"/>
        <w:widowControl w:val="0"/>
        <w:kinsoku/>
        <w:wordWrap/>
        <w:overflowPunct/>
        <w:topLinePunct w:val="0"/>
        <w:autoSpaceDE/>
        <w:autoSpaceDN/>
        <w:bidi w:val="0"/>
        <w:adjustRightInd/>
        <w:snapToGrid/>
        <w:spacing w:afterLines="0" w:afterAutospacing="0" w:line="560" w:lineRule="exact"/>
        <w:ind w:left="0" w:leftChars="0" w:firstLine="640" w:firstLineChars="200"/>
        <w:textAlignment w:val="auto"/>
      </w:pPr>
      <w:r>
        <w:rPr>
          <w:rFonts w:hint="eastAsia"/>
        </w:rPr>
        <w:t>一、基本职能及主要工作</w:t>
      </w:r>
      <w:bookmarkEnd w:id="1"/>
    </w:p>
    <w:p w14:paraId="530AF0A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2" w:name="_Toc9611"/>
      <w:r>
        <w:rPr>
          <w:rFonts w:hint="eastAsia"/>
        </w:rPr>
        <w:t>（一）部门职能简介</w:t>
      </w:r>
      <w:bookmarkEnd w:id="2"/>
    </w:p>
    <w:p w14:paraId="233C97F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1.贯彻执行国家和省有关教育工作的法律法规和方针政策，拟订教育工作规范性文件并组织实施。</w:t>
      </w:r>
    </w:p>
    <w:p w14:paraId="4B32D7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拟订全州教育事业发展规划，提出教育改革发展的目标和任务，并协调指导实施，指导各级各类学校的教育教学改革和中小学布局结构调整，负责全州教育事业基本信息的统计、分析和发布，指导教育信息化工作。</w:t>
      </w:r>
    </w:p>
    <w:p w14:paraId="03D9ED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3.会同有关部门拟订筹措教育经费、教育拨款、教育基建投资、教育收费的政策规定，负责州级教育经费的统筹管理，监督全州教育经费的筹措和使用情况，指导学校的基本建设和财务管理工作,指导国（境）内外教育援助、教育贷款和教育合作项目执行。</w:t>
      </w:r>
    </w:p>
    <w:p w14:paraId="31C2C67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负责全州义务教育的宏观指导和协调，推进全州义务教育均衡发展和促进教育公平，指导普通高中教育、职业教育、学前教育、特殊教育和成人教育工作，指导学校开展教育教学改革和办学体制、学校内部管理体制改革，负责全州各类教育招生考试工作，指导、协调全州民办教育管理工作，指导中等职业教育职业指导工作，组织实施藏区“9+3”免费中等职业教育。</w:t>
      </w:r>
    </w:p>
    <w:p w14:paraId="0F467A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指导民族教育工作，负责组织和协调“民族地区教育发展十年行动计划”工作。组织实施异地藏汉双语初中教学，统筹规划和指导民族寄宿制标准（规范）化建设和双语教学发展规划，指导民族寄宿制和双语教学的管理以及民族团结教育工作。</w:t>
      </w:r>
    </w:p>
    <w:p w14:paraId="461769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6.规划、指导和协调全州教育系统的科研、科普、教育教学研究工作和教科研成果的应用和推广。指导各类学校教育技术装备和实验室、图书馆建设、教育信息化工作，指导学校后勤工作，组织审定教材和教学用书及资料，指导州直属教育事业单位政府采购及监管工作。</w:t>
      </w:r>
    </w:p>
    <w:p w14:paraId="7774DA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7.综合指导全州教育督导工作，依法组织教育执法，督导、检查下级人民政府及其教育行政部门履行教育职责情况，对中等及中等以下教育工作进行督导检查和评估验收，指导基础教育发展水平和质量的监测工作。</w:t>
      </w:r>
    </w:p>
    <w:p w14:paraId="6E6084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8.指导全州各级各类学校的思想政治、德育、体育卫生与艺术教育、国防教育和宣传工作，指导学校的安全、稳定、保卫和综合治理工作，指导教育系统审计工作，会同有关部门加强直属学校领导班子建设。</w:t>
      </w:r>
    </w:p>
    <w:p w14:paraId="390EE52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9.主管全州教师工作，组织实施教师资格制度，组织并指导中小学教师专业技术职务资格评审推荐工作，指导学校人事制度改革，指导各类学校教师和教育行政干部队伍建设工作，指导州直属事业单位的党建和统战工作。</w:t>
      </w:r>
    </w:p>
    <w:p w14:paraId="147CDB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10.主管全州国家通用语言推广、文字规范、普通话师资培训和本地民族语言文字教学工作。</w:t>
      </w:r>
    </w:p>
    <w:p w14:paraId="4995A0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11.承担州政府公布的有关行政审批事项。</w:t>
      </w:r>
    </w:p>
    <w:p w14:paraId="35EF5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12.承办州政府交办的其他事项。</w:t>
      </w:r>
    </w:p>
    <w:p w14:paraId="0D0EC94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3" w:name="_Toc31049"/>
      <w:r>
        <w:rPr>
          <w:rFonts w:hint="eastAsia"/>
        </w:rPr>
        <w:t>（二）</w:t>
      </w:r>
      <w:r>
        <w:rPr>
          <w:rFonts w:hint="eastAsia"/>
          <w:lang w:eastAsia="zh-CN"/>
        </w:rPr>
        <w:t>2025年</w:t>
      </w:r>
      <w:r>
        <w:rPr>
          <w:rFonts w:hint="eastAsia"/>
        </w:rPr>
        <w:t>重点工作</w:t>
      </w:r>
      <w:bookmarkEnd w:id="3"/>
    </w:p>
    <w:p w14:paraId="6840A94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bookmarkStart w:id="4" w:name="_Toc10070"/>
      <w:r>
        <w:rPr>
          <w:rFonts w:ascii="Times New Roman" w:hAnsi="Times New Roman" w:eastAsia="仿宋_GB2312" w:cs="Times New Roman"/>
          <w:b w:val="0"/>
          <w:bCs w:val="0"/>
          <w:kern w:val="2"/>
          <w:sz w:val="32"/>
          <w:szCs w:val="32"/>
          <w:lang w:val="en-US" w:eastAsia="zh-CN"/>
        </w:rPr>
        <w:t>202</w:t>
      </w:r>
      <w:r>
        <w:rPr>
          <w:rFonts w:hint="eastAsia" w:ascii="Times New Roman" w:hAnsi="Times New Roman" w:eastAsia="仿宋_GB2312" w:cs="Times New Roman"/>
          <w:b w:val="0"/>
          <w:bCs w:val="0"/>
          <w:kern w:val="2"/>
          <w:sz w:val="32"/>
          <w:szCs w:val="32"/>
          <w:lang w:val="en-US" w:eastAsia="zh-CN"/>
        </w:rPr>
        <w:t>5</w:t>
      </w:r>
      <w:r>
        <w:rPr>
          <w:rFonts w:ascii="Times New Roman" w:hAnsi="Times New Roman" w:eastAsia="仿宋_GB2312" w:cs="Times New Roman"/>
          <w:b w:val="0"/>
          <w:bCs w:val="0"/>
          <w:kern w:val="2"/>
          <w:sz w:val="32"/>
          <w:szCs w:val="32"/>
          <w:lang w:val="en-US" w:eastAsia="zh-CN"/>
        </w:rPr>
        <w:t>年</w:t>
      </w:r>
      <w:r>
        <w:rPr>
          <w:rFonts w:ascii="Times New Roman" w:hAnsi="Times New Roman" w:eastAsia="仿宋_GB2312" w:cs="Times New Roman"/>
          <w:b w:val="0"/>
          <w:bCs w:val="0"/>
          <w:kern w:val="2"/>
          <w:sz w:val="32"/>
          <w:szCs w:val="32"/>
        </w:rPr>
        <w:t>，</w:t>
      </w:r>
      <w:r>
        <w:rPr>
          <w:rFonts w:ascii="Times New Roman" w:hAnsi="Times New Roman" w:eastAsia="仿宋_GB2312" w:cs="Times New Roman"/>
          <w:b w:val="0"/>
          <w:bCs w:val="0"/>
          <w:kern w:val="2"/>
          <w:sz w:val="32"/>
          <w:szCs w:val="32"/>
          <w:lang w:eastAsia="zh-CN"/>
        </w:rPr>
        <w:t>州教育局将</w:t>
      </w:r>
      <w:r>
        <w:rPr>
          <w:rFonts w:ascii="Times New Roman" w:hAnsi="Times New Roman" w:eastAsia="仿宋_GB2312" w:cs="Times New Roman"/>
          <w:b w:val="0"/>
          <w:bCs w:val="0"/>
          <w:kern w:val="2"/>
          <w:sz w:val="32"/>
          <w:szCs w:val="32"/>
        </w:rPr>
        <w:t>始终坚持以习近平新时代中国特色社会主义思想为指导，</w:t>
      </w:r>
      <w:r>
        <w:rPr>
          <w:rFonts w:ascii="Times New Roman" w:hAnsi="Times New Roman" w:eastAsia="仿宋_GB2312" w:cs="Times New Roman"/>
          <w:b w:val="0"/>
          <w:bCs w:val="0"/>
          <w:sz w:val="32"/>
          <w:szCs w:val="32"/>
          <w:lang w:val="en-US" w:eastAsia="zh-CN"/>
        </w:rPr>
        <w:t>深入学习贯彻党的二十大精神，认真贯彻落实习近平总书记关于教育的重要论述，</w:t>
      </w:r>
      <w:r>
        <w:rPr>
          <w:rFonts w:ascii="Times New Roman" w:hAnsi="Times New Roman" w:eastAsia="仿宋_GB2312" w:cs="Times New Roman"/>
          <w:b w:val="0"/>
          <w:bCs w:val="0"/>
          <w:kern w:val="2"/>
          <w:sz w:val="32"/>
          <w:szCs w:val="32"/>
        </w:rPr>
        <w:t>全国、省、州教育大会精神，紧紧围绕</w:t>
      </w:r>
      <w:r>
        <w:rPr>
          <w:rFonts w:hint="eastAsia" w:ascii="仿宋_GB2312" w:hAnsi="仿宋_GB2312" w:eastAsia="仿宋_GB2312" w:cs="仿宋_GB2312"/>
          <w:spacing w:val="0"/>
          <w:kern w:val="21"/>
          <w:sz w:val="32"/>
          <w:szCs w:val="32"/>
          <w:lang w:val="en-US" w:eastAsia="zh-CN"/>
        </w:rPr>
        <w:t>“一年有变化、三年有起色、五年见成效”的教育工作目标</w:t>
      </w:r>
      <w:r>
        <w:rPr>
          <w:rFonts w:ascii="Times New Roman" w:hAnsi="Times New Roman" w:eastAsia="仿宋_GB2312" w:cs="Times New Roman"/>
          <w:b w:val="0"/>
          <w:bCs w:val="0"/>
          <w:kern w:val="2"/>
          <w:sz w:val="32"/>
          <w:szCs w:val="32"/>
        </w:rPr>
        <w:t>，</w:t>
      </w:r>
      <w:r>
        <w:rPr>
          <w:rFonts w:hint="eastAsia" w:ascii="Times New Roman" w:hAnsi="Times New Roman" w:eastAsia="仿宋_GB2312" w:cs="Times New Roman"/>
          <w:b w:val="0"/>
          <w:bCs w:val="0"/>
          <w:kern w:val="2"/>
          <w:sz w:val="32"/>
          <w:szCs w:val="32"/>
          <w:lang w:eastAsia="zh-CN"/>
        </w:rPr>
        <w:t>认真落实</w:t>
      </w:r>
      <w:r>
        <w:rPr>
          <w:rFonts w:hint="eastAsia" w:ascii="仿宋_GB2312" w:hAnsi="仿宋_GB2312" w:eastAsia="仿宋_GB2312" w:cs="仿宋_GB2312"/>
          <w:spacing w:val="0"/>
          <w:kern w:val="21"/>
          <w:sz w:val="32"/>
          <w:szCs w:val="32"/>
          <w:lang w:val="en-US" w:eastAsia="zh-CN"/>
        </w:rPr>
        <w:t>《阿坝州教育高质量发展十条措施》《阿坝州教育高质量发展五年行动方案》，</w:t>
      </w:r>
      <w:r>
        <w:rPr>
          <w:rFonts w:ascii="Times New Roman" w:hAnsi="Times New Roman" w:eastAsia="仿宋_GB2312" w:cs="Times New Roman"/>
          <w:b w:val="0"/>
          <w:bCs w:val="0"/>
          <w:kern w:val="2"/>
          <w:sz w:val="32"/>
          <w:szCs w:val="32"/>
        </w:rPr>
        <w:t>全面深化教育综合改革，</w:t>
      </w:r>
      <w:r>
        <w:rPr>
          <w:rFonts w:ascii="Times New Roman" w:hAnsi="Times New Roman" w:eastAsia="仿宋_GB2312" w:cs="Times New Roman"/>
          <w:b w:val="0"/>
          <w:bCs w:val="0"/>
          <w:kern w:val="2"/>
          <w:sz w:val="32"/>
          <w:szCs w:val="32"/>
          <w:lang w:eastAsia="zh-CN"/>
        </w:rPr>
        <w:t>努力</w:t>
      </w:r>
      <w:r>
        <w:rPr>
          <w:rFonts w:ascii="Times New Roman" w:hAnsi="Times New Roman" w:eastAsia="仿宋_GB2312" w:cs="Times New Roman"/>
          <w:b w:val="0"/>
          <w:bCs w:val="0"/>
          <w:sz w:val="32"/>
          <w:szCs w:val="32"/>
          <w:lang w:val="en-US" w:eastAsia="zh-CN"/>
        </w:rPr>
        <w:t>办好人民满意的教育</w:t>
      </w:r>
      <w:r>
        <w:rPr>
          <w:rFonts w:hint="eastAsia" w:ascii="Times New Roman" w:hAnsi="Times New Roman" w:eastAsia="仿宋_GB2312" w:cs="Times New Roman"/>
          <w:b w:val="0"/>
          <w:bCs w:val="0"/>
          <w:sz w:val="32"/>
          <w:szCs w:val="32"/>
          <w:lang w:val="en-US" w:eastAsia="zh-CN"/>
        </w:rPr>
        <w:t>，全面推动阿坝教育高质量发展</w:t>
      </w:r>
      <w:r>
        <w:rPr>
          <w:rFonts w:ascii="Times New Roman" w:hAnsi="Times New Roman" w:eastAsia="仿宋_GB2312" w:cs="Times New Roman"/>
          <w:b w:val="0"/>
          <w:bCs w:val="0"/>
          <w:kern w:val="2"/>
          <w:sz w:val="32"/>
          <w:szCs w:val="32"/>
          <w:lang w:val="en-US" w:eastAsia="zh-CN"/>
        </w:rPr>
        <w:t>。</w:t>
      </w:r>
      <w:r>
        <w:rPr>
          <w:rFonts w:hint="eastAsia" w:ascii="仿宋_GB2312" w:hAnsi="仿宋_GB2312" w:eastAsia="仿宋_GB2312" w:cs="仿宋_GB2312"/>
          <w:b/>
          <w:bCs/>
          <w:color w:val="auto"/>
          <w:sz w:val="32"/>
          <w:szCs w:val="32"/>
          <w:u w:val="none"/>
          <w:lang w:val="en-US" w:eastAsia="zh-CN"/>
        </w:rPr>
        <w:t>一是</w:t>
      </w:r>
      <w:r>
        <w:rPr>
          <w:rFonts w:hint="eastAsia" w:ascii="仿宋_GB2312" w:hAnsi="仿宋_GB2312" w:eastAsia="仿宋_GB2312" w:cs="仿宋_GB2312"/>
          <w:b/>
          <w:bCs/>
          <w:color w:val="auto"/>
          <w:sz w:val="32"/>
          <w:szCs w:val="32"/>
          <w:u w:val="none"/>
          <w:lang w:eastAsia="zh-CN"/>
        </w:rPr>
        <w:t>始终坚持全面从严治党。</w:t>
      </w:r>
      <w:r>
        <w:rPr>
          <w:rFonts w:hint="eastAsia" w:ascii="仿宋_GB2312" w:hAnsi="仿宋_GB2312" w:eastAsia="仿宋_GB2312" w:cs="仿宋_GB2312"/>
          <w:color w:val="auto"/>
          <w:w w:val="100"/>
          <w:sz w:val="32"/>
          <w:szCs w:val="32"/>
          <w:lang w:val="en-US" w:eastAsia="zh-CN"/>
        </w:rPr>
        <w:t>持续深入学习宣传贯彻党的二十大精神，</w:t>
      </w:r>
      <w:r>
        <w:rPr>
          <w:rFonts w:hint="eastAsia" w:ascii="仿宋_GB2312" w:hAnsi="仿宋_GB2312" w:eastAsia="仿宋_GB2312" w:cs="仿宋_GB2312"/>
          <w:b w:val="0"/>
          <w:bCs w:val="0"/>
          <w:color w:val="000000"/>
          <w:sz w:val="32"/>
          <w:szCs w:val="32"/>
          <w:lang w:eastAsia="zh-CN"/>
        </w:rPr>
        <w:t>全面加强党对教育工作的领导，进一步完善教育工作责任制，</w:t>
      </w:r>
      <w:r>
        <w:rPr>
          <w:rFonts w:hint="eastAsia" w:ascii="仿宋_GB2312" w:hAnsi="仿宋_GB2312" w:eastAsia="仿宋_GB2312" w:cs="仿宋_GB2312"/>
          <w:sz w:val="32"/>
          <w:szCs w:val="32"/>
          <w:lang w:val="en-US" w:eastAsia="zh-CN"/>
        </w:rPr>
        <w:t>使教育领域成为坚持党的领导的坚强阵地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
          <w:bCs/>
          <w:color w:val="auto"/>
          <w:sz w:val="32"/>
          <w:szCs w:val="32"/>
          <w:u w:val="none"/>
          <w:lang w:val="en-US" w:eastAsia="zh-CN"/>
        </w:rPr>
        <w:t>二是坚持立德树人根本任务。</w:t>
      </w:r>
      <w:r>
        <w:rPr>
          <w:rFonts w:ascii="Times New Roman" w:hAnsi="Times New Roman" w:eastAsia="仿宋_GB2312" w:cs="Times New Roman"/>
          <w:sz w:val="32"/>
          <w:szCs w:val="32"/>
          <w:lang w:eastAsia="zh-CN"/>
        </w:rPr>
        <w:t>全面贯彻党的教育方针，深入落实立德树人根本任务</w:t>
      </w:r>
      <w:r>
        <w:rPr>
          <w:rFonts w:ascii="Times New Roman" w:hAnsi="Times New Roman" w:eastAsia="仿宋_GB2312" w:cs="Times New Roman"/>
          <w:sz w:val="32"/>
          <w:szCs w:val="32"/>
          <w:lang w:val="en-US" w:eastAsia="zh-CN"/>
        </w:rPr>
        <w:t>。</w:t>
      </w:r>
      <w:r>
        <w:rPr>
          <w:rFonts w:hint="eastAsia" w:ascii="仿宋_GB2312" w:hAnsi="仿宋_GB2312" w:eastAsia="仿宋_GB2312" w:cs="仿宋_GB2312"/>
          <w:b/>
          <w:bCs/>
          <w:color w:val="auto"/>
          <w:sz w:val="32"/>
          <w:szCs w:val="32"/>
          <w:u w:val="none"/>
          <w:lang w:val="en-US" w:eastAsia="zh-CN"/>
        </w:rPr>
        <w:t>三是提升教育教学质量,</w:t>
      </w:r>
      <w:r>
        <w:rPr>
          <w:rFonts w:hint="eastAsia" w:ascii="Times New Roman" w:hAnsi="Times New Roman" w:eastAsia="仿宋_GB2312" w:cs="Times New Roman"/>
          <w:sz w:val="32"/>
          <w:szCs w:val="32"/>
          <w:lang w:val="en-US" w:eastAsia="zh-CN"/>
        </w:rPr>
        <w:t>加强对外交流合作。</w:t>
      </w:r>
      <w:r>
        <w:rPr>
          <w:rFonts w:hint="eastAsia" w:ascii="仿宋_GB2312" w:hAnsi="仿宋_GB2312" w:eastAsia="仿宋_GB2312" w:cs="仿宋_GB2312"/>
          <w:b/>
          <w:bCs/>
          <w:color w:val="auto"/>
          <w:sz w:val="32"/>
          <w:szCs w:val="32"/>
          <w:u w:val="none"/>
          <w:lang w:val="en-US" w:eastAsia="zh-CN"/>
        </w:rPr>
        <w:t>四是坚持以人民为中心发展教育。</w:t>
      </w:r>
      <w:r>
        <w:rPr>
          <w:rFonts w:ascii="Times New Roman" w:hAnsi="Times New Roman" w:eastAsia="仿宋_GB2312" w:cs="Times New Roman"/>
          <w:sz w:val="32"/>
          <w:szCs w:val="32"/>
          <w:lang w:val="en-US" w:eastAsia="zh-CN"/>
        </w:rPr>
        <w:t>指导县（市）</w:t>
      </w:r>
      <w:r>
        <w:rPr>
          <w:rFonts w:ascii="Times New Roman" w:hAnsi="Times New Roman" w:eastAsia="仿宋_GB2312" w:cs="Times New Roman"/>
          <w:sz w:val="32"/>
          <w:szCs w:val="32"/>
        </w:rPr>
        <w:t>落实</w:t>
      </w:r>
      <w:r>
        <w:rPr>
          <w:rFonts w:ascii="Times New Roman" w:hAnsi="Times New Roman" w:eastAsia="仿宋_GB2312" w:cs="Times New Roman"/>
          <w:sz w:val="32"/>
          <w:szCs w:val="32"/>
          <w:lang w:eastAsia="zh-CN"/>
        </w:rPr>
        <w:t>教育经费投入和使用</w:t>
      </w:r>
      <w:r>
        <w:rPr>
          <w:rFonts w:ascii="Times New Roman" w:hAnsi="Times New Roman" w:eastAsia="仿宋_GB2312" w:cs="Times New Roman"/>
          <w:sz w:val="32"/>
          <w:szCs w:val="32"/>
        </w:rPr>
        <w:t>“两个只增不减”要求</w:t>
      </w:r>
      <w:r>
        <w:rPr>
          <w:rFonts w:ascii="Times New Roman" w:hAnsi="Times New Roman" w:eastAsia="仿宋_GB2312" w:cs="Times New Roman"/>
          <w:sz w:val="32"/>
          <w:szCs w:val="32"/>
          <w:lang w:eastAsia="zh-CN"/>
        </w:rPr>
        <w:t>。</w:t>
      </w:r>
      <w:r>
        <w:rPr>
          <w:rFonts w:ascii="Times New Roman" w:hAnsi="Times New Roman" w:eastAsia="仿宋_GB2312" w:cs="Times New Roman"/>
          <w:color w:val="auto"/>
          <w:sz w:val="32"/>
          <w:szCs w:val="32"/>
          <w:u w:val="none"/>
          <w:lang w:val="en-US" w:eastAsia="zh-CN"/>
        </w:rPr>
        <w:t>有序推进国家、省乡村振兴重点帮扶县高中教育人才“组团式”帮扶工作</w:t>
      </w:r>
      <w:r>
        <w:rPr>
          <w:rFonts w:ascii="Times New Roman" w:hAnsi="Times New Roman" w:eastAsia="仿宋_GB2312" w:cs="Times New Roman"/>
          <w:sz w:val="32"/>
          <w:szCs w:val="32"/>
          <w:lang w:eastAsia="zh-CN"/>
        </w:rPr>
        <w:t>。</w:t>
      </w:r>
      <w:r>
        <w:rPr>
          <w:rFonts w:hint="eastAsia" w:ascii="仿宋_GB2312" w:hAnsi="仿宋_GB2312" w:eastAsia="仿宋_GB2312" w:cs="仿宋_GB2312"/>
          <w:b/>
          <w:bCs/>
          <w:color w:val="auto"/>
          <w:sz w:val="32"/>
          <w:szCs w:val="32"/>
          <w:u w:val="none"/>
          <w:lang w:val="en-US" w:eastAsia="zh-CN"/>
        </w:rPr>
        <w:t>五是深化教育领域综合改革和对外交流。</w:t>
      </w:r>
      <w:r>
        <w:rPr>
          <w:rFonts w:ascii="Times New Roman" w:hAnsi="Times New Roman" w:eastAsia="仿宋_GB2312" w:cs="Times New Roman"/>
          <w:sz w:val="32"/>
          <w:szCs w:val="32"/>
          <w:lang w:val="en-US" w:eastAsia="zh-CN"/>
        </w:rPr>
        <w:t>不断深化高考综合</w:t>
      </w:r>
      <w:r>
        <w:rPr>
          <w:rFonts w:ascii="Times New Roman" w:hAnsi="Times New Roman" w:eastAsia="仿宋_GB2312" w:cs="Times New Roman"/>
          <w:b w:val="0"/>
          <w:bCs w:val="0"/>
          <w:sz w:val="32"/>
          <w:szCs w:val="32"/>
          <w:lang w:val="en-US" w:eastAsia="zh-CN"/>
        </w:rPr>
        <w:t>改革，</w:t>
      </w:r>
      <w:r>
        <w:rPr>
          <w:rFonts w:hint="default" w:ascii="Times New Roman" w:hAnsi="Times New Roman" w:eastAsia="仿宋_GB2312" w:cs="Times New Roman"/>
          <w:sz w:val="32"/>
          <w:szCs w:val="32"/>
          <w:lang w:val="en-US" w:eastAsia="zh-CN"/>
        </w:rPr>
        <w:t>全面提高“学前学好普通话2.0”专项行动质效，稳步有序推进国家三科统编教材和国家通用语言文字版教材使用</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b/>
          <w:bCs/>
          <w:color w:val="auto"/>
          <w:sz w:val="32"/>
          <w:szCs w:val="32"/>
          <w:u w:val="none"/>
          <w:lang w:val="en-US" w:eastAsia="zh-CN"/>
        </w:rPr>
        <w:t>六是全力推动教育民生项目建设。</w:t>
      </w:r>
      <w:r>
        <w:rPr>
          <w:rFonts w:hint="eastAsia" w:ascii="仿宋_GB2312" w:hAnsi="仿宋_GB2312" w:eastAsia="仿宋_GB2312" w:cs="仿宋_GB2312"/>
          <w:b w:val="0"/>
          <w:bCs w:val="0"/>
          <w:sz w:val="32"/>
          <w:szCs w:val="32"/>
          <w:lang w:val="en-US" w:eastAsia="zh-CN"/>
        </w:rPr>
        <w:t>加强教育民生项目建设资金争取力度。在确保安全和质量的前提下，加快推动项目建设提速提质增效，持续改善各级各类学校办学条件。</w:t>
      </w:r>
      <w:r>
        <w:rPr>
          <w:rFonts w:hint="eastAsia" w:ascii="仿宋_GB2312" w:hAnsi="仿宋_GB2312" w:eastAsia="仿宋_GB2312" w:cs="仿宋_GB2312"/>
          <w:b/>
          <w:bCs/>
          <w:color w:val="auto"/>
          <w:sz w:val="32"/>
          <w:szCs w:val="32"/>
          <w:u w:val="none"/>
          <w:lang w:val="en-US" w:eastAsia="zh-CN"/>
        </w:rPr>
        <w:t>七是着力打造高素质教师队伍。</w:t>
      </w:r>
      <w:r>
        <w:rPr>
          <w:rFonts w:hint="eastAsia" w:ascii="仿宋_GB2312" w:eastAsia="仿宋_GB2312"/>
          <w:sz w:val="32"/>
          <w:szCs w:val="32"/>
          <w:lang w:val="en-US" w:eastAsia="zh-CN"/>
        </w:rPr>
        <w:t>持续实施</w:t>
      </w:r>
      <w:r>
        <w:rPr>
          <w:rFonts w:hint="eastAsia" w:ascii="仿宋_GB2312" w:eastAsia="仿宋_GB2312"/>
          <w:sz w:val="32"/>
          <w:szCs w:val="32"/>
        </w:rPr>
        <w:t>“</w:t>
      </w:r>
      <w:r>
        <w:rPr>
          <w:rFonts w:hint="eastAsia" w:ascii="仿宋_GB2312" w:eastAsia="仿宋_GB2312"/>
          <w:sz w:val="32"/>
          <w:szCs w:val="32"/>
          <w:lang w:val="en-US" w:eastAsia="zh-CN"/>
        </w:rPr>
        <w:t>格桑花</w:t>
      </w:r>
      <w:r>
        <w:rPr>
          <w:rFonts w:hint="eastAsia" w:ascii="仿宋_GB2312" w:eastAsia="仿宋_GB2312"/>
          <w:sz w:val="32"/>
          <w:szCs w:val="32"/>
        </w:rPr>
        <w:t>”</w:t>
      </w:r>
      <w:r>
        <w:rPr>
          <w:rFonts w:hint="eastAsia" w:ascii="仿宋_GB2312" w:eastAsia="仿宋_GB2312"/>
          <w:sz w:val="32"/>
          <w:szCs w:val="32"/>
          <w:lang w:val="en-US" w:eastAsia="zh-CN"/>
        </w:rPr>
        <w:t>光明工程教师专项引才政策，落实</w:t>
      </w:r>
      <w:r>
        <w:rPr>
          <w:rFonts w:hint="eastAsia" w:ascii="仿宋_GB2312" w:eastAsia="仿宋_GB2312"/>
          <w:sz w:val="32"/>
          <w:szCs w:val="32"/>
        </w:rPr>
        <w:t>相关政策待遇</w:t>
      </w:r>
      <w:r>
        <w:rPr>
          <w:rFonts w:hint="eastAsia" w:ascii="仿宋_GB2312" w:eastAsia="仿宋_GB2312"/>
          <w:sz w:val="32"/>
          <w:szCs w:val="32"/>
          <w:lang w:eastAsia="zh-CN"/>
        </w:rPr>
        <w:t>。</w:t>
      </w:r>
      <w:r>
        <w:rPr>
          <w:rFonts w:hint="eastAsia" w:ascii="仿宋_GB2312" w:eastAsia="仿宋_GB2312" w:cs="仿宋_GB2312"/>
          <w:color w:val="auto"/>
          <w:kern w:val="2"/>
          <w:sz w:val="32"/>
          <w:szCs w:val="32"/>
          <w:lang w:val="en-US" w:eastAsia="zh-CN" w:bidi="ar-SA"/>
        </w:rPr>
        <w:t>建立健全国家、省、州、县、校五级优秀教师培养培训体系。</w:t>
      </w:r>
      <w:r>
        <w:rPr>
          <w:rFonts w:hint="eastAsia" w:ascii="仿宋_GB2312" w:hAnsi="仿宋_GB2312" w:eastAsia="仿宋_GB2312" w:cs="仿宋_GB2312"/>
          <w:b/>
          <w:bCs/>
          <w:color w:val="auto"/>
          <w:sz w:val="32"/>
          <w:szCs w:val="32"/>
          <w:u w:val="none"/>
          <w:lang w:val="en-US" w:eastAsia="zh-CN"/>
        </w:rPr>
        <w:t>八是</w:t>
      </w:r>
      <w:r>
        <w:rPr>
          <w:rFonts w:hint="default" w:ascii="仿宋_GB2312" w:hAnsi="仿宋_GB2312" w:eastAsia="仿宋_GB2312" w:cs="仿宋_GB2312"/>
          <w:b/>
          <w:bCs/>
          <w:color w:val="auto"/>
          <w:sz w:val="32"/>
          <w:szCs w:val="32"/>
          <w:u w:val="none"/>
          <w:lang w:val="en-US" w:eastAsia="zh-CN"/>
        </w:rPr>
        <w:t>扎实做好</w:t>
      </w:r>
      <w:r>
        <w:rPr>
          <w:rFonts w:hint="eastAsia" w:ascii="仿宋_GB2312" w:hAnsi="仿宋_GB2312" w:eastAsia="仿宋_GB2312" w:cs="仿宋_GB2312"/>
          <w:b/>
          <w:bCs/>
          <w:color w:val="auto"/>
          <w:sz w:val="32"/>
          <w:szCs w:val="32"/>
          <w:u w:val="none"/>
          <w:lang w:val="en-US" w:eastAsia="zh-CN"/>
        </w:rPr>
        <w:t>各类招生考试</w:t>
      </w:r>
      <w:r>
        <w:rPr>
          <w:rFonts w:hint="default" w:ascii="仿宋_GB2312" w:hAnsi="仿宋_GB2312" w:eastAsia="仿宋_GB2312" w:cs="仿宋_GB2312"/>
          <w:b/>
          <w:bCs/>
          <w:color w:val="auto"/>
          <w:sz w:val="32"/>
          <w:szCs w:val="32"/>
          <w:u w:val="none"/>
          <w:lang w:val="en-US" w:eastAsia="zh-CN"/>
        </w:rPr>
        <w:t>工作。</w:t>
      </w:r>
      <w:r>
        <w:rPr>
          <w:rFonts w:hint="default" w:ascii="仿宋_GB2312" w:hAnsi="仿宋_GB2312" w:eastAsia="仿宋_GB2312" w:cs="仿宋_GB2312"/>
          <w:b w:val="0"/>
          <w:bCs w:val="0"/>
          <w:sz w:val="32"/>
          <w:szCs w:val="32"/>
          <w:lang w:val="en-US" w:eastAsia="zh-CN"/>
        </w:rPr>
        <w:t>加大</w:t>
      </w:r>
      <w:r>
        <w:rPr>
          <w:rFonts w:hint="eastAsia" w:ascii="仿宋_GB2312" w:hAnsi="仿宋_GB2312" w:eastAsia="仿宋_GB2312" w:cs="仿宋_GB2312"/>
          <w:b w:val="0"/>
          <w:bCs w:val="0"/>
          <w:sz w:val="32"/>
          <w:szCs w:val="32"/>
          <w:lang w:val="en-US" w:eastAsia="zh-CN"/>
        </w:rPr>
        <w:t>政策宣传力度，做好</w:t>
      </w:r>
      <w:r>
        <w:rPr>
          <w:rFonts w:hint="default" w:ascii="仿宋_GB2312" w:hAnsi="仿宋_GB2312" w:eastAsia="仿宋_GB2312" w:cs="仿宋_GB2312"/>
          <w:b w:val="0"/>
          <w:bCs w:val="0"/>
          <w:sz w:val="32"/>
          <w:szCs w:val="32"/>
          <w:lang w:val="en-US" w:eastAsia="zh-CN"/>
        </w:rPr>
        <w:t>报名资格审查</w:t>
      </w:r>
      <w:r>
        <w:rPr>
          <w:rFonts w:hint="eastAsia" w:ascii="仿宋_GB2312" w:hAnsi="仿宋_GB2312" w:eastAsia="仿宋_GB2312" w:cs="仿宋_GB2312"/>
          <w:b w:val="0"/>
          <w:bCs w:val="0"/>
          <w:sz w:val="32"/>
          <w:szCs w:val="32"/>
          <w:lang w:val="en-US" w:eastAsia="zh-CN"/>
        </w:rPr>
        <w:t>、高考适应性演练、</w:t>
      </w:r>
      <w:r>
        <w:rPr>
          <w:rFonts w:hint="default" w:ascii="仿宋_GB2312" w:hAnsi="仿宋_GB2312" w:eastAsia="仿宋_GB2312" w:cs="仿宋_GB2312"/>
          <w:b w:val="0"/>
          <w:bCs w:val="0"/>
          <w:sz w:val="32"/>
          <w:szCs w:val="32"/>
          <w:lang w:val="en-US" w:eastAsia="zh-CN"/>
        </w:rPr>
        <w:t>体检、考试、录取等各项工作，早安排、早部署，确保</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仿宋_GB2312" w:hAnsi="仿宋_GB2312" w:eastAsia="仿宋_GB2312" w:cs="仿宋_GB2312"/>
          <w:b w:val="0"/>
          <w:bCs w:val="0"/>
          <w:sz w:val="32"/>
          <w:szCs w:val="32"/>
          <w:lang w:val="en-US" w:eastAsia="zh-CN"/>
        </w:rPr>
        <w:t>年</w:t>
      </w:r>
      <w:r>
        <w:rPr>
          <w:rFonts w:hint="eastAsia" w:ascii="仿宋_GB2312" w:hAnsi="仿宋_GB2312" w:eastAsia="仿宋_GB2312" w:cs="仿宋_GB2312"/>
          <w:b w:val="0"/>
          <w:bCs w:val="0"/>
          <w:sz w:val="32"/>
          <w:szCs w:val="32"/>
          <w:lang w:val="en-US" w:eastAsia="zh-CN"/>
        </w:rPr>
        <w:t>新</w:t>
      </w:r>
      <w:r>
        <w:rPr>
          <w:rFonts w:hint="default" w:ascii="仿宋_GB2312" w:hAnsi="仿宋_GB2312" w:eastAsia="仿宋_GB2312" w:cs="仿宋_GB2312"/>
          <w:b w:val="0"/>
          <w:bCs w:val="0"/>
          <w:sz w:val="32"/>
          <w:szCs w:val="32"/>
          <w:lang w:val="en-US" w:eastAsia="zh-CN"/>
        </w:rPr>
        <w:t>高考</w:t>
      </w:r>
      <w:r>
        <w:rPr>
          <w:rFonts w:hint="eastAsia" w:ascii="仿宋_GB2312" w:hAnsi="仿宋_GB2312" w:eastAsia="仿宋_GB2312" w:cs="仿宋_GB2312"/>
          <w:b w:val="0"/>
          <w:bCs w:val="0"/>
          <w:sz w:val="32"/>
          <w:szCs w:val="32"/>
          <w:lang w:val="en-US" w:eastAsia="zh-CN"/>
        </w:rPr>
        <w:t>平稳落地</w:t>
      </w:r>
      <w:r>
        <w:rPr>
          <w:rFonts w:hint="default"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bCs/>
          <w:color w:val="auto"/>
          <w:sz w:val="32"/>
          <w:szCs w:val="32"/>
          <w:u w:val="none"/>
          <w:lang w:val="en-US" w:eastAsia="zh-CN"/>
        </w:rPr>
        <w:t>九是持续开展教育督导工作。</w:t>
      </w:r>
      <w:r>
        <w:rPr>
          <w:rFonts w:hint="eastAsia" w:ascii="仿宋_GB2312" w:hAnsi="仿宋_GB2312" w:eastAsia="仿宋_GB2312" w:cs="仿宋_GB2312"/>
          <w:b w:val="0"/>
          <w:bCs w:val="0"/>
          <w:sz w:val="32"/>
          <w:szCs w:val="32"/>
          <w:lang w:val="en-US" w:eastAsia="zh-CN"/>
        </w:rPr>
        <w:t>加大对学前教育普及普惠创建及义务教育优质均衡发展的督导力度。进一步完善责任督学挂牌督导工作机制，持续推进规范幼儿园办园行为等工作。</w:t>
      </w:r>
      <w:r>
        <w:rPr>
          <w:rFonts w:hint="eastAsia" w:ascii="仿宋_GB2312" w:hAnsi="仿宋_GB2312" w:eastAsia="仿宋_GB2312" w:cs="仿宋_GB2312"/>
          <w:b/>
          <w:bCs/>
          <w:color w:val="auto"/>
          <w:sz w:val="32"/>
          <w:szCs w:val="32"/>
          <w:u w:val="none"/>
          <w:lang w:val="en-US" w:eastAsia="zh-CN"/>
        </w:rPr>
        <w:t>十是维护教育系统安全稳定。</w:t>
      </w:r>
      <w:r>
        <w:rPr>
          <w:rFonts w:hint="eastAsia" w:ascii="仿宋_GB2312" w:hAnsi="仿宋_GB2312" w:eastAsia="仿宋_GB2312" w:cs="仿宋_GB2312"/>
          <w:b w:val="0"/>
          <w:bCs w:val="0"/>
          <w:sz w:val="32"/>
          <w:szCs w:val="32"/>
          <w:lang w:val="en-US" w:eastAsia="zh-CN"/>
        </w:rPr>
        <w:t>全力防范化解教育系统各类风险挑战，不断健全</w:t>
      </w:r>
      <w:r>
        <w:rPr>
          <w:rFonts w:hint="eastAsia" w:ascii="仿宋_GB2312" w:hAnsi="仿宋_GB2312" w:eastAsia="仿宋_GB2312" w:cs="仿宋_GB2312"/>
          <w:color w:val="auto"/>
          <w:sz w:val="32"/>
          <w:szCs w:val="32"/>
          <w:lang w:val="en-US" w:eastAsia="zh-CN"/>
        </w:rPr>
        <w:t>应急管理体制机制，全力确保教育系统不发生责任事故，为全面推进全州教育高质量发展提供安全保障。</w:t>
      </w:r>
    </w:p>
    <w:p w14:paraId="64D37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二、部门预算单位构成</w:t>
      </w:r>
      <w:bookmarkEnd w:id="4"/>
    </w:p>
    <w:p w14:paraId="72D4DD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阿坝州教育局（</w:t>
      </w:r>
      <w:r>
        <w:rPr>
          <w:rFonts w:hint="eastAsia" w:ascii="仿宋_GB2312" w:hAnsi="仿宋_GB2312" w:eastAsia="仿宋_GB2312" w:cs="仿宋_GB2312"/>
          <w:color w:val="auto"/>
          <w:sz w:val="32"/>
          <w:szCs w:val="32"/>
          <w:lang w:val="en-US" w:eastAsia="zh-CN"/>
        </w:rPr>
        <w:t>本级</w:t>
      </w:r>
      <w:r>
        <w:rPr>
          <w:rFonts w:hint="eastAsia" w:ascii="仿宋_GB2312" w:hAnsi="仿宋_GB2312" w:eastAsia="仿宋_GB2312" w:cs="仿宋_GB2312"/>
          <w:color w:val="auto"/>
          <w:sz w:val="32"/>
          <w:szCs w:val="32"/>
          <w:lang w:eastAsia="zh-CN"/>
        </w:rPr>
        <w:t>）属</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级预算单位，</w:t>
      </w:r>
      <w:r>
        <w:rPr>
          <w:rFonts w:hint="eastAsia" w:ascii="仿宋_GB2312" w:hAnsi="仿宋_GB2312" w:eastAsia="仿宋_GB2312" w:cs="仿宋_GB2312"/>
          <w:color w:val="auto"/>
          <w:sz w:val="32"/>
          <w:szCs w:val="32"/>
          <w:lang w:val="en-US" w:eastAsia="zh-CN"/>
        </w:rPr>
        <w:t>无</w:t>
      </w:r>
      <w:r>
        <w:rPr>
          <w:rFonts w:hint="eastAsia" w:ascii="仿宋_GB2312" w:hAnsi="仿宋_GB2312" w:eastAsia="仿宋_GB2312" w:cs="仿宋_GB2312"/>
          <w:color w:val="auto"/>
          <w:sz w:val="32"/>
          <w:szCs w:val="32"/>
          <w:lang w:eastAsia="zh-CN"/>
        </w:rPr>
        <w:t>下属预算单位。</w:t>
      </w:r>
    </w:p>
    <w:p w14:paraId="6B795467">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5" w:name="_Toc9422"/>
      <w:r>
        <w:rPr>
          <w:rFonts w:hint="eastAsia"/>
        </w:rPr>
        <w:t>三、收支预算情况说明</w:t>
      </w:r>
      <w:bookmarkEnd w:id="5"/>
    </w:p>
    <w:p w14:paraId="224DF6BF">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6" w:name="_Toc10814"/>
      <w:r>
        <w:rPr>
          <w:rFonts w:hint="eastAsia"/>
        </w:rPr>
        <w:t>（一）收入预算情况</w:t>
      </w:r>
      <w:bookmarkEnd w:id="6"/>
    </w:p>
    <w:p w14:paraId="5D27D95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收入预算</w:t>
      </w:r>
      <w:r>
        <w:rPr>
          <w:rFonts w:hint="eastAsia" w:ascii="仿宋_GB2312" w:hAnsi="仿宋_GB2312" w:eastAsia="仿宋_GB2312" w:cs="仿宋_GB2312"/>
          <w:color w:val="auto"/>
          <w:sz w:val="32"/>
          <w:szCs w:val="32"/>
          <w:lang w:val="en-US" w:eastAsia="zh-CN"/>
        </w:rPr>
        <w:t>1818.11</w:t>
      </w:r>
      <w:r>
        <w:rPr>
          <w:rFonts w:hint="eastAsia" w:ascii="仿宋_GB2312" w:hAnsi="仿宋_GB2312" w:eastAsia="仿宋_GB2312" w:cs="仿宋_GB2312"/>
          <w:color w:val="auto"/>
          <w:sz w:val="32"/>
          <w:szCs w:val="32"/>
        </w:rPr>
        <w:t>万元，其中：上年结转0万元；一般公共预算拨款收入</w:t>
      </w:r>
      <w:r>
        <w:rPr>
          <w:rFonts w:hint="eastAsia" w:ascii="仿宋_GB2312" w:hAnsi="仿宋_GB2312" w:eastAsia="仿宋_GB2312" w:cs="仿宋_GB2312"/>
          <w:color w:val="auto"/>
          <w:sz w:val="32"/>
          <w:szCs w:val="32"/>
          <w:lang w:val="en-US" w:eastAsia="zh-CN"/>
        </w:rPr>
        <w:t>1818.11</w:t>
      </w:r>
      <w:r>
        <w:rPr>
          <w:rFonts w:hint="eastAsia" w:ascii="仿宋_GB2312" w:hAnsi="仿宋_GB2312" w:eastAsia="仿宋_GB2312" w:cs="仿宋_GB2312"/>
          <w:color w:val="auto"/>
          <w:sz w:val="32"/>
          <w:szCs w:val="32"/>
        </w:rPr>
        <w:t>万元，占100%；无事业收入；无其他收入。</w:t>
      </w:r>
    </w:p>
    <w:p w14:paraId="3F59238F">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7" w:name="_Toc8789"/>
      <w:r>
        <w:rPr>
          <w:rFonts w:hint="eastAsia"/>
          <w:lang w:val="en-US" w:eastAsia="zh-CN"/>
        </w:rPr>
        <w:t>（二）</w:t>
      </w:r>
      <w:r>
        <w:rPr>
          <w:rFonts w:hint="eastAsia"/>
        </w:rPr>
        <w:t>支出预算情况</w:t>
      </w:r>
      <w:bookmarkEnd w:id="7"/>
      <w:r>
        <w:rPr>
          <w:rFonts w:hint="eastAsia"/>
        </w:rPr>
        <w:t xml:space="preserve"> </w:t>
      </w:r>
    </w:p>
    <w:p w14:paraId="556424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支出预算</w:t>
      </w:r>
      <w:r>
        <w:rPr>
          <w:rFonts w:hint="eastAsia" w:ascii="仿宋_GB2312" w:hAnsi="仿宋_GB2312" w:eastAsia="仿宋_GB2312" w:cs="仿宋_GB2312"/>
          <w:color w:val="auto"/>
          <w:sz w:val="32"/>
          <w:szCs w:val="32"/>
          <w:lang w:val="en-US" w:eastAsia="zh-CN"/>
        </w:rPr>
        <w:t>1818.11</w:t>
      </w:r>
      <w:r>
        <w:rPr>
          <w:rFonts w:hint="eastAsia" w:ascii="仿宋_GB2312" w:hAnsi="仿宋_GB2312" w:eastAsia="仿宋_GB2312" w:cs="仿宋_GB2312"/>
          <w:color w:val="auto"/>
          <w:sz w:val="32"/>
          <w:szCs w:val="32"/>
        </w:rPr>
        <w:t>万元，其中：基本支出</w:t>
      </w:r>
      <w:r>
        <w:rPr>
          <w:rFonts w:hint="eastAsia" w:ascii="仿宋_GB2312" w:hAnsi="仿宋_GB2312" w:eastAsia="仿宋_GB2312" w:cs="仿宋_GB2312"/>
          <w:color w:val="auto"/>
          <w:sz w:val="32"/>
          <w:szCs w:val="32"/>
          <w:lang w:val="en-US" w:eastAsia="zh-CN"/>
        </w:rPr>
        <w:t>1266.11</w:t>
      </w:r>
      <w:r>
        <w:rPr>
          <w:rFonts w:hint="eastAsia" w:ascii="仿宋_GB2312" w:hAnsi="仿宋_GB2312" w:eastAsia="仿宋_GB2312" w:cs="仿宋_GB2312"/>
          <w:color w:val="auto"/>
          <w:sz w:val="32"/>
          <w:szCs w:val="32"/>
        </w:rPr>
        <w:t>万元，占6</w:t>
      </w:r>
      <w:r>
        <w:rPr>
          <w:rFonts w:hint="eastAsia" w:ascii="仿宋_GB2312" w:hAnsi="仿宋_GB2312" w:eastAsia="仿宋_GB2312" w:cs="仿宋_GB2312"/>
          <w:color w:val="auto"/>
          <w:sz w:val="32"/>
          <w:szCs w:val="32"/>
          <w:lang w:val="en-US" w:eastAsia="zh-CN"/>
        </w:rPr>
        <w:t>9.64</w:t>
      </w:r>
      <w:r>
        <w:rPr>
          <w:rFonts w:hint="eastAsia" w:ascii="仿宋_GB2312" w:hAnsi="仿宋_GB2312" w:eastAsia="仿宋_GB2312" w:cs="仿宋_GB2312"/>
          <w:color w:val="auto"/>
          <w:sz w:val="32"/>
          <w:szCs w:val="32"/>
        </w:rPr>
        <w:t>%；项目支出</w:t>
      </w:r>
      <w:r>
        <w:rPr>
          <w:rFonts w:hint="eastAsia" w:ascii="仿宋_GB2312" w:hAnsi="仿宋_GB2312" w:eastAsia="仿宋_GB2312" w:cs="仿宋_GB2312"/>
          <w:color w:val="auto"/>
          <w:sz w:val="32"/>
          <w:szCs w:val="32"/>
          <w:lang w:val="en-US" w:eastAsia="zh-CN"/>
        </w:rPr>
        <w:t>552.00</w:t>
      </w:r>
      <w:r>
        <w:rPr>
          <w:rFonts w:hint="eastAsia" w:ascii="仿宋_GB2312" w:hAnsi="仿宋_GB2312" w:eastAsia="仿宋_GB2312" w:cs="仿宋_GB2312"/>
          <w:color w:val="auto"/>
          <w:sz w:val="32"/>
          <w:szCs w:val="32"/>
        </w:rPr>
        <w:t>万元，占3</w:t>
      </w:r>
      <w:r>
        <w:rPr>
          <w:rFonts w:hint="eastAsia" w:ascii="仿宋_GB2312" w:hAnsi="仿宋_GB2312" w:eastAsia="仿宋_GB2312" w:cs="仿宋_GB2312"/>
          <w:color w:val="auto"/>
          <w:sz w:val="32"/>
          <w:szCs w:val="32"/>
          <w:lang w:val="en-US" w:eastAsia="zh-CN"/>
        </w:rPr>
        <w:t>0.36</w:t>
      </w:r>
      <w:r>
        <w:rPr>
          <w:rFonts w:hint="eastAsia" w:ascii="仿宋_GB2312" w:hAnsi="仿宋_GB2312" w:eastAsia="仿宋_GB2312" w:cs="仿宋_GB2312"/>
          <w:color w:val="auto"/>
          <w:sz w:val="32"/>
          <w:szCs w:val="32"/>
        </w:rPr>
        <w:t>%</w:t>
      </w:r>
    </w:p>
    <w:p w14:paraId="17C89769">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8" w:name="_Toc23302"/>
      <w:r>
        <w:rPr>
          <w:rFonts w:hint="eastAsia"/>
        </w:rPr>
        <w:t>四、财政拨款收支预算情况说明</w:t>
      </w:r>
      <w:bookmarkEnd w:id="8"/>
    </w:p>
    <w:p w14:paraId="5DC8F21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财政拨款收支总预算</w:t>
      </w:r>
      <w:r>
        <w:rPr>
          <w:rFonts w:hint="eastAsia" w:ascii="仿宋_GB2312" w:hAnsi="仿宋_GB2312" w:eastAsia="仿宋_GB2312" w:cs="仿宋_GB2312"/>
          <w:color w:val="auto"/>
          <w:sz w:val="32"/>
          <w:szCs w:val="32"/>
          <w:lang w:val="en-US" w:eastAsia="zh-CN"/>
        </w:rPr>
        <w:t>1818.11</w:t>
      </w:r>
      <w:r>
        <w:rPr>
          <w:rFonts w:hint="eastAsia" w:ascii="仿宋_GB2312" w:hAnsi="仿宋_GB2312" w:eastAsia="仿宋_GB2312" w:cs="仿宋_GB2312"/>
          <w:color w:val="auto"/>
          <w:sz w:val="32"/>
          <w:szCs w:val="32"/>
        </w:rPr>
        <w:t>万元,比</w:t>
      </w:r>
      <w:r>
        <w:rPr>
          <w:rFonts w:hint="eastAsia" w:ascii="仿宋_GB2312" w:hAnsi="仿宋_GB2312" w:eastAsia="仿宋_GB2312" w:cs="仿宋_GB2312"/>
          <w:color w:val="auto"/>
          <w:sz w:val="32"/>
          <w:szCs w:val="32"/>
          <w:lang w:eastAsia="zh-CN"/>
        </w:rPr>
        <w:t>2024年</w:t>
      </w:r>
      <w:r>
        <w:rPr>
          <w:rFonts w:hint="eastAsia" w:ascii="仿宋_GB2312" w:hAnsi="仿宋_GB2312" w:eastAsia="仿宋_GB2312" w:cs="仿宋_GB2312"/>
          <w:color w:val="auto"/>
          <w:sz w:val="32"/>
          <w:szCs w:val="32"/>
        </w:rPr>
        <w:t>财政拨款收支总预算</w:t>
      </w:r>
      <w:r>
        <w:rPr>
          <w:rFonts w:hint="eastAsia" w:ascii="仿宋_GB2312" w:hAnsi="仿宋_GB2312" w:eastAsia="仿宋_GB2312" w:cs="仿宋_GB2312"/>
          <w:color w:val="auto"/>
          <w:sz w:val="32"/>
          <w:szCs w:val="32"/>
          <w:lang w:val="en-US" w:eastAsia="zh-CN"/>
        </w:rPr>
        <w:t>减少278.53</w:t>
      </w:r>
      <w:r>
        <w:rPr>
          <w:rFonts w:hint="eastAsia" w:ascii="仿宋_GB2312" w:hAnsi="仿宋_GB2312" w:eastAsia="仿宋_GB2312" w:cs="仿宋_GB2312"/>
          <w:color w:val="auto"/>
          <w:sz w:val="32"/>
          <w:szCs w:val="32"/>
        </w:rPr>
        <w:t>万元，主要原因:一是本年</w:t>
      </w:r>
      <w:r>
        <w:rPr>
          <w:rFonts w:hint="eastAsia" w:ascii="仿宋_GB2312" w:hAnsi="仿宋_GB2312" w:eastAsia="仿宋_GB2312" w:cs="仿宋_GB2312"/>
          <w:color w:val="auto"/>
          <w:sz w:val="32"/>
          <w:szCs w:val="32"/>
          <w:lang w:val="en-US" w:eastAsia="zh-CN"/>
        </w:rPr>
        <w:t>职工退休1人，相应的资金减少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二是本年一次性安排的</w:t>
      </w:r>
      <w:r>
        <w:rPr>
          <w:rFonts w:hint="eastAsia" w:ascii="仿宋_GB2312" w:hAnsi="仿宋_GB2312" w:eastAsia="仿宋_GB2312" w:cs="仿宋_GB2312"/>
          <w:color w:val="auto"/>
          <w:sz w:val="32"/>
          <w:szCs w:val="32"/>
        </w:rPr>
        <w:t>项目支出预算</w:t>
      </w:r>
      <w:r>
        <w:rPr>
          <w:rFonts w:hint="eastAsia" w:ascii="仿宋_GB2312" w:hAnsi="仿宋_GB2312" w:eastAsia="仿宋_GB2312" w:cs="仿宋_GB2312"/>
          <w:color w:val="auto"/>
          <w:sz w:val="32"/>
          <w:szCs w:val="32"/>
          <w:lang w:val="en-US" w:eastAsia="zh-CN"/>
        </w:rPr>
        <w:t>减少；三是本年厉行节约，按照要求压减资金</w:t>
      </w:r>
      <w:r>
        <w:rPr>
          <w:rFonts w:hint="eastAsia" w:ascii="仿宋_GB2312" w:hAnsi="仿宋_GB2312" w:eastAsia="仿宋_GB2312" w:cs="仿宋_GB2312"/>
          <w:color w:val="auto"/>
          <w:sz w:val="32"/>
          <w:szCs w:val="32"/>
        </w:rPr>
        <w:t>。</w:t>
      </w:r>
    </w:p>
    <w:p w14:paraId="13F1174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收入包括：本年一般公共预算拨款收入</w:t>
      </w:r>
      <w:r>
        <w:rPr>
          <w:rFonts w:hint="eastAsia" w:ascii="仿宋_GB2312" w:hAnsi="仿宋_GB2312" w:eastAsia="仿宋_GB2312" w:cs="仿宋_GB2312"/>
          <w:color w:val="auto"/>
          <w:sz w:val="32"/>
          <w:szCs w:val="32"/>
          <w:lang w:val="en-US" w:eastAsia="zh-CN"/>
        </w:rPr>
        <w:t>1818.11</w:t>
      </w:r>
      <w:r>
        <w:rPr>
          <w:rFonts w:hint="eastAsia" w:ascii="仿宋_GB2312" w:hAnsi="仿宋_GB2312" w:eastAsia="仿宋_GB2312" w:cs="仿宋_GB2312"/>
          <w:color w:val="auto"/>
          <w:sz w:val="32"/>
          <w:szCs w:val="32"/>
        </w:rPr>
        <w:t>万元，上年结转一般公共预算收入0万元，上年结转财政拨款资金0万元。</w:t>
      </w:r>
    </w:p>
    <w:p w14:paraId="48FEA5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支出包括：教育支出</w:t>
      </w:r>
      <w:r>
        <w:rPr>
          <w:rFonts w:hint="eastAsia" w:ascii="仿宋_GB2312" w:hAnsi="仿宋_GB2312" w:eastAsia="仿宋_GB2312" w:cs="仿宋_GB2312"/>
          <w:color w:val="auto"/>
          <w:sz w:val="32"/>
          <w:szCs w:val="32"/>
          <w:lang w:val="en-US" w:eastAsia="zh-CN"/>
        </w:rPr>
        <w:t>1535.80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社会保障和就业支出1</w:t>
      </w:r>
      <w:r>
        <w:rPr>
          <w:rFonts w:hint="eastAsia" w:ascii="仿宋_GB2312" w:hAnsi="仿宋_GB2312" w:eastAsia="仿宋_GB2312" w:cs="仿宋_GB2312"/>
          <w:color w:val="auto"/>
          <w:sz w:val="32"/>
          <w:szCs w:val="32"/>
          <w:lang w:val="en-US" w:eastAsia="zh-CN"/>
        </w:rPr>
        <w:t>48.05</w:t>
      </w:r>
      <w:r>
        <w:rPr>
          <w:rFonts w:hint="eastAsia" w:ascii="仿宋_GB2312" w:hAnsi="仿宋_GB2312" w:eastAsia="仿宋_GB2312" w:cs="仿宋_GB2312"/>
          <w:color w:val="auto"/>
          <w:sz w:val="32"/>
          <w:szCs w:val="32"/>
        </w:rPr>
        <w:t>万元，卫生健康支出6</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72.26</w:t>
      </w:r>
      <w:r>
        <w:rPr>
          <w:rFonts w:hint="eastAsia" w:ascii="仿宋_GB2312" w:hAnsi="仿宋_GB2312" w:eastAsia="仿宋_GB2312" w:cs="仿宋_GB2312"/>
          <w:color w:val="auto"/>
          <w:sz w:val="32"/>
          <w:szCs w:val="32"/>
        </w:rPr>
        <w:t>万元。</w:t>
      </w:r>
    </w:p>
    <w:p w14:paraId="5B574C17">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9" w:name="_Toc24452"/>
      <w:r>
        <w:rPr>
          <w:rFonts w:hint="eastAsia"/>
        </w:rPr>
        <w:t>五、一般公共预算当年拨款情况说明</w:t>
      </w:r>
      <w:bookmarkEnd w:id="9"/>
    </w:p>
    <w:p w14:paraId="5B0155F6">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10" w:name="_Toc21003"/>
      <w:r>
        <w:rPr>
          <w:rFonts w:hint="eastAsia"/>
        </w:rPr>
        <w:t>（一）一般公共预算当年拨款规模变化情况</w:t>
      </w:r>
      <w:bookmarkEnd w:id="10"/>
    </w:p>
    <w:p w14:paraId="60E2109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一般公共预算当年拨款收支总预算</w:t>
      </w:r>
      <w:r>
        <w:rPr>
          <w:rFonts w:hint="eastAsia" w:ascii="仿宋_GB2312" w:hAnsi="仿宋_GB2312" w:eastAsia="仿宋_GB2312" w:cs="仿宋_GB2312"/>
          <w:color w:val="auto"/>
          <w:sz w:val="32"/>
          <w:szCs w:val="32"/>
          <w:lang w:val="en-US" w:eastAsia="zh-CN"/>
        </w:rPr>
        <w:t>1818.11</w:t>
      </w:r>
      <w:r>
        <w:rPr>
          <w:rFonts w:hint="eastAsia" w:ascii="仿宋_GB2312" w:hAnsi="仿宋_GB2312" w:eastAsia="仿宋_GB2312" w:cs="仿宋_GB2312"/>
          <w:color w:val="auto"/>
          <w:sz w:val="32"/>
          <w:szCs w:val="32"/>
        </w:rPr>
        <w:t>万元,比</w:t>
      </w:r>
      <w:r>
        <w:rPr>
          <w:rFonts w:hint="eastAsia" w:ascii="仿宋_GB2312" w:hAnsi="仿宋_GB2312" w:eastAsia="仿宋_GB2312" w:cs="仿宋_GB2312"/>
          <w:color w:val="auto"/>
          <w:sz w:val="32"/>
          <w:szCs w:val="32"/>
          <w:lang w:eastAsia="zh-CN"/>
        </w:rPr>
        <w:t>2024年</w:t>
      </w:r>
      <w:r>
        <w:rPr>
          <w:rFonts w:hint="eastAsia" w:ascii="仿宋_GB2312" w:hAnsi="仿宋_GB2312" w:eastAsia="仿宋_GB2312" w:cs="仿宋_GB2312"/>
          <w:color w:val="auto"/>
          <w:sz w:val="32"/>
          <w:szCs w:val="32"/>
        </w:rPr>
        <w:t>一般公共预算当年拨款收支总预算</w:t>
      </w:r>
      <w:r>
        <w:rPr>
          <w:rFonts w:hint="eastAsia" w:ascii="仿宋_GB2312" w:hAnsi="仿宋_GB2312" w:eastAsia="仿宋_GB2312" w:cs="仿宋_GB2312"/>
          <w:color w:val="auto"/>
          <w:sz w:val="32"/>
          <w:szCs w:val="32"/>
          <w:lang w:val="en-US" w:eastAsia="zh-CN"/>
        </w:rPr>
        <w:t>减少278.53</w:t>
      </w:r>
      <w:r>
        <w:rPr>
          <w:rFonts w:hint="eastAsia" w:ascii="仿宋_GB2312" w:hAnsi="仿宋_GB2312" w:eastAsia="仿宋_GB2312" w:cs="仿宋_GB2312"/>
          <w:color w:val="auto"/>
          <w:sz w:val="32"/>
          <w:szCs w:val="32"/>
        </w:rPr>
        <w:t>万元，主要原因:一是本年</w:t>
      </w:r>
      <w:r>
        <w:rPr>
          <w:rFonts w:hint="eastAsia" w:ascii="仿宋_GB2312" w:hAnsi="仿宋_GB2312" w:eastAsia="仿宋_GB2312" w:cs="仿宋_GB2312"/>
          <w:color w:val="auto"/>
          <w:sz w:val="32"/>
          <w:szCs w:val="32"/>
          <w:lang w:val="en-US" w:eastAsia="zh-CN"/>
        </w:rPr>
        <w:t>职工退休1人，相应的资金减少</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二是本年一次性安排的</w:t>
      </w:r>
      <w:r>
        <w:rPr>
          <w:rFonts w:hint="eastAsia" w:ascii="仿宋_GB2312" w:hAnsi="仿宋_GB2312" w:eastAsia="仿宋_GB2312" w:cs="仿宋_GB2312"/>
          <w:color w:val="auto"/>
          <w:sz w:val="32"/>
          <w:szCs w:val="32"/>
        </w:rPr>
        <w:t>项目支出预算</w:t>
      </w:r>
      <w:r>
        <w:rPr>
          <w:rFonts w:hint="eastAsia" w:ascii="仿宋_GB2312" w:hAnsi="仿宋_GB2312" w:eastAsia="仿宋_GB2312" w:cs="仿宋_GB2312"/>
          <w:color w:val="auto"/>
          <w:sz w:val="32"/>
          <w:szCs w:val="32"/>
          <w:lang w:val="en-US" w:eastAsia="zh-CN"/>
        </w:rPr>
        <w:t>减少；三是本年厉行节约，按照要求压减资金</w:t>
      </w:r>
      <w:r>
        <w:rPr>
          <w:rFonts w:hint="eastAsia" w:ascii="仿宋_GB2312" w:hAnsi="仿宋_GB2312" w:eastAsia="仿宋_GB2312" w:cs="仿宋_GB2312"/>
          <w:color w:val="auto"/>
          <w:sz w:val="32"/>
          <w:szCs w:val="32"/>
        </w:rPr>
        <w:t>。</w:t>
      </w:r>
    </w:p>
    <w:p w14:paraId="3BAFD989">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11" w:name="_Toc5985"/>
      <w:r>
        <w:rPr>
          <w:rFonts w:hint="eastAsia"/>
        </w:rPr>
        <w:t>（二）一般公共预算当年拨款结构情况</w:t>
      </w:r>
      <w:bookmarkEnd w:id="11"/>
    </w:p>
    <w:p w14:paraId="23BD64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本单位2025年</w:t>
      </w:r>
      <w:r>
        <w:rPr>
          <w:rFonts w:hint="eastAsia" w:ascii="仿宋_GB2312" w:hAnsi="仿宋_GB2312" w:eastAsia="仿宋_GB2312" w:cs="仿宋_GB2312"/>
          <w:color w:val="auto"/>
          <w:sz w:val="32"/>
          <w:szCs w:val="32"/>
        </w:rPr>
        <w:t>一般公共预算当年拨款</w:t>
      </w:r>
      <w:r>
        <w:rPr>
          <w:rFonts w:hint="eastAsia" w:ascii="仿宋_GB2312" w:hAnsi="仿宋_GB2312" w:eastAsia="仿宋_GB2312" w:cs="仿宋_GB2312"/>
          <w:color w:val="auto"/>
          <w:sz w:val="32"/>
          <w:szCs w:val="32"/>
          <w:lang w:val="en-US" w:eastAsia="zh-CN"/>
        </w:rPr>
        <w:t>总支出1818.11万元，其中：</w:t>
      </w:r>
      <w:r>
        <w:rPr>
          <w:rFonts w:hint="eastAsia" w:ascii="仿宋_GB2312" w:hAnsi="仿宋_GB2312" w:eastAsia="仿宋_GB2312" w:cs="仿宋_GB2312"/>
          <w:color w:val="auto"/>
          <w:sz w:val="32"/>
          <w:szCs w:val="32"/>
        </w:rPr>
        <w:t>教育支出</w:t>
      </w:r>
      <w:r>
        <w:rPr>
          <w:rFonts w:hint="eastAsia" w:ascii="仿宋_GB2312" w:hAnsi="仿宋_GB2312" w:eastAsia="仿宋_GB2312" w:cs="仿宋_GB2312"/>
          <w:color w:val="auto"/>
          <w:sz w:val="32"/>
          <w:szCs w:val="32"/>
          <w:lang w:val="en-US" w:eastAsia="zh-CN"/>
        </w:rPr>
        <w:t>1535.80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总支出的</w:t>
      </w:r>
      <w:r>
        <w:rPr>
          <w:rFonts w:hint="eastAsia" w:ascii="仿宋_GB2312" w:hAnsi="仿宋_GB2312" w:eastAsia="仿宋_GB2312" w:cs="仿宋_GB2312"/>
          <w:color w:val="auto"/>
          <w:sz w:val="32"/>
          <w:szCs w:val="32"/>
        </w:rPr>
        <w:t>8</w:t>
      </w:r>
      <w:r>
        <w:rPr>
          <w:rFonts w:hint="eastAsia" w:ascii="仿宋_GB2312" w:hAnsi="仿宋_GB2312" w:eastAsia="仿宋_GB2312" w:cs="仿宋_GB2312"/>
          <w:color w:val="auto"/>
          <w:sz w:val="32"/>
          <w:szCs w:val="32"/>
          <w:lang w:val="en-US" w:eastAsia="zh-CN"/>
        </w:rPr>
        <w:t>4.48</w:t>
      </w:r>
      <w:r>
        <w:rPr>
          <w:rFonts w:hint="eastAsia" w:ascii="仿宋_GB2312" w:hAnsi="仿宋_GB2312" w:eastAsia="仿宋_GB2312" w:cs="仿宋_GB2312"/>
          <w:color w:val="auto"/>
          <w:sz w:val="32"/>
          <w:szCs w:val="32"/>
        </w:rPr>
        <w:t>%；社会保障和就业支出1</w:t>
      </w:r>
      <w:r>
        <w:rPr>
          <w:rFonts w:hint="eastAsia" w:ascii="仿宋_GB2312" w:hAnsi="仿宋_GB2312" w:eastAsia="仿宋_GB2312" w:cs="仿宋_GB2312"/>
          <w:color w:val="auto"/>
          <w:sz w:val="32"/>
          <w:szCs w:val="32"/>
          <w:lang w:val="en-US" w:eastAsia="zh-CN"/>
        </w:rPr>
        <w:t>48.05</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总支出的8.14</w:t>
      </w:r>
      <w:r>
        <w:rPr>
          <w:rFonts w:hint="eastAsia" w:ascii="仿宋_GB2312" w:hAnsi="仿宋_GB2312" w:eastAsia="仿宋_GB2312" w:cs="仿宋_GB2312"/>
          <w:color w:val="auto"/>
          <w:sz w:val="32"/>
          <w:szCs w:val="32"/>
        </w:rPr>
        <w:t>%；卫生健康支出6</w:t>
      </w:r>
      <w:r>
        <w:rPr>
          <w:rFonts w:hint="eastAsia" w:ascii="仿宋_GB2312" w:hAnsi="仿宋_GB2312" w:eastAsia="仿宋_GB2312" w:cs="仿宋_GB2312"/>
          <w:color w:val="auto"/>
          <w:sz w:val="32"/>
          <w:szCs w:val="32"/>
          <w:lang w:val="en-US" w:eastAsia="zh-CN"/>
        </w:rPr>
        <w:t>2.00</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总支出的</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41</w:t>
      </w:r>
      <w:r>
        <w:rPr>
          <w:rFonts w:hint="eastAsia" w:ascii="仿宋_GB2312" w:hAnsi="仿宋_GB2312" w:eastAsia="仿宋_GB2312" w:cs="仿宋_GB2312"/>
          <w:color w:val="auto"/>
          <w:sz w:val="32"/>
          <w:szCs w:val="32"/>
        </w:rPr>
        <w:t>%；住房保障支出</w:t>
      </w:r>
      <w:r>
        <w:rPr>
          <w:rFonts w:hint="eastAsia" w:ascii="仿宋_GB2312" w:hAnsi="仿宋_GB2312" w:eastAsia="仿宋_GB2312" w:cs="仿宋_GB2312"/>
          <w:color w:val="auto"/>
          <w:sz w:val="32"/>
          <w:szCs w:val="32"/>
          <w:lang w:val="en-US" w:eastAsia="zh-CN"/>
        </w:rPr>
        <w:t>72.26</w:t>
      </w:r>
      <w:r>
        <w:rPr>
          <w:rFonts w:hint="eastAsia" w:ascii="仿宋_GB2312" w:hAnsi="仿宋_GB2312" w:eastAsia="仿宋_GB2312" w:cs="仿宋_GB2312"/>
          <w:color w:val="auto"/>
          <w:sz w:val="32"/>
          <w:szCs w:val="32"/>
        </w:rPr>
        <w:t>万元，占</w:t>
      </w:r>
      <w:r>
        <w:rPr>
          <w:rFonts w:hint="eastAsia" w:ascii="仿宋_GB2312" w:hAnsi="仿宋_GB2312" w:eastAsia="仿宋_GB2312" w:cs="仿宋_GB2312"/>
          <w:color w:val="auto"/>
          <w:sz w:val="32"/>
          <w:szCs w:val="32"/>
          <w:lang w:val="en-US" w:eastAsia="zh-CN"/>
        </w:rPr>
        <w:t>总支出的</w:t>
      </w:r>
      <w:r>
        <w:rPr>
          <w:rFonts w:hint="eastAsia" w:ascii="仿宋_GB2312" w:hAnsi="仿宋_GB2312" w:eastAsia="仿宋_GB2312" w:cs="仿宋_GB2312"/>
          <w:color w:val="auto"/>
          <w:sz w:val="32"/>
          <w:szCs w:val="32"/>
        </w:rPr>
        <w:t>3.</w:t>
      </w:r>
      <w:r>
        <w:rPr>
          <w:rFonts w:hint="eastAsia" w:ascii="仿宋_GB2312" w:hAnsi="仿宋_GB2312" w:eastAsia="仿宋_GB2312" w:cs="仿宋_GB2312"/>
          <w:color w:val="auto"/>
          <w:sz w:val="32"/>
          <w:szCs w:val="32"/>
          <w:lang w:val="en-US" w:eastAsia="zh-CN"/>
        </w:rPr>
        <w:t>97</w:t>
      </w:r>
      <w:r>
        <w:rPr>
          <w:rFonts w:hint="eastAsia" w:ascii="仿宋_GB2312" w:hAnsi="仿宋_GB2312" w:eastAsia="仿宋_GB2312" w:cs="仿宋_GB2312"/>
          <w:color w:val="auto"/>
          <w:sz w:val="32"/>
          <w:szCs w:val="32"/>
        </w:rPr>
        <w:t>%。</w:t>
      </w:r>
    </w:p>
    <w:p w14:paraId="7699567C">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rPr>
      </w:pPr>
      <w:bookmarkStart w:id="12" w:name="_Toc22997"/>
      <w:r>
        <w:rPr>
          <w:rFonts w:hint="eastAsia"/>
        </w:rPr>
        <w:t>（三）一般公共预算当年拨款具体使用情况</w:t>
      </w:r>
      <w:bookmarkEnd w:id="12"/>
    </w:p>
    <w:p w14:paraId="17E7FC5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1.</w:t>
      </w:r>
      <w:r>
        <w:rPr>
          <w:rFonts w:hint="eastAsia" w:ascii="仿宋_GB2312" w:hAnsi="仿宋_GB2312" w:eastAsia="仿宋_GB2312" w:cs="仿宋_GB2312"/>
          <w:b/>
          <w:bCs/>
          <w:color w:val="auto"/>
          <w:sz w:val="32"/>
          <w:szCs w:val="32"/>
        </w:rPr>
        <w:t>教育支出</w:t>
      </w:r>
      <w:r>
        <w:rPr>
          <w:rFonts w:hint="eastAsia" w:ascii="仿宋_GB2312" w:hAnsi="仿宋_GB2312" w:eastAsia="仿宋_GB2312" w:cs="仿宋_GB2312"/>
          <w:b w:val="0"/>
          <w:bCs w:val="0"/>
          <w:color w:val="auto"/>
          <w:sz w:val="32"/>
          <w:szCs w:val="32"/>
        </w:rPr>
        <w:t>（2050101）</w:t>
      </w:r>
      <w:r>
        <w:rPr>
          <w:rFonts w:hint="eastAsia" w:ascii="仿宋_GB2312" w:hAnsi="仿宋_GB2312" w:eastAsia="仿宋_GB2312" w:cs="仿宋_GB2312"/>
          <w:color w:val="auto"/>
          <w:sz w:val="32"/>
          <w:szCs w:val="32"/>
        </w:rPr>
        <w:t>行政运行</w:t>
      </w:r>
      <w:r>
        <w:rPr>
          <w:rFonts w:hint="eastAsia" w:ascii="仿宋_GB2312" w:hAnsi="仿宋_GB2312" w:eastAsia="仿宋_GB2312" w:cs="仿宋_GB2312"/>
          <w:color w:val="auto"/>
          <w:sz w:val="32"/>
          <w:szCs w:val="32"/>
          <w:lang w:val="en-US" w:eastAsia="zh-CN"/>
        </w:rPr>
        <w:t>983.80</w:t>
      </w:r>
      <w:r>
        <w:rPr>
          <w:rFonts w:hint="eastAsia" w:ascii="仿宋_GB2312" w:hAnsi="仿宋_GB2312" w:eastAsia="仿宋_GB2312" w:cs="仿宋_GB2312"/>
          <w:color w:val="auto"/>
          <w:sz w:val="32"/>
          <w:szCs w:val="32"/>
        </w:rPr>
        <w:t>万元，用于职工工资</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机关运行经费等支出；（2050102）一般行政管理事务</w:t>
      </w:r>
      <w:r>
        <w:rPr>
          <w:rFonts w:hint="eastAsia" w:ascii="仿宋_GB2312" w:hAnsi="仿宋_GB2312" w:eastAsia="仿宋_GB2312" w:cs="仿宋_GB2312"/>
          <w:color w:val="auto"/>
          <w:sz w:val="32"/>
          <w:szCs w:val="32"/>
          <w:lang w:val="en-US" w:eastAsia="zh-CN"/>
        </w:rPr>
        <w:t>552.00</w:t>
      </w:r>
      <w:r>
        <w:rPr>
          <w:rFonts w:hint="eastAsia" w:ascii="仿宋_GB2312" w:hAnsi="仿宋_GB2312" w:eastAsia="仿宋_GB2312" w:cs="仿宋_GB2312"/>
          <w:color w:val="auto"/>
          <w:sz w:val="32"/>
          <w:szCs w:val="32"/>
        </w:rPr>
        <w:t>万元，用于</w:t>
      </w:r>
      <w:r>
        <w:rPr>
          <w:rFonts w:hint="eastAsia" w:ascii="仿宋_GB2312" w:hAnsi="仿宋_GB2312" w:eastAsia="仿宋_GB2312" w:cs="仿宋_GB2312"/>
          <w:color w:val="auto"/>
          <w:sz w:val="32"/>
          <w:szCs w:val="32"/>
          <w:lang w:val="en-US" w:eastAsia="zh-CN"/>
        </w:rPr>
        <w:t>高中学业水平考试、中考、教师招聘和职称评审、招办业务等</w:t>
      </w:r>
      <w:r>
        <w:rPr>
          <w:rFonts w:hint="eastAsia" w:ascii="仿宋_GB2312" w:hAnsi="仿宋_GB2312" w:eastAsia="仿宋_GB2312" w:cs="仿宋_GB2312"/>
          <w:color w:val="auto"/>
          <w:sz w:val="32"/>
          <w:szCs w:val="32"/>
        </w:rPr>
        <w:t>教育项目支出。</w:t>
      </w:r>
    </w:p>
    <w:p w14:paraId="43CE92C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w:t>
      </w:r>
      <w:r>
        <w:rPr>
          <w:rFonts w:hint="eastAsia" w:ascii="仿宋_GB2312" w:hAnsi="仿宋_GB2312" w:eastAsia="仿宋_GB2312" w:cs="仿宋_GB2312"/>
          <w:b/>
          <w:bCs/>
          <w:color w:val="auto"/>
          <w:sz w:val="32"/>
          <w:szCs w:val="32"/>
        </w:rPr>
        <w:t>社会保障和就业支出</w:t>
      </w:r>
      <w:r>
        <w:rPr>
          <w:rFonts w:hint="eastAsia" w:ascii="仿宋_GB2312" w:hAnsi="仿宋_GB2312" w:eastAsia="仿宋_GB2312" w:cs="仿宋_GB2312"/>
          <w:color w:val="auto"/>
          <w:sz w:val="32"/>
          <w:szCs w:val="32"/>
        </w:rPr>
        <w:t>（2080505）机关事业单位基本养老保险缴费支出</w:t>
      </w:r>
      <w:r>
        <w:rPr>
          <w:rFonts w:hint="eastAsia" w:ascii="仿宋_GB2312" w:hAnsi="仿宋_GB2312" w:eastAsia="仿宋_GB2312" w:cs="仿宋_GB2312"/>
          <w:color w:val="auto"/>
          <w:sz w:val="32"/>
          <w:szCs w:val="32"/>
          <w:lang w:val="en-US" w:eastAsia="zh-CN"/>
        </w:rPr>
        <w:t>98.70</w:t>
      </w:r>
      <w:r>
        <w:rPr>
          <w:rFonts w:hint="eastAsia" w:ascii="仿宋_GB2312" w:hAnsi="仿宋_GB2312" w:eastAsia="仿宋_GB2312" w:cs="仿宋_GB2312"/>
          <w:color w:val="auto"/>
          <w:sz w:val="32"/>
          <w:szCs w:val="32"/>
        </w:rPr>
        <w:t>万元，用于支出职工养老保险；（2080506）机关事业单位职业年金缴费支出</w:t>
      </w:r>
      <w:r>
        <w:rPr>
          <w:rFonts w:hint="eastAsia" w:ascii="仿宋_GB2312" w:hAnsi="仿宋_GB2312" w:eastAsia="仿宋_GB2312" w:cs="仿宋_GB2312"/>
          <w:color w:val="auto"/>
          <w:sz w:val="32"/>
          <w:szCs w:val="32"/>
          <w:lang w:val="en-US" w:eastAsia="zh-CN"/>
        </w:rPr>
        <w:t>49.35</w:t>
      </w:r>
      <w:r>
        <w:rPr>
          <w:rFonts w:hint="eastAsia" w:ascii="仿宋_GB2312" w:hAnsi="仿宋_GB2312" w:eastAsia="仿宋_GB2312" w:cs="仿宋_GB2312"/>
          <w:color w:val="auto"/>
          <w:sz w:val="32"/>
          <w:szCs w:val="32"/>
        </w:rPr>
        <w:t>万元，用于支出职工职业年金。</w:t>
      </w:r>
    </w:p>
    <w:p w14:paraId="7EB0F18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3</w:t>
      </w:r>
      <w:r>
        <w:rPr>
          <w:rFonts w:hint="eastAsia" w:ascii="仿宋_GB2312" w:hAnsi="仿宋_GB2312" w:eastAsia="仿宋_GB2312" w:cs="仿宋_GB2312"/>
          <w:b/>
          <w:bCs/>
          <w:color w:val="auto"/>
          <w:sz w:val="32"/>
          <w:szCs w:val="32"/>
          <w:lang w:val="en-US" w:eastAsia="zh-CN"/>
        </w:rPr>
        <w:t>.卫生健康</w:t>
      </w:r>
      <w:r>
        <w:rPr>
          <w:rFonts w:hint="eastAsia" w:ascii="仿宋_GB2312" w:hAnsi="仿宋_GB2312" w:eastAsia="仿宋_GB2312" w:cs="仿宋_GB2312"/>
          <w:b/>
          <w:bCs/>
          <w:color w:val="auto"/>
          <w:sz w:val="32"/>
          <w:szCs w:val="32"/>
        </w:rPr>
        <w:t>支出</w:t>
      </w:r>
      <w:r>
        <w:rPr>
          <w:rFonts w:hint="eastAsia" w:ascii="仿宋_GB2312" w:hAnsi="仿宋_GB2312" w:eastAsia="仿宋_GB2312" w:cs="仿宋_GB2312"/>
          <w:color w:val="auto"/>
          <w:sz w:val="32"/>
          <w:szCs w:val="32"/>
        </w:rPr>
        <w:t>（2101101）行政单位医疗4</w:t>
      </w:r>
      <w:r>
        <w:rPr>
          <w:rFonts w:hint="eastAsia" w:ascii="仿宋_GB2312" w:hAnsi="仿宋_GB2312" w:eastAsia="仿宋_GB2312" w:cs="仿宋_GB2312"/>
          <w:color w:val="auto"/>
          <w:sz w:val="32"/>
          <w:szCs w:val="32"/>
          <w:lang w:val="en-US" w:eastAsia="zh-CN"/>
        </w:rPr>
        <w:t>3.18</w:t>
      </w:r>
      <w:r>
        <w:rPr>
          <w:rFonts w:hint="eastAsia" w:ascii="仿宋_GB2312" w:hAnsi="仿宋_GB2312" w:eastAsia="仿宋_GB2312" w:cs="仿宋_GB2312"/>
          <w:color w:val="auto"/>
          <w:sz w:val="32"/>
          <w:szCs w:val="32"/>
        </w:rPr>
        <w:t>万元，用于支出职工医疗保险支出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（2101103）公务员医疗补助1</w:t>
      </w:r>
      <w:r>
        <w:rPr>
          <w:rFonts w:hint="eastAsia" w:ascii="仿宋_GB2312" w:hAnsi="仿宋_GB2312" w:eastAsia="仿宋_GB2312" w:cs="仿宋_GB2312"/>
          <w:color w:val="auto"/>
          <w:sz w:val="32"/>
          <w:szCs w:val="32"/>
          <w:lang w:val="en-US" w:eastAsia="zh-CN"/>
        </w:rPr>
        <w:t>8.82</w:t>
      </w:r>
      <w:r>
        <w:rPr>
          <w:rFonts w:hint="eastAsia" w:ascii="仿宋_GB2312" w:hAnsi="仿宋_GB2312" w:eastAsia="仿宋_GB2312" w:cs="仿宋_GB2312"/>
          <w:color w:val="auto"/>
          <w:sz w:val="32"/>
          <w:szCs w:val="32"/>
        </w:rPr>
        <w:t>万元，用于支出</w:t>
      </w:r>
      <w:r>
        <w:rPr>
          <w:rFonts w:hint="eastAsia" w:ascii="仿宋_GB2312" w:hAnsi="仿宋_GB2312" w:eastAsia="仿宋_GB2312" w:cs="仿宋_GB2312"/>
          <w:color w:val="auto"/>
          <w:sz w:val="32"/>
          <w:szCs w:val="32"/>
          <w:lang w:val="en-US" w:eastAsia="zh-CN"/>
        </w:rPr>
        <w:t>职工</w:t>
      </w:r>
      <w:r>
        <w:rPr>
          <w:rFonts w:hint="eastAsia" w:ascii="仿宋_GB2312" w:hAnsi="仿宋_GB2312" w:eastAsia="仿宋_GB2312" w:cs="仿宋_GB2312"/>
          <w:color w:val="auto"/>
          <w:sz w:val="32"/>
          <w:szCs w:val="32"/>
        </w:rPr>
        <w:t>公务员医疗保险补充支出。</w:t>
      </w:r>
    </w:p>
    <w:p w14:paraId="06A6F52F">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lang w:val="en-US" w:eastAsia="zh-CN"/>
        </w:rPr>
        <w:t>4.</w:t>
      </w:r>
      <w:r>
        <w:rPr>
          <w:rFonts w:hint="eastAsia" w:ascii="仿宋_GB2312" w:hAnsi="仿宋_GB2312" w:eastAsia="仿宋_GB2312" w:cs="仿宋_GB2312"/>
          <w:b/>
          <w:bCs/>
          <w:color w:val="auto"/>
          <w:sz w:val="32"/>
          <w:szCs w:val="32"/>
        </w:rPr>
        <w:t>住房保障支出</w:t>
      </w:r>
      <w:r>
        <w:rPr>
          <w:rFonts w:hint="eastAsia" w:ascii="仿宋_GB2312" w:hAnsi="仿宋_GB2312" w:eastAsia="仿宋_GB2312" w:cs="仿宋_GB2312"/>
          <w:color w:val="auto"/>
          <w:sz w:val="32"/>
          <w:szCs w:val="32"/>
        </w:rPr>
        <w:t>（2210201）住房公积金</w:t>
      </w:r>
      <w:r>
        <w:rPr>
          <w:rFonts w:hint="eastAsia" w:ascii="仿宋_GB2312" w:hAnsi="仿宋_GB2312" w:eastAsia="仿宋_GB2312" w:cs="仿宋_GB2312"/>
          <w:color w:val="auto"/>
          <w:sz w:val="32"/>
          <w:szCs w:val="32"/>
          <w:lang w:val="en-US" w:eastAsia="zh-CN"/>
        </w:rPr>
        <w:t>72.26</w:t>
      </w:r>
      <w:r>
        <w:rPr>
          <w:rFonts w:hint="eastAsia" w:ascii="仿宋_GB2312" w:hAnsi="仿宋_GB2312" w:eastAsia="仿宋_GB2312" w:cs="仿宋_GB2312"/>
          <w:color w:val="auto"/>
          <w:sz w:val="32"/>
          <w:szCs w:val="32"/>
        </w:rPr>
        <w:t>万元，用于支出职工住房公积金。　</w:t>
      </w:r>
    </w:p>
    <w:p w14:paraId="29D5276B">
      <w:pPr>
        <w:pStyle w:val="2"/>
        <w:pageBreakBefore w:val="0"/>
        <w:widowControl w:val="0"/>
        <w:kinsoku/>
        <w:wordWrap/>
        <w:overflowPunct/>
        <w:topLinePunct w:val="0"/>
        <w:autoSpaceDE/>
        <w:autoSpaceDN/>
        <w:bidi w:val="0"/>
        <w:adjustRightInd/>
        <w:snapToGrid/>
        <w:spacing w:line="560" w:lineRule="exact"/>
        <w:textAlignment w:val="auto"/>
        <w:rPr>
          <w:rFonts w:hint="eastAsia"/>
        </w:rPr>
      </w:pPr>
      <w:bookmarkStart w:id="13" w:name="_Toc24453"/>
      <w:r>
        <w:rPr>
          <w:rFonts w:hint="eastAsia"/>
        </w:rPr>
        <w:t>六、一般公共预算基本支出情况说明</w:t>
      </w:r>
      <w:bookmarkEnd w:id="13"/>
    </w:p>
    <w:p w14:paraId="6D74047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一般公共预算基本支出</w:t>
      </w:r>
      <w:r>
        <w:rPr>
          <w:rFonts w:hint="eastAsia" w:ascii="仿宋_GB2312" w:hAnsi="仿宋_GB2312" w:eastAsia="仿宋_GB2312" w:cs="仿宋_GB2312"/>
          <w:color w:val="auto"/>
          <w:sz w:val="32"/>
          <w:szCs w:val="32"/>
          <w:lang w:val="en-US" w:eastAsia="zh-CN"/>
        </w:rPr>
        <w:t>1266.11</w:t>
      </w:r>
      <w:r>
        <w:rPr>
          <w:rFonts w:hint="eastAsia" w:ascii="仿宋_GB2312" w:hAnsi="仿宋_GB2312" w:eastAsia="仿宋_GB2312" w:cs="仿宋_GB2312"/>
          <w:color w:val="auto"/>
          <w:sz w:val="32"/>
          <w:szCs w:val="32"/>
        </w:rPr>
        <w:t>万元，其中：</w:t>
      </w:r>
    </w:p>
    <w:p w14:paraId="3836000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人员经费1</w:t>
      </w:r>
      <w:r>
        <w:rPr>
          <w:rFonts w:hint="eastAsia" w:ascii="仿宋_GB2312" w:hAnsi="仿宋_GB2312" w:eastAsia="仿宋_GB2312" w:cs="仿宋_GB2312"/>
          <w:color w:val="auto"/>
          <w:sz w:val="32"/>
          <w:szCs w:val="32"/>
          <w:lang w:val="en-US" w:eastAsia="zh-CN"/>
        </w:rPr>
        <w:t>088.80</w:t>
      </w:r>
      <w:r>
        <w:rPr>
          <w:rFonts w:hint="eastAsia" w:ascii="仿宋_GB2312" w:hAnsi="仿宋_GB2312" w:eastAsia="仿宋_GB2312" w:cs="仿宋_GB2312"/>
          <w:color w:val="auto"/>
          <w:sz w:val="32"/>
          <w:szCs w:val="32"/>
        </w:rPr>
        <w:t>万元，主要包括：基本工资、津贴补贴、奖金、其他社会保障缴费、机关事业单位基本养老保险缴费、职业年金缴费、职工基本医疗保险缴费、住房公积金、其他工资福利支出、生活补助、奖励金。</w:t>
      </w:r>
    </w:p>
    <w:p w14:paraId="7533C7B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公用经费1</w:t>
      </w:r>
      <w:r>
        <w:rPr>
          <w:rFonts w:hint="eastAsia" w:ascii="仿宋_GB2312" w:hAnsi="仿宋_GB2312" w:eastAsia="仿宋_GB2312" w:cs="仿宋_GB2312"/>
          <w:color w:val="auto"/>
          <w:sz w:val="32"/>
          <w:szCs w:val="32"/>
          <w:lang w:val="en-US" w:eastAsia="zh-CN"/>
        </w:rPr>
        <w:t>77.32</w:t>
      </w:r>
      <w:r>
        <w:rPr>
          <w:rFonts w:hint="eastAsia" w:ascii="仿宋_GB2312" w:hAnsi="仿宋_GB2312" w:eastAsia="仿宋_GB2312" w:cs="仿宋_GB2312"/>
          <w:color w:val="auto"/>
          <w:sz w:val="32"/>
          <w:szCs w:val="32"/>
        </w:rPr>
        <w:t>万元，主要包括：办公费、水费、邮电费、取暖费、差旅费、维修（护）费、培训费、公务接待费、福利费、公务用车运行维护费、其他商品和服务支出。</w:t>
      </w:r>
    </w:p>
    <w:p w14:paraId="560D4FBD">
      <w:pPr>
        <w:pStyle w:val="2"/>
        <w:pageBreakBefore w:val="0"/>
        <w:widowControl w:val="0"/>
        <w:kinsoku/>
        <w:wordWrap/>
        <w:overflowPunct/>
        <w:topLinePunct w:val="0"/>
        <w:autoSpaceDE/>
        <w:autoSpaceDN/>
        <w:bidi w:val="0"/>
        <w:adjustRightInd/>
        <w:snapToGrid/>
        <w:spacing w:line="560" w:lineRule="exact"/>
        <w:textAlignment w:val="auto"/>
        <w:rPr>
          <w:rFonts w:hint="eastAsia"/>
        </w:rPr>
      </w:pPr>
      <w:bookmarkStart w:id="14" w:name="_Toc6653"/>
      <w:r>
        <w:rPr>
          <w:rFonts w:hint="eastAsia"/>
        </w:rPr>
        <w:t>七、“三公”经费财政拨款预算安排情况说明</w:t>
      </w:r>
      <w:bookmarkEnd w:id="14"/>
    </w:p>
    <w:p w14:paraId="6915CA5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本单位</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rPr>
        <w:t>“三公”经费财政拨款预算数</w:t>
      </w:r>
      <w:r>
        <w:rPr>
          <w:rFonts w:hint="eastAsia" w:ascii="仿宋_GB2312" w:hAnsi="仿宋_GB2312" w:eastAsia="仿宋_GB2312" w:cs="仿宋_GB2312"/>
          <w:color w:val="auto"/>
          <w:sz w:val="32"/>
          <w:szCs w:val="32"/>
          <w:lang w:val="en-US" w:eastAsia="zh-CN"/>
        </w:rPr>
        <w:t>107.58</w:t>
      </w:r>
      <w:r>
        <w:rPr>
          <w:rFonts w:hint="eastAsia" w:ascii="仿宋_GB2312" w:hAnsi="仿宋_GB2312" w:eastAsia="仿宋_GB2312" w:cs="仿宋_GB2312"/>
          <w:color w:val="auto"/>
          <w:sz w:val="32"/>
          <w:szCs w:val="32"/>
        </w:rPr>
        <w:t>万元，其中：因公出国（境）经费0万元，公务接待费2.</w:t>
      </w:r>
      <w:r>
        <w:rPr>
          <w:rFonts w:hint="eastAsia" w:ascii="仿宋_GB2312" w:hAnsi="仿宋_GB2312" w:eastAsia="仿宋_GB2312" w:cs="仿宋_GB2312"/>
          <w:color w:val="auto"/>
          <w:sz w:val="32"/>
          <w:szCs w:val="32"/>
          <w:lang w:val="en-US" w:eastAsia="zh-CN"/>
        </w:rPr>
        <w:t>78</w:t>
      </w:r>
      <w:r>
        <w:rPr>
          <w:rFonts w:hint="eastAsia" w:ascii="仿宋_GB2312" w:hAnsi="仿宋_GB2312" w:eastAsia="仿宋_GB2312" w:cs="仿宋_GB2312"/>
          <w:color w:val="auto"/>
          <w:sz w:val="32"/>
          <w:szCs w:val="32"/>
        </w:rPr>
        <w:t>万元，公务用车购置及运行维护费</w:t>
      </w:r>
      <w:r>
        <w:rPr>
          <w:rFonts w:hint="eastAsia" w:ascii="仿宋_GB2312" w:hAnsi="仿宋_GB2312" w:eastAsia="仿宋_GB2312" w:cs="仿宋_GB2312"/>
          <w:color w:val="auto"/>
          <w:sz w:val="32"/>
          <w:szCs w:val="32"/>
          <w:lang w:val="en-US" w:eastAsia="zh-CN"/>
        </w:rPr>
        <w:t>104</w:t>
      </w:r>
      <w:r>
        <w:rPr>
          <w:rFonts w:hint="eastAsia" w:ascii="仿宋_GB2312" w:hAnsi="仿宋_GB2312" w:eastAsia="仿宋_GB2312" w:cs="仿宋_GB2312"/>
          <w:color w:val="auto"/>
          <w:sz w:val="32"/>
          <w:szCs w:val="32"/>
        </w:rPr>
        <w:t>.80万元。</w:t>
      </w:r>
    </w:p>
    <w:p w14:paraId="7230A82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outlineLvl w:val="1"/>
        <w:rPr>
          <w:rFonts w:hint="eastAsia" w:ascii="仿宋_GB2312" w:hAnsi="仿宋_GB2312" w:eastAsia="仿宋_GB2312" w:cs="仿宋_GB2312"/>
          <w:color w:val="auto"/>
          <w:sz w:val="32"/>
          <w:szCs w:val="32"/>
        </w:rPr>
      </w:pPr>
      <w:bookmarkStart w:id="15" w:name="_Toc12266"/>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val="en-US" w:eastAsia="zh-CN"/>
        </w:rPr>
        <w:t>预算安排</w:t>
      </w:r>
      <w:r>
        <w:rPr>
          <w:rFonts w:hint="eastAsia" w:ascii="仿宋_GB2312" w:hAnsi="仿宋_GB2312" w:eastAsia="仿宋_GB2312" w:cs="仿宋_GB2312"/>
          <w:color w:val="auto"/>
          <w:sz w:val="32"/>
          <w:szCs w:val="32"/>
        </w:rPr>
        <w:t>因公出国（境）经费0万元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与2024年持平</w:t>
      </w:r>
      <w:r>
        <w:rPr>
          <w:rFonts w:hint="eastAsia" w:ascii="仿宋_GB2312" w:hAnsi="仿宋_GB2312" w:eastAsia="仿宋_GB2312" w:cs="仿宋_GB2312"/>
          <w:color w:val="auto"/>
          <w:sz w:val="32"/>
          <w:szCs w:val="32"/>
        </w:rPr>
        <w:t>。</w:t>
      </w:r>
      <w:bookmarkEnd w:id="15"/>
    </w:p>
    <w:p w14:paraId="52965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val="en-US" w:eastAsia="zh-CN"/>
        </w:rPr>
        <w:t>预算安排</w:t>
      </w:r>
      <w:r>
        <w:rPr>
          <w:rFonts w:hint="eastAsia" w:ascii="仿宋_GB2312" w:hAnsi="仿宋_GB2312" w:eastAsia="仿宋_GB2312" w:cs="仿宋_GB2312"/>
          <w:color w:val="auto"/>
          <w:sz w:val="32"/>
          <w:szCs w:val="32"/>
        </w:rPr>
        <w:t>公务接待经费2.</w:t>
      </w:r>
      <w:r>
        <w:rPr>
          <w:rFonts w:hint="eastAsia" w:ascii="仿宋_GB2312" w:hAnsi="仿宋_GB2312" w:eastAsia="仿宋_GB2312" w:cs="仿宋_GB2312"/>
          <w:color w:val="auto"/>
          <w:sz w:val="32"/>
          <w:szCs w:val="32"/>
          <w:lang w:val="en-US" w:eastAsia="zh-CN"/>
        </w:rPr>
        <w:t>78</w:t>
      </w:r>
      <w:r>
        <w:rPr>
          <w:rFonts w:hint="eastAsia" w:ascii="仿宋_GB2312" w:hAnsi="仿宋_GB2312" w:eastAsia="仿宋_GB2312" w:cs="仿宋_GB2312"/>
          <w:color w:val="auto"/>
          <w:sz w:val="32"/>
          <w:szCs w:val="32"/>
        </w:rPr>
        <w:t>万元。较</w:t>
      </w:r>
      <w:r>
        <w:rPr>
          <w:rFonts w:hint="eastAsia" w:ascii="仿宋_GB2312" w:hAnsi="仿宋_GB2312" w:eastAsia="仿宋_GB2312" w:cs="仿宋_GB2312"/>
          <w:color w:val="auto"/>
          <w:sz w:val="32"/>
          <w:szCs w:val="32"/>
          <w:lang w:eastAsia="zh-CN"/>
        </w:rPr>
        <w:t>2024年</w:t>
      </w:r>
      <w:r>
        <w:rPr>
          <w:rFonts w:hint="eastAsia" w:ascii="仿宋_GB2312" w:hAnsi="仿宋_GB2312" w:eastAsia="仿宋_GB2312" w:cs="仿宋_GB2312"/>
          <w:color w:val="auto"/>
          <w:sz w:val="32"/>
          <w:szCs w:val="32"/>
        </w:rPr>
        <w:t>预算经费</w:t>
      </w:r>
      <w:r>
        <w:rPr>
          <w:rFonts w:hint="eastAsia" w:ascii="仿宋_GB2312" w:hAnsi="仿宋_GB2312" w:eastAsia="仿宋_GB2312" w:cs="仿宋_GB2312"/>
          <w:color w:val="auto"/>
          <w:sz w:val="32"/>
          <w:szCs w:val="32"/>
          <w:lang w:val="en-US" w:eastAsia="zh-CN"/>
        </w:rPr>
        <w:t>增加0.09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主要原因为：本年公务接待费测算标准提高</w:t>
      </w:r>
      <w:r>
        <w:rPr>
          <w:rFonts w:hint="eastAsia" w:ascii="仿宋_GB2312" w:hAnsi="仿宋_GB2312" w:eastAsia="仿宋_GB2312" w:cs="仿宋_GB2312"/>
          <w:color w:val="auto"/>
          <w:sz w:val="32"/>
          <w:szCs w:val="32"/>
        </w:rPr>
        <w:t>。</w:t>
      </w:r>
    </w:p>
    <w:p w14:paraId="30DC3CF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eastAsia="zh-CN"/>
        </w:rPr>
        <w:t>2025年</w:t>
      </w:r>
      <w:r>
        <w:rPr>
          <w:rFonts w:hint="eastAsia" w:ascii="仿宋_GB2312" w:hAnsi="仿宋_GB2312" w:eastAsia="仿宋_GB2312" w:cs="仿宋_GB2312"/>
          <w:color w:val="auto"/>
          <w:sz w:val="32"/>
          <w:szCs w:val="32"/>
          <w:lang w:val="en-US" w:eastAsia="zh-CN"/>
        </w:rPr>
        <w:t>预算安排</w:t>
      </w:r>
      <w:r>
        <w:rPr>
          <w:rFonts w:hint="eastAsia" w:ascii="仿宋_GB2312" w:hAnsi="仿宋_GB2312" w:eastAsia="仿宋_GB2312" w:cs="仿宋_GB2312"/>
          <w:color w:val="auto"/>
          <w:sz w:val="32"/>
          <w:szCs w:val="32"/>
        </w:rPr>
        <w:t>公务用车购置及运行维护费</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4.80万元。</w:t>
      </w:r>
      <w:r>
        <w:rPr>
          <w:rFonts w:hint="eastAsia" w:ascii="仿宋_GB2312" w:hAnsi="仿宋_GB2312" w:eastAsia="仿宋_GB2312" w:cs="仿宋_GB2312"/>
          <w:color w:val="auto"/>
          <w:sz w:val="32"/>
          <w:szCs w:val="32"/>
          <w:lang w:val="en-US" w:eastAsia="zh-CN"/>
        </w:rPr>
        <w:t>较</w:t>
      </w:r>
      <w:r>
        <w:rPr>
          <w:rFonts w:hint="eastAsia" w:ascii="仿宋_GB2312" w:hAnsi="仿宋_GB2312" w:eastAsia="仿宋_GB2312" w:cs="仿宋_GB2312"/>
          <w:color w:val="auto"/>
          <w:sz w:val="32"/>
          <w:szCs w:val="32"/>
          <w:lang w:eastAsia="zh-CN"/>
        </w:rPr>
        <w:t>2024年</w:t>
      </w:r>
      <w:r>
        <w:rPr>
          <w:rFonts w:hint="eastAsia" w:ascii="仿宋_GB2312" w:hAnsi="仿宋_GB2312" w:eastAsia="仿宋_GB2312" w:cs="仿宋_GB2312"/>
          <w:color w:val="auto"/>
          <w:sz w:val="32"/>
          <w:szCs w:val="32"/>
        </w:rPr>
        <w:t>预算</w:t>
      </w:r>
      <w:r>
        <w:rPr>
          <w:rFonts w:hint="eastAsia" w:ascii="仿宋_GB2312" w:hAnsi="仿宋_GB2312" w:eastAsia="仿宋_GB2312" w:cs="仿宋_GB2312"/>
          <w:color w:val="auto"/>
          <w:sz w:val="32"/>
          <w:szCs w:val="32"/>
          <w:lang w:val="en-US" w:eastAsia="zh-CN"/>
        </w:rPr>
        <w:t>增加10万元，主要原因为：本年学前教育普及普惠、义务教育优质均衡、校点布局结构优化调整、控辍保学等重点工作任务增加，涉及点多、面广，故增加了公务用车运行经费预算</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lang w:val="en-US" w:eastAsia="zh-CN"/>
        </w:rPr>
        <w:t>其中：</w:t>
      </w:r>
      <w:r>
        <w:rPr>
          <w:rFonts w:hint="eastAsia" w:ascii="仿宋_GB2312" w:hAnsi="仿宋_GB2312" w:eastAsia="仿宋_GB2312" w:cs="仿宋_GB2312"/>
          <w:b/>
          <w:bCs/>
          <w:color w:val="auto"/>
          <w:kern w:val="2"/>
          <w:sz w:val="32"/>
          <w:szCs w:val="32"/>
          <w:lang w:val="en-US" w:eastAsia="zh-CN"/>
        </w:rPr>
        <w:t>公务用车购置费</w:t>
      </w:r>
      <w:r>
        <w:rPr>
          <w:rFonts w:hint="eastAsia" w:ascii="仿宋_GB2312" w:hAnsi="仿宋_GB2312" w:eastAsia="仿宋_GB2312" w:cs="仿宋_GB2312"/>
          <w:color w:val="auto"/>
          <w:kern w:val="2"/>
          <w:sz w:val="32"/>
          <w:szCs w:val="32"/>
          <w:lang w:val="en-US" w:eastAsia="zh-CN"/>
        </w:rPr>
        <w:t>为0万元；</w:t>
      </w:r>
      <w:r>
        <w:rPr>
          <w:rFonts w:hint="eastAsia" w:ascii="仿宋_GB2312" w:hAnsi="仿宋_GB2312" w:eastAsia="仿宋_GB2312" w:cs="仿宋_GB2312"/>
          <w:b/>
          <w:bCs/>
          <w:color w:val="auto"/>
          <w:kern w:val="2"/>
          <w:sz w:val="32"/>
          <w:szCs w:val="32"/>
          <w:lang w:val="en-US" w:eastAsia="zh-CN"/>
        </w:rPr>
        <w:t>公务用车运行维护费</w:t>
      </w:r>
      <w:r>
        <w:rPr>
          <w:rFonts w:hint="eastAsia" w:ascii="仿宋_GB2312" w:hAnsi="仿宋_GB2312" w:eastAsia="仿宋_GB2312" w:cs="仿宋_GB2312"/>
          <w:color w:val="auto"/>
          <w:kern w:val="2"/>
          <w:sz w:val="32"/>
          <w:szCs w:val="32"/>
          <w:lang w:val="en-US" w:eastAsia="zh-CN"/>
        </w:rPr>
        <w:t>为</w:t>
      </w:r>
      <w:r>
        <w:rPr>
          <w:rFonts w:hint="eastAsia" w:cs="仿宋_GB2312"/>
          <w:color w:val="auto"/>
          <w:kern w:val="2"/>
          <w:sz w:val="32"/>
          <w:szCs w:val="32"/>
          <w:lang w:val="en-US" w:eastAsia="zh-CN"/>
        </w:rPr>
        <w:t>104.80</w:t>
      </w:r>
      <w:r>
        <w:rPr>
          <w:rFonts w:hint="eastAsia" w:ascii="仿宋_GB2312" w:hAnsi="仿宋_GB2312" w:eastAsia="仿宋_GB2312" w:cs="仿宋_GB2312"/>
          <w:color w:val="auto"/>
          <w:kern w:val="2"/>
          <w:sz w:val="32"/>
          <w:szCs w:val="32"/>
          <w:lang w:val="en-US" w:eastAsia="zh-CN"/>
        </w:rPr>
        <w:t>万元。</w:t>
      </w:r>
    </w:p>
    <w:p w14:paraId="183D838B">
      <w:pPr>
        <w:pStyle w:val="2"/>
        <w:pageBreakBefore w:val="0"/>
        <w:widowControl w:val="0"/>
        <w:kinsoku/>
        <w:wordWrap/>
        <w:overflowPunct/>
        <w:topLinePunct w:val="0"/>
        <w:autoSpaceDE/>
        <w:autoSpaceDN/>
        <w:bidi w:val="0"/>
        <w:adjustRightInd/>
        <w:snapToGrid/>
        <w:spacing w:line="560" w:lineRule="exact"/>
        <w:textAlignment w:val="auto"/>
        <w:rPr>
          <w:rFonts w:hint="eastAsia"/>
        </w:rPr>
      </w:pPr>
      <w:bookmarkStart w:id="16" w:name="_Toc26198"/>
      <w:r>
        <w:rPr>
          <w:rFonts w:hint="eastAsia"/>
        </w:rPr>
        <w:t>八、政府性基金预算支出情况说明</w:t>
      </w:r>
      <w:bookmarkEnd w:id="16"/>
    </w:p>
    <w:p w14:paraId="6FA893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无</w:t>
      </w:r>
    </w:p>
    <w:p w14:paraId="3795EB1E">
      <w:pPr>
        <w:pStyle w:val="2"/>
        <w:pageBreakBefore w:val="0"/>
        <w:widowControl w:val="0"/>
        <w:kinsoku/>
        <w:wordWrap/>
        <w:overflowPunct/>
        <w:topLinePunct w:val="0"/>
        <w:autoSpaceDE/>
        <w:autoSpaceDN/>
        <w:bidi w:val="0"/>
        <w:adjustRightInd/>
        <w:snapToGrid/>
        <w:spacing w:line="560" w:lineRule="exact"/>
        <w:textAlignment w:val="auto"/>
        <w:rPr>
          <w:rFonts w:hint="eastAsia"/>
        </w:rPr>
      </w:pPr>
      <w:bookmarkStart w:id="17" w:name="_Toc16871"/>
      <w:r>
        <w:rPr>
          <w:rFonts w:hint="eastAsia"/>
        </w:rPr>
        <w:t>九、其他重要事项的情况说明</w:t>
      </w:r>
      <w:bookmarkEnd w:id="17"/>
    </w:p>
    <w:p w14:paraId="05A55C8D">
      <w:pPr>
        <w:pStyle w:val="3"/>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18" w:name="_Toc15456"/>
      <w:r>
        <w:rPr>
          <w:rFonts w:hint="eastAsia"/>
        </w:rPr>
        <w:t>（一）机关运行经费</w:t>
      </w:r>
      <w:bookmarkEnd w:id="18"/>
    </w:p>
    <w:p w14:paraId="683CF0E3">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val="en-US" w:eastAsia="zh-CN"/>
        </w:rPr>
        <w:t>本单位</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机关运行经费财政拨款预算为</w:t>
      </w:r>
      <w:r>
        <w:rPr>
          <w:rFonts w:hint="eastAsia" w:cs="仿宋_GB2312"/>
          <w:color w:val="auto"/>
          <w:kern w:val="2"/>
          <w:sz w:val="32"/>
          <w:szCs w:val="32"/>
          <w:lang w:val="en-US" w:eastAsia="zh-CN"/>
        </w:rPr>
        <w:t>177.32</w:t>
      </w:r>
      <w:r>
        <w:rPr>
          <w:rFonts w:hint="eastAsia" w:ascii="仿宋_GB2312" w:hAnsi="仿宋_GB2312" w:eastAsia="仿宋_GB2312" w:cs="仿宋_GB2312"/>
          <w:color w:val="auto"/>
          <w:kern w:val="2"/>
          <w:sz w:val="32"/>
          <w:szCs w:val="32"/>
        </w:rPr>
        <w:t>万元，比</w:t>
      </w:r>
      <w:r>
        <w:rPr>
          <w:rFonts w:hint="eastAsia" w:cs="仿宋_GB2312"/>
          <w:color w:val="auto"/>
          <w:kern w:val="2"/>
          <w:sz w:val="32"/>
          <w:szCs w:val="32"/>
          <w:lang w:eastAsia="zh-CN"/>
        </w:rPr>
        <w:t>2024年</w:t>
      </w:r>
      <w:r>
        <w:rPr>
          <w:rFonts w:hint="eastAsia" w:cs="仿宋_GB2312"/>
          <w:color w:val="auto"/>
          <w:kern w:val="2"/>
          <w:sz w:val="32"/>
          <w:szCs w:val="32"/>
          <w:lang w:val="en-US" w:eastAsia="zh-CN"/>
        </w:rPr>
        <w:t>机</w:t>
      </w:r>
      <w:r>
        <w:rPr>
          <w:rFonts w:hint="eastAsia" w:ascii="仿宋_GB2312" w:hAnsi="仿宋_GB2312" w:eastAsia="仿宋_GB2312" w:cs="仿宋_GB2312"/>
          <w:color w:val="auto"/>
          <w:kern w:val="2"/>
          <w:sz w:val="32"/>
          <w:szCs w:val="32"/>
        </w:rPr>
        <w:t>关运行经费预算</w:t>
      </w:r>
      <w:r>
        <w:rPr>
          <w:rFonts w:hint="eastAsia" w:cs="仿宋_GB2312"/>
          <w:color w:val="auto"/>
          <w:kern w:val="2"/>
          <w:sz w:val="32"/>
          <w:szCs w:val="32"/>
          <w:lang w:val="en-US" w:eastAsia="zh-CN"/>
        </w:rPr>
        <w:t>减少12.97</w:t>
      </w:r>
      <w:r>
        <w:rPr>
          <w:rFonts w:hint="eastAsia" w:ascii="仿宋_GB2312" w:hAnsi="仿宋_GB2312" w:eastAsia="仿宋_GB2312" w:cs="仿宋_GB2312"/>
          <w:color w:val="auto"/>
          <w:kern w:val="2"/>
          <w:sz w:val="32"/>
          <w:szCs w:val="32"/>
        </w:rPr>
        <w:t>万元，</w:t>
      </w:r>
      <w:r>
        <w:rPr>
          <w:rFonts w:hint="eastAsia" w:cs="仿宋_GB2312"/>
          <w:color w:val="auto"/>
          <w:kern w:val="2"/>
          <w:sz w:val="32"/>
          <w:szCs w:val="32"/>
          <w:lang w:val="en-US" w:eastAsia="zh-CN"/>
        </w:rPr>
        <w:t>降低6.82</w:t>
      </w:r>
      <w:r>
        <w:rPr>
          <w:rFonts w:hint="eastAsia" w:ascii="仿宋_GB2312" w:hAnsi="仿宋_GB2312" w:eastAsia="仿宋_GB2312" w:cs="仿宋_GB2312"/>
          <w:color w:val="auto"/>
          <w:kern w:val="2"/>
          <w:sz w:val="32"/>
          <w:szCs w:val="32"/>
        </w:rPr>
        <w:t>%</w:t>
      </w:r>
      <w:r>
        <w:rPr>
          <w:rFonts w:hint="eastAsia" w:cs="仿宋_GB2312"/>
          <w:color w:val="auto"/>
          <w:kern w:val="2"/>
          <w:sz w:val="32"/>
          <w:szCs w:val="32"/>
          <w:lang w:eastAsia="zh-CN"/>
        </w:rPr>
        <w:t>，</w:t>
      </w:r>
      <w:r>
        <w:rPr>
          <w:rFonts w:hint="eastAsia" w:cs="仿宋_GB2312"/>
          <w:color w:val="auto"/>
          <w:kern w:val="2"/>
          <w:sz w:val="32"/>
          <w:szCs w:val="32"/>
          <w:lang w:val="en-US" w:eastAsia="zh-CN"/>
        </w:rPr>
        <w:t>主要原因为本年职工退休1人，人数减少，相应的机关运费经费减少</w:t>
      </w:r>
      <w:r>
        <w:rPr>
          <w:rFonts w:hint="eastAsia" w:ascii="仿宋_GB2312" w:hAnsi="仿宋_GB2312" w:eastAsia="仿宋_GB2312" w:cs="仿宋_GB2312"/>
          <w:color w:val="auto"/>
          <w:kern w:val="2"/>
          <w:sz w:val="32"/>
          <w:szCs w:val="32"/>
        </w:rPr>
        <w:t xml:space="preserve">。 </w:t>
      </w:r>
    </w:p>
    <w:p w14:paraId="50870DB8">
      <w:pPr>
        <w:pStyle w:val="3"/>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19" w:name="_Toc18530"/>
      <w:r>
        <w:rPr>
          <w:rFonts w:hint="eastAsia"/>
        </w:rPr>
        <w:t>（二）政府采购情况</w:t>
      </w:r>
      <w:bookmarkEnd w:id="19"/>
    </w:p>
    <w:p w14:paraId="6565EB24">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val="en-US" w:eastAsia="zh-CN"/>
        </w:rPr>
        <w:t>本单位</w:t>
      </w:r>
      <w:r>
        <w:rPr>
          <w:rFonts w:hint="eastAsia" w:cs="仿宋_GB2312"/>
          <w:color w:val="auto"/>
          <w:kern w:val="2"/>
          <w:sz w:val="32"/>
          <w:szCs w:val="32"/>
          <w:lang w:eastAsia="zh-CN"/>
        </w:rPr>
        <w:t>2025年</w:t>
      </w:r>
      <w:r>
        <w:rPr>
          <w:rFonts w:hint="eastAsia" w:cs="仿宋_GB2312"/>
          <w:color w:val="auto"/>
          <w:kern w:val="2"/>
          <w:sz w:val="32"/>
          <w:szCs w:val="32"/>
          <w:lang w:val="en-US" w:eastAsia="zh-CN"/>
        </w:rPr>
        <w:t>未</w:t>
      </w:r>
      <w:r>
        <w:rPr>
          <w:rFonts w:hint="eastAsia" w:ascii="仿宋_GB2312" w:hAnsi="仿宋_GB2312" w:eastAsia="仿宋_GB2312" w:cs="仿宋_GB2312"/>
          <w:color w:val="auto"/>
          <w:kern w:val="2"/>
          <w:sz w:val="32"/>
          <w:szCs w:val="32"/>
        </w:rPr>
        <w:t>安排政府采购预算。</w:t>
      </w:r>
    </w:p>
    <w:p w14:paraId="7C3E64FA">
      <w:pPr>
        <w:pStyle w:val="3"/>
        <w:pageBreakBefore w:val="0"/>
        <w:widowControl w:val="0"/>
        <w:kinsoku/>
        <w:wordWrap/>
        <w:overflowPunct/>
        <w:topLinePunct w:val="0"/>
        <w:autoSpaceDE/>
        <w:autoSpaceDN/>
        <w:bidi w:val="0"/>
        <w:adjustRightInd/>
        <w:snapToGrid/>
        <w:spacing w:line="560" w:lineRule="exact"/>
        <w:textAlignment w:val="auto"/>
        <w:rPr>
          <w:rFonts w:hint="eastAsia"/>
        </w:rPr>
      </w:pPr>
      <w:bookmarkStart w:id="20" w:name="_Toc2378"/>
      <w:r>
        <w:rPr>
          <w:rFonts w:hint="eastAsia"/>
        </w:rPr>
        <w:t>（三）国有资产占有使用情况</w:t>
      </w:r>
      <w:bookmarkEnd w:id="20"/>
    </w:p>
    <w:p w14:paraId="115536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截至</w:t>
      </w:r>
      <w:r>
        <w:rPr>
          <w:rFonts w:hint="eastAsia" w:ascii="仿宋_GB2312" w:hAnsi="仿宋_GB2312" w:eastAsia="仿宋_GB2312" w:cs="仿宋_GB2312"/>
          <w:color w:val="auto"/>
          <w:sz w:val="32"/>
          <w:szCs w:val="32"/>
          <w:lang w:eastAsia="zh-CN"/>
        </w:rPr>
        <w:t>2024年</w:t>
      </w:r>
      <w:r>
        <w:rPr>
          <w:rFonts w:hint="eastAsia" w:ascii="仿宋_GB2312" w:hAnsi="仿宋_GB2312" w:eastAsia="仿宋_GB2312" w:cs="仿宋_GB2312"/>
          <w:color w:val="auto"/>
          <w:sz w:val="32"/>
          <w:szCs w:val="32"/>
        </w:rPr>
        <w:t>12月31日，</w:t>
      </w:r>
      <w:r>
        <w:rPr>
          <w:rFonts w:hint="eastAsia" w:ascii="仿宋_GB2312" w:hAnsi="仿宋_GB2312" w:eastAsia="仿宋_GB2312" w:cs="仿宋_GB2312"/>
          <w:color w:val="auto"/>
          <w:sz w:val="32"/>
          <w:szCs w:val="32"/>
          <w:lang w:val="en-US" w:eastAsia="zh-CN"/>
        </w:rPr>
        <w:t>本</w:t>
      </w:r>
      <w:r>
        <w:rPr>
          <w:rFonts w:hint="eastAsia" w:ascii="仿宋_GB2312" w:hAnsi="仿宋_GB2312" w:eastAsia="仿宋_GB2312" w:cs="仿宋_GB2312"/>
          <w:color w:val="auto"/>
          <w:sz w:val="32"/>
          <w:szCs w:val="32"/>
        </w:rPr>
        <w:t>单位资产</w:t>
      </w:r>
      <w:r>
        <w:rPr>
          <w:rFonts w:hint="eastAsia" w:ascii="仿宋_GB2312" w:hAnsi="仿宋_GB2312" w:eastAsia="仿宋_GB2312" w:cs="仿宋_GB2312"/>
          <w:color w:val="auto"/>
          <w:sz w:val="32"/>
          <w:szCs w:val="32"/>
          <w:lang w:val="en-US" w:eastAsia="zh-CN"/>
        </w:rPr>
        <w:t>为</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653.69</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其中：固定资产2498.45万元，无形资产155.24万元。2024年新增资产101.01万元，处置资产123.10万元。</w:t>
      </w:r>
    </w:p>
    <w:p w14:paraId="5C6FCCC0">
      <w:pPr>
        <w:pStyle w:val="3"/>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21" w:name="_Toc21053"/>
      <w:r>
        <w:rPr>
          <w:rFonts w:hint="eastAsia"/>
        </w:rPr>
        <w:t>（四）绩效目标设置情况</w:t>
      </w:r>
      <w:bookmarkEnd w:id="21"/>
    </w:p>
    <w:p w14:paraId="230E3891">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val="en-US" w:eastAsia="zh-CN"/>
        </w:rPr>
        <w:t>本单位</w:t>
      </w:r>
      <w:r>
        <w:rPr>
          <w:rFonts w:hint="eastAsia" w:cs="仿宋_GB2312"/>
          <w:color w:val="auto"/>
          <w:kern w:val="2"/>
          <w:sz w:val="32"/>
          <w:szCs w:val="32"/>
          <w:lang w:eastAsia="zh-CN"/>
        </w:rPr>
        <w:t>2025年</w:t>
      </w:r>
      <w:r>
        <w:rPr>
          <w:rFonts w:hint="eastAsia" w:ascii="仿宋_GB2312" w:hAnsi="仿宋_GB2312" w:eastAsia="仿宋_GB2312" w:cs="仿宋_GB2312"/>
          <w:color w:val="auto"/>
          <w:kern w:val="2"/>
          <w:sz w:val="32"/>
          <w:szCs w:val="32"/>
        </w:rPr>
        <w:t>部门</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中</w:t>
      </w:r>
      <w:r>
        <w:rPr>
          <w:rFonts w:hint="eastAsia" w:ascii="仿宋_GB2312" w:hAnsi="仿宋_GB2312" w:eastAsia="仿宋_GB2312" w:cs="仿宋_GB2312"/>
          <w:color w:val="auto"/>
          <w:kern w:val="2"/>
          <w:sz w:val="32"/>
          <w:szCs w:val="32"/>
          <w:lang w:val="en-US" w:eastAsia="zh-CN"/>
        </w:rPr>
        <w:t>教育专项</w:t>
      </w:r>
      <w:r>
        <w:rPr>
          <w:rFonts w:hint="eastAsia" w:cs="仿宋_GB2312"/>
          <w:color w:val="auto"/>
          <w:kern w:val="2"/>
          <w:sz w:val="32"/>
          <w:szCs w:val="32"/>
          <w:lang w:val="en-US" w:eastAsia="zh-CN"/>
        </w:rPr>
        <w:t>经费</w:t>
      </w:r>
      <w:r>
        <w:rPr>
          <w:rFonts w:hint="eastAsia" w:ascii="仿宋_GB2312" w:hAnsi="仿宋_GB2312" w:eastAsia="仿宋_GB2312" w:cs="仿宋_GB2312"/>
          <w:color w:val="auto"/>
          <w:kern w:val="2"/>
          <w:sz w:val="32"/>
          <w:szCs w:val="32"/>
        </w:rPr>
        <w:t>均按</w:t>
      </w:r>
      <w:r>
        <w:rPr>
          <w:rFonts w:hint="eastAsia" w:ascii="仿宋_GB2312" w:hAnsi="仿宋_GB2312" w:eastAsia="仿宋_GB2312" w:cs="仿宋_GB2312"/>
          <w:color w:val="auto"/>
          <w:kern w:val="2"/>
          <w:sz w:val="32"/>
          <w:szCs w:val="32"/>
          <w:lang w:val="en-US" w:eastAsia="zh-CN"/>
        </w:rPr>
        <w:t>省、州相关</w:t>
      </w:r>
      <w:r>
        <w:rPr>
          <w:rFonts w:hint="eastAsia" w:ascii="仿宋_GB2312" w:hAnsi="仿宋_GB2312" w:eastAsia="仿宋_GB2312" w:cs="仿宋_GB2312"/>
          <w:color w:val="auto"/>
          <w:kern w:val="2"/>
          <w:sz w:val="32"/>
          <w:szCs w:val="32"/>
        </w:rPr>
        <w:t>要求实行绩效目标管理，</w:t>
      </w:r>
      <w:r>
        <w:rPr>
          <w:rFonts w:hint="eastAsia" w:ascii="仿宋_GB2312" w:hAnsi="仿宋_GB2312" w:eastAsia="仿宋_GB2312" w:cs="仿宋_GB2312"/>
          <w:color w:val="auto"/>
          <w:kern w:val="2"/>
          <w:sz w:val="32"/>
          <w:szCs w:val="32"/>
          <w:lang w:val="en-US" w:eastAsia="zh-CN"/>
        </w:rPr>
        <w:t>开展绩效目标</w:t>
      </w:r>
      <w:r>
        <w:rPr>
          <w:rFonts w:hint="eastAsia" w:cs="仿宋_GB2312"/>
          <w:color w:val="auto"/>
          <w:kern w:val="2"/>
          <w:sz w:val="32"/>
          <w:szCs w:val="32"/>
          <w:lang w:val="en-US" w:eastAsia="zh-CN"/>
        </w:rPr>
        <w:t>管理</w:t>
      </w:r>
      <w:r>
        <w:rPr>
          <w:rFonts w:hint="eastAsia" w:ascii="仿宋_GB2312" w:hAnsi="仿宋_GB2312" w:eastAsia="仿宋_GB2312" w:cs="仿宋_GB2312"/>
          <w:color w:val="auto"/>
          <w:kern w:val="2"/>
          <w:sz w:val="32"/>
          <w:szCs w:val="32"/>
          <w:lang w:val="en-US" w:eastAsia="zh-CN"/>
        </w:rPr>
        <w:t>的项目</w:t>
      </w:r>
      <w:r>
        <w:rPr>
          <w:rFonts w:hint="eastAsia" w:cs="仿宋_GB2312"/>
          <w:color w:val="auto"/>
          <w:kern w:val="2"/>
          <w:sz w:val="32"/>
          <w:szCs w:val="32"/>
          <w:lang w:val="en-US" w:eastAsia="zh-CN"/>
        </w:rPr>
        <w:t>15</w:t>
      </w:r>
      <w:r>
        <w:rPr>
          <w:rFonts w:hint="eastAsia" w:ascii="仿宋_GB2312" w:hAnsi="仿宋_GB2312" w:eastAsia="仿宋_GB2312" w:cs="仿宋_GB2312"/>
          <w:color w:val="auto"/>
          <w:kern w:val="2"/>
          <w:sz w:val="32"/>
          <w:szCs w:val="32"/>
          <w:lang w:val="en-US" w:eastAsia="zh-CN"/>
        </w:rPr>
        <w:t>个，</w:t>
      </w:r>
      <w:r>
        <w:rPr>
          <w:rFonts w:hint="eastAsia" w:ascii="仿宋_GB2312" w:hAnsi="仿宋_GB2312" w:eastAsia="仿宋_GB2312" w:cs="仿宋_GB2312"/>
          <w:color w:val="auto"/>
          <w:kern w:val="2"/>
          <w:sz w:val="32"/>
          <w:szCs w:val="32"/>
        </w:rPr>
        <w:t>涉及</w:t>
      </w:r>
      <w:r>
        <w:rPr>
          <w:rFonts w:hint="eastAsia" w:ascii="仿宋_GB2312" w:hAnsi="仿宋_GB2312" w:eastAsia="仿宋_GB2312" w:cs="仿宋_GB2312"/>
          <w:color w:val="auto"/>
          <w:kern w:val="2"/>
          <w:sz w:val="32"/>
          <w:szCs w:val="32"/>
          <w:lang w:val="en-US" w:eastAsia="zh-CN"/>
        </w:rPr>
        <w:t>预算</w:t>
      </w:r>
      <w:r>
        <w:rPr>
          <w:rFonts w:hint="eastAsia" w:cs="仿宋_GB2312"/>
          <w:color w:val="auto"/>
          <w:kern w:val="2"/>
          <w:sz w:val="32"/>
          <w:szCs w:val="32"/>
          <w:lang w:val="en-US" w:eastAsia="zh-CN"/>
        </w:rPr>
        <w:t>1818.11</w:t>
      </w:r>
      <w:r>
        <w:rPr>
          <w:rFonts w:hint="eastAsia" w:ascii="仿宋_GB2312" w:hAnsi="仿宋_GB2312" w:eastAsia="仿宋_GB2312" w:cs="仿宋_GB2312"/>
          <w:color w:val="auto"/>
          <w:kern w:val="2"/>
          <w:sz w:val="32"/>
          <w:szCs w:val="32"/>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lang w:val="en-US" w:eastAsia="zh-CN"/>
        </w:rPr>
        <w:t>其中：</w:t>
      </w:r>
      <w:r>
        <w:rPr>
          <w:rFonts w:hint="eastAsia" w:cs="仿宋_GB2312"/>
          <w:color w:val="auto"/>
          <w:kern w:val="2"/>
          <w:sz w:val="32"/>
          <w:szCs w:val="32"/>
          <w:lang w:val="en-US" w:eastAsia="zh-CN"/>
        </w:rPr>
        <w:t>人员类项目6个，涉及预算1088.80万元；运转类项目2个，涉及预算177.32万元；特定目标</w:t>
      </w:r>
      <w:r>
        <w:rPr>
          <w:rFonts w:hint="eastAsia" w:ascii="仿宋_GB2312" w:hAnsi="仿宋_GB2312" w:eastAsia="仿宋_GB2312" w:cs="仿宋_GB2312"/>
          <w:color w:val="auto"/>
          <w:kern w:val="2"/>
          <w:sz w:val="32"/>
          <w:szCs w:val="32"/>
          <w:lang w:val="en-US" w:eastAsia="zh-CN"/>
        </w:rPr>
        <w:t>类项目</w:t>
      </w:r>
      <w:r>
        <w:rPr>
          <w:rFonts w:hint="eastAsia" w:cs="仿宋_GB2312"/>
          <w:color w:val="auto"/>
          <w:kern w:val="2"/>
          <w:sz w:val="32"/>
          <w:szCs w:val="32"/>
          <w:lang w:val="en-US" w:eastAsia="zh-CN"/>
        </w:rPr>
        <w:t>7</w:t>
      </w:r>
      <w:r>
        <w:rPr>
          <w:rFonts w:hint="eastAsia" w:ascii="仿宋_GB2312" w:hAnsi="仿宋_GB2312" w:eastAsia="仿宋_GB2312" w:cs="仿宋_GB2312"/>
          <w:color w:val="auto"/>
          <w:kern w:val="2"/>
          <w:sz w:val="32"/>
          <w:szCs w:val="32"/>
          <w:lang w:val="en-US" w:eastAsia="zh-CN"/>
        </w:rPr>
        <w:t>个，涉及预算</w:t>
      </w:r>
      <w:r>
        <w:rPr>
          <w:rFonts w:hint="eastAsia" w:cs="仿宋_GB2312"/>
          <w:color w:val="auto"/>
          <w:kern w:val="2"/>
          <w:sz w:val="32"/>
          <w:szCs w:val="32"/>
          <w:lang w:val="en-US" w:eastAsia="zh-CN"/>
        </w:rPr>
        <w:t>552.00</w:t>
      </w:r>
      <w:r>
        <w:rPr>
          <w:rFonts w:hint="eastAsia" w:ascii="仿宋_GB2312" w:hAnsi="仿宋_GB2312" w:eastAsia="仿宋_GB2312" w:cs="仿宋_GB2312"/>
          <w:color w:val="auto"/>
          <w:kern w:val="2"/>
          <w:sz w:val="32"/>
          <w:szCs w:val="32"/>
        </w:rPr>
        <w:t>万元。</w:t>
      </w:r>
    </w:p>
    <w:p w14:paraId="17524AC1">
      <w:pPr>
        <w:pStyle w:val="2"/>
        <w:pageBreakBefore w:val="0"/>
        <w:widowControl w:val="0"/>
        <w:kinsoku/>
        <w:wordWrap/>
        <w:overflowPunct/>
        <w:topLinePunct w:val="0"/>
        <w:autoSpaceDE/>
        <w:autoSpaceDN/>
        <w:bidi w:val="0"/>
        <w:adjustRightInd/>
        <w:snapToGrid/>
        <w:spacing w:line="560" w:lineRule="exact"/>
        <w:textAlignment w:val="auto"/>
        <w:rPr>
          <w:rFonts w:hint="eastAsia"/>
          <w:lang w:eastAsia="zh-CN"/>
        </w:rPr>
      </w:pPr>
      <w:bookmarkStart w:id="22" w:name="_Toc25869"/>
      <w:r>
        <w:rPr>
          <w:rFonts w:hint="eastAsia"/>
        </w:rPr>
        <w:t>十、名称解释</w:t>
      </w:r>
      <w:bookmarkEnd w:id="22"/>
      <w:r>
        <w:rPr>
          <w:rFonts w:hint="eastAsia"/>
        </w:rPr>
        <w:t xml:space="preserve"> </w:t>
      </w:r>
    </w:p>
    <w:p w14:paraId="77B5796A">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（一）财政拨款收入：指由财政拨款形成的部门收入。按现行管理制度，部门预算中反映的财政拨款仅包括一般公共预算拨款和政府性基金预算拨款。</w:t>
      </w:r>
    </w:p>
    <w:p w14:paraId="56E0C591">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（二）事业收入：指所属事业单位开展专业业务活动及辅助活动所取得的收入。</w:t>
      </w:r>
    </w:p>
    <w:p w14:paraId="45F8AAC0">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（三）事业单位经营收入：指所属事业单位在专业业务活动及其辅助活动之外开展非独立核算经营活动取得的收入。</w:t>
      </w:r>
    </w:p>
    <w:p w14:paraId="0DD45012">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（四）其他收入：指除上述“财政拨款收入”“事业收入”“事业单位经营收入”等以外的收入，主要是所属行政事业单位按规定动用的售房收入、存款利息收入等。</w:t>
      </w:r>
    </w:p>
    <w:p w14:paraId="45EDAEA1">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kern w:val="2"/>
          <w:sz w:val="32"/>
          <w:szCs w:val="32"/>
          <w:lang w:eastAsia="zh-CN"/>
        </w:rPr>
      </w:pPr>
      <w:r>
        <w:rPr>
          <w:rFonts w:hint="eastAsia" w:ascii="仿宋_GB2312" w:hAnsi="仿宋_GB2312" w:eastAsia="仿宋_GB2312" w:cs="仿宋_GB2312"/>
          <w:color w:val="auto"/>
          <w:kern w:val="2"/>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14:paraId="6B4CE791">
      <w:pPr>
        <w:pStyle w:val="12"/>
        <w:keepNext w:val="0"/>
        <w:keepLines w:val="0"/>
        <w:pageBreakBefore w:val="0"/>
        <w:widowControl w:val="0"/>
        <w:kinsoku/>
        <w:wordWrap/>
        <w:overflowPunct/>
        <w:topLinePunct w:val="0"/>
        <w:autoSpaceDE/>
        <w:autoSpaceDN/>
        <w:bidi w:val="0"/>
        <w:adjustRightInd/>
        <w:snapToGrid/>
        <w:spacing w:before="0"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rPr>
        <w:t>（六）上年结转：指所属行政事业单位以前年度尚未完成、结转至本年按原规定用途继续使用的资金和以前年度已完成项目剩余资金经批准用于新用途使用的资金。</w:t>
      </w:r>
    </w:p>
    <w:sectPr>
      <w:footerReference r:id="rId6" w:type="default"/>
      <w:pgSz w:w="11906" w:h="16838"/>
      <w:pgMar w:top="2098" w:right="1474" w:bottom="1984" w:left="1587" w:header="851" w:footer="992" w:gutter="0"/>
      <w:pgNumType w:fmt="numberInDash"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98548">
    <w:pPr>
      <w:pStyle w:val="5"/>
      <w:tabs>
        <w:tab w:val="clear" w:pos="4153"/>
      </w:tabs>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AA57C">
    <w:pPr>
      <w:pStyle w:val="5"/>
      <w:tabs>
        <w:tab w:val="clear" w:pos="4153"/>
      </w:tabs>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815A1">
    <w:pPr>
      <w:pStyle w:val="5"/>
      <w:tabs>
        <w:tab w:val="clear" w:pos="4153"/>
      </w:tabs>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5929D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D5929D3">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3</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900D0">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4OTRhNWY4YmQ5NmQ3NzA5ZWM4MmM3NDUyYzY2ZjkifQ=="/>
  </w:docVars>
  <w:rsids>
    <w:rsidRoot w:val="7AE4629A"/>
    <w:rsid w:val="000451C2"/>
    <w:rsid w:val="0006464F"/>
    <w:rsid w:val="001634E3"/>
    <w:rsid w:val="001910FF"/>
    <w:rsid w:val="001B1BFD"/>
    <w:rsid w:val="00242435"/>
    <w:rsid w:val="0030031F"/>
    <w:rsid w:val="00412090"/>
    <w:rsid w:val="004379C5"/>
    <w:rsid w:val="00476B63"/>
    <w:rsid w:val="0054124B"/>
    <w:rsid w:val="006E4F1E"/>
    <w:rsid w:val="00723B73"/>
    <w:rsid w:val="00793FEE"/>
    <w:rsid w:val="00803F7A"/>
    <w:rsid w:val="00842DA9"/>
    <w:rsid w:val="00887775"/>
    <w:rsid w:val="00923A98"/>
    <w:rsid w:val="00AB4C2F"/>
    <w:rsid w:val="00CE3981"/>
    <w:rsid w:val="00D264D1"/>
    <w:rsid w:val="00D52957"/>
    <w:rsid w:val="00DB29FD"/>
    <w:rsid w:val="00FA632B"/>
    <w:rsid w:val="00FC59D7"/>
    <w:rsid w:val="01142496"/>
    <w:rsid w:val="06D74B42"/>
    <w:rsid w:val="07674A16"/>
    <w:rsid w:val="0A1E32C6"/>
    <w:rsid w:val="0AE7556B"/>
    <w:rsid w:val="127C300E"/>
    <w:rsid w:val="13197D31"/>
    <w:rsid w:val="14007667"/>
    <w:rsid w:val="164003A4"/>
    <w:rsid w:val="16C5583A"/>
    <w:rsid w:val="177904B8"/>
    <w:rsid w:val="1B0406D7"/>
    <w:rsid w:val="1FBC1554"/>
    <w:rsid w:val="20361CB8"/>
    <w:rsid w:val="23E30C6C"/>
    <w:rsid w:val="23F01185"/>
    <w:rsid w:val="27D75FD4"/>
    <w:rsid w:val="28180D37"/>
    <w:rsid w:val="281F7305"/>
    <w:rsid w:val="29566940"/>
    <w:rsid w:val="29B52876"/>
    <w:rsid w:val="2F4B5E25"/>
    <w:rsid w:val="2FBB7C59"/>
    <w:rsid w:val="32BF7DF5"/>
    <w:rsid w:val="3713599C"/>
    <w:rsid w:val="38816863"/>
    <w:rsid w:val="39A337B5"/>
    <w:rsid w:val="3CBD34F6"/>
    <w:rsid w:val="3D59150C"/>
    <w:rsid w:val="41736866"/>
    <w:rsid w:val="449C5E6A"/>
    <w:rsid w:val="45026F19"/>
    <w:rsid w:val="46E903F0"/>
    <w:rsid w:val="48EB0A3F"/>
    <w:rsid w:val="4C1341F2"/>
    <w:rsid w:val="4C321BAB"/>
    <w:rsid w:val="4EDB7A3B"/>
    <w:rsid w:val="50993416"/>
    <w:rsid w:val="50E6668C"/>
    <w:rsid w:val="51600D6C"/>
    <w:rsid w:val="55B97608"/>
    <w:rsid w:val="565D6B59"/>
    <w:rsid w:val="56AC2855"/>
    <w:rsid w:val="57996855"/>
    <w:rsid w:val="5E940365"/>
    <w:rsid w:val="61693C9D"/>
    <w:rsid w:val="62060EBD"/>
    <w:rsid w:val="64161086"/>
    <w:rsid w:val="64CC0F4B"/>
    <w:rsid w:val="65782EB4"/>
    <w:rsid w:val="689B7EAE"/>
    <w:rsid w:val="6F905C6E"/>
    <w:rsid w:val="70862146"/>
    <w:rsid w:val="72372602"/>
    <w:rsid w:val="7894080E"/>
    <w:rsid w:val="789A7B86"/>
    <w:rsid w:val="78BD51CE"/>
    <w:rsid w:val="7A436899"/>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autoRedefine/>
    <w:qFormat/>
    <w:uiPriority w:val="0"/>
    <w:pPr>
      <w:keepNext/>
      <w:keepLines/>
      <w:spacing w:beforeLines="0" w:beforeAutospacing="0" w:afterLines="0" w:afterAutospacing="0" w:line="560" w:lineRule="exact"/>
      <w:ind w:left="0" w:leftChars="0" w:firstLine="420" w:firstLineChars="200"/>
      <w:jc w:val="left"/>
      <w:outlineLvl w:val="0"/>
    </w:pPr>
    <w:rPr>
      <w:rFonts w:ascii="黑体" w:hAnsi="黑体" w:eastAsia="黑体"/>
      <w:kern w:val="44"/>
      <w:sz w:val="32"/>
    </w:rPr>
  </w:style>
  <w:style w:type="paragraph" w:styleId="3">
    <w:name w:val="heading 2"/>
    <w:basedOn w:val="1"/>
    <w:next w:val="1"/>
    <w:autoRedefine/>
    <w:unhideWhenUsed/>
    <w:qFormat/>
    <w:uiPriority w:val="0"/>
    <w:pPr>
      <w:keepNext/>
      <w:keepLines/>
      <w:spacing w:beforeLines="0" w:beforeAutospacing="0" w:afterLines="0" w:afterAutospacing="0" w:line="560" w:lineRule="exact"/>
      <w:ind w:firstLine="420" w:firstLineChars="200"/>
      <w:jc w:val="left"/>
      <w:outlineLvl w:val="1"/>
    </w:pPr>
    <w:rPr>
      <w:rFonts w:ascii="楷体" w:hAnsi="楷体" w:eastAsia="楷体"/>
      <w:b/>
      <w:sz w:val="32"/>
    </w:rPr>
  </w:style>
  <w:style w:type="paragraph" w:styleId="4">
    <w:name w:val="heading 3"/>
    <w:basedOn w:val="1"/>
    <w:next w:val="1"/>
    <w:autoRedefine/>
    <w:unhideWhenUsed/>
    <w:qFormat/>
    <w:uiPriority w:val="0"/>
    <w:pPr>
      <w:keepNext/>
      <w:keepLines/>
      <w:spacing w:beforeLines="0" w:beforeAutospacing="0" w:afterLines="0" w:afterAutospacing="0" w:line="560" w:lineRule="exact"/>
      <w:ind w:firstLine="420" w:firstLineChars="200"/>
      <w:outlineLvl w:val="2"/>
    </w:pPr>
    <w:rPr>
      <w:rFonts w:ascii="仿宋_GB2312" w:hAnsi="仿宋_GB2312" w:eastAsia="仿宋_GB2312"/>
      <w:b/>
      <w:sz w:val="32"/>
    </w:rPr>
  </w:style>
  <w:style w:type="character" w:default="1" w:styleId="9">
    <w:name w:val="Default Paragraph Font"/>
    <w:autoRedefine/>
    <w:semiHidden/>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qFormat/>
    <w:uiPriority w:val="0"/>
    <w:pPr>
      <w:widowControl/>
      <w:spacing w:before="100" w:beforeAutospacing="1" w:after="100" w:afterAutospacing="1"/>
      <w:jc w:val="left"/>
    </w:pPr>
    <w:rPr>
      <w:rFonts w:hint="eastAsia" w:ascii="宋体" w:hAnsi="宋体"/>
      <w:kern w:val="0"/>
      <w:sz w:val="24"/>
      <w:szCs w:val="24"/>
    </w:rPr>
  </w:style>
  <w:style w:type="character" w:styleId="10">
    <w:name w:val="Strong"/>
    <w:basedOn w:val="9"/>
    <w:autoRedefine/>
    <w:qFormat/>
    <w:uiPriority w:val="0"/>
    <w:rPr>
      <w:b/>
    </w:rPr>
  </w:style>
  <w:style w:type="paragraph" w:styleId="11">
    <w:name w:val="List Paragraph"/>
    <w:basedOn w:val="1"/>
    <w:qFormat/>
    <w:uiPriority w:val="99"/>
    <w:pPr>
      <w:ind w:firstLine="420" w:firstLineChars="200"/>
    </w:pPr>
  </w:style>
  <w:style w:type="paragraph" w:customStyle="1" w:styleId="12">
    <w:name w:val="正文文本1"/>
    <w:basedOn w:val="1"/>
    <w:autoRedefine/>
    <w:qFormat/>
    <w:uiPriority w:val="99"/>
    <w:pPr>
      <w:spacing w:before="93"/>
    </w:pPr>
    <w:rPr>
      <w:rFonts w:ascii="仿宋_GB2312" w:hAnsi="仿宋_GB2312" w:eastAsia="仿宋_GB2312"/>
      <w:kern w:val="0"/>
      <w:sz w:val="30"/>
      <w:szCs w:val="20"/>
    </w:rPr>
  </w:style>
  <w:style w:type="paragraph" w:customStyle="1" w:styleId="13">
    <w:name w:val="正文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14">
    <w:name w:val="WPSOffice手动目录 1"/>
    <w:autoRedefine/>
    <w:qFormat/>
    <w:uiPriority w:val="0"/>
    <w:pPr>
      <w:ind w:leftChars="0"/>
    </w:pPr>
    <w:rPr>
      <w:rFonts w:ascii="Times New Roman" w:hAnsi="Times New Roman" w:eastAsia="宋体" w:cs="Times New Roman"/>
      <w:sz w:val="20"/>
      <w:szCs w:val="20"/>
    </w:rPr>
  </w:style>
  <w:style w:type="paragraph" w:customStyle="1" w:styleId="15">
    <w:name w:val="WPSOffice手动目录 2"/>
    <w:autoRedefine/>
    <w:qFormat/>
    <w:uiPriority w:val="0"/>
    <w:pPr>
      <w:ind w:leftChars="200"/>
    </w:pPr>
    <w:rPr>
      <w:rFonts w:ascii="Times New Roman" w:hAnsi="Times New Roman" w:eastAsia="宋体" w:cs="Times New Roman"/>
      <w:sz w:val="20"/>
      <w:szCs w:val="20"/>
    </w:rPr>
  </w:style>
  <w:style w:type="paragraph" w:customStyle="1" w:styleId="16">
    <w:name w:val="WPSOffice手动目录 3"/>
    <w:autoRedefine/>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4351</Words>
  <Characters>4768</Characters>
  <Lines>23</Lines>
  <Paragraphs>6</Paragraphs>
  <TotalTime>5</TotalTime>
  <ScaleCrop>false</ScaleCrop>
  <LinksUpToDate>false</LinksUpToDate>
  <CharactersWithSpaces>4836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cp:lastModifiedBy>
  <cp:lastPrinted>2024-01-17T08:39:00Z</cp:lastPrinted>
  <dcterms:modified xsi:type="dcterms:W3CDTF">2025-02-21T02:15:52Z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BE50CFD99621486389F0B583DC46B984</vt:lpwstr>
  </property>
  <property fmtid="{D5CDD505-2E9C-101B-9397-08002B2CF9AE}" pid="4" name="KSOTemplateDocerSaveRecord">
    <vt:lpwstr>eyJoZGlkIjoiZjQ4OTRhNWY4YmQ5NmQ3NzA5ZWM4MmM3NDUyYzY2ZjkiLCJ1c2VySWQiOiIyOTQyNjU2ODYifQ==</vt:lpwstr>
  </property>
</Properties>
</file>