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B8C8B">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8441"/>
      <w:bookmarkStart w:id="2" w:name="_Toc15377425"/>
      <w:bookmarkStart w:id="3" w:name="_Toc15396475"/>
      <w:bookmarkStart w:id="4" w:name="_Toc15377193"/>
      <w:bookmarkStart w:id="5" w:name="_Toc15396597"/>
    </w:p>
    <w:p w14:paraId="0C374B26">
      <w:pPr>
        <w:pStyle w:val="5"/>
        <w:rPr>
          <w:rFonts w:hint="eastAsia" w:ascii="Times New Roman" w:hAnsi="Times New Roman" w:eastAsia="方正小标宋简体" w:cs="Times New Roman"/>
          <w:color w:val="auto"/>
          <w:kern w:val="2"/>
          <w:sz w:val="72"/>
          <w:szCs w:val="72"/>
          <w:highlight w:val="none"/>
          <w:lang w:val="en-US" w:eastAsia="zh-CN" w:bidi="ar-SA"/>
        </w:rPr>
      </w:pPr>
    </w:p>
    <w:p w14:paraId="653423BC">
      <w:pPr>
        <w:pStyle w:val="5"/>
        <w:rPr>
          <w:rFonts w:hint="eastAsia" w:ascii="Times New Roman" w:hAnsi="Times New Roman" w:eastAsia="方正小标宋简体" w:cs="Times New Roman"/>
          <w:color w:val="auto"/>
          <w:kern w:val="2"/>
          <w:sz w:val="72"/>
          <w:szCs w:val="72"/>
          <w:highlight w:val="none"/>
          <w:lang w:val="en-US" w:eastAsia="zh-CN" w:bidi="ar-SA"/>
        </w:rPr>
      </w:pPr>
    </w:p>
    <w:p w14:paraId="0CBB78C3">
      <w:pPr>
        <w:pStyle w:val="5"/>
        <w:rPr>
          <w:rFonts w:hint="eastAsia" w:ascii="Times New Roman" w:hAnsi="Times New Roman" w:eastAsia="方正小标宋简体" w:cs="Times New Roman"/>
          <w:color w:val="auto"/>
          <w:kern w:val="2"/>
          <w:sz w:val="72"/>
          <w:szCs w:val="72"/>
          <w:highlight w:val="none"/>
          <w:lang w:val="en-US" w:eastAsia="zh-CN" w:bidi="ar-SA"/>
        </w:rPr>
      </w:pPr>
    </w:p>
    <w:p w14:paraId="30065B0F">
      <w:pPr>
        <w:pStyle w:val="5"/>
        <w:spacing w:before="93" w:beforeLines="0"/>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2025年度阿坝州科技交流普及中心</w:t>
      </w:r>
    </w:p>
    <w:p w14:paraId="7A33AC74">
      <w:pPr>
        <w:pStyle w:val="5"/>
        <w:spacing w:before="93" w:beforeLines="0"/>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单位决算</w:t>
      </w:r>
    </w:p>
    <w:p w14:paraId="5F17BDB1">
      <w:pPr>
        <w:pStyle w:val="5"/>
        <w:jc w:val="center"/>
        <w:rPr>
          <w:rFonts w:hint="default" w:ascii="Times New Roman" w:hAnsi="Times New Roman" w:eastAsia="方正小标宋简体" w:cs="Times New Roman"/>
          <w:color w:val="auto"/>
          <w:kern w:val="2"/>
          <w:sz w:val="44"/>
          <w:szCs w:val="44"/>
          <w:highlight w:val="none"/>
          <w:lang w:val="en-US" w:eastAsia="zh-CN" w:bidi="ar-SA"/>
        </w:rPr>
      </w:pPr>
    </w:p>
    <w:p w14:paraId="62736B60">
      <w:pPr>
        <w:spacing w:line="600" w:lineRule="exact"/>
        <w:jc w:val="center"/>
        <w:outlineLvl w:val="0"/>
        <w:rPr>
          <w:rFonts w:ascii="Times New Roman" w:hAnsi="Times New Roman" w:eastAsia="方正小标宋简体"/>
          <w:color w:val="auto"/>
          <w:sz w:val="72"/>
          <w:szCs w:val="72"/>
          <w:highlight w:val="none"/>
        </w:rPr>
      </w:pPr>
    </w:p>
    <w:p w14:paraId="5BB280F4">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058C9459">
      <w:pPr>
        <w:rPr>
          <w:rFonts w:ascii="Times New Roman" w:hAnsi="Times New Roman"/>
        </w:rPr>
      </w:pPr>
    </w:p>
    <w:bookmarkEnd w:id="0"/>
    <w:bookmarkEnd w:id="1"/>
    <w:bookmarkEnd w:id="2"/>
    <w:bookmarkEnd w:id="3"/>
    <w:bookmarkEnd w:id="4"/>
    <w:bookmarkEnd w:id="5"/>
    <w:p w14:paraId="2970B9F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2B70069">
      <w:pPr>
        <w:widowControl/>
        <w:jc w:val="center"/>
        <w:rPr>
          <w:rFonts w:ascii="Times New Roman" w:hAnsi="Times New Roman" w:eastAsia="黑体" w:cstheme="minorBidi"/>
          <w:color w:val="auto"/>
          <w:sz w:val="28"/>
          <w:szCs w:val="28"/>
          <w:highlight w:val="none"/>
        </w:rPr>
      </w:pPr>
    </w:p>
    <w:p w14:paraId="60B7FFE3">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 </w:t>
      </w:r>
      <w:r>
        <w:rPr>
          <w:rFonts w:hint="eastAsia" w:ascii="Times New Roman" w:hAnsi="Times New Roman" w:eastAsia="仿宋_GB2312" w:cs="仿宋_GB2312"/>
          <w:color w:val="auto"/>
          <w:sz w:val="32"/>
          <w:szCs w:val="32"/>
          <w:highlight w:val="none"/>
        </w:rPr>
        <w:t>日</w:t>
      </w:r>
    </w:p>
    <w:p w14:paraId="237A54C4">
      <w:pPr>
        <w:rPr>
          <w:rFonts w:ascii="Times New Roman" w:hAnsi="Times New Roman"/>
          <w:color w:val="auto"/>
          <w:highlight w:val="none"/>
        </w:rPr>
      </w:pPr>
    </w:p>
    <w:p w14:paraId="49F2F7D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4ED812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069928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----------------------------------------------------1</w:t>
      </w:r>
    </w:p>
    <w:p w14:paraId="715A4B3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--------------------------2</w:t>
      </w:r>
    </w:p>
    <w:p w14:paraId="60FEE6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-----------------------------2</w:t>
      </w:r>
    </w:p>
    <w:p w14:paraId="22208B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-----------------------------------------2</w:t>
      </w:r>
    </w:p>
    <w:p w14:paraId="7F3F1D1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-----------------------------------------3</w:t>
      </w:r>
    </w:p>
    <w:p w14:paraId="5B1A23E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-----------------4</w:t>
      </w:r>
    </w:p>
    <w:p w14:paraId="3C68A9F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-----------4</w:t>
      </w:r>
    </w:p>
    <w:p w14:paraId="0168B39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-----7</w:t>
      </w:r>
    </w:p>
    <w:p w14:paraId="2777662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66DBB37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--------------------8</w:t>
      </w:r>
    </w:p>
    <w:p w14:paraId="4C94C39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-----------------9</w:t>
      </w:r>
    </w:p>
    <w:p w14:paraId="3B6639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--------------------------------9</w:t>
      </w:r>
    </w:p>
    <w:p w14:paraId="47573D0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-------------------------------------------------10</w:t>
      </w:r>
    </w:p>
    <w:p w14:paraId="1B9E418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-------------------------------------------------------13</w:t>
      </w:r>
    </w:p>
    <w:p w14:paraId="6BEACAE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-------------------------------------------------------21</w:t>
      </w:r>
    </w:p>
    <w:p w14:paraId="354F41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---------------------------------------21</w:t>
      </w:r>
    </w:p>
    <w:p w14:paraId="068220B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------------------------------------------------21</w:t>
      </w:r>
    </w:p>
    <w:p w14:paraId="0348BF9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------------------------------------------------21</w:t>
      </w:r>
    </w:p>
    <w:p w14:paraId="10744C9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4534FD0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----------------------------21</w:t>
      </w:r>
    </w:p>
    <w:p w14:paraId="0FD0D5E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------------------------------21</w:t>
      </w:r>
    </w:p>
    <w:p w14:paraId="62626E8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------------------21</w:t>
      </w:r>
    </w:p>
    <w:p w14:paraId="349D6E0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-------------21</w:t>
      </w:r>
    </w:p>
    <w:p w14:paraId="23B25DB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------21</w:t>
      </w:r>
    </w:p>
    <w:p w14:paraId="46D8D3F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------------21</w:t>
      </w:r>
    </w:p>
    <w:p w14:paraId="3EA260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---------21</w:t>
      </w:r>
    </w:p>
    <w:p w14:paraId="66B6708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----21</w:t>
      </w:r>
    </w:p>
    <w:p w14:paraId="73F6D7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---------21</w:t>
      </w:r>
    </w:p>
    <w:p w14:paraId="0BF5547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---------------21</w:t>
      </w:r>
    </w:p>
    <w:p w14:paraId="109992D4">
      <w:pPr>
        <w:rPr>
          <w:rFonts w:hint="eastAsia" w:ascii="Times New Roman" w:hAnsi="Times New Roman" w:eastAsia="仿宋_GB2312" w:cs="仿宋_GB2312"/>
          <w:color w:val="auto"/>
          <w:sz w:val="32"/>
          <w:szCs w:val="32"/>
          <w:highlight w:val="none"/>
        </w:rPr>
      </w:pPr>
    </w:p>
    <w:p w14:paraId="3628AD4B">
      <w:pPr>
        <w:rPr>
          <w:rFonts w:hint="eastAsia" w:ascii="Times New Roman" w:hAnsi="Times New Roman" w:eastAsia="仿宋_GB2312" w:cs="仿宋_GB2312"/>
          <w:color w:val="auto"/>
          <w:sz w:val="32"/>
          <w:szCs w:val="32"/>
          <w:highlight w:val="none"/>
        </w:rPr>
      </w:pPr>
    </w:p>
    <w:p w14:paraId="119E6BC1">
      <w:pPr>
        <w:rPr>
          <w:rFonts w:hint="eastAsia" w:ascii="Times New Roman" w:hAnsi="Times New Roman" w:eastAsia="仿宋_GB2312" w:cs="仿宋_GB2312"/>
          <w:color w:val="auto"/>
          <w:sz w:val="32"/>
          <w:szCs w:val="32"/>
          <w:highlight w:val="none"/>
        </w:rPr>
      </w:pPr>
    </w:p>
    <w:p w14:paraId="105B3F9D">
      <w:pPr>
        <w:rPr>
          <w:rFonts w:hint="eastAsia" w:ascii="Times New Roman" w:hAnsi="Times New Roman" w:eastAsia="仿宋_GB2312" w:cs="仿宋_GB2312"/>
          <w:color w:val="auto"/>
          <w:sz w:val="32"/>
          <w:szCs w:val="32"/>
          <w:highlight w:val="none"/>
        </w:rPr>
      </w:pPr>
    </w:p>
    <w:p w14:paraId="74483908">
      <w:pPr>
        <w:rPr>
          <w:rFonts w:hint="eastAsia" w:ascii="Times New Roman" w:hAnsi="Times New Roman" w:eastAsia="仿宋_GB2312" w:cs="仿宋_GB2312"/>
          <w:color w:val="auto"/>
          <w:sz w:val="32"/>
          <w:szCs w:val="32"/>
          <w:highlight w:val="none"/>
        </w:rPr>
      </w:pPr>
    </w:p>
    <w:p w14:paraId="35E7140B">
      <w:pPr>
        <w:rPr>
          <w:rFonts w:hint="eastAsia" w:ascii="Times New Roman" w:hAnsi="Times New Roman" w:eastAsia="仿宋_GB2312" w:cs="仿宋_GB2312"/>
          <w:color w:val="auto"/>
          <w:sz w:val="32"/>
          <w:szCs w:val="32"/>
          <w:highlight w:val="none"/>
        </w:rPr>
      </w:pPr>
    </w:p>
    <w:p w14:paraId="069BAE4F">
      <w:pPr>
        <w:rPr>
          <w:rFonts w:hint="eastAsia" w:ascii="Times New Roman" w:hAnsi="Times New Roman" w:eastAsia="仿宋_GB2312" w:cs="仿宋_GB2312"/>
          <w:color w:val="auto"/>
          <w:sz w:val="32"/>
          <w:szCs w:val="32"/>
          <w:highlight w:val="none"/>
        </w:rPr>
      </w:pPr>
    </w:p>
    <w:p w14:paraId="35FA93C5">
      <w:pPr>
        <w:rPr>
          <w:rFonts w:hint="eastAsia" w:ascii="Times New Roman" w:hAnsi="Times New Roman" w:eastAsia="仿宋_GB2312" w:cs="仿宋_GB2312"/>
          <w:color w:val="auto"/>
          <w:sz w:val="32"/>
          <w:szCs w:val="32"/>
          <w:highlight w:val="none"/>
        </w:rPr>
      </w:pPr>
    </w:p>
    <w:p w14:paraId="06DC48D0">
      <w:pPr>
        <w:rPr>
          <w:rFonts w:hint="eastAsia" w:ascii="Times New Roman" w:hAnsi="Times New Roman" w:eastAsia="仿宋_GB2312" w:cs="仿宋_GB2312"/>
          <w:color w:val="auto"/>
          <w:sz w:val="32"/>
          <w:szCs w:val="32"/>
          <w:highlight w:val="none"/>
        </w:rPr>
      </w:pPr>
    </w:p>
    <w:p w14:paraId="5DB8297F">
      <w:pPr>
        <w:rPr>
          <w:rFonts w:hint="eastAsia" w:ascii="Times New Roman" w:hAnsi="Times New Roman" w:eastAsia="仿宋_GB2312" w:cs="仿宋_GB2312"/>
          <w:color w:val="auto"/>
          <w:sz w:val="32"/>
          <w:szCs w:val="32"/>
          <w:highlight w:val="none"/>
        </w:rPr>
      </w:pPr>
    </w:p>
    <w:p w14:paraId="670B7CC5">
      <w:pPr>
        <w:rPr>
          <w:rFonts w:hint="eastAsia" w:ascii="Times New Roman" w:hAnsi="Times New Roman" w:eastAsia="仿宋_GB2312" w:cs="仿宋_GB2312"/>
          <w:color w:val="auto"/>
          <w:sz w:val="32"/>
          <w:szCs w:val="32"/>
          <w:highlight w:val="none"/>
        </w:rPr>
      </w:pPr>
    </w:p>
    <w:p w14:paraId="6FE4B1DF">
      <w:pPr>
        <w:rPr>
          <w:rFonts w:hint="eastAsia" w:ascii="Times New Roman" w:hAnsi="Times New Roman" w:eastAsia="仿宋_GB2312" w:cs="仿宋_GB2312"/>
          <w:color w:val="auto"/>
          <w:sz w:val="32"/>
          <w:szCs w:val="32"/>
          <w:highlight w:val="none"/>
        </w:rPr>
      </w:pPr>
    </w:p>
    <w:p w14:paraId="0AEBF032">
      <w:pPr>
        <w:pStyle w:val="2"/>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decimal" w:start="1"/>
          <w:cols w:space="425" w:num="1"/>
          <w:docGrid w:type="lines" w:linePitch="312" w:charSpace="0"/>
        </w:sectPr>
      </w:pPr>
      <w:bookmarkStart w:id="6" w:name="_Toc15396599"/>
      <w:bookmarkStart w:id="7" w:name="_Toc15377196"/>
    </w:p>
    <w:p w14:paraId="20520832">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1F2DF098">
      <w:pPr>
        <w:widowControl/>
        <w:jc w:val="left"/>
        <w:rPr>
          <w:rFonts w:ascii="Times New Roman" w:hAnsi="Times New Roman" w:eastAsia="黑体"/>
          <w:color w:val="auto"/>
          <w:sz w:val="32"/>
          <w:szCs w:val="32"/>
          <w:highlight w:val="none"/>
        </w:rPr>
      </w:pPr>
    </w:p>
    <w:p w14:paraId="640805DE">
      <w:pPr>
        <w:pStyle w:val="3"/>
        <w:rPr>
          <w:rStyle w:val="29"/>
          <w:rFonts w:hint="eastAsia" w:ascii="Times New Roman" w:hAnsi="Times New Roman" w:eastAsia="黑体"/>
          <w:b w:val="0"/>
          <w:bCs w:val="0"/>
          <w:color w:val="auto"/>
          <w:highlight w:val="none"/>
          <w:lang w:eastAsia="zh-CN"/>
        </w:rPr>
      </w:pPr>
      <w:bookmarkStart w:id="8" w:name="_Toc15377197"/>
      <w:bookmarkStart w:id="9" w:name="_Toc15396600"/>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1D8AB8DC">
      <w:pPr>
        <w:ind w:firstLine="800" w:firstLineChars="250"/>
        <w:rPr>
          <w:rFonts w:hint="eastAsia" w:ascii="Times New Roman" w:hAnsi="Times New Roman" w:eastAsia="仿宋_GB2312" w:cs="仿宋_GB2312"/>
          <w:color w:val="auto"/>
          <w:sz w:val="32"/>
          <w:szCs w:val="32"/>
          <w:highlight w:val="none"/>
        </w:rPr>
      </w:pPr>
      <w:bookmarkStart w:id="10" w:name="_Toc15377200"/>
      <w:bookmarkStart w:id="11" w:name="_Toc15396601"/>
      <w:r>
        <w:rPr>
          <w:rFonts w:hint="eastAsia" w:ascii="Times New Roman" w:hAnsi="Times New Roman" w:eastAsia="仿宋_GB2312" w:cs="仿宋_GB2312"/>
          <w:color w:val="auto"/>
          <w:sz w:val="32"/>
          <w:szCs w:val="32"/>
          <w:highlight w:val="none"/>
          <w:lang w:val="zh-CN"/>
        </w:rPr>
        <w:t>负责制定全州科学技术普及方案，并组织实施，提升全民科学素质；负责制定全州科技明白人培训方案，并组织实施，提升科技明白人生产技能，负责组织州级有关部门及各县（市）开展科普统计工作，组织、协调本地区科技人员对外科技交流与合作活动，指导县级科技交流业务；负责州技术转移中心，征集科技需求信息“发现、筛选、撮合、转化”适应本地区的科学技术；负责收集、整理本地区技术合同，并进行认定登记；负责四川科技兴村在线阿坝州平台运管中心，指导各县（市）四川科技兴村在线阿坝州平台运管中心工作；组织申报和实施相关科学技术普及、技术推广、研究等科技项目。</w:t>
      </w:r>
    </w:p>
    <w:p w14:paraId="08474D57">
      <w:pPr>
        <w:pStyle w:val="3"/>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p>
    <w:p w14:paraId="60D001C9">
      <w:pPr>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 w:eastAsia="仿宋"/>
          <w:kern w:val="0"/>
          <w:sz w:val="32"/>
          <w:szCs w:val="32"/>
          <w:lang w:val="zh-CN"/>
        </w:rPr>
      </w:pPr>
      <w:r>
        <w:rPr>
          <w:rFonts w:hint="eastAsia" w:ascii="仿宋" w:eastAsia="仿宋"/>
          <w:kern w:val="0"/>
          <w:sz w:val="32"/>
          <w:szCs w:val="32"/>
          <w:lang w:val="zh-CN"/>
        </w:rPr>
        <w:t>我中心为全额拨款的事业单位，为阿坝藏族羌族自治州科学技术局下属事业单位，是独立核算的二级预算单位。我中心总编制6名,其中:事业编制6名。</w:t>
      </w:r>
      <w:r>
        <w:rPr>
          <w:rFonts w:hint="eastAsia" w:ascii="仿宋" w:eastAsia="仿宋"/>
          <w:kern w:val="0"/>
          <w:sz w:val="32"/>
          <w:szCs w:val="32"/>
          <w:lang w:val="en-US" w:eastAsia="zh-CN"/>
        </w:rPr>
        <w:t>年末</w:t>
      </w:r>
      <w:r>
        <w:rPr>
          <w:rFonts w:hint="eastAsia" w:ascii="仿宋" w:eastAsia="仿宋"/>
          <w:kern w:val="0"/>
          <w:sz w:val="32"/>
          <w:szCs w:val="32"/>
          <w:lang w:val="zh-CN"/>
        </w:rPr>
        <w:t>实有事业人员</w:t>
      </w:r>
      <w:r>
        <w:rPr>
          <w:rFonts w:hint="eastAsia" w:ascii="仿宋" w:eastAsia="仿宋"/>
          <w:kern w:val="0"/>
          <w:sz w:val="32"/>
          <w:szCs w:val="32"/>
          <w:lang w:val="en-US" w:eastAsia="zh-CN"/>
        </w:rPr>
        <w:t>4</w:t>
      </w:r>
      <w:r>
        <w:rPr>
          <w:rFonts w:hint="eastAsia" w:ascii="仿宋" w:eastAsia="仿宋"/>
          <w:kern w:val="0"/>
          <w:sz w:val="32"/>
          <w:szCs w:val="32"/>
          <w:lang w:val="zh-CN"/>
        </w:rPr>
        <w:t>人。退休人员</w:t>
      </w:r>
      <w:r>
        <w:rPr>
          <w:rFonts w:hint="eastAsia" w:ascii="仿宋" w:eastAsia="仿宋"/>
          <w:kern w:val="0"/>
          <w:sz w:val="32"/>
          <w:szCs w:val="32"/>
          <w:lang w:val="en-US" w:eastAsia="zh-CN"/>
        </w:rPr>
        <w:t>4</w:t>
      </w:r>
      <w:r>
        <w:rPr>
          <w:rFonts w:hint="eastAsia" w:ascii="仿宋" w:eastAsia="仿宋"/>
          <w:kern w:val="0"/>
          <w:sz w:val="32"/>
          <w:szCs w:val="32"/>
          <w:lang w:val="zh-CN"/>
        </w:rPr>
        <w:t>人。</w:t>
      </w:r>
    </w:p>
    <w:p w14:paraId="1D311C4F">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644B65D">
      <w:pPr>
        <w:pStyle w:val="2"/>
        <w:jc w:val="center"/>
        <w:rPr>
          <w:rFonts w:hint="eastAsia" w:ascii="Times New Roman" w:hAnsi="Times New Roman" w:eastAsia="方正小标宋简体" w:cs="方正小标宋简体"/>
          <w:b w:val="0"/>
          <w:color w:val="auto"/>
          <w:highlight w:val="none"/>
        </w:rPr>
      </w:pPr>
      <w:bookmarkStart w:id="12" w:name="_Toc15396602"/>
      <w:bookmarkStart w:id="13"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2"/>
      <w:bookmarkEnd w:id="13"/>
    </w:p>
    <w:p w14:paraId="4231AEA5">
      <w:pPr>
        <w:rPr>
          <w:rFonts w:ascii="Times New Roman" w:hAnsi="Times New Roman"/>
          <w:color w:val="auto"/>
          <w:highlight w:val="none"/>
        </w:rPr>
      </w:pPr>
    </w:p>
    <w:p w14:paraId="38C7F75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4" w:name="_Toc15396603"/>
      <w:bookmarkStart w:id="1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4"/>
      <w:bookmarkEnd w:id="15"/>
    </w:p>
    <w:p w14:paraId="61A0AEB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140.95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76.2</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35.1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较上年减少</w:t>
      </w:r>
      <w:r>
        <w:rPr>
          <w:rFonts w:hint="eastAsia" w:eastAsia="仿宋_GB2312" w:cs="仿宋_GB2312"/>
          <w:color w:val="000000"/>
          <w:sz w:val="32"/>
          <w:szCs w:val="32"/>
          <w:lang w:eastAsia="zh-CN"/>
        </w:rPr>
        <w:t>阿坝州</w:t>
      </w:r>
      <w:r>
        <w:rPr>
          <w:rFonts w:hint="eastAsia" w:ascii="仿宋_GB2312" w:eastAsia="仿宋_GB2312" w:cs="仿宋_GB2312"/>
          <w:color w:val="000000"/>
          <w:sz w:val="32"/>
          <w:szCs w:val="32"/>
          <w:lang w:eastAsia="zh-CN"/>
        </w:rPr>
        <w:t>科技条件能力建设和技术推广示范项目</w:t>
      </w:r>
      <w:r>
        <w:rPr>
          <w:rFonts w:hint="eastAsia" w:ascii="仿宋_GB2312" w:eastAsia="仿宋_GB2312" w:cs="仿宋_GB2312"/>
          <w:color w:val="000000"/>
          <w:sz w:val="32"/>
          <w:szCs w:val="32"/>
          <w:lang w:val="en-US" w:eastAsia="zh-CN"/>
        </w:rPr>
        <w:t>31.46万元及平均在职人数减少导致工资福利支出减少38.35万元。</w:t>
      </w:r>
    </w:p>
    <w:p w14:paraId="2A749B02">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9"/>
                    <a:stretch>
                      <a:fillRect/>
                    </a:stretch>
                  </pic:blipFill>
                  <pic:spPr>
                    <a:xfrm>
                      <a:off x="0" y="0"/>
                      <a:ext cx="4838065" cy="2753995"/>
                    </a:xfrm>
                    <a:prstGeom prst="rect">
                      <a:avLst/>
                    </a:prstGeom>
                  </pic:spPr>
                </pic:pic>
              </a:graphicData>
            </a:graphic>
          </wp:inline>
        </w:drawing>
      </w:r>
    </w:p>
    <w:p w14:paraId="332772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1AA1F14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C66B2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57F592B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140.95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134.95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95.74</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4.25</w:t>
      </w:r>
      <w:r>
        <w:rPr>
          <w:rFonts w:hint="eastAsia" w:ascii="Times New Roman" w:hAnsi="Times New Roman" w:eastAsia="仿宋_GB2312" w:cs="仿宋_GB2312"/>
          <w:color w:val="auto"/>
          <w:sz w:val="32"/>
          <w:szCs w:val="32"/>
          <w:highlight w:val="none"/>
          <w:lang w:eastAsia="zh-CN"/>
        </w:rPr>
        <w:t>%。</w:t>
      </w:r>
    </w:p>
    <w:p w14:paraId="2D4AD70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7AEC198">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38065" cy="2753995"/>
            <wp:effectExtent l="0" t="0" r="635" b="8255"/>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10"/>
                    <a:stretch>
                      <a:fillRect/>
                    </a:stretch>
                  </pic:blipFill>
                  <pic:spPr>
                    <a:xfrm>
                      <a:off x="0" y="0"/>
                      <a:ext cx="4838065" cy="2753995"/>
                    </a:xfrm>
                    <a:prstGeom prst="rect">
                      <a:avLst/>
                    </a:prstGeom>
                  </pic:spPr>
                </pic:pic>
              </a:graphicData>
            </a:graphic>
          </wp:inline>
        </w:drawing>
      </w:r>
    </w:p>
    <w:p w14:paraId="65A87D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1EB05D64">
      <w:pPr>
        <w:ind w:firstLine="800" w:firstLineChars="250"/>
        <w:rPr>
          <w:rFonts w:hint="eastAsia" w:ascii="Times New Roman" w:hAnsi="Times New Roman" w:eastAsia="仿宋_GB2312" w:cs="仿宋_GB2312"/>
          <w:color w:val="auto"/>
          <w:sz w:val="32"/>
          <w:szCs w:val="32"/>
          <w:highlight w:val="none"/>
          <w:lang w:eastAsia="zh-CN"/>
        </w:rPr>
      </w:pPr>
    </w:p>
    <w:p w14:paraId="02391DF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8"/>
      <w:bookmarkEnd w:id="19"/>
    </w:p>
    <w:p w14:paraId="0AB6974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140.95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117.03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83.03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23.91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16.96</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26451821">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228465" cy="2753995"/>
            <wp:effectExtent l="0" t="0" r="635" b="8255"/>
            <wp:docPr id="4" name="图片 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3"/>
                    <pic:cNvPicPr>
                      <a:picLocks noChangeAspect="1"/>
                    </pic:cNvPicPr>
                  </pic:nvPicPr>
                  <pic:blipFill>
                    <a:blip r:embed="rId11"/>
                    <a:stretch>
                      <a:fillRect/>
                    </a:stretch>
                  </pic:blipFill>
                  <pic:spPr>
                    <a:xfrm>
                      <a:off x="0" y="0"/>
                      <a:ext cx="4228465" cy="2753995"/>
                    </a:xfrm>
                    <a:prstGeom prst="rect">
                      <a:avLst/>
                    </a:prstGeom>
                  </pic:spPr>
                </pic:pic>
              </a:graphicData>
            </a:graphic>
          </wp:inline>
        </w:drawing>
      </w:r>
    </w:p>
    <w:p w14:paraId="4D2CF13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7386B6AA">
      <w:pPr>
        <w:ind w:firstLine="800" w:firstLineChars="250"/>
        <w:rPr>
          <w:rFonts w:hint="eastAsia" w:ascii="Times New Roman" w:hAnsi="Times New Roman" w:eastAsia="仿宋_GB2312" w:cs="仿宋_GB2312"/>
          <w:color w:val="auto"/>
          <w:sz w:val="32"/>
          <w:szCs w:val="32"/>
          <w:highlight w:val="none"/>
          <w:lang w:eastAsia="zh-CN"/>
        </w:rPr>
      </w:pPr>
    </w:p>
    <w:p w14:paraId="5015DD5B">
      <w:pPr>
        <w:ind w:firstLine="800" w:firstLineChars="250"/>
        <w:rPr>
          <w:rFonts w:hint="eastAsia" w:ascii="Times New Roman" w:hAnsi="Times New Roman" w:eastAsia="仿宋_GB2312" w:cs="仿宋_GB2312"/>
          <w:color w:val="auto"/>
          <w:sz w:val="32"/>
          <w:szCs w:val="32"/>
          <w:highlight w:val="none"/>
          <w:lang w:eastAsia="zh-CN"/>
        </w:rPr>
      </w:pPr>
    </w:p>
    <w:p w14:paraId="3E0D47F7">
      <w:pPr>
        <w:spacing w:line="600" w:lineRule="exact"/>
        <w:ind w:firstLine="640" w:firstLineChars="200"/>
        <w:outlineLvl w:val="1"/>
        <w:rPr>
          <w:rStyle w:val="29"/>
          <w:rFonts w:ascii="Times New Roman" w:hAnsi="Times New Roman" w:eastAsia="黑体"/>
          <w:b w:val="0"/>
          <w:color w:val="auto"/>
          <w:highlight w:val="none"/>
        </w:rPr>
      </w:pPr>
      <w:bookmarkStart w:id="20" w:name="_Toc15396606"/>
      <w:bookmarkStart w:id="2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0"/>
      <w:bookmarkEnd w:id="21"/>
    </w:p>
    <w:p w14:paraId="254D09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134.95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82.2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较上年减少</w:t>
      </w:r>
      <w:r>
        <w:rPr>
          <w:rFonts w:hint="eastAsia" w:eastAsia="仿宋_GB2312" w:cs="仿宋_GB2312"/>
          <w:color w:val="000000"/>
          <w:sz w:val="32"/>
          <w:szCs w:val="32"/>
          <w:lang w:eastAsia="zh-CN"/>
        </w:rPr>
        <w:t>阿坝州</w:t>
      </w:r>
      <w:r>
        <w:rPr>
          <w:rFonts w:hint="eastAsia" w:ascii="仿宋_GB2312" w:eastAsia="仿宋_GB2312" w:cs="仿宋_GB2312"/>
          <w:color w:val="000000"/>
          <w:sz w:val="32"/>
          <w:szCs w:val="32"/>
          <w:lang w:eastAsia="zh-CN"/>
        </w:rPr>
        <w:t>科技条件能力建设和技术推广示范项目</w:t>
      </w:r>
      <w:r>
        <w:rPr>
          <w:rFonts w:hint="eastAsia" w:ascii="仿宋_GB2312" w:eastAsia="仿宋_GB2312" w:cs="仿宋_GB2312"/>
          <w:color w:val="000000"/>
          <w:sz w:val="32"/>
          <w:szCs w:val="32"/>
          <w:lang w:val="en-US" w:eastAsia="zh-CN"/>
        </w:rPr>
        <w:t>31.46万元、平均在职人数减少导致工资福利支出减少38.35万元及相应单位缴费类支出减少。</w:t>
      </w:r>
    </w:p>
    <w:p w14:paraId="66ADB8A3">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5"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
                    <pic:cNvPicPr>
                      <a:picLocks noChangeAspect="1"/>
                    </pic:cNvPicPr>
                  </pic:nvPicPr>
                  <pic:blipFill>
                    <a:blip r:embed="rId12"/>
                    <a:stretch>
                      <a:fillRect/>
                    </a:stretch>
                  </pic:blipFill>
                  <pic:spPr>
                    <a:xfrm>
                      <a:off x="0" y="0"/>
                      <a:ext cx="4838065" cy="2753995"/>
                    </a:xfrm>
                    <a:prstGeom prst="rect">
                      <a:avLst/>
                    </a:prstGeom>
                  </pic:spPr>
                </pic:pic>
              </a:graphicData>
            </a:graphic>
          </wp:inline>
        </w:drawing>
      </w:r>
    </w:p>
    <w:p w14:paraId="74440C9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6363C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9B66EB">
      <w:pPr>
        <w:spacing w:line="600" w:lineRule="exact"/>
        <w:ind w:firstLine="640" w:firstLineChars="200"/>
        <w:outlineLvl w:val="1"/>
        <w:rPr>
          <w:rStyle w:val="29"/>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2"/>
      <w:bookmarkEnd w:id="23"/>
    </w:p>
    <w:p w14:paraId="3612D71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62EE19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134.95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95.74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82.2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一次性项目减少及年平均在职人数减少。</w:t>
      </w:r>
    </w:p>
    <w:p w14:paraId="50592666">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7" name="图片 7"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5"/>
                    <pic:cNvPicPr>
                      <a:picLocks noChangeAspect="1"/>
                    </pic:cNvPicPr>
                  </pic:nvPicPr>
                  <pic:blipFill>
                    <a:blip r:embed="rId13"/>
                    <a:stretch>
                      <a:fillRect/>
                    </a:stretch>
                  </pic:blipFill>
                  <pic:spPr>
                    <a:xfrm>
                      <a:off x="0" y="0"/>
                      <a:ext cx="4838065" cy="2753995"/>
                    </a:xfrm>
                    <a:prstGeom prst="rect">
                      <a:avLst/>
                    </a:prstGeom>
                  </pic:spPr>
                </pic:pic>
              </a:graphicData>
            </a:graphic>
          </wp:inline>
        </w:drawing>
      </w:r>
    </w:p>
    <w:p w14:paraId="6EE7A3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2F0D1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753D8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03F6F15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134.95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102.22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75.7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19.82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34E17CC">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8" name="图片 8"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6"/>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395702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616753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04613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57D6A1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7" w:name="_Toc15377213"/>
      <w:bookmarkStart w:id="28" w:name="_Toc15377444"/>
      <w:bookmarkStart w:id="2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134.95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7"/>
      <w:bookmarkEnd w:id="28"/>
      <w:bookmarkEnd w:id="29"/>
    </w:p>
    <w:p w14:paraId="3B7700F1">
      <w:pPr>
        <w:spacing w:line="600" w:lineRule="exact"/>
        <w:ind w:firstLine="640"/>
        <w:rPr>
          <w:rFonts w:hint="eastAsia" w:eastAsia="仿宋_GB2312" w:cs="仿宋_GB2312"/>
          <w:sz w:val="32"/>
          <w:szCs w:val="32"/>
          <w:lang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eastAsia="仿宋_GB2312" w:cs="仿宋_GB2312"/>
          <w:sz w:val="32"/>
          <w:szCs w:val="32"/>
        </w:rPr>
        <w:t>科学技术（类）</w:t>
      </w:r>
      <w:r>
        <w:rPr>
          <w:rFonts w:hint="eastAsia" w:eastAsia="仿宋_GB2312" w:cs="仿宋_GB2312"/>
          <w:sz w:val="32"/>
          <w:szCs w:val="32"/>
          <w:lang w:eastAsia="zh-CN"/>
        </w:rPr>
        <w:t>应用研究</w:t>
      </w:r>
      <w:r>
        <w:rPr>
          <w:rFonts w:hint="eastAsia" w:eastAsia="仿宋_GB2312" w:cs="仿宋_GB2312"/>
          <w:sz w:val="32"/>
          <w:szCs w:val="32"/>
        </w:rPr>
        <w:t>（款）</w:t>
      </w:r>
      <w:r>
        <w:rPr>
          <w:rFonts w:hint="eastAsia" w:eastAsia="仿宋_GB2312" w:cs="仿宋_GB2312"/>
          <w:sz w:val="32"/>
          <w:szCs w:val="32"/>
          <w:lang w:eastAsia="zh-CN"/>
        </w:rPr>
        <w:t>机构运行</w:t>
      </w:r>
      <w:r>
        <w:rPr>
          <w:rFonts w:hint="eastAsia" w:eastAsia="仿宋_GB2312" w:cs="仿宋_GB2312"/>
          <w:sz w:val="32"/>
          <w:szCs w:val="32"/>
        </w:rPr>
        <w:t>（项）：支出决算为</w:t>
      </w:r>
      <w:r>
        <w:rPr>
          <w:rFonts w:hint="eastAsia" w:eastAsia="仿宋_GB2312" w:cs="仿宋_GB2312"/>
          <w:sz w:val="32"/>
          <w:szCs w:val="32"/>
          <w:lang w:val="en-US" w:eastAsia="zh-CN"/>
        </w:rPr>
        <w:t>84.3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6D1B6B9">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2</w:t>
      </w:r>
      <w:r>
        <w:rPr>
          <w:rFonts w:hint="eastAsia" w:eastAsia="仿宋_GB2312" w:cs="仿宋_GB2312"/>
          <w:sz w:val="32"/>
          <w:szCs w:val="32"/>
        </w:rPr>
        <w:t>.科学技术（类）</w:t>
      </w:r>
      <w:r>
        <w:rPr>
          <w:rFonts w:hint="eastAsia" w:eastAsia="仿宋_GB2312" w:cs="仿宋_GB2312"/>
          <w:sz w:val="32"/>
          <w:szCs w:val="32"/>
          <w:lang w:eastAsia="zh-CN"/>
        </w:rPr>
        <w:t>应用研究</w:t>
      </w:r>
      <w:r>
        <w:rPr>
          <w:rFonts w:hint="eastAsia" w:eastAsia="仿宋_GB2312" w:cs="仿宋_GB2312"/>
          <w:sz w:val="32"/>
          <w:szCs w:val="32"/>
        </w:rPr>
        <w:t>（款）</w:t>
      </w:r>
      <w:r>
        <w:rPr>
          <w:rFonts w:hint="eastAsia" w:eastAsia="仿宋_GB2312" w:cs="仿宋_GB2312"/>
          <w:sz w:val="32"/>
          <w:szCs w:val="32"/>
          <w:lang w:eastAsia="zh-CN"/>
        </w:rPr>
        <w:t>社会公益研究</w:t>
      </w:r>
      <w:r>
        <w:rPr>
          <w:rFonts w:hint="eastAsia" w:eastAsia="仿宋_GB2312" w:cs="仿宋_GB2312"/>
          <w:sz w:val="32"/>
          <w:szCs w:val="32"/>
        </w:rPr>
        <w:t>（项）：支出决算为</w:t>
      </w:r>
      <w:r>
        <w:rPr>
          <w:rFonts w:hint="eastAsia" w:eastAsia="仿宋_GB2312" w:cs="仿宋_GB2312"/>
          <w:sz w:val="32"/>
          <w:szCs w:val="32"/>
          <w:lang w:val="en-US" w:eastAsia="zh-CN"/>
        </w:rPr>
        <w:t>9.2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2AF35536">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3</w:t>
      </w:r>
      <w:r>
        <w:rPr>
          <w:rFonts w:hint="eastAsia" w:eastAsia="仿宋_GB2312" w:cs="仿宋_GB2312"/>
          <w:sz w:val="32"/>
          <w:szCs w:val="32"/>
        </w:rPr>
        <w:t>.科学技术（类）</w:t>
      </w:r>
      <w:r>
        <w:rPr>
          <w:rFonts w:hint="eastAsia" w:eastAsia="仿宋_GB2312" w:cs="仿宋_GB2312"/>
          <w:sz w:val="32"/>
          <w:szCs w:val="32"/>
          <w:lang w:eastAsia="zh-CN"/>
        </w:rPr>
        <w:t>应用研究</w:t>
      </w:r>
      <w:r>
        <w:rPr>
          <w:rFonts w:hint="eastAsia" w:eastAsia="仿宋_GB2312" w:cs="仿宋_GB2312"/>
          <w:sz w:val="32"/>
          <w:szCs w:val="32"/>
        </w:rPr>
        <w:t>（款）</w:t>
      </w:r>
      <w:r>
        <w:rPr>
          <w:rFonts w:hint="eastAsia" w:eastAsia="仿宋_GB2312" w:cs="仿宋_GB2312"/>
          <w:sz w:val="32"/>
          <w:szCs w:val="32"/>
          <w:lang w:eastAsia="zh-CN"/>
        </w:rPr>
        <w:t>其他应用研究支出</w:t>
      </w:r>
      <w:r>
        <w:rPr>
          <w:rFonts w:hint="eastAsia" w:eastAsia="仿宋_GB2312" w:cs="仿宋_GB2312"/>
          <w:sz w:val="32"/>
          <w:szCs w:val="32"/>
        </w:rPr>
        <w:t>（项）：支出决算为</w:t>
      </w:r>
      <w:r>
        <w:rPr>
          <w:rFonts w:hint="eastAsia" w:eastAsia="仿宋_GB2312" w:cs="仿宋_GB2312"/>
          <w:sz w:val="32"/>
          <w:szCs w:val="32"/>
          <w:lang w:val="en-US" w:eastAsia="zh-CN"/>
        </w:rPr>
        <w:t>8.71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425C56E">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4</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机关事业单位基本养老保险缴费支出</w:t>
      </w:r>
      <w:r>
        <w:rPr>
          <w:rFonts w:hint="eastAsia" w:eastAsia="仿宋_GB2312" w:cs="仿宋_GB2312"/>
          <w:sz w:val="32"/>
          <w:szCs w:val="32"/>
        </w:rPr>
        <w:t>（项）：支出决算为</w:t>
      </w:r>
      <w:r>
        <w:rPr>
          <w:rFonts w:hint="eastAsia" w:eastAsia="仿宋_GB2312" w:cs="仿宋_GB2312"/>
          <w:sz w:val="32"/>
          <w:szCs w:val="32"/>
          <w:lang w:val="en-US" w:eastAsia="zh-CN"/>
        </w:rPr>
        <w:t>8.8</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CF15B8E">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5</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机关事业单位职业年金缴费支出</w:t>
      </w:r>
      <w:r>
        <w:rPr>
          <w:rFonts w:hint="eastAsia" w:eastAsia="仿宋_GB2312" w:cs="仿宋_GB2312"/>
          <w:sz w:val="32"/>
          <w:szCs w:val="32"/>
        </w:rPr>
        <w:t>（项）：支出决算为</w:t>
      </w:r>
      <w:r>
        <w:rPr>
          <w:rFonts w:hint="eastAsia" w:eastAsia="仿宋_GB2312" w:cs="仿宋_GB2312"/>
          <w:sz w:val="32"/>
          <w:szCs w:val="32"/>
          <w:lang w:val="en-US" w:eastAsia="zh-CN"/>
        </w:rPr>
        <w:t>4.4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7BFB514">
      <w:pPr>
        <w:spacing w:line="600" w:lineRule="exact"/>
        <w:ind w:firstLine="640"/>
        <w:rPr>
          <w:rFonts w:hint="eastAsia"/>
          <w:lang w:eastAsia="zh-CN"/>
        </w:rPr>
      </w:pPr>
      <w:r>
        <w:rPr>
          <w:rFonts w:hint="eastAsia" w:eastAsia="仿宋_GB2312" w:cs="仿宋_GB2312"/>
          <w:sz w:val="32"/>
          <w:szCs w:val="32"/>
          <w:lang w:val="en-US" w:eastAsia="zh-CN"/>
        </w:rPr>
        <w:t>6.</w:t>
      </w:r>
      <w:r>
        <w:rPr>
          <w:rFonts w:hint="eastAsia" w:eastAsia="仿宋_GB2312" w:cs="仿宋_GB2312"/>
          <w:sz w:val="32"/>
          <w:szCs w:val="32"/>
        </w:rPr>
        <w:t>社会保障和就业（类）</w:t>
      </w:r>
      <w:r>
        <w:rPr>
          <w:rFonts w:hint="eastAsia" w:eastAsia="仿宋_GB2312" w:cs="仿宋_GB2312"/>
          <w:sz w:val="32"/>
          <w:szCs w:val="32"/>
          <w:lang w:eastAsia="zh-CN"/>
        </w:rPr>
        <w:t>行政事业单位养老支出</w:t>
      </w:r>
      <w:r>
        <w:rPr>
          <w:rFonts w:hint="eastAsia" w:eastAsia="仿宋_GB2312" w:cs="仿宋_GB2312"/>
          <w:sz w:val="32"/>
          <w:szCs w:val="32"/>
        </w:rPr>
        <w:t>（款）</w:t>
      </w:r>
      <w:r>
        <w:rPr>
          <w:rFonts w:hint="eastAsia" w:eastAsia="仿宋_GB2312" w:cs="仿宋_GB2312"/>
          <w:sz w:val="32"/>
          <w:szCs w:val="32"/>
          <w:lang w:eastAsia="zh-CN"/>
        </w:rPr>
        <w:t>其他行政事业单位养老支出</w:t>
      </w:r>
      <w:r>
        <w:rPr>
          <w:rFonts w:hint="eastAsia" w:eastAsia="仿宋_GB2312" w:cs="仿宋_GB2312"/>
          <w:sz w:val="32"/>
          <w:szCs w:val="32"/>
        </w:rPr>
        <w:t>（项）：支出决算为</w:t>
      </w:r>
      <w:r>
        <w:rPr>
          <w:rFonts w:hint="eastAsia" w:eastAsia="仿宋_GB2312" w:cs="仿宋_GB2312"/>
          <w:sz w:val="32"/>
          <w:szCs w:val="32"/>
          <w:lang w:val="en-US" w:eastAsia="zh-CN"/>
        </w:rPr>
        <w:t>6.61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7FA64422">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7</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事业单位医疗</w:t>
      </w:r>
      <w:r>
        <w:rPr>
          <w:rFonts w:hint="eastAsia" w:eastAsia="仿宋_GB2312" w:cs="仿宋_GB2312"/>
          <w:sz w:val="32"/>
          <w:szCs w:val="32"/>
        </w:rPr>
        <w:t>（项）：支出决算为</w:t>
      </w:r>
      <w:r>
        <w:rPr>
          <w:rFonts w:hint="eastAsia" w:eastAsia="仿宋_GB2312" w:cs="仿宋_GB2312"/>
          <w:sz w:val="32"/>
          <w:szCs w:val="32"/>
          <w:lang w:val="en-US" w:eastAsia="zh-CN"/>
        </w:rPr>
        <w:t>4.16</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0BE2D5F">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8</w:t>
      </w:r>
      <w:r>
        <w:rPr>
          <w:rFonts w:hint="eastAsia" w:eastAsia="仿宋_GB2312" w:cs="仿宋_GB2312"/>
          <w:sz w:val="32"/>
          <w:szCs w:val="32"/>
        </w:rPr>
        <w:t>.卫生健康（类）</w:t>
      </w:r>
      <w:r>
        <w:rPr>
          <w:rFonts w:hint="eastAsia" w:eastAsia="仿宋_GB2312" w:cs="仿宋_GB2312"/>
          <w:sz w:val="32"/>
          <w:szCs w:val="32"/>
          <w:lang w:eastAsia="zh-CN"/>
        </w:rPr>
        <w:t>行政事业单位医疗</w:t>
      </w:r>
      <w:r>
        <w:rPr>
          <w:rFonts w:hint="eastAsia" w:eastAsia="仿宋_GB2312" w:cs="仿宋_GB2312"/>
          <w:sz w:val="32"/>
          <w:szCs w:val="32"/>
        </w:rPr>
        <w:t>（款）</w:t>
      </w:r>
      <w:r>
        <w:rPr>
          <w:rFonts w:hint="eastAsia" w:eastAsia="仿宋_GB2312" w:cs="仿宋_GB2312"/>
          <w:sz w:val="32"/>
          <w:szCs w:val="32"/>
          <w:lang w:eastAsia="zh-CN"/>
        </w:rPr>
        <w:t>其他行政事业单位医疗支出</w:t>
      </w:r>
      <w:r>
        <w:rPr>
          <w:rFonts w:hint="eastAsia" w:eastAsia="仿宋_GB2312" w:cs="仿宋_GB2312"/>
          <w:sz w:val="32"/>
          <w:szCs w:val="32"/>
        </w:rPr>
        <w:t>（项）：支出决算为</w:t>
      </w:r>
      <w:r>
        <w:rPr>
          <w:rFonts w:hint="eastAsia" w:eastAsia="仿宋_GB2312" w:cs="仿宋_GB2312"/>
          <w:sz w:val="32"/>
          <w:szCs w:val="32"/>
          <w:lang w:val="en-US" w:eastAsia="zh-CN"/>
        </w:rPr>
        <w:t>1.44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1998A824">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val="en-US" w:eastAsia="zh-CN"/>
        </w:rPr>
        <w:t>9</w:t>
      </w:r>
      <w:r>
        <w:rPr>
          <w:rFonts w:hint="eastAsia" w:eastAsia="仿宋_GB2312" w:cs="仿宋_GB2312"/>
          <w:sz w:val="32"/>
          <w:szCs w:val="32"/>
        </w:rPr>
        <w:t>.</w:t>
      </w:r>
      <w:r>
        <w:rPr>
          <w:rFonts w:hint="eastAsia" w:eastAsia="仿宋_GB2312" w:cs="仿宋_GB2312"/>
          <w:sz w:val="32"/>
          <w:szCs w:val="32"/>
          <w:lang w:eastAsia="zh-CN"/>
        </w:rPr>
        <w:t>住房保障支出</w:t>
      </w:r>
      <w:r>
        <w:rPr>
          <w:rFonts w:hint="eastAsia" w:eastAsia="仿宋_GB2312" w:cs="仿宋_GB2312"/>
          <w:sz w:val="32"/>
          <w:szCs w:val="32"/>
        </w:rPr>
        <w:t>（类）</w:t>
      </w:r>
      <w:r>
        <w:rPr>
          <w:rFonts w:hint="eastAsia" w:eastAsia="仿宋_GB2312" w:cs="仿宋_GB2312"/>
          <w:sz w:val="32"/>
          <w:szCs w:val="32"/>
          <w:lang w:eastAsia="zh-CN"/>
        </w:rPr>
        <w:t>住房改革支出</w:t>
      </w:r>
      <w:r>
        <w:rPr>
          <w:rFonts w:hint="eastAsia" w:eastAsia="仿宋_GB2312" w:cs="仿宋_GB2312"/>
          <w:sz w:val="32"/>
          <w:szCs w:val="32"/>
        </w:rPr>
        <w:t>（款）</w:t>
      </w:r>
      <w:r>
        <w:rPr>
          <w:rFonts w:hint="eastAsia" w:eastAsia="仿宋_GB2312" w:cs="仿宋_GB2312"/>
          <w:sz w:val="32"/>
          <w:szCs w:val="32"/>
          <w:lang w:eastAsia="zh-CN"/>
        </w:rPr>
        <w:t>住房公积金</w:t>
      </w:r>
      <w:r>
        <w:rPr>
          <w:rFonts w:hint="eastAsia" w:eastAsia="仿宋_GB2312" w:cs="仿宋_GB2312"/>
          <w:sz w:val="32"/>
          <w:szCs w:val="32"/>
        </w:rPr>
        <w:t>（项）：支出决算为</w:t>
      </w:r>
      <w:r>
        <w:rPr>
          <w:rFonts w:hint="eastAsia" w:eastAsia="仿宋_GB2312" w:cs="仿宋_GB2312"/>
          <w:sz w:val="32"/>
          <w:szCs w:val="32"/>
          <w:lang w:val="en-US" w:eastAsia="zh-CN"/>
        </w:rPr>
        <w:t>7.31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781F6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4BD78E">
      <w:pPr>
        <w:tabs>
          <w:tab w:val="right" w:pos="8306"/>
        </w:tabs>
        <w:spacing w:line="600" w:lineRule="exact"/>
        <w:ind w:firstLine="640"/>
        <w:outlineLvl w:val="1"/>
        <w:rPr>
          <w:rStyle w:val="29"/>
          <w:rFonts w:ascii="Times New Roman" w:hAnsi="Times New Roman"/>
          <w:color w:val="auto"/>
          <w:highlight w:val="none"/>
        </w:rPr>
      </w:pPr>
      <w:bookmarkStart w:id="30" w:name="_Toc15396608"/>
      <w:bookmarkStart w:id="3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0"/>
      <w:bookmarkEnd w:id="31"/>
      <w:r>
        <w:rPr>
          <w:rStyle w:val="29"/>
          <w:rFonts w:ascii="Times New Roman" w:hAnsi="Times New Roman" w:eastAsia="黑体"/>
          <w:b w:val="0"/>
          <w:color w:val="auto"/>
          <w:highlight w:val="none"/>
        </w:rPr>
        <w:tab/>
      </w:r>
    </w:p>
    <w:p w14:paraId="06700C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117.03</w:t>
      </w:r>
      <w:r>
        <w:rPr>
          <w:rFonts w:hint="eastAsia" w:ascii="Times New Roman" w:hAnsi="Times New Roman" w:eastAsia="仿宋_GB2312" w:cs="仿宋_GB2312"/>
          <w:color w:val="auto"/>
          <w:kern w:val="2"/>
          <w:sz w:val="32"/>
          <w:szCs w:val="32"/>
          <w:highlight w:val="none"/>
          <w:lang w:val="en-US" w:eastAsia="zh-CN" w:bidi="ar-SA"/>
        </w:rPr>
        <w:t>万元，其中：</w:t>
      </w:r>
    </w:p>
    <w:p w14:paraId="60426C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109.09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生活补助等。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7.94</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万元，主要包括：办公费、邮电费、差旅费、维修（护）费、劳务费、工会经费、福利费、其他商品和服务支出等。</w:t>
      </w:r>
    </w:p>
    <w:p w14:paraId="7CF109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BF0E8CD">
      <w:pPr>
        <w:spacing w:line="600" w:lineRule="exact"/>
        <w:ind w:firstLine="640"/>
        <w:outlineLvl w:val="1"/>
        <w:rPr>
          <w:rStyle w:val="29"/>
          <w:rFonts w:ascii="Times New Roman" w:hAnsi="Times New Roman" w:eastAsia="黑体"/>
          <w:b w:val="0"/>
          <w:color w:val="auto"/>
          <w:highlight w:val="none"/>
        </w:rPr>
      </w:pPr>
      <w:bookmarkStart w:id="32" w:name="_Toc15396609"/>
      <w:bookmarkStart w:id="33"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2"/>
      <w:bookmarkEnd w:id="33"/>
    </w:p>
    <w:p w14:paraId="283B332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4"/>
    </w:p>
    <w:p w14:paraId="05357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D3021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14:paraId="5E4E80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5E13B35">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9" name="图片 9"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7"/>
                    <pic:cNvPicPr>
                      <a:picLocks noChangeAspect="1"/>
                    </pic:cNvPicPr>
                  </pic:nvPicPr>
                  <pic:blipFill>
                    <a:blip r:embed="rId15"/>
                    <a:stretch>
                      <a:fillRect/>
                    </a:stretch>
                  </pic:blipFill>
                  <pic:spPr>
                    <a:xfrm>
                      <a:off x="0" y="0"/>
                      <a:ext cx="4838065" cy="2753995"/>
                    </a:xfrm>
                    <a:prstGeom prst="rect">
                      <a:avLst/>
                    </a:prstGeom>
                  </pic:spPr>
                </pic:pic>
              </a:graphicData>
            </a:graphic>
          </wp:inline>
        </w:drawing>
      </w:r>
    </w:p>
    <w:p w14:paraId="247324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27F569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0EAF17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%。原因是</w:t>
      </w:r>
      <w:r>
        <w:rPr>
          <w:rFonts w:hint="eastAsia" w:eastAsia="仿宋_GB2312" w:cs="仿宋_GB2312"/>
          <w:color w:val="auto"/>
          <w:kern w:val="2"/>
          <w:sz w:val="32"/>
          <w:szCs w:val="32"/>
          <w:highlight w:val="none"/>
          <w:lang w:val="en-US" w:eastAsia="zh-CN" w:bidi="ar-SA"/>
        </w:rPr>
        <w:t>本单位无公车。</w:t>
      </w:r>
    </w:p>
    <w:p w14:paraId="223668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A2228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B19EB3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6" w:name="_Toc15396610"/>
      <w:bookmarkStart w:id="37" w:name="_Toc15377218"/>
    </w:p>
    <w:p w14:paraId="7A9C0CD8">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6"/>
      <w:bookmarkEnd w:id="37"/>
    </w:p>
    <w:p w14:paraId="208C00A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B1FA1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227B67">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8" w:name="_Toc15396611"/>
      <w:bookmarkStart w:id="39"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8"/>
      <w:bookmarkEnd w:id="39"/>
    </w:p>
    <w:p w14:paraId="516419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96BEB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54552B2">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0" w:name="_Toc15377221"/>
      <w:bookmarkStart w:id="41"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0"/>
      <w:bookmarkEnd w:id="41"/>
    </w:p>
    <w:p w14:paraId="62B35F5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14:paraId="08E44E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阿坝州科技交流普及中心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ascii="仿宋" w:eastAsia="仿宋"/>
          <w:b w:val="0"/>
          <w:bCs w:val="0"/>
          <w:i w:val="0"/>
          <w:iCs w:val="0"/>
          <w:caps w:val="0"/>
          <w:smallCaps w:val="0"/>
          <w:vanish w:val="0"/>
          <w:color w:val="000000"/>
          <w:spacing w:val="0"/>
          <w:sz w:val="32"/>
          <w:szCs w:val="32"/>
        </w:rPr>
        <w:t>我</w:t>
      </w:r>
      <w:r>
        <w:rPr>
          <w:rFonts w:hint="eastAsia" w:ascii="仿宋" w:eastAsia="仿宋"/>
          <w:b w:val="0"/>
          <w:bCs w:val="0"/>
          <w:i w:val="0"/>
          <w:iCs w:val="0"/>
          <w:caps w:val="0"/>
          <w:smallCaps w:val="0"/>
          <w:vanish w:val="0"/>
          <w:color w:val="000000"/>
          <w:spacing w:val="0"/>
          <w:sz w:val="32"/>
          <w:szCs w:val="32"/>
          <w:lang w:eastAsia="zh-CN"/>
        </w:rPr>
        <w:t>单位</w:t>
      </w:r>
      <w:r>
        <w:rPr>
          <w:rFonts w:ascii="仿宋" w:eastAsia="仿宋"/>
          <w:b w:val="0"/>
          <w:bCs w:val="0"/>
          <w:i w:val="0"/>
          <w:iCs w:val="0"/>
          <w:caps w:val="0"/>
          <w:smallCaps w:val="0"/>
          <w:vanish w:val="0"/>
          <w:color w:val="000000"/>
          <w:spacing w:val="0"/>
          <w:sz w:val="32"/>
          <w:szCs w:val="32"/>
        </w:rPr>
        <w:t>属</w:t>
      </w:r>
      <w:r>
        <w:rPr>
          <w:rFonts w:hint="eastAsia" w:ascii="仿宋" w:eastAsia="仿宋"/>
          <w:b w:val="0"/>
          <w:bCs w:val="0"/>
          <w:i w:val="0"/>
          <w:iCs w:val="0"/>
          <w:caps w:val="0"/>
          <w:smallCaps w:val="0"/>
          <w:vanish w:val="0"/>
          <w:color w:val="000000"/>
          <w:spacing w:val="0"/>
          <w:sz w:val="32"/>
          <w:szCs w:val="32"/>
          <w:lang w:eastAsia="zh-CN"/>
        </w:rPr>
        <w:t>公益一类</w:t>
      </w:r>
      <w:r>
        <w:rPr>
          <w:rFonts w:ascii="仿宋" w:eastAsia="仿宋"/>
          <w:b w:val="0"/>
          <w:bCs w:val="0"/>
          <w:i w:val="0"/>
          <w:iCs w:val="0"/>
          <w:caps w:val="0"/>
          <w:smallCaps w:val="0"/>
          <w:vanish w:val="0"/>
          <w:color w:val="000000"/>
          <w:spacing w:val="0"/>
          <w:sz w:val="32"/>
          <w:szCs w:val="32"/>
        </w:rPr>
        <w:t>事业单位，不存在该项经费支出。</w:t>
      </w:r>
    </w:p>
    <w:p w14:paraId="33B1894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AA559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14:paraId="521FE1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阿坝州科技交流普及中心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3DEA38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B1D68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4"/>
      <w:r>
        <w:rPr>
          <w:rFonts w:hint="eastAsia" w:ascii="Times New Roman" w:hAnsi="Times New Roman" w:eastAsia="楷体_GB2312" w:cs="楷体_GB2312"/>
          <w:b/>
          <w:color w:val="auto"/>
          <w:sz w:val="32"/>
          <w:szCs w:val="32"/>
          <w:highlight w:val="none"/>
        </w:rPr>
        <w:t>（三）国有资产占有使用情况</w:t>
      </w:r>
      <w:bookmarkEnd w:id="44"/>
    </w:p>
    <w:p w14:paraId="400BC4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阿坝州科技交流普及中心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A1A4D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24CCD1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0AFF4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科普工作经费、“四川科技兴村在线”阿坝州平台2024年科技服务平台运行绩效后补助、“绿色阿坝州红色传承”特色科普能力提升3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w:t>
      </w:r>
      <w:r>
        <w:rPr>
          <w:rFonts w:hint="eastAsia" w:eastAsia="仿宋_GB2312" w:cs="仿宋_GB2312"/>
          <w:color w:val="auto"/>
          <w:kern w:val="2"/>
          <w:sz w:val="32"/>
          <w:szCs w:val="32"/>
          <w:highlight w:val="none"/>
          <w:lang w:val="en-US" w:eastAsia="zh-CN" w:bidi="ar-SA"/>
        </w:rPr>
        <w:t>所有</w:t>
      </w:r>
      <w:r>
        <w:rPr>
          <w:rFonts w:hint="eastAsia" w:ascii="Times New Roman" w:hAnsi="Times New Roman" w:eastAsia="仿宋_GB2312" w:cs="仿宋_GB2312"/>
          <w:color w:val="auto"/>
          <w:kern w:val="2"/>
          <w:sz w:val="32"/>
          <w:szCs w:val="32"/>
          <w:highlight w:val="none"/>
          <w:lang w:val="en-US" w:eastAsia="zh-CN" w:bidi="ar-SA"/>
        </w:rPr>
        <w:t>项目</w:t>
      </w:r>
      <w:r>
        <w:rPr>
          <w:rFonts w:hint="eastAsia" w:eastAsia="仿宋_GB2312" w:cs="仿宋_GB2312"/>
          <w:color w:val="auto"/>
          <w:kern w:val="2"/>
          <w:sz w:val="32"/>
          <w:szCs w:val="32"/>
          <w:highlight w:val="none"/>
          <w:lang w:val="en-US" w:eastAsia="zh-CN" w:bidi="ar-SA"/>
        </w:rPr>
        <w:t>均</w:t>
      </w:r>
      <w:r>
        <w:rPr>
          <w:rFonts w:hint="eastAsia" w:ascii="Times New Roman" w:hAnsi="Times New Roman" w:eastAsia="仿宋_GB2312" w:cs="仿宋_GB2312"/>
          <w:color w:val="auto"/>
          <w:kern w:val="2"/>
          <w:sz w:val="32"/>
          <w:szCs w:val="32"/>
          <w:highlight w:val="none"/>
          <w:lang w:val="en-US" w:eastAsia="zh-CN" w:bidi="ar-SA"/>
        </w:rPr>
        <w:t>开展绩效监控。</w:t>
      </w:r>
    </w:p>
    <w:p w14:paraId="6A154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A71318">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5" w:name="_Toc15396613"/>
      <w:bookmarkStart w:id="46"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14:paraId="598E050B">
      <w:pPr>
        <w:spacing w:line="600" w:lineRule="exact"/>
        <w:jc w:val="left"/>
        <w:rPr>
          <w:rFonts w:ascii="Times New Roman" w:hAnsi="Times New Roman"/>
          <w:b/>
          <w:color w:val="auto"/>
          <w:sz w:val="44"/>
          <w:szCs w:val="44"/>
          <w:highlight w:val="none"/>
        </w:rPr>
      </w:pPr>
    </w:p>
    <w:p w14:paraId="60F138E6">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4BA0896B">
      <w:pPr>
        <w:ind w:firstLine="640" w:firstLineChars="200"/>
        <w:rPr>
          <w:rFonts w:ascii="仿宋_GB2312" w:eastAsia="仿宋_GB2312"/>
          <w:sz w:val="32"/>
          <w:szCs w:val="32"/>
        </w:rPr>
      </w:pPr>
      <w:r>
        <w:rPr>
          <w:rFonts w:hint="eastAsia" w:eastAsia="仿宋_GB2312" w:cs="仿宋_GB2312"/>
          <w:sz w:val="32"/>
          <w:szCs w:val="32"/>
          <w:lang w:val="en-US" w:eastAsia="zh-CN"/>
        </w:rPr>
        <w:t>2</w:t>
      </w:r>
      <w:r>
        <w:rPr>
          <w:rFonts w:hint="eastAsia" w:eastAsia="仿宋_GB2312" w:cs="仿宋_GB2312"/>
          <w:sz w:val="32"/>
          <w:szCs w:val="32"/>
        </w:rPr>
        <w:t>.</w:t>
      </w:r>
      <w:r>
        <w:rPr>
          <w:rFonts w:hint="eastAsia" w:ascii="仿宋_GB2312" w:eastAsia="仿宋_GB2312"/>
          <w:sz w:val="32"/>
          <w:szCs w:val="32"/>
        </w:rPr>
        <w:t>科学技术（类）</w:t>
      </w:r>
      <w:r>
        <w:rPr>
          <w:rFonts w:ascii="仿宋_GB2312" w:eastAsia="仿宋_GB2312"/>
          <w:sz w:val="32"/>
          <w:szCs w:val="32"/>
        </w:rPr>
        <w:t>应用研究</w:t>
      </w:r>
      <w:r>
        <w:rPr>
          <w:rFonts w:hint="eastAsia" w:ascii="仿宋_GB2312" w:eastAsia="仿宋_GB2312"/>
          <w:sz w:val="32"/>
          <w:szCs w:val="32"/>
        </w:rPr>
        <w:t>（款）</w:t>
      </w:r>
      <w:r>
        <w:rPr>
          <w:rFonts w:ascii="仿宋_GB2312" w:eastAsia="仿宋_GB2312"/>
          <w:sz w:val="32"/>
          <w:szCs w:val="32"/>
        </w:rPr>
        <w:t>机构运行</w:t>
      </w:r>
      <w:r>
        <w:rPr>
          <w:rFonts w:hint="eastAsia" w:ascii="仿宋_GB2312" w:eastAsia="仿宋_GB2312"/>
          <w:sz w:val="32"/>
          <w:szCs w:val="32"/>
        </w:rPr>
        <w:t>（项）：指</w:t>
      </w:r>
      <w:r>
        <w:rPr>
          <w:rFonts w:ascii="仿宋_GB2312" w:eastAsia="仿宋_GB2312"/>
          <w:sz w:val="32"/>
          <w:szCs w:val="32"/>
        </w:rPr>
        <w:t>在基础研究成果上，针对某一特定的实际目的或者目标进行的创造性研究机构的基本支出</w:t>
      </w:r>
      <w:r>
        <w:rPr>
          <w:rFonts w:hint="eastAsia" w:ascii="仿宋_GB2312" w:eastAsia="仿宋_GB2312"/>
          <w:sz w:val="32"/>
          <w:szCs w:val="32"/>
        </w:rPr>
        <w:t>。</w:t>
      </w:r>
    </w:p>
    <w:p w14:paraId="07EF14A5">
      <w:pPr>
        <w:pStyle w:val="5"/>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 xml:space="preserve">   </w:t>
      </w:r>
      <w:r>
        <w:rPr>
          <w:rFonts w:hint="eastAsia" w:ascii="Times New Roman" w:hAnsi="Times New Roman" w:cs="仿宋_GB2312"/>
          <w:kern w:val="2"/>
          <w:sz w:val="32"/>
          <w:szCs w:val="32"/>
          <w:lang w:val="en-US" w:eastAsia="zh-CN" w:bidi="ar-SA"/>
        </w:rPr>
        <w:t xml:space="preserve"> </w:t>
      </w:r>
      <w:r>
        <w:rPr>
          <w:rFonts w:hint="eastAsia" w:ascii="Times New Roman" w:cs="仿宋_GB2312"/>
          <w:kern w:val="2"/>
          <w:sz w:val="32"/>
          <w:szCs w:val="32"/>
          <w:lang w:val="en-US" w:eastAsia="zh-CN" w:bidi="ar-SA"/>
        </w:rPr>
        <w:t>3</w:t>
      </w:r>
      <w:r>
        <w:rPr>
          <w:rFonts w:hint="eastAsia" w:ascii="Times New Roman" w:hAnsi="Times New Roman" w:eastAsia="仿宋_GB2312" w:cs="仿宋_GB2312"/>
          <w:kern w:val="2"/>
          <w:sz w:val="32"/>
          <w:szCs w:val="32"/>
          <w:lang w:val="en-US" w:eastAsia="zh-CN" w:bidi="ar-SA"/>
        </w:rPr>
        <w:t>.科学技术（类）应用研究（款）社会公益研究（项）：指反应从事卫生、劳动保护、计划生育、环境科学、农业等社会公益专项科研方面的支出。</w:t>
      </w:r>
    </w:p>
    <w:p w14:paraId="7EA74D03">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4</w:t>
      </w:r>
      <w:r>
        <w:rPr>
          <w:rFonts w:hint="eastAsia" w:ascii="Times New Roman" w:hAnsi="Times New Roman" w:eastAsia="仿宋_GB2312" w:cs="仿宋_GB2312"/>
          <w:kern w:val="2"/>
          <w:sz w:val="32"/>
          <w:szCs w:val="32"/>
          <w:lang w:val="en-US" w:eastAsia="zh-CN" w:bidi="ar-SA"/>
        </w:rPr>
        <w:t>.科学技术（类）其他科学技术支出（款）其他科学技术支出（项）：指除政府科学技术管理事务、基础研究、应用研究、技术研究与开发、科技条件与服务、社会科学、科学技术普及、科技交流与合作以外用于科技方面的支出。</w:t>
      </w:r>
    </w:p>
    <w:p w14:paraId="5C2D6C6C">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5</w:t>
      </w:r>
      <w:r>
        <w:rPr>
          <w:rFonts w:hint="eastAsia" w:ascii="Times New Roman" w:hAnsi="Times New Roman" w:eastAsia="仿宋_GB2312" w:cs="仿宋_GB2312"/>
          <w:kern w:val="2"/>
          <w:sz w:val="32"/>
          <w:szCs w:val="32"/>
          <w:lang w:val="en-US" w:eastAsia="zh-CN" w:bidi="ar-SA"/>
        </w:rPr>
        <w:t>.社会保障和就业（类）行政事业单位养老支出（款）机关事业单位基本养老保险缴费支出（项）：指机关事业单位实施养老保险制度由单位缴纳的基本养老保险费支出。。</w:t>
      </w:r>
    </w:p>
    <w:p w14:paraId="37F7CDAC">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6</w:t>
      </w:r>
      <w:r>
        <w:rPr>
          <w:rFonts w:hint="eastAsia" w:ascii="Times New Roman" w:hAnsi="Times New Roman" w:eastAsia="仿宋_GB2312" w:cs="仿宋_GB2312"/>
          <w:kern w:val="2"/>
          <w:sz w:val="32"/>
          <w:szCs w:val="32"/>
          <w:lang w:val="en-US" w:eastAsia="zh-CN" w:bidi="ar-SA"/>
        </w:rPr>
        <w:t>.社会保障和就业（类）行政事业单位养老支出（款）机关事业单位职业年金缴费支出（项）：指机关事业单位实施养老保险制度由单位实际缴纳的职业年金支出。</w:t>
      </w:r>
    </w:p>
    <w:p w14:paraId="2DE18231">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7</w:t>
      </w:r>
      <w:r>
        <w:rPr>
          <w:rFonts w:hint="eastAsia" w:ascii="Times New Roman" w:hAnsi="Times New Roman" w:eastAsia="仿宋_GB2312" w:cs="仿宋_GB2312"/>
          <w:kern w:val="2"/>
          <w:sz w:val="32"/>
          <w:szCs w:val="32"/>
          <w:lang w:val="en-US" w:eastAsia="zh-CN" w:bidi="ar-SA"/>
        </w:rPr>
        <w:t>.社会保障和就业（类）行政事业单位养老支出（款）</w:t>
      </w:r>
      <w:r>
        <w:rPr>
          <w:rFonts w:hint="eastAsia" w:ascii="Times New Roman" w:hAnsi="Times New Roman" w:cs="仿宋_GB2312"/>
          <w:kern w:val="2"/>
          <w:sz w:val="32"/>
          <w:szCs w:val="32"/>
          <w:lang w:val="en-US" w:eastAsia="zh-CN" w:bidi="ar-SA"/>
        </w:rPr>
        <w:t>其他行政事业单位养老支出</w:t>
      </w:r>
      <w:r>
        <w:rPr>
          <w:rFonts w:hint="eastAsia" w:ascii="Times New Roman" w:hAnsi="Times New Roman" w:eastAsia="仿宋_GB2312" w:cs="仿宋_GB2312"/>
          <w:kern w:val="2"/>
          <w:sz w:val="32"/>
          <w:szCs w:val="32"/>
          <w:lang w:val="en-US" w:eastAsia="zh-CN" w:bidi="ar-SA"/>
        </w:rPr>
        <w:t>（项）：</w:t>
      </w:r>
      <w:r>
        <w:rPr>
          <w:rFonts w:hint="eastAsia" w:ascii="Times New Roman" w:hAnsi="Times New Roman" w:cs="仿宋_GB2312"/>
          <w:kern w:val="2"/>
          <w:sz w:val="32"/>
          <w:szCs w:val="32"/>
          <w:lang w:val="en-US" w:eastAsia="zh-CN" w:bidi="ar-SA"/>
        </w:rPr>
        <w:t>反映除行政单位离退休、事业单位离退休、离退休人员管理机构、机关事业单位基本养老保险缴费、机关事业单位职业年金缴费支出、对机关事业单位基本养老保险基金的补助、对机关事业单位职业年金的补助以外对其他用于行政事业单位养老方面的支出</w:t>
      </w:r>
      <w:r>
        <w:rPr>
          <w:rFonts w:hint="eastAsia" w:ascii="Times New Roman" w:hAnsi="Times New Roman" w:eastAsia="仿宋_GB2312" w:cs="仿宋_GB2312"/>
          <w:kern w:val="2"/>
          <w:sz w:val="32"/>
          <w:szCs w:val="32"/>
          <w:lang w:val="en-US" w:eastAsia="zh-CN" w:bidi="ar-SA"/>
        </w:rPr>
        <w:t>。</w:t>
      </w:r>
    </w:p>
    <w:p w14:paraId="6ABD7F6D">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8</w:t>
      </w:r>
      <w:r>
        <w:rPr>
          <w:rFonts w:hint="eastAsia" w:ascii="Times New Roman" w:hAnsi="Times New Roman" w:eastAsia="仿宋_GB2312" w:cs="仿宋_GB2312"/>
          <w:kern w:val="2"/>
          <w:sz w:val="32"/>
          <w:szCs w:val="32"/>
          <w:lang w:val="en-US" w:eastAsia="zh-CN" w:bidi="ar-SA"/>
        </w:rPr>
        <w:t>.卫生健康（类）行政事业单位医疗（款）事业单位医疗（项）：指财政部门安排的事业单位基本医疗保险缴费经费，未参加医疗保险的事业单位的公费医疗经费，按国家规定享受离休人员待遇的医疗经费。</w:t>
      </w:r>
    </w:p>
    <w:p w14:paraId="6F446484">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9</w:t>
      </w:r>
      <w:r>
        <w:rPr>
          <w:rFonts w:hint="eastAsia" w:ascii="Times New Roman" w:hAnsi="Times New Roman" w:eastAsia="仿宋_GB2312" w:cs="仿宋_GB2312"/>
          <w:kern w:val="2"/>
          <w:sz w:val="32"/>
          <w:szCs w:val="32"/>
          <w:lang w:val="en-US" w:eastAsia="zh-CN" w:bidi="ar-SA"/>
        </w:rPr>
        <w:t>.卫生健康（类）行政事业单位医疗（款）其他行政事业单位医疗支出（项）：指除了行政、事业单位医疗、公务员医疗补助以外的其他用于行政事业单位医疗方面的支出。</w:t>
      </w:r>
    </w:p>
    <w:p w14:paraId="4816C0AF">
      <w:pPr>
        <w:pStyle w:val="5"/>
        <w:ind w:firstLine="640" w:firstLineChars="200"/>
        <w:rPr>
          <w:rFonts w:hint="eastAsia" w:ascii="Times New Roman" w:hAnsi="Times New Roman" w:eastAsia="仿宋_GB2312" w:cs="仿宋_GB2312"/>
          <w:kern w:val="2"/>
          <w:sz w:val="32"/>
          <w:szCs w:val="32"/>
          <w:lang w:val="en-US" w:eastAsia="zh-CN" w:bidi="ar-SA"/>
        </w:rPr>
      </w:pPr>
      <w:r>
        <w:rPr>
          <w:rFonts w:hint="eastAsia" w:ascii="Times New Roman" w:cs="仿宋_GB2312"/>
          <w:kern w:val="2"/>
          <w:sz w:val="32"/>
          <w:szCs w:val="32"/>
          <w:lang w:val="en-US" w:eastAsia="zh-CN" w:bidi="ar-SA"/>
        </w:rPr>
        <w:t>10</w:t>
      </w:r>
      <w:r>
        <w:rPr>
          <w:rFonts w:hint="eastAsia" w:ascii="Times New Roman" w:hAnsi="Times New Roman" w:eastAsia="仿宋_GB2312" w:cs="仿宋_GB2312"/>
          <w:kern w:val="2"/>
          <w:sz w:val="32"/>
          <w:szCs w:val="32"/>
          <w:lang w:val="en-US" w:eastAsia="zh-CN" w:bidi="ar-SA"/>
        </w:rPr>
        <w:t>.住房保障支出（类）住房改革支出（款）住房公积金（项）：指行政事业单位按人力资源和社会保障部、财政部规定的基本工资和津贴补贴以及规定比例为职工缴纳的住房公积金。</w:t>
      </w:r>
    </w:p>
    <w:p w14:paraId="7DFE1C32">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02448B5A">
      <w:pPr>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46F91BD7">
      <w:pPr>
        <w:pStyle w:val="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lang w:val="en-US" w:eastAsia="zh-CN"/>
        </w:rPr>
        <w:t>3</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w:t>
      </w:r>
    </w:p>
    <w:p w14:paraId="62A86C72">
      <w:pPr>
        <w:pStyle w:val="6"/>
        <w:spacing w:line="560" w:lineRule="exact"/>
        <w:ind w:firstLine="640" w:firstLineChars="200"/>
        <w:rPr>
          <w:rFonts w:hint="eastAsia" w:ascii="Times New Roman" w:hAnsi="Times New Roman" w:cs="仿宋_GB2312"/>
          <w:kern w:val="2"/>
          <w:sz w:val="32"/>
          <w:szCs w:val="32"/>
          <w:lang w:val="en-US" w:eastAsia="zh-CN" w:bidi="ar-SA"/>
        </w:rPr>
      </w:pPr>
      <w:r>
        <w:rPr>
          <w:rFonts w:ascii="仿宋_GB2312" w:eastAsia="仿宋_GB2312"/>
          <w:color w:val="auto"/>
          <w:sz w:val="32"/>
          <w:szCs w:val="32"/>
        </w:rPr>
        <w:t>1</w:t>
      </w:r>
      <w:r>
        <w:rPr>
          <w:rFonts w:hint="eastAsia" w:ascii="仿宋_GB2312" w:eastAsia="仿宋_GB2312"/>
          <w:color w:val="auto"/>
          <w:sz w:val="32"/>
          <w:szCs w:val="32"/>
          <w:lang w:val="en-US" w:eastAsia="zh-CN"/>
        </w:rPr>
        <w:t>4</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w:t>
      </w:r>
    </w:p>
    <w:p w14:paraId="1D655F4F">
      <w:pPr>
        <w:spacing w:line="600" w:lineRule="exact"/>
        <w:jc w:val="center"/>
        <w:rPr>
          <w:rStyle w:val="28"/>
          <w:rFonts w:hint="eastAsia" w:ascii="Times New Roman" w:hAnsi="Times New Roman" w:eastAsia="黑体"/>
          <w:b w:val="0"/>
          <w:color w:val="auto"/>
          <w:highlight w:val="none"/>
          <w:lang w:eastAsia="zh-CN"/>
        </w:rPr>
      </w:pPr>
      <w:bookmarkStart w:id="4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8"/>
    </w:p>
    <w:p w14:paraId="3F9185D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F86072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80DAF18">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5A18E3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6ABCC3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仿宋_GB2312"/>
          <w:sz w:val="32"/>
          <w:szCs w:val="32"/>
          <w:lang w:val="en-US" w:eastAsia="zh-CN"/>
        </w:rPr>
        <w:t>预算单位1个，其中内设机构1个，本年度机构财务独立。无下属单位。</w:t>
      </w:r>
    </w:p>
    <w:p w14:paraId="080CB1E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sz w:val="32"/>
          <w:szCs w:val="32"/>
          <w:lang w:val="zh-CN"/>
        </w:rPr>
        <w:t>负责制定全州科学技术普及方案，并组织实施，提升全民科学素质；负责制定全州科技明白人培训方案，并组织实施，提升科技明白人生产技能，负责组织州级有关部门及各县（市）开展科普统计工作，组织、协调本地区科技人员对外科技交流与合作活动，指导县级科技交流业务；负责州技术转移中心，征集科技需求信息“发现、筛选、撮合、转化”适应本地区的科学技术；负责收集、整理本地区技术合同，并进行认定登记；负责四川科技兴村在线阿坝州平台运管中心，指导各县（市）四川科技兴村在线阿坝州平台运管中心工作；组织申报和实施相关科学技术普及、技术推广、研究等科技项目</w:t>
      </w:r>
      <w:r>
        <w:rPr>
          <w:rFonts w:hint="eastAsia" w:ascii="Times New Roman" w:hAnsi="Times New Roman" w:eastAsia="仿宋_GB2312" w:cs="Times New Roman"/>
          <w:sz w:val="32"/>
          <w:szCs w:val="32"/>
          <w:lang w:val="en-US" w:eastAsia="zh-CN"/>
        </w:rPr>
        <w:t>。</w:t>
      </w:r>
    </w:p>
    <w:p w14:paraId="408937E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仿宋_GB2312" w:cs="仿宋_GB2312"/>
          <w:sz w:val="32"/>
          <w:szCs w:val="32"/>
        </w:rPr>
        <w:t>截至202</w:t>
      </w:r>
      <w:r>
        <w:rPr>
          <w:rFonts w:hint="eastAsia" w:eastAsia="仿宋_GB2312" w:cs="仿宋_GB2312"/>
          <w:sz w:val="32"/>
          <w:szCs w:val="32"/>
          <w:lang w:val="en-US" w:eastAsia="zh-CN"/>
        </w:rPr>
        <w:t>5</w:t>
      </w:r>
      <w:r>
        <w:rPr>
          <w:rFonts w:ascii="Times New Roman" w:hAnsi="Times New Roman" w:eastAsia="仿宋_GB2312" w:cs="仿宋_GB2312"/>
          <w:sz w:val="32"/>
          <w:szCs w:val="32"/>
        </w:rPr>
        <w:t>年末，</w:t>
      </w:r>
      <w:r>
        <w:rPr>
          <w:rFonts w:hint="eastAsia" w:ascii="Times New Roman" w:hAnsi="Times New Roman" w:eastAsia="仿宋_GB2312" w:cs="仿宋_GB2312"/>
          <w:sz w:val="32"/>
          <w:szCs w:val="32"/>
        </w:rPr>
        <w:t xml:space="preserve">总编制 </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名,其中:事业编制 </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名, 在职人数</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名，工勤0名</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退休人员</w:t>
      </w:r>
      <w:r>
        <w:rPr>
          <w:rFonts w:hint="eastAsia" w:ascii="Times New Roman" w:hAnsi="Times New Roman" w:eastAsia="仿宋_GB2312" w:cs="仿宋_GB2312"/>
          <w:sz w:val="32"/>
          <w:szCs w:val="32"/>
          <w:lang w:val="en-US" w:eastAsia="zh-CN"/>
        </w:rPr>
        <w:t>4</w:t>
      </w:r>
      <w:r>
        <w:rPr>
          <w:rFonts w:hint="eastAsia" w:ascii="Times New Roman" w:hAnsi="Times New Roman" w:eastAsia="仿宋_GB2312" w:cs="仿宋_GB2312"/>
          <w:sz w:val="32"/>
          <w:szCs w:val="32"/>
        </w:rPr>
        <w:t>人。</w:t>
      </w:r>
    </w:p>
    <w:p w14:paraId="2BA06D8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42568078">
      <w:pPr>
        <w:ind w:firstLine="643" w:firstLineChars="200"/>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Times New Roman" w:eastAsia="仿宋_GB2312" w:cs="Times New Roman"/>
          <w:color w:val="auto"/>
          <w:sz w:val="32"/>
          <w:szCs w:val="32"/>
          <w:highlight w:val="none"/>
          <w:lang w:eastAsia="zh-CN" w:bidi="ar-SA"/>
        </w:rPr>
        <w:t>本单位</w:t>
      </w:r>
      <w:r>
        <w:rPr>
          <w:rFonts w:hint="default" w:ascii="仿宋_GB2312" w:hAnsi="Times New Roman" w:eastAsia="仿宋_GB2312" w:cs="Times New Roman"/>
          <w:color w:val="auto"/>
          <w:sz w:val="32"/>
          <w:szCs w:val="32"/>
          <w:highlight w:val="none"/>
          <w:lang w:val="en-US" w:eastAsia="zh-CN" w:bidi="ar-SA"/>
        </w:rPr>
        <w:t>202</w:t>
      </w:r>
      <w:r>
        <w:rPr>
          <w:rFonts w:hint="eastAsia" w:ascii="仿宋_GB2312" w:hAnsi="Times New Roman" w:eastAsia="仿宋_GB2312" w:cs="Times New Roman"/>
          <w:color w:val="auto"/>
          <w:sz w:val="32"/>
          <w:szCs w:val="32"/>
          <w:highlight w:val="none"/>
          <w:lang w:val="en-US" w:eastAsia="zh-CN" w:bidi="ar-SA"/>
        </w:rPr>
        <w:t>5</w:t>
      </w:r>
      <w:r>
        <w:rPr>
          <w:rFonts w:hint="default" w:ascii="仿宋_GB2312" w:hAnsi="Times New Roman" w:eastAsia="仿宋_GB2312" w:cs="Times New Roman"/>
          <w:color w:val="auto"/>
          <w:sz w:val="32"/>
          <w:szCs w:val="32"/>
          <w:highlight w:val="none"/>
          <w:lang w:val="en-US" w:eastAsia="zh-CN" w:bidi="ar-SA"/>
        </w:rPr>
        <w:t>年年初预算收入</w:t>
      </w:r>
      <w:r>
        <w:rPr>
          <w:rFonts w:hint="eastAsia" w:ascii="仿宋_GB2312" w:hAnsi="Times New Roman" w:eastAsia="仿宋_GB2312" w:cs="Times New Roman"/>
          <w:color w:val="auto"/>
          <w:sz w:val="32"/>
          <w:szCs w:val="32"/>
          <w:highlight w:val="none"/>
          <w:lang w:eastAsia="zh-CN" w:bidi="ar-SA"/>
        </w:rPr>
        <w:t>为</w:t>
      </w:r>
      <w:r>
        <w:rPr>
          <w:rFonts w:hint="eastAsia" w:ascii="仿宋_GB2312" w:hAnsi="Times New Roman" w:eastAsia="仿宋_GB2312" w:cs="Times New Roman"/>
          <w:color w:val="auto"/>
          <w:sz w:val="32"/>
          <w:szCs w:val="32"/>
          <w:highlight w:val="none"/>
          <w:lang w:val="en-US" w:eastAsia="zh-CN" w:bidi="ar-SA"/>
        </w:rPr>
        <w:t>113.55</w:t>
      </w:r>
      <w:r>
        <w:rPr>
          <w:rFonts w:hint="eastAsia" w:ascii="仿宋_GB2312" w:hAnsi="Times New Roman" w:eastAsia="仿宋_GB2312" w:cs="Times New Roman"/>
          <w:color w:val="auto"/>
          <w:sz w:val="32"/>
          <w:szCs w:val="32"/>
          <w:highlight w:val="none"/>
          <w:lang w:eastAsia="zh-CN" w:bidi="ar-SA"/>
        </w:rPr>
        <w:t>万元，</w:t>
      </w:r>
      <w:r>
        <w:rPr>
          <w:rFonts w:hint="default" w:ascii="仿宋_GB2312" w:hAnsi="Times New Roman" w:eastAsia="仿宋_GB2312" w:cs="Times New Roman"/>
          <w:color w:val="auto"/>
          <w:sz w:val="32"/>
          <w:szCs w:val="32"/>
          <w:highlight w:val="none"/>
          <w:lang w:val="en-US" w:eastAsia="zh-CN" w:bidi="ar-SA"/>
        </w:rPr>
        <w:t>202</w:t>
      </w:r>
      <w:r>
        <w:rPr>
          <w:rFonts w:hint="eastAsia" w:ascii="仿宋_GB2312" w:hAnsi="Times New Roman" w:eastAsia="仿宋_GB2312" w:cs="Times New Roman"/>
          <w:color w:val="auto"/>
          <w:sz w:val="32"/>
          <w:szCs w:val="32"/>
          <w:highlight w:val="none"/>
          <w:lang w:val="en-US" w:eastAsia="zh-CN" w:bidi="ar-SA"/>
        </w:rPr>
        <w:t>5</w:t>
      </w:r>
      <w:r>
        <w:rPr>
          <w:rFonts w:hint="default" w:ascii="仿宋_GB2312" w:hAnsi="Times New Roman" w:eastAsia="仿宋_GB2312" w:cs="Times New Roman"/>
          <w:color w:val="auto"/>
          <w:sz w:val="32"/>
          <w:szCs w:val="32"/>
          <w:highlight w:val="none"/>
          <w:lang w:val="en-US" w:eastAsia="zh-CN" w:bidi="ar-SA"/>
        </w:rPr>
        <w:t>年决算报表收入</w:t>
      </w:r>
      <w:r>
        <w:rPr>
          <w:rFonts w:hint="eastAsia" w:ascii="仿宋_GB2312" w:hAnsi="Times New Roman" w:eastAsia="仿宋_GB2312" w:cs="Times New Roman"/>
          <w:color w:val="auto"/>
          <w:sz w:val="32"/>
          <w:szCs w:val="32"/>
          <w:highlight w:val="none"/>
          <w:lang w:val="en-US" w:eastAsia="zh-CN" w:bidi="ar-SA"/>
        </w:rPr>
        <w:t>140.95</w:t>
      </w:r>
      <w:r>
        <w:rPr>
          <w:rFonts w:hint="eastAsia" w:ascii="仿宋_GB2312" w:hAnsi="Times New Roman" w:eastAsia="仿宋_GB2312" w:cs="Times New Roman"/>
          <w:color w:val="auto"/>
          <w:sz w:val="32"/>
          <w:szCs w:val="32"/>
          <w:highlight w:val="none"/>
          <w:lang w:eastAsia="zh-CN" w:bidi="ar-SA"/>
        </w:rPr>
        <w:t>万元。</w:t>
      </w:r>
    </w:p>
    <w:p w14:paraId="7BE6A74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113.55万元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140.95万元</w:t>
      </w:r>
      <w:r>
        <w:rPr>
          <w:rFonts w:hint="eastAsia" w:ascii="Times New Roman" w:hAnsi="Times New Roman" w:eastAsia="仿宋_GB2312" w:cs="Times New Roman"/>
          <w:sz w:val="32"/>
          <w:szCs w:val="32"/>
          <w:lang w:val="en-US" w:eastAsia="zh-CN"/>
        </w:rPr>
        <w:t>。</w:t>
      </w:r>
    </w:p>
    <w:p w14:paraId="7CF6FA3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为0</w:t>
      </w:r>
      <w:r>
        <w:rPr>
          <w:rFonts w:hint="default" w:ascii="Times New Roman" w:hAnsi="Times New Roman" w:eastAsia="仿宋_GB2312" w:cs="Times New Roman"/>
          <w:sz w:val="32"/>
          <w:szCs w:val="32"/>
          <w:lang w:val="en-US" w:eastAsia="zh-CN"/>
        </w:rPr>
        <w:t>。</w:t>
      </w:r>
    </w:p>
    <w:p w14:paraId="2E6AC7C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653CB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92</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5F84619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87.1</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bookmarkStart w:id="63" w:name="_GoBack"/>
      <w:bookmarkEnd w:id="63"/>
    </w:p>
    <w:p w14:paraId="1AAB3AE3">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sectPr>
          <w:footerReference r:id="rId7"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8"/>
        <w:gridCol w:w="2067"/>
        <w:gridCol w:w="1775"/>
        <w:gridCol w:w="2271"/>
        <w:gridCol w:w="530"/>
        <w:gridCol w:w="1684"/>
        <w:gridCol w:w="530"/>
        <w:gridCol w:w="1103"/>
        <w:gridCol w:w="510"/>
        <w:gridCol w:w="448"/>
        <w:gridCol w:w="2568"/>
      </w:tblGrid>
      <w:tr w14:paraId="60746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101025F6">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345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30C20D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5B3C0C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51320021T000000060451-科普工作经费</w:t>
            </w:r>
          </w:p>
        </w:tc>
      </w:tr>
      <w:tr w14:paraId="79B43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7BABB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11103E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7" w:type="pct"/>
            <w:tcBorders>
              <w:top w:val="nil"/>
              <w:left w:val="nil"/>
              <w:bottom w:val="nil"/>
              <w:right w:val="nil"/>
            </w:tcBorders>
            <w:noWrap w:val="0"/>
            <w:vAlign w:val="center"/>
          </w:tcPr>
          <w:p w14:paraId="2AD7340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244" w:type="pct"/>
            <w:gridSpan w:val="3"/>
            <w:tcBorders>
              <w:top w:val="single" w:color="000000" w:sz="4" w:space="0"/>
              <w:left w:val="single" w:color="000000" w:sz="4" w:space="0"/>
              <w:bottom w:val="single" w:color="000000" w:sz="4" w:space="0"/>
              <w:right w:val="single" w:color="000000" w:sz="4" w:space="0"/>
            </w:tcBorders>
            <w:noWrap w:val="0"/>
            <w:vAlign w:val="center"/>
          </w:tcPr>
          <w:p w14:paraId="7639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2B12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3ADD4D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15F97A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3D72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786656E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B58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0B3434">
            <w:pP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85BD7C">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756A6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结合科技活动周和科普宣传月活动，举办专题宣传活动2次。科技明白人培训2次，100人次以上。通过开展科普活动和培训，提高群众科技意识，提升公众科学素养。</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773AF2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已完成专题宣传活动2次（科普活动月、科技活动周）。科技明白人培训1次，培训60人次，未完成2次100人次的目标。通过系列科普活动，有效提升了群众科技意识与科学素养。</w:t>
            </w:r>
          </w:p>
        </w:tc>
      </w:tr>
      <w:tr w14:paraId="36DBC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B344BF">
            <w:pP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5A2FE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427224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我中心系统推进全年科普工作，年初组织参加“三下乡”活动，发放种养殖技术丛书4000余册；3月启动第二十九届“科技之春”科普活动月，联合16家单位开展专题宣传；4月举办全州科普讲解大赛，选拔优秀人才参加省级及涪江流域赛事；5月开展“科技活动周”系列宣传及“天府科普使者”能力提升培训；9月深入阿坝县开展“科技明白人”牦牛养殖专题培训。全年累计举办各类科普活动68场次，发放资料11万余册，服务群众超3万人次，有效提升了全民科学素养。</w:t>
            </w:r>
          </w:p>
        </w:tc>
      </w:tr>
      <w:tr w14:paraId="79A0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66389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1FFD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24AB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7A2A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6A4BA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D0D8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71FC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63A0F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1D8A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73B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A4950D">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6B43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406E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02C1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1229B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BA20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4E2A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2EF2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vMerge w:val="restart"/>
            <w:tcBorders>
              <w:top w:val="single" w:color="000000" w:sz="4" w:space="0"/>
              <w:left w:val="single" w:color="000000" w:sz="4" w:space="0"/>
              <w:bottom w:val="single" w:color="000000" w:sz="4" w:space="0"/>
              <w:right w:val="single" w:color="000000" w:sz="4" w:space="0"/>
            </w:tcBorders>
            <w:noWrap w:val="0"/>
            <w:vAlign w:val="center"/>
          </w:tcPr>
          <w:p w14:paraId="5027B1C5">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C0F4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EC9DCF">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C999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8CDA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EC75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44C02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9.20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9C24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4ADA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EA6B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2BF6E">
            <w:pPr>
              <w:rPr>
                <w:rFonts w:hint="eastAsia" w:ascii="黑体" w:hAnsi="黑体" w:eastAsia="黑体" w:cs="黑体"/>
                <w:i/>
                <w:iCs/>
                <w:color w:val="000000"/>
                <w:sz w:val="18"/>
                <w:szCs w:val="18"/>
                <w:u w:val="none"/>
              </w:rPr>
            </w:pPr>
          </w:p>
        </w:tc>
      </w:tr>
      <w:tr w14:paraId="64B6E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F4AFF">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C2AC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2796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FA39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59CB1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9DC0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4EE6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66AB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5DD7F4">
            <w:pPr>
              <w:rPr>
                <w:rFonts w:hint="eastAsia" w:ascii="黑体" w:hAnsi="黑体" w:eastAsia="黑体" w:cs="黑体"/>
                <w:i/>
                <w:iCs/>
                <w:color w:val="000000"/>
                <w:sz w:val="18"/>
                <w:szCs w:val="18"/>
                <w:u w:val="none"/>
              </w:rPr>
            </w:pPr>
          </w:p>
        </w:tc>
      </w:tr>
      <w:tr w14:paraId="022E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215A2">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6A37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A0F3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17B42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A315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FA3E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3837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E8CD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D023D">
            <w:pPr>
              <w:rPr>
                <w:rFonts w:hint="eastAsia" w:ascii="黑体" w:hAnsi="黑体" w:eastAsia="黑体" w:cs="黑体"/>
                <w:i/>
                <w:iCs/>
                <w:color w:val="000000"/>
                <w:sz w:val="18"/>
                <w:szCs w:val="18"/>
                <w:u w:val="none"/>
              </w:rPr>
            </w:pPr>
          </w:p>
        </w:tc>
      </w:tr>
      <w:tr w14:paraId="75266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B26A5A">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239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D777C48">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7616109">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CA69E02">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A6BC3C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380A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4804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C9F95A">
            <w:pPr>
              <w:rPr>
                <w:rFonts w:hint="eastAsia" w:ascii="黑体" w:hAnsi="黑体" w:eastAsia="黑体" w:cs="黑体"/>
                <w:i/>
                <w:iCs/>
                <w:color w:val="000000"/>
                <w:sz w:val="18"/>
                <w:szCs w:val="18"/>
                <w:u w:val="none"/>
              </w:rPr>
            </w:pPr>
          </w:p>
        </w:tc>
      </w:tr>
      <w:tr w14:paraId="2FE2B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EF7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7B8BA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C63C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8494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8B86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07DB8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349C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00ED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7204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1A82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5B6D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D9B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6DB5AA">
            <w:pPr>
              <w:jc w:val="center"/>
              <w:rPr>
                <w:rFonts w:hint="eastAsia" w:ascii="宋体" w:hAnsi="宋体" w:eastAsia="宋体" w:cs="宋体"/>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49AAC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noWrap w:val="0"/>
            <w:vAlign w:val="center"/>
          </w:tcPr>
          <w:p w14:paraId="654DA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248B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启动仪式次数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7DF42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A3D1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0954B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C478A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0010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B5AB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B1050CC">
            <w:pPr>
              <w:jc w:val="center"/>
              <w:rPr>
                <w:rFonts w:hint="eastAsia" w:ascii="微软雅黑" w:hAnsi="微软雅黑" w:eastAsia="微软雅黑" w:cs="微软雅黑"/>
                <w:i/>
                <w:iCs/>
                <w:color w:val="000000"/>
                <w:sz w:val="16"/>
                <w:szCs w:val="16"/>
                <w:u w:val="none"/>
              </w:rPr>
            </w:pPr>
          </w:p>
        </w:tc>
      </w:tr>
      <w:tr w14:paraId="606C0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D13E8C">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99BD8">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06D27">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3E06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组织各县（市）开展活动周和活动月</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39398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F183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CD1A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B363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13</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B40A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D9C0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7298F14">
            <w:pPr>
              <w:jc w:val="center"/>
              <w:rPr>
                <w:rFonts w:hint="eastAsia" w:ascii="微软雅黑" w:hAnsi="微软雅黑" w:eastAsia="微软雅黑" w:cs="微软雅黑"/>
                <w:i/>
                <w:iCs/>
                <w:color w:val="000000"/>
                <w:sz w:val="16"/>
                <w:szCs w:val="16"/>
                <w:u w:val="none"/>
              </w:rPr>
            </w:pPr>
          </w:p>
        </w:tc>
      </w:tr>
      <w:tr w14:paraId="5367C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ABC82">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0A57FF">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F62A51">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64D2B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培训科技明白人人数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808E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135D1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9CD8E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86D10B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DA6B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63F9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58C0900">
            <w:pPr>
              <w:jc w:val="center"/>
              <w:rPr>
                <w:rFonts w:hint="eastAsia" w:ascii="微软雅黑" w:hAnsi="微软雅黑" w:eastAsia="微软雅黑" w:cs="微软雅黑"/>
                <w:i/>
                <w:iCs/>
                <w:color w:val="000000"/>
                <w:sz w:val="16"/>
                <w:szCs w:val="16"/>
                <w:u w:val="none"/>
              </w:rPr>
            </w:pPr>
          </w:p>
        </w:tc>
      </w:tr>
      <w:tr w14:paraId="2B12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C82DDA">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0FC7A">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4ECDB7">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51A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举办科技明白人培训班次</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79B8A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0859F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E50F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7629F11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41AC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5C90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2E35D14">
            <w:pPr>
              <w:jc w:val="center"/>
              <w:rPr>
                <w:rFonts w:hint="eastAsia" w:ascii="微软雅黑" w:hAnsi="微软雅黑" w:eastAsia="微软雅黑" w:cs="微软雅黑"/>
                <w:i/>
                <w:iCs/>
                <w:color w:val="000000"/>
                <w:sz w:val="16"/>
                <w:szCs w:val="16"/>
                <w:u w:val="none"/>
              </w:rPr>
            </w:pPr>
          </w:p>
        </w:tc>
      </w:tr>
      <w:tr w14:paraId="6BB3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C85AE">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F2BF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78F5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8919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活动开展达标率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7B90B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40A7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8286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C479E4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394E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4A8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20DDA75E">
            <w:pPr>
              <w:jc w:val="center"/>
              <w:rPr>
                <w:rFonts w:hint="eastAsia" w:ascii="微软雅黑" w:hAnsi="微软雅黑" w:eastAsia="微软雅黑" w:cs="微软雅黑"/>
                <w:i/>
                <w:iCs/>
                <w:color w:val="000000"/>
                <w:sz w:val="16"/>
                <w:szCs w:val="16"/>
                <w:u w:val="none"/>
              </w:rPr>
            </w:pPr>
          </w:p>
        </w:tc>
      </w:tr>
      <w:tr w14:paraId="7EE6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FFE908">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FE2BC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28E6C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B0D7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12月之前完成</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5021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020CF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099B319">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6EE87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F9A9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0032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56BFF43D">
            <w:pPr>
              <w:jc w:val="center"/>
              <w:rPr>
                <w:rFonts w:hint="eastAsia" w:ascii="微软雅黑" w:hAnsi="微软雅黑" w:eastAsia="微软雅黑" w:cs="微软雅黑"/>
                <w:i/>
                <w:iCs/>
                <w:color w:val="000000"/>
                <w:sz w:val="16"/>
                <w:szCs w:val="16"/>
                <w:u w:val="none"/>
              </w:rPr>
            </w:pPr>
          </w:p>
        </w:tc>
      </w:tr>
      <w:tr w14:paraId="089AF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8385C5">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2BBD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7F0D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20E0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4E034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F357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群众科技意识有所提高</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4756C721">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05307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群众科技意识有所提高</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CEE0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61202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EB892C1">
            <w:pPr>
              <w:jc w:val="center"/>
              <w:rPr>
                <w:rFonts w:hint="eastAsia" w:ascii="微软雅黑" w:hAnsi="微软雅黑" w:eastAsia="微软雅黑" w:cs="微软雅黑"/>
                <w:i/>
                <w:iCs/>
                <w:color w:val="000000"/>
                <w:sz w:val="16"/>
                <w:szCs w:val="16"/>
                <w:u w:val="none"/>
              </w:rPr>
            </w:pPr>
          </w:p>
        </w:tc>
      </w:tr>
      <w:tr w14:paraId="49E06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3A1046">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FF2D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D4B1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06289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社会满意度</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E55D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02D4D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AA74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71D13FC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C5BE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749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7285467A">
            <w:pPr>
              <w:jc w:val="center"/>
              <w:rPr>
                <w:rFonts w:hint="eastAsia" w:ascii="微软雅黑" w:hAnsi="微软雅黑" w:eastAsia="微软雅黑" w:cs="微软雅黑"/>
                <w:i/>
                <w:iCs/>
                <w:color w:val="000000"/>
                <w:sz w:val="16"/>
                <w:szCs w:val="16"/>
                <w:u w:val="none"/>
              </w:rPr>
            </w:pPr>
          </w:p>
        </w:tc>
      </w:tr>
      <w:tr w14:paraId="6FA2A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2F1D24">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CF9A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F33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6DE4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科普工作相关费用</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8D4E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1D62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1A01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0682E5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92000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EF78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4C18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2C6AFAED">
            <w:pPr>
              <w:jc w:val="center"/>
              <w:rPr>
                <w:rFonts w:hint="eastAsia" w:ascii="微软雅黑" w:hAnsi="微软雅黑" w:eastAsia="微软雅黑" w:cs="微软雅黑"/>
                <w:i/>
                <w:iCs/>
                <w:color w:val="000000"/>
                <w:sz w:val="16"/>
                <w:szCs w:val="16"/>
                <w:u w:val="none"/>
              </w:rPr>
            </w:pPr>
          </w:p>
        </w:tc>
      </w:tr>
      <w:tr w14:paraId="71E8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5" w:type="pct"/>
            <w:gridSpan w:val="8"/>
            <w:tcBorders>
              <w:top w:val="single" w:color="000000" w:sz="4" w:space="0"/>
              <w:left w:val="single" w:color="000000" w:sz="4" w:space="0"/>
              <w:bottom w:val="single" w:color="000000" w:sz="4" w:space="0"/>
              <w:right w:val="single" w:color="000000" w:sz="4" w:space="0"/>
            </w:tcBorders>
            <w:noWrap w:val="0"/>
            <w:vAlign w:val="center"/>
          </w:tcPr>
          <w:p w14:paraId="45078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2804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486AA4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3C555FD">
            <w:pPr>
              <w:rPr>
                <w:rFonts w:hint="eastAsia" w:ascii="宋体" w:hAnsi="宋体" w:eastAsia="宋体" w:cs="宋体"/>
                <w:i w:val="0"/>
                <w:iCs w:val="0"/>
                <w:color w:val="000000"/>
                <w:sz w:val="18"/>
                <w:szCs w:val="18"/>
                <w:u w:val="none"/>
              </w:rPr>
            </w:pPr>
          </w:p>
        </w:tc>
      </w:tr>
      <w:tr w14:paraId="26AF5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63677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3C11D83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项目自评总分95分。项目实施成效显著：成功举办科普活动月及科技活动周，累计开展各类活动68场次，服务群众超3万人次。通过“天府科普使者”培训95人及“科技明白人”专题培训60人次，共完成科技明白人培训2次、155人次，超额完成目标任务。有效提升了群众科技意识与科学素养，营造了浓厚创新氛围。</w:t>
            </w:r>
          </w:p>
        </w:tc>
      </w:tr>
      <w:tr w14:paraId="1742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4C50D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3AD68C5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主要存在以下问题：一是科普覆盖面不均衡，活动多集中在县（市）等交通便利区域，偏远乡村及高半山农牧民参与度较低，科普资源“最后一公里”仍需打通。二是培训内容深度有待加强，现有培训多为基础种养殖技术，针对文旅融合、数字农业等新兴产业的科普内容较少，与群众多元化需求匹配度不够。三是长效机制尚不健全，科普讲解大赛优秀选手后续作用发挥不足，科普宣传多以阶段性活动为主，常态化服务机制有待完善。</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主要原因：基层科普经费和专业人才匮乏，社会化动员力度不够，导致优质科普资源难以持续下沉。</w:t>
            </w:r>
          </w:p>
        </w:tc>
      </w:tr>
      <w:tr w14:paraId="29B1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3D0B5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697C4EB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推进科普数字化下沉，依托“天府科普使者”力量，制作藏汉双语短视频、在线课程，通过新媒体平台覆盖偏远乡村；二是深化培训内容，联合高校院所增设文旅融合、农村电商等新兴领域课程，满足群众多元化需求；三是健全长效机制，建立科普讲解大赛优秀人才库，推动科普宣传与农技服务常态化结合，支持科普基地开展流动服务。政策性建议：加大基层科普经费投入，设立专项支持偏远地区科普资源开发；完善科普人才激励机制，激发社会力量参与活力。</w:t>
            </w:r>
          </w:p>
        </w:tc>
      </w:tr>
      <w:tr w14:paraId="43A5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6" w:type="pct"/>
            <w:gridSpan w:val="5"/>
            <w:tcBorders>
              <w:top w:val="single" w:color="000000" w:sz="4" w:space="0"/>
              <w:left w:val="single" w:color="000000" w:sz="4" w:space="0"/>
              <w:bottom w:val="single" w:color="000000" w:sz="4" w:space="0"/>
              <w:right w:val="single" w:color="000000" w:sz="4" w:space="0"/>
            </w:tcBorders>
            <w:noWrap w:val="0"/>
            <w:vAlign w:val="center"/>
          </w:tcPr>
          <w:p w14:paraId="09BFF3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2413" w:type="pct"/>
            <w:gridSpan w:val="6"/>
            <w:tcBorders>
              <w:top w:val="single" w:color="000000" w:sz="4" w:space="0"/>
              <w:left w:val="single" w:color="000000" w:sz="4" w:space="0"/>
              <w:bottom w:val="single" w:color="000000" w:sz="4" w:space="0"/>
              <w:right w:val="single" w:color="000000" w:sz="4" w:space="0"/>
            </w:tcBorders>
            <w:noWrap w:val="0"/>
            <w:vAlign w:val="center"/>
          </w:tcPr>
          <w:p w14:paraId="6705E3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bl>
    <w:p w14:paraId="5A241558">
      <w:pPr>
        <w:rPr>
          <w:rFonts w:hint="eastAsia"/>
          <w:lang w:val="zh-CN" w:eastAsia="zh-CN"/>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8"/>
        <w:gridCol w:w="2067"/>
        <w:gridCol w:w="1775"/>
        <w:gridCol w:w="2271"/>
        <w:gridCol w:w="530"/>
        <w:gridCol w:w="1684"/>
        <w:gridCol w:w="530"/>
        <w:gridCol w:w="1103"/>
        <w:gridCol w:w="510"/>
        <w:gridCol w:w="448"/>
        <w:gridCol w:w="2568"/>
      </w:tblGrid>
      <w:tr w14:paraId="764B0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F36BB9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05F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16E3BA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20014C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51320025T000013682573-“绿色阿坝红色传承”特色科普能力提升</w:t>
            </w:r>
          </w:p>
        </w:tc>
      </w:tr>
      <w:tr w14:paraId="6CDBD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786A10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28B568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7" w:type="pct"/>
            <w:tcBorders>
              <w:top w:val="nil"/>
              <w:left w:val="nil"/>
              <w:bottom w:val="nil"/>
              <w:right w:val="nil"/>
            </w:tcBorders>
            <w:noWrap w:val="0"/>
            <w:vAlign w:val="center"/>
          </w:tcPr>
          <w:p w14:paraId="7836CB4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44" w:type="pct"/>
            <w:gridSpan w:val="3"/>
            <w:tcBorders>
              <w:top w:val="single" w:color="000000" w:sz="4" w:space="0"/>
              <w:left w:val="single" w:color="000000" w:sz="4" w:space="0"/>
              <w:bottom w:val="single" w:color="000000" w:sz="4" w:space="0"/>
              <w:right w:val="single" w:color="000000" w:sz="4" w:space="0"/>
            </w:tcBorders>
            <w:noWrap w:val="0"/>
            <w:vAlign w:val="center"/>
          </w:tcPr>
          <w:p w14:paraId="14363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3A13A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16C30E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08BDF7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7F31F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22C2215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C74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896FE0">
            <w:pP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B29D48">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3376AD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筹备科普活动周或宣传月的启动仪式，制作部分科普宣传品，协助阿坝师范学院完成其他项目任务</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7EBB3A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圆满完成目标任务。成功举办科普活动月启动仪式，制作保温杯、雨伞等实用宣传品，组织开展“天府科普使者”培训95人，全方位协助阿坝师范学院完成项目所有任务。</w:t>
            </w:r>
          </w:p>
        </w:tc>
      </w:tr>
      <w:tr w14:paraId="3F3D4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D0283">
            <w:pP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0C43EC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36BFAE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项目围绕年度目标任务扎实推进。一是精心筹备启动仪式：3月14日联合16家单位在马尔康市成功举办第二十九届“科技之春”科普活动月启动仪式，正式拉开全年科普序幕。二是制作多元宣传品：定制保温杯、雨伞、毛巾等实用物资2000余件，让科技知识融入群众日常生活。三是强化人才支撑：5月在映秀举办“天府科普使者”能力提升培训，覆盖科普人员、基层管理者95人，系统锻造专业科普队伍。四是全程协助配合：积极协同阿坝师范学院完成项目所有任务，保障项目整体落地见效。</w:t>
            </w:r>
          </w:p>
        </w:tc>
      </w:tr>
      <w:tr w14:paraId="771E8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6D760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1C1E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F53C8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3E2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16784C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9969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3B54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A958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4C68F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99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A4DC0">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C00ED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2E4C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1564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2E965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1013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84D7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8757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vMerge w:val="restart"/>
            <w:tcBorders>
              <w:top w:val="single" w:color="000000" w:sz="4" w:space="0"/>
              <w:left w:val="single" w:color="000000" w:sz="4" w:space="0"/>
              <w:bottom w:val="single" w:color="000000" w:sz="4" w:space="0"/>
              <w:right w:val="single" w:color="000000" w:sz="4" w:space="0"/>
            </w:tcBorders>
            <w:noWrap w:val="0"/>
            <w:vAlign w:val="center"/>
          </w:tcPr>
          <w:p w14:paraId="78821758">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A7A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31504">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1B2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7722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9BD0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57AB0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67935B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3D57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BD12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2A88E">
            <w:pPr>
              <w:rPr>
                <w:rFonts w:hint="eastAsia" w:ascii="黑体" w:hAnsi="黑体" w:eastAsia="黑体" w:cs="黑体"/>
                <w:i/>
                <w:iCs/>
                <w:color w:val="000000"/>
                <w:sz w:val="18"/>
                <w:szCs w:val="18"/>
                <w:u w:val="none"/>
              </w:rPr>
            </w:pPr>
          </w:p>
        </w:tc>
      </w:tr>
      <w:tr w14:paraId="34374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9B641">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B39A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6C68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D067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0ADD0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60F3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6D2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2F36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23B1B9">
            <w:pPr>
              <w:rPr>
                <w:rFonts w:hint="eastAsia" w:ascii="黑体" w:hAnsi="黑体" w:eastAsia="黑体" w:cs="黑体"/>
                <w:i/>
                <w:iCs/>
                <w:color w:val="000000"/>
                <w:sz w:val="18"/>
                <w:szCs w:val="18"/>
                <w:u w:val="none"/>
              </w:rPr>
            </w:pPr>
          </w:p>
        </w:tc>
      </w:tr>
      <w:tr w14:paraId="67739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30ABF">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68D8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B1A4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FACA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4A3D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2E59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8A6F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AB51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C87272">
            <w:pPr>
              <w:rPr>
                <w:rFonts w:hint="eastAsia" w:ascii="黑体" w:hAnsi="黑体" w:eastAsia="黑体" w:cs="黑体"/>
                <w:i/>
                <w:iCs/>
                <w:color w:val="000000"/>
                <w:sz w:val="18"/>
                <w:szCs w:val="18"/>
                <w:u w:val="none"/>
              </w:rPr>
            </w:pPr>
          </w:p>
        </w:tc>
      </w:tr>
      <w:tr w14:paraId="17F6B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157987">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2D63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0F1880D">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1FDA035">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437020F">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2D09BA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00A9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E96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CD6EF4">
            <w:pPr>
              <w:rPr>
                <w:rFonts w:hint="eastAsia" w:ascii="黑体" w:hAnsi="黑体" w:eastAsia="黑体" w:cs="黑体"/>
                <w:i/>
                <w:iCs/>
                <w:color w:val="000000"/>
                <w:sz w:val="18"/>
                <w:szCs w:val="18"/>
                <w:u w:val="none"/>
              </w:rPr>
            </w:pPr>
          </w:p>
        </w:tc>
      </w:tr>
      <w:tr w14:paraId="44488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7B2E7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5D7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452B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E078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4C85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5F29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651BF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103F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8614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6C59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CFFD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CEC2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80666">
            <w:pPr>
              <w:jc w:val="center"/>
              <w:rPr>
                <w:rFonts w:hint="eastAsia" w:ascii="宋体" w:hAnsi="宋体" w:eastAsia="宋体" w:cs="宋体"/>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890B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noWrap w:val="0"/>
            <w:vAlign w:val="center"/>
          </w:tcPr>
          <w:p w14:paraId="7901A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0F47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科技活动周启动仪式次数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53F0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D701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05F9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2D0D38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478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07C0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6A465C4">
            <w:pPr>
              <w:jc w:val="center"/>
              <w:rPr>
                <w:rFonts w:hint="eastAsia" w:ascii="微软雅黑" w:hAnsi="微软雅黑" w:eastAsia="微软雅黑" w:cs="微软雅黑"/>
                <w:i/>
                <w:iCs/>
                <w:color w:val="000000"/>
                <w:sz w:val="16"/>
                <w:szCs w:val="16"/>
                <w:u w:val="none"/>
              </w:rPr>
            </w:pPr>
          </w:p>
        </w:tc>
      </w:tr>
      <w:tr w14:paraId="49FF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1A6FCA">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7E33C2">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CC811">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6F3F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49CFB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9616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4872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F194F7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B5BC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7CBC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3E062F92">
            <w:pPr>
              <w:jc w:val="center"/>
              <w:rPr>
                <w:rFonts w:hint="eastAsia" w:ascii="微软雅黑" w:hAnsi="微软雅黑" w:eastAsia="微软雅黑" w:cs="微软雅黑"/>
                <w:i/>
                <w:iCs/>
                <w:color w:val="000000"/>
                <w:sz w:val="16"/>
                <w:szCs w:val="16"/>
                <w:u w:val="none"/>
              </w:rPr>
            </w:pPr>
          </w:p>
        </w:tc>
      </w:tr>
      <w:tr w14:paraId="4037A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F032C0">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6094F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CE2A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8E15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活动开展达标率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B9D9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1744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D813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7B587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C30F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7744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A5CEA62">
            <w:pPr>
              <w:jc w:val="center"/>
              <w:rPr>
                <w:rFonts w:hint="eastAsia" w:ascii="微软雅黑" w:hAnsi="微软雅黑" w:eastAsia="微软雅黑" w:cs="微软雅黑"/>
                <w:i/>
                <w:iCs/>
                <w:color w:val="000000"/>
                <w:sz w:val="16"/>
                <w:szCs w:val="16"/>
                <w:u w:val="none"/>
              </w:rPr>
            </w:pPr>
          </w:p>
        </w:tc>
      </w:tr>
      <w:tr w14:paraId="22EB4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94734">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B1445">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2930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202A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12月之前完成</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4393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1AA88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D1F7AB4">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A53A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3A6E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BAF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BBAA4D6">
            <w:pPr>
              <w:jc w:val="center"/>
              <w:rPr>
                <w:rFonts w:hint="eastAsia" w:ascii="微软雅黑" w:hAnsi="微软雅黑" w:eastAsia="微软雅黑" w:cs="微软雅黑"/>
                <w:i/>
                <w:iCs/>
                <w:color w:val="000000"/>
                <w:sz w:val="16"/>
                <w:szCs w:val="16"/>
                <w:u w:val="none"/>
              </w:rPr>
            </w:pPr>
          </w:p>
        </w:tc>
      </w:tr>
      <w:tr w14:paraId="7722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E4ED98">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E5EE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9255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1EFA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4D7B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7B31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1A1F8DCA">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BE87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提高群众科技意识</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A63E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792C6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097F77E4">
            <w:pPr>
              <w:jc w:val="center"/>
              <w:rPr>
                <w:rFonts w:hint="eastAsia" w:ascii="微软雅黑" w:hAnsi="微软雅黑" w:eastAsia="微软雅黑" w:cs="微软雅黑"/>
                <w:i/>
                <w:iCs/>
                <w:color w:val="000000"/>
                <w:sz w:val="16"/>
                <w:szCs w:val="16"/>
                <w:u w:val="none"/>
              </w:rPr>
            </w:pPr>
          </w:p>
        </w:tc>
      </w:tr>
      <w:tr w14:paraId="57D8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004E2B">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BFE8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2EB1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9333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培训对象满意度</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E1BC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A174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B454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17090DD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EF95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6D91B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084AE56">
            <w:pPr>
              <w:jc w:val="center"/>
              <w:rPr>
                <w:rFonts w:hint="eastAsia" w:ascii="微软雅黑" w:hAnsi="微软雅黑" w:eastAsia="微软雅黑" w:cs="微软雅黑"/>
                <w:i/>
                <w:iCs/>
                <w:color w:val="000000"/>
                <w:sz w:val="16"/>
                <w:szCs w:val="16"/>
                <w:u w:val="none"/>
              </w:rPr>
            </w:pPr>
          </w:p>
        </w:tc>
      </w:tr>
      <w:tr w14:paraId="02A1A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4B8ABD">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3087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34F3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8A2C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项目合作经费</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4B93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3DD1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7E6B0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88F989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0552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D82A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256471E8">
            <w:pPr>
              <w:jc w:val="center"/>
              <w:rPr>
                <w:rFonts w:hint="eastAsia" w:ascii="微软雅黑" w:hAnsi="微软雅黑" w:eastAsia="微软雅黑" w:cs="微软雅黑"/>
                <w:i/>
                <w:iCs/>
                <w:color w:val="000000"/>
                <w:sz w:val="16"/>
                <w:szCs w:val="16"/>
                <w:u w:val="none"/>
              </w:rPr>
            </w:pPr>
          </w:p>
        </w:tc>
      </w:tr>
      <w:tr w14:paraId="2483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5" w:type="pct"/>
            <w:gridSpan w:val="8"/>
            <w:tcBorders>
              <w:top w:val="single" w:color="000000" w:sz="4" w:space="0"/>
              <w:left w:val="single" w:color="000000" w:sz="4" w:space="0"/>
              <w:bottom w:val="single" w:color="000000" w:sz="4" w:space="0"/>
              <w:right w:val="single" w:color="000000" w:sz="4" w:space="0"/>
            </w:tcBorders>
            <w:noWrap w:val="0"/>
            <w:vAlign w:val="center"/>
          </w:tcPr>
          <w:p w14:paraId="7FE953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1FDD3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E518D8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0499F516">
            <w:pPr>
              <w:rPr>
                <w:rFonts w:hint="eastAsia" w:ascii="宋体" w:hAnsi="宋体" w:eastAsia="宋体" w:cs="宋体"/>
                <w:i w:val="0"/>
                <w:iCs w:val="0"/>
                <w:color w:val="000000"/>
                <w:sz w:val="18"/>
                <w:szCs w:val="18"/>
                <w:u w:val="none"/>
              </w:rPr>
            </w:pPr>
          </w:p>
        </w:tc>
      </w:tr>
      <w:tr w14:paraId="6E31D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1A405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494071B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项目实施取得显著成效：一是重大活动成功举办，3月14日顺利启动第二十九届“科技之春”科普活动月，带动全州开展宣传活动24场次，发放资料5万余份，服务群众1.4万余人次。二是宣传载体丰富实用，定制保温杯、雨伞、毛巾等多元宣传品2000余件，让科技知识融入日常生活。三是人才队伍有力锻造，开展“天府科普使者”能力提升培训95人，基层科普队伍专业素养显著增强。四是协同任务全面完成，全过程配合阿坝师范学院完成项目各项任务，有效提升了全民科学素养和科技活动影响力。</w:t>
            </w:r>
          </w:p>
        </w:tc>
      </w:tr>
      <w:tr w14:paraId="07D7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60638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0A375EE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主要存在以下问题：一是科普活动覆盖面不够均衡，偏远乡村和高半山地区群众参与度较低，科普资源下沉力度不足。二是宣传品利用率有待提升。虽制作了保温杯、雨伞等实用物品，但后续缺乏对宣传效果的跟踪评估，科技知识的“流动载体”作用未能充分发挥。三是培训成果转化不足。“天府科普使者”培训后缺乏持续跟进的实践平台，部分学员未能常态化参与基层科普服务。</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主要原因：基层科普力量薄弱，专项经费有限，加之缺乏长效考核激励机制，导致优质科普资源难以持续深入偏远地区和转化为常态化服务。</w:t>
            </w:r>
          </w:p>
        </w:tc>
      </w:tr>
      <w:tr w14:paraId="63923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6E0B5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3E6338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推进科普精准下沉。依托“天府科普使者”队伍，开展“流动科技馆进乡村”活动，制作藏汉双语科普视频，通过新媒体覆盖偏远地区。二是强化宣传品效能跟踪。建立宣传品发放反馈机制，扫码关联科普知识库，实现“物品发放+知识推送”双联动。三是深化培训成果转化。搭建科普实践平台，设立基层科普服务站，将学员参与科普服务纳入年度考核。</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政策性建议：加大对偏远地区科普专项经费投入，设立基层科普活动补贴；完善科普人才激励机制，对表现突出的“天府科普使者”给予职称评定倾斜，激发社会力量参与活力。</w:t>
            </w:r>
          </w:p>
        </w:tc>
      </w:tr>
      <w:tr w14:paraId="1F6E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6" w:type="pct"/>
            <w:gridSpan w:val="5"/>
            <w:tcBorders>
              <w:top w:val="single" w:color="000000" w:sz="4" w:space="0"/>
              <w:left w:val="single" w:color="000000" w:sz="4" w:space="0"/>
              <w:bottom w:val="single" w:color="000000" w:sz="4" w:space="0"/>
              <w:right w:val="single" w:color="000000" w:sz="4" w:space="0"/>
            </w:tcBorders>
            <w:noWrap w:val="0"/>
            <w:vAlign w:val="center"/>
          </w:tcPr>
          <w:p w14:paraId="7091C65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2413" w:type="pct"/>
            <w:gridSpan w:val="6"/>
            <w:tcBorders>
              <w:top w:val="single" w:color="000000" w:sz="4" w:space="0"/>
              <w:left w:val="single" w:color="000000" w:sz="4" w:space="0"/>
              <w:bottom w:val="single" w:color="000000" w:sz="4" w:space="0"/>
              <w:right w:val="single" w:color="000000" w:sz="4" w:space="0"/>
            </w:tcBorders>
            <w:noWrap w:val="0"/>
            <w:vAlign w:val="center"/>
          </w:tcPr>
          <w:p w14:paraId="06A487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bl>
    <w:p w14:paraId="285563C4">
      <w:pPr>
        <w:rPr>
          <w:rFonts w:hint="eastAsia" w:ascii="Times New Roman" w:hAnsi="Times New Roman" w:eastAsia="黑体" w:cs="黑体"/>
          <w:color w:val="auto"/>
          <w:kern w:val="0"/>
          <w:sz w:val="32"/>
          <w:szCs w:val="32"/>
          <w:highlight w:val="none"/>
          <w:shd w:val="clear" w:color="auto" w:fill="FFFFFF"/>
          <w:lang w:val="zh-CN"/>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8"/>
        <w:gridCol w:w="2067"/>
        <w:gridCol w:w="1775"/>
        <w:gridCol w:w="2271"/>
        <w:gridCol w:w="530"/>
        <w:gridCol w:w="1684"/>
        <w:gridCol w:w="530"/>
        <w:gridCol w:w="1103"/>
        <w:gridCol w:w="510"/>
        <w:gridCol w:w="448"/>
        <w:gridCol w:w="2568"/>
      </w:tblGrid>
      <w:tr w14:paraId="5406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491EDDA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51D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36BE7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2C8ED1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51320025T000012910280-“四川科技兴村在线”阿坝州平台2024年科技服务平台运行绩效后补助</w:t>
            </w:r>
          </w:p>
        </w:tc>
      </w:tr>
      <w:tr w14:paraId="3200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2" w:type="pct"/>
            <w:gridSpan w:val="2"/>
            <w:tcBorders>
              <w:top w:val="single" w:color="000000" w:sz="4" w:space="0"/>
              <w:left w:val="single" w:color="000000" w:sz="4" w:space="0"/>
              <w:bottom w:val="single" w:color="000000" w:sz="4" w:space="0"/>
              <w:right w:val="single" w:color="000000" w:sz="4" w:space="0"/>
            </w:tcBorders>
            <w:noWrap w:val="0"/>
            <w:vAlign w:val="center"/>
          </w:tcPr>
          <w:p w14:paraId="7B00FE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390175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7" w:type="pct"/>
            <w:tcBorders>
              <w:top w:val="nil"/>
              <w:left w:val="nil"/>
              <w:bottom w:val="nil"/>
              <w:right w:val="nil"/>
            </w:tcBorders>
            <w:noWrap w:val="0"/>
            <w:vAlign w:val="center"/>
          </w:tcPr>
          <w:p w14:paraId="09403F7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实施单位（盖章）</w:t>
            </w:r>
          </w:p>
        </w:tc>
        <w:tc>
          <w:tcPr>
            <w:tcW w:w="1244" w:type="pct"/>
            <w:gridSpan w:val="3"/>
            <w:tcBorders>
              <w:top w:val="single" w:color="000000" w:sz="4" w:space="0"/>
              <w:left w:val="single" w:color="000000" w:sz="4" w:space="0"/>
              <w:bottom w:val="single" w:color="000000" w:sz="4" w:space="0"/>
              <w:right w:val="single" w:color="000000" w:sz="4" w:space="0"/>
            </w:tcBorders>
            <w:noWrap w:val="0"/>
            <w:vAlign w:val="center"/>
          </w:tcPr>
          <w:p w14:paraId="06B23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科技交流中心</w:t>
            </w:r>
          </w:p>
        </w:tc>
      </w:tr>
      <w:tr w14:paraId="4093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5BB9BB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87EC7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6C475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369C634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CCA5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995C11">
            <w:pP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7E6BF2">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48FFAF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建立完善州级专家队伍2人，建立完善全州信息员队伍20人，开展全州在线技术服务10000次以上。</w:t>
            </w:r>
          </w:p>
        </w:tc>
        <w:tc>
          <w:tcPr>
            <w:tcW w:w="1631" w:type="pct"/>
            <w:gridSpan w:val="4"/>
            <w:tcBorders>
              <w:top w:val="single" w:color="000000" w:sz="4" w:space="0"/>
              <w:left w:val="single" w:color="000000" w:sz="4" w:space="0"/>
              <w:bottom w:val="single" w:color="000000" w:sz="4" w:space="0"/>
              <w:right w:val="single" w:color="000000" w:sz="4" w:space="0"/>
            </w:tcBorders>
            <w:noWrap w:val="0"/>
            <w:vAlign w:val="center"/>
          </w:tcPr>
          <w:p w14:paraId="1B6B9E2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年度目标任务全面超额完成。全州平台入库专家82人，超目标60人；信息员991人，超目标971人；在线咨询服务13278条，超目标3278次。三项核心指标均远超既定任务，有力支撑了全州科技兴农服务。</w:t>
            </w:r>
          </w:p>
        </w:tc>
      </w:tr>
      <w:tr w14:paraId="3A5CF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5E2797">
            <w:pP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8E899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noWrap w:val="0"/>
            <w:vAlign w:val="center"/>
          </w:tcPr>
          <w:p w14:paraId="375B36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四川科技兴村在线”阿坝州平台紧紧围绕年度目标任务，扎实推进科技人才队伍建设和在线服务工作。通过广泛动员与精准筛选，全年新入库专家12人，组建起一支覆盖多产业领域的州级专家队伍；同时，深入各乡镇发展信息员91人，构建了深入基层的科技服务网络。依托平台线上载体，组织专家针对农牧民在生产中遇到的种养殖技术、病害防治等难题，开展实时答疑与远程指导，全年累计完成在线技术服务咨询13278条。通过强化供需对接与流程优化，平台运行质效显著提升，为全州乡村产业发展提供了有力的科技支撑。</w:t>
            </w:r>
          </w:p>
        </w:tc>
      </w:tr>
      <w:tr w14:paraId="7F8C6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2CE68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572B3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5A02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C69F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3044C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6999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DE0E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06DB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08AE4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45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20680">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8C25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71ED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112E9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7B522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379A9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7C44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1D54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vMerge w:val="restart"/>
            <w:tcBorders>
              <w:top w:val="single" w:color="000000" w:sz="4" w:space="0"/>
              <w:left w:val="single" w:color="000000" w:sz="4" w:space="0"/>
              <w:bottom w:val="single" w:color="000000" w:sz="4" w:space="0"/>
              <w:right w:val="single" w:color="000000" w:sz="4" w:space="0"/>
            </w:tcBorders>
            <w:noWrap w:val="0"/>
            <w:vAlign w:val="center"/>
          </w:tcPr>
          <w:p w14:paraId="3D65FC3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5E6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CF8829">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4CD5A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00C51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0B00F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49A519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8.71</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7D46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F88E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A7B2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84C380">
            <w:pPr>
              <w:rPr>
                <w:rFonts w:hint="eastAsia" w:ascii="黑体" w:hAnsi="黑体" w:eastAsia="黑体" w:cs="黑体"/>
                <w:i/>
                <w:iCs/>
                <w:color w:val="000000"/>
                <w:sz w:val="18"/>
                <w:szCs w:val="18"/>
                <w:u w:val="none"/>
              </w:rPr>
            </w:pPr>
          </w:p>
        </w:tc>
      </w:tr>
      <w:tr w14:paraId="1E092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235C9">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CDA2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1216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B4CB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1B444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1348D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2C30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0FE33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F22001">
            <w:pPr>
              <w:rPr>
                <w:rFonts w:hint="eastAsia" w:ascii="黑体" w:hAnsi="黑体" w:eastAsia="黑体" w:cs="黑体"/>
                <w:i/>
                <w:iCs/>
                <w:color w:val="000000"/>
                <w:sz w:val="18"/>
                <w:szCs w:val="18"/>
                <w:u w:val="none"/>
              </w:rPr>
            </w:pPr>
          </w:p>
        </w:tc>
      </w:tr>
      <w:tr w14:paraId="48CE3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60E104">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86BE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5270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6896E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585E2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3DF76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0357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BEF8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F49F9">
            <w:pPr>
              <w:rPr>
                <w:rFonts w:hint="eastAsia" w:ascii="黑体" w:hAnsi="黑体" w:eastAsia="黑体" w:cs="黑体"/>
                <w:i/>
                <w:iCs/>
                <w:color w:val="000000"/>
                <w:sz w:val="18"/>
                <w:szCs w:val="18"/>
                <w:u w:val="none"/>
              </w:rPr>
            </w:pPr>
          </w:p>
        </w:tc>
      </w:tr>
      <w:tr w14:paraId="31B68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A433F5">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B724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FFBCA70">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1353956">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noWrap w:val="0"/>
            <w:vAlign w:val="center"/>
          </w:tcPr>
          <w:p w14:paraId="2B62646B">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53B7B6B1">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57737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3D19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BF71C8">
            <w:pPr>
              <w:rPr>
                <w:rFonts w:hint="eastAsia" w:ascii="黑体" w:hAnsi="黑体" w:eastAsia="黑体" w:cs="黑体"/>
                <w:i/>
                <w:iCs/>
                <w:color w:val="000000"/>
                <w:sz w:val="18"/>
                <w:szCs w:val="18"/>
                <w:u w:val="none"/>
              </w:rPr>
            </w:pPr>
          </w:p>
        </w:tc>
      </w:tr>
      <w:tr w14:paraId="7E80B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restart"/>
            <w:tcBorders>
              <w:top w:val="single" w:color="000000" w:sz="4" w:space="0"/>
              <w:left w:val="single" w:color="000000" w:sz="4" w:space="0"/>
              <w:bottom w:val="single" w:color="000000" w:sz="4" w:space="0"/>
              <w:right w:val="single" w:color="000000" w:sz="4" w:space="0"/>
            </w:tcBorders>
            <w:noWrap w:val="0"/>
            <w:vAlign w:val="center"/>
          </w:tcPr>
          <w:p w14:paraId="2B508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1B51B0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4CD4D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3E0E8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8532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5BF2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037F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149A6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02BA4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7A97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C771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0D65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E8F277">
            <w:pPr>
              <w:jc w:val="center"/>
              <w:rPr>
                <w:rFonts w:hint="eastAsia" w:ascii="宋体" w:hAnsi="宋体" w:eastAsia="宋体" w:cs="宋体"/>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5036E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noWrap w:val="0"/>
            <w:vAlign w:val="center"/>
          </w:tcPr>
          <w:p w14:paraId="160AF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46807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建立完善全州信息员队伍人数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12B96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C366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2036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545E01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91</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22106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56BD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5C8F7533">
            <w:pPr>
              <w:jc w:val="center"/>
              <w:rPr>
                <w:rFonts w:hint="eastAsia" w:ascii="微软雅黑" w:hAnsi="微软雅黑" w:eastAsia="微软雅黑" w:cs="微软雅黑"/>
                <w:i/>
                <w:iCs/>
                <w:color w:val="000000"/>
                <w:sz w:val="16"/>
                <w:szCs w:val="16"/>
                <w:u w:val="none"/>
              </w:rPr>
            </w:pPr>
          </w:p>
        </w:tc>
      </w:tr>
      <w:tr w14:paraId="61276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BFF62D">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C30E2">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D1CC8">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5C45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建立完善州级专家队伍人数</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7CAF4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88A4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A914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575D54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4A5E4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46DB6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BADC29C">
            <w:pPr>
              <w:jc w:val="center"/>
              <w:rPr>
                <w:rFonts w:hint="eastAsia" w:ascii="微软雅黑" w:hAnsi="微软雅黑" w:eastAsia="微软雅黑" w:cs="微软雅黑"/>
                <w:i/>
                <w:iCs/>
                <w:color w:val="000000"/>
                <w:sz w:val="16"/>
                <w:szCs w:val="16"/>
                <w:u w:val="none"/>
              </w:rPr>
            </w:pPr>
          </w:p>
        </w:tc>
      </w:tr>
      <w:tr w14:paraId="1A414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3CE83F">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C68D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521C0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703C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开展平台在线技术服务效果</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10C2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10CC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08D22299">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49093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92A0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F2BD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2CFAD79E">
            <w:pPr>
              <w:jc w:val="center"/>
              <w:rPr>
                <w:rFonts w:hint="eastAsia" w:ascii="微软雅黑" w:hAnsi="微软雅黑" w:eastAsia="微软雅黑" w:cs="微软雅黑"/>
                <w:i/>
                <w:iCs/>
                <w:color w:val="000000"/>
                <w:sz w:val="16"/>
                <w:szCs w:val="16"/>
                <w:u w:val="none"/>
              </w:rPr>
            </w:pPr>
          </w:p>
        </w:tc>
      </w:tr>
      <w:tr w14:paraId="53B76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393EB6">
            <w:pPr>
              <w:jc w:val="center"/>
              <w:rPr>
                <w:rFonts w:hint="eastAsia" w:ascii="宋体" w:hAnsi="宋体" w:eastAsia="宋体" w:cs="宋体"/>
                <w:i w:val="0"/>
                <w:iCs w:val="0"/>
                <w:color w:val="000000"/>
                <w:sz w:val="18"/>
                <w:szCs w:val="18"/>
                <w:u w:val="none"/>
              </w:rPr>
            </w:pPr>
          </w:p>
        </w:tc>
        <w:tc>
          <w:tcPr>
            <w:tcW w:w="728"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86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B7AD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9EBC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帮助解决农牧民生产中的问题情况</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66CA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0E50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239EA632">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77FEC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FCCD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72EC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476B9B5">
            <w:pPr>
              <w:jc w:val="center"/>
              <w:rPr>
                <w:rFonts w:hint="eastAsia" w:ascii="微软雅黑" w:hAnsi="微软雅黑" w:eastAsia="微软雅黑" w:cs="微软雅黑"/>
                <w:i/>
                <w:iCs/>
                <w:color w:val="000000"/>
                <w:sz w:val="16"/>
                <w:szCs w:val="16"/>
                <w:u w:val="none"/>
              </w:rPr>
            </w:pPr>
          </w:p>
        </w:tc>
      </w:tr>
      <w:tr w14:paraId="7103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C8BC22">
            <w:pPr>
              <w:jc w:val="center"/>
              <w:rPr>
                <w:rFonts w:hint="eastAsia" w:ascii="宋体" w:hAnsi="宋体" w:eastAsia="宋体" w:cs="宋体"/>
                <w:i w:val="0"/>
                <w:iCs w:val="0"/>
                <w:color w:val="000000"/>
                <w:sz w:val="18"/>
                <w:szCs w:val="18"/>
                <w:u w:val="none"/>
              </w:rPr>
            </w:pPr>
          </w:p>
        </w:tc>
        <w:tc>
          <w:tcPr>
            <w:tcW w:w="72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F730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1134E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2E5DB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持续开展平台在线技术服务</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7C103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4371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3BED39E0">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A471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39E41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11486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5EFBB0B">
            <w:pPr>
              <w:jc w:val="center"/>
              <w:rPr>
                <w:rFonts w:hint="eastAsia" w:ascii="微软雅黑" w:hAnsi="微软雅黑" w:eastAsia="微软雅黑" w:cs="微软雅黑"/>
                <w:i/>
                <w:iCs/>
                <w:color w:val="000000"/>
                <w:sz w:val="16"/>
                <w:szCs w:val="16"/>
                <w:u w:val="none"/>
              </w:rPr>
            </w:pPr>
          </w:p>
        </w:tc>
      </w:tr>
      <w:tr w14:paraId="34F3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472B8">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6547C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77973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1036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农牧民满意度</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31EA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95FD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47DA09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0909A5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8DC7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55F8F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4D6B031F">
            <w:pPr>
              <w:jc w:val="center"/>
              <w:rPr>
                <w:rFonts w:hint="eastAsia" w:ascii="微软雅黑" w:hAnsi="微软雅黑" w:eastAsia="微软雅黑" w:cs="微软雅黑"/>
                <w:i/>
                <w:iCs/>
                <w:color w:val="000000"/>
                <w:sz w:val="16"/>
                <w:szCs w:val="16"/>
                <w:u w:val="none"/>
              </w:rPr>
            </w:pPr>
          </w:p>
        </w:tc>
      </w:tr>
      <w:tr w14:paraId="5E1BB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64F14F">
            <w:pPr>
              <w:jc w:val="center"/>
              <w:rPr>
                <w:rFonts w:hint="eastAsia" w:ascii="宋体" w:hAnsi="宋体" w:eastAsia="宋体" w:cs="宋体"/>
                <w:i w:val="0"/>
                <w:iCs w:val="0"/>
                <w:color w:val="000000"/>
                <w:sz w:val="18"/>
                <w:szCs w:val="18"/>
                <w:u w:val="none"/>
              </w:rPr>
            </w:pP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26CAE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noWrap w:val="0"/>
            <w:vAlign w:val="center"/>
          </w:tcPr>
          <w:p w14:paraId="60CBA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70D17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平台聘用人员人均月工资</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3993C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5965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186" w:type="pct"/>
            <w:tcBorders>
              <w:top w:val="single" w:color="000000" w:sz="4" w:space="0"/>
              <w:left w:val="single" w:color="000000" w:sz="4" w:space="0"/>
              <w:bottom w:val="single" w:color="000000" w:sz="4" w:space="0"/>
              <w:right w:val="single" w:color="000000" w:sz="4" w:space="0"/>
            </w:tcBorders>
            <w:noWrap w:val="0"/>
            <w:vAlign w:val="center"/>
          </w:tcPr>
          <w:p w14:paraId="5AD58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387" w:type="pct"/>
            <w:tcBorders>
              <w:top w:val="single" w:color="000000" w:sz="4" w:space="0"/>
              <w:left w:val="single" w:color="000000" w:sz="4" w:space="0"/>
              <w:bottom w:val="single" w:color="000000" w:sz="4" w:space="0"/>
              <w:right w:val="single" w:color="000000" w:sz="4" w:space="0"/>
            </w:tcBorders>
            <w:noWrap w:val="0"/>
            <w:vAlign w:val="center"/>
          </w:tcPr>
          <w:p w14:paraId="2BCE560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5000</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660B6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6095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670141E0">
            <w:pPr>
              <w:jc w:val="center"/>
              <w:rPr>
                <w:rFonts w:hint="eastAsia" w:ascii="微软雅黑" w:hAnsi="微软雅黑" w:eastAsia="微软雅黑" w:cs="微软雅黑"/>
                <w:i/>
                <w:iCs/>
                <w:color w:val="000000"/>
                <w:sz w:val="16"/>
                <w:szCs w:val="16"/>
                <w:u w:val="none"/>
              </w:rPr>
            </w:pPr>
          </w:p>
        </w:tc>
      </w:tr>
      <w:tr w14:paraId="4C13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5" w:type="pct"/>
            <w:gridSpan w:val="8"/>
            <w:tcBorders>
              <w:top w:val="single" w:color="000000" w:sz="4" w:space="0"/>
              <w:left w:val="single" w:color="000000" w:sz="4" w:space="0"/>
              <w:bottom w:val="single" w:color="000000" w:sz="4" w:space="0"/>
              <w:right w:val="single" w:color="000000" w:sz="4" w:space="0"/>
            </w:tcBorders>
            <w:noWrap w:val="0"/>
            <w:vAlign w:val="center"/>
          </w:tcPr>
          <w:p w14:paraId="76363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noWrap w:val="0"/>
            <w:vAlign w:val="center"/>
          </w:tcPr>
          <w:p w14:paraId="7F239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8" w:type="pct"/>
            <w:tcBorders>
              <w:top w:val="single" w:color="000000" w:sz="4" w:space="0"/>
              <w:left w:val="single" w:color="000000" w:sz="4" w:space="0"/>
              <w:bottom w:val="single" w:color="000000" w:sz="4" w:space="0"/>
              <w:right w:val="single" w:color="000000" w:sz="4" w:space="0"/>
            </w:tcBorders>
            <w:noWrap w:val="0"/>
            <w:vAlign w:val="center"/>
          </w:tcPr>
          <w:p w14:paraId="206EC0F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19894F8F">
            <w:pPr>
              <w:rPr>
                <w:rFonts w:hint="eastAsia" w:ascii="宋体" w:hAnsi="宋体" w:eastAsia="宋体" w:cs="宋体"/>
                <w:i w:val="0"/>
                <w:iCs w:val="0"/>
                <w:color w:val="000000"/>
                <w:sz w:val="18"/>
                <w:szCs w:val="18"/>
                <w:u w:val="none"/>
              </w:rPr>
            </w:pPr>
          </w:p>
        </w:tc>
      </w:tr>
      <w:tr w14:paraId="7A5E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025BB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206F9B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总分100分。项目实施成效显著：一是人才队伍持续壮大，全州平台入库专家12人、信息员91人，超额完成目标任务，构建起覆盖多产业的州级专家队伍和深入基层的信息员网络。二是技术服务量质齐升，全年完成在线咨询服务13278条，超目标3278条，解决农牧民种养殖技术、病害防治等难题，服务覆盖面和时效性显著增强。三是科技助农成效凸显，通过线上精准对接与实时答疑，打通科技进村入户“最后一公里”，为乡村产业发展提供了有力科技支撑。</w:t>
            </w:r>
          </w:p>
        </w:tc>
      </w:tr>
      <w:tr w14:paraId="3DD53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4FFD3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4C76CAF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服务质量有待提升。部分咨询解答较为笼统，针对高原特色产业（如道地药材、中蜂等）的深度技术指导不足，未能完全满足农牧民个性化需求。二是队伍结构不够均衡。专家领域多集中在传统种养殖，农产品加工、电商营销类人才偏少；部分乡镇信息员活跃度低，存在“重入库轻使用”现象。</w:t>
            </w:r>
            <w:r>
              <w:rPr>
                <w:rFonts w:hint="eastAsia" w:ascii="微软雅黑" w:hAnsi="微软雅黑" w:eastAsia="微软雅黑" w:cs="微软雅黑"/>
                <w:i/>
                <w:iCs/>
                <w:color w:val="000000"/>
                <w:kern w:val="0"/>
                <w:sz w:val="16"/>
                <w:szCs w:val="16"/>
                <w:u w:val="none"/>
                <w:lang w:val="en-US" w:eastAsia="zh-CN" w:bidi="ar"/>
              </w:rPr>
              <w:br w:type="textWrapping"/>
            </w:r>
            <w:r>
              <w:rPr>
                <w:rFonts w:hint="eastAsia" w:ascii="微软雅黑" w:hAnsi="微软雅黑" w:eastAsia="微软雅黑" w:cs="微软雅黑"/>
                <w:i/>
                <w:iCs/>
                <w:color w:val="000000"/>
                <w:kern w:val="0"/>
                <w:sz w:val="16"/>
                <w:szCs w:val="16"/>
                <w:u w:val="none"/>
                <w:lang w:val="en-US" w:eastAsia="zh-CN" w:bidi="ar"/>
              </w:rPr>
              <w:t>主要原因：基层科技力量薄弱，专业培训经费有限，加之缺乏有效的线上线下联动机制，制约了平台服务效能的深度发挥。</w:t>
            </w:r>
          </w:p>
        </w:tc>
      </w:tr>
      <w:tr w14:paraId="35B4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3" w:type="pct"/>
            <w:tcBorders>
              <w:top w:val="single" w:color="000000" w:sz="4" w:space="0"/>
              <w:left w:val="single" w:color="000000" w:sz="4" w:space="0"/>
              <w:bottom w:val="single" w:color="000000" w:sz="4" w:space="0"/>
              <w:right w:val="single" w:color="000000" w:sz="4" w:space="0"/>
            </w:tcBorders>
            <w:noWrap w:val="0"/>
            <w:vAlign w:val="center"/>
          </w:tcPr>
          <w:p w14:paraId="4B381B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6" w:type="pct"/>
            <w:gridSpan w:val="10"/>
            <w:tcBorders>
              <w:top w:val="single" w:color="000000" w:sz="4" w:space="0"/>
              <w:left w:val="single" w:color="000000" w:sz="4" w:space="0"/>
              <w:bottom w:val="single" w:color="000000" w:sz="4" w:space="0"/>
              <w:right w:val="single" w:color="000000" w:sz="4" w:space="0"/>
            </w:tcBorders>
            <w:noWrap w:val="0"/>
            <w:vAlign w:val="center"/>
          </w:tcPr>
          <w:p w14:paraId="52BC58F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深化精准服务。按产业领域分类组建专家库，推行“订单式”答疑，针对高原特色产业需求开展远程视频诊断，提升解答精准度。二是优化队伍结构。定向招募农产品加工、电商营销类专家，加强对现有信息员的技能培训，提升其问题甄别与信息报送能力。</w:t>
            </w:r>
          </w:p>
        </w:tc>
      </w:tr>
      <w:tr w14:paraId="5145B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6" w:type="pct"/>
            <w:gridSpan w:val="5"/>
            <w:tcBorders>
              <w:top w:val="single" w:color="000000" w:sz="4" w:space="0"/>
              <w:left w:val="single" w:color="000000" w:sz="4" w:space="0"/>
              <w:bottom w:val="single" w:color="000000" w:sz="4" w:space="0"/>
              <w:right w:val="single" w:color="000000" w:sz="4" w:space="0"/>
            </w:tcBorders>
            <w:noWrap w:val="0"/>
            <w:vAlign w:val="center"/>
          </w:tcPr>
          <w:p w14:paraId="47F292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项目负责人：刘增林</w:t>
            </w:r>
          </w:p>
        </w:tc>
        <w:tc>
          <w:tcPr>
            <w:tcW w:w="2413" w:type="pct"/>
            <w:gridSpan w:val="6"/>
            <w:tcBorders>
              <w:top w:val="single" w:color="000000" w:sz="4" w:space="0"/>
              <w:left w:val="single" w:color="000000" w:sz="4" w:space="0"/>
              <w:bottom w:val="single" w:color="000000" w:sz="4" w:space="0"/>
              <w:right w:val="single" w:color="000000" w:sz="4" w:space="0"/>
            </w:tcBorders>
            <w:noWrap w:val="0"/>
            <w:vAlign w:val="center"/>
          </w:tcPr>
          <w:p w14:paraId="52C37B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财务负责人：黄涛</w:t>
            </w:r>
          </w:p>
        </w:tc>
      </w:tr>
    </w:tbl>
    <w:p w14:paraId="759761B8">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sectPr>
          <w:pgSz w:w="16838" w:h="11906" w:orient="landscape"/>
          <w:pgMar w:top="1800" w:right="1440" w:bottom="1800" w:left="1440" w:header="851" w:footer="992" w:gutter="0"/>
          <w:pgNumType w:fmt="decimal"/>
          <w:cols w:space="425" w:num="1"/>
          <w:docGrid w:type="lines" w:linePitch="312" w:charSpace="0"/>
        </w:sectPr>
      </w:pPr>
    </w:p>
    <w:p w14:paraId="7AD8642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5E8396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bookmarkStart w:id="49"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7"/>
      <w:bookmarkEnd w:id="49"/>
      <w:bookmarkStart w:id="50" w:name="_Toc15396619"/>
    </w:p>
    <w:p w14:paraId="6C38C89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0F5EE2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14:paraId="1BBCD7F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14:paraId="5218FA0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14:paraId="54FC926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14:paraId="5C29AF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14:paraId="103DD3E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14:paraId="05360AC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14:paraId="485F38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14:paraId="46287EB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14:paraId="3E6FE3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14:paraId="6E266B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A18C21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14:paraId="273BDA6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14:paraId="6486750B">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30362">
    <w:pPr>
      <w:pStyle w:val="11"/>
      <w:jc w:val="center"/>
    </w:pPr>
  </w:p>
  <w:p w14:paraId="2CD7FA4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5073E">
    <w:pPr>
      <w:pStyle w:val="11"/>
      <w:jc w:val="both"/>
    </w:pPr>
  </w:p>
  <w:p w14:paraId="770B198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AD87D">
    <w:pPr>
      <w:pStyle w:val="11"/>
      <w:jc w:val="both"/>
    </w:pPr>
  </w:p>
  <w:p w14:paraId="27806DF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3B9F4">
    <w:pPr>
      <w:pStyle w:val="11"/>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C1026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4C1026F">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84A6E3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BFACE">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0CB308A"/>
    <w:rsid w:val="21962A9E"/>
    <w:rsid w:val="21AE7C77"/>
    <w:rsid w:val="22333C14"/>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ADC1336"/>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A9C1326"/>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320547"/>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link w:val="26"/>
    <w:qFormat/>
    <w:uiPriority w:val="99"/>
    <w:pPr>
      <w:spacing w:beforeLines="30"/>
    </w:pPr>
    <w:rPr>
      <w:rFonts w:ascii="仿宋_GB2312" w:eastAsia="仿宋_GB2312"/>
      <w:kern w:val="0"/>
      <w:sz w:val="30"/>
    </w:rPr>
  </w:style>
  <w:style w:type="paragraph" w:customStyle="1" w:styleId="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7"/>
    <w:link w:val="2"/>
    <w:qFormat/>
    <w:uiPriority w:val="9"/>
    <w:rPr>
      <w:rFonts w:ascii="Times New Roman" w:hAnsi="Times New Roman"/>
      <w:b/>
      <w:bCs/>
      <w:kern w:val="44"/>
      <w:sz w:val="44"/>
      <w:szCs w:val="44"/>
    </w:rPr>
  </w:style>
  <w:style w:type="character" w:customStyle="1" w:styleId="29">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4985</Words>
  <Characters>6241</Characters>
  <Lines>61</Lines>
  <Paragraphs>17</Paragraphs>
  <TotalTime>13</TotalTime>
  <ScaleCrop>false</ScaleCrop>
  <LinksUpToDate>false</LinksUpToDate>
  <CharactersWithSpaces>6269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别人都叫我发电机</cp:lastModifiedBy>
  <cp:lastPrinted>2026-08-03T09:27:00Z</cp:lastPrinted>
  <dcterms:modified xsi:type="dcterms:W3CDTF">2026-09-16T08:02:14Z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eyJoZGlkIjoiOTA2N2M3N2RjMmJjY2MxMTExYTM0OGFkZmY4ZmRlMjYiLCJ1c2VySWQiOiIyNDYxNzU4NzIifQ==</vt:lpwstr>
  </property>
</Properties>
</file>