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DD6EE6">
      <w:pPr>
        <w:spacing w:line="600" w:lineRule="exact"/>
        <w:jc w:val="center"/>
        <w:outlineLvl w:val="0"/>
        <w:rPr>
          <w:rFonts w:hint="eastAsia" w:ascii="微软雅黑" w:hAnsi="宋体" w:eastAsia="微软雅黑"/>
          <w:color w:val="000000"/>
          <w:sz w:val="72"/>
          <w:szCs w:val="72"/>
          <w:lang w:val="en-US" w:eastAsia="zh-CN"/>
        </w:rPr>
      </w:pPr>
      <w:bookmarkStart w:id="0" w:name="_Toc15306267"/>
      <w:r>
        <w:rPr>
          <w:rFonts w:hint="eastAsia" w:ascii="微软雅黑" w:hAnsi="宋体" w:eastAsia="微软雅黑"/>
          <w:color w:val="000000"/>
          <w:sz w:val="72"/>
          <w:szCs w:val="72"/>
          <w:lang w:val="en-US" w:eastAsia="zh-CN"/>
        </w:rPr>
        <w:t xml:space="preserve"> </w:t>
      </w:r>
    </w:p>
    <w:p w14:paraId="238B3F4D">
      <w:pPr>
        <w:spacing w:line="600" w:lineRule="exact"/>
        <w:jc w:val="center"/>
        <w:outlineLvl w:val="0"/>
        <w:rPr>
          <w:rFonts w:ascii="微软雅黑" w:hAnsi="宋体" w:eastAsia="微软雅黑"/>
          <w:color w:val="000000"/>
          <w:sz w:val="72"/>
          <w:szCs w:val="72"/>
        </w:rPr>
      </w:pPr>
    </w:p>
    <w:p w14:paraId="0B93FC22">
      <w:pPr>
        <w:spacing w:line="600" w:lineRule="exact"/>
        <w:jc w:val="center"/>
        <w:outlineLvl w:val="0"/>
        <w:rPr>
          <w:rFonts w:ascii="微软雅黑" w:hAnsi="宋体" w:eastAsia="微软雅黑"/>
          <w:color w:val="000000"/>
          <w:sz w:val="72"/>
          <w:szCs w:val="72"/>
        </w:rPr>
      </w:pPr>
    </w:p>
    <w:p w14:paraId="724A549F">
      <w:pPr>
        <w:jc w:val="center"/>
        <w:rPr>
          <w:rFonts w:hint="eastAsia" w:ascii="微软雅黑" w:eastAsia="微软雅黑"/>
          <w:sz w:val="72"/>
          <w:szCs w:val="72"/>
        </w:rPr>
      </w:pPr>
      <w:bookmarkStart w:id="1" w:name="_Toc15396597"/>
      <w:bookmarkStart w:id="2" w:name="_Toc15377425"/>
      <w:bookmarkStart w:id="3" w:name="_Toc15377193"/>
      <w:bookmarkStart w:id="4" w:name="_Toc15396475"/>
      <w:bookmarkStart w:id="5" w:name="_Toc15378441"/>
      <w:r>
        <w:rPr>
          <w:rFonts w:hint="eastAsia" w:ascii="微软雅黑" w:eastAsia="微软雅黑"/>
          <w:sz w:val="72"/>
          <w:szCs w:val="72"/>
          <w:lang w:eastAsia="zh-CN"/>
        </w:rPr>
        <w:t>202</w:t>
      </w:r>
      <w:r>
        <w:rPr>
          <w:rFonts w:hint="eastAsia" w:ascii="微软雅黑" w:eastAsia="微软雅黑"/>
          <w:sz w:val="72"/>
          <w:szCs w:val="72"/>
          <w:lang w:val="en-US" w:eastAsia="zh-CN"/>
        </w:rPr>
        <w:t>5</w:t>
      </w:r>
      <w:r>
        <w:rPr>
          <w:rFonts w:hint="eastAsia" w:ascii="微软雅黑" w:eastAsia="微软雅黑"/>
          <w:sz w:val="72"/>
          <w:szCs w:val="72"/>
        </w:rPr>
        <w:t>年度</w:t>
      </w:r>
      <w:bookmarkEnd w:id="1"/>
      <w:bookmarkEnd w:id="2"/>
      <w:bookmarkEnd w:id="3"/>
      <w:bookmarkEnd w:id="4"/>
      <w:bookmarkEnd w:id="5"/>
    </w:p>
    <w:p w14:paraId="6FA8351D">
      <w:pPr>
        <w:jc w:val="center"/>
        <w:rPr>
          <w:rFonts w:ascii="微软雅黑" w:eastAsia="微软雅黑"/>
          <w:sz w:val="72"/>
          <w:szCs w:val="72"/>
        </w:rPr>
      </w:pPr>
      <w:bookmarkStart w:id="6" w:name="_Toc15396476"/>
      <w:bookmarkStart w:id="7" w:name="_Toc15377426"/>
      <w:bookmarkStart w:id="8" w:name="_Toc15396598"/>
      <w:bookmarkStart w:id="9" w:name="_Toc15378442"/>
      <w:bookmarkStart w:id="10" w:name="_Toc15377194"/>
      <w:r>
        <w:rPr>
          <w:rFonts w:hint="eastAsia" w:ascii="微软雅黑" w:eastAsia="微软雅黑"/>
          <w:sz w:val="72"/>
          <w:szCs w:val="72"/>
        </w:rPr>
        <w:t>四川省阿坝州</w:t>
      </w:r>
      <w:bookmarkEnd w:id="0"/>
      <w:bookmarkStart w:id="11" w:name="_Toc15306268"/>
      <w:r>
        <w:rPr>
          <w:rFonts w:hint="eastAsia" w:ascii="微软雅黑" w:eastAsia="微软雅黑"/>
          <w:sz w:val="72"/>
          <w:szCs w:val="72"/>
          <w:lang w:val="en-US" w:eastAsia="zh-CN"/>
        </w:rPr>
        <w:t>九寨沟县人民法院</w:t>
      </w:r>
      <w:r>
        <w:rPr>
          <w:rFonts w:hint="eastAsia" w:ascii="微软雅黑" w:eastAsia="微软雅黑"/>
          <w:sz w:val="72"/>
          <w:szCs w:val="72"/>
        </w:rPr>
        <w:t>部门决算</w:t>
      </w:r>
      <w:bookmarkEnd w:id="6"/>
      <w:bookmarkEnd w:id="7"/>
      <w:bookmarkEnd w:id="8"/>
      <w:bookmarkEnd w:id="9"/>
      <w:bookmarkEnd w:id="10"/>
      <w:bookmarkEnd w:id="11"/>
    </w:p>
    <w:p w14:paraId="0DC69B98">
      <w:pPr>
        <w:autoSpaceDE w:val="0"/>
        <w:autoSpaceDN w:val="0"/>
        <w:adjustRightInd w:val="0"/>
        <w:jc w:val="center"/>
        <w:rPr>
          <w:rFonts w:ascii="微软雅黑" w:hAnsi="宋体" w:eastAsia="微软雅黑"/>
          <w:sz w:val="36"/>
          <w:szCs w:val="36"/>
        </w:rPr>
      </w:pPr>
    </w:p>
    <w:p w14:paraId="230153BA">
      <w:pPr>
        <w:autoSpaceDE w:val="0"/>
        <w:autoSpaceDN w:val="0"/>
        <w:adjustRightInd w:val="0"/>
        <w:jc w:val="center"/>
        <w:rPr>
          <w:rFonts w:ascii="微软雅黑" w:hAnsi="宋体" w:eastAsia="微软雅黑"/>
          <w:sz w:val="36"/>
          <w:szCs w:val="36"/>
        </w:rPr>
      </w:pPr>
    </w:p>
    <w:p w14:paraId="40EBC93E">
      <w:pPr>
        <w:autoSpaceDE w:val="0"/>
        <w:autoSpaceDN w:val="0"/>
        <w:adjustRightInd w:val="0"/>
        <w:jc w:val="center"/>
        <w:rPr>
          <w:rFonts w:ascii="微软雅黑" w:hAnsi="宋体" w:eastAsia="微软雅黑"/>
          <w:sz w:val="36"/>
          <w:szCs w:val="36"/>
        </w:rPr>
      </w:pPr>
    </w:p>
    <w:p w14:paraId="7CC58ECF">
      <w:pPr>
        <w:autoSpaceDE w:val="0"/>
        <w:autoSpaceDN w:val="0"/>
        <w:adjustRightInd w:val="0"/>
        <w:jc w:val="center"/>
        <w:rPr>
          <w:rFonts w:ascii="微软雅黑" w:hAnsi="宋体" w:eastAsia="微软雅黑"/>
          <w:sz w:val="36"/>
          <w:szCs w:val="36"/>
        </w:rPr>
      </w:pPr>
    </w:p>
    <w:p w14:paraId="7D399248">
      <w:pPr>
        <w:autoSpaceDE w:val="0"/>
        <w:autoSpaceDN w:val="0"/>
        <w:adjustRightInd w:val="0"/>
        <w:jc w:val="center"/>
        <w:rPr>
          <w:rFonts w:ascii="微软雅黑" w:hAnsi="宋体" w:eastAsia="微软雅黑"/>
          <w:sz w:val="36"/>
          <w:szCs w:val="36"/>
        </w:rPr>
      </w:pPr>
    </w:p>
    <w:p w14:paraId="3654F039">
      <w:pPr>
        <w:autoSpaceDE w:val="0"/>
        <w:autoSpaceDN w:val="0"/>
        <w:adjustRightInd w:val="0"/>
        <w:jc w:val="center"/>
        <w:rPr>
          <w:rFonts w:ascii="微软雅黑" w:hAnsi="宋体" w:eastAsia="微软雅黑"/>
          <w:sz w:val="36"/>
          <w:szCs w:val="36"/>
        </w:rPr>
      </w:pPr>
    </w:p>
    <w:p w14:paraId="1AADCF7A">
      <w:pPr>
        <w:autoSpaceDE w:val="0"/>
        <w:autoSpaceDN w:val="0"/>
        <w:adjustRightInd w:val="0"/>
        <w:jc w:val="center"/>
        <w:rPr>
          <w:rFonts w:ascii="微软雅黑" w:hAnsi="宋体" w:eastAsia="微软雅黑"/>
          <w:sz w:val="36"/>
          <w:szCs w:val="36"/>
        </w:rPr>
      </w:pPr>
    </w:p>
    <w:p w14:paraId="66BA3411">
      <w:pPr>
        <w:autoSpaceDE w:val="0"/>
        <w:autoSpaceDN w:val="0"/>
        <w:adjustRightInd w:val="0"/>
        <w:jc w:val="center"/>
        <w:rPr>
          <w:rFonts w:ascii="微软雅黑" w:hAnsi="宋体" w:eastAsia="微软雅黑"/>
          <w:sz w:val="36"/>
          <w:szCs w:val="36"/>
        </w:rPr>
      </w:pPr>
    </w:p>
    <w:p w14:paraId="7005EEA1">
      <w:pPr>
        <w:autoSpaceDE w:val="0"/>
        <w:autoSpaceDN w:val="0"/>
        <w:adjustRightInd w:val="0"/>
        <w:jc w:val="left"/>
        <w:rPr>
          <w:rFonts w:ascii="宋体" w:hAnsi="宋体"/>
          <w:sz w:val="32"/>
          <w:szCs w:val="32"/>
        </w:rPr>
      </w:pPr>
    </w:p>
    <w:p w14:paraId="06620D2D">
      <w:pPr>
        <w:autoSpaceDE w:val="0"/>
        <w:autoSpaceDN w:val="0"/>
        <w:adjustRightInd w:val="0"/>
        <w:jc w:val="center"/>
        <w:rPr>
          <w:rFonts w:ascii="黑体" w:hAnsi="黑体" w:eastAsia="黑体"/>
          <w:color w:val="000000"/>
          <w:sz w:val="48"/>
          <w:szCs w:val="48"/>
        </w:rPr>
      </w:pPr>
      <w:r>
        <w:rPr>
          <w:rFonts w:ascii="微软雅黑" w:hAnsi="宋体" w:eastAsia="微软雅黑"/>
          <w:sz w:val="36"/>
          <w:szCs w:val="36"/>
        </w:rPr>
        <w:br w:type="page"/>
      </w:r>
      <w:r>
        <w:rPr>
          <w:rFonts w:hint="eastAsia" w:ascii="黑体" w:hAnsi="黑体" w:eastAsia="黑体"/>
          <w:color w:val="000000"/>
          <w:sz w:val="48"/>
          <w:szCs w:val="48"/>
        </w:rPr>
        <w:t>目录</w:t>
      </w:r>
    </w:p>
    <w:p w14:paraId="2566320A">
      <w:pPr>
        <w:pStyle w:val="15"/>
        <w:jc w:val="center"/>
        <w:rPr>
          <w:rFonts w:hint="eastAsia" w:ascii="仿宋" w:hAnsi="仿宋" w:eastAsia="仿宋" w:cs="仿宋"/>
          <w:b w:val="0"/>
          <w:bCs w:val="0"/>
          <w:sz w:val="32"/>
          <w:szCs w:val="32"/>
        </w:rPr>
      </w:pPr>
      <w:r>
        <w:rPr>
          <w:rFonts w:hint="eastAsia" w:ascii="仿宋" w:hAnsi="仿宋" w:eastAsia="仿宋" w:cs="仿宋"/>
          <w:b w:val="0"/>
          <w:bCs w:val="0"/>
          <w:sz w:val="32"/>
          <w:szCs w:val="32"/>
        </w:rPr>
        <w:t>公开时间：202</w:t>
      </w:r>
      <w:r>
        <w:rPr>
          <w:rFonts w:hint="eastAsia" w:ascii="仿宋" w:hAnsi="仿宋" w:eastAsia="仿宋" w:cs="仿宋"/>
          <w:b w:val="0"/>
          <w:bCs w:val="0"/>
          <w:sz w:val="32"/>
          <w:szCs w:val="32"/>
          <w:lang w:val="en-US" w:eastAsia="zh-CN"/>
        </w:rPr>
        <w:t>6</w:t>
      </w:r>
      <w:r>
        <w:rPr>
          <w:rFonts w:hint="eastAsia" w:ascii="仿宋" w:hAnsi="仿宋" w:eastAsia="仿宋" w:cs="仿宋"/>
          <w:b w:val="0"/>
          <w:bCs w:val="0"/>
          <w:sz w:val="32"/>
          <w:szCs w:val="32"/>
        </w:rPr>
        <w:t>年 9月</w:t>
      </w:r>
      <w:r>
        <w:rPr>
          <w:rFonts w:hint="eastAsia" w:ascii="仿宋" w:hAnsi="仿宋" w:eastAsia="仿宋" w:cs="仿宋"/>
          <w:b w:val="0"/>
          <w:bCs w:val="0"/>
          <w:sz w:val="32"/>
          <w:szCs w:val="32"/>
          <w:lang w:val="en-US" w:eastAsia="zh-CN"/>
        </w:rPr>
        <w:t>2</w:t>
      </w:r>
      <w:r>
        <w:rPr>
          <w:rFonts w:hint="eastAsia" w:ascii="仿宋" w:hAnsi="仿宋" w:eastAsia="仿宋" w:cs="仿宋"/>
          <w:b w:val="0"/>
          <w:bCs w:val="0"/>
          <w:sz w:val="32"/>
          <w:szCs w:val="32"/>
        </w:rPr>
        <w:t xml:space="preserve"> 日</w:t>
      </w:r>
    </w:p>
    <w:p w14:paraId="77DE1A05">
      <w:pPr>
        <w:pStyle w:val="15"/>
        <w:tabs>
          <w:tab w:val="right" w:leader="dot" w:pos="8296"/>
        </w:tabs>
        <w:rPr>
          <w:rFonts w:hint="eastAsia" w:ascii="仿宋" w:hAnsi="仿宋" w:eastAsia="仿宋" w:cs="仿宋"/>
          <w:b w:val="0"/>
          <w:bCs w:val="0"/>
          <w:caps w:val="0"/>
          <w:sz w:val="32"/>
          <w:szCs w:val="32"/>
          <w:lang w:eastAsia="zh-CN"/>
        </w:rPr>
      </w:pPr>
      <w:r>
        <w:rPr>
          <w:rFonts w:hint="eastAsia" w:ascii="仿宋" w:hAnsi="仿宋" w:eastAsia="仿宋" w:cs="仿宋"/>
          <w:b w:val="0"/>
          <w:bCs w:val="0"/>
          <w:caps w:val="0"/>
          <w:sz w:val="32"/>
          <w:szCs w:val="32"/>
        </w:rPr>
        <w:fldChar w:fldCharType="begin"/>
      </w:r>
      <w:r>
        <w:rPr>
          <w:rFonts w:hint="eastAsia" w:ascii="仿宋" w:hAnsi="仿宋" w:eastAsia="仿宋" w:cs="仿宋"/>
          <w:b w:val="0"/>
          <w:bCs w:val="0"/>
          <w:caps w:val="0"/>
          <w:sz w:val="32"/>
          <w:szCs w:val="32"/>
        </w:rPr>
        <w:instrText xml:space="preserve"> TOC \o \u </w:instrText>
      </w:r>
      <w:r>
        <w:rPr>
          <w:rFonts w:hint="eastAsia" w:ascii="仿宋" w:hAnsi="仿宋" w:eastAsia="仿宋" w:cs="仿宋"/>
          <w:b w:val="0"/>
          <w:bCs w:val="0"/>
          <w:caps w:val="0"/>
          <w:sz w:val="32"/>
          <w:szCs w:val="32"/>
        </w:rPr>
        <w:fldChar w:fldCharType="separate"/>
      </w:r>
      <w:r>
        <w:rPr>
          <w:rFonts w:hint="eastAsia" w:ascii="黑体" w:hAnsi="黑体" w:eastAsia="黑体" w:cs="黑体"/>
          <w:b w:val="0"/>
          <w:sz w:val="32"/>
          <w:szCs w:val="32"/>
        </w:rPr>
        <w:t xml:space="preserve">第一部分 </w:t>
      </w:r>
      <w:r>
        <w:rPr>
          <w:rFonts w:hint="eastAsia" w:ascii="黑体" w:hAnsi="黑体" w:eastAsia="黑体" w:cs="黑体"/>
          <w:b w:val="0"/>
          <w:bCs w:val="0"/>
          <w:sz w:val="32"/>
          <w:szCs w:val="32"/>
        </w:rPr>
        <w:t>部门概况</w:t>
      </w:r>
      <w:r>
        <w:rPr>
          <w:rFonts w:hint="eastAsia" w:ascii="仿宋" w:hAnsi="仿宋" w:eastAsia="仿宋" w:cs="仿宋"/>
          <w:sz w:val="32"/>
          <w:szCs w:val="32"/>
        </w:rPr>
        <w:tab/>
      </w:r>
      <w:r>
        <w:rPr>
          <w:rFonts w:hint="eastAsia" w:ascii="仿宋" w:hAnsi="仿宋" w:eastAsia="仿宋" w:cs="仿宋"/>
          <w:b w:val="0"/>
          <w:bCs w:val="0"/>
          <w:sz w:val="32"/>
          <w:szCs w:val="32"/>
          <w:lang w:val="en-US" w:eastAsia="zh-CN"/>
        </w:rPr>
        <w:t>5</w:t>
      </w:r>
    </w:p>
    <w:p w14:paraId="722A5A63">
      <w:pPr>
        <w:pStyle w:val="18"/>
        <w:tabs>
          <w:tab w:val="right" w:leader="dot" w:pos="8296"/>
        </w:tabs>
        <w:rPr>
          <w:rFonts w:hint="eastAsia" w:ascii="仿宋" w:hAnsi="仿宋" w:eastAsia="仿宋" w:cs="仿宋"/>
          <w:smallCaps w:val="0"/>
          <w:sz w:val="32"/>
          <w:szCs w:val="32"/>
          <w:lang w:eastAsia="zh-CN"/>
        </w:rPr>
      </w:pPr>
      <w:r>
        <w:rPr>
          <w:rFonts w:hint="eastAsia" w:ascii="仿宋" w:hAnsi="仿宋" w:eastAsia="仿宋" w:cs="仿宋"/>
          <w:color w:val="000000"/>
          <w:sz w:val="32"/>
          <w:szCs w:val="32"/>
        </w:rPr>
        <w:t>一、</w:t>
      </w:r>
      <w:r>
        <w:rPr>
          <w:rFonts w:hint="eastAsia" w:ascii="仿宋" w:hAnsi="仿宋" w:eastAsia="仿宋" w:cs="仿宋"/>
          <w:color w:val="000000"/>
          <w:sz w:val="32"/>
          <w:szCs w:val="32"/>
          <w:lang w:val="en-US" w:eastAsia="zh-CN"/>
        </w:rPr>
        <w:t>部门职责</w:t>
      </w:r>
      <w:r>
        <w:rPr>
          <w:rFonts w:hint="eastAsia" w:ascii="仿宋" w:hAnsi="仿宋" w:eastAsia="仿宋" w:cs="仿宋"/>
          <w:sz w:val="32"/>
          <w:szCs w:val="32"/>
        </w:rPr>
        <w:tab/>
      </w:r>
      <w:r>
        <w:rPr>
          <w:rFonts w:hint="eastAsia" w:ascii="仿宋" w:hAnsi="仿宋" w:eastAsia="仿宋" w:cs="仿宋"/>
          <w:sz w:val="32"/>
          <w:szCs w:val="32"/>
          <w:lang w:val="en-US" w:eastAsia="zh-CN"/>
        </w:rPr>
        <w:t>5</w:t>
      </w:r>
    </w:p>
    <w:p w14:paraId="3BFEA4C7">
      <w:pPr>
        <w:pStyle w:val="18"/>
        <w:tabs>
          <w:tab w:val="right" w:leader="dot" w:pos="8296"/>
        </w:tabs>
        <w:rPr>
          <w:rFonts w:hint="eastAsia" w:ascii="仿宋" w:hAnsi="仿宋" w:eastAsia="仿宋" w:cs="仿宋"/>
          <w:smallCaps w:val="0"/>
          <w:sz w:val="32"/>
          <w:szCs w:val="32"/>
          <w:lang w:val="en-US" w:eastAsia="zh-CN"/>
        </w:rPr>
      </w:pPr>
      <w:r>
        <w:rPr>
          <w:rFonts w:hint="eastAsia" w:ascii="仿宋" w:hAnsi="仿宋" w:eastAsia="仿宋" w:cs="仿宋"/>
          <w:color w:val="000000"/>
          <w:sz w:val="32"/>
          <w:szCs w:val="32"/>
        </w:rPr>
        <w:t>二、机</w:t>
      </w:r>
      <w:r>
        <w:rPr>
          <w:rFonts w:hint="eastAsia" w:ascii="仿宋" w:hAnsi="仿宋" w:eastAsia="仿宋" w:cs="仿宋"/>
          <w:sz w:val="32"/>
          <w:szCs w:val="32"/>
        </w:rPr>
        <w:t>构设置</w:t>
      </w:r>
      <w:r>
        <w:rPr>
          <w:rFonts w:hint="eastAsia" w:ascii="仿宋" w:hAnsi="仿宋" w:eastAsia="仿宋" w:cs="仿宋"/>
          <w:sz w:val="32"/>
          <w:szCs w:val="32"/>
        </w:rPr>
        <w:tab/>
      </w:r>
      <w:r>
        <w:rPr>
          <w:rFonts w:hint="eastAsia" w:ascii="仿宋" w:hAnsi="仿宋" w:eastAsia="仿宋" w:cs="仿宋"/>
          <w:sz w:val="32"/>
          <w:szCs w:val="32"/>
          <w:lang w:val="en-US" w:eastAsia="zh-CN"/>
        </w:rPr>
        <w:t>6</w:t>
      </w:r>
    </w:p>
    <w:p w14:paraId="6B39B7A7">
      <w:pPr>
        <w:pStyle w:val="15"/>
        <w:tabs>
          <w:tab w:val="right" w:leader="dot" w:pos="8296"/>
        </w:tabs>
        <w:rPr>
          <w:rFonts w:hint="eastAsia" w:ascii="仿宋" w:hAnsi="仿宋" w:eastAsia="仿宋" w:cs="仿宋"/>
          <w:b w:val="0"/>
          <w:bCs w:val="0"/>
          <w:caps w:val="0"/>
          <w:sz w:val="32"/>
          <w:szCs w:val="32"/>
          <w:lang w:val="en-US" w:eastAsia="zh-CN"/>
        </w:rPr>
      </w:pPr>
      <w:r>
        <w:rPr>
          <w:rFonts w:hint="eastAsia" w:ascii="黑体" w:hAnsi="黑体" w:eastAsia="黑体" w:cs="黑体"/>
          <w:b w:val="0"/>
          <w:color w:val="000000"/>
          <w:sz w:val="32"/>
          <w:szCs w:val="32"/>
        </w:rPr>
        <w:t>第二部分</w:t>
      </w:r>
      <w:r>
        <w:rPr>
          <w:rFonts w:hint="eastAsia" w:ascii="黑体" w:hAnsi="黑体" w:eastAsia="黑体" w:cs="黑体"/>
          <w:color w:val="000000"/>
          <w:sz w:val="32"/>
          <w:szCs w:val="32"/>
        </w:rPr>
        <w:t xml:space="preserve"> </w:t>
      </w:r>
      <w:r>
        <w:rPr>
          <w:rFonts w:hint="eastAsia" w:ascii="黑体" w:hAnsi="黑体" w:eastAsia="黑体" w:cs="黑体"/>
          <w:b w:val="0"/>
          <w:bCs w:val="0"/>
          <w:sz w:val="32"/>
          <w:szCs w:val="32"/>
          <w:lang w:eastAsia="zh-CN"/>
        </w:rPr>
        <w:t>202</w:t>
      </w:r>
      <w:r>
        <w:rPr>
          <w:rFonts w:hint="eastAsia" w:ascii="黑体" w:hAnsi="黑体" w:eastAsia="黑体" w:cs="黑体"/>
          <w:b w:val="0"/>
          <w:bCs w:val="0"/>
          <w:sz w:val="32"/>
          <w:szCs w:val="32"/>
          <w:lang w:val="en-US" w:eastAsia="zh-CN"/>
        </w:rPr>
        <w:t>5</w:t>
      </w:r>
      <w:r>
        <w:rPr>
          <w:rFonts w:hint="eastAsia" w:ascii="黑体" w:hAnsi="黑体" w:eastAsia="黑体" w:cs="黑体"/>
          <w:b w:val="0"/>
          <w:bCs w:val="0"/>
          <w:sz w:val="32"/>
          <w:szCs w:val="32"/>
        </w:rPr>
        <w:t>年度部门决算情况说明</w:t>
      </w:r>
      <w:r>
        <w:rPr>
          <w:rFonts w:hint="eastAsia" w:ascii="仿宋" w:hAnsi="仿宋" w:eastAsia="仿宋" w:cs="仿宋"/>
          <w:sz w:val="32"/>
          <w:szCs w:val="32"/>
        </w:rPr>
        <w:tab/>
      </w:r>
      <w:r>
        <w:rPr>
          <w:rFonts w:hint="eastAsia" w:ascii="仿宋" w:hAnsi="仿宋" w:eastAsia="仿宋" w:cs="仿宋"/>
          <w:sz w:val="32"/>
          <w:szCs w:val="32"/>
          <w:lang w:val="en-US" w:eastAsia="zh-CN"/>
        </w:rPr>
        <w:t>7</w:t>
      </w:r>
    </w:p>
    <w:p w14:paraId="1183F2BC">
      <w:pPr>
        <w:pStyle w:val="18"/>
        <w:tabs>
          <w:tab w:val="left" w:pos="840"/>
          <w:tab w:val="right" w:leader="dot" w:pos="8296"/>
        </w:tabs>
        <w:rPr>
          <w:rFonts w:hint="eastAsia" w:ascii="仿宋" w:hAnsi="仿宋" w:eastAsia="仿宋" w:cs="仿宋"/>
          <w:smallCaps w:val="0"/>
          <w:sz w:val="32"/>
          <w:szCs w:val="32"/>
          <w:lang w:val="en-US" w:eastAsia="zh-CN"/>
        </w:rPr>
      </w:pPr>
      <w:r>
        <w:rPr>
          <w:rFonts w:hint="eastAsia" w:ascii="仿宋" w:hAnsi="仿宋" w:eastAsia="仿宋" w:cs="仿宋"/>
          <w:bCs/>
          <w:sz w:val="32"/>
          <w:szCs w:val="32"/>
        </w:rPr>
        <w:t>一、</w:t>
      </w:r>
      <w:r>
        <w:rPr>
          <w:rFonts w:hint="eastAsia" w:ascii="仿宋" w:hAnsi="仿宋" w:eastAsia="仿宋" w:cs="仿宋"/>
          <w:color w:val="000000"/>
          <w:sz w:val="32"/>
          <w:szCs w:val="32"/>
        </w:rPr>
        <w:t>收</w:t>
      </w:r>
      <w:r>
        <w:rPr>
          <w:rFonts w:hint="eastAsia" w:ascii="仿宋" w:hAnsi="仿宋" w:eastAsia="仿宋" w:cs="仿宋"/>
          <w:bCs/>
          <w:sz w:val="32"/>
          <w:szCs w:val="32"/>
        </w:rPr>
        <w:t>入支出决算总体情况说明</w:t>
      </w:r>
      <w:r>
        <w:rPr>
          <w:rFonts w:hint="eastAsia" w:ascii="仿宋" w:hAnsi="仿宋" w:eastAsia="仿宋" w:cs="仿宋"/>
          <w:sz w:val="32"/>
          <w:szCs w:val="32"/>
        </w:rPr>
        <w:tab/>
      </w:r>
      <w:r>
        <w:rPr>
          <w:rFonts w:hint="eastAsia" w:ascii="仿宋" w:hAnsi="仿宋" w:eastAsia="仿宋" w:cs="仿宋"/>
          <w:sz w:val="32"/>
          <w:szCs w:val="32"/>
          <w:lang w:val="en-US" w:eastAsia="zh-CN"/>
        </w:rPr>
        <w:t>7</w:t>
      </w:r>
    </w:p>
    <w:p w14:paraId="4C644980">
      <w:pPr>
        <w:pStyle w:val="18"/>
        <w:tabs>
          <w:tab w:val="left" w:pos="840"/>
          <w:tab w:val="right" w:leader="dot" w:pos="8296"/>
        </w:tabs>
        <w:rPr>
          <w:rFonts w:hint="eastAsia" w:ascii="仿宋" w:hAnsi="仿宋" w:eastAsia="仿宋" w:cs="仿宋"/>
          <w:smallCaps w:val="0"/>
          <w:sz w:val="32"/>
          <w:szCs w:val="32"/>
          <w:lang w:val="en-US" w:eastAsia="zh-CN"/>
        </w:rPr>
      </w:pPr>
      <w:r>
        <w:rPr>
          <w:rFonts w:hint="eastAsia" w:ascii="仿宋" w:hAnsi="仿宋" w:eastAsia="仿宋" w:cs="仿宋"/>
          <w:bCs/>
          <w:sz w:val="32"/>
          <w:szCs w:val="32"/>
        </w:rPr>
        <w:t>二、</w:t>
      </w:r>
      <w:r>
        <w:rPr>
          <w:rFonts w:hint="eastAsia" w:ascii="仿宋" w:hAnsi="仿宋" w:eastAsia="仿宋" w:cs="仿宋"/>
          <w:color w:val="000000"/>
          <w:sz w:val="32"/>
          <w:szCs w:val="32"/>
        </w:rPr>
        <w:t>收</w:t>
      </w:r>
      <w:r>
        <w:rPr>
          <w:rFonts w:hint="eastAsia" w:ascii="仿宋" w:hAnsi="仿宋" w:eastAsia="仿宋" w:cs="仿宋"/>
          <w:bCs/>
          <w:sz w:val="32"/>
          <w:szCs w:val="32"/>
        </w:rPr>
        <w:t>入决算情况说明</w:t>
      </w:r>
      <w:r>
        <w:rPr>
          <w:rFonts w:hint="eastAsia" w:ascii="仿宋" w:hAnsi="仿宋" w:eastAsia="仿宋" w:cs="仿宋"/>
          <w:smallCaps w:val="0"/>
          <w:sz w:val="32"/>
          <w:szCs w:val="32"/>
        </w:rPr>
        <w:tab/>
      </w:r>
      <w:r>
        <w:rPr>
          <w:rFonts w:hint="eastAsia" w:ascii="仿宋" w:hAnsi="仿宋" w:eastAsia="仿宋" w:cs="仿宋"/>
          <w:smallCaps w:val="0"/>
          <w:sz w:val="32"/>
          <w:szCs w:val="32"/>
          <w:lang w:val="en-US" w:eastAsia="zh-CN"/>
        </w:rPr>
        <w:t>7</w:t>
      </w:r>
    </w:p>
    <w:p w14:paraId="5D1BD3A7">
      <w:pPr>
        <w:pStyle w:val="18"/>
        <w:tabs>
          <w:tab w:val="left" w:pos="840"/>
          <w:tab w:val="right" w:leader="dot" w:pos="8296"/>
        </w:tabs>
        <w:rPr>
          <w:rFonts w:hint="eastAsia" w:ascii="仿宋" w:hAnsi="仿宋" w:eastAsia="仿宋" w:cs="仿宋"/>
          <w:smallCaps w:val="0"/>
          <w:sz w:val="32"/>
          <w:szCs w:val="32"/>
          <w:lang w:val="en-US" w:eastAsia="zh-CN"/>
        </w:rPr>
      </w:pPr>
      <w:r>
        <w:rPr>
          <w:rFonts w:hint="eastAsia" w:ascii="仿宋" w:hAnsi="仿宋" w:eastAsia="仿宋" w:cs="仿宋"/>
          <w:bCs/>
          <w:sz w:val="32"/>
          <w:szCs w:val="32"/>
        </w:rPr>
        <w:t>三、</w:t>
      </w:r>
      <w:r>
        <w:rPr>
          <w:rFonts w:hint="eastAsia" w:ascii="仿宋" w:hAnsi="仿宋" w:eastAsia="仿宋" w:cs="仿宋"/>
          <w:color w:val="000000"/>
          <w:sz w:val="32"/>
          <w:szCs w:val="32"/>
        </w:rPr>
        <w:t>支</w:t>
      </w:r>
      <w:r>
        <w:rPr>
          <w:rFonts w:hint="eastAsia" w:ascii="仿宋" w:hAnsi="仿宋" w:eastAsia="仿宋" w:cs="仿宋"/>
          <w:bCs/>
          <w:sz w:val="32"/>
          <w:szCs w:val="32"/>
        </w:rPr>
        <w:t>出决算情况说明</w:t>
      </w:r>
      <w:r>
        <w:rPr>
          <w:rFonts w:hint="eastAsia" w:ascii="仿宋" w:hAnsi="仿宋" w:eastAsia="仿宋" w:cs="仿宋"/>
          <w:sz w:val="32"/>
          <w:szCs w:val="32"/>
        </w:rPr>
        <w:tab/>
      </w:r>
      <w:r>
        <w:rPr>
          <w:rFonts w:hint="eastAsia" w:ascii="仿宋" w:hAnsi="仿宋" w:eastAsia="仿宋" w:cs="仿宋"/>
          <w:sz w:val="32"/>
          <w:szCs w:val="32"/>
          <w:lang w:val="en-US" w:eastAsia="zh-CN"/>
        </w:rPr>
        <w:t>7</w:t>
      </w:r>
    </w:p>
    <w:p w14:paraId="3DED9EBC">
      <w:pPr>
        <w:pStyle w:val="18"/>
        <w:tabs>
          <w:tab w:val="right" w:leader="dot" w:pos="8296"/>
        </w:tabs>
        <w:rPr>
          <w:rFonts w:hint="eastAsia" w:ascii="仿宋" w:hAnsi="仿宋" w:eastAsia="仿宋" w:cs="仿宋"/>
          <w:smallCaps w:val="0"/>
          <w:sz w:val="32"/>
          <w:szCs w:val="32"/>
          <w:lang w:val="en-US" w:eastAsia="zh-CN"/>
        </w:rPr>
      </w:pPr>
      <w:r>
        <w:rPr>
          <w:rFonts w:hint="eastAsia" w:ascii="仿宋" w:hAnsi="仿宋" w:eastAsia="仿宋" w:cs="仿宋"/>
          <w:color w:val="000000"/>
          <w:sz w:val="32"/>
          <w:szCs w:val="32"/>
        </w:rPr>
        <w:t>四、财</w:t>
      </w:r>
      <w:r>
        <w:rPr>
          <w:rFonts w:hint="eastAsia" w:ascii="仿宋" w:hAnsi="仿宋" w:eastAsia="仿宋" w:cs="仿宋"/>
          <w:bCs/>
          <w:sz w:val="32"/>
          <w:szCs w:val="32"/>
        </w:rPr>
        <w:t>政拨款收入支出决算总体情况说明</w:t>
      </w:r>
      <w:r>
        <w:rPr>
          <w:rFonts w:hint="eastAsia" w:ascii="仿宋" w:hAnsi="仿宋" w:eastAsia="仿宋" w:cs="仿宋"/>
          <w:sz w:val="32"/>
          <w:szCs w:val="32"/>
        </w:rPr>
        <w:tab/>
      </w:r>
      <w:r>
        <w:rPr>
          <w:rFonts w:hint="eastAsia" w:ascii="仿宋" w:hAnsi="仿宋" w:eastAsia="仿宋" w:cs="仿宋"/>
          <w:sz w:val="32"/>
          <w:szCs w:val="32"/>
          <w:lang w:val="en-US" w:eastAsia="zh-CN"/>
        </w:rPr>
        <w:t>7</w:t>
      </w:r>
    </w:p>
    <w:p w14:paraId="4C962915">
      <w:pPr>
        <w:pStyle w:val="18"/>
        <w:tabs>
          <w:tab w:val="right" w:leader="dot" w:pos="8296"/>
        </w:tabs>
        <w:rPr>
          <w:rFonts w:hint="eastAsia" w:ascii="仿宋" w:hAnsi="仿宋" w:eastAsia="仿宋" w:cs="仿宋"/>
          <w:smallCaps w:val="0"/>
          <w:sz w:val="32"/>
          <w:szCs w:val="32"/>
          <w:lang w:val="en-US" w:eastAsia="zh-CN"/>
        </w:rPr>
      </w:pPr>
      <w:r>
        <w:rPr>
          <w:rFonts w:hint="eastAsia" w:ascii="仿宋" w:hAnsi="仿宋" w:eastAsia="仿宋" w:cs="仿宋"/>
          <w:color w:val="000000"/>
          <w:sz w:val="32"/>
          <w:szCs w:val="32"/>
        </w:rPr>
        <w:t>五、</w:t>
      </w:r>
      <w:r>
        <w:rPr>
          <w:rFonts w:hint="eastAsia" w:ascii="仿宋" w:hAnsi="仿宋" w:eastAsia="仿宋" w:cs="仿宋"/>
          <w:b/>
          <w:color w:val="000000"/>
          <w:sz w:val="32"/>
          <w:szCs w:val="32"/>
        </w:rPr>
        <w:t>一</w:t>
      </w:r>
      <w:r>
        <w:rPr>
          <w:rFonts w:hint="eastAsia" w:ascii="仿宋" w:hAnsi="仿宋" w:eastAsia="仿宋" w:cs="仿宋"/>
          <w:bCs/>
          <w:sz w:val="32"/>
          <w:szCs w:val="32"/>
        </w:rPr>
        <w:t>般公共预算财政拨款支出决算情况说明</w:t>
      </w:r>
      <w:r>
        <w:rPr>
          <w:rFonts w:hint="eastAsia" w:ascii="仿宋" w:hAnsi="仿宋" w:eastAsia="仿宋" w:cs="仿宋"/>
          <w:sz w:val="32"/>
          <w:szCs w:val="32"/>
        </w:rPr>
        <w:tab/>
      </w:r>
      <w:r>
        <w:rPr>
          <w:rFonts w:hint="eastAsia" w:ascii="仿宋" w:hAnsi="仿宋" w:eastAsia="仿宋" w:cs="仿宋"/>
          <w:sz w:val="32"/>
          <w:szCs w:val="32"/>
          <w:lang w:val="en-US" w:eastAsia="zh-CN"/>
        </w:rPr>
        <w:t>8</w:t>
      </w:r>
    </w:p>
    <w:p w14:paraId="30F179B7">
      <w:pPr>
        <w:pStyle w:val="18"/>
        <w:tabs>
          <w:tab w:val="right" w:leader="dot" w:pos="8296"/>
        </w:tabs>
        <w:rPr>
          <w:rFonts w:hint="eastAsia" w:ascii="仿宋" w:hAnsi="仿宋" w:eastAsia="仿宋" w:cs="仿宋"/>
          <w:smallCaps w:val="0"/>
          <w:sz w:val="32"/>
          <w:szCs w:val="32"/>
          <w:lang w:val="en-US" w:eastAsia="zh-CN"/>
        </w:rPr>
      </w:pPr>
      <w:r>
        <w:rPr>
          <w:rFonts w:hint="eastAsia" w:ascii="仿宋" w:hAnsi="仿宋" w:eastAsia="仿宋" w:cs="仿宋"/>
          <w:color w:val="000000"/>
          <w:sz w:val="32"/>
          <w:szCs w:val="32"/>
        </w:rPr>
        <w:t>六</w:t>
      </w:r>
      <w:r>
        <w:rPr>
          <w:rFonts w:hint="eastAsia" w:ascii="仿宋" w:hAnsi="仿宋" w:eastAsia="仿宋" w:cs="仿宋"/>
          <w:b/>
          <w:color w:val="000000"/>
          <w:sz w:val="32"/>
          <w:szCs w:val="32"/>
        </w:rPr>
        <w:t>、一</w:t>
      </w:r>
      <w:r>
        <w:rPr>
          <w:rFonts w:hint="eastAsia" w:ascii="仿宋" w:hAnsi="仿宋" w:eastAsia="仿宋" w:cs="仿宋"/>
          <w:bCs/>
          <w:sz w:val="32"/>
          <w:szCs w:val="32"/>
        </w:rPr>
        <w:t>般公共预算财政拨款基本支出决算情况说明</w:t>
      </w:r>
      <w:r>
        <w:rPr>
          <w:rFonts w:hint="eastAsia" w:ascii="仿宋" w:hAnsi="仿宋" w:eastAsia="仿宋" w:cs="仿宋"/>
          <w:sz w:val="32"/>
          <w:szCs w:val="32"/>
        </w:rPr>
        <w:tab/>
      </w:r>
      <w:r>
        <w:rPr>
          <w:rFonts w:hint="eastAsia" w:ascii="仿宋" w:hAnsi="仿宋" w:eastAsia="仿宋" w:cs="仿宋"/>
          <w:sz w:val="32"/>
          <w:szCs w:val="32"/>
          <w:lang w:val="en-US" w:eastAsia="zh-CN"/>
        </w:rPr>
        <w:t>9</w:t>
      </w:r>
    </w:p>
    <w:p w14:paraId="0269DE80">
      <w:pPr>
        <w:pStyle w:val="18"/>
        <w:tabs>
          <w:tab w:val="right" w:leader="dot" w:pos="8296"/>
        </w:tabs>
        <w:rPr>
          <w:rFonts w:hint="default" w:ascii="仿宋" w:hAnsi="仿宋" w:eastAsia="仿宋" w:cs="仿宋"/>
          <w:smallCaps w:val="0"/>
          <w:sz w:val="32"/>
          <w:szCs w:val="32"/>
          <w:lang w:val="en-US" w:eastAsia="zh-CN"/>
        </w:rPr>
      </w:pPr>
      <w:r>
        <w:rPr>
          <w:rFonts w:hint="eastAsia" w:ascii="仿宋" w:hAnsi="仿宋" w:eastAsia="仿宋" w:cs="仿宋"/>
          <w:color w:val="000000"/>
          <w:sz w:val="32"/>
          <w:szCs w:val="32"/>
        </w:rPr>
        <w:t>七、</w:t>
      </w:r>
      <w:r>
        <w:rPr>
          <w:rFonts w:hint="eastAsia" w:ascii="仿宋" w:hAnsi="仿宋" w:eastAsia="仿宋" w:cs="仿宋"/>
          <w:bCs/>
          <w:sz w:val="32"/>
          <w:szCs w:val="32"/>
        </w:rPr>
        <w:t>“三公”经费财政拨款支出决算情况说明</w:t>
      </w:r>
      <w:r>
        <w:rPr>
          <w:rFonts w:hint="eastAsia" w:ascii="仿宋" w:hAnsi="仿宋" w:eastAsia="仿宋" w:cs="仿宋"/>
          <w:sz w:val="32"/>
          <w:szCs w:val="32"/>
        </w:rPr>
        <w:tab/>
      </w:r>
      <w:r>
        <w:rPr>
          <w:rFonts w:hint="eastAsia" w:ascii="仿宋" w:hAnsi="仿宋" w:eastAsia="仿宋" w:cs="仿宋"/>
          <w:sz w:val="32"/>
          <w:szCs w:val="32"/>
          <w:lang w:val="en-US" w:eastAsia="zh-CN"/>
        </w:rPr>
        <w:t>10</w:t>
      </w:r>
    </w:p>
    <w:p w14:paraId="43E44214">
      <w:pPr>
        <w:pStyle w:val="18"/>
        <w:tabs>
          <w:tab w:val="right" w:leader="dot" w:pos="8296"/>
        </w:tabs>
        <w:rPr>
          <w:rFonts w:hint="default" w:ascii="仿宋" w:hAnsi="仿宋" w:eastAsia="仿宋" w:cs="仿宋"/>
          <w:smallCaps w:val="0"/>
          <w:sz w:val="32"/>
          <w:szCs w:val="32"/>
          <w:lang w:val="en-US" w:eastAsia="zh-CN"/>
        </w:rPr>
      </w:pPr>
      <w:r>
        <w:rPr>
          <w:rFonts w:hint="eastAsia" w:ascii="仿宋" w:hAnsi="仿宋" w:eastAsia="仿宋" w:cs="仿宋"/>
          <w:color w:val="000000"/>
          <w:sz w:val="32"/>
          <w:szCs w:val="32"/>
        </w:rPr>
        <w:t>八、</w:t>
      </w:r>
      <w:r>
        <w:rPr>
          <w:rFonts w:hint="eastAsia" w:ascii="仿宋" w:hAnsi="仿宋" w:eastAsia="仿宋" w:cs="仿宋"/>
          <w:bCs/>
          <w:sz w:val="32"/>
          <w:szCs w:val="32"/>
        </w:rPr>
        <w:t>政府性基金预算支出决算情况说明</w:t>
      </w:r>
      <w:r>
        <w:rPr>
          <w:rFonts w:hint="eastAsia" w:ascii="仿宋" w:hAnsi="仿宋" w:eastAsia="仿宋" w:cs="仿宋"/>
          <w:sz w:val="32"/>
          <w:szCs w:val="32"/>
        </w:rPr>
        <w:tab/>
      </w:r>
      <w:r>
        <w:rPr>
          <w:rFonts w:hint="eastAsia" w:ascii="仿宋" w:hAnsi="仿宋" w:eastAsia="仿宋" w:cs="仿宋"/>
          <w:sz w:val="32"/>
          <w:szCs w:val="32"/>
          <w:lang w:val="en-US" w:eastAsia="zh-CN"/>
        </w:rPr>
        <w:t>11</w:t>
      </w:r>
    </w:p>
    <w:p w14:paraId="01A6432F">
      <w:pPr>
        <w:pStyle w:val="18"/>
        <w:tabs>
          <w:tab w:val="right" w:leader="dot" w:pos="8296"/>
        </w:tabs>
        <w:rPr>
          <w:rFonts w:hint="default" w:ascii="仿宋" w:hAnsi="仿宋" w:eastAsia="仿宋" w:cs="仿宋"/>
          <w:smallCaps w:val="0"/>
          <w:sz w:val="32"/>
          <w:szCs w:val="32"/>
          <w:lang w:val="en-US" w:eastAsia="zh-CN"/>
        </w:rPr>
      </w:pPr>
      <w:r>
        <w:rPr>
          <w:rFonts w:hint="eastAsia" w:ascii="仿宋" w:hAnsi="仿宋" w:eastAsia="仿宋" w:cs="仿宋"/>
          <w:bCs/>
          <w:sz w:val="32"/>
          <w:szCs w:val="32"/>
        </w:rPr>
        <w:t>九、 国有资本经营预算支出决算情况说明</w:t>
      </w:r>
      <w:r>
        <w:rPr>
          <w:rFonts w:hint="eastAsia" w:ascii="仿宋" w:hAnsi="仿宋" w:eastAsia="仿宋" w:cs="仿宋"/>
          <w:sz w:val="32"/>
          <w:szCs w:val="32"/>
        </w:rPr>
        <w:tab/>
      </w:r>
      <w:r>
        <w:rPr>
          <w:rFonts w:hint="eastAsia" w:ascii="仿宋" w:hAnsi="仿宋" w:eastAsia="仿宋" w:cs="仿宋"/>
          <w:sz w:val="32"/>
          <w:szCs w:val="32"/>
          <w:lang w:val="en-US" w:eastAsia="zh-CN"/>
        </w:rPr>
        <w:t>11</w:t>
      </w:r>
    </w:p>
    <w:p w14:paraId="5CBAB7BC">
      <w:pPr>
        <w:pStyle w:val="18"/>
        <w:tabs>
          <w:tab w:val="right" w:leader="dot" w:pos="8296"/>
        </w:tabs>
        <w:rPr>
          <w:rFonts w:hint="default" w:ascii="仿宋" w:hAnsi="仿宋" w:eastAsia="仿宋" w:cs="仿宋"/>
          <w:smallCaps w:val="0"/>
          <w:sz w:val="32"/>
          <w:szCs w:val="32"/>
          <w:lang w:val="en-US" w:eastAsia="zh-CN"/>
        </w:rPr>
      </w:pPr>
      <w:r>
        <w:rPr>
          <w:rFonts w:hint="eastAsia" w:ascii="仿宋" w:hAnsi="仿宋" w:eastAsia="仿宋" w:cs="仿宋"/>
          <w:color w:val="000000"/>
          <w:sz w:val="32"/>
          <w:szCs w:val="32"/>
        </w:rPr>
        <w:t>十</w:t>
      </w:r>
      <w:r>
        <w:rPr>
          <w:rFonts w:hint="eastAsia" w:ascii="仿宋" w:hAnsi="仿宋" w:eastAsia="仿宋" w:cs="仿宋"/>
          <w:b/>
          <w:bCs/>
          <w:sz w:val="32"/>
          <w:szCs w:val="32"/>
        </w:rPr>
        <w:t>、</w:t>
      </w:r>
      <w:r>
        <w:rPr>
          <w:rFonts w:hint="eastAsia" w:ascii="仿宋" w:hAnsi="仿宋" w:eastAsia="仿宋" w:cs="仿宋"/>
          <w:bCs/>
          <w:sz w:val="32"/>
          <w:szCs w:val="32"/>
        </w:rPr>
        <w:t>其他重要事项的情况说明</w:t>
      </w:r>
      <w:r>
        <w:rPr>
          <w:rFonts w:hint="eastAsia" w:ascii="仿宋" w:hAnsi="仿宋" w:eastAsia="仿宋" w:cs="仿宋"/>
          <w:sz w:val="32"/>
          <w:szCs w:val="32"/>
        </w:rPr>
        <w:tab/>
      </w:r>
      <w:r>
        <w:rPr>
          <w:rFonts w:hint="eastAsia" w:ascii="仿宋" w:hAnsi="仿宋" w:eastAsia="仿宋" w:cs="仿宋"/>
          <w:sz w:val="32"/>
          <w:szCs w:val="32"/>
          <w:lang w:val="en-US" w:eastAsia="zh-CN"/>
        </w:rPr>
        <w:t>11</w:t>
      </w:r>
    </w:p>
    <w:p w14:paraId="1EBC1626">
      <w:pPr>
        <w:pStyle w:val="15"/>
        <w:tabs>
          <w:tab w:val="right" w:leader="dot" w:pos="8296"/>
        </w:tabs>
        <w:rPr>
          <w:rFonts w:hint="default" w:ascii="仿宋" w:hAnsi="仿宋" w:eastAsia="仿宋" w:cs="仿宋"/>
          <w:b w:val="0"/>
          <w:bCs w:val="0"/>
          <w:caps w:val="0"/>
          <w:sz w:val="32"/>
          <w:szCs w:val="32"/>
          <w:lang w:val="en-US" w:eastAsia="zh-CN"/>
        </w:rPr>
      </w:pPr>
      <w:r>
        <w:rPr>
          <w:rFonts w:hint="eastAsia" w:ascii="黑体" w:hAnsi="黑体" w:eastAsia="黑体" w:cs="黑体"/>
          <w:b w:val="0"/>
          <w:bCs w:val="0"/>
          <w:kern w:val="44"/>
          <w:sz w:val="32"/>
          <w:szCs w:val="32"/>
        </w:rPr>
        <w:t>第三部分</w:t>
      </w:r>
      <w:r>
        <w:rPr>
          <w:rFonts w:hint="eastAsia" w:ascii="黑体" w:hAnsi="黑体" w:eastAsia="黑体" w:cs="黑体"/>
          <w:b w:val="0"/>
          <w:bCs w:val="0"/>
          <w:color w:val="000000"/>
          <w:sz w:val="32"/>
          <w:szCs w:val="32"/>
        </w:rPr>
        <w:t xml:space="preserve"> 名</w:t>
      </w:r>
      <w:r>
        <w:rPr>
          <w:rFonts w:hint="eastAsia" w:ascii="黑体" w:hAnsi="黑体" w:eastAsia="黑体" w:cs="黑体"/>
          <w:b w:val="0"/>
          <w:bCs w:val="0"/>
          <w:kern w:val="44"/>
          <w:sz w:val="32"/>
          <w:szCs w:val="32"/>
        </w:rPr>
        <w:t>词解释</w:t>
      </w:r>
      <w:r>
        <w:rPr>
          <w:rFonts w:hint="eastAsia" w:ascii="仿宋" w:hAnsi="仿宋" w:eastAsia="仿宋" w:cs="仿宋"/>
          <w:sz w:val="32"/>
          <w:szCs w:val="32"/>
        </w:rPr>
        <w:tab/>
      </w:r>
      <w:r>
        <w:rPr>
          <w:rFonts w:hint="eastAsia" w:ascii="仿宋" w:hAnsi="仿宋" w:eastAsia="仿宋" w:cs="仿宋"/>
          <w:b w:val="0"/>
          <w:bCs w:val="0"/>
          <w:sz w:val="32"/>
          <w:szCs w:val="32"/>
          <w:lang w:val="en-US" w:eastAsia="zh-CN"/>
        </w:rPr>
        <w:t>13</w:t>
      </w:r>
    </w:p>
    <w:p w14:paraId="2336F35B">
      <w:pPr>
        <w:pStyle w:val="15"/>
        <w:tabs>
          <w:tab w:val="right" w:leader="dot" w:pos="8296"/>
        </w:tabs>
        <w:rPr>
          <w:rFonts w:hint="default" w:ascii="仿宋" w:hAnsi="仿宋" w:eastAsia="仿宋" w:cs="仿宋"/>
          <w:b w:val="0"/>
          <w:bCs w:val="0"/>
          <w:caps w:val="0"/>
          <w:sz w:val="32"/>
          <w:szCs w:val="32"/>
          <w:lang w:val="en-US" w:eastAsia="zh-CN"/>
        </w:rPr>
      </w:pPr>
      <w:r>
        <w:rPr>
          <w:rFonts w:hint="eastAsia" w:ascii="黑体" w:hAnsi="黑体" w:eastAsia="黑体" w:cs="黑体"/>
          <w:b w:val="0"/>
          <w:bCs w:val="0"/>
          <w:color w:val="000000"/>
          <w:sz w:val="32"/>
          <w:szCs w:val="32"/>
        </w:rPr>
        <w:t>第</w:t>
      </w:r>
      <w:r>
        <w:rPr>
          <w:rFonts w:hint="eastAsia" w:ascii="黑体" w:hAnsi="黑体" w:eastAsia="黑体" w:cs="黑体"/>
          <w:b w:val="0"/>
          <w:bCs w:val="0"/>
          <w:kern w:val="44"/>
          <w:sz w:val="32"/>
          <w:szCs w:val="32"/>
        </w:rPr>
        <w:t>四部分 附件</w:t>
      </w:r>
      <w:r>
        <w:rPr>
          <w:rFonts w:hint="eastAsia" w:ascii="仿宋" w:hAnsi="仿宋" w:eastAsia="仿宋" w:cs="仿宋"/>
          <w:sz w:val="32"/>
          <w:szCs w:val="32"/>
        </w:rPr>
        <w:tab/>
      </w:r>
      <w:r>
        <w:rPr>
          <w:rFonts w:hint="eastAsia" w:ascii="仿宋" w:hAnsi="仿宋" w:eastAsia="仿宋" w:cs="仿宋"/>
          <w:b w:val="0"/>
          <w:bCs w:val="0"/>
          <w:sz w:val="32"/>
          <w:szCs w:val="32"/>
          <w:lang w:val="en-US" w:eastAsia="zh-CN"/>
        </w:rPr>
        <w:t>16</w:t>
      </w:r>
    </w:p>
    <w:p w14:paraId="691DFADD">
      <w:pPr>
        <w:pStyle w:val="15"/>
        <w:tabs>
          <w:tab w:val="right" w:leader="dot" w:pos="8296"/>
        </w:tabs>
        <w:rPr>
          <w:rFonts w:hint="default" w:ascii="仿宋" w:hAnsi="仿宋" w:eastAsia="仿宋" w:cs="仿宋"/>
          <w:b w:val="0"/>
          <w:bCs w:val="0"/>
          <w:caps w:val="0"/>
          <w:sz w:val="32"/>
          <w:szCs w:val="32"/>
          <w:lang w:val="en-US" w:eastAsia="zh-CN"/>
        </w:rPr>
      </w:pPr>
      <w:r>
        <w:rPr>
          <w:rFonts w:hint="eastAsia" w:ascii="黑体" w:hAnsi="黑体" w:eastAsia="黑体" w:cs="黑体"/>
          <w:b w:val="0"/>
          <w:bCs w:val="0"/>
          <w:kern w:val="44"/>
          <w:sz w:val="32"/>
          <w:szCs w:val="32"/>
        </w:rPr>
        <w:t>第五部分 附表</w:t>
      </w:r>
      <w:r>
        <w:rPr>
          <w:rFonts w:hint="eastAsia" w:ascii="仿宋" w:hAnsi="仿宋" w:eastAsia="仿宋" w:cs="仿宋"/>
          <w:sz w:val="32"/>
          <w:szCs w:val="32"/>
        </w:rPr>
        <w:tab/>
      </w:r>
      <w:r>
        <w:rPr>
          <w:rFonts w:hint="eastAsia" w:ascii="仿宋" w:hAnsi="仿宋" w:eastAsia="仿宋" w:cs="仿宋"/>
          <w:b w:val="0"/>
          <w:bCs w:val="0"/>
          <w:sz w:val="32"/>
          <w:szCs w:val="32"/>
          <w:lang w:val="en-US" w:eastAsia="zh-CN"/>
        </w:rPr>
        <w:t>52</w:t>
      </w:r>
    </w:p>
    <w:p w14:paraId="4904D7A8">
      <w:pPr>
        <w:pStyle w:val="18"/>
        <w:tabs>
          <w:tab w:val="right" w:leader="dot" w:pos="8296"/>
        </w:tabs>
        <w:rPr>
          <w:rFonts w:hint="default" w:ascii="仿宋" w:hAnsi="仿宋" w:eastAsia="仿宋" w:cs="仿宋"/>
          <w:smallCaps w:val="0"/>
          <w:sz w:val="32"/>
          <w:szCs w:val="32"/>
          <w:lang w:val="en-US" w:eastAsia="zh-CN"/>
        </w:rPr>
      </w:pPr>
      <w:r>
        <w:rPr>
          <w:rFonts w:hint="eastAsia" w:ascii="仿宋" w:hAnsi="仿宋" w:eastAsia="仿宋" w:cs="仿宋"/>
          <w:color w:val="000000"/>
          <w:sz w:val="32"/>
          <w:szCs w:val="32"/>
        </w:rPr>
        <w:t>一、收</w:t>
      </w:r>
      <w:r>
        <w:rPr>
          <w:rFonts w:hint="eastAsia" w:ascii="仿宋" w:hAnsi="仿宋" w:eastAsia="仿宋" w:cs="仿宋"/>
          <w:sz w:val="32"/>
          <w:szCs w:val="32"/>
        </w:rPr>
        <w:t>入支出决算总表</w:t>
      </w:r>
      <w:r>
        <w:rPr>
          <w:rFonts w:hint="eastAsia" w:ascii="仿宋" w:hAnsi="仿宋" w:eastAsia="仿宋" w:cs="仿宋"/>
          <w:sz w:val="32"/>
          <w:szCs w:val="32"/>
        </w:rPr>
        <w:tab/>
      </w:r>
      <w:r>
        <w:rPr>
          <w:rFonts w:hint="eastAsia" w:ascii="仿宋" w:hAnsi="仿宋" w:eastAsia="仿宋" w:cs="仿宋"/>
          <w:sz w:val="32"/>
          <w:szCs w:val="32"/>
          <w:lang w:val="en-US" w:eastAsia="zh-CN"/>
        </w:rPr>
        <w:t>52</w:t>
      </w:r>
    </w:p>
    <w:p w14:paraId="3CA40C0E">
      <w:pPr>
        <w:pStyle w:val="18"/>
        <w:tabs>
          <w:tab w:val="right" w:leader="dot" w:pos="8296"/>
        </w:tabs>
        <w:rPr>
          <w:rFonts w:hint="default" w:ascii="仿宋" w:hAnsi="仿宋" w:eastAsia="仿宋" w:cs="仿宋"/>
          <w:smallCaps w:val="0"/>
          <w:sz w:val="32"/>
          <w:szCs w:val="32"/>
          <w:lang w:val="en-US" w:eastAsia="zh-CN"/>
        </w:rPr>
      </w:pPr>
      <w:r>
        <w:rPr>
          <w:rFonts w:hint="eastAsia" w:ascii="仿宋" w:hAnsi="仿宋" w:eastAsia="仿宋" w:cs="仿宋"/>
          <w:color w:val="000000"/>
          <w:sz w:val="32"/>
          <w:szCs w:val="32"/>
        </w:rPr>
        <w:t>二、收</w:t>
      </w:r>
      <w:r>
        <w:rPr>
          <w:rFonts w:hint="eastAsia" w:ascii="仿宋" w:hAnsi="仿宋" w:eastAsia="仿宋" w:cs="仿宋"/>
          <w:sz w:val="32"/>
          <w:szCs w:val="32"/>
        </w:rPr>
        <w:t>入决算表</w:t>
      </w:r>
      <w:r>
        <w:rPr>
          <w:rFonts w:hint="eastAsia" w:ascii="仿宋" w:hAnsi="仿宋" w:eastAsia="仿宋" w:cs="仿宋"/>
          <w:sz w:val="32"/>
          <w:szCs w:val="32"/>
        </w:rPr>
        <w:tab/>
      </w:r>
      <w:r>
        <w:rPr>
          <w:rFonts w:hint="eastAsia" w:ascii="仿宋" w:hAnsi="仿宋" w:eastAsia="仿宋" w:cs="仿宋"/>
          <w:sz w:val="32"/>
          <w:szCs w:val="32"/>
          <w:lang w:val="en-US" w:eastAsia="zh-CN"/>
        </w:rPr>
        <w:t>52</w:t>
      </w:r>
    </w:p>
    <w:p w14:paraId="48A4AEF6">
      <w:pPr>
        <w:pStyle w:val="18"/>
        <w:tabs>
          <w:tab w:val="right" w:leader="dot" w:pos="8296"/>
        </w:tabs>
        <w:rPr>
          <w:rFonts w:hint="default" w:ascii="仿宋" w:hAnsi="仿宋" w:eastAsia="仿宋" w:cs="仿宋"/>
          <w:smallCaps w:val="0"/>
          <w:sz w:val="32"/>
          <w:szCs w:val="32"/>
          <w:lang w:val="en-US" w:eastAsia="zh-CN"/>
        </w:rPr>
      </w:pPr>
      <w:r>
        <w:rPr>
          <w:rFonts w:hint="eastAsia" w:ascii="仿宋" w:hAnsi="仿宋" w:eastAsia="仿宋" w:cs="仿宋"/>
          <w:sz w:val="32"/>
          <w:szCs w:val="32"/>
        </w:rPr>
        <w:t>三、</w:t>
      </w:r>
      <w:r>
        <w:rPr>
          <w:rFonts w:hint="eastAsia" w:ascii="仿宋" w:hAnsi="仿宋" w:eastAsia="仿宋" w:cs="仿宋"/>
          <w:color w:val="000000"/>
          <w:sz w:val="32"/>
          <w:szCs w:val="32"/>
        </w:rPr>
        <w:t>支</w:t>
      </w:r>
      <w:r>
        <w:rPr>
          <w:rFonts w:hint="eastAsia" w:ascii="仿宋" w:hAnsi="仿宋" w:eastAsia="仿宋" w:cs="仿宋"/>
          <w:sz w:val="32"/>
          <w:szCs w:val="32"/>
        </w:rPr>
        <w:t>出决算表</w:t>
      </w:r>
      <w:r>
        <w:rPr>
          <w:rFonts w:hint="eastAsia" w:ascii="仿宋" w:hAnsi="仿宋" w:eastAsia="仿宋" w:cs="仿宋"/>
          <w:sz w:val="32"/>
          <w:szCs w:val="32"/>
        </w:rPr>
        <w:tab/>
      </w:r>
      <w:r>
        <w:rPr>
          <w:rFonts w:hint="eastAsia" w:ascii="仿宋" w:hAnsi="仿宋" w:eastAsia="仿宋" w:cs="仿宋"/>
          <w:sz w:val="32"/>
          <w:szCs w:val="32"/>
          <w:lang w:val="en-US" w:eastAsia="zh-CN"/>
        </w:rPr>
        <w:t>52</w:t>
      </w:r>
    </w:p>
    <w:p w14:paraId="76ED6A66">
      <w:pPr>
        <w:pStyle w:val="18"/>
        <w:tabs>
          <w:tab w:val="right" w:leader="dot" w:pos="8296"/>
        </w:tabs>
        <w:rPr>
          <w:rFonts w:hint="default" w:ascii="仿宋" w:hAnsi="仿宋" w:eastAsia="仿宋" w:cs="仿宋"/>
          <w:smallCaps w:val="0"/>
          <w:sz w:val="32"/>
          <w:szCs w:val="32"/>
          <w:lang w:val="en-US" w:eastAsia="zh-CN"/>
        </w:rPr>
      </w:pPr>
      <w:r>
        <w:rPr>
          <w:rFonts w:hint="eastAsia" w:ascii="仿宋" w:hAnsi="仿宋" w:eastAsia="仿宋" w:cs="仿宋"/>
          <w:sz w:val="32"/>
          <w:szCs w:val="32"/>
        </w:rPr>
        <w:t>四、</w:t>
      </w:r>
      <w:r>
        <w:rPr>
          <w:rFonts w:hint="eastAsia" w:ascii="仿宋" w:hAnsi="仿宋" w:eastAsia="仿宋" w:cs="仿宋"/>
          <w:color w:val="000000"/>
          <w:sz w:val="32"/>
          <w:szCs w:val="32"/>
        </w:rPr>
        <w:t>财</w:t>
      </w:r>
      <w:r>
        <w:rPr>
          <w:rFonts w:hint="eastAsia" w:ascii="仿宋" w:hAnsi="仿宋" w:eastAsia="仿宋" w:cs="仿宋"/>
          <w:sz w:val="32"/>
          <w:szCs w:val="32"/>
        </w:rPr>
        <w:t>政拨款收入支出决算总表</w:t>
      </w:r>
      <w:r>
        <w:rPr>
          <w:rFonts w:hint="eastAsia" w:ascii="仿宋" w:hAnsi="仿宋" w:eastAsia="仿宋" w:cs="仿宋"/>
          <w:sz w:val="32"/>
          <w:szCs w:val="32"/>
        </w:rPr>
        <w:tab/>
      </w:r>
      <w:r>
        <w:rPr>
          <w:rFonts w:hint="eastAsia" w:ascii="仿宋" w:hAnsi="仿宋" w:eastAsia="仿宋" w:cs="仿宋"/>
          <w:sz w:val="32"/>
          <w:szCs w:val="32"/>
          <w:lang w:val="en-US" w:eastAsia="zh-CN"/>
        </w:rPr>
        <w:t>52</w:t>
      </w:r>
    </w:p>
    <w:p w14:paraId="18FCCDD8">
      <w:pPr>
        <w:pStyle w:val="18"/>
        <w:tabs>
          <w:tab w:val="right" w:leader="dot" w:pos="8296"/>
        </w:tabs>
        <w:rPr>
          <w:rFonts w:hint="default" w:ascii="仿宋" w:hAnsi="仿宋" w:eastAsia="仿宋" w:cs="仿宋"/>
          <w:smallCaps w:val="0"/>
          <w:sz w:val="32"/>
          <w:szCs w:val="32"/>
          <w:lang w:val="en-US" w:eastAsia="zh-CN"/>
        </w:rPr>
      </w:pPr>
      <w:r>
        <w:rPr>
          <w:rFonts w:hint="eastAsia" w:ascii="仿宋" w:hAnsi="仿宋" w:eastAsia="仿宋" w:cs="仿宋"/>
          <w:sz w:val="32"/>
          <w:szCs w:val="32"/>
        </w:rPr>
        <w:t>五、</w:t>
      </w:r>
      <w:r>
        <w:rPr>
          <w:rFonts w:hint="eastAsia" w:ascii="仿宋" w:hAnsi="仿宋" w:eastAsia="仿宋" w:cs="仿宋"/>
          <w:color w:val="000000"/>
          <w:sz w:val="32"/>
          <w:szCs w:val="32"/>
        </w:rPr>
        <w:t>财</w:t>
      </w:r>
      <w:r>
        <w:rPr>
          <w:rFonts w:hint="eastAsia" w:ascii="仿宋" w:hAnsi="仿宋" w:eastAsia="仿宋" w:cs="仿宋"/>
          <w:sz w:val="32"/>
          <w:szCs w:val="32"/>
        </w:rPr>
        <w:t>政拨款支出决算明细表</w:t>
      </w:r>
      <w:r>
        <w:rPr>
          <w:rFonts w:hint="eastAsia" w:ascii="仿宋" w:hAnsi="仿宋" w:eastAsia="仿宋" w:cs="仿宋"/>
          <w:sz w:val="32"/>
          <w:szCs w:val="32"/>
        </w:rPr>
        <w:tab/>
      </w:r>
      <w:r>
        <w:rPr>
          <w:rFonts w:hint="eastAsia" w:ascii="仿宋" w:hAnsi="仿宋" w:eastAsia="仿宋" w:cs="仿宋"/>
          <w:sz w:val="32"/>
          <w:szCs w:val="32"/>
          <w:lang w:val="en-US" w:eastAsia="zh-CN"/>
        </w:rPr>
        <w:t>52</w:t>
      </w:r>
    </w:p>
    <w:p w14:paraId="61DA4468">
      <w:pPr>
        <w:pStyle w:val="18"/>
        <w:tabs>
          <w:tab w:val="right" w:leader="dot" w:pos="8296"/>
        </w:tabs>
        <w:rPr>
          <w:rFonts w:hint="default" w:ascii="仿宋" w:hAnsi="仿宋" w:eastAsia="仿宋" w:cs="仿宋"/>
          <w:smallCaps w:val="0"/>
          <w:sz w:val="32"/>
          <w:szCs w:val="32"/>
          <w:lang w:val="en-US" w:eastAsia="zh-CN"/>
        </w:rPr>
      </w:pPr>
      <w:r>
        <w:rPr>
          <w:rFonts w:hint="eastAsia" w:ascii="仿宋" w:hAnsi="仿宋" w:eastAsia="仿宋" w:cs="仿宋"/>
          <w:sz w:val="32"/>
          <w:szCs w:val="32"/>
        </w:rPr>
        <w:t>六、</w:t>
      </w:r>
      <w:r>
        <w:rPr>
          <w:rFonts w:hint="eastAsia" w:ascii="仿宋" w:hAnsi="仿宋" w:eastAsia="仿宋" w:cs="仿宋"/>
          <w:color w:val="000000"/>
          <w:sz w:val="32"/>
          <w:szCs w:val="32"/>
        </w:rPr>
        <w:t>一</w:t>
      </w:r>
      <w:r>
        <w:rPr>
          <w:rFonts w:hint="eastAsia" w:ascii="仿宋" w:hAnsi="仿宋" w:eastAsia="仿宋" w:cs="仿宋"/>
          <w:sz w:val="32"/>
          <w:szCs w:val="32"/>
        </w:rPr>
        <w:t>般公共预算财政拨款支出决算表</w:t>
      </w:r>
      <w:r>
        <w:rPr>
          <w:rFonts w:hint="eastAsia" w:ascii="仿宋" w:hAnsi="仿宋" w:eastAsia="仿宋" w:cs="仿宋"/>
          <w:sz w:val="32"/>
          <w:szCs w:val="32"/>
        </w:rPr>
        <w:tab/>
      </w:r>
      <w:r>
        <w:rPr>
          <w:rFonts w:hint="eastAsia" w:ascii="仿宋" w:hAnsi="仿宋" w:eastAsia="仿宋" w:cs="仿宋"/>
          <w:sz w:val="32"/>
          <w:szCs w:val="32"/>
          <w:lang w:val="en-US" w:eastAsia="zh-CN"/>
        </w:rPr>
        <w:t>52</w:t>
      </w:r>
    </w:p>
    <w:p w14:paraId="0A5765A0">
      <w:pPr>
        <w:pStyle w:val="18"/>
        <w:tabs>
          <w:tab w:val="right" w:leader="dot" w:pos="8296"/>
        </w:tabs>
        <w:rPr>
          <w:rFonts w:hint="default" w:ascii="仿宋" w:hAnsi="仿宋" w:eastAsia="仿宋" w:cs="仿宋"/>
          <w:smallCaps w:val="0"/>
          <w:sz w:val="32"/>
          <w:szCs w:val="32"/>
          <w:lang w:val="en-US" w:eastAsia="zh-CN"/>
        </w:rPr>
      </w:pPr>
      <w:r>
        <w:rPr>
          <w:rFonts w:hint="eastAsia" w:ascii="仿宋" w:hAnsi="仿宋" w:eastAsia="仿宋" w:cs="仿宋"/>
          <w:sz w:val="32"/>
          <w:szCs w:val="32"/>
        </w:rPr>
        <w:t>七、</w:t>
      </w:r>
      <w:r>
        <w:rPr>
          <w:rFonts w:hint="eastAsia" w:ascii="仿宋" w:hAnsi="仿宋" w:eastAsia="仿宋" w:cs="仿宋"/>
          <w:color w:val="000000"/>
          <w:sz w:val="32"/>
          <w:szCs w:val="32"/>
        </w:rPr>
        <w:t>一</w:t>
      </w:r>
      <w:r>
        <w:rPr>
          <w:rFonts w:hint="eastAsia" w:ascii="仿宋" w:hAnsi="仿宋" w:eastAsia="仿宋" w:cs="仿宋"/>
          <w:sz w:val="32"/>
          <w:szCs w:val="32"/>
        </w:rPr>
        <w:t>般公共预算财政拨款支出决算明细表</w:t>
      </w:r>
      <w:r>
        <w:rPr>
          <w:rFonts w:hint="eastAsia" w:ascii="仿宋" w:hAnsi="仿宋" w:eastAsia="仿宋" w:cs="仿宋"/>
          <w:sz w:val="32"/>
          <w:szCs w:val="32"/>
        </w:rPr>
        <w:tab/>
      </w:r>
      <w:r>
        <w:rPr>
          <w:rFonts w:hint="eastAsia" w:ascii="仿宋" w:hAnsi="仿宋" w:eastAsia="仿宋" w:cs="仿宋"/>
          <w:sz w:val="32"/>
          <w:szCs w:val="32"/>
          <w:lang w:val="en-US" w:eastAsia="zh-CN"/>
        </w:rPr>
        <w:t>52</w:t>
      </w:r>
    </w:p>
    <w:p w14:paraId="3425A809">
      <w:pPr>
        <w:pStyle w:val="18"/>
        <w:tabs>
          <w:tab w:val="right" w:leader="dot" w:pos="8296"/>
        </w:tabs>
        <w:rPr>
          <w:rFonts w:hint="default" w:ascii="仿宋" w:hAnsi="仿宋" w:eastAsia="仿宋" w:cs="仿宋"/>
          <w:smallCaps w:val="0"/>
          <w:sz w:val="32"/>
          <w:szCs w:val="32"/>
          <w:lang w:val="en-US" w:eastAsia="zh-CN"/>
        </w:rPr>
      </w:pPr>
      <w:r>
        <w:rPr>
          <w:rFonts w:hint="eastAsia" w:ascii="仿宋" w:hAnsi="仿宋" w:eastAsia="仿宋" w:cs="仿宋"/>
          <w:sz w:val="32"/>
          <w:szCs w:val="32"/>
        </w:rPr>
        <w:t>八、</w:t>
      </w:r>
      <w:r>
        <w:rPr>
          <w:rFonts w:hint="eastAsia" w:ascii="仿宋" w:hAnsi="仿宋" w:eastAsia="仿宋" w:cs="仿宋"/>
          <w:color w:val="000000"/>
          <w:sz w:val="32"/>
          <w:szCs w:val="32"/>
        </w:rPr>
        <w:t>一</w:t>
      </w:r>
      <w:r>
        <w:rPr>
          <w:rFonts w:hint="eastAsia" w:ascii="仿宋" w:hAnsi="仿宋" w:eastAsia="仿宋" w:cs="仿宋"/>
          <w:sz w:val="32"/>
          <w:szCs w:val="32"/>
        </w:rPr>
        <w:t>般公共预算财政拨款基本支出决算表</w:t>
      </w:r>
      <w:r>
        <w:rPr>
          <w:rFonts w:hint="eastAsia" w:ascii="仿宋" w:hAnsi="仿宋" w:eastAsia="仿宋" w:cs="仿宋"/>
          <w:sz w:val="32"/>
          <w:szCs w:val="32"/>
        </w:rPr>
        <w:tab/>
      </w:r>
      <w:r>
        <w:rPr>
          <w:rFonts w:hint="eastAsia" w:ascii="仿宋" w:hAnsi="仿宋" w:eastAsia="仿宋" w:cs="仿宋"/>
          <w:sz w:val="32"/>
          <w:szCs w:val="32"/>
          <w:lang w:val="en-US" w:eastAsia="zh-CN"/>
        </w:rPr>
        <w:t>52</w:t>
      </w:r>
    </w:p>
    <w:p w14:paraId="41380D4F">
      <w:pPr>
        <w:pStyle w:val="18"/>
        <w:tabs>
          <w:tab w:val="right" w:leader="dot" w:pos="8296"/>
        </w:tabs>
        <w:rPr>
          <w:rFonts w:hint="default" w:ascii="仿宋" w:hAnsi="仿宋" w:eastAsia="仿宋" w:cs="仿宋"/>
          <w:smallCaps w:val="0"/>
          <w:sz w:val="32"/>
          <w:szCs w:val="32"/>
          <w:lang w:val="en-US" w:eastAsia="zh-CN"/>
        </w:rPr>
      </w:pPr>
      <w:r>
        <w:rPr>
          <w:rFonts w:hint="eastAsia" w:ascii="仿宋" w:hAnsi="仿宋" w:eastAsia="仿宋" w:cs="仿宋"/>
          <w:sz w:val="32"/>
          <w:szCs w:val="32"/>
        </w:rPr>
        <w:t>九、</w:t>
      </w:r>
      <w:r>
        <w:rPr>
          <w:rFonts w:hint="eastAsia" w:ascii="仿宋" w:hAnsi="仿宋" w:eastAsia="仿宋" w:cs="仿宋"/>
          <w:color w:val="000000"/>
          <w:sz w:val="32"/>
          <w:szCs w:val="32"/>
        </w:rPr>
        <w:t>一</w:t>
      </w:r>
      <w:r>
        <w:rPr>
          <w:rFonts w:hint="eastAsia" w:ascii="仿宋" w:hAnsi="仿宋" w:eastAsia="仿宋" w:cs="仿宋"/>
          <w:sz w:val="32"/>
          <w:szCs w:val="32"/>
        </w:rPr>
        <w:t>般公共预算财政拨款项目支出决算表</w:t>
      </w:r>
      <w:r>
        <w:rPr>
          <w:rFonts w:hint="eastAsia" w:ascii="仿宋" w:hAnsi="仿宋" w:eastAsia="仿宋" w:cs="仿宋"/>
          <w:sz w:val="32"/>
          <w:szCs w:val="32"/>
        </w:rPr>
        <w:tab/>
      </w:r>
      <w:r>
        <w:rPr>
          <w:rFonts w:hint="eastAsia" w:ascii="仿宋" w:hAnsi="仿宋" w:eastAsia="仿宋" w:cs="仿宋"/>
          <w:sz w:val="32"/>
          <w:szCs w:val="32"/>
          <w:lang w:val="en-US" w:eastAsia="zh-CN"/>
        </w:rPr>
        <w:t>52</w:t>
      </w:r>
    </w:p>
    <w:p w14:paraId="4A4DC584">
      <w:pPr>
        <w:pStyle w:val="18"/>
        <w:tabs>
          <w:tab w:val="right" w:leader="dot" w:pos="8296"/>
        </w:tabs>
        <w:rPr>
          <w:rFonts w:hint="default" w:ascii="仿宋" w:hAnsi="仿宋" w:eastAsia="仿宋" w:cs="仿宋"/>
          <w:smallCaps w:val="0"/>
          <w:sz w:val="32"/>
          <w:szCs w:val="32"/>
          <w:lang w:val="en-US" w:eastAsia="zh-CN"/>
        </w:rPr>
      </w:pPr>
      <w:r>
        <w:rPr>
          <w:rFonts w:hint="eastAsia" w:ascii="仿宋" w:hAnsi="仿宋" w:eastAsia="仿宋" w:cs="仿宋"/>
          <w:sz w:val="32"/>
          <w:szCs w:val="32"/>
        </w:rPr>
        <w:t>十、</w:t>
      </w:r>
      <w:r>
        <w:rPr>
          <w:rFonts w:hint="eastAsia" w:ascii="仿宋" w:hAnsi="仿宋" w:eastAsia="仿宋" w:cs="仿宋"/>
          <w:color w:val="000000"/>
          <w:sz w:val="32"/>
          <w:szCs w:val="32"/>
        </w:rPr>
        <w:t>一</w:t>
      </w:r>
      <w:r>
        <w:rPr>
          <w:rFonts w:hint="eastAsia" w:ascii="仿宋" w:hAnsi="仿宋" w:eastAsia="仿宋" w:cs="仿宋"/>
          <w:sz w:val="32"/>
          <w:szCs w:val="32"/>
        </w:rPr>
        <w:t>般公共预算财政拨款“三公”经费支出决算表</w:t>
      </w:r>
      <w:r>
        <w:rPr>
          <w:rFonts w:hint="eastAsia" w:ascii="仿宋" w:hAnsi="仿宋" w:eastAsia="仿宋" w:cs="仿宋"/>
          <w:sz w:val="32"/>
          <w:szCs w:val="32"/>
        </w:rPr>
        <w:tab/>
      </w:r>
      <w:r>
        <w:rPr>
          <w:rFonts w:hint="eastAsia" w:ascii="仿宋" w:hAnsi="仿宋" w:eastAsia="仿宋" w:cs="仿宋"/>
          <w:sz w:val="32"/>
          <w:szCs w:val="32"/>
          <w:lang w:val="en-US" w:eastAsia="zh-CN"/>
        </w:rPr>
        <w:t>52</w:t>
      </w:r>
    </w:p>
    <w:p w14:paraId="6F9C103E">
      <w:pPr>
        <w:pStyle w:val="18"/>
        <w:tabs>
          <w:tab w:val="right" w:leader="dot" w:pos="8296"/>
        </w:tabs>
        <w:rPr>
          <w:rFonts w:hint="default" w:ascii="仿宋" w:hAnsi="仿宋" w:eastAsia="仿宋" w:cs="仿宋"/>
          <w:smallCaps w:val="0"/>
          <w:sz w:val="32"/>
          <w:szCs w:val="32"/>
          <w:lang w:val="en-US" w:eastAsia="zh-CN"/>
        </w:rPr>
      </w:pPr>
      <w:r>
        <w:rPr>
          <w:rFonts w:hint="eastAsia" w:ascii="仿宋" w:hAnsi="仿宋" w:eastAsia="仿宋" w:cs="仿宋"/>
          <w:sz w:val="32"/>
          <w:szCs w:val="32"/>
        </w:rPr>
        <w:t>十一、</w:t>
      </w:r>
      <w:r>
        <w:rPr>
          <w:rFonts w:hint="eastAsia" w:ascii="仿宋" w:hAnsi="仿宋" w:eastAsia="仿宋" w:cs="仿宋"/>
          <w:color w:val="000000"/>
          <w:sz w:val="32"/>
          <w:szCs w:val="32"/>
        </w:rPr>
        <w:t>政</w:t>
      </w:r>
      <w:r>
        <w:rPr>
          <w:rFonts w:hint="eastAsia" w:ascii="仿宋" w:hAnsi="仿宋" w:eastAsia="仿宋" w:cs="仿宋"/>
          <w:sz w:val="32"/>
          <w:szCs w:val="32"/>
        </w:rPr>
        <w:t>府性基金预算财政拨款收入支出决算表</w:t>
      </w:r>
      <w:r>
        <w:rPr>
          <w:rFonts w:hint="eastAsia" w:ascii="仿宋" w:hAnsi="仿宋" w:eastAsia="仿宋" w:cs="仿宋"/>
          <w:sz w:val="32"/>
          <w:szCs w:val="32"/>
        </w:rPr>
        <w:tab/>
      </w:r>
      <w:r>
        <w:rPr>
          <w:rFonts w:hint="eastAsia" w:ascii="仿宋" w:hAnsi="仿宋" w:eastAsia="仿宋" w:cs="仿宋"/>
          <w:sz w:val="32"/>
          <w:szCs w:val="32"/>
          <w:lang w:val="en-US" w:eastAsia="zh-CN"/>
        </w:rPr>
        <w:t>52</w:t>
      </w:r>
    </w:p>
    <w:p w14:paraId="04CEE9EE">
      <w:pPr>
        <w:pStyle w:val="18"/>
        <w:tabs>
          <w:tab w:val="right" w:leader="dot" w:pos="8296"/>
        </w:tabs>
        <w:rPr>
          <w:rFonts w:hint="default" w:ascii="仿宋" w:hAnsi="仿宋" w:eastAsia="仿宋" w:cs="仿宋"/>
          <w:smallCaps w:val="0"/>
          <w:sz w:val="32"/>
          <w:szCs w:val="32"/>
          <w:lang w:val="en-US" w:eastAsia="zh-CN"/>
        </w:rPr>
      </w:pPr>
      <w:r>
        <w:rPr>
          <w:rFonts w:hint="eastAsia" w:ascii="仿宋" w:hAnsi="仿宋" w:eastAsia="仿宋" w:cs="仿宋"/>
          <w:sz w:val="32"/>
          <w:szCs w:val="32"/>
        </w:rPr>
        <w:t>十二、</w:t>
      </w:r>
      <w:r>
        <w:rPr>
          <w:rFonts w:hint="eastAsia" w:ascii="仿宋" w:hAnsi="仿宋" w:eastAsia="仿宋" w:cs="仿宋"/>
          <w:color w:val="000000"/>
          <w:sz w:val="32"/>
          <w:szCs w:val="32"/>
        </w:rPr>
        <w:t>政</w:t>
      </w:r>
      <w:r>
        <w:rPr>
          <w:rFonts w:hint="eastAsia" w:ascii="仿宋" w:hAnsi="仿宋" w:eastAsia="仿宋" w:cs="仿宋"/>
          <w:sz w:val="32"/>
          <w:szCs w:val="32"/>
        </w:rPr>
        <w:t>府性基金预算财政拨款“三公”经费支出决算表</w:t>
      </w:r>
      <w:r>
        <w:rPr>
          <w:rFonts w:hint="eastAsia" w:ascii="仿宋" w:hAnsi="仿宋" w:eastAsia="仿宋" w:cs="仿宋"/>
          <w:sz w:val="32"/>
          <w:szCs w:val="32"/>
        </w:rPr>
        <w:tab/>
      </w:r>
      <w:r>
        <w:rPr>
          <w:rFonts w:hint="eastAsia" w:ascii="仿宋" w:hAnsi="仿宋" w:eastAsia="仿宋" w:cs="仿宋"/>
          <w:sz w:val="32"/>
          <w:szCs w:val="32"/>
          <w:lang w:val="en-US" w:eastAsia="zh-CN"/>
        </w:rPr>
        <w:t>52</w:t>
      </w:r>
    </w:p>
    <w:p w14:paraId="2B446D62">
      <w:pPr>
        <w:pStyle w:val="18"/>
        <w:tabs>
          <w:tab w:val="right" w:leader="dot" w:pos="8296"/>
        </w:tabs>
        <w:rPr>
          <w:rFonts w:hint="default" w:ascii="仿宋" w:hAnsi="仿宋" w:eastAsia="仿宋" w:cs="仿宋"/>
          <w:smallCaps w:val="0"/>
          <w:sz w:val="32"/>
          <w:szCs w:val="32"/>
          <w:lang w:val="en-US" w:eastAsia="zh-CN"/>
        </w:rPr>
      </w:pPr>
      <w:r>
        <w:rPr>
          <w:rFonts w:hint="eastAsia" w:ascii="仿宋" w:hAnsi="仿宋" w:eastAsia="仿宋" w:cs="仿宋"/>
          <w:sz w:val="32"/>
          <w:szCs w:val="32"/>
        </w:rPr>
        <w:t>十三、</w:t>
      </w:r>
      <w:r>
        <w:rPr>
          <w:rFonts w:hint="eastAsia" w:ascii="仿宋" w:hAnsi="仿宋" w:eastAsia="仿宋" w:cs="仿宋"/>
          <w:color w:val="000000"/>
          <w:sz w:val="32"/>
          <w:szCs w:val="32"/>
        </w:rPr>
        <w:t>国</w:t>
      </w:r>
      <w:r>
        <w:rPr>
          <w:rFonts w:hint="eastAsia" w:ascii="仿宋" w:hAnsi="仿宋" w:eastAsia="仿宋" w:cs="仿宋"/>
          <w:sz w:val="32"/>
          <w:szCs w:val="32"/>
        </w:rPr>
        <w:t>有资本经营预算财政拨款支出决算表</w:t>
      </w:r>
      <w:r>
        <w:rPr>
          <w:rFonts w:hint="eastAsia" w:ascii="仿宋" w:hAnsi="仿宋" w:eastAsia="仿宋" w:cs="仿宋"/>
          <w:sz w:val="32"/>
          <w:szCs w:val="32"/>
        </w:rPr>
        <w:tab/>
      </w:r>
      <w:r>
        <w:rPr>
          <w:rFonts w:hint="eastAsia" w:ascii="仿宋" w:hAnsi="仿宋" w:eastAsia="仿宋" w:cs="仿宋"/>
          <w:sz w:val="32"/>
          <w:szCs w:val="32"/>
          <w:lang w:val="en-US" w:eastAsia="zh-CN"/>
        </w:rPr>
        <w:t>52</w:t>
      </w:r>
    </w:p>
    <w:p w14:paraId="18D6FFD2">
      <w:pPr>
        <w:pStyle w:val="18"/>
        <w:tabs>
          <w:tab w:val="right" w:leader="dot" w:pos="8296"/>
        </w:tabs>
        <w:rPr>
          <w:rFonts w:hint="default" w:ascii="仿宋" w:hAnsi="仿宋" w:eastAsia="仿宋" w:cs="仿宋"/>
          <w:smallCaps w:val="0"/>
          <w:sz w:val="32"/>
          <w:szCs w:val="32"/>
          <w:lang w:val="en-US" w:eastAsia="zh-CN"/>
        </w:rPr>
      </w:pPr>
      <w:r>
        <w:rPr>
          <w:rFonts w:hint="eastAsia" w:ascii="仿宋" w:hAnsi="仿宋" w:eastAsia="仿宋" w:cs="仿宋"/>
          <w:sz w:val="32"/>
          <w:szCs w:val="32"/>
        </w:rPr>
        <w:t>十四、国有资本经营预算财政拨款支出决算表</w:t>
      </w:r>
      <w:r>
        <w:rPr>
          <w:rFonts w:hint="eastAsia" w:ascii="仿宋" w:hAnsi="仿宋" w:eastAsia="仿宋" w:cs="仿宋"/>
          <w:sz w:val="32"/>
          <w:szCs w:val="32"/>
        </w:rPr>
        <w:tab/>
      </w:r>
      <w:r>
        <w:rPr>
          <w:rFonts w:hint="eastAsia" w:ascii="仿宋" w:hAnsi="仿宋" w:eastAsia="仿宋" w:cs="仿宋"/>
          <w:sz w:val="32"/>
          <w:szCs w:val="32"/>
          <w:lang w:val="en-US" w:eastAsia="zh-CN"/>
        </w:rPr>
        <w:t>52</w:t>
      </w:r>
    </w:p>
    <w:p w14:paraId="04B9863E">
      <w:r>
        <w:rPr>
          <w:rFonts w:hint="eastAsia" w:ascii="仿宋" w:hAnsi="仿宋" w:eastAsia="仿宋" w:cs="仿宋"/>
          <w:b/>
          <w:bCs/>
          <w:caps/>
          <w:sz w:val="32"/>
          <w:szCs w:val="32"/>
        </w:rPr>
        <w:fldChar w:fldCharType="end"/>
      </w:r>
    </w:p>
    <w:p w14:paraId="783F319A">
      <w:pPr>
        <w:widowControl/>
        <w:spacing w:line="440" w:lineRule="exact"/>
        <w:jc w:val="left"/>
        <w:rPr>
          <w:rFonts w:ascii="仿宋" w:hAnsi="仿宋" w:eastAsia="仿宋"/>
          <w:bCs/>
          <w:kern w:val="44"/>
          <w:sz w:val="24"/>
        </w:rPr>
      </w:pPr>
      <w:bookmarkStart w:id="12" w:name="_Toc15396599"/>
      <w:bookmarkStart w:id="13" w:name="_Toc15377196"/>
      <w:r>
        <w:rPr>
          <w:rFonts w:ascii="仿宋" w:hAnsi="仿宋" w:eastAsia="仿宋"/>
          <w:b/>
          <w:sz w:val="24"/>
        </w:rPr>
        <w:br w:type="page"/>
      </w:r>
    </w:p>
    <w:p w14:paraId="0A838E1B">
      <w:pPr>
        <w:pStyle w:val="4"/>
        <w:jc w:val="center"/>
        <w:rPr>
          <w:rFonts w:ascii="黑体" w:eastAsia="黑体"/>
          <w:color w:val="000000"/>
          <w:sz w:val="32"/>
          <w:szCs w:val="32"/>
        </w:rPr>
      </w:pPr>
      <w:bookmarkStart w:id="14" w:name="_Toc79163851"/>
      <w:bookmarkStart w:id="15" w:name="_Toc79163601"/>
      <w:r>
        <w:rPr>
          <w:rFonts w:hint="eastAsia" w:ascii="黑体" w:hAnsi="黑体" w:eastAsia="黑体"/>
          <w:b w:val="0"/>
        </w:rPr>
        <w:t>第一部分</w:t>
      </w:r>
      <w:r>
        <w:rPr>
          <w:rFonts w:ascii="黑体" w:hAnsi="黑体" w:eastAsia="黑体"/>
          <w:b w:val="0"/>
        </w:rPr>
        <w:t xml:space="preserve"> </w:t>
      </w:r>
      <w:r>
        <w:rPr>
          <w:rStyle w:val="25"/>
          <w:rFonts w:hint="eastAsia" w:ascii="黑体" w:hAnsi="黑体" w:eastAsia="黑体"/>
          <w:b w:val="0"/>
          <w:bCs w:val="0"/>
        </w:rPr>
        <w:t>部门概况</w:t>
      </w:r>
      <w:bookmarkEnd w:id="12"/>
      <w:bookmarkEnd w:id="13"/>
      <w:bookmarkEnd w:id="14"/>
      <w:bookmarkEnd w:id="15"/>
    </w:p>
    <w:p w14:paraId="519A582D">
      <w:pPr>
        <w:pStyle w:val="5"/>
        <w:pageBreakBefore w:val="0"/>
        <w:widowControl w:val="0"/>
        <w:kinsoku/>
        <w:wordWrap/>
        <w:overflowPunct/>
        <w:topLinePunct w:val="0"/>
        <w:autoSpaceDE/>
        <w:autoSpaceDN/>
        <w:bidi w:val="0"/>
        <w:spacing w:line="576" w:lineRule="exact"/>
        <w:ind w:firstLine="640" w:firstLineChars="200"/>
        <w:textAlignment w:val="auto"/>
        <w:rPr>
          <w:rStyle w:val="26"/>
          <w:rFonts w:hint="eastAsia" w:ascii="黑体" w:hAnsi="黑体" w:eastAsia="黑体" w:cs="黑体"/>
          <w:b w:val="0"/>
          <w:bCs w:val="0"/>
          <w:lang w:val="en-US" w:eastAsia="zh-CN"/>
        </w:rPr>
      </w:pPr>
      <w:bookmarkStart w:id="16" w:name="_Toc79163852"/>
      <w:bookmarkStart w:id="17" w:name="_Toc15396600"/>
      <w:bookmarkStart w:id="18" w:name="_Toc79163602"/>
      <w:bookmarkStart w:id="19" w:name="_Toc15377197"/>
      <w:r>
        <w:rPr>
          <w:rFonts w:hint="eastAsia" w:ascii="黑体" w:hAnsi="黑体" w:eastAsia="黑体" w:cs="黑体"/>
          <w:b w:val="0"/>
          <w:color w:val="000000"/>
        </w:rPr>
        <w:t>一、</w:t>
      </w:r>
      <w:bookmarkEnd w:id="16"/>
      <w:bookmarkEnd w:id="17"/>
      <w:bookmarkEnd w:id="18"/>
      <w:bookmarkEnd w:id="19"/>
      <w:bookmarkStart w:id="20" w:name="_Toc79163853"/>
      <w:bookmarkStart w:id="21" w:name="_Toc15377198"/>
      <w:bookmarkStart w:id="22" w:name="_Toc15378445"/>
      <w:bookmarkStart w:id="23" w:name="_Toc79163603"/>
      <w:r>
        <w:rPr>
          <w:rFonts w:hint="eastAsia" w:ascii="黑体" w:hAnsi="黑体" w:eastAsia="黑体" w:cs="黑体"/>
          <w:b w:val="0"/>
          <w:color w:val="000000"/>
          <w:lang w:val="en-US" w:eastAsia="zh-CN"/>
        </w:rPr>
        <w:t>部门职责</w:t>
      </w:r>
    </w:p>
    <w:bookmarkEnd w:id="20"/>
    <w:bookmarkEnd w:id="21"/>
    <w:bookmarkEnd w:id="22"/>
    <w:bookmarkEnd w:id="23"/>
    <w:p w14:paraId="165087B1">
      <w:pPr>
        <w:pStyle w:val="8"/>
        <w:pageBreakBefore w:val="0"/>
        <w:widowControl w:val="0"/>
        <w:kinsoku/>
        <w:wordWrap/>
        <w:overflowPunct/>
        <w:topLinePunct w:val="0"/>
        <w:autoSpaceDE/>
        <w:autoSpaceDN/>
        <w:bidi w:val="0"/>
        <w:adjustRightInd w:val="0"/>
        <w:snapToGrid w:val="0"/>
        <w:spacing w:before="93" w:line="576" w:lineRule="exact"/>
        <w:ind w:firstLine="672" w:firstLineChars="210"/>
        <w:textAlignment w:val="auto"/>
        <w:outlineLvl w:val="2"/>
        <w:rPr>
          <w:rFonts w:hint="eastAsia" w:ascii="Times New Roman" w:eastAsia="方正仿宋_GBK" w:cs="Times New Roman"/>
          <w:bCs/>
          <w:color w:val="000000"/>
          <w:sz w:val="32"/>
          <w:szCs w:val="32"/>
          <w:lang w:eastAsia="zh-CN"/>
        </w:rPr>
      </w:pPr>
      <w:r>
        <w:rPr>
          <w:rFonts w:hint="default" w:ascii="Times New Roman" w:hAnsi="Times New Roman" w:eastAsia="方正仿宋_GBK" w:cs="Times New Roman"/>
          <w:bCs/>
          <w:color w:val="000000"/>
          <w:sz w:val="32"/>
          <w:szCs w:val="32"/>
        </w:rPr>
        <w:t>人民法院是国家的审判机关，依法独立行使审判权，对人民代表大会及其常务委员会负责并报告工作</w:t>
      </w:r>
      <w:r>
        <w:rPr>
          <w:rFonts w:hint="eastAsia" w:ascii="Times New Roman" w:eastAsia="方正仿宋_GBK" w:cs="Times New Roman"/>
          <w:bCs/>
          <w:color w:val="000000"/>
          <w:sz w:val="32"/>
          <w:szCs w:val="32"/>
          <w:lang w:eastAsia="zh-CN"/>
        </w:rPr>
        <w:t>，</w:t>
      </w:r>
      <w:r>
        <w:rPr>
          <w:rFonts w:hint="eastAsia" w:ascii="Times New Roman" w:eastAsia="方正仿宋_GBK" w:cs="Times New Roman"/>
          <w:bCs/>
          <w:color w:val="000000"/>
          <w:sz w:val="32"/>
          <w:szCs w:val="32"/>
          <w:lang w:val="en-US" w:eastAsia="zh-CN"/>
        </w:rPr>
        <w:t>通过审判刑事案件、民事案件、行政案件以及法律规定的其他案件，惩罚犯罪，保障无罪的人不受刑事追究，解决民事、行政纠纷，保护个人和组织的合法权益，监督行政机关依法行使职权，维护国家安全和社会秩序，维护社会公平正义，维护国家法制统一、尊严和权威，保障中国特色社会主义建设的顺利进行。</w:t>
      </w:r>
    </w:p>
    <w:p w14:paraId="505B64F8">
      <w:pPr>
        <w:pStyle w:val="8"/>
        <w:pageBreakBefore w:val="0"/>
        <w:widowControl w:val="0"/>
        <w:kinsoku/>
        <w:wordWrap/>
        <w:overflowPunct/>
        <w:topLinePunct w:val="0"/>
        <w:autoSpaceDE/>
        <w:autoSpaceDN/>
        <w:bidi w:val="0"/>
        <w:adjustRightInd w:val="0"/>
        <w:snapToGrid w:val="0"/>
        <w:spacing w:before="93" w:line="576" w:lineRule="exact"/>
        <w:ind w:firstLine="672" w:firstLineChars="210"/>
        <w:textAlignment w:val="auto"/>
        <w:outlineLvl w:val="2"/>
        <w:rPr>
          <w:rFonts w:hint="default" w:ascii="Times New Roman" w:hAnsi="Times New Roman" w:eastAsia="方正仿宋_GBK" w:cs="Times New Roman"/>
          <w:bCs/>
          <w:color w:val="000000"/>
          <w:sz w:val="32"/>
          <w:szCs w:val="32"/>
        </w:rPr>
      </w:pPr>
      <w:r>
        <w:rPr>
          <w:rFonts w:hint="eastAsia" w:ascii="Times New Roman" w:hAnsi="Times New Roman" w:eastAsia="方正仿宋_GBK" w:cs="Times New Roman"/>
          <w:bCs/>
          <w:color w:val="000000"/>
          <w:sz w:val="32"/>
          <w:szCs w:val="32"/>
          <w:lang w:val="en-US" w:eastAsia="zh-CN"/>
        </w:rPr>
        <w:t>九寨沟</w:t>
      </w:r>
      <w:r>
        <w:rPr>
          <w:rFonts w:hint="default" w:ascii="Times New Roman" w:hAnsi="Times New Roman" w:eastAsia="方正仿宋_GBK" w:cs="Times New Roman"/>
          <w:bCs/>
          <w:color w:val="000000"/>
          <w:sz w:val="32"/>
          <w:szCs w:val="32"/>
        </w:rPr>
        <w:t>县人民法院是</w:t>
      </w:r>
      <w:r>
        <w:rPr>
          <w:rFonts w:hint="eastAsia" w:ascii="Times New Roman" w:hAnsi="Times New Roman" w:eastAsia="方正仿宋_GBK" w:cs="Times New Roman"/>
          <w:bCs/>
          <w:color w:val="000000"/>
          <w:sz w:val="32"/>
          <w:szCs w:val="32"/>
          <w:lang w:val="en-US" w:eastAsia="zh-CN"/>
        </w:rPr>
        <w:t>基层人民法院</w:t>
      </w:r>
      <w:r>
        <w:rPr>
          <w:rFonts w:hint="eastAsia" w:ascii="Times New Roman" w:hAnsi="Times New Roman" w:eastAsia="方正仿宋_GBK" w:cs="Times New Roman"/>
          <w:bCs/>
          <w:color w:val="000000"/>
          <w:sz w:val="32"/>
          <w:szCs w:val="32"/>
          <w:lang w:eastAsia="zh-CN"/>
        </w:rPr>
        <w:t>，</w:t>
      </w:r>
      <w:r>
        <w:rPr>
          <w:rFonts w:hint="default" w:ascii="Times New Roman" w:hAnsi="Times New Roman" w:eastAsia="方正仿宋_GBK" w:cs="Times New Roman"/>
          <w:bCs/>
          <w:color w:val="000000"/>
          <w:sz w:val="32"/>
          <w:szCs w:val="32"/>
        </w:rPr>
        <w:t>主要职责是:</w:t>
      </w:r>
    </w:p>
    <w:p w14:paraId="6F77481B">
      <w:pPr>
        <w:pStyle w:val="8"/>
        <w:keepNext w:val="0"/>
        <w:keepLines w:val="0"/>
        <w:pageBreakBefore w:val="0"/>
        <w:widowControl w:val="0"/>
        <w:kinsoku/>
        <w:wordWrap/>
        <w:overflowPunct/>
        <w:topLinePunct w:val="0"/>
        <w:autoSpaceDE/>
        <w:autoSpaceDN/>
        <w:bidi w:val="0"/>
        <w:adjustRightInd w:val="0"/>
        <w:snapToGrid w:val="0"/>
        <w:spacing w:before="93" w:line="576" w:lineRule="exact"/>
        <w:ind w:firstLine="640" w:firstLineChars="200"/>
        <w:textAlignment w:val="auto"/>
        <w:outlineLvl w:val="2"/>
        <w:rPr>
          <w:rFonts w:hint="default" w:ascii="Times New Roman" w:hAnsi="Times New Roman" w:eastAsia="方正仿宋_GBK" w:cs="Times New Roman"/>
          <w:bCs/>
          <w:color w:val="000000"/>
          <w:sz w:val="32"/>
          <w:szCs w:val="32"/>
        </w:rPr>
      </w:pPr>
      <w:r>
        <w:rPr>
          <w:rFonts w:hint="eastAsia" w:ascii="Times New Roman" w:hAnsi="Times New Roman" w:eastAsia="方正仿宋_GBK" w:cs="Times New Roman"/>
          <w:bCs/>
          <w:color w:val="000000"/>
          <w:sz w:val="32"/>
          <w:szCs w:val="32"/>
          <w:lang w:val="en-US" w:eastAsia="zh-CN"/>
        </w:rPr>
        <w:t>1.</w:t>
      </w:r>
      <w:r>
        <w:rPr>
          <w:rFonts w:hint="default" w:ascii="Times New Roman" w:hAnsi="Times New Roman" w:eastAsia="方正仿宋_GBK" w:cs="Times New Roman"/>
          <w:bCs/>
          <w:color w:val="000000"/>
          <w:sz w:val="32"/>
          <w:szCs w:val="32"/>
        </w:rPr>
        <w:t>依法审判法律规定由基层人民法院管辖和上级法院指定管辖的刑事、民事、行政等第一审案件。</w:t>
      </w:r>
    </w:p>
    <w:p w14:paraId="3C3ACC52">
      <w:pPr>
        <w:pStyle w:val="8"/>
        <w:keepNext w:val="0"/>
        <w:keepLines w:val="0"/>
        <w:pageBreakBefore w:val="0"/>
        <w:widowControl w:val="0"/>
        <w:kinsoku/>
        <w:wordWrap/>
        <w:overflowPunct/>
        <w:topLinePunct w:val="0"/>
        <w:autoSpaceDE/>
        <w:autoSpaceDN/>
        <w:bidi w:val="0"/>
        <w:adjustRightInd w:val="0"/>
        <w:snapToGrid w:val="0"/>
        <w:spacing w:before="93" w:line="576" w:lineRule="exact"/>
        <w:ind w:firstLine="672" w:firstLineChars="210"/>
        <w:textAlignment w:val="auto"/>
        <w:outlineLvl w:val="2"/>
        <w:rPr>
          <w:rFonts w:hint="default" w:ascii="Times New Roman" w:hAnsi="Times New Roman" w:eastAsia="方正仿宋_GBK" w:cs="Times New Roman"/>
          <w:bCs/>
          <w:color w:val="000000"/>
          <w:sz w:val="32"/>
          <w:szCs w:val="32"/>
        </w:rPr>
      </w:pPr>
      <w:r>
        <w:rPr>
          <w:rFonts w:hint="eastAsia" w:ascii="Times New Roman" w:hAnsi="Times New Roman" w:eastAsia="方正仿宋_GBK" w:cs="Times New Roman"/>
          <w:bCs/>
          <w:color w:val="000000"/>
          <w:sz w:val="32"/>
          <w:szCs w:val="32"/>
          <w:lang w:val="en-US" w:eastAsia="zh-CN"/>
        </w:rPr>
        <w:t>2.</w:t>
      </w:r>
      <w:r>
        <w:rPr>
          <w:rFonts w:hint="default" w:ascii="Times New Roman" w:hAnsi="Times New Roman" w:eastAsia="方正仿宋_GBK" w:cs="Times New Roman"/>
          <w:bCs/>
          <w:color w:val="000000"/>
          <w:sz w:val="32"/>
          <w:szCs w:val="32"/>
        </w:rPr>
        <w:t>审查和受理各类申诉案件，审判各类再审案件，处理涉诉信访。</w:t>
      </w:r>
    </w:p>
    <w:p w14:paraId="791BCE8C">
      <w:pPr>
        <w:pStyle w:val="8"/>
        <w:keepNext w:val="0"/>
        <w:keepLines w:val="0"/>
        <w:pageBreakBefore w:val="0"/>
        <w:widowControl w:val="0"/>
        <w:kinsoku/>
        <w:wordWrap/>
        <w:overflowPunct/>
        <w:topLinePunct w:val="0"/>
        <w:autoSpaceDE/>
        <w:autoSpaceDN/>
        <w:bidi w:val="0"/>
        <w:adjustRightInd w:val="0"/>
        <w:snapToGrid w:val="0"/>
        <w:spacing w:before="93" w:line="576" w:lineRule="exact"/>
        <w:ind w:firstLine="672" w:firstLineChars="210"/>
        <w:textAlignment w:val="auto"/>
        <w:outlineLvl w:val="2"/>
        <w:rPr>
          <w:rFonts w:hint="default" w:ascii="Times New Roman" w:hAnsi="Times New Roman" w:eastAsia="方正仿宋_GBK" w:cs="Times New Roman"/>
          <w:bCs/>
          <w:color w:val="000000"/>
          <w:sz w:val="32"/>
          <w:szCs w:val="32"/>
        </w:rPr>
      </w:pPr>
      <w:r>
        <w:rPr>
          <w:rFonts w:hint="eastAsia" w:ascii="Times New Roman" w:eastAsia="方正仿宋_GBK" w:cs="Times New Roman"/>
          <w:bCs/>
          <w:color w:val="000000"/>
          <w:sz w:val="32"/>
          <w:szCs w:val="32"/>
          <w:lang w:val="en-US" w:eastAsia="zh-CN"/>
        </w:rPr>
        <w:t>3</w:t>
      </w:r>
      <w:r>
        <w:rPr>
          <w:rFonts w:hint="eastAsia" w:ascii="Times New Roman" w:hAnsi="Times New Roman" w:eastAsia="方正仿宋_GBK" w:cs="Times New Roman"/>
          <w:bCs/>
          <w:color w:val="000000"/>
          <w:sz w:val="32"/>
          <w:szCs w:val="32"/>
          <w:lang w:val="en-US" w:eastAsia="zh-CN"/>
        </w:rPr>
        <w:t>.</w:t>
      </w:r>
      <w:r>
        <w:rPr>
          <w:rFonts w:hint="default" w:ascii="Times New Roman" w:hAnsi="Times New Roman" w:eastAsia="方正仿宋_GBK" w:cs="Times New Roman"/>
          <w:bCs/>
          <w:color w:val="000000"/>
          <w:sz w:val="32"/>
          <w:szCs w:val="32"/>
        </w:rPr>
        <w:t>依法办理发生法律效力的民事、行政案件判决和裁定执行事项及刑事案件判决和裁定中关于财产部分的执行事项;办理法律规定由基层人民法院执行的其他法律文书的执行事项。</w:t>
      </w:r>
    </w:p>
    <w:p w14:paraId="19E2EC99">
      <w:pPr>
        <w:pStyle w:val="8"/>
        <w:keepNext w:val="0"/>
        <w:keepLines w:val="0"/>
        <w:pageBreakBefore w:val="0"/>
        <w:widowControl w:val="0"/>
        <w:kinsoku/>
        <w:wordWrap/>
        <w:overflowPunct/>
        <w:topLinePunct w:val="0"/>
        <w:autoSpaceDE/>
        <w:autoSpaceDN/>
        <w:bidi w:val="0"/>
        <w:adjustRightInd w:val="0"/>
        <w:snapToGrid w:val="0"/>
        <w:spacing w:before="93" w:line="576" w:lineRule="exact"/>
        <w:ind w:firstLine="672" w:firstLineChars="210"/>
        <w:textAlignment w:val="auto"/>
        <w:outlineLvl w:val="2"/>
        <w:rPr>
          <w:rFonts w:hint="default" w:ascii="Times New Roman" w:hAnsi="Times New Roman" w:eastAsia="方正仿宋_GBK" w:cs="Times New Roman"/>
          <w:bCs/>
          <w:color w:val="000000"/>
          <w:sz w:val="32"/>
          <w:szCs w:val="32"/>
        </w:rPr>
      </w:pPr>
      <w:r>
        <w:rPr>
          <w:rFonts w:hint="eastAsia" w:ascii="Times New Roman" w:eastAsia="方正仿宋_GBK" w:cs="Times New Roman"/>
          <w:bCs/>
          <w:color w:val="000000"/>
          <w:sz w:val="32"/>
          <w:szCs w:val="32"/>
          <w:lang w:val="en-US" w:eastAsia="zh-CN"/>
        </w:rPr>
        <w:t>4</w:t>
      </w:r>
      <w:r>
        <w:rPr>
          <w:rFonts w:hint="eastAsia" w:ascii="Times New Roman" w:hAnsi="Times New Roman" w:eastAsia="方正仿宋_GBK" w:cs="Times New Roman"/>
          <w:bCs/>
          <w:color w:val="000000"/>
          <w:sz w:val="32"/>
          <w:szCs w:val="32"/>
          <w:lang w:val="en-US" w:eastAsia="zh-CN"/>
        </w:rPr>
        <w:t>.</w:t>
      </w:r>
      <w:r>
        <w:rPr>
          <w:rFonts w:hint="default" w:ascii="Times New Roman" w:hAnsi="Times New Roman" w:eastAsia="方正仿宋_GBK" w:cs="Times New Roman"/>
          <w:bCs/>
          <w:color w:val="000000"/>
          <w:sz w:val="32"/>
          <w:szCs w:val="32"/>
        </w:rPr>
        <w:t>管理、使用本院的司法警察力量，保证机关和押解人犯的安全，维护正常的审判执行工作秩序。</w:t>
      </w:r>
    </w:p>
    <w:p w14:paraId="465182C7">
      <w:pPr>
        <w:pStyle w:val="8"/>
        <w:keepNext w:val="0"/>
        <w:keepLines w:val="0"/>
        <w:pageBreakBefore w:val="0"/>
        <w:widowControl w:val="0"/>
        <w:kinsoku/>
        <w:wordWrap/>
        <w:overflowPunct/>
        <w:topLinePunct w:val="0"/>
        <w:autoSpaceDE/>
        <w:autoSpaceDN/>
        <w:bidi w:val="0"/>
        <w:adjustRightInd w:val="0"/>
        <w:snapToGrid w:val="0"/>
        <w:spacing w:before="93" w:line="576" w:lineRule="exact"/>
        <w:ind w:firstLine="672" w:firstLineChars="210"/>
        <w:textAlignment w:val="auto"/>
        <w:outlineLvl w:val="2"/>
        <w:rPr>
          <w:rFonts w:hint="default" w:ascii="Times New Roman" w:hAnsi="Times New Roman" w:eastAsia="方正仿宋_GBK" w:cs="Times New Roman"/>
          <w:bCs/>
          <w:color w:val="000000"/>
          <w:sz w:val="32"/>
          <w:szCs w:val="32"/>
        </w:rPr>
      </w:pPr>
      <w:r>
        <w:rPr>
          <w:rFonts w:hint="eastAsia" w:ascii="Times New Roman" w:eastAsia="方正仿宋_GBK" w:cs="Times New Roman"/>
          <w:bCs/>
          <w:color w:val="000000"/>
          <w:sz w:val="32"/>
          <w:szCs w:val="32"/>
          <w:lang w:val="en-US" w:eastAsia="zh-CN"/>
        </w:rPr>
        <w:t>5</w:t>
      </w:r>
      <w:r>
        <w:rPr>
          <w:rFonts w:hint="eastAsia" w:ascii="Times New Roman" w:hAnsi="Times New Roman" w:eastAsia="方正仿宋_GBK" w:cs="Times New Roman"/>
          <w:bCs/>
          <w:color w:val="000000"/>
          <w:sz w:val="32"/>
          <w:szCs w:val="32"/>
          <w:lang w:val="en-US" w:eastAsia="zh-CN"/>
        </w:rPr>
        <w:t>.</w:t>
      </w:r>
      <w:r>
        <w:rPr>
          <w:rFonts w:hint="default" w:ascii="Times New Roman" w:hAnsi="Times New Roman" w:eastAsia="方正仿宋_GBK" w:cs="Times New Roman"/>
          <w:bCs/>
          <w:color w:val="000000"/>
          <w:sz w:val="32"/>
          <w:szCs w:val="32"/>
        </w:rPr>
        <w:t>负责本院审判工作的管理监督、调查研究，总结审判工作经验。</w:t>
      </w:r>
    </w:p>
    <w:p w14:paraId="4B0B3744">
      <w:pPr>
        <w:pStyle w:val="8"/>
        <w:keepNext w:val="0"/>
        <w:keepLines w:val="0"/>
        <w:pageBreakBefore w:val="0"/>
        <w:widowControl w:val="0"/>
        <w:kinsoku/>
        <w:wordWrap/>
        <w:overflowPunct/>
        <w:topLinePunct w:val="0"/>
        <w:autoSpaceDE/>
        <w:autoSpaceDN/>
        <w:bidi w:val="0"/>
        <w:adjustRightInd w:val="0"/>
        <w:snapToGrid w:val="0"/>
        <w:spacing w:before="93" w:line="576" w:lineRule="exact"/>
        <w:ind w:firstLine="672" w:firstLineChars="210"/>
        <w:textAlignment w:val="auto"/>
        <w:outlineLvl w:val="2"/>
        <w:rPr>
          <w:rFonts w:hint="default" w:ascii="Times New Roman" w:hAnsi="Times New Roman" w:eastAsia="方正仿宋_GBK" w:cs="Times New Roman"/>
          <w:bCs/>
          <w:color w:val="000000"/>
          <w:sz w:val="32"/>
          <w:szCs w:val="32"/>
        </w:rPr>
      </w:pPr>
      <w:r>
        <w:rPr>
          <w:rFonts w:hint="eastAsia" w:ascii="Times New Roman" w:eastAsia="方正仿宋_GBK" w:cs="Times New Roman"/>
          <w:bCs/>
          <w:color w:val="000000"/>
          <w:sz w:val="32"/>
          <w:szCs w:val="32"/>
          <w:lang w:val="en-US" w:eastAsia="zh-CN"/>
        </w:rPr>
        <w:t>6</w:t>
      </w:r>
      <w:r>
        <w:rPr>
          <w:rFonts w:hint="eastAsia" w:ascii="Times New Roman" w:hAnsi="Times New Roman" w:eastAsia="方正仿宋_GBK" w:cs="Times New Roman"/>
          <w:bCs/>
          <w:color w:val="000000"/>
          <w:sz w:val="32"/>
          <w:szCs w:val="32"/>
          <w:lang w:val="en-US" w:eastAsia="zh-CN"/>
        </w:rPr>
        <w:t>.</w:t>
      </w:r>
      <w:r>
        <w:rPr>
          <w:rFonts w:hint="default" w:ascii="Times New Roman" w:hAnsi="Times New Roman" w:eastAsia="方正仿宋_GBK" w:cs="Times New Roman"/>
          <w:bCs/>
          <w:color w:val="000000"/>
          <w:sz w:val="32"/>
          <w:szCs w:val="32"/>
        </w:rPr>
        <w:t>负责本院干警思想政治教育、法</w:t>
      </w:r>
      <w:r>
        <w:rPr>
          <w:rFonts w:hint="eastAsia" w:ascii="Times New Roman" w:eastAsia="方正仿宋_GBK" w:cs="Times New Roman"/>
          <w:bCs/>
          <w:color w:val="000000"/>
          <w:sz w:val="32"/>
          <w:szCs w:val="32"/>
          <w:lang w:val="en-US" w:eastAsia="zh-CN"/>
        </w:rPr>
        <w:t>治</w:t>
      </w:r>
      <w:r>
        <w:rPr>
          <w:rFonts w:hint="default" w:ascii="Times New Roman" w:hAnsi="Times New Roman" w:eastAsia="方正仿宋_GBK" w:cs="Times New Roman"/>
          <w:bCs/>
          <w:color w:val="000000"/>
          <w:sz w:val="32"/>
          <w:szCs w:val="32"/>
        </w:rPr>
        <w:t>宣传和业务培训工作</w:t>
      </w:r>
      <w:r>
        <w:rPr>
          <w:rFonts w:hint="eastAsia" w:ascii="Times New Roman" w:hAnsi="Times New Roman" w:eastAsia="方正仿宋_GBK" w:cs="Times New Roman"/>
          <w:bCs/>
          <w:color w:val="000000"/>
          <w:sz w:val="32"/>
          <w:szCs w:val="32"/>
          <w:lang w:eastAsia="zh-CN"/>
        </w:rPr>
        <w:t>；</w:t>
      </w:r>
      <w:r>
        <w:rPr>
          <w:rFonts w:hint="default" w:ascii="Times New Roman" w:hAnsi="Times New Roman" w:eastAsia="方正仿宋_GBK" w:cs="Times New Roman"/>
          <w:bCs/>
          <w:color w:val="000000"/>
          <w:sz w:val="32"/>
          <w:szCs w:val="32"/>
        </w:rPr>
        <w:t>按照权限管理法官和其他工作人员</w:t>
      </w:r>
      <w:r>
        <w:rPr>
          <w:rFonts w:hint="eastAsia" w:ascii="Times New Roman" w:hAnsi="Times New Roman" w:eastAsia="方正仿宋_GBK" w:cs="Times New Roman"/>
          <w:bCs/>
          <w:color w:val="000000"/>
          <w:sz w:val="32"/>
          <w:szCs w:val="32"/>
          <w:lang w:eastAsia="zh-CN"/>
        </w:rPr>
        <w:t>；</w:t>
      </w:r>
      <w:r>
        <w:rPr>
          <w:rFonts w:hint="default" w:ascii="Times New Roman" w:hAnsi="Times New Roman" w:eastAsia="方正仿宋_GBK" w:cs="Times New Roman"/>
          <w:bCs/>
          <w:color w:val="000000"/>
          <w:sz w:val="32"/>
          <w:szCs w:val="32"/>
        </w:rPr>
        <w:t>协同上级法院及县主管部门管理本院的机构设置、人员编制工作。</w:t>
      </w:r>
    </w:p>
    <w:p w14:paraId="2E1F3816">
      <w:pPr>
        <w:pStyle w:val="8"/>
        <w:keepNext w:val="0"/>
        <w:keepLines w:val="0"/>
        <w:pageBreakBefore w:val="0"/>
        <w:widowControl w:val="0"/>
        <w:kinsoku/>
        <w:wordWrap/>
        <w:overflowPunct/>
        <w:topLinePunct w:val="0"/>
        <w:autoSpaceDE/>
        <w:autoSpaceDN/>
        <w:bidi w:val="0"/>
        <w:adjustRightInd w:val="0"/>
        <w:snapToGrid w:val="0"/>
        <w:spacing w:before="93" w:line="576" w:lineRule="exact"/>
        <w:ind w:firstLine="672" w:firstLineChars="210"/>
        <w:textAlignment w:val="auto"/>
        <w:outlineLvl w:val="2"/>
        <w:rPr>
          <w:rFonts w:hint="default" w:ascii="Times New Roman" w:hAnsi="Times New Roman" w:eastAsia="方正仿宋_GBK" w:cs="Times New Roman"/>
          <w:bCs/>
          <w:color w:val="000000"/>
          <w:sz w:val="32"/>
          <w:szCs w:val="32"/>
        </w:rPr>
      </w:pPr>
      <w:r>
        <w:rPr>
          <w:rFonts w:hint="eastAsia" w:ascii="Times New Roman" w:eastAsia="方正仿宋_GBK" w:cs="Times New Roman"/>
          <w:bCs/>
          <w:color w:val="000000"/>
          <w:sz w:val="32"/>
          <w:szCs w:val="32"/>
          <w:lang w:val="en-US" w:eastAsia="zh-CN"/>
        </w:rPr>
        <w:t>7</w:t>
      </w:r>
      <w:r>
        <w:rPr>
          <w:rFonts w:hint="eastAsia" w:ascii="Times New Roman" w:hAnsi="Times New Roman" w:eastAsia="方正仿宋_GBK" w:cs="Times New Roman"/>
          <w:bCs/>
          <w:color w:val="000000"/>
          <w:sz w:val="32"/>
          <w:szCs w:val="32"/>
          <w:lang w:val="en-US" w:eastAsia="zh-CN"/>
        </w:rPr>
        <w:t>.</w:t>
      </w:r>
      <w:r>
        <w:rPr>
          <w:rFonts w:hint="default" w:ascii="Times New Roman" w:hAnsi="Times New Roman" w:eastAsia="方正仿宋_GBK" w:cs="Times New Roman"/>
          <w:bCs/>
          <w:color w:val="000000"/>
          <w:sz w:val="32"/>
          <w:szCs w:val="32"/>
        </w:rPr>
        <w:t>管理本院的有关经费及物资装备。</w:t>
      </w:r>
    </w:p>
    <w:p w14:paraId="0B58F0D1">
      <w:pPr>
        <w:pStyle w:val="8"/>
        <w:keepNext w:val="0"/>
        <w:keepLines w:val="0"/>
        <w:pageBreakBefore w:val="0"/>
        <w:widowControl w:val="0"/>
        <w:kinsoku/>
        <w:wordWrap/>
        <w:overflowPunct/>
        <w:topLinePunct w:val="0"/>
        <w:autoSpaceDE/>
        <w:autoSpaceDN/>
        <w:bidi w:val="0"/>
        <w:adjustRightInd w:val="0"/>
        <w:snapToGrid w:val="0"/>
        <w:spacing w:before="93" w:line="576" w:lineRule="exact"/>
        <w:ind w:firstLine="672" w:firstLineChars="210"/>
        <w:textAlignment w:val="auto"/>
        <w:outlineLvl w:val="2"/>
        <w:rPr>
          <w:rFonts w:hint="default" w:ascii="Times New Roman" w:hAnsi="Times New Roman" w:eastAsia="方正仿宋_GBK" w:cs="Times New Roman"/>
          <w:bCs/>
          <w:color w:val="000000"/>
          <w:sz w:val="32"/>
          <w:szCs w:val="32"/>
        </w:rPr>
      </w:pPr>
      <w:r>
        <w:rPr>
          <w:rFonts w:hint="eastAsia" w:ascii="Times New Roman" w:eastAsia="方正仿宋_GBK" w:cs="Times New Roman"/>
          <w:bCs/>
          <w:color w:val="000000"/>
          <w:sz w:val="32"/>
          <w:szCs w:val="32"/>
          <w:lang w:val="en-US" w:eastAsia="zh-CN"/>
        </w:rPr>
        <w:t>8</w:t>
      </w:r>
      <w:r>
        <w:rPr>
          <w:rFonts w:hint="eastAsia" w:ascii="Times New Roman" w:hAnsi="Times New Roman" w:eastAsia="方正仿宋_GBK" w:cs="Times New Roman"/>
          <w:bCs/>
          <w:color w:val="000000"/>
          <w:sz w:val="32"/>
          <w:szCs w:val="32"/>
          <w:lang w:val="en-US" w:eastAsia="zh-CN"/>
        </w:rPr>
        <w:t>.</w:t>
      </w:r>
      <w:r>
        <w:rPr>
          <w:rFonts w:hint="default" w:ascii="Times New Roman" w:hAnsi="Times New Roman" w:eastAsia="方正仿宋_GBK" w:cs="Times New Roman"/>
          <w:bCs/>
          <w:color w:val="000000"/>
          <w:sz w:val="32"/>
          <w:szCs w:val="32"/>
        </w:rPr>
        <w:t>负责本院司法技术鉴定、通讯、网络信息等技术管理工作。</w:t>
      </w:r>
    </w:p>
    <w:p w14:paraId="6C02E925">
      <w:pPr>
        <w:pStyle w:val="8"/>
        <w:keepNext w:val="0"/>
        <w:keepLines w:val="0"/>
        <w:pageBreakBefore w:val="0"/>
        <w:widowControl w:val="0"/>
        <w:kinsoku/>
        <w:wordWrap/>
        <w:overflowPunct/>
        <w:topLinePunct w:val="0"/>
        <w:autoSpaceDE/>
        <w:autoSpaceDN/>
        <w:bidi w:val="0"/>
        <w:adjustRightInd w:val="0"/>
        <w:snapToGrid w:val="0"/>
        <w:spacing w:before="93" w:line="576" w:lineRule="exact"/>
        <w:ind w:firstLine="672" w:firstLineChars="210"/>
        <w:textAlignment w:val="auto"/>
        <w:outlineLvl w:val="2"/>
        <w:rPr>
          <w:rFonts w:hint="default" w:ascii="Times New Roman" w:hAnsi="Times New Roman" w:eastAsia="方正仿宋_GBK" w:cs="Times New Roman"/>
          <w:bCs/>
          <w:color w:val="000000"/>
          <w:sz w:val="32"/>
          <w:szCs w:val="32"/>
        </w:rPr>
      </w:pPr>
      <w:r>
        <w:rPr>
          <w:rFonts w:hint="eastAsia" w:ascii="Times New Roman" w:eastAsia="方正仿宋_GBK" w:cs="Times New Roman"/>
          <w:bCs/>
          <w:color w:val="000000"/>
          <w:sz w:val="32"/>
          <w:szCs w:val="32"/>
          <w:lang w:val="en-US" w:eastAsia="zh-CN"/>
        </w:rPr>
        <w:t>9</w:t>
      </w:r>
      <w:r>
        <w:rPr>
          <w:rFonts w:hint="eastAsia" w:ascii="Times New Roman" w:hAnsi="Times New Roman" w:eastAsia="方正仿宋_GBK" w:cs="Times New Roman"/>
          <w:bCs/>
          <w:color w:val="000000"/>
          <w:sz w:val="32"/>
          <w:szCs w:val="32"/>
          <w:lang w:val="en-US" w:eastAsia="zh-CN"/>
        </w:rPr>
        <w:t>.</w:t>
      </w:r>
      <w:r>
        <w:rPr>
          <w:rFonts w:hint="default" w:ascii="Times New Roman" w:hAnsi="Times New Roman" w:eastAsia="方正仿宋_GBK" w:cs="Times New Roman"/>
          <w:bCs/>
          <w:color w:val="000000"/>
          <w:sz w:val="32"/>
          <w:szCs w:val="32"/>
        </w:rPr>
        <w:t>负责人民陪审员的选任、培训、使用、考核、奖惩等相关工作。</w:t>
      </w:r>
    </w:p>
    <w:p w14:paraId="6F0E4075">
      <w:pPr>
        <w:pStyle w:val="8"/>
        <w:keepNext w:val="0"/>
        <w:keepLines w:val="0"/>
        <w:pageBreakBefore w:val="0"/>
        <w:widowControl w:val="0"/>
        <w:kinsoku/>
        <w:wordWrap/>
        <w:overflowPunct/>
        <w:topLinePunct w:val="0"/>
        <w:autoSpaceDE/>
        <w:autoSpaceDN/>
        <w:bidi w:val="0"/>
        <w:adjustRightInd w:val="0"/>
        <w:snapToGrid w:val="0"/>
        <w:spacing w:before="93" w:line="576" w:lineRule="exact"/>
        <w:ind w:firstLine="672" w:firstLineChars="210"/>
        <w:textAlignment w:val="auto"/>
        <w:outlineLvl w:val="2"/>
        <w:rPr>
          <w:rFonts w:hint="default" w:ascii="Times New Roman" w:hAnsi="Times New Roman" w:eastAsia="方正仿宋_GBK" w:cs="Times New Roman"/>
          <w:bCs/>
          <w:color w:val="000000"/>
          <w:sz w:val="32"/>
          <w:szCs w:val="32"/>
        </w:rPr>
      </w:pPr>
      <w:r>
        <w:rPr>
          <w:rFonts w:hint="eastAsia" w:ascii="Times New Roman" w:hAnsi="Times New Roman" w:eastAsia="方正仿宋_GBK" w:cs="Times New Roman"/>
          <w:bCs/>
          <w:color w:val="000000"/>
          <w:sz w:val="32"/>
          <w:szCs w:val="32"/>
          <w:lang w:val="en-US" w:eastAsia="zh-CN"/>
        </w:rPr>
        <w:t>1</w:t>
      </w:r>
      <w:r>
        <w:rPr>
          <w:rFonts w:hint="eastAsia" w:ascii="Times New Roman" w:eastAsia="方正仿宋_GBK" w:cs="Times New Roman"/>
          <w:bCs/>
          <w:color w:val="000000"/>
          <w:sz w:val="32"/>
          <w:szCs w:val="32"/>
          <w:lang w:val="en-US" w:eastAsia="zh-CN"/>
        </w:rPr>
        <w:t>0</w:t>
      </w:r>
      <w:r>
        <w:rPr>
          <w:rFonts w:hint="eastAsia" w:ascii="Times New Roman" w:hAnsi="Times New Roman" w:eastAsia="方正仿宋_GBK" w:cs="Times New Roman"/>
          <w:bCs/>
          <w:color w:val="000000"/>
          <w:sz w:val="32"/>
          <w:szCs w:val="32"/>
          <w:lang w:val="en-US" w:eastAsia="zh-CN"/>
        </w:rPr>
        <w:t>.</w:t>
      </w:r>
      <w:r>
        <w:rPr>
          <w:rFonts w:hint="default" w:ascii="Times New Roman" w:hAnsi="Times New Roman" w:eastAsia="方正仿宋_GBK" w:cs="Times New Roman"/>
          <w:bCs/>
          <w:color w:val="000000"/>
          <w:sz w:val="32"/>
          <w:szCs w:val="32"/>
        </w:rPr>
        <w:t>自觉接受上级法院对审判工作的监督和指导。</w:t>
      </w:r>
    </w:p>
    <w:p w14:paraId="2F8229CA">
      <w:pPr>
        <w:pStyle w:val="8"/>
        <w:keepNext w:val="0"/>
        <w:keepLines w:val="0"/>
        <w:pageBreakBefore w:val="0"/>
        <w:widowControl w:val="0"/>
        <w:kinsoku/>
        <w:wordWrap/>
        <w:overflowPunct/>
        <w:topLinePunct w:val="0"/>
        <w:autoSpaceDE/>
        <w:autoSpaceDN/>
        <w:bidi w:val="0"/>
        <w:adjustRightInd w:val="0"/>
        <w:snapToGrid w:val="0"/>
        <w:spacing w:before="93" w:line="576" w:lineRule="exact"/>
        <w:ind w:firstLine="672" w:firstLineChars="210"/>
        <w:textAlignment w:val="auto"/>
        <w:outlineLvl w:val="2"/>
        <w:rPr>
          <w:rFonts w:hint="default" w:ascii="Times New Roman" w:hAnsi="Times New Roman" w:eastAsia="方正仿宋_GBK" w:cs="Times New Roman"/>
          <w:bCs/>
          <w:color w:val="000000"/>
          <w:sz w:val="32"/>
          <w:szCs w:val="32"/>
        </w:rPr>
      </w:pPr>
      <w:r>
        <w:rPr>
          <w:rFonts w:hint="eastAsia" w:ascii="Times New Roman" w:hAnsi="Times New Roman" w:eastAsia="方正仿宋_GBK" w:cs="Times New Roman"/>
          <w:bCs/>
          <w:color w:val="000000"/>
          <w:sz w:val="32"/>
          <w:szCs w:val="32"/>
          <w:lang w:val="en-US" w:eastAsia="zh-CN"/>
        </w:rPr>
        <w:t>1</w:t>
      </w:r>
      <w:r>
        <w:rPr>
          <w:rFonts w:hint="eastAsia" w:ascii="Times New Roman" w:eastAsia="方正仿宋_GBK" w:cs="Times New Roman"/>
          <w:bCs/>
          <w:color w:val="000000"/>
          <w:sz w:val="32"/>
          <w:szCs w:val="32"/>
          <w:lang w:val="en-US" w:eastAsia="zh-CN"/>
        </w:rPr>
        <w:t>1</w:t>
      </w:r>
      <w:r>
        <w:rPr>
          <w:rFonts w:hint="eastAsia" w:ascii="Times New Roman" w:hAnsi="Times New Roman" w:eastAsia="方正仿宋_GBK" w:cs="Times New Roman"/>
          <w:bCs/>
          <w:color w:val="000000"/>
          <w:sz w:val="32"/>
          <w:szCs w:val="32"/>
          <w:lang w:val="en-US" w:eastAsia="zh-CN"/>
        </w:rPr>
        <w:t>.</w:t>
      </w:r>
      <w:r>
        <w:rPr>
          <w:rFonts w:hint="default" w:ascii="Times New Roman" w:hAnsi="Times New Roman" w:eastAsia="方正仿宋_GBK" w:cs="Times New Roman"/>
          <w:bCs/>
          <w:color w:val="000000"/>
          <w:sz w:val="32"/>
          <w:szCs w:val="32"/>
        </w:rPr>
        <w:t>做好人大代表、政协委员联络工作。</w:t>
      </w:r>
    </w:p>
    <w:p w14:paraId="6FA7353E">
      <w:pPr>
        <w:pStyle w:val="8"/>
        <w:keepNext w:val="0"/>
        <w:keepLines w:val="0"/>
        <w:pageBreakBefore w:val="0"/>
        <w:widowControl w:val="0"/>
        <w:kinsoku/>
        <w:wordWrap/>
        <w:overflowPunct/>
        <w:topLinePunct w:val="0"/>
        <w:autoSpaceDE/>
        <w:autoSpaceDN/>
        <w:bidi w:val="0"/>
        <w:adjustRightInd w:val="0"/>
        <w:snapToGrid w:val="0"/>
        <w:spacing w:before="93" w:line="576" w:lineRule="exact"/>
        <w:ind w:firstLine="672" w:firstLineChars="210"/>
        <w:textAlignment w:val="auto"/>
        <w:outlineLvl w:val="2"/>
        <w:rPr>
          <w:rFonts w:hint="default" w:ascii="Times New Roman" w:hAnsi="Times New Roman" w:eastAsia="方正仿宋_GBK" w:cs="Times New Roman"/>
          <w:bCs/>
          <w:color w:val="000000"/>
          <w:sz w:val="32"/>
          <w:szCs w:val="32"/>
        </w:rPr>
      </w:pPr>
      <w:r>
        <w:rPr>
          <w:rFonts w:hint="eastAsia" w:ascii="Times New Roman" w:hAnsi="Times New Roman" w:eastAsia="方正仿宋_GBK" w:cs="Times New Roman"/>
          <w:bCs/>
          <w:color w:val="000000"/>
          <w:sz w:val="32"/>
          <w:szCs w:val="32"/>
          <w:lang w:val="en-US" w:eastAsia="zh-CN"/>
        </w:rPr>
        <w:t>1</w:t>
      </w:r>
      <w:r>
        <w:rPr>
          <w:rFonts w:hint="eastAsia" w:ascii="Times New Roman" w:eastAsia="方正仿宋_GBK" w:cs="Times New Roman"/>
          <w:bCs/>
          <w:color w:val="000000"/>
          <w:sz w:val="32"/>
          <w:szCs w:val="32"/>
          <w:lang w:val="en-US" w:eastAsia="zh-CN"/>
        </w:rPr>
        <w:t>2</w:t>
      </w:r>
      <w:r>
        <w:rPr>
          <w:rFonts w:hint="eastAsia" w:ascii="Times New Roman" w:hAnsi="Times New Roman" w:eastAsia="方正仿宋_GBK" w:cs="Times New Roman"/>
          <w:bCs/>
          <w:color w:val="000000"/>
          <w:sz w:val="32"/>
          <w:szCs w:val="32"/>
          <w:lang w:val="en-US" w:eastAsia="zh-CN"/>
        </w:rPr>
        <w:t>.</w:t>
      </w:r>
      <w:r>
        <w:rPr>
          <w:rFonts w:hint="default" w:ascii="Times New Roman" w:hAnsi="Times New Roman" w:eastAsia="方正仿宋_GBK" w:cs="Times New Roman"/>
          <w:bCs/>
          <w:color w:val="000000"/>
          <w:sz w:val="32"/>
          <w:szCs w:val="32"/>
        </w:rPr>
        <w:t>完成其他应由基层人民法院负责的工作。　</w:t>
      </w:r>
    </w:p>
    <w:p w14:paraId="6C465852">
      <w:pPr>
        <w:keepNext w:val="0"/>
        <w:keepLines w:val="0"/>
        <w:pageBreakBefore w:val="0"/>
        <w:widowControl w:val="0"/>
        <w:numPr>
          <w:ilvl w:val="0"/>
          <w:numId w:val="0"/>
        </w:numPr>
        <w:kinsoku/>
        <w:wordWrap/>
        <w:overflowPunct w:val="0"/>
        <w:topLinePunct w:val="0"/>
        <w:autoSpaceDE/>
        <w:autoSpaceDN/>
        <w:bidi w:val="0"/>
        <w:adjustRightInd/>
        <w:snapToGrid/>
        <w:spacing w:line="576" w:lineRule="exact"/>
        <w:ind w:left="0" w:leftChars="0" w:right="0" w:rightChars="0" w:firstLine="640" w:firstLineChars="200"/>
        <w:jc w:val="both"/>
        <w:textAlignment w:val="auto"/>
        <w:outlineLvl w:val="9"/>
        <w:rPr>
          <w:rStyle w:val="26"/>
          <w:rFonts w:hint="eastAsia" w:ascii="方正黑体_GBK" w:hAnsi="方正黑体_GBK" w:eastAsia="方正黑体_GBK" w:cs="方正黑体_GBK"/>
          <w:b w:val="0"/>
          <w:bCs w:val="0"/>
          <w:sz w:val="32"/>
          <w:szCs w:val="32"/>
        </w:rPr>
      </w:pPr>
      <w:bookmarkStart w:id="24" w:name="_Toc15396601"/>
      <w:bookmarkStart w:id="25" w:name="_Toc79163605"/>
      <w:bookmarkStart w:id="26" w:name="_Toc79163855"/>
      <w:bookmarkStart w:id="27" w:name="_Toc15377200"/>
      <w:r>
        <w:rPr>
          <w:rFonts w:hint="eastAsia" w:ascii="方正黑体_GBK" w:hAnsi="方正黑体_GBK" w:eastAsia="方正黑体_GBK" w:cs="方正黑体_GBK"/>
          <w:b w:val="0"/>
          <w:color w:val="000000"/>
          <w:sz w:val="32"/>
          <w:szCs w:val="32"/>
        </w:rPr>
        <w:t>二、机</w:t>
      </w:r>
      <w:r>
        <w:rPr>
          <w:rStyle w:val="26"/>
          <w:rFonts w:hint="eastAsia" w:ascii="方正黑体_GBK" w:hAnsi="方正黑体_GBK" w:eastAsia="方正黑体_GBK" w:cs="方正黑体_GBK"/>
          <w:b w:val="0"/>
          <w:bCs w:val="0"/>
          <w:sz w:val="32"/>
          <w:szCs w:val="32"/>
        </w:rPr>
        <w:t>构设置</w:t>
      </w:r>
      <w:bookmarkEnd w:id="24"/>
      <w:bookmarkEnd w:id="25"/>
      <w:bookmarkEnd w:id="26"/>
      <w:bookmarkEnd w:id="27"/>
    </w:p>
    <w:p w14:paraId="35102676">
      <w:pPr>
        <w:keepNext w:val="0"/>
        <w:keepLines w:val="0"/>
        <w:pageBreakBefore w:val="0"/>
        <w:widowControl w:val="0"/>
        <w:numPr>
          <w:ilvl w:val="0"/>
          <w:numId w:val="0"/>
        </w:numPr>
        <w:kinsoku/>
        <w:wordWrap/>
        <w:overflowPunct w:val="0"/>
        <w:topLinePunct w:val="0"/>
        <w:autoSpaceDE/>
        <w:autoSpaceDN/>
        <w:bidi w:val="0"/>
        <w:adjustRightInd/>
        <w:snapToGrid/>
        <w:spacing w:line="576" w:lineRule="exact"/>
        <w:ind w:left="0" w:leftChars="0" w:right="0" w:rightChars="0" w:firstLine="664" w:firstLineChars="200"/>
        <w:jc w:val="both"/>
        <w:textAlignment w:val="auto"/>
        <w:outlineLvl w:val="9"/>
        <w:rPr>
          <w:rFonts w:hint="eastAsia" w:ascii="Times New Roman" w:hAnsi="Times New Roman" w:eastAsia="方正仿宋_GBK" w:cs="Times New Roman"/>
          <w:b w:val="0"/>
          <w:bCs w:val="0"/>
          <w:spacing w:val="6"/>
          <w:kern w:val="2"/>
          <w:sz w:val="32"/>
          <w:szCs w:val="32"/>
          <w:lang w:val="en-US" w:eastAsia="zh-CN" w:bidi="ar-SA"/>
        </w:rPr>
      </w:pPr>
      <w:r>
        <w:rPr>
          <w:rFonts w:hint="eastAsia" w:ascii="Times New Roman" w:hAnsi="Times New Roman" w:eastAsia="方正仿宋_GBK" w:cs="Times New Roman"/>
          <w:b w:val="0"/>
          <w:bCs w:val="0"/>
          <w:spacing w:val="6"/>
          <w:kern w:val="2"/>
          <w:sz w:val="32"/>
          <w:szCs w:val="32"/>
          <w:lang w:val="en-US" w:eastAsia="zh-CN" w:bidi="ar-SA"/>
        </w:rPr>
        <w:t>九寨沟县人民法院属一级决算单位，共设有</w:t>
      </w:r>
      <w:r>
        <w:rPr>
          <w:rFonts w:hint="eastAsia" w:eastAsia="方正仿宋_GBK" w:cs="Times New Roman"/>
          <w:b w:val="0"/>
          <w:bCs w:val="0"/>
          <w:spacing w:val="6"/>
          <w:kern w:val="2"/>
          <w:sz w:val="32"/>
          <w:szCs w:val="32"/>
          <w:lang w:val="en-US" w:eastAsia="zh-CN" w:bidi="ar-SA"/>
        </w:rPr>
        <w:t>9</w:t>
      </w:r>
      <w:r>
        <w:rPr>
          <w:rFonts w:hint="eastAsia" w:ascii="Times New Roman" w:hAnsi="Times New Roman" w:eastAsia="方正仿宋_GBK" w:cs="Times New Roman"/>
          <w:b w:val="0"/>
          <w:bCs w:val="0"/>
          <w:spacing w:val="6"/>
          <w:kern w:val="2"/>
          <w:sz w:val="32"/>
          <w:szCs w:val="32"/>
          <w:lang w:val="en-US" w:eastAsia="zh-CN" w:bidi="ar-SA"/>
        </w:rPr>
        <w:t>个内设</w:t>
      </w:r>
      <w:r>
        <w:rPr>
          <w:rFonts w:hint="eastAsia" w:eastAsia="方正仿宋_GBK" w:cs="Times New Roman"/>
          <w:b w:val="0"/>
          <w:bCs w:val="0"/>
          <w:spacing w:val="6"/>
          <w:kern w:val="2"/>
          <w:sz w:val="32"/>
          <w:szCs w:val="32"/>
          <w:lang w:val="en-US" w:eastAsia="zh-CN" w:bidi="ar-SA"/>
        </w:rPr>
        <w:t>庭室</w:t>
      </w:r>
      <w:r>
        <w:rPr>
          <w:rFonts w:hint="eastAsia" w:ascii="Times New Roman" w:hAnsi="Times New Roman" w:eastAsia="方正仿宋_GBK" w:cs="Times New Roman"/>
          <w:b w:val="0"/>
          <w:bCs w:val="0"/>
          <w:spacing w:val="6"/>
          <w:kern w:val="2"/>
          <w:sz w:val="32"/>
          <w:szCs w:val="32"/>
          <w:lang w:val="en-US" w:eastAsia="zh-CN" w:bidi="ar-SA"/>
        </w:rPr>
        <w:t>，3个派出机构。在职人员共</w:t>
      </w:r>
      <w:r>
        <w:rPr>
          <w:rFonts w:hint="eastAsia" w:eastAsia="方正仿宋_GBK" w:cs="Times New Roman"/>
          <w:b w:val="0"/>
          <w:bCs w:val="0"/>
          <w:spacing w:val="6"/>
          <w:kern w:val="2"/>
          <w:sz w:val="32"/>
          <w:szCs w:val="32"/>
          <w:lang w:val="en-US" w:eastAsia="zh-CN" w:bidi="ar-SA"/>
        </w:rPr>
        <w:t>52</w:t>
      </w:r>
      <w:r>
        <w:rPr>
          <w:rFonts w:hint="eastAsia" w:ascii="Times New Roman" w:hAnsi="Times New Roman" w:eastAsia="方正仿宋_GBK" w:cs="Times New Roman"/>
          <w:b w:val="0"/>
          <w:bCs w:val="0"/>
          <w:spacing w:val="6"/>
          <w:kern w:val="2"/>
          <w:sz w:val="32"/>
          <w:szCs w:val="32"/>
          <w:lang w:val="en-US" w:eastAsia="zh-CN" w:bidi="ar-SA"/>
        </w:rPr>
        <w:t>人，其中公务员4</w:t>
      </w:r>
      <w:r>
        <w:rPr>
          <w:rFonts w:hint="eastAsia" w:eastAsia="方正仿宋_GBK" w:cs="Times New Roman"/>
          <w:b w:val="0"/>
          <w:bCs w:val="0"/>
          <w:spacing w:val="6"/>
          <w:kern w:val="2"/>
          <w:sz w:val="32"/>
          <w:szCs w:val="32"/>
          <w:lang w:val="en-US" w:eastAsia="zh-CN" w:bidi="ar-SA"/>
        </w:rPr>
        <w:t>8</w:t>
      </w:r>
      <w:r>
        <w:rPr>
          <w:rFonts w:hint="eastAsia" w:ascii="Times New Roman" w:hAnsi="Times New Roman" w:eastAsia="方正仿宋_GBK" w:cs="Times New Roman"/>
          <w:b w:val="0"/>
          <w:bCs w:val="0"/>
          <w:spacing w:val="6"/>
          <w:kern w:val="2"/>
          <w:sz w:val="32"/>
          <w:szCs w:val="32"/>
          <w:lang w:val="en-US" w:eastAsia="zh-CN" w:bidi="ar-SA"/>
        </w:rPr>
        <w:t>人，工勤人员4人。</w:t>
      </w:r>
    </w:p>
    <w:p w14:paraId="1AB73D3C">
      <w:pPr>
        <w:widowControl/>
        <w:jc w:val="left"/>
        <w:rPr>
          <w:rFonts w:ascii="仿宋" w:hAnsi="仿宋" w:eastAsia="仿宋"/>
          <w:color w:val="000000"/>
          <w:kern w:val="0"/>
          <w:sz w:val="32"/>
          <w:szCs w:val="32"/>
        </w:rPr>
      </w:pPr>
      <w:r>
        <w:rPr>
          <w:rFonts w:ascii="仿宋" w:hAnsi="仿宋" w:eastAsia="仿宋"/>
          <w:color w:val="000000"/>
          <w:sz w:val="32"/>
          <w:szCs w:val="32"/>
        </w:rPr>
        <w:br w:type="page"/>
      </w:r>
    </w:p>
    <w:p w14:paraId="172748A2">
      <w:pPr>
        <w:pStyle w:val="4"/>
        <w:ind w:right="440"/>
        <w:jc w:val="center"/>
      </w:pPr>
      <w:bookmarkStart w:id="28" w:name="_Toc15396602"/>
      <w:bookmarkStart w:id="29" w:name="_Toc15377204"/>
      <w:bookmarkStart w:id="30" w:name="_Toc79163609"/>
      <w:bookmarkStart w:id="31" w:name="_Toc79163859"/>
      <w:r>
        <w:rPr>
          <w:rFonts w:hint="eastAsia" w:ascii="黑体" w:hAnsi="黑体" w:eastAsia="黑体"/>
          <w:b w:val="0"/>
          <w:color w:val="000000"/>
        </w:rPr>
        <w:t>第二部分</w:t>
      </w:r>
      <w:r>
        <w:rPr>
          <w:rFonts w:ascii="黑体" w:hAnsi="黑体" w:eastAsia="黑体"/>
          <w:color w:val="000000"/>
        </w:rPr>
        <w:t xml:space="preserve"> </w:t>
      </w:r>
      <w:r>
        <w:rPr>
          <w:rStyle w:val="25"/>
          <w:rFonts w:hint="eastAsia" w:ascii="黑体" w:hAnsi="黑体" w:eastAsia="黑体"/>
          <w:b w:val="0"/>
          <w:bCs w:val="0"/>
          <w:lang w:eastAsia="zh-CN"/>
        </w:rPr>
        <w:t>202</w:t>
      </w:r>
      <w:r>
        <w:rPr>
          <w:rStyle w:val="25"/>
          <w:rFonts w:hint="eastAsia" w:ascii="黑体" w:hAnsi="黑体" w:eastAsia="黑体"/>
          <w:b w:val="0"/>
          <w:bCs w:val="0"/>
          <w:lang w:val="en-US" w:eastAsia="zh-CN"/>
        </w:rPr>
        <w:t>5</w:t>
      </w:r>
      <w:r>
        <w:rPr>
          <w:rStyle w:val="25"/>
          <w:rFonts w:hint="eastAsia" w:ascii="黑体" w:hAnsi="黑体" w:eastAsia="黑体"/>
          <w:b w:val="0"/>
          <w:bCs w:val="0"/>
        </w:rPr>
        <w:t>年度部门决算情况说明</w:t>
      </w:r>
      <w:bookmarkEnd w:id="28"/>
      <w:bookmarkEnd w:id="29"/>
      <w:bookmarkEnd w:id="30"/>
      <w:bookmarkEnd w:id="31"/>
    </w:p>
    <w:p w14:paraId="2173687E">
      <w:pPr>
        <w:pStyle w:val="36"/>
        <w:numPr>
          <w:ilvl w:val="0"/>
          <w:numId w:val="1"/>
        </w:numPr>
        <w:spacing w:line="600" w:lineRule="exact"/>
        <w:ind w:firstLineChars="0"/>
        <w:outlineLvl w:val="1"/>
        <w:rPr>
          <w:rStyle w:val="26"/>
          <w:rFonts w:ascii="黑体" w:hAnsi="黑体" w:eastAsia="黑体"/>
          <w:b w:val="0"/>
        </w:rPr>
      </w:pPr>
      <w:bookmarkStart w:id="32" w:name="_Toc79163860"/>
      <w:bookmarkStart w:id="33" w:name="_Toc15396603"/>
      <w:bookmarkStart w:id="34" w:name="_Toc79163610"/>
      <w:bookmarkStart w:id="35" w:name="_Toc15377205"/>
      <w:r>
        <w:rPr>
          <w:rFonts w:hint="eastAsia" w:ascii="黑体" w:hAnsi="黑体" w:eastAsia="黑体"/>
          <w:color w:val="000000"/>
          <w:sz w:val="32"/>
          <w:szCs w:val="32"/>
        </w:rPr>
        <w:t>收</w:t>
      </w:r>
      <w:r>
        <w:rPr>
          <w:rStyle w:val="26"/>
          <w:rFonts w:hint="eastAsia" w:ascii="黑体" w:hAnsi="黑体" w:eastAsia="黑体"/>
          <w:b w:val="0"/>
        </w:rPr>
        <w:t>入支出决算总体情况说明</w:t>
      </w:r>
      <w:bookmarkEnd w:id="32"/>
      <w:bookmarkEnd w:id="33"/>
      <w:bookmarkEnd w:id="34"/>
      <w:bookmarkEnd w:id="35"/>
    </w:p>
    <w:p w14:paraId="5A1A276A">
      <w:pPr>
        <w:spacing w:line="600" w:lineRule="exact"/>
        <w:ind w:firstLine="640" w:firstLineChars="200"/>
        <w:rPr>
          <w:rFonts w:hint="eastAsia" w:ascii="仿宋" w:hAnsi="仿宋" w:eastAsia="仿宋"/>
          <w:color w:val="000000"/>
          <w:sz w:val="32"/>
          <w:szCs w:val="32"/>
          <w:lang w:val="en-US" w:eastAsia="zh-CN"/>
        </w:rPr>
      </w:pPr>
      <w:r>
        <w:rPr>
          <w:rFonts w:hint="eastAsia" w:ascii="仿宋" w:hAnsi="仿宋" w:eastAsia="仿宋"/>
          <w:color w:val="000000"/>
          <w:sz w:val="32"/>
          <w:szCs w:val="32"/>
          <w:lang w:eastAsia="zh-CN"/>
        </w:rPr>
        <w:t>202</w:t>
      </w:r>
      <w:r>
        <w:rPr>
          <w:rFonts w:hint="eastAsia" w:ascii="仿宋" w:hAnsi="仿宋" w:eastAsia="仿宋"/>
          <w:color w:val="000000"/>
          <w:sz w:val="32"/>
          <w:szCs w:val="32"/>
          <w:lang w:val="en-US" w:eastAsia="zh-CN"/>
        </w:rPr>
        <w:t>5</w:t>
      </w:r>
      <w:r>
        <w:rPr>
          <w:rFonts w:hint="eastAsia" w:ascii="仿宋" w:hAnsi="仿宋" w:eastAsia="仿宋"/>
          <w:color w:val="000000"/>
          <w:sz w:val="32"/>
          <w:szCs w:val="32"/>
        </w:rPr>
        <w:t>年度收、支总计</w:t>
      </w:r>
      <w:r>
        <w:rPr>
          <w:rFonts w:hint="eastAsia" w:ascii="仿宋" w:hAnsi="仿宋" w:eastAsia="仿宋"/>
          <w:color w:val="000000"/>
          <w:sz w:val="32"/>
          <w:szCs w:val="32"/>
          <w:lang w:val="en-US" w:eastAsia="zh-CN"/>
        </w:rPr>
        <w:t>2441.27</w:t>
      </w:r>
      <w:r>
        <w:rPr>
          <w:rFonts w:hint="eastAsia" w:ascii="仿宋" w:hAnsi="仿宋" w:eastAsia="仿宋"/>
          <w:color w:val="000000"/>
          <w:sz w:val="32"/>
          <w:szCs w:val="32"/>
        </w:rPr>
        <w:t>万元。与</w:t>
      </w:r>
      <w:r>
        <w:rPr>
          <w:rFonts w:ascii="仿宋" w:hAnsi="仿宋" w:eastAsia="仿宋"/>
          <w:color w:val="000000"/>
          <w:sz w:val="32"/>
          <w:szCs w:val="32"/>
        </w:rPr>
        <w:t>20</w:t>
      </w:r>
      <w:r>
        <w:rPr>
          <w:rFonts w:hint="eastAsia" w:ascii="仿宋" w:hAnsi="仿宋" w:eastAsia="仿宋"/>
          <w:color w:val="000000"/>
          <w:sz w:val="32"/>
          <w:szCs w:val="32"/>
          <w:lang w:val="en-US" w:eastAsia="zh-CN"/>
        </w:rPr>
        <w:t>24</w:t>
      </w:r>
      <w:r>
        <w:rPr>
          <w:rFonts w:hint="eastAsia" w:ascii="仿宋" w:hAnsi="仿宋" w:eastAsia="仿宋"/>
          <w:color w:val="000000"/>
          <w:sz w:val="32"/>
          <w:szCs w:val="32"/>
        </w:rPr>
        <w:t>年相比，收、支总计各</w:t>
      </w:r>
      <w:r>
        <w:rPr>
          <w:rFonts w:hint="eastAsia" w:ascii="仿宋" w:hAnsi="仿宋" w:eastAsia="仿宋"/>
          <w:color w:val="000000"/>
          <w:sz w:val="32"/>
          <w:szCs w:val="32"/>
          <w:lang w:val="en-US" w:eastAsia="zh-CN"/>
        </w:rPr>
        <w:t>减少250.49</w:t>
      </w:r>
      <w:r>
        <w:rPr>
          <w:rFonts w:hint="eastAsia" w:ascii="仿宋" w:hAnsi="仿宋" w:eastAsia="仿宋"/>
          <w:color w:val="000000"/>
          <w:sz w:val="32"/>
          <w:szCs w:val="32"/>
        </w:rPr>
        <w:t>万元，</w:t>
      </w:r>
      <w:r>
        <w:rPr>
          <w:rFonts w:hint="eastAsia" w:ascii="仿宋" w:hAnsi="仿宋" w:eastAsia="仿宋"/>
          <w:color w:val="000000"/>
          <w:sz w:val="32"/>
          <w:szCs w:val="32"/>
          <w:lang w:val="en-US" w:eastAsia="zh-CN"/>
        </w:rPr>
        <w:t>下降9.31</w:t>
      </w:r>
      <w:r>
        <w:rPr>
          <w:rFonts w:ascii="仿宋" w:hAnsi="仿宋" w:eastAsia="仿宋"/>
          <w:color w:val="000000"/>
          <w:sz w:val="32"/>
          <w:szCs w:val="32"/>
        </w:rPr>
        <w:t>%</w:t>
      </w:r>
      <w:r>
        <w:rPr>
          <w:rFonts w:hint="eastAsia" w:ascii="仿宋" w:hAnsi="仿宋" w:eastAsia="仿宋"/>
          <w:color w:val="000000"/>
          <w:sz w:val="32"/>
          <w:szCs w:val="32"/>
        </w:rPr>
        <w:t>。主要变动原因是</w:t>
      </w:r>
      <w:r>
        <w:rPr>
          <w:rFonts w:hint="eastAsia" w:ascii="仿宋" w:hAnsi="仿宋" w:eastAsia="仿宋"/>
          <w:color w:val="000000"/>
          <w:sz w:val="32"/>
          <w:szCs w:val="32"/>
          <w:lang w:val="en-US" w:eastAsia="zh-CN"/>
        </w:rPr>
        <w:t>厉行节俭，日常公用经费支出减少、减少采购执勤执法用车、项目支出。</w:t>
      </w:r>
    </w:p>
    <w:p w14:paraId="43EB2455">
      <w:pPr>
        <w:pStyle w:val="2"/>
      </w:pPr>
    </w:p>
    <w:p w14:paraId="6CA3D6C7">
      <w:pPr>
        <w:pStyle w:val="36"/>
        <w:numPr>
          <w:ilvl w:val="0"/>
          <w:numId w:val="1"/>
        </w:numPr>
        <w:spacing w:line="600" w:lineRule="exact"/>
        <w:ind w:firstLineChars="0"/>
        <w:outlineLvl w:val="1"/>
        <w:rPr>
          <w:rStyle w:val="26"/>
          <w:rFonts w:ascii="黑体" w:hAnsi="黑体" w:eastAsia="黑体"/>
          <w:b w:val="0"/>
        </w:rPr>
      </w:pPr>
      <w:bookmarkStart w:id="36" w:name="_Toc15377206"/>
      <w:bookmarkStart w:id="37" w:name="_Toc79163611"/>
      <w:bookmarkStart w:id="38" w:name="_Toc15396604"/>
      <w:bookmarkStart w:id="39" w:name="_Toc79163861"/>
      <w:r>
        <w:rPr>
          <w:rFonts w:hint="eastAsia" w:ascii="黑体" w:hAnsi="黑体" w:eastAsia="黑体"/>
          <w:color w:val="000000"/>
          <w:sz w:val="32"/>
          <w:szCs w:val="32"/>
        </w:rPr>
        <w:t>收</w:t>
      </w:r>
      <w:r>
        <w:rPr>
          <w:rStyle w:val="26"/>
          <w:rFonts w:hint="eastAsia" w:ascii="黑体" w:hAnsi="黑体" w:eastAsia="黑体"/>
          <w:b w:val="0"/>
        </w:rPr>
        <w:t>入决算情况说明</w:t>
      </w:r>
      <w:bookmarkEnd w:id="36"/>
      <w:bookmarkEnd w:id="37"/>
      <w:bookmarkEnd w:id="38"/>
      <w:bookmarkEnd w:id="39"/>
    </w:p>
    <w:p w14:paraId="12A58D98">
      <w:pPr>
        <w:spacing w:line="600" w:lineRule="exact"/>
        <w:ind w:firstLine="640" w:firstLineChars="200"/>
        <w:rPr>
          <w:rFonts w:hint="eastAsia" w:ascii="仿宋" w:hAnsi="仿宋" w:eastAsia="仿宋"/>
          <w:color w:val="000000"/>
          <w:sz w:val="32"/>
          <w:szCs w:val="32"/>
        </w:rPr>
      </w:pPr>
      <w:r>
        <w:rPr>
          <w:rFonts w:hint="eastAsia" w:ascii="仿宋" w:hAnsi="仿宋" w:eastAsia="仿宋"/>
          <w:color w:val="000000"/>
          <w:sz w:val="32"/>
          <w:szCs w:val="32"/>
          <w:lang w:eastAsia="zh-CN"/>
        </w:rPr>
        <w:t>202</w:t>
      </w:r>
      <w:r>
        <w:rPr>
          <w:rFonts w:hint="eastAsia" w:ascii="仿宋" w:hAnsi="仿宋" w:eastAsia="仿宋"/>
          <w:color w:val="000000"/>
          <w:sz w:val="32"/>
          <w:szCs w:val="32"/>
          <w:lang w:val="en-US" w:eastAsia="zh-CN"/>
        </w:rPr>
        <w:t>5</w:t>
      </w:r>
      <w:r>
        <w:rPr>
          <w:rFonts w:hint="eastAsia" w:ascii="仿宋" w:hAnsi="仿宋" w:eastAsia="仿宋"/>
          <w:color w:val="000000"/>
          <w:sz w:val="32"/>
          <w:szCs w:val="32"/>
        </w:rPr>
        <w:t>年本年收入合计</w:t>
      </w:r>
      <w:r>
        <w:rPr>
          <w:rFonts w:hint="eastAsia" w:ascii="仿宋" w:hAnsi="仿宋" w:eastAsia="仿宋"/>
          <w:color w:val="000000"/>
          <w:sz w:val="32"/>
          <w:szCs w:val="32"/>
          <w:lang w:val="en-US" w:eastAsia="zh-CN"/>
        </w:rPr>
        <w:t>2404.79</w:t>
      </w:r>
      <w:r>
        <w:rPr>
          <w:rFonts w:hint="eastAsia" w:ascii="仿宋" w:hAnsi="仿宋" w:eastAsia="仿宋"/>
          <w:color w:val="000000"/>
          <w:sz w:val="32"/>
          <w:szCs w:val="32"/>
        </w:rPr>
        <w:t>万元，其中：一般公共预算财政拨款收入</w:t>
      </w:r>
      <w:r>
        <w:rPr>
          <w:rFonts w:hint="eastAsia" w:ascii="仿宋" w:hAnsi="仿宋" w:eastAsia="仿宋"/>
          <w:color w:val="000000"/>
          <w:sz w:val="32"/>
          <w:szCs w:val="32"/>
          <w:lang w:val="en-US" w:eastAsia="zh-CN"/>
        </w:rPr>
        <w:t>1965.07</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81.71</w:t>
      </w:r>
      <w:r>
        <w:rPr>
          <w:rFonts w:ascii="仿宋" w:hAnsi="仿宋" w:eastAsia="仿宋"/>
          <w:color w:val="000000"/>
          <w:sz w:val="32"/>
          <w:szCs w:val="32"/>
        </w:rPr>
        <w:t>%</w:t>
      </w:r>
      <w:r>
        <w:rPr>
          <w:rFonts w:hint="eastAsia" w:ascii="仿宋" w:hAnsi="仿宋" w:eastAsia="仿宋"/>
          <w:color w:val="000000"/>
          <w:sz w:val="32"/>
          <w:szCs w:val="32"/>
        </w:rPr>
        <w:t>；</w:t>
      </w:r>
      <w:r>
        <w:rPr>
          <w:rFonts w:hint="eastAsia" w:ascii="仿宋" w:hAnsi="仿宋" w:eastAsia="仿宋"/>
          <w:color w:val="000000"/>
          <w:sz w:val="32"/>
          <w:szCs w:val="32"/>
          <w:lang w:val="en-US" w:eastAsia="zh-CN"/>
        </w:rPr>
        <w:t>其他收入439.72</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18.29</w:t>
      </w:r>
      <w:r>
        <w:rPr>
          <w:rFonts w:ascii="仿宋" w:hAnsi="仿宋" w:eastAsia="仿宋"/>
          <w:color w:val="000000"/>
          <w:sz w:val="32"/>
          <w:szCs w:val="32"/>
        </w:rPr>
        <w:t>%</w:t>
      </w:r>
      <w:r>
        <w:rPr>
          <w:rFonts w:hint="eastAsia" w:ascii="仿宋" w:hAnsi="仿宋" w:eastAsia="仿宋"/>
          <w:color w:val="000000"/>
          <w:sz w:val="32"/>
          <w:szCs w:val="32"/>
        </w:rPr>
        <w:t>。</w:t>
      </w:r>
    </w:p>
    <w:p w14:paraId="77861B0B">
      <w:pPr>
        <w:pStyle w:val="2"/>
      </w:pPr>
    </w:p>
    <w:p w14:paraId="00DEB386">
      <w:pPr>
        <w:pStyle w:val="36"/>
        <w:numPr>
          <w:ilvl w:val="0"/>
          <w:numId w:val="1"/>
        </w:numPr>
        <w:spacing w:line="600" w:lineRule="exact"/>
        <w:ind w:firstLineChars="0"/>
        <w:outlineLvl w:val="1"/>
        <w:rPr>
          <w:rStyle w:val="26"/>
          <w:rFonts w:ascii="黑体" w:hAnsi="黑体" w:eastAsia="黑体"/>
          <w:b w:val="0"/>
        </w:rPr>
      </w:pPr>
      <w:bookmarkStart w:id="40" w:name="_Toc79163612"/>
      <w:bookmarkStart w:id="41" w:name="_Toc79163862"/>
      <w:bookmarkStart w:id="42" w:name="_Toc15377207"/>
      <w:bookmarkStart w:id="43" w:name="_Toc15396605"/>
      <w:r>
        <w:rPr>
          <w:rFonts w:hint="eastAsia" w:ascii="黑体" w:hAnsi="黑体" w:eastAsia="黑体"/>
          <w:color w:val="000000"/>
          <w:sz w:val="32"/>
          <w:szCs w:val="32"/>
        </w:rPr>
        <w:t>支</w:t>
      </w:r>
      <w:r>
        <w:rPr>
          <w:rStyle w:val="26"/>
          <w:rFonts w:hint="eastAsia" w:ascii="黑体" w:hAnsi="黑体" w:eastAsia="黑体"/>
          <w:b w:val="0"/>
        </w:rPr>
        <w:t>出决算情况说明</w:t>
      </w:r>
      <w:bookmarkEnd w:id="40"/>
      <w:bookmarkEnd w:id="41"/>
      <w:bookmarkEnd w:id="42"/>
      <w:bookmarkEnd w:id="43"/>
    </w:p>
    <w:p w14:paraId="01119E8D">
      <w:pPr>
        <w:spacing w:line="600" w:lineRule="exact"/>
        <w:ind w:firstLine="640" w:firstLineChars="200"/>
        <w:rPr>
          <w:rFonts w:hint="eastAsia" w:ascii="仿宋_GB2312" w:eastAsia="仿宋_GB2312"/>
          <w:sz w:val="32"/>
          <w:szCs w:val="32"/>
        </w:rPr>
      </w:pPr>
      <w:r>
        <w:rPr>
          <w:rFonts w:hint="eastAsia" w:ascii="仿宋_GB2312" w:eastAsia="仿宋_GB2312"/>
          <w:sz w:val="32"/>
          <w:szCs w:val="32"/>
          <w:lang w:eastAsia="zh-CN"/>
        </w:rPr>
        <w:t>202</w:t>
      </w:r>
      <w:r>
        <w:rPr>
          <w:rFonts w:hint="eastAsia" w:ascii="仿宋_GB2312" w:eastAsia="仿宋_GB2312"/>
          <w:sz w:val="32"/>
          <w:szCs w:val="32"/>
          <w:lang w:val="en-US" w:eastAsia="zh-CN"/>
        </w:rPr>
        <w:t>5</w:t>
      </w:r>
      <w:r>
        <w:rPr>
          <w:rFonts w:hint="eastAsia" w:ascii="仿宋_GB2312" w:eastAsia="仿宋_GB2312"/>
          <w:sz w:val="32"/>
          <w:szCs w:val="32"/>
        </w:rPr>
        <w:t>年本年支出合计</w:t>
      </w:r>
      <w:r>
        <w:rPr>
          <w:rFonts w:hint="eastAsia" w:ascii="仿宋_GB2312" w:eastAsia="仿宋_GB2312"/>
          <w:sz w:val="32"/>
          <w:szCs w:val="32"/>
          <w:lang w:val="en-US" w:eastAsia="zh-CN"/>
        </w:rPr>
        <w:t>2407.72</w:t>
      </w:r>
      <w:r>
        <w:rPr>
          <w:rFonts w:hint="eastAsia" w:ascii="仿宋_GB2312" w:eastAsia="仿宋_GB2312"/>
          <w:sz w:val="32"/>
          <w:szCs w:val="32"/>
        </w:rPr>
        <w:t>万元，其中：基本支出</w:t>
      </w:r>
      <w:r>
        <w:rPr>
          <w:rFonts w:hint="eastAsia" w:ascii="仿宋_GB2312" w:eastAsia="仿宋_GB2312"/>
          <w:sz w:val="32"/>
          <w:szCs w:val="32"/>
          <w:lang w:val="en-US" w:eastAsia="zh-CN"/>
        </w:rPr>
        <w:t>1767.8</w:t>
      </w:r>
      <w:r>
        <w:rPr>
          <w:rFonts w:hint="eastAsia" w:ascii="仿宋_GB2312" w:eastAsia="仿宋_GB2312"/>
          <w:sz w:val="32"/>
          <w:szCs w:val="32"/>
        </w:rPr>
        <w:t>万元，占</w:t>
      </w:r>
      <w:r>
        <w:rPr>
          <w:rFonts w:hint="eastAsia" w:ascii="仿宋_GB2312" w:eastAsia="仿宋_GB2312"/>
          <w:sz w:val="32"/>
          <w:szCs w:val="32"/>
          <w:lang w:val="en-US" w:eastAsia="zh-CN"/>
        </w:rPr>
        <w:t>73.42</w:t>
      </w:r>
      <w:r>
        <w:rPr>
          <w:rFonts w:ascii="仿宋_GB2312" w:eastAsia="仿宋_GB2312"/>
          <w:sz w:val="32"/>
          <w:szCs w:val="32"/>
        </w:rPr>
        <w:t>%</w:t>
      </w:r>
      <w:r>
        <w:rPr>
          <w:rFonts w:hint="eastAsia" w:ascii="仿宋_GB2312" w:eastAsia="仿宋_GB2312"/>
          <w:sz w:val="32"/>
          <w:szCs w:val="32"/>
        </w:rPr>
        <w:t>；项目支出</w:t>
      </w:r>
      <w:r>
        <w:rPr>
          <w:rFonts w:hint="eastAsia" w:ascii="仿宋_GB2312" w:eastAsia="仿宋_GB2312"/>
          <w:sz w:val="32"/>
          <w:szCs w:val="32"/>
          <w:lang w:val="en-US" w:eastAsia="zh-CN"/>
        </w:rPr>
        <w:t>639.92</w:t>
      </w:r>
      <w:r>
        <w:rPr>
          <w:rFonts w:hint="eastAsia" w:ascii="仿宋_GB2312" w:eastAsia="仿宋_GB2312"/>
          <w:sz w:val="32"/>
          <w:szCs w:val="32"/>
        </w:rPr>
        <w:t>万元，占</w:t>
      </w:r>
      <w:r>
        <w:rPr>
          <w:rFonts w:hint="eastAsia" w:ascii="仿宋_GB2312" w:eastAsia="仿宋_GB2312"/>
          <w:sz w:val="32"/>
          <w:szCs w:val="32"/>
          <w:lang w:val="en-US" w:eastAsia="zh-CN"/>
        </w:rPr>
        <w:t>26.58</w:t>
      </w:r>
      <w:r>
        <w:rPr>
          <w:rFonts w:ascii="仿宋_GB2312" w:eastAsia="仿宋_GB2312"/>
          <w:sz w:val="32"/>
          <w:szCs w:val="32"/>
        </w:rPr>
        <w:t>%</w:t>
      </w:r>
      <w:r>
        <w:rPr>
          <w:rFonts w:hint="eastAsia" w:ascii="仿宋_GB2312" w:eastAsia="仿宋_GB2312"/>
          <w:sz w:val="32"/>
          <w:szCs w:val="32"/>
        </w:rPr>
        <w:t>。</w:t>
      </w:r>
    </w:p>
    <w:p w14:paraId="0E2E5F91">
      <w:pPr>
        <w:pStyle w:val="2"/>
      </w:pPr>
    </w:p>
    <w:p w14:paraId="46F82042">
      <w:pPr>
        <w:spacing w:line="600" w:lineRule="exact"/>
        <w:ind w:firstLine="640" w:firstLineChars="200"/>
        <w:outlineLvl w:val="1"/>
        <w:rPr>
          <w:rStyle w:val="26"/>
          <w:rFonts w:ascii="黑体" w:hAnsi="黑体" w:eastAsia="黑体"/>
          <w:b w:val="0"/>
        </w:rPr>
      </w:pPr>
      <w:bookmarkStart w:id="44" w:name="_Toc15396606"/>
      <w:bookmarkStart w:id="45" w:name="_Toc15377208"/>
      <w:bookmarkStart w:id="46" w:name="_Toc79163613"/>
      <w:bookmarkStart w:id="47" w:name="_Toc79163863"/>
      <w:r>
        <w:rPr>
          <w:rFonts w:hint="eastAsia" w:ascii="黑体" w:hAnsi="黑体" w:eastAsia="黑体"/>
          <w:color w:val="000000"/>
          <w:sz w:val="32"/>
          <w:szCs w:val="32"/>
        </w:rPr>
        <w:t>四、财</w:t>
      </w:r>
      <w:r>
        <w:rPr>
          <w:rStyle w:val="26"/>
          <w:rFonts w:hint="eastAsia" w:ascii="黑体" w:hAnsi="黑体" w:eastAsia="黑体"/>
          <w:b w:val="0"/>
        </w:rPr>
        <w:t>政拨款收入支出决算总体情况说明</w:t>
      </w:r>
      <w:bookmarkEnd w:id="44"/>
      <w:bookmarkEnd w:id="45"/>
      <w:bookmarkEnd w:id="46"/>
      <w:bookmarkEnd w:id="47"/>
    </w:p>
    <w:p w14:paraId="34B8B8B4">
      <w:pPr>
        <w:spacing w:line="600" w:lineRule="exact"/>
        <w:ind w:firstLine="640" w:firstLineChars="200"/>
        <w:rPr>
          <w:rFonts w:hint="eastAsia" w:ascii="仿宋" w:hAnsi="仿宋" w:eastAsia="仿宋"/>
          <w:color w:val="000000"/>
          <w:sz w:val="32"/>
          <w:szCs w:val="32"/>
          <w:lang w:val="en-US" w:eastAsia="zh-CN"/>
        </w:rPr>
      </w:pPr>
      <w:r>
        <w:rPr>
          <w:rFonts w:hint="eastAsia" w:ascii="仿宋_GB2312" w:eastAsia="仿宋_GB2312"/>
          <w:sz w:val="32"/>
          <w:szCs w:val="32"/>
          <w:lang w:eastAsia="zh-CN"/>
        </w:rPr>
        <w:t>202</w:t>
      </w:r>
      <w:r>
        <w:rPr>
          <w:rFonts w:hint="eastAsia" w:ascii="仿宋_GB2312" w:eastAsia="仿宋_GB2312"/>
          <w:sz w:val="32"/>
          <w:szCs w:val="32"/>
          <w:lang w:val="en-US" w:eastAsia="zh-CN"/>
        </w:rPr>
        <w:t>5</w:t>
      </w:r>
      <w:r>
        <w:rPr>
          <w:rFonts w:hint="eastAsia" w:ascii="仿宋" w:hAnsi="仿宋" w:eastAsia="仿宋"/>
          <w:color w:val="000000"/>
          <w:sz w:val="32"/>
          <w:szCs w:val="32"/>
        </w:rPr>
        <w:t>年财政拨款收、支总计</w:t>
      </w:r>
      <w:r>
        <w:rPr>
          <w:rFonts w:hint="eastAsia" w:ascii="仿宋" w:hAnsi="仿宋" w:eastAsia="仿宋"/>
          <w:color w:val="000000"/>
          <w:sz w:val="32"/>
          <w:szCs w:val="32"/>
          <w:lang w:val="en-US" w:eastAsia="zh-CN"/>
        </w:rPr>
        <w:t>1965.07</w:t>
      </w:r>
      <w:r>
        <w:rPr>
          <w:rFonts w:hint="eastAsia" w:ascii="仿宋" w:hAnsi="仿宋" w:eastAsia="仿宋"/>
          <w:color w:val="000000"/>
          <w:sz w:val="32"/>
          <w:szCs w:val="32"/>
        </w:rPr>
        <w:t>万元。与</w:t>
      </w:r>
      <w:r>
        <w:rPr>
          <w:rFonts w:ascii="仿宋" w:hAnsi="仿宋" w:eastAsia="仿宋"/>
          <w:color w:val="000000"/>
          <w:sz w:val="32"/>
          <w:szCs w:val="32"/>
        </w:rPr>
        <w:t>20</w:t>
      </w:r>
      <w:r>
        <w:rPr>
          <w:rFonts w:hint="eastAsia" w:ascii="仿宋" w:hAnsi="仿宋" w:eastAsia="仿宋"/>
          <w:color w:val="000000"/>
          <w:sz w:val="32"/>
          <w:szCs w:val="32"/>
          <w:lang w:val="en-US" w:eastAsia="zh-CN"/>
        </w:rPr>
        <w:t>24</w:t>
      </w:r>
      <w:r>
        <w:rPr>
          <w:rFonts w:hint="eastAsia" w:ascii="仿宋" w:hAnsi="仿宋" w:eastAsia="仿宋"/>
          <w:color w:val="000000"/>
          <w:sz w:val="32"/>
          <w:szCs w:val="32"/>
        </w:rPr>
        <w:t>年相比，财政拨款收、支总计各</w:t>
      </w:r>
      <w:r>
        <w:rPr>
          <w:rFonts w:hint="eastAsia" w:ascii="仿宋" w:hAnsi="仿宋" w:eastAsia="仿宋"/>
          <w:color w:val="000000"/>
          <w:sz w:val="32"/>
          <w:szCs w:val="32"/>
          <w:lang w:val="en-US" w:eastAsia="zh-CN"/>
        </w:rPr>
        <w:t>减少91.36</w:t>
      </w:r>
      <w:r>
        <w:rPr>
          <w:rFonts w:hint="eastAsia" w:ascii="仿宋" w:hAnsi="仿宋" w:eastAsia="仿宋"/>
          <w:color w:val="000000"/>
          <w:sz w:val="32"/>
          <w:szCs w:val="32"/>
        </w:rPr>
        <w:t>万元，</w:t>
      </w:r>
      <w:r>
        <w:rPr>
          <w:rFonts w:hint="eastAsia" w:ascii="仿宋" w:hAnsi="仿宋" w:eastAsia="仿宋"/>
          <w:color w:val="000000"/>
          <w:sz w:val="32"/>
          <w:szCs w:val="32"/>
          <w:lang w:val="en-US" w:eastAsia="zh-CN"/>
        </w:rPr>
        <w:t>下降4.44</w:t>
      </w:r>
      <w:r>
        <w:rPr>
          <w:rFonts w:ascii="仿宋" w:hAnsi="仿宋" w:eastAsia="仿宋"/>
          <w:color w:val="000000"/>
          <w:sz w:val="32"/>
          <w:szCs w:val="32"/>
        </w:rPr>
        <w:t>%</w:t>
      </w:r>
      <w:r>
        <w:rPr>
          <w:rFonts w:hint="eastAsia" w:ascii="仿宋" w:hAnsi="仿宋" w:eastAsia="仿宋"/>
          <w:color w:val="000000"/>
          <w:sz w:val="32"/>
          <w:szCs w:val="32"/>
        </w:rPr>
        <w:t>。主要变动原因是</w:t>
      </w:r>
      <w:r>
        <w:rPr>
          <w:rFonts w:hint="eastAsia" w:ascii="仿宋" w:hAnsi="仿宋" w:eastAsia="仿宋"/>
          <w:color w:val="000000"/>
          <w:sz w:val="32"/>
          <w:szCs w:val="32"/>
          <w:lang w:val="en-US" w:eastAsia="zh-CN"/>
        </w:rPr>
        <w:t>厉行节俭，日常公用经费支出减少、采购执勤执法用车、项目支出减少。</w:t>
      </w:r>
    </w:p>
    <w:p w14:paraId="70747C92">
      <w:pPr>
        <w:pStyle w:val="2"/>
      </w:pPr>
    </w:p>
    <w:p w14:paraId="284015E2">
      <w:pPr>
        <w:spacing w:line="600" w:lineRule="exact"/>
        <w:ind w:firstLine="640" w:firstLineChars="200"/>
        <w:outlineLvl w:val="1"/>
        <w:rPr>
          <w:rStyle w:val="26"/>
          <w:rFonts w:ascii="黑体" w:hAnsi="黑体" w:eastAsia="黑体"/>
          <w:b w:val="0"/>
        </w:rPr>
      </w:pPr>
      <w:bookmarkStart w:id="48" w:name="_Toc15396607"/>
      <w:bookmarkStart w:id="49" w:name="_Toc79163864"/>
      <w:bookmarkStart w:id="50" w:name="_Toc79163614"/>
      <w:bookmarkStart w:id="51" w:name="_Toc15377209"/>
      <w:r>
        <w:rPr>
          <w:rFonts w:hint="eastAsia" w:ascii="黑体" w:hAnsi="黑体" w:eastAsia="黑体"/>
          <w:color w:val="000000"/>
          <w:sz w:val="32"/>
          <w:szCs w:val="32"/>
        </w:rPr>
        <w:t>五、</w:t>
      </w:r>
      <w:r>
        <w:rPr>
          <w:rFonts w:hint="eastAsia" w:ascii="黑体" w:hAnsi="黑体" w:eastAsia="黑体"/>
          <w:b/>
          <w:color w:val="000000"/>
          <w:sz w:val="32"/>
          <w:szCs w:val="32"/>
        </w:rPr>
        <w:t>一</w:t>
      </w:r>
      <w:r>
        <w:rPr>
          <w:rStyle w:val="26"/>
          <w:rFonts w:hint="eastAsia" w:ascii="黑体" w:hAnsi="黑体" w:eastAsia="黑体"/>
          <w:b w:val="0"/>
        </w:rPr>
        <w:t>般公共预算财政拨款支出决算情况说明</w:t>
      </w:r>
      <w:bookmarkEnd w:id="48"/>
      <w:bookmarkEnd w:id="49"/>
      <w:bookmarkEnd w:id="50"/>
      <w:bookmarkEnd w:id="51"/>
    </w:p>
    <w:p w14:paraId="59C67D19">
      <w:pPr>
        <w:spacing w:line="600" w:lineRule="exact"/>
        <w:ind w:firstLine="643" w:firstLineChars="200"/>
        <w:outlineLvl w:val="2"/>
        <w:rPr>
          <w:rFonts w:ascii="仿宋" w:hAnsi="仿宋" w:eastAsia="仿宋"/>
          <w:b/>
          <w:color w:val="000000"/>
          <w:sz w:val="32"/>
          <w:szCs w:val="32"/>
        </w:rPr>
      </w:pPr>
      <w:bookmarkStart w:id="52" w:name="_Toc15377210"/>
      <w:bookmarkStart w:id="53" w:name="_Toc79163615"/>
      <w:bookmarkStart w:id="54" w:name="_Toc79163865"/>
      <w:r>
        <w:rPr>
          <w:rFonts w:hint="eastAsia" w:ascii="仿宋" w:hAnsi="仿宋" w:eastAsia="仿宋"/>
          <w:b/>
          <w:color w:val="000000"/>
          <w:sz w:val="32"/>
          <w:szCs w:val="32"/>
        </w:rPr>
        <w:t>（一）一般公共预算财政拨款支出决算总体情况</w:t>
      </w:r>
      <w:bookmarkEnd w:id="52"/>
      <w:bookmarkEnd w:id="53"/>
      <w:bookmarkEnd w:id="54"/>
    </w:p>
    <w:p w14:paraId="0A3A0770">
      <w:pPr>
        <w:spacing w:line="600" w:lineRule="exact"/>
        <w:ind w:firstLine="640" w:firstLineChars="200"/>
        <w:rPr>
          <w:rFonts w:hint="eastAsia" w:ascii="仿宋" w:hAnsi="仿宋" w:eastAsia="仿宋"/>
          <w:color w:val="000000"/>
          <w:sz w:val="32"/>
          <w:szCs w:val="32"/>
          <w:lang w:val="en-US" w:eastAsia="zh-CN"/>
        </w:rPr>
      </w:pPr>
      <w:r>
        <w:rPr>
          <w:rFonts w:hint="eastAsia" w:ascii="仿宋" w:hAnsi="仿宋" w:eastAsia="仿宋"/>
          <w:color w:val="000000"/>
          <w:sz w:val="32"/>
          <w:szCs w:val="32"/>
          <w:lang w:eastAsia="zh-CN"/>
        </w:rPr>
        <w:t>202</w:t>
      </w:r>
      <w:r>
        <w:rPr>
          <w:rFonts w:hint="eastAsia" w:ascii="仿宋" w:hAnsi="仿宋" w:eastAsia="仿宋"/>
          <w:color w:val="000000"/>
          <w:sz w:val="32"/>
          <w:szCs w:val="32"/>
          <w:lang w:val="en-US" w:eastAsia="zh-CN"/>
        </w:rPr>
        <w:t>5</w:t>
      </w:r>
      <w:r>
        <w:rPr>
          <w:rFonts w:hint="eastAsia" w:ascii="仿宋" w:hAnsi="仿宋" w:eastAsia="仿宋"/>
          <w:color w:val="000000"/>
          <w:sz w:val="32"/>
          <w:szCs w:val="32"/>
        </w:rPr>
        <w:t>年一般公共预算财政拨款支出</w:t>
      </w:r>
      <w:r>
        <w:rPr>
          <w:rFonts w:hint="eastAsia" w:ascii="仿宋" w:hAnsi="仿宋" w:eastAsia="仿宋"/>
          <w:color w:val="000000"/>
          <w:sz w:val="32"/>
          <w:szCs w:val="32"/>
          <w:lang w:val="en-US" w:eastAsia="zh-CN"/>
        </w:rPr>
        <w:t>1965.07</w:t>
      </w:r>
      <w:r>
        <w:rPr>
          <w:rFonts w:hint="eastAsia" w:ascii="仿宋" w:hAnsi="仿宋" w:eastAsia="仿宋"/>
          <w:color w:val="000000"/>
          <w:sz w:val="32"/>
          <w:szCs w:val="32"/>
        </w:rPr>
        <w:t>万元，占本年支出合计的</w:t>
      </w:r>
      <w:r>
        <w:rPr>
          <w:rFonts w:hint="eastAsia" w:ascii="仿宋" w:hAnsi="仿宋" w:eastAsia="仿宋"/>
          <w:color w:val="000000"/>
          <w:sz w:val="32"/>
          <w:szCs w:val="32"/>
          <w:lang w:val="en-US" w:eastAsia="zh-CN"/>
        </w:rPr>
        <w:t>81.62</w:t>
      </w:r>
      <w:r>
        <w:rPr>
          <w:rFonts w:ascii="仿宋" w:hAnsi="仿宋" w:eastAsia="仿宋"/>
          <w:color w:val="000000"/>
          <w:sz w:val="32"/>
          <w:szCs w:val="32"/>
        </w:rPr>
        <w:t>%</w:t>
      </w:r>
      <w:r>
        <w:rPr>
          <w:rFonts w:hint="eastAsia" w:ascii="仿宋" w:hAnsi="仿宋" w:eastAsia="仿宋"/>
          <w:color w:val="000000"/>
          <w:sz w:val="32"/>
          <w:szCs w:val="32"/>
        </w:rPr>
        <w:t>。与</w:t>
      </w:r>
      <w:r>
        <w:rPr>
          <w:rFonts w:hint="eastAsia" w:ascii="仿宋" w:hAnsi="仿宋" w:eastAsia="仿宋"/>
          <w:color w:val="000000"/>
          <w:sz w:val="32"/>
          <w:szCs w:val="32"/>
          <w:lang w:eastAsia="zh-CN"/>
        </w:rPr>
        <w:t>202</w:t>
      </w:r>
      <w:r>
        <w:rPr>
          <w:rFonts w:hint="eastAsia" w:ascii="仿宋" w:hAnsi="仿宋" w:eastAsia="仿宋"/>
          <w:color w:val="000000"/>
          <w:sz w:val="32"/>
          <w:szCs w:val="32"/>
          <w:lang w:val="en-US" w:eastAsia="zh-CN"/>
        </w:rPr>
        <w:t>4</w:t>
      </w:r>
      <w:r>
        <w:rPr>
          <w:rFonts w:hint="eastAsia" w:ascii="仿宋" w:hAnsi="仿宋" w:eastAsia="仿宋"/>
          <w:color w:val="000000"/>
          <w:sz w:val="32"/>
          <w:szCs w:val="32"/>
        </w:rPr>
        <w:t>年相比，一般公共预算财政拨款</w:t>
      </w:r>
      <w:r>
        <w:rPr>
          <w:rFonts w:hint="eastAsia" w:ascii="仿宋" w:hAnsi="仿宋" w:eastAsia="仿宋"/>
          <w:color w:val="000000"/>
          <w:sz w:val="32"/>
          <w:szCs w:val="32"/>
          <w:lang w:val="en-US" w:eastAsia="zh-CN"/>
        </w:rPr>
        <w:t>减少91.36</w:t>
      </w:r>
      <w:r>
        <w:rPr>
          <w:rFonts w:hint="eastAsia" w:ascii="仿宋" w:hAnsi="仿宋" w:eastAsia="仿宋"/>
          <w:color w:val="000000"/>
          <w:sz w:val="32"/>
          <w:szCs w:val="32"/>
        </w:rPr>
        <w:t>万元，</w:t>
      </w:r>
      <w:r>
        <w:rPr>
          <w:rFonts w:hint="eastAsia" w:ascii="仿宋" w:hAnsi="仿宋" w:eastAsia="仿宋"/>
          <w:color w:val="000000"/>
          <w:sz w:val="32"/>
          <w:szCs w:val="32"/>
          <w:lang w:val="en-US" w:eastAsia="zh-CN"/>
        </w:rPr>
        <w:t>下降4.44</w:t>
      </w:r>
      <w:r>
        <w:rPr>
          <w:rFonts w:ascii="仿宋" w:hAnsi="仿宋" w:eastAsia="仿宋"/>
          <w:color w:val="000000"/>
          <w:sz w:val="32"/>
          <w:szCs w:val="32"/>
        </w:rPr>
        <w:t>%</w:t>
      </w:r>
      <w:r>
        <w:rPr>
          <w:rFonts w:hint="eastAsia" w:ascii="仿宋" w:hAnsi="仿宋" w:eastAsia="仿宋"/>
          <w:color w:val="000000"/>
          <w:sz w:val="32"/>
          <w:szCs w:val="32"/>
        </w:rPr>
        <w:t>。主要变动原因是</w:t>
      </w:r>
      <w:r>
        <w:rPr>
          <w:rFonts w:hint="eastAsia" w:ascii="仿宋" w:hAnsi="仿宋" w:eastAsia="仿宋"/>
          <w:color w:val="000000"/>
          <w:sz w:val="32"/>
          <w:szCs w:val="32"/>
          <w:lang w:val="en-US" w:eastAsia="zh-CN"/>
        </w:rPr>
        <w:t>厉行节俭，日常公用经费支出减少、采购执勤执法用车、项目支出减少。</w:t>
      </w:r>
    </w:p>
    <w:p w14:paraId="6FC8FE04">
      <w:pPr>
        <w:spacing w:line="600" w:lineRule="exact"/>
        <w:ind w:firstLine="640" w:firstLineChars="200"/>
        <w:rPr>
          <w:rFonts w:ascii="仿宋" w:hAnsi="仿宋" w:eastAsia="仿宋"/>
          <w:color w:val="000000"/>
          <w:sz w:val="32"/>
          <w:szCs w:val="32"/>
        </w:rPr>
      </w:pPr>
    </w:p>
    <w:p w14:paraId="236BA2CF">
      <w:pPr>
        <w:spacing w:line="600" w:lineRule="exact"/>
        <w:ind w:firstLine="643" w:firstLineChars="200"/>
        <w:outlineLvl w:val="2"/>
        <w:rPr>
          <w:rFonts w:ascii="仿宋" w:hAnsi="仿宋" w:eastAsia="仿宋"/>
          <w:b/>
          <w:color w:val="000000"/>
          <w:sz w:val="32"/>
          <w:szCs w:val="32"/>
        </w:rPr>
      </w:pPr>
      <w:bookmarkStart w:id="55" w:name="_Toc79163616"/>
      <w:bookmarkStart w:id="56" w:name="_Toc15377211"/>
      <w:bookmarkStart w:id="57" w:name="_Toc79163866"/>
      <w:r>
        <w:rPr>
          <w:rFonts w:hint="eastAsia" w:ascii="仿宋" w:hAnsi="仿宋" w:eastAsia="仿宋"/>
          <w:b/>
          <w:color w:val="000000"/>
          <w:sz w:val="32"/>
          <w:szCs w:val="32"/>
        </w:rPr>
        <w:t>（二）一般公共预算财政拨款支出决算结构情况</w:t>
      </w:r>
      <w:bookmarkEnd w:id="55"/>
      <w:bookmarkEnd w:id="56"/>
      <w:bookmarkEnd w:id="57"/>
    </w:p>
    <w:p w14:paraId="13965AFA">
      <w:pPr>
        <w:spacing w:line="600" w:lineRule="exact"/>
        <w:ind w:firstLine="640"/>
        <w:rPr>
          <w:rFonts w:ascii="仿宋" w:hAnsi="仿宋" w:eastAsia="仿宋"/>
          <w:b/>
          <w:color w:val="000000"/>
          <w:sz w:val="32"/>
          <w:szCs w:val="32"/>
        </w:rPr>
      </w:pPr>
      <w:r>
        <w:rPr>
          <w:rFonts w:hint="eastAsia" w:ascii="仿宋" w:hAnsi="仿宋" w:eastAsia="仿宋"/>
          <w:color w:val="000000"/>
          <w:sz w:val="32"/>
          <w:szCs w:val="32"/>
          <w:lang w:val="en-US" w:eastAsia="zh-CN"/>
        </w:rPr>
        <w:t>2025年一般公共预算财政拨款支出1965.07万元，主要用于以下方面:公共安全支出1614.92万元，占82.17%；社会保障和就业（类）支出171.05万元，占8.7%；卫生健康支出73.04万元，占3.71%；住房保障支出106.65万元，占5.42%。</w:t>
      </w:r>
    </w:p>
    <w:p w14:paraId="55D0E25A">
      <w:pPr>
        <w:spacing w:line="600" w:lineRule="exact"/>
        <w:ind w:firstLine="643" w:firstLineChars="200"/>
        <w:outlineLvl w:val="2"/>
        <w:rPr>
          <w:rFonts w:ascii="仿宋" w:hAnsi="仿宋" w:eastAsia="仿宋"/>
          <w:b/>
          <w:color w:val="000000"/>
          <w:sz w:val="32"/>
          <w:szCs w:val="32"/>
        </w:rPr>
      </w:pPr>
      <w:bookmarkStart w:id="58" w:name="_Toc79163617"/>
      <w:bookmarkStart w:id="59" w:name="_Toc15377212"/>
      <w:bookmarkStart w:id="60" w:name="_Toc79163867"/>
      <w:r>
        <w:rPr>
          <w:rFonts w:hint="eastAsia" w:ascii="仿宋" w:hAnsi="仿宋" w:eastAsia="仿宋"/>
          <w:b/>
          <w:color w:val="000000"/>
          <w:sz w:val="32"/>
          <w:szCs w:val="32"/>
        </w:rPr>
        <w:t>（三）一般公共预算财政拨款支出决算具体情况</w:t>
      </w:r>
      <w:bookmarkEnd w:id="58"/>
      <w:bookmarkEnd w:id="59"/>
      <w:bookmarkEnd w:id="60"/>
    </w:p>
    <w:p w14:paraId="71508BA6">
      <w:pPr>
        <w:spacing w:line="600" w:lineRule="exact"/>
        <w:ind w:firstLine="640" w:firstLineChars="200"/>
        <w:rPr>
          <w:rFonts w:ascii="仿宋_GB2312" w:eastAsia="仿宋_GB2312"/>
          <w:b w:val="0"/>
          <w:bCs w:val="0"/>
          <w:sz w:val="32"/>
          <w:szCs w:val="32"/>
        </w:rPr>
      </w:pPr>
      <w:bookmarkStart w:id="61" w:name="_Toc15377444"/>
      <w:bookmarkStart w:id="62" w:name="_Toc15377213"/>
      <w:bookmarkStart w:id="63" w:name="_Toc15378460"/>
      <w:r>
        <w:rPr>
          <w:rFonts w:hint="eastAsia" w:ascii="仿宋_GB2312" w:eastAsia="仿宋_GB2312"/>
          <w:b w:val="0"/>
          <w:bCs w:val="0"/>
          <w:sz w:val="32"/>
          <w:szCs w:val="32"/>
          <w:lang w:eastAsia="zh-CN"/>
        </w:rPr>
        <w:t>202</w:t>
      </w:r>
      <w:r>
        <w:rPr>
          <w:rFonts w:hint="eastAsia" w:ascii="仿宋_GB2312" w:eastAsia="仿宋_GB2312"/>
          <w:b w:val="0"/>
          <w:bCs w:val="0"/>
          <w:sz w:val="32"/>
          <w:szCs w:val="32"/>
          <w:lang w:val="en-US" w:eastAsia="zh-CN"/>
        </w:rPr>
        <w:t>5</w:t>
      </w:r>
      <w:r>
        <w:rPr>
          <w:rFonts w:hint="eastAsia" w:ascii="仿宋_GB2312" w:eastAsia="仿宋_GB2312"/>
          <w:b w:val="0"/>
          <w:bCs w:val="0"/>
          <w:sz w:val="32"/>
          <w:szCs w:val="32"/>
        </w:rPr>
        <w:t>年一般公共预算支出决算数为</w:t>
      </w:r>
      <w:r>
        <w:rPr>
          <w:rFonts w:hint="eastAsia" w:ascii="仿宋_GB2312" w:eastAsia="仿宋_GB2312"/>
          <w:b w:val="0"/>
          <w:bCs w:val="0"/>
          <w:sz w:val="32"/>
          <w:szCs w:val="32"/>
          <w:lang w:val="en-US" w:eastAsia="zh-CN"/>
        </w:rPr>
        <w:t>1965.07</w:t>
      </w:r>
      <w:r>
        <w:rPr>
          <w:rFonts w:hint="eastAsia" w:ascii="仿宋_GB2312" w:eastAsia="仿宋_GB2312"/>
          <w:b w:val="0"/>
          <w:bCs w:val="0"/>
          <w:sz w:val="32"/>
          <w:szCs w:val="32"/>
        </w:rPr>
        <w:t>，完成预算</w:t>
      </w:r>
      <w:r>
        <w:rPr>
          <w:rFonts w:hint="eastAsia" w:ascii="仿宋_GB2312" w:eastAsia="仿宋_GB2312"/>
          <w:b w:val="0"/>
          <w:bCs w:val="0"/>
          <w:sz w:val="32"/>
          <w:szCs w:val="32"/>
          <w:lang w:val="en-US" w:eastAsia="zh-CN"/>
        </w:rPr>
        <w:t>100</w:t>
      </w:r>
      <w:r>
        <w:rPr>
          <w:rFonts w:ascii="仿宋_GB2312" w:eastAsia="仿宋_GB2312"/>
          <w:b w:val="0"/>
          <w:bCs w:val="0"/>
          <w:sz w:val="32"/>
          <w:szCs w:val="32"/>
        </w:rPr>
        <w:t>%</w:t>
      </w:r>
      <w:r>
        <w:rPr>
          <w:rFonts w:hint="eastAsia" w:ascii="仿宋_GB2312" w:eastAsia="仿宋_GB2312"/>
          <w:b w:val="0"/>
          <w:bCs w:val="0"/>
          <w:sz w:val="32"/>
          <w:szCs w:val="32"/>
        </w:rPr>
        <w:t>。其中：</w:t>
      </w:r>
      <w:bookmarkEnd w:id="61"/>
      <w:bookmarkEnd w:id="62"/>
      <w:bookmarkEnd w:id="63"/>
    </w:p>
    <w:p w14:paraId="45142178">
      <w:pPr>
        <w:numPr>
          <w:ilvl w:val="0"/>
          <w:numId w:val="0"/>
        </w:numPr>
        <w:spacing w:line="600" w:lineRule="exact"/>
        <w:ind w:firstLine="643" w:firstLineChars="200"/>
        <w:rPr>
          <w:rStyle w:val="23"/>
          <w:rFonts w:hint="eastAsia" w:ascii="仿宋" w:hAnsi="仿宋" w:eastAsia="仿宋"/>
          <w:b w:val="0"/>
          <w:bCs/>
          <w:color w:val="000000"/>
          <w:sz w:val="32"/>
          <w:szCs w:val="32"/>
        </w:rPr>
      </w:pPr>
      <w:r>
        <w:rPr>
          <w:rStyle w:val="23"/>
          <w:rFonts w:hint="eastAsia" w:ascii="仿宋" w:hAnsi="仿宋" w:eastAsia="仿宋"/>
          <w:bCs/>
          <w:color w:val="000000"/>
          <w:sz w:val="32"/>
          <w:szCs w:val="32"/>
          <w:lang w:val="en-US" w:eastAsia="zh-CN"/>
        </w:rPr>
        <w:t>1.</w:t>
      </w:r>
      <w:r>
        <w:rPr>
          <w:rStyle w:val="23"/>
          <w:rFonts w:hint="eastAsia" w:ascii="仿宋" w:hAnsi="仿宋" w:eastAsia="仿宋"/>
          <w:bCs/>
          <w:color w:val="000000"/>
          <w:sz w:val="32"/>
          <w:szCs w:val="32"/>
        </w:rPr>
        <w:t>公共</w:t>
      </w:r>
      <w:r>
        <w:rPr>
          <w:rStyle w:val="23"/>
          <w:rFonts w:hint="eastAsia" w:ascii="仿宋" w:hAnsi="仿宋" w:eastAsia="仿宋"/>
          <w:bCs/>
          <w:color w:val="000000"/>
          <w:sz w:val="32"/>
          <w:szCs w:val="32"/>
          <w:lang w:val="en-US" w:eastAsia="zh-CN"/>
        </w:rPr>
        <w:t>安全</w:t>
      </w:r>
      <w:r>
        <w:rPr>
          <w:rStyle w:val="23"/>
          <w:rFonts w:hint="eastAsia" w:ascii="仿宋" w:hAnsi="仿宋" w:eastAsia="仿宋"/>
          <w:bCs/>
          <w:color w:val="000000"/>
          <w:sz w:val="32"/>
          <w:szCs w:val="32"/>
        </w:rPr>
        <w:t>（</w:t>
      </w:r>
      <w:r>
        <w:rPr>
          <w:rStyle w:val="23"/>
          <w:rFonts w:hint="eastAsia" w:ascii="仿宋" w:hAnsi="仿宋" w:eastAsia="仿宋"/>
          <w:bCs/>
          <w:color w:val="000000"/>
          <w:sz w:val="32"/>
          <w:szCs w:val="32"/>
          <w:lang w:val="en-US" w:eastAsia="zh-CN"/>
        </w:rPr>
        <w:t>204</w:t>
      </w:r>
      <w:r>
        <w:rPr>
          <w:rStyle w:val="23"/>
          <w:rFonts w:hint="eastAsia" w:ascii="仿宋" w:hAnsi="仿宋" w:eastAsia="仿宋"/>
          <w:bCs/>
          <w:color w:val="000000"/>
          <w:sz w:val="32"/>
          <w:szCs w:val="32"/>
        </w:rPr>
        <w:t>）</w:t>
      </w:r>
      <w:r>
        <w:rPr>
          <w:rStyle w:val="23"/>
          <w:rFonts w:hint="eastAsia" w:ascii="仿宋" w:hAnsi="仿宋" w:eastAsia="仿宋"/>
          <w:bCs/>
          <w:color w:val="000000"/>
          <w:sz w:val="32"/>
          <w:szCs w:val="32"/>
          <w:lang w:val="en-US" w:eastAsia="zh-CN"/>
        </w:rPr>
        <w:t>法院</w:t>
      </w:r>
      <w:r>
        <w:rPr>
          <w:rStyle w:val="23"/>
          <w:rFonts w:hint="eastAsia" w:ascii="仿宋" w:hAnsi="仿宋" w:eastAsia="仿宋"/>
          <w:bCs/>
          <w:color w:val="000000"/>
          <w:sz w:val="32"/>
          <w:szCs w:val="32"/>
        </w:rPr>
        <w:t>（</w:t>
      </w:r>
      <w:r>
        <w:rPr>
          <w:rStyle w:val="23"/>
          <w:rFonts w:hint="eastAsia" w:ascii="仿宋" w:hAnsi="仿宋" w:eastAsia="仿宋"/>
          <w:bCs/>
          <w:color w:val="000000"/>
          <w:sz w:val="32"/>
          <w:szCs w:val="32"/>
          <w:lang w:val="en-US" w:eastAsia="zh-CN"/>
        </w:rPr>
        <w:t>05</w:t>
      </w:r>
      <w:r>
        <w:rPr>
          <w:rStyle w:val="23"/>
          <w:rFonts w:hint="eastAsia" w:ascii="仿宋" w:hAnsi="仿宋" w:eastAsia="仿宋"/>
          <w:bCs/>
          <w:color w:val="000000"/>
          <w:sz w:val="32"/>
          <w:szCs w:val="32"/>
        </w:rPr>
        <w:t>）</w:t>
      </w:r>
      <w:r>
        <w:rPr>
          <w:rStyle w:val="23"/>
          <w:rFonts w:hint="eastAsia" w:ascii="仿宋" w:hAnsi="仿宋" w:eastAsia="仿宋"/>
          <w:bCs/>
          <w:color w:val="000000"/>
          <w:sz w:val="32"/>
          <w:szCs w:val="32"/>
          <w:lang w:val="en-US" w:eastAsia="zh-CN"/>
        </w:rPr>
        <w:t>行政运行</w:t>
      </w:r>
      <w:r>
        <w:rPr>
          <w:rStyle w:val="23"/>
          <w:rFonts w:hint="eastAsia" w:ascii="仿宋" w:hAnsi="仿宋" w:eastAsia="仿宋"/>
          <w:bCs/>
          <w:color w:val="000000"/>
          <w:sz w:val="32"/>
          <w:szCs w:val="32"/>
        </w:rPr>
        <w:t>（</w:t>
      </w:r>
      <w:r>
        <w:rPr>
          <w:rStyle w:val="23"/>
          <w:rFonts w:hint="eastAsia" w:ascii="仿宋" w:hAnsi="仿宋" w:eastAsia="仿宋"/>
          <w:bCs/>
          <w:color w:val="000000"/>
          <w:sz w:val="32"/>
          <w:szCs w:val="32"/>
          <w:lang w:val="en-US" w:eastAsia="zh-CN"/>
        </w:rPr>
        <w:t>01</w:t>
      </w:r>
      <w:r>
        <w:rPr>
          <w:rStyle w:val="23"/>
          <w:rFonts w:hint="eastAsia" w:ascii="仿宋" w:hAnsi="仿宋" w:eastAsia="仿宋"/>
          <w:bCs/>
          <w:color w:val="000000"/>
          <w:sz w:val="32"/>
          <w:szCs w:val="32"/>
        </w:rPr>
        <w:t>）</w:t>
      </w:r>
      <w:r>
        <w:rPr>
          <w:rStyle w:val="23"/>
          <w:rFonts w:ascii="仿宋" w:hAnsi="仿宋" w:eastAsia="仿宋"/>
          <w:bCs/>
          <w:color w:val="000000"/>
          <w:sz w:val="32"/>
          <w:szCs w:val="32"/>
        </w:rPr>
        <w:t>:</w:t>
      </w:r>
      <w:r>
        <w:rPr>
          <w:rStyle w:val="23"/>
          <w:rFonts w:ascii="仿宋" w:hAnsi="仿宋" w:eastAsia="仿宋"/>
          <w:b w:val="0"/>
          <w:bCs/>
          <w:color w:val="000000"/>
          <w:sz w:val="32"/>
          <w:szCs w:val="32"/>
        </w:rPr>
        <w:t xml:space="preserve"> </w:t>
      </w:r>
      <w:r>
        <w:rPr>
          <w:rStyle w:val="23"/>
          <w:rFonts w:hint="eastAsia" w:ascii="仿宋" w:hAnsi="仿宋" w:eastAsia="仿宋"/>
          <w:b w:val="0"/>
          <w:bCs/>
          <w:color w:val="000000"/>
          <w:sz w:val="32"/>
          <w:szCs w:val="32"/>
        </w:rPr>
        <w:t>支出决算为</w:t>
      </w:r>
      <w:r>
        <w:rPr>
          <w:rStyle w:val="23"/>
          <w:rFonts w:hint="eastAsia" w:ascii="仿宋" w:hAnsi="仿宋" w:eastAsia="仿宋"/>
          <w:b w:val="0"/>
          <w:bCs/>
          <w:color w:val="000000"/>
          <w:sz w:val="32"/>
          <w:szCs w:val="32"/>
          <w:lang w:val="en-US" w:eastAsia="zh-CN"/>
        </w:rPr>
        <w:t>1009.6</w:t>
      </w:r>
      <w:r>
        <w:rPr>
          <w:rStyle w:val="23"/>
          <w:rFonts w:hint="eastAsia" w:ascii="仿宋" w:hAnsi="仿宋" w:eastAsia="仿宋"/>
          <w:b w:val="0"/>
          <w:bCs/>
          <w:color w:val="000000"/>
          <w:sz w:val="32"/>
          <w:szCs w:val="32"/>
        </w:rPr>
        <w:t>万元，完成预算</w:t>
      </w:r>
      <w:r>
        <w:rPr>
          <w:rStyle w:val="23"/>
          <w:rFonts w:hint="eastAsia" w:ascii="仿宋" w:hAnsi="仿宋" w:eastAsia="仿宋"/>
          <w:b w:val="0"/>
          <w:bCs/>
          <w:color w:val="000000"/>
          <w:sz w:val="32"/>
          <w:szCs w:val="32"/>
          <w:lang w:val="en-US" w:eastAsia="zh-CN"/>
        </w:rPr>
        <w:t>100</w:t>
      </w:r>
      <w:r>
        <w:rPr>
          <w:rStyle w:val="23"/>
          <w:rFonts w:ascii="仿宋" w:hAnsi="仿宋" w:eastAsia="仿宋"/>
          <w:b w:val="0"/>
          <w:bCs/>
          <w:color w:val="000000"/>
          <w:sz w:val="32"/>
          <w:szCs w:val="32"/>
        </w:rPr>
        <w:t>%</w:t>
      </w:r>
      <w:r>
        <w:rPr>
          <w:rStyle w:val="23"/>
          <w:rFonts w:hint="eastAsia" w:ascii="仿宋" w:hAnsi="仿宋" w:eastAsia="仿宋"/>
          <w:b w:val="0"/>
          <w:bCs/>
          <w:color w:val="000000"/>
          <w:sz w:val="32"/>
          <w:szCs w:val="32"/>
        </w:rPr>
        <w:t>，决算数等于预算数。</w:t>
      </w:r>
    </w:p>
    <w:p w14:paraId="2F094F79">
      <w:pPr>
        <w:numPr>
          <w:ilvl w:val="0"/>
          <w:numId w:val="0"/>
        </w:numPr>
        <w:spacing w:line="600" w:lineRule="exact"/>
        <w:ind w:firstLine="643" w:firstLineChars="200"/>
        <w:rPr>
          <w:rStyle w:val="23"/>
          <w:rFonts w:hint="eastAsia" w:ascii="仿宋" w:hAnsi="仿宋" w:eastAsia="仿宋"/>
          <w:b w:val="0"/>
          <w:bCs/>
          <w:color w:val="000000"/>
          <w:sz w:val="32"/>
          <w:szCs w:val="32"/>
        </w:rPr>
      </w:pPr>
      <w:r>
        <w:rPr>
          <w:rStyle w:val="23"/>
          <w:rFonts w:hint="eastAsia" w:ascii="仿宋" w:hAnsi="仿宋" w:eastAsia="仿宋"/>
          <w:bCs/>
          <w:color w:val="000000"/>
          <w:sz w:val="32"/>
          <w:szCs w:val="32"/>
          <w:lang w:val="en-US" w:eastAsia="zh-CN"/>
        </w:rPr>
        <w:t>2.</w:t>
      </w:r>
      <w:r>
        <w:rPr>
          <w:rStyle w:val="23"/>
          <w:rFonts w:hint="eastAsia" w:ascii="仿宋" w:hAnsi="仿宋" w:eastAsia="仿宋"/>
          <w:bCs/>
          <w:color w:val="000000"/>
          <w:sz w:val="32"/>
          <w:szCs w:val="32"/>
        </w:rPr>
        <w:t>公共</w:t>
      </w:r>
      <w:r>
        <w:rPr>
          <w:rStyle w:val="23"/>
          <w:rFonts w:hint="eastAsia" w:ascii="仿宋" w:hAnsi="仿宋" w:eastAsia="仿宋"/>
          <w:bCs/>
          <w:color w:val="000000"/>
          <w:sz w:val="32"/>
          <w:szCs w:val="32"/>
          <w:lang w:val="en-US" w:eastAsia="zh-CN"/>
        </w:rPr>
        <w:t>安全</w:t>
      </w:r>
      <w:r>
        <w:rPr>
          <w:rStyle w:val="23"/>
          <w:rFonts w:hint="eastAsia" w:ascii="仿宋" w:hAnsi="仿宋" w:eastAsia="仿宋"/>
          <w:bCs/>
          <w:color w:val="000000"/>
          <w:sz w:val="32"/>
          <w:szCs w:val="32"/>
        </w:rPr>
        <w:t>（</w:t>
      </w:r>
      <w:r>
        <w:rPr>
          <w:rStyle w:val="23"/>
          <w:rFonts w:hint="eastAsia" w:ascii="仿宋" w:hAnsi="仿宋" w:eastAsia="仿宋"/>
          <w:bCs/>
          <w:color w:val="000000"/>
          <w:sz w:val="32"/>
          <w:szCs w:val="32"/>
          <w:lang w:val="en-US" w:eastAsia="zh-CN"/>
        </w:rPr>
        <w:t>204</w:t>
      </w:r>
      <w:r>
        <w:rPr>
          <w:rStyle w:val="23"/>
          <w:rFonts w:hint="eastAsia" w:ascii="仿宋" w:hAnsi="仿宋" w:eastAsia="仿宋"/>
          <w:bCs/>
          <w:color w:val="000000"/>
          <w:sz w:val="32"/>
          <w:szCs w:val="32"/>
        </w:rPr>
        <w:t>）</w:t>
      </w:r>
      <w:r>
        <w:rPr>
          <w:rStyle w:val="23"/>
          <w:rFonts w:hint="eastAsia" w:ascii="仿宋" w:hAnsi="仿宋" w:eastAsia="仿宋"/>
          <w:bCs/>
          <w:color w:val="000000"/>
          <w:sz w:val="32"/>
          <w:szCs w:val="32"/>
          <w:lang w:val="en-US" w:eastAsia="zh-CN"/>
        </w:rPr>
        <w:t>法院</w:t>
      </w:r>
      <w:r>
        <w:rPr>
          <w:rStyle w:val="23"/>
          <w:rFonts w:hint="eastAsia" w:ascii="仿宋" w:hAnsi="仿宋" w:eastAsia="仿宋"/>
          <w:bCs/>
          <w:color w:val="000000"/>
          <w:sz w:val="32"/>
          <w:szCs w:val="32"/>
        </w:rPr>
        <w:t>（</w:t>
      </w:r>
      <w:r>
        <w:rPr>
          <w:rStyle w:val="23"/>
          <w:rFonts w:hint="eastAsia" w:ascii="仿宋" w:hAnsi="仿宋" w:eastAsia="仿宋"/>
          <w:bCs/>
          <w:color w:val="000000"/>
          <w:sz w:val="32"/>
          <w:szCs w:val="32"/>
          <w:lang w:val="en-US" w:eastAsia="zh-CN"/>
        </w:rPr>
        <w:t>05</w:t>
      </w:r>
      <w:r>
        <w:rPr>
          <w:rStyle w:val="23"/>
          <w:rFonts w:hint="eastAsia" w:ascii="仿宋" w:hAnsi="仿宋" w:eastAsia="仿宋"/>
          <w:bCs/>
          <w:color w:val="000000"/>
          <w:sz w:val="32"/>
          <w:szCs w:val="32"/>
        </w:rPr>
        <w:t>）</w:t>
      </w:r>
      <w:r>
        <w:rPr>
          <w:rStyle w:val="23"/>
          <w:rFonts w:hint="eastAsia" w:ascii="仿宋" w:hAnsi="仿宋" w:eastAsia="仿宋"/>
          <w:bCs/>
          <w:color w:val="000000"/>
          <w:sz w:val="32"/>
          <w:szCs w:val="32"/>
          <w:lang w:val="en-US" w:eastAsia="zh-CN"/>
        </w:rPr>
        <w:t>一般行政管理事务</w:t>
      </w:r>
      <w:bookmarkStart w:id="150" w:name="_GoBack"/>
      <w:bookmarkEnd w:id="150"/>
      <w:r>
        <w:rPr>
          <w:rStyle w:val="23"/>
          <w:rFonts w:hint="eastAsia" w:ascii="仿宋" w:hAnsi="仿宋" w:eastAsia="仿宋"/>
          <w:bCs/>
          <w:color w:val="000000"/>
          <w:sz w:val="32"/>
          <w:szCs w:val="32"/>
        </w:rPr>
        <w:t>（</w:t>
      </w:r>
      <w:r>
        <w:rPr>
          <w:rStyle w:val="23"/>
          <w:rFonts w:hint="eastAsia" w:ascii="仿宋" w:hAnsi="仿宋" w:eastAsia="仿宋"/>
          <w:bCs/>
          <w:color w:val="000000"/>
          <w:sz w:val="32"/>
          <w:szCs w:val="32"/>
          <w:lang w:val="en-US" w:eastAsia="zh-CN"/>
        </w:rPr>
        <w:t>02</w:t>
      </w:r>
      <w:r>
        <w:rPr>
          <w:rStyle w:val="23"/>
          <w:rFonts w:hint="eastAsia" w:ascii="仿宋" w:hAnsi="仿宋" w:eastAsia="仿宋"/>
          <w:bCs/>
          <w:color w:val="000000"/>
          <w:sz w:val="32"/>
          <w:szCs w:val="32"/>
        </w:rPr>
        <w:t>）</w:t>
      </w:r>
      <w:r>
        <w:rPr>
          <w:rStyle w:val="23"/>
          <w:rFonts w:ascii="仿宋" w:hAnsi="仿宋" w:eastAsia="仿宋"/>
          <w:bCs/>
          <w:color w:val="000000"/>
          <w:sz w:val="32"/>
          <w:szCs w:val="32"/>
        </w:rPr>
        <w:t>:</w:t>
      </w:r>
      <w:r>
        <w:rPr>
          <w:rStyle w:val="23"/>
          <w:rFonts w:hint="eastAsia" w:ascii="仿宋" w:hAnsi="仿宋" w:eastAsia="仿宋"/>
          <w:b w:val="0"/>
          <w:bCs/>
          <w:color w:val="000000"/>
          <w:sz w:val="32"/>
          <w:szCs w:val="32"/>
        </w:rPr>
        <w:t>支出决算为</w:t>
      </w:r>
      <w:r>
        <w:rPr>
          <w:rStyle w:val="23"/>
          <w:rFonts w:hint="eastAsia" w:ascii="仿宋" w:hAnsi="仿宋" w:eastAsia="仿宋"/>
          <w:b w:val="0"/>
          <w:bCs/>
          <w:color w:val="000000"/>
          <w:sz w:val="32"/>
          <w:szCs w:val="32"/>
          <w:lang w:val="en-US" w:eastAsia="zh-CN"/>
        </w:rPr>
        <w:t>605.31</w:t>
      </w:r>
      <w:r>
        <w:rPr>
          <w:rStyle w:val="23"/>
          <w:rFonts w:hint="eastAsia" w:ascii="仿宋" w:hAnsi="仿宋" w:eastAsia="仿宋"/>
          <w:b w:val="0"/>
          <w:bCs/>
          <w:color w:val="000000"/>
          <w:sz w:val="32"/>
          <w:szCs w:val="32"/>
        </w:rPr>
        <w:t>万元，完成预算</w:t>
      </w:r>
      <w:r>
        <w:rPr>
          <w:rStyle w:val="23"/>
          <w:rFonts w:hint="eastAsia" w:ascii="仿宋" w:hAnsi="仿宋" w:eastAsia="仿宋"/>
          <w:b w:val="0"/>
          <w:bCs/>
          <w:color w:val="000000"/>
          <w:sz w:val="32"/>
          <w:szCs w:val="32"/>
          <w:lang w:val="en-US" w:eastAsia="zh-CN"/>
        </w:rPr>
        <w:t>100</w:t>
      </w:r>
      <w:r>
        <w:rPr>
          <w:rStyle w:val="23"/>
          <w:rFonts w:ascii="仿宋" w:hAnsi="仿宋" w:eastAsia="仿宋"/>
          <w:b w:val="0"/>
          <w:bCs/>
          <w:color w:val="000000"/>
          <w:sz w:val="32"/>
          <w:szCs w:val="32"/>
        </w:rPr>
        <w:t>%</w:t>
      </w:r>
      <w:r>
        <w:rPr>
          <w:rStyle w:val="23"/>
          <w:rFonts w:hint="eastAsia" w:ascii="仿宋" w:hAnsi="仿宋" w:eastAsia="仿宋"/>
          <w:b w:val="0"/>
          <w:bCs/>
          <w:color w:val="000000"/>
          <w:sz w:val="32"/>
          <w:szCs w:val="32"/>
        </w:rPr>
        <w:t>，决算数等于预算数。</w:t>
      </w:r>
    </w:p>
    <w:p w14:paraId="789F8478">
      <w:pPr>
        <w:spacing w:line="600" w:lineRule="exact"/>
        <w:ind w:firstLine="643" w:firstLineChars="200"/>
      </w:pPr>
      <w:r>
        <w:rPr>
          <w:rStyle w:val="23"/>
          <w:rFonts w:hint="eastAsia" w:ascii="仿宋" w:hAnsi="仿宋" w:eastAsia="仿宋"/>
          <w:bCs/>
          <w:color w:val="000000"/>
          <w:sz w:val="32"/>
          <w:szCs w:val="32"/>
          <w:lang w:val="en-US" w:eastAsia="zh-CN"/>
        </w:rPr>
        <w:t>3.社会保障和就业</w:t>
      </w:r>
      <w:r>
        <w:rPr>
          <w:rStyle w:val="23"/>
          <w:rFonts w:hint="eastAsia" w:ascii="仿宋" w:hAnsi="仿宋" w:eastAsia="仿宋"/>
          <w:bCs/>
          <w:color w:val="000000"/>
          <w:sz w:val="32"/>
          <w:szCs w:val="32"/>
        </w:rPr>
        <w:t>（</w:t>
      </w:r>
      <w:r>
        <w:rPr>
          <w:rStyle w:val="23"/>
          <w:rFonts w:hint="eastAsia" w:ascii="仿宋" w:hAnsi="仿宋" w:eastAsia="仿宋"/>
          <w:bCs/>
          <w:color w:val="000000"/>
          <w:sz w:val="32"/>
          <w:szCs w:val="32"/>
          <w:lang w:val="en-US" w:eastAsia="zh-CN"/>
        </w:rPr>
        <w:t>208</w:t>
      </w:r>
      <w:r>
        <w:rPr>
          <w:rStyle w:val="23"/>
          <w:rFonts w:hint="eastAsia" w:ascii="仿宋" w:hAnsi="仿宋" w:eastAsia="仿宋"/>
          <w:bCs/>
          <w:color w:val="000000"/>
          <w:sz w:val="32"/>
          <w:szCs w:val="32"/>
        </w:rPr>
        <w:t>）</w:t>
      </w:r>
      <w:r>
        <w:rPr>
          <w:rStyle w:val="23"/>
          <w:rFonts w:hint="eastAsia" w:ascii="仿宋" w:hAnsi="仿宋" w:eastAsia="仿宋"/>
          <w:bCs/>
          <w:color w:val="000000"/>
          <w:sz w:val="32"/>
          <w:szCs w:val="32"/>
          <w:lang w:val="en-US" w:eastAsia="zh-CN"/>
        </w:rPr>
        <w:t>行政事业单位养老</w:t>
      </w:r>
      <w:r>
        <w:rPr>
          <w:rStyle w:val="23"/>
          <w:rFonts w:hint="eastAsia" w:ascii="仿宋" w:hAnsi="仿宋" w:eastAsia="仿宋"/>
          <w:bCs/>
          <w:color w:val="000000"/>
          <w:sz w:val="32"/>
          <w:szCs w:val="32"/>
        </w:rPr>
        <w:t>（</w:t>
      </w:r>
      <w:r>
        <w:rPr>
          <w:rStyle w:val="23"/>
          <w:rFonts w:hint="eastAsia" w:ascii="仿宋" w:hAnsi="仿宋" w:eastAsia="仿宋"/>
          <w:bCs/>
          <w:color w:val="000000"/>
          <w:sz w:val="32"/>
          <w:szCs w:val="32"/>
          <w:lang w:val="en-US" w:eastAsia="zh-CN"/>
        </w:rPr>
        <w:t>05</w:t>
      </w:r>
      <w:r>
        <w:rPr>
          <w:rStyle w:val="23"/>
          <w:rFonts w:hint="eastAsia" w:ascii="仿宋" w:hAnsi="仿宋" w:eastAsia="仿宋"/>
          <w:bCs/>
          <w:color w:val="000000"/>
          <w:sz w:val="32"/>
          <w:szCs w:val="32"/>
        </w:rPr>
        <w:t>）</w:t>
      </w:r>
      <w:r>
        <w:rPr>
          <w:rStyle w:val="23"/>
          <w:rFonts w:hint="eastAsia" w:ascii="仿宋" w:hAnsi="仿宋" w:eastAsia="仿宋"/>
          <w:bCs/>
          <w:color w:val="000000"/>
          <w:sz w:val="32"/>
          <w:szCs w:val="32"/>
          <w:lang w:val="en-US" w:eastAsia="zh-CN"/>
        </w:rPr>
        <w:t xml:space="preserve"> 机关事业单位基本养老保险缴费支出</w:t>
      </w:r>
      <w:r>
        <w:rPr>
          <w:rStyle w:val="23"/>
          <w:rFonts w:hint="eastAsia" w:ascii="仿宋" w:hAnsi="仿宋" w:eastAsia="仿宋"/>
          <w:bCs/>
          <w:color w:val="000000"/>
          <w:sz w:val="32"/>
          <w:szCs w:val="32"/>
        </w:rPr>
        <w:t>（</w:t>
      </w:r>
      <w:r>
        <w:rPr>
          <w:rStyle w:val="23"/>
          <w:rFonts w:hint="eastAsia" w:ascii="仿宋" w:hAnsi="仿宋" w:eastAsia="仿宋"/>
          <w:bCs/>
          <w:color w:val="000000"/>
          <w:sz w:val="32"/>
          <w:szCs w:val="32"/>
          <w:lang w:val="en-US" w:eastAsia="zh-CN"/>
        </w:rPr>
        <w:t>05</w:t>
      </w:r>
      <w:r>
        <w:rPr>
          <w:rStyle w:val="23"/>
          <w:rFonts w:hint="eastAsia" w:ascii="仿宋" w:hAnsi="仿宋" w:eastAsia="仿宋"/>
          <w:bCs/>
          <w:color w:val="000000"/>
          <w:sz w:val="32"/>
          <w:szCs w:val="32"/>
        </w:rPr>
        <w:t>）</w:t>
      </w:r>
      <w:r>
        <w:rPr>
          <w:rStyle w:val="23"/>
          <w:rFonts w:ascii="仿宋" w:hAnsi="仿宋" w:eastAsia="仿宋"/>
          <w:bCs/>
          <w:color w:val="000000"/>
          <w:sz w:val="32"/>
          <w:szCs w:val="32"/>
        </w:rPr>
        <w:t>:</w:t>
      </w:r>
      <w:r>
        <w:rPr>
          <w:rStyle w:val="23"/>
          <w:rFonts w:ascii="仿宋" w:hAnsi="仿宋" w:eastAsia="仿宋"/>
          <w:b w:val="0"/>
          <w:bCs/>
          <w:color w:val="000000"/>
          <w:sz w:val="32"/>
          <w:szCs w:val="32"/>
        </w:rPr>
        <w:t xml:space="preserve"> </w:t>
      </w:r>
      <w:r>
        <w:rPr>
          <w:rStyle w:val="23"/>
          <w:rFonts w:hint="eastAsia" w:ascii="仿宋" w:hAnsi="仿宋" w:eastAsia="仿宋"/>
          <w:b w:val="0"/>
          <w:bCs/>
          <w:color w:val="000000"/>
          <w:sz w:val="32"/>
          <w:szCs w:val="32"/>
        </w:rPr>
        <w:t>支出决算为</w:t>
      </w:r>
      <w:r>
        <w:rPr>
          <w:rStyle w:val="23"/>
          <w:rFonts w:hint="eastAsia" w:ascii="仿宋" w:hAnsi="仿宋" w:eastAsia="仿宋"/>
          <w:b w:val="0"/>
          <w:bCs/>
          <w:color w:val="000000"/>
          <w:sz w:val="32"/>
          <w:szCs w:val="32"/>
          <w:lang w:val="en-US" w:eastAsia="zh-CN"/>
        </w:rPr>
        <w:t>109.97</w:t>
      </w:r>
      <w:r>
        <w:rPr>
          <w:rStyle w:val="23"/>
          <w:rFonts w:hint="eastAsia" w:ascii="仿宋" w:hAnsi="仿宋" w:eastAsia="仿宋"/>
          <w:b w:val="0"/>
          <w:bCs/>
          <w:color w:val="000000"/>
          <w:sz w:val="32"/>
          <w:szCs w:val="32"/>
        </w:rPr>
        <w:t>万元，完成预算</w:t>
      </w:r>
      <w:r>
        <w:rPr>
          <w:rStyle w:val="23"/>
          <w:rFonts w:hint="eastAsia" w:ascii="仿宋" w:hAnsi="仿宋" w:eastAsia="仿宋"/>
          <w:b w:val="0"/>
          <w:bCs/>
          <w:color w:val="000000"/>
          <w:sz w:val="32"/>
          <w:szCs w:val="32"/>
          <w:lang w:val="en-US" w:eastAsia="zh-CN"/>
        </w:rPr>
        <w:t>100</w:t>
      </w:r>
      <w:r>
        <w:rPr>
          <w:rStyle w:val="23"/>
          <w:rFonts w:ascii="仿宋" w:hAnsi="仿宋" w:eastAsia="仿宋"/>
          <w:b w:val="0"/>
          <w:bCs/>
          <w:color w:val="000000"/>
          <w:sz w:val="32"/>
          <w:szCs w:val="32"/>
        </w:rPr>
        <w:t>%</w:t>
      </w:r>
      <w:r>
        <w:rPr>
          <w:rStyle w:val="23"/>
          <w:rFonts w:hint="eastAsia" w:ascii="仿宋" w:hAnsi="仿宋" w:eastAsia="仿宋"/>
          <w:b w:val="0"/>
          <w:bCs/>
          <w:color w:val="000000"/>
          <w:sz w:val="32"/>
          <w:szCs w:val="32"/>
        </w:rPr>
        <w:t>，决算数等于预算数。</w:t>
      </w:r>
    </w:p>
    <w:p w14:paraId="563E008C">
      <w:pPr>
        <w:spacing w:line="600" w:lineRule="exact"/>
        <w:ind w:firstLine="643" w:firstLineChars="200"/>
        <w:rPr>
          <w:rStyle w:val="23"/>
          <w:rFonts w:hint="eastAsia" w:ascii="仿宋" w:hAnsi="仿宋" w:eastAsia="仿宋"/>
          <w:b w:val="0"/>
          <w:bCs/>
          <w:color w:val="000000"/>
          <w:sz w:val="32"/>
          <w:szCs w:val="32"/>
        </w:rPr>
      </w:pPr>
      <w:r>
        <w:rPr>
          <w:rStyle w:val="23"/>
          <w:rFonts w:hint="eastAsia" w:ascii="仿宋" w:hAnsi="仿宋" w:eastAsia="仿宋"/>
          <w:bCs/>
          <w:color w:val="000000"/>
          <w:sz w:val="32"/>
          <w:szCs w:val="32"/>
          <w:lang w:val="en-US" w:eastAsia="zh-CN"/>
        </w:rPr>
        <w:t>4</w:t>
      </w:r>
      <w:r>
        <w:rPr>
          <w:rStyle w:val="23"/>
          <w:rFonts w:ascii="仿宋" w:hAnsi="仿宋" w:eastAsia="仿宋"/>
          <w:bCs/>
          <w:color w:val="000000"/>
          <w:sz w:val="32"/>
          <w:szCs w:val="32"/>
        </w:rPr>
        <w:t>.</w:t>
      </w:r>
      <w:r>
        <w:rPr>
          <w:rStyle w:val="23"/>
          <w:rFonts w:hint="eastAsia" w:ascii="仿宋" w:hAnsi="仿宋" w:eastAsia="仿宋"/>
          <w:bCs/>
          <w:color w:val="000000"/>
          <w:sz w:val="32"/>
          <w:szCs w:val="32"/>
          <w:lang w:val="en-US" w:eastAsia="zh-CN"/>
        </w:rPr>
        <w:t>社会保障和就业</w:t>
      </w:r>
      <w:r>
        <w:rPr>
          <w:rStyle w:val="23"/>
          <w:rFonts w:hint="eastAsia" w:ascii="仿宋" w:hAnsi="仿宋" w:eastAsia="仿宋"/>
          <w:bCs/>
          <w:color w:val="000000"/>
          <w:sz w:val="32"/>
          <w:szCs w:val="32"/>
        </w:rPr>
        <w:t>（</w:t>
      </w:r>
      <w:r>
        <w:rPr>
          <w:rStyle w:val="23"/>
          <w:rFonts w:hint="eastAsia" w:ascii="仿宋" w:hAnsi="仿宋" w:eastAsia="仿宋"/>
          <w:bCs/>
          <w:color w:val="000000"/>
          <w:sz w:val="32"/>
          <w:szCs w:val="32"/>
          <w:lang w:val="en-US" w:eastAsia="zh-CN"/>
        </w:rPr>
        <w:t>208</w:t>
      </w:r>
      <w:r>
        <w:rPr>
          <w:rStyle w:val="23"/>
          <w:rFonts w:hint="eastAsia" w:ascii="仿宋" w:hAnsi="仿宋" w:eastAsia="仿宋"/>
          <w:bCs/>
          <w:color w:val="000000"/>
          <w:sz w:val="32"/>
          <w:szCs w:val="32"/>
        </w:rPr>
        <w:t>）</w:t>
      </w:r>
      <w:r>
        <w:rPr>
          <w:rStyle w:val="23"/>
          <w:rFonts w:hint="eastAsia" w:ascii="仿宋" w:hAnsi="仿宋" w:eastAsia="仿宋"/>
          <w:bCs/>
          <w:color w:val="000000"/>
          <w:sz w:val="32"/>
          <w:szCs w:val="32"/>
          <w:lang w:val="en-US" w:eastAsia="zh-CN"/>
        </w:rPr>
        <w:t>行政事业单位养老</w:t>
      </w:r>
      <w:r>
        <w:rPr>
          <w:rStyle w:val="23"/>
          <w:rFonts w:hint="eastAsia" w:ascii="仿宋" w:hAnsi="仿宋" w:eastAsia="仿宋"/>
          <w:bCs/>
          <w:color w:val="000000"/>
          <w:sz w:val="32"/>
          <w:szCs w:val="32"/>
        </w:rPr>
        <w:t>（</w:t>
      </w:r>
      <w:r>
        <w:rPr>
          <w:rStyle w:val="23"/>
          <w:rFonts w:hint="eastAsia" w:ascii="仿宋" w:hAnsi="仿宋" w:eastAsia="仿宋"/>
          <w:bCs/>
          <w:color w:val="000000"/>
          <w:sz w:val="32"/>
          <w:szCs w:val="32"/>
          <w:lang w:val="en-US" w:eastAsia="zh-CN"/>
        </w:rPr>
        <w:t>05</w:t>
      </w:r>
      <w:r>
        <w:rPr>
          <w:rStyle w:val="23"/>
          <w:rFonts w:hint="eastAsia" w:ascii="仿宋" w:hAnsi="仿宋" w:eastAsia="仿宋"/>
          <w:bCs/>
          <w:color w:val="000000"/>
          <w:sz w:val="32"/>
          <w:szCs w:val="32"/>
        </w:rPr>
        <w:t>）</w:t>
      </w:r>
      <w:r>
        <w:rPr>
          <w:rStyle w:val="23"/>
          <w:rFonts w:hint="eastAsia" w:ascii="仿宋" w:hAnsi="仿宋" w:eastAsia="仿宋"/>
          <w:bCs/>
          <w:color w:val="000000"/>
          <w:sz w:val="32"/>
          <w:szCs w:val="32"/>
          <w:lang w:val="en-US" w:eastAsia="zh-CN"/>
        </w:rPr>
        <w:t>机关事业单位职业年金缴费</w:t>
      </w:r>
      <w:r>
        <w:rPr>
          <w:rStyle w:val="23"/>
          <w:rFonts w:hint="eastAsia" w:ascii="仿宋" w:hAnsi="仿宋" w:eastAsia="仿宋"/>
          <w:bCs/>
          <w:color w:val="000000"/>
          <w:sz w:val="32"/>
          <w:szCs w:val="32"/>
        </w:rPr>
        <w:t>（</w:t>
      </w:r>
      <w:r>
        <w:rPr>
          <w:rStyle w:val="23"/>
          <w:rFonts w:hint="eastAsia" w:ascii="仿宋" w:hAnsi="仿宋" w:eastAsia="仿宋"/>
          <w:bCs/>
          <w:color w:val="000000"/>
          <w:sz w:val="32"/>
          <w:szCs w:val="32"/>
          <w:lang w:val="en-US" w:eastAsia="zh-CN"/>
        </w:rPr>
        <w:t>06</w:t>
      </w:r>
      <w:r>
        <w:rPr>
          <w:rStyle w:val="23"/>
          <w:rFonts w:hint="eastAsia" w:ascii="仿宋" w:hAnsi="仿宋" w:eastAsia="仿宋"/>
          <w:bCs/>
          <w:color w:val="000000"/>
          <w:sz w:val="32"/>
          <w:szCs w:val="32"/>
        </w:rPr>
        <w:t>）</w:t>
      </w:r>
      <w:r>
        <w:rPr>
          <w:rStyle w:val="23"/>
          <w:rFonts w:ascii="仿宋" w:hAnsi="仿宋" w:eastAsia="仿宋"/>
          <w:bCs/>
          <w:color w:val="000000"/>
          <w:sz w:val="32"/>
          <w:szCs w:val="32"/>
        </w:rPr>
        <w:t>:</w:t>
      </w:r>
      <w:r>
        <w:rPr>
          <w:rStyle w:val="23"/>
          <w:rFonts w:ascii="仿宋" w:hAnsi="仿宋" w:eastAsia="仿宋"/>
          <w:b w:val="0"/>
          <w:bCs/>
          <w:color w:val="000000"/>
          <w:sz w:val="32"/>
          <w:szCs w:val="32"/>
        </w:rPr>
        <w:t xml:space="preserve"> </w:t>
      </w:r>
      <w:r>
        <w:rPr>
          <w:rStyle w:val="23"/>
          <w:rFonts w:hint="eastAsia" w:ascii="仿宋" w:hAnsi="仿宋" w:eastAsia="仿宋"/>
          <w:b w:val="0"/>
          <w:bCs/>
          <w:color w:val="000000"/>
          <w:sz w:val="32"/>
          <w:szCs w:val="32"/>
        </w:rPr>
        <w:t>支出决算为</w:t>
      </w:r>
      <w:r>
        <w:rPr>
          <w:rStyle w:val="23"/>
          <w:rFonts w:hint="eastAsia" w:ascii="仿宋" w:hAnsi="仿宋" w:eastAsia="仿宋"/>
          <w:b w:val="0"/>
          <w:bCs/>
          <w:color w:val="000000"/>
          <w:sz w:val="32"/>
          <w:szCs w:val="32"/>
          <w:lang w:val="en-US" w:eastAsia="zh-CN"/>
        </w:rPr>
        <w:t>61.08</w:t>
      </w:r>
      <w:r>
        <w:rPr>
          <w:rStyle w:val="23"/>
          <w:rFonts w:hint="eastAsia" w:ascii="仿宋" w:hAnsi="仿宋" w:eastAsia="仿宋"/>
          <w:b w:val="0"/>
          <w:bCs/>
          <w:color w:val="000000"/>
          <w:sz w:val="32"/>
          <w:szCs w:val="32"/>
        </w:rPr>
        <w:t>万元，完成预算</w:t>
      </w:r>
      <w:r>
        <w:rPr>
          <w:rStyle w:val="23"/>
          <w:rFonts w:hint="eastAsia" w:ascii="仿宋" w:hAnsi="仿宋" w:eastAsia="仿宋"/>
          <w:b w:val="0"/>
          <w:bCs/>
          <w:color w:val="000000"/>
          <w:sz w:val="32"/>
          <w:szCs w:val="32"/>
          <w:lang w:val="en-US" w:eastAsia="zh-CN"/>
        </w:rPr>
        <w:t>100</w:t>
      </w:r>
      <w:r>
        <w:rPr>
          <w:rStyle w:val="23"/>
          <w:rFonts w:ascii="仿宋" w:hAnsi="仿宋" w:eastAsia="仿宋"/>
          <w:b w:val="0"/>
          <w:bCs/>
          <w:color w:val="000000"/>
          <w:sz w:val="32"/>
          <w:szCs w:val="32"/>
        </w:rPr>
        <w:t>%</w:t>
      </w:r>
      <w:r>
        <w:rPr>
          <w:rStyle w:val="23"/>
          <w:rFonts w:hint="eastAsia" w:ascii="仿宋" w:hAnsi="仿宋" w:eastAsia="仿宋"/>
          <w:b w:val="0"/>
          <w:bCs/>
          <w:color w:val="000000"/>
          <w:sz w:val="32"/>
          <w:szCs w:val="32"/>
        </w:rPr>
        <w:t>，决算数等于预算数。</w:t>
      </w:r>
    </w:p>
    <w:p w14:paraId="6D702A4C">
      <w:pPr>
        <w:spacing w:line="600" w:lineRule="exact"/>
        <w:ind w:firstLine="643" w:firstLineChars="200"/>
        <w:rPr>
          <w:rFonts w:ascii="仿宋" w:hAnsi="仿宋" w:eastAsia="仿宋"/>
          <w:b/>
          <w:color w:val="000000"/>
          <w:sz w:val="32"/>
          <w:szCs w:val="32"/>
        </w:rPr>
      </w:pPr>
      <w:r>
        <w:rPr>
          <w:rStyle w:val="23"/>
          <w:rFonts w:hint="eastAsia" w:ascii="仿宋" w:hAnsi="仿宋" w:eastAsia="仿宋"/>
          <w:bCs/>
          <w:color w:val="000000"/>
          <w:sz w:val="32"/>
          <w:szCs w:val="32"/>
          <w:lang w:val="en-US" w:eastAsia="zh-CN"/>
        </w:rPr>
        <w:t>5</w:t>
      </w:r>
      <w:r>
        <w:rPr>
          <w:rStyle w:val="23"/>
          <w:rFonts w:ascii="仿宋" w:hAnsi="仿宋" w:eastAsia="仿宋"/>
          <w:bCs/>
          <w:color w:val="000000"/>
          <w:sz w:val="32"/>
          <w:szCs w:val="32"/>
        </w:rPr>
        <w:t>.</w:t>
      </w:r>
      <w:r>
        <w:rPr>
          <w:rStyle w:val="23"/>
          <w:rFonts w:hint="eastAsia" w:ascii="仿宋" w:hAnsi="仿宋" w:eastAsia="仿宋"/>
          <w:bCs/>
          <w:color w:val="000000"/>
          <w:sz w:val="32"/>
          <w:szCs w:val="32"/>
          <w:lang w:val="en-US" w:eastAsia="zh-CN"/>
        </w:rPr>
        <w:t>卫生健康</w:t>
      </w:r>
      <w:r>
        <w:rPr>
          <w:rStyle w:val="23"/>
          <w:rFonts w:hint="eastAsia" w:ascii="仿宋" w:hAnsi="仿宋" w:eastAsia="仿宋"/>
          <w:bCs/>
          <w:color w:val="000000"/>
          <w:sz w:val="32"/>
          <w:szCs w:val="32"/>
        </w:rPr>
        <w:t>（</w:t>
      </w:r>
      <w:r>
        <w:rPr>
          <w:rStyle w:val="23"/>
          <w:rFonts w:hint="eastAsia" w:ascii="仿宋" w:hAnsi="仿宋" w:eastAsia="仿宋"/>
          <w:bCs/>
          <w:color w:val="000000"/>
          <w:sz w:val="32"/>
          <w:szCs w:val="32"/>
          <w:lang w:val="en-US" w:eastAsia="zh-CN"/>
        </w:rPr>
        <w:t>210</w:t>
      </w:r>
      <w:r>
        <w:rPr>
          <w:rStyle w:val="23"/>
          <w:rFonts w:hint="eastAsia" w:ascii="仿宋" w:hAnsi="仿宋" w:eastAsia="仿宋"/>
          <w:bCs/>
          <w:color w:val="000000"/>
          <w:sz w:val="32"/>
          <w:szCs w:val="32"/>
        </w:rPr>
        <w:t>）</w:t>
      </w:r>
      <w:r>
        <w:rPr>
          <w:rStyle w:val="23"/>
          <w:rFonts w:hint="eastAsia" w:ascii="仿宋" w:hAnsi="仿宋" w:eastAsia="仿宋"/>
          <w:bCs/>
          <w:color w:val="000000"/>
          <w:sz w:val="32"/>
          <w:szCs w:val="32"/>
          <w:lang w:val="en-US" w:eastAsia="zh-CN"/>
        </w:rPr>
        <w:t>行政事业单位医疗</w:t>
      </w:r>
      <w:r>
        <w:rPr>
          <w:rStyle w:val="23"/>
          <w:rFonts w:hint="eastAsia" w:ascii="仿宋" w:hAnsi="仿宋" w:eastAsia="仿宋"/>
          <w:bCs/>
          <w:color w:val="000000"/>
          <w:sz w:val="32"/>
          <w:szCs w:val="32"/>
        </w:rPr>
        <w:t>（</w:t>
      </w:r>
      <w:r>
        <w:rPr>
          <w:rStyle w:val="23"/>
          <w:rFonts w:hint="eastAsia" w:ascii="仿宋" w:hAnsi="仿宋" w:eastAsia="仿宋"/>
          <w:bCs/>
          <w:color w:val="000000"/>
          <w:sz w:val="32"/>
          <w:szCs w:val="32"/>
          <w:lang w:val="en-US" w:eastAsia="zh-CN"/>
        </w:rPr>
        <w:t>11</w:t>
      </w:r>
      <w:r>
        <w:rPr>
          <w:rStyle w:val="23"/>
          <w:rFonts w:hint="eastAsia" w:ascii="仿宋" w:hAnsi="仿宋" w:eastAsia="仿宋"/>
          <w:bCs/>
          <w:color w:val="000000"/>
          <w:sz w:val="32"/>
          <w:szCs w:val="32"/>
        </w:rPr>
        <w:t>）</w:t>
      </w:r>
      <w:r>
        <w:rPr>
          <w:rStyle w:val="23"/>
          <w:rFonts w:hint="eastAsia" w:ascii="仿宋" w:hAnsi="仿宋" w:eastAsia="仿宋"/>
          <w:bCs/>
          <w:color w:val="000000"/>
          <w:sz w:val="32"/>
          <w:szCs w:val="32"/>
          <w:lang w:val="en-US" w:eastAsia="zh-CN"/>
        </w:rPr>
        <w:t>行政事业单位医疗</w:t>
      </w:r>
      <w:r>
        <w:rPr>
          <w:rStyle w:val="23"/>
          <w:rFonts w:hint="eastAsia" w:ascii="仿宋" w:hAnsi="仿宋" w:eastAsia="仿宋"/>
          <w:bCs/>
          <w:color w:val="000000"/>
          <w:sz w:val="32"/>
          <w:szCs w:val="32"/>
        </w:rPr>
        <w:t>（</w:t>
      </w:r>
      <w:r>
        <w:rPr>
          <w:rStyle w:val="23"/>
          <w:rFonts w:hint="eastAsia" w:ascii="仿宋" w:hAnsi="仿宋" w:eastAsia="仿宋"/>
          <w:bCs/>
          <w:color w:val="000000"/>
          <w:sz w:val="32"/>
          <w:szCs w:val="32"/>
          <w:lang w:val="en-US" w:eastAsia="zh-CN"/>
        </w:rPr>
        <w:t>01</w:t>
      </w:r>
      <w:r>
        <w:rPr>
          <w:rStyle w:val="23"/>
          <w:rFonts w:hint="eastAsia" w:ascii="仿宋" w:hAnsi="仿宋" w:eastAsia="仿宋"/>
          <w:bCs/>
          <w:color w:val="000000"/>
          <w:sz w:val="32"/>
          <w:szCs w:val="32"/>
        </w:rPr>
        <w:t>）</w:t>
      </w:r>
      <w:r>
        <w:rPr>
          <w:rStyle w:val="23"/>
          <w:rFonts w:ascii="仿宋" w:hAnsi="仿宋" w:eastAsia="仿宋"/>
          <w:bCs/>
          <w:color w:val="000000"/>
          <w:sz w:val="32"/>
          <w:szCs w:val="32"/>
        </w:rPr>
        <w:t>:</w:t>
      </w:r>
      <w:r>
        <w:rPr>
          <w:rStyle w:val="23"/>
          <w:rFonts w:ascii="仿宋" w:hAnsi="仿宋" w:eastAsia="仿宋"/>
          <w:b w:val="0"/>
          <w:bCs/>
          <w:color w:val="000000"/>
          <w:sz w:val="32"/>
          <w:szCs w:val="32"/>
        </w:rPr>
        <w:t xml:space="preserve"> </w:t>
      </w:r>
      <w:r>
        <w:rPr>
          <w:rStyle w:val="23"/>
          <w:rFonts w:hint="eastAsia" w:ascii="仿宋" w:hAnsi="仿宋" w:eastAsia="仿宋"/>
          <w:b w:val="0"/>
          <w:bCs/>
          <w:color w:val="000000"/>
          <w:sz w:val="32"/>
          <w:szCs w:val="32"/>
        </w:rPr>
        <w:t>支出决算为</w:t>
      </w:r>
      <w:r>
        <w:rPr>
          <w:rStyle w:val="23"/>
          <w:rFonts w:hint="eastAsia" w:ascii="仿宋" w:hAnsi="仿宋" w:eastAsia="仿宋"/>
          <w:b w:val="0"/>
          <w:bCs/>
          <w:color w:val="000000"/>
          <w:sz w:val="32"/>
          <w:szCs w:val="32"/>
          <w:lang w:val="en-US" w:eastAsia="zh-CN"/>
        </w:rPr>
        <w:t>61.4</w:t>
      </w:r>
      <w:r>
        <w:rPr>
          <w:rStyle w:val="23"/>
          <w:rFonts w:hint="eastAsia" w:ascii="仿宋" w:hAnsi="仿宋" w:eastAsia="仿宋"/>
          <w:b w:val="0"/>
          <w:bCs/>
          <w:color w:val="000000"/>
          <w:sz w:val="32"/>
          <w:szCs w:val="32"/>
        </w:rPr>
        <w:t>万元，完成预算</w:t>
      </w:r>
      <w:r>
        <w:rPr>
          <w:rStyle w:val="23"/>
          <w:rFonts w:hint="eastAsia" w:ascii="仿宋" w:hAnsi="仿宋" w:eastAsia="仿宋"/>
          <w:b w:val="0"/>
          <w:bCs/>
          <w:color w:val="000000"/>
          <w:sz w:val="32"/>
          <w:szCs w:val="32"/>
          <w:lang w:val="en-US" w:eastAsia="zh-CN"/>
        </w:rPr>
        <w:t>100</w:t>
      </w:r>
      <w:r>
        <w:rPr>
          <w:rStyle w:val="23"/>
          <w:rFonts w:ascii="仿宋" w:hAnsi="仿宋" w:eastAsia="仿宋"/>
          <w:b w:val="0"/>
          <w:bCs/>
          <w:color w:val="000000"/>
          <w:sz w:val="32"/>
          <w:szCs w:val="32"/>
        </w:rPr>
        <w:t>%</w:t>
      </w:r>
      <w:r>
        <w:rPr>
          <w:rStyle w:val="23"/>
          <w:rFonts w:hint="eastAsia" w:ascii="仿宋" w:hAnsi="仿宋" w:eastAsia="仿宋"/>
          <w:b w:val="0"/>
          <w:bCs/>
          <w:color w:val="000000"/>
          <w:sz w:val="32"/>
          <w:szCs w:val="32"/>
        </w:rPr>
        <w:t>，决算数等于预算数。</w:t>
      </w:r>
    </w:p>
    <w:p w14:paraId="07FF42E4">
      <w:pPr>
        <w:spacing w:line="600" w:lineRule="exact"/>
        <w:ind w:firstLine="643" w:firstLineChars="200"/>
        <w:rPr>
          <w:rFonts w:ascii="仿宋" w:hAnsi="仿宋" w:eastAsia="仿宋"/>
          <w:b/>
          <w:color w:val="000000"/>
          <w:sz w:val="32"/>
          <w:szCs w:val="32"/>
        </w:rPr>
      </w:pPr>
      <w:r>
        <w:rPr>
          <w:rStyle w:val="23"/>
          <w:rFonts w:hint="eastAsia" w:ascii="仿宋" w:hAnsi="仿宋" w:eastAsia="仿宋"/>
          <w:bCs/>
          <w:color w:val="000000"/>
          <w:sz w:val="32"/>
          <w:szCs w:val="32"/>
          <w:lang w:val="en-US" w:eastAsia="zh-CN"/>
        </w:rPr>
        <w:t>6</w:t>
      </w:r>
      <w:r>
        <w:rPr>
          <w:rStyle w:val="23"/>
          <w:rFonts w:ascii="仿宋" w:hAnsi="仿宋" w:eastAsia="仿宋"/>
          <w:bCs/>
          <w:color w:val="000000"/>
          <w:sz w:val="32"/>
          <w:szCs w:val="32"/>
        </w:rPr>
        <w:t>.</w:t>
      </w:r>
      <w:r>
        <w:rPr>
          <w:rStyle w:val="23"/>
          <w:rFonts w:hint="eastAsia" w:ascii="仿宋" w:hAnsi="仿宋" w:eastAsia="仿宋"/>
          <w:bCs/>
          <w:color w:val="000000"/>
          <w:sz w:val="32"/>
          <w:szCs w:val="32"/>
          <w:lang w:val="en-US" w:eastAsia="zh-CN"/>
        </w:rPr>
        <w:t>卫生健康</w:t>
      </w:r>
      <w:r>
        <w:rPr>
          <w:rStyle w:val="23"/>
          <w:rFonts w:hint="eastAsia" w:ascii="仿宋" w:hAnsi="仿宋" w:eastAsia="仿宋"/>
          <w:bCs/>
          <w:color w:val="000000"/>
          <w:sz w:val="32"/>
          <w:szCs w:val="32"/>
        </w:rPr>
        <w:t>（</w:t>
      </w:r>
      <w:r>
        <w:rPr>
          <w:rStyle w:val="23"/>
          <w:rFonts w:hint="eastAsia" w:ascii="仿宋" w:hAnsi="仿宋" w:eastAsia="仿宋"/>
          <w:bCs/>
          <w:color w:val="000000"/>
          <w:sz w:val="32"/>
          <w:szCs w:val="32"/>
          <w:lang w:val="en-US" w:eastAsia="zh-CN"/>
        </w:rPr>
        <w:t>210</w:t>
      </w:r>
      <w:r>
        <w:rPr>
          <w:rStyle w:val="23"/>
          <w:rFonts w:hint="eastAsia" w:ascii="仿宋" w:hAnsi="仿宋" w:eastAsia="仿宋"/>
          <w:bCs/>
          <w:color w:val="000000"/>
          <w:sz w:val="32"/>
          <w:szCs w:val="32"/>
        </w:rPr>
        <w:t>）</w:t>
      </w:r>
      <w:r>
        <w:rPr>
          <w:rStyle w:val="23"/>
          <w:rFonts w:hint="eastAsia" w:ascii="仿宋" w:hAnsi="仿宋" w:eastAsia="仿宋"/>
          <w:bCs/>
          <w:color w:val="000000"/>
          <w:sz w:val="32"/>
          <w:szCs w:val="32"/>
          <w:lang w:val="en-US" w:eastAsia="zh-CN"/>
        </w:rPr>
        <w:t>行政事业单位医疗</w:t>
      </w:r>
      <w:r>
        <w:rPr>
          <w:rStyle w:val="23"/>
          <w:rFonts w:hint="eastAsia" w:ascii="仿宋" w:hAnsi="仿宋" w:eastAsia="仿宋"/>
          <w:bCs/>
          <w:color w:val="000000"/>
          <w:sz w:val="32"/>
          <w:szCs w:val="32"/>
        </w:rPr>
        <w:t>（</w:t>
      </w:r>
      <w:r>
        <w:rPr>
          <w:rStyle w:val="23"/>
          <w:rFonts w:hint="eastAsia" w:ascii="仿宋" w:hAnsi="仿宋" w:eastAsia="仿宋"/>
          <w:bCs/>
          <w:color w:val="000000"/>
          <w:sz w:val="32"/>
          <w:szCs w:val="32"/>
          <w:lang w:val="en-US" w:eastAsia="zh-CN"/>
        </w:rPr>
        <w:t>11</w:t>
      </w:r>
      <w:r>
        <w:rPr>
          <w:rStyle w:val="23"/>
          <w:rFonts w:hint="eastAsia" w:ascii="仿宋" w:hAnsi="仿宋" w:eastAsia="仿宋"/>
          <w:bCs/>
          <w:color w:val="000000"/>
          <w:sz w:val="32"/>
          <w:szCs w:val="32"/>
        </w:rPr>
        <w:t>）</w:t>
      </w:r>
      <w:r>
        <w:rPr>
          <w:rStyle w:val="23"/>
          <w:rFonts w:hint="eastAsia" w:ascii="仿宋" w:hAnsi="仿宋" w:eastAsia="仿宋"/>
          <w:bCs/>
          <w:color w:val="000000"/>
          <w:sz w:val="32"/>
          <w:szCs w:val="32"/>
          <w:lang w:val="en-US" w:eastAsia="zh-CN"/>
        </w:rPr>
        <w:t>公务员医疗补助</w:t>
      </w:r>
      <w:r>
        <w:rPr>
          <w:rStyle w:val="23"/>
          <w:rFonts w:hint="eastAsia" w:ascii="仿宋" w:hAnsi="仿宋" w:eastAsia="仿宋"/>
          <w:bCs/>
          <w:color w:val="000000"/>
          <w:sz w:val="32"/>
          <w:szCs w:val="32"/>
        </w:rPr>
        <w:t>（</w:t>
      </w:r>
      <w:r>
        <w:rPr>
          <w:rStyle w:val="23"/>
          <w:rFonts w:hint="eastAsia" w:ascii="仿宋" w:hAnsi="仿宋" w:eastAsia="仿宋"/>
          <w:bCs/>
          <w:color w:val="000000"/>
          <w:sz w:val="32"/>
          <w:szCs w:val="32"/>
          <w:lang w:val="en-US" w:eastAsia="zh-CN"/>
        </w:rPr>
        <w:t>03</w:t>
      </w:r>
      <w:r>
        <w:rPr>
          <w:rStyle w:val="23"/>
          <w:rFonts w:hint="eastAsia" w:ascii="仿宋" w:hAnsi="仿宋" w:eastAsia="仿宋"/>
          <w:bCs/>
          <w:color w:val="000000"/>
          <w:sz w:val="32"/>
          <w:szCs w:val="32"/>
        </w:rPr>
        <w:t>）</w:t>
      </w:r>
      <w:r>
        <w:rPr>
          <w:rStyle w:val="23"/>
          <w:rFonts w:ascii="仿宋" w:hAnsi="仿宋" w:eastAsia="仿宋"/>
          <w:bCs/>
          <w:color w:val="000000"/>
          <w:sz w:val="32"/>
          <w:szCs w:val="32"/>
        </w:rPr>
        <w:t>:</w:t>
      </w:r>
      <w:r>
        <w:rPr>
          <w:rStyle w:val="23"/>
          <w:rFonts w:ascii="仿宋" w:hAnsi="仿宋" w:eastAsia="仿宋"/>
          <w:b w:val="0"/>
          <w:bCs/>
          <w:color w:val="000000"/>
          <w:sz w:val="32"/>
          <w:szCs w:val="32"/>
        </w:rPr>
        <w:t xml:space="preserve"> </w:t>
      </w:r>
      <w:r>
        <w:rPr>
          <w:rStyle w:val="23"/>
          <w:rFonts w:hint="eastAsia" w:ascii="仿宋" w:hAnsi="仿宋" w:eastAsia="仿宋"/>
          <w:b w:val="0"/>
          <w:bCs/>
          <w:color w:val="000000"/>
          <w:sz w:val="32"/>
          <w:szCs w:val="32"/>
        </w:rPr>
        <w:t>支出决算为</w:t>
      </w:r>
      <w:r>
        <w:rPr>
          <w:rStyle w:val="23"/>
          <w:rFonts w:hint="eastAsia" w:ascii="仿宋" w:hAnsi="仿宋" w:eastAsia="仿宋"/>
          <w:b w:val="0"/>
          <w:bCs/>
          <w:color w:val="000000"/>
          <w:sz w:val="32"/>
          <w:szCs w:val="32"/>
          <w:lang w:val="en-US" w:eastAsia="zh-CN"/>
        </w:rPr>
        <w:t>11.64</w:t>
      </w:r>
      <w:r>
        <w:rPr>
          <w:rStyle w:val="23"/>
          <w:rFonts w:hint="eastAsia" w:ascii="仿宋" w:hAnsi="仿宋" w:eastAsia="仿宋"/>
          <w:b w:val="0"/>
          <w:bCs/>
          <w:color w:val="000000"/>
          <w:sz w:val="32"/>
          <w:szCs w:val="32"/>
        </w:rPr>
        <w:t>万元，完成预算</w:t>
      </w:r>
      <w:r>
        <w:rPr>
          <w:rStyle w:val="23"/>
          <w:rFonts w:hint="eastAsia" w:ascii="仿宋" w:hAnsi="仿宋" w:eastAsia="仿宋"/>
          <w:b w:val="0"/>
          <w:bCs/>
          <w:color w:val="000000"/>
          <w:sz w:val="32"/>
          <w:szCs w:val="32"/>
          <w:lang w:val="en-US" w:eastAsia="zh-CN"/>
        </w:rPr>
        <w:t>100</w:t>
      </w:r>
      <w:r>
        <w:rPr>
          <w:rStyle w:val="23"/>
          <w:rFonts w:ascii="仿宋" w:hAnsi="仿宋" w:eastAsia="仿宋"/>
          <w:b w:val="0"/>
          <w:bCs/>
          <w:color w:val="000000"/>
          <w:sz w:val="32"/>
          <w:szCs w:val="32"/>
        </w:rPr>
        <w:t>%</w:t>
      </w:r>
      <w:r>
        <w:rPr>
          <w:rStyle w:val="23"/>
          <w:rFonts w:hint="eastAsia" w:ascii="仿宋" w:hAnsi="仿宋" w:eastAsia="仿宋"/>
          <w:b w:val="0"/>
          <w:bCs/>
          <w:color w:val="000000"/>
          <w:sz w:val="32"/>
          <w:szCs w:val="32"/>
        </w:rPr>
        <w:t>，决算数等于预算数。</w:t>
      </w:r>
    </w:p>
    <w:p w14:paraId="68070643">
      <w:pPr>
        <w:pStyle w:val="2"/>
        <w:rPr>
          <w:rStyle w:val="23"/>
          <w:rFonts w:hint="eastAsia" w:ascii="仿宋" w:hAnsi="仿宋" w:eastAsia="仿宋"/>
          <w:b w:val="0"/>
          <w:bCs/>
          <w:color w:val="000000"/>
          <w:sz w:val="32"/>
          <w:szCs w:val="32"/>
        </w:rPr>
      </w:pPr>
      <w:r>
        <w:rPr>
          <w:rStyle w:val="23"/>
          <w:rFonts w:hint="eastAsia" w:ascii="仿宋" w:hAnsi="仿宋" w:eastAsia="仿宋"/>
          <w:bCs/>
          <w:color w:val="000000"/>
          <w:sz w:val="32"/>
          <w:szCs w:val="32"/>
          <w:lang w:val="en-US" w:eastAsia="zh-CN"/>
        </w:rPr>
        <w:t>7</w:t>
      </w:r>
      <w:r>
        <w:rPr>
          <w:rStyle w:val="23"/>
          <w:rFonts w:ascii="仿宋" w:hAnsi="仿宋" w:eastAsia="仿宋"/>
          <w:bCs/>
          <w:color w:val="000000"/>
          <w:sz w:val="32"/>
          <w:szCs w:val="32"/>
        </w:rPr>
        <w:t>.</w:t>
      </w:r>
      <w:r>
        <w:rPr>
          <w:rFonts w:hint="eastAsia" w:ascii="仿宋" w:hAnsi="仿宋" w:eastAsia="仿宋"/>
          <w:b/>
          <w:bCs/>
          <w:color w:val="000000"/>
          <w:sz w:val="32"/>
          <w:szCs w:val="32"/>
          <w:lang w:val="en-US" w:eastAsia="zh-CN"/>
        </w:rPr>
        <w:t>住房保障</w:t>
      </w:r>
      <w:r>
        <w:rPr>
          <w:rStyle w:val="23"/>
          <w:rFonts w:hint="eastAsia" w:ascii="仿宋" w:hAnsi="仿宋" w:eastAsia="仿宋"/>
          <w:bCs/>
          <w:color w:val="000000"/>
          <w:sz w:val="32"/>
          <w:szCs w:val="32"/>
        </w:rPr>
        <w:t>（</w:t>
      </w:r>
      <w:r>
        <w:rPr>
          <w:rStyle w:val="23"/>
          <w:rFonts w:hint="eastAsia" w:ascii="仿宋" w:hAnsi="仿宋" w:eastAsia="仿宋"/>
          <w:bCs/>
          <w:color w:val="000000"/>
          <w:sz w:val="32"/>
          <w:szCs w:val="32"/>
          <w:lang w:val="en-US" w:eastAsia="zh-CN"/>
        </w:rPr>
        <w:t>221</w:t>
      </w:r>
      <w:r>
        <w:rPr>
          <w:rStyle w:val="23"/>
          <w:rFonts w:hint="eastAsia" w:ascii="仿宋" w:hAnsi="仿宋" w:eastAsia="仿宋"/>
          <w:bCs/>
          <w:color w:val="000000"/>
          <w:sz w:val="32"/>
          <w:szCs w:val="32"/>
        </w:rPr>
        <w:t>）</w:t>
      </w:r>
      <w:r>
        <w:rPr>
          <w:rStyle w:val="23"/>
          <w:rFonts w:hint="eastAsia" w:ascii="仿宋" w:hAnsi="仿宋" w:eastAsia="仿宋"/>
          <w:bCs/>
          <w:color w:val="000000"/>
          <w:sz w:val="32"/>
          <w:szCs w:val="32"/>
          <w:lang w:val="en-US" w:eastAsia="zh-CN"/>
        </w:rPr>
        <w:t>住房改革</w:t>
      </w:r>
      <w:r>
        <w:rPr>
          <w:rStyle w:val="23"/>
          <w:rFonts w:hint="eastAsia" w:ascii="仿宋" w:hAnsi="仿宋" w:eastAsia="仿宋"/>
          <w:bCs/>
          <w:color w:val="000000"/>
          <w:sz w:val="32"/>
          <w:szCs w:val="32"/>
        </w:rPr>
        <w:t>（</w:t>
      </w:r>
      <w:r>
        <w:rPr>
          <w:rStyle w:val="23"/>
          <w:rFonts w:hint="eastAsia" w:ascii="仿宋" w:hAnsi="仿宋" w:eastAsia="仿宋"/>
          <w:bCs/>
          <w:color w:val="000000"/>
          <w:sz w:val="32"/>
          <w:szCs w:val="32"/>
          <w:lang w:val="en-US" w:eastAsia="zh-CN"/>
        </w:rPr>
        <w:t>02</w:t>
      </w:r>
      <w:r>
        <w:rPr>
          <w:rStyle w:val="23"/>
          <w:rFonts w:hint="eastAsia" w:ascii="仿宋" w:hAnsi="仿宋" w:eastAsia="仿宋"/>
          <w:bCs/>
          <w:color w:val="000000"/>
          <w:sz w:val="32"/>
          <w:szCs w:val="32"/>
        </w:rPr>
        <w:t>）</w:t>
      </w:r>
      <w:r>
        <w:rPr>
          <w:rStyle w:val="23"/>
          <w:rFonts w:hint="eastAsia" w:ascii="仿宋" w:hAnsi="仿宋" w:eastAsia="仿宋"/>
          <w:bCs/>
          <w:color w:val="000000"/>
          <w:sz w:val="32"/>
          <w:szCs w:val="32"/>
          <w:lang w:val="en-US" w:eastAsia="zh-CN"/>
        </w:rPr>
        <w:t>住房公积金</w:t>
      </w:r>
      <w:r>
        <w:rPr>
          <w:rStyle w:val="23"/>
          <w:rFonts w:hint="eastAsia" w:ascii="仿宋" w:hAnsi="仿宋" w:eastAsia="仿宋"/>
          <w:bCs/>
          <w:color w:val="000000"/>
          <w:sz w:val="32"/>
          <w:szCs w:val="32"/>
        </w:rPr>
        <w:t>（</w:t>
      </w:r>
      <w:r>
        <w:rPr>
          <w:rStyle w:val="23"/>
          <w:rFonts w:hint="eastAsia" w:ascii="仿宋" w:hAnsi="仿宋" w:eastAsia="仿宋"/>
          <w:bCs/>
          <w:color w:val="000000"/>
          <w:sz w:val="32"/>
          <w:szCs w:val="32"/>
          <w:lang w:val="en-US" w:eastAsia="zh-CN"/>
        </w:rPr>
        <w:t>01</w:t>
      </w:r>
      <w:r>
        <w:rPr>
          <w:rStyle w:val="23"/>
          <w:rFonts w:hint="eastAsia" w:ascii="仿宋" w:hAnsi="仿宋" w:eastAsia="仿宋"/>
          <w:bCs/>
          <w:color w:val="000000"/>
          <w:sz w:val="32"/>
          <w:szCs w:val="32"/>
        </w:rPr>
        <w:t>）</w:t>
      </w:r>
      <w:r>
        <w:rPr>
          <w:rStyle w:val="23"/>
          <w:rFonts w:ascii="仿宋" w:hAnsi="仿宋" w:eastAsia="仿宋"/>
          <w:bCs/>
          <w:color w:val="000000"/>
          <w:sz w:val="32"/>
          <w:szCs w:val="32"/>
        </w:rPr>
        <w:t>:</w:t>
      </w:r>
      <w:r>
        <w:rPr>
          <w:rStyle w:val="23"/>
          <w:rFonts w:hint="eastAsia" w:ascii="仿宋" w:hAnsi="仿宋" w:eastAsia="仿宋"/>
          <w:b w:val="0"/>
          <w:bCs/>
          <w:color w:val="000000"/>
          <w:sz w:val="32"/>
          <w:szCs w:val="32"/>
        </w:rPr>
        <w:t>支出决算为</w:t>
      </w:r>
      <w:r>
        <w:rPr>
          <w:rStyle w:val="23"/>
          <w:rFonts w:hint="eastAsia" w:ascii="仿宋" w:hAnsi="仿宋" w:eastAsia="仿宋"/>
          <w:b w:val="0"/>
          <w:bCs/>
          <w:color w:val="000000"/>
          <w:sz w:val="32"/>
          <w:szCs w:val="32"/>
          <w:lang w:val="en-US" w:eastAsia="zh-CN"/>
        </w:rPr>
        <w:t>106.05</w:t>
      </w:r>
      <w:r>
        <w:rPr>
          <w:rStyle w:val="23"/>
          <w:rFonts w:hint="eastAsia" w:ascii="仿宋" w:hAnsi="仿宋" w:eastAsia="仿宋"/>
          <w:b w:val="0"/>
          <w:bCs/>
          <w:color w:val="000000"/>
          <w:sz w:val="32"/>
          <w:szCs w:val="32"/>
        </w:rPr>
        <w:t>万元，完成预算</w:t>
      </w:r>
      <w:r>
        <w:rPr>
          <w:rStyle w:val="23"/>
          <w:rFonts w:hint="eastAsia" w:ascii="仿宋" w:hAnsi="仿宋" w:eastAsia="仿宋"/>
          <w:b w:val="0"/>
          <w:bCs/>
          <w:color w:val="000000"/>
          <w:sz w:val="32"/>
          <w:szCs w:val="32"/>
          <w:lang w:val="en-US" w:eastAsia="zh-CN"/>
        </w:rPr>
        <w:t>100</w:t>
      </w:r>
      <w:r>
        <w:rPr>
          <w:rStyle w:val="23"/>
          <w:rFonts w:ascii="仿宋" w:hAnsi="仿宋" w:eastAsia="仿宋"/>
          <w:b w:val="0"/>
          <w:bCs/>
          <w:color w:val="000000"/>
          <w:sz w:val="32"/>
          <w:szCs w:val="32"/>
        </w:rPr>
        <w:t>%</w:t>
      </w:r>
      <w:r>
        <w:rPr>
          <w:rStyle w:val="23"/>
          <w:rFonts w:hint="eastAsia" w:ascii="仿宋" w:hAnsi="仿宋" w:eastAsia="仿宋"/>
          <w:b w:val="0"/>
          <w:bCs/>
          <w:color w:val="000000"/>
          <w:sz w:val="32"/>
          <w:szCs w:val="32"/>
        </w:rPr>
        <w:t>，决算数等于预算数。</w:t>
      </w:r>
    </w:p>
    <w:p w14:paraId="5C5CD977"/>
    <w:p w14:paraId="78935E7D">
      <w:pPr>
        <w:tabs>
          <w:tab w:val="right" w:pos="8306"/>
        </w:tabs>
        <w:spacing w:line="600" w:lineRule="exact"/>
        <w:ind w:firstLine="640"/>
        <w:outlineLvl w:val="1"/>
        <w:rPr>
          <w:rStyle w:val="26"/>
        </w:rPr>
      </w:pPr>
      <w:bookmarkStart w:id="64" w:name="_Toc79163618"/>
      <w:bookmarkStart w:id="65" w:name="_Toc79163868"/>
      <w:bookmarkStart w:id="66" w:name="_Toc15396608"/>
      <w:bookmarkStart w:id="67" w:name="_Toc15377214"/>
      <w:r>
        <w:rPr>
          <w:rFonts w:hint="eastAsia" w:ascii="黑体" w:eastAsia="黑体"/>
          <w:color w:val="000000"/>
          <w:sz w:val="32"/>
          <w:szCs w:val="32"/>
        </w:rPr>
        <w:t>六</w:t>
      </w:r>
      <w:r>
        <w:rPr>
          <w:rFonts w:hint="eastAsia" w:ascii="黑体" w:eastAsia="黑体"/>
          <w:b/>
          <w:color w:val="000000"/>
          <w:sz w:val="32"/>
          <w:szCs w:val="32"/>
        </w:rPr>
        <w:t>、</w:t>
      </w:r>
      <w:r>
        <w:rPr>
          <w:rFonts w:hint="eastAsia" w:ascii="黑体" w:hAnsi="黑体" w:eastAsia="黑体"/>
          <w:b/>
          <w:color w:val="000000"/>
          <w:sz w:val="32"/>
          <w:szCs w:val="32"/>
        </w:rPr>
        <w:t>一</w:t>
      </w:r>
      <w:r>
        <w:rPr>
          <w:rStyle w:val="26"/>
          <w:rFonts w:hint="eastAsia" w:ascii="黑体" w:hAnsi="黑体" w:eastAsia="黑体"/>
          <w:b w:val="0"/>
        </w:rPr>
        <w:t>般公共预算财政拨款基本支出决算情况说明</w:t>
      </w:r>
      <w:bookmarkEnd w:id="64"/>
      <w:bookmarkEnd w:id="65"/>
      <w:bookmarkEnd w:id="66"/>
      <w:bookmarkEnd w:id="67"/>
      <w:r>
        <w:rPr>
          <w:rStyle w:val="26"/>
          <w:rFonts w:ascii="黑体" w:hAnsi="黑体" w:eastAsia="黑体"/>
          <w:b w:val="0"/>
        </w:rPr>
        <w:tab/>
      </w:r>
    </w:p>
    <w:p w14:paraId="4140782A">
      <w:pPr>
        <w:spacing w:line="600" w:lineRule="exact"/>
        <w:ind w:firstLine="645"/>
        <w:rPr>
          <w:rFonts w:ascii="仿宋" w:hAnsi="仿宋" w:eastAsia="仿宋"/>
          <w:color w:val="000000"/>
          <w:sz w:val="32"/>
          <w:szCs w:val="32"/>
        </w:rPr>
      </w:pPr>
      <w:r>
        <w:rPr>
          <w:rFonts w:hint="eastAsia" w:ascii="仿宋" w:hAnsi="仿宋" w:eastAsia="仿宋"/>
          <w:color w:val="000000"/>
          <w:sz w:val="32"/>
          <w:szCs w:val="32"/>
          <w:lang w:eastAsia="zh-CN"/>
        </w:rPr>
        <w:t>202</w:t>
      </w:r>
      <w:r>
        <w:rPr>
          <w:rFonts w:hint="eastAsia" w:ascii="仿宋" w:hAnsi="仿宋" w:eastAsia="仿宋"/>
          <w:color w:val="000000"/>
          <w:sz w:val="32"/>
          <w:szCs w:val="32"/>
          <w:lang w:val="en-US" w:eastAsia="zh-CN"/>
        </w:rPr>
        <w:t>5</w:t>
      </w:r>
      <w:r>
        <w:rPr>
          <w:rFonts w:hint="eastAsia" w:ascii="仿宋" w:hAnsi="仿宋" w:eastAsia="仿宋"/>
          <w:color w:val="000000"/>
          <w:sz w:val="32"/>
          <w:szCs w:val="32"/>
        </w:rPr>
        <w:t>年一般公共预算财政拨款基本支出</w:t>
      </w:r>
      <w:r>
        <w:rPr>
          <w:rFonts w:hint="eastAsia" w:ascii="仿宋" w:hAnsi="仿宋" w:eastAsia="仿宋"/>
          <w:color w:val="000000"/>
          <w:sz w:val="32"/>
          <w:szCs w:val="32"/>
          <w:lang w:val="en-US" w:eastAsia="zh-CN"/>
        </w:rPr>
        <w:t>1359.75</w:t>
      </w:r>
      <w:r>
        <w:rPr>
          <w:rFonts w:hint="eastAsia" w:ascii="仿宋" w:hAnsi="仿宋" w:eastAsia="仿宋"/>
          <w:color w:val="000000"/>
          <w:sz w:val="32"/>
          <w:szCs w:val="32"/>
        </w:rPr>
        <w:t>万元，其中：</w:t>
      </w:r>
    </w:p>
    <w:p w14:paraId="4128C2ED">
      <w:pPr>
        <w:spacing w:line="600" w:lineRule="exact"/>
        <w:ind w:firstLine="645"/>
        <w:rPr>
          <w:rFonts w:hint="eastAsia" w:ascii="仿宋" w:hAnsi="仿宋" w:eastAsia="仿宋"/>
          <w:color w:val="000000"/>
          <w:sz w:val="32"/>
          <w:szCs w:val="32"/>
          <w:lang w:eastAsia="zh-CN"/>
        </w:rPr>
      </w:pPr>
      <w:r>
        <w:rPr>
          <w:rFonts w:hint="eastAsia" w:ascii="仿宋" w:hAnsi="仿宋" w:eastAsia="仿宋"/>
          <w:color w:val="000000"/>
          <w:sz w:val="32"/>
          <w:szCs w:val="32"/>
        </w:rPr>
        <w:t>人员经费</w:t>
      </w:r>
      <w:r>
        <w:rPr>
          <w:rFonts w:hint="eastAsia" w:ascii="仿宋" w:hAnsi="仿宋" w:eastAsia="仿宋"/>
          <w:color w:val="000000"/>
          <w:sz w:val="32"/>
          <w:szCs w:val="32"/>
          <w:lang w:eastAsia="zh-CN"/>
        </w:rPr>
        <w:t>：</w:t>
      </w:r>
      <w:r>
        <w:rPr>
          <w:rFonts w:hint="eastAsia" w:ascii="仿宋" w:hAnsi="仿宋" w:eastAsia="仿宋"/>
          <w:color w:val="000000"/>
          <w:sz w:val="32"/>
          <w:szCs w:val="32"/>
          <w:lang w:val="en-US" w:eastAsia="zh-CN"/>
        </w:rPr>
        <w:t>1178.3万元，</w:t>
      </w:r>
      <w:r>
        <w:rPr>
          <w:rFonts w:hint="eastAsia" w:ascii="仿宋" w:hAnsi="仿宋" w:eastAsia="仿宋"/>
          <w:color w:val="000000"/>
          <w:sz w:val="32"/>
          <w:szCs w:val="32"/>
        </w:rPr>
        <w:t>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p>
    <w:p w14:paraId="6B7A9E4F">
      <w:pPr>
        <w:spacing w:line="600" w:lineRule="exact"/>
        <w:ind w:firstLine="320" w:firstLineChars="100"/>
        <w:rPr>
          <w:rFonts w:hint="eastAsia" w:ascii="仿宋" w:hAnsi="仿宋" w:eastAsia="仿宋"/>
          <w:color w:val="000000"/>
          <w:sz w:val="32"/>
          <w:szCs w:val="32"/>
        </w:rPr>
      </w:pPr>
      <w:r>
        <w:rPr>
          <w:rFonts w:hint="eastAsia" w:ascii="仿宋" w:hAnsi="仿宋" w:eastAsia="仿宋"/>
          <w:color w:val="000000"/>
          <w:sz w:val="32"/>
          <w:szCs w:val="32"/>
        </w:rPr>
        <w:t>　日常公用经费</w:t>
      </w:r>
      <w:r>
        <w:rPr>
          <w:rFonts w:hint="eastAsia" w:ascii="仿宋" w:hAnsi="仿宋" w:eastAsia="仿宋"/>
          <w:color w:val="000000"/>
          <w:sz w:val="32"/>
          <w:szCs w:val="32"/>
          <w:lang w:val="en-US" w:eastAsia="zh-CN"/>
        </w:rPr>
        <w:t>181.45</w:t>
      </w:r>
      <w:r>
        <w:rPr>
          <w:rFonts w:hint="eastAsia" w:ascii="仿宋" w:hAnsi="仿宋" w:eastAsia="仿宋"/>
          <w:color w:val="000000"/>
          <w:sz w:val="32"/>
          <w:szCs w:val="32"/>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443E57FD">
      <w:pPr>
        <w:pStyle w:val="2"/>
      </w:pPr>
    </w:p>
    <w:p w14:paraId="59B82DD0">
      <w:pPr>
        <w:spacing w:line="600" w:lineRule="exact"/>
        <w:ind w:firstLine="640"/>
        <w:outlineLvl w:val="1"/>
        <w:rPr>
          <w:rStyle w:val="26"/>
          <w:rFonts w:ascii="黑体" w:hAnsi="黑体" w:eastAsia="黑体"/>
          <w:b w:val="0"/>
        </w:rPr>
      </w:pPr>
      <w:bookmarkStart w:id="68" w:name="_Toc79163869"/>
      <w:bookmarkStart w:id="69" w:name="_Toc79163619"/>
      <w:bookmarkStart w:id="70" w:name="_Toc15377215"/>
      <w:bookmarkStart w:id="71" w:name="_Toc15396609"/>
      <w:r>
        <w:rPr>
          <w:rFonts w:hint="eastAsia" w:ascii="黑体" w:eastAsia="黑体"/>
          <w:color w:val="000000"/>
          <w:sz w:val="32"/>
          <w:szCs w:val="32"/>
        </w:rPr>
        <w:t>七、</w:t>
      </w:r>
      <w:r>
        <w:rPr>
          <w:rStyle w:val="26"/>
          <w:rFonts w:hint="eastAsia" w:ascii="黑体" w:hAnsi="黑体" w:eastAsia="黑体"/>
        </w:rPr>
        <w:t>“</w:t>
      </w:r>
      <w:r>
        <w:rPr>
          <w:rStyle w:val="26"/>
          <w:rFonts w:hint="eastAsia" w:ascii="黑体" w:hAnsi="黑体" w:eastAsia="黑体"/>
          <w:b w:val="0"/>
        </w:rPr>
        <w:t>三公”经费财政拨款支出决算情况说明</w:t>
      </w:r>
      <w:bookmarkEnd w:id="68"/>
      <w:bookmarkEnd w:id="69"/>
      <w:bookmarkEnd w:id="70"/>
      <w:bookmarkEnd w:id="71"/>
    </w:p>
    <w:p w14:paraId="184906FF">
      <w:pPr>
        <w:spacing w:line="600" w:lineRule="exact"/>
        <w:ind w:firstLine="640"/>
        <w:outlineLvl w:val="2"/>
        <w:rPr>
          <w:rFonts w:ascii="仿宋" w:hAnsi="仿宋" w:eastAsia="仿宋"/>
          <w:b/>
          <w:color w:val="000000"/>
          <w:sz w:val="32"/>
          <w:szCs w:val="32"/>
        </w:rPr>
      </w:pPr>
      <w:bookmarkStart w:id="72" w:name="_Toc15377216"/>
      <w:bookmarkStart w:id="73" w:name="_Toc79163620"/>
      <w:bookmarkStart w:id="74" w:name="_Toc79163870"/>
      <w:r>
        <w:rPr>
          <w:rFonts w:hint="eastAsia" w:ascii="仿宋" w:hAnsi="仿宋" w:eastAsia="仿宋"/>
          <w:b/>
          <w:color w:val="000000"/>
          <w:sz w:val="32"/>
          <w:szCs w:val="32"/>
        </w:rPr>
        <w:t>（一）“三公”经费财政拨款支出决算总体情况说明</w:t>
      </w:r>
      <w:bookmarkEnd w:id="72"/>
      <w:bookmarkEnd w:id="73"/>
      <w:bookmarkEnd w:id="74"/>
    </w:p>
    <w:p w14:paraId="1CB3EAEA">
      <w:pPr>
        <w:spacing w:line="600" w:lineRule="exact"/>
        <w:ind w:firstLine="640"/>
        <w:rPr>
          <w:rFonts w:ascii="仿宋" w:hAnsi="仿宋" w:eastAsia="仿宋"/>
          <w:color w:val="000000"/>
          <w:sz w:val="32"/>
          <w:szCs w:val="32"/>
        </w:rPr>
      </w:pPr>
      <w:r>
        <w:rPr>
          <w:rFonts w:hint="eastAsia" w:ascii="仿宋" w:hAnsi="仿宋" w:eastAsia="仿宋"/>
          <w:color w:val="000000"/>
          <w:sz w:val="32"/>
          <w:szCs w:val="32"/>
          <w:lang w:eastAsia="zh-CN"/>
        </w:rPr>
        <w:t>202</w:t>
      </w:r>
      <w:r>
        <w:rPr>
          <w:rFonts w:hint="eastAsia" w:ascii="仿宋" w:hAnsi="仿宋" w:eastAsia="仿宋"/>
          <w:color w:val="000000"/>
          <w:sz w:val="32"/>
          <w:szCs w:val="32"/>
          <w:lang w:val="en-US" w:eastAsia="zh-CN"/>
        </w:rPr>
        <w:t>5</w:t>
      </w:r>
      <w:r>
        <w:rPr>
          <w:rFonts w:hint="eastAsia" w:ascii="仿宋" w:hAnsi="仿宋" w:eastAsia="仿宋"/>
          <w:color w:val="000000"/>
          <w:sz w:val="32"/>
          <w:szCs w:val="32"/>
        </w:rPr>
        <w:t>年“三公”经费财政拨款支出决算为</w:t>
      </w:r>
      <w:r>
        <w:rPr>
          <w:rFonts w:hint="eastAsia" w:ascii="仿宋" w:hAnsi="仿宋" w:eastAsia="仿宋"/>
          <w:color w:val="000000"/>
          <w:sz w:val="32"/>
          <w:szCs w:val="32"/>
          <w:highlight w:val="none"/>
          <w:lang w:val="en-US" w:eastAsia="zh-CN"/>
        </w:rPr>
        <w:t>5.21</w:t>
      </w:r>
      <w:r>
        <w:rPr>
          <w:rFonts w:hint="eastAsia" w:ascii="仿宋" w:hAnsi="仿宋" w:eastAsia="仿宋"/>
          <w:color w:val="000000"/>
          <w:sz w:val="32"/>
          <w:szCs w:val="32"/>
        </w:rPr>
        <w:t>万元，完成预算</w:t>
      </w:r>
      <w:r>
        <w:rPr>
          <w:rFonts w:hint="eastAsia" w:ascii="仿宋" w:hAnsi="仿宋" w:eastAsia="仿宋"/>
          <w:color w:val="000000"/>
          <w:sz w:val="32"/>
          <w:szCs w:val="32"/>
          <w:lang w:val="en-US" w:eastAsia="zh-CN"/>
        </w:rPr>
        <w:t>100</w:t>
      </w:r>
      <w:r>
        <w:rPr>
          <w:rFonts w:ascii="仿宋" w:hAnsi="仿宋" w:eastAsia="仿宋"/>
          <w:color w:val="000000"/>
          <w:sz w:val="32"/>
          <w:szCs w:val="32"/>
        </w:rPr>
        <w:t>%</w:t>
      </w:r>
      <w:r>
        <w:rPr>
          <w:rFonts w:hint="eastAsia" w:ascii="仿宋" w:hAnsi="仿宋" w:eastAsia="仿宋"/>
          <w:color w:val="000000"/>
          <w:sz w:val="32"/>
          <w:szCs w:val="32"/>
        </w:rPr>
        <w:t>，</w:t>
      </w:r>
      <w:r>
        <w:rPr>
          <w:rFonts w:hint="eastAsia" w:ascii="仿宋" w:hAnsi="仿宋" w:eastAsia="仿宋"/>
          <w:color w:val="000000"/>
          <w:sz w:val="32"/>
          <w:szCs w:val="32"/>
          <w:lang w:val="en-US" w:eastAsia="zh-CN"/>
        </w:rPr>
        <w:t>较上年度减少83.56万元，下降94.13%。</w:t>
      </w:r>
      <w:r>
        <w:rPr>
          <w:rFonts w:hint="eastAsia" w:ascii="仿宋" w:hAnsi="仿宋" w:eastAsia="仿宋"/>
          <w:color w:val="000000"/>
          <w:sz w:val="32"/>
          <w:szCs w:val="32"/>
        </w:rPr>
        <w:t>决算数与预算数</w:t>
      </w:r>
      <w:r>
        <w:rPr>
          <w:rFonts w:hint="eastAsia" w:ascii="仿宋" w:hAnsi="仿宋" w:eastAsia="仿宋"/>
          <w:color w:val="000000"/>
          <w:sz w:val="32"/>
          <w:szCs w:val="32"/>
          <w:lang w:val="en-US" w:eastAsia="zh-CN"/>
        </w:rPr>
        <w:t>基本</w:t>
      </w:r>
      <w:r>
        <w:rPr>
          <w:rFonts w:hint="eastAsia" w:ascii="仿宋" w:hAnsi="仿宋" w:eastAsia="仿宋"/>
          <w:color w:val="000000"/>
          <w:sz w:val="32"/>
          <w:szCs w:val="32"/>
        </w:rPr>
        <w:t>持平。</w:t>
      </w:r>
    </w:p>
    <w:p w14:paraId="54C39A02">
      <w:pPr>
        <w:spacing w:line="600" w:lineRule="exact"/>
        <w:ind w:firstLine="640"/>
        <w:outlineLvl w:val="2"/>
        <w:rPr>
          <w:rFonts w:ascii="仿宋" w:hAnsi="仿宋" w:eastAsia="仿宋"/>
          <w:b/>
          <w:color w:val="000000"/>
          <w:sz w:val="32"/>
          <w:szCs w:val="32"/>
        </w:rPr>
      </w:pPr>
      <w:bookmarkStart w:id="75" w:name="_Toc79163621"/>
      <w:bookmarkStart w:id="76" w:name="_Toc79163871"/>
      <w:bookmarkStart w:id="77" w:name="_Toc15377217"/>
      <w:r>
        <w:rPr>
          <w:rFonts w:hint="eastAsia" w:ascii="仿宋" w:hAnsi="仿宋" w:eastAsia="仿宋"/>
          <w:b/>
          <w:color w:val="000000"/>
          <w:sz w:val="32"/>
          <w:szCs w:val="32"/>
        </w:rPr>
        <w:t>（二）“三公”经费财政拨款支出决算具体情况说明</w:t>
      </w:r>
      <w:bookmarkEnd w:id="75"/>
      <w:bookmarkEnd w:id="76"/>
      <w:bookmarkEnd w:id="77"/>
    </w:p>
    <w:p w14:paraId="424E96A6">
      <w:pPr>
        <w:spacing w:line="600" w:lineRule="exact"/>
        <w:ind w:firstLine="640"/>
        <w:rPr>
          <w:rFonts w:hint="eastAsia" w:ascii="仿宋" w:hAnsi="仿宋" w:eastAsia="仿宋"/>
          <w:color w:val="000000"/>
          <w:sz w:val="32"/>
          <w:szCs w:val="32"/>
        </w:rPr>
      </w:pPr>
      <w:r>
        <w:rPr>
          <w:rFonts w:hint="eastAsia" w:ascii="仿宋" w:hAnsi="仿宋" w:eastAsia="仿宋"/>
          <w:color w:val="000000"/>
          <w:sz w:val="32"/>
          <w:szCs w:val="32"/>
          <w:lang w:eastAsia="zh-CN"/>
        </w:rPr>
        <w:t>202</w:t>
      </w:r>
      <w:r>
        <w:rPr>
          <w:rFonts w:hint="eastAsia" w:ascii="仿宋" w:hAnsi="仿宋" w:eastAsia="仿宋"/>
          <w:color w:val="000000"/>
          <w:sz w:val="32"/>
          <w:szCs w:val="32"/>
          <w:lang w:val="en-US" w:eastAsia="zh-CN"/>
        </w:rPr>
        <w:t>5</w:t>
      </w:r>
      <w:r>
        <w:rPr>
          <w:rFonts w:hint="eastAsia" w:ascii="仿宋" w:hAnsi="仿宋" w:eastAsia="仿宋"/>
          <w:color w:val="000000"/>
          <w:sz w:val="32"/>
          <w:szCs w:val="32"/>
        </w:rPr>
        <w:t>年“三公”经费财政拨款支出决算中，因公出国（境）费支出决算</w:t>
      </w:r>
      <w:r>
        <w:rPr>
          <w:rFonts w:hint="eastAsia" w:ascii="仿宋" w:hAnsi="仿宋" w:eastAsia="仿宋"/>
          <w:color w:val="000000"/>
          <w:sz w:val="32"/>
          <w:szCs w:val="32"/>
          <w:lang w:val="en-US" w:eastAsia="zh-CN"/>
        </w:rPr>
        <w:t>0</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0</w:t>
      </w:r>
      <w:r>
        <w:rPr>
          <w:rFonts w:ascii="仿宋" w:hAnsi="仿宋" w:eastAsia="仿宋"/>
          <w:color w:val="000000"/>
          <w:sz w:val="32"/>
          <w:szCs w:val="32"/>
        </w:rPr>
        <w:t>%</w:t>
      </w:r>
      <w:r>
        <w:rPr>
          <w:rFonts w:hint="eastAsia" w:ascii="仿宋" w:hAnsi="仿宋" w:eastAsia="仿宋"/>
          <w:color w:val="000000"/>
          <w:sz w:val="32"/>
          <w:szCs w:val="32"/>
        </w:rPr>
        <w:t>；公务用车购置及运行维护费支出决算</w:t>
      </w:r>
      <w:r>
        <w:rPr>
          <w:rFonts w:hint="eastAsia" w:ascii="仿宋" w:hAnsi="仿宋" w:eastAsia="仿宋"/>
          <w:color w:val="000000"/>
          <w:sz w:val="32"/>
          <w:szCs w:val="32"/>
          <w:lang w:val="en-US" w:eastAsia="zh-CN"/>
        </w:rPr>
        <w:t>3.43</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65.83</w:t>
      </w:r>
      <w:r>
        <w:rPr>
          <w:rFonts w:ascii="仿宋" w:hAnsi="仿宋" w:eastAsia="仿宋"/>
          <w:color w:val="000000"/>
          <w:sz w:val="32"/>
          <w:szCs w:val="32"/>
        </w:rPr>
        <w:t>%</w:t>
      </w:r>
      <w:r>
        <w:rPr>
          <w:rFonts w:hint="eastAsia" w:ascii="仿宋" w:hAnsi="仿宋" w:eastAsia="仿宋"/>
          <w:color w:val="000000"/>
          <w:sz w:val="32"/>
          <w:szCs w:val="32"/>
        </w:rPr>
        <w:t>；公务接待费支出决算</w:t>
      </w:r>
      <w:r>
        <w:rPr>
          <w:rFonts w:hint="eastAsia" w:ascii="仿宋" w:hAnsi="仿宋" w:eastAsia="仿宋"/>
          <w:color w:val="000000"/>
          <w:sz w:val="32"/>
          <w:szCs w:val="32"/>
          <w:lang w:val="en-US" w:eastAsia="zh-CN"/>
        </w:rPr>
        <w:t>1.78</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34.17</w:t>
      </w:r>
      <w:r>
        <w:rPr>
          <w:rFonts w:ascii="仿宋" w:hAnsi="仿宋" w:eastAsia="仿宋"/>
          <w:color w:val="000000"/>
          <w:sz w:val="32"/>
          <w:szCs w:val="32"/>
        </w:rPr>
        <w:t>%</w:t>
      </w:r>
      <w:r>
        <w:rPr>
          <w:rFonts w:hint="eastAsia" w:ascii="仿宋" w:hAnsi="仿宋" w:eastAsia="仿宋"/>
          <w:color w:val="000000"/>
          <w:sz w:val="32"/>
          <w:szCs w:val="32"/>
        </w:rPr>
        <w:t>。具体情况如下：</w:t>
      </w:r>
    </w:p>
    <w:p w14:paraId="7E61B9CD">
      <w:pPr>
        <w:pStyle w:val="2"/>
        <w:rPr>
          <w:rFonts w:hint="default" w:eastAsia="仿宋_GB2312"/>
          <w:lang w:val="en-US" w:eastAsia="zh-CN"/>
        </w:rPr>
      </w:pPr>
      <w:r>
        <w:rPr>
          <w:rFonts w:hint="eastAsia" w:ascii="仿宋_GB2312" w:eastAsia="仿宋_GB2312"/>
          <w:b/>
          <w:color w:val="000000"/>
          <w:sz w:val="32"/>
          <w:szCs w:val="32"/>
          <w:lang w:val="en-US" w:eastAsia="zh-CN"/>
        </w:rPr>
        <w:t>1</w:t>
      </w:r>
      <w:r>
        <w:rPr>
          <w:rFonts w:ascii="仿宋_GB2312" w:eastAsia="仿宋_GB2312"/>
          <w:b/>
          <w:color w:val="000000"/>
          <w:sz w:val="32"/>
          <w:szCs w:val="32"/>
        </w:rPr>
        <w:t>.</w:t>
      </w:r>
      <w:r>
        <w:rPr>
          <w:rFonts w:hint="eastAsia" w:ascii="仿宋_GB2312" w:eastAsia="仿宋_GB2312"/>
          <w:b/>
          <w:color w:val="000000"/>
          <w:sz w:val="32"/>
          <w:szCs w:val="32"/>
          <w:lang w:val="en-US" w:eastAsia="zh-CN"/>
        </w:rPr>
        <w:t>因公出国（境）经费支出0万元，完成预算100%。</w:t>
      </w:r>
    </w:p>
    <w:p w14:paraId="39BF0EDB">
      <w:pPr>
        <w:spacing w:line="600" w:lineRule="exact"/>
        <w:ind w:firstLine="640"/>
        <w:rPr>
          <w:rFonts w:ascii="仿宋_GB2312" w:eastAsia="仿宋_GB2312"/>
          <w:b/>
          <w:color w:val="000000"/>
          <w:sz w:val="32"/>
          <w:szCs w:val="32"/>
        </w:rPr>
      </w:pPr>
      <w:r>
        <w:rPr>
          <w:rFonts w:hint="eastAsia" w:ascii="仿宋_GB2312" w:eastAsia="仿宋_GB2312"/>
          <w:b/>
          <w:color w:val="000000"/>
          <w:sz w:val="32"/>
          <w:szCs w:val="32"/>
          <w:lang w:val="en-US" w:eastAsia="zh-CN"/>
        </w:rPr>
        <w:t>2.</w:t>
      </w:r>
      <w:r>
        <w:rPr>
          <w:rFonts w:hint="eastAsia" w:ascii="仿宋_GB2312" w:eastAsia="仿宋_GB2312"/>
          <w:b/>
          <w:color w:val="000000"/>
          <w:sz w:val="32"/>
          <w:szCs w:val="32"/>
        </w:rPr>
        <w:t>公务用车购置及运行维护费支出</w:t>
      </w:r>
      <w:r>
        <w:rPr>
          <w:rFonts w:hint="eastAsia" w:ascii="仿宋_GB2312" w:eastAsia="仿宋_GB2312"/>
          <w:b/>
          <w:color w:val="000000"/>
          <w:sz w:val="32"/>
          <w:szCs w:val="32"/>
          <w:lang w:val="en-US" w:eastAsia="zh-CN"/>
        </w:rPr>
        <w:t>3.43</w:t>
      </w:r>
      <w:r>
        <w:rPr>
          <w:rFonts w:hint="eastAsia" w:ascii="仿宋_GB2312" w:eastAsia="仿宋_GB2312"/>
          <w:b/>
          <w:color w:val="000000"/>
          <w:sz w:val="32"/>
          <w:szCs w:val="32"/>
        </w:rPr>
        <w:t>万元,完成预算</w:t>
      </w:r>
      <w:r>
        <w:rPr>
          <w:rFonts w:hint="eastAsia" w:ascii="仿宋_GB2312" w:eastAsia="仿宋_GB2312"/>
          <w:b/>
          <w:color w:val="000000"/>
          <w:sz w:val="32"/>
          <w:szCs w:val="32"/>
          <w:lang w:val="en-US" w:eastAsia="zh-CN"/>
        </w:rPr>
        <w:t>100</w:t>
      </w:r>
      <w:r>
        <w:rPr>
          <w:rFonts w:hint="eastAsia" w:ascii="仿宋_GB2312" w:eastAsia="仿宋_GB2312"/>
          <w:b/>
          <w:color w:val="000000"/>
          <w:sz w:val="32"/>
          <w:szCs w:val="32"/>
        </w:rPr>
        <w:t>%。</w:t>
      </w:r>
      <w:r>
        <w:rPr>
          <w:rFonts w:hint="eastAsia" w:ascii="仿宋_GB2312" w:eastAsia="仿宋_GB2312"/>
          <w:color w:val="000000"/>
          <w:sz w:val="32"/>
          <w:szCs w:val="32"/>
        </w:rPr>
        <w:t>公务用车购置及运行维护费支出决算比</w:t>
      </w:r>
      <w:r>
        <w:rPr>
          <w:rFonts w:ascii="仿宋_GB2312" w:eastAsia="仿宋_GB2312"/>
          <w:color w:val="000000"/>
          <w:sz w:val="32"/>
          <w:szCs w:val="32"/>
        </w:rPr>
        <w:t>20</w:t>
      </w:r>
      <w:r>
        <w:rPr>
          <w:rFonts w:hint="eastAsia" w:ascii="仿宋_GB2312" w:eastAsia="仿宋_GB2312"/>
          <w:color w:val="000000"/>
          <w:sz w:val="32"/>
          <w:szCs w:val="32"/>
          <w:lang w:val="en-US" w:eastAsia="zh-CN"/>
        </w:rPr>
        <w:t>24</w:t>
      </w:r>
      <w:r>
        <w:rPr>
          <w:rFonts w:hint="eastAsia" w:ascii="仿宋_GB2312" w:eastAsia="仿宋_GB2312"/>
          <w:color w:val="000000"/>
          <w:sz w:val="32"/>
          <w:szCs w:val="32"/>
        </w:rPr>
        <w:t>年</w:t>
      </w:r>
      <w:r>
        <w:rPr>
          <w:rFonts w:hint="eastAsia" w:ascii="仿宋_GB2312" w:eastAsia="仿宋_GB2312"/>
          <w:color w:val="000000"/>
          <w:sz w:val="32"/>
          <w:szCs w:val="32"/>
          <w:lang w:val="en-US" w:eastAsia="zh-CN"/>
        </w:rPr>
        <w:t>减少83.56万元，下降96.06</w:t>
      </w:r>
      <w:r>
        <w:rPr>
          <w:rFonts w:ascii="仿宋_GB2312" w:eastAsia="仿宋_GB2312"/>
          <w:color w:val="000000"/>
          <w:sz w:val="32"/>
          <w:szCs w:val="32"/>
        </w:rPr>
        <w:t>%</w:t>
      </w:r>
      <w:r>
        <w:rPr>
          <w:rFonts w:hint="eastAsia" w:ascii="仿宋_GB2312" w:eastAsia="仿宋_GB2312"/>
          <w:color w:val="000000"/>
          <w:sz w:val="32"/>
          <w:szCs w:val="32"/>
        </w:rPr>
        <w:t>。</w:t>
      </w:r>
      <w:r>
        <w:rPr>
          <w:rFonts w:hint="eastAsia" w:ascii="仿宋_GB2312" w:eastAsia="仿宋_GB2312"/>
          <w:color w:val="000000"/>
          <w:sz w:val="32"/>
          <w:szCs w:val="32"/>
          <w:lang w:val="en-US" w:eastAsia="zh-CN"/>
        </w:rPr>
        <w:t>原因严格压减三公经费</w:t>
      </w:r>
      <w:r>
        <w:rPr>
          <w:rFonts w:hint="eastAsia" w:ascii="仿宋_GB2312" w:eastAsia="仿宋_GB2312"/>
          <w:color w:val="000000"/>
          <w:sz w:val="32"/>
          <w:szCs w:val="32"/>
        </w:rPr>
        <w:t>。</w:t>
      </w:r>
    </w:p>
    <w:p w14:paraId="3ADA49B2">
      <w:pPr>
        <w:spacing w:line="600" w:lineRule="exact"/>
        <w:ind w:firstLine="640"/>
        <w:rPr>
          <w:rFonts w:hint="eastAsia" w:ascii="仿宋_GB2312" w:eastAsia="仿宋_GB2312"/>
          <w:color w:val="000000"/>
          <w:sz w:val="32"/>
          <w:szCs w:val="32"/>
          <w:lang w:val="en-US" w:eastAsia="zh-CN"/>
        </w:rPr>
      </w:pPr>
      <w:r>
        <w:rPr>
          <w:rFonts w:hint="eastAsia" w:ascii="仿宋_GB2312" w:eastAsia="仿宋_GB2312"/>
          <w:color w:val="000000"/>
          <w:sz w:val="32"/>
          <w:szCs w:val="32"/>
          <w:lang w:val="en-US" w:eastAsia="zh-CN"/>
        </w:rPr>
        <w:t>其中：公务用车购置费减少82.8万元，公务用车运行维护费支出减少0.76万元。主要用于公务用车燃料费、维修费、过路过桥费、保险费等支出。</w:t>
      </w:r>
    </w:p>
    <w:p w14:paraId="04455DB8">
      <w:pPr>
        <w:spacing w:line="600" w:lineRule="exact"/>
        <w:ind w:firstLine="640"/>
        <w:rPr>
          <w:rFonts w:ascii="仿宋_GB2312" w:eastAsia="仿宋_GB2312"/>
          <w:color w:val="000000"/>
          <w:sz w:val="32"/>
          <w:szCs w:val="32"/>
        </w:rPr>
      </w:pPr>
      <w:r>
        <w:rPr>
          <w:rFonts w:ascii="仿宋_GB2312" w:eastAsia="仿宋_GB2312"/>
          <w:b/>
          <w:color w:val="000000"/>
          <w:sz w:val="32"/>
          <w:szCs w:val="32"/>
        </w:rPr>
        <w:t>3.</w:t>
      </w:r>
      <w:r>
        <w:rPr>
          <w:rFonts w:hint="eastAsia" w:ascii="仿宋_GB2312" w:hAnsi="Times New Roman" w:eastAsia="仿宋_GB2312" w:cs="Times New Roman"/>
          <w:b/>
          <w:color w:val="000000"/>
          <w:sz w:val="32"/>
          <w:szCs w:val="32"/>
        </w:rPr>
        <w:t>公务接待费支出</w:t>
      </w:r>
      <w:r>
        <w:rPr>
          <w:rFonts w:hint="eastAsia" w:ascii="仿宋_GB2312" w:hAnsi="Times New Roman" w:eastAsia="仿宋_GB2312" w:cs="Times New Roman"/>
          <w:b/>
          <w:color w:val="000000"/>
          <w:sz w:val="32"/>
          <w:szCs w:val="32"/>
          <w:lang w:val="en-US" w:eastAsia="zh-CN"/>
        </w:rPr>
        <w:t>1.78</w:t>
      </w:r>
      <w:r>
        <w:rPr>
          <w:rFonts w:hint="eastAsia" w:ascii="仿宋_GB2312" w:hAnsi="Times New Roman" w:eastAsia="仿宋_GB2312" w:cs="Times New Roman"/>
          <w:b/>
          <w:color w:val="000000"/>
          <w:sz w:val="32"/>
          <w:szCs w:val="32"/>
        </w:rPr>
        <w:t>万元，完成预算</w:t>
      </w:r>
      <w:r>
        <w:rPr>
          <w:rFonts w:hint="eastAsia" w:ascii="仿宋_GB2312" w:eastAsia="仿宋_GB2312" w:cs="Times New Roman"/>
          <w:b/>
          <w:color w:val="000000"/>
          <w:sz w:val="32"/>
          <w:szCs w:val="32"/>
          <w:lang w:val="en-US" w:eastAsia="zh-CN"/>
        </w:rPr>
        <w:t>100</w:t>
      </w:r>
      <w:r>
        <w:rPr>
          <w:rFonts w:hint="eastAsia" w:ascii="仿宋_GB2312" w:hAnsi="Times New Roman" w:eastAsia="仿宋_GB2312" w:cs="Times New Roman"/>
          <w:b/>
          <w:color w:val="000000"/>
          <w:sz w:val="32"/>
          <w:szCs w:val="32"/>
        </w:rPr>
        <w:t>%。</w:t>
      </w:r>
      <w:r>
        <w:rPr>
          <w:rFonts w:hint="eastAsia" w:ascii="仿宋_GB2312" w:eastAsia="仿宋_GB2312"/>
          <w:color w:val="000000"/>
          <w:sz w:val="32"/>
          <w:szCs w:val="32"/>
        </w:rPr>
        <w:t>公务接待费支出决算</w:t>
      </w:r>
      <w:r>
        <w:rPr>
          <w:rFonts w:hint="eastAsia" w:ascii="仿宋_GB2312" w:eastAsia="仿宋_GB2312"/>
          <w:color w:val="000000"/>
          <w:sz w:val="32"/>
          <w:szCs w:val="32"/>
          <w:lang w:val="en-US" w:eastAsia="zh-CN"/>
        </w:rPr>
        <w:t>与</w:t>
      </w:r>
      <w:r>
        <w:rPr>
          <w:rFonts w:hint="eastAsia" w:ascii="仿宋_GB2312" w:eastAsia="仿宋_GB2312"/>
          <w:color w:val="000000"/>
          <w:sz w:val="32"/>
          <w:szCs w:val="32"/>
          <w:lang w:eastAsia="zh-CN"/>
        </w:rPr>
        <w:t>202</w:t>
      </w:r>
      <w:r>
        <w:rPr>
          <w:rFonts w:hint="eastAsia" w:ascii="仿宋_GB2312" w:eastAsia="仿宋_GB2312"/>
          <w:color w:val="000000"/>
          <w:sz w:val="32"/>
          <w:szCs w:val="32"/>
          <w:lang w:val="en-US" w:eastAsia="zh-CN"/>
        </w:rPr>
        <w:t>3</w:t>
      </w:r>
      <w:r>
        <w:rPr>
          <w:rFonts w:hint="eastAsia" w:ascii="仿宋_GB2312" w:eastAsia="仿宋_GB2312"/>
          <w:color w:val="000000"/>
          <w:sz w:val="32"/>
          <w:szCs w:val="32"/>
        </w:rPr>
        <w:t>年</w:t>
      </w:r>
      <w:r>
        <w:rPr>
          <w:rFonts w:hint="eastAsia" w:ascii="仿宋_GB2312" w:eastAsia="仿宋_GB2312"/>
          <w:color w:val="000000"/>
          <w:sz w:val="32"/>
          <w:szCs w:val="32"/>
          <w:lang w:val="en-US" w:eastAsia="zh-CN"/>
        </w:rPr>
        <w:t>持平</w:t>
      </w:r>
      <w:r>
        <w:rPr>
          <w:rFonts w:hint="eastAsia" w:ascii="仿宋_GB2312" w:eastAsia="仿宋_GB2312"/>
          <w:color w:val="000000"/>
          <w:sz w:val="32"/>
          <w:szCs w:val="32"/>
        </w:rPr>
        <w:t>。</w:t>
      </w:r>
      <w:r>
        <w:rPr>
          <w:rFonts w:hint="eastAsia" w:ascii="仿宋_GB2312" w:eastAsia="仿宋_GB2312"/>
          <w:color w:val="000000"/>
          <w:sz w:val="32"/>
          <w:szCs w:val="32"/>
          <w:lang w:val="en-US" w:eastAsia="zh-CN"/>
        </w:rPr>
        <w:t>其中：国内公务接待支出1.78万元，主要用于执行公务、开展业务活动开支的交通费、住宿费、用餐费等</w:t>
      </w:r>
      <w:r>
        <w:rPr>
          <w:rFonts w:hint="eastAsia" w:ascii="仿宋_GB2312" w:eastAsia="仿宋_GB2312"/>
          <w:color w:val="000000"/>
          <w:sz w:val="32"/>
          <w:szCs w:val="32"/>
        </w:rPr>
        <w:t>。</w:t>
      </w:r>
    </w:p>
    <w:p w14:paraId="01213233">
      <w:pPr>
        <w:spacing w:line="600" w:lineRule="exact"/>
        <w:ind w:firstLine="640" w:firstLineChars="200"/>
        <w:rPr>
          <w:rFonts w:ascii="仿宋_GB2312" w:eastAsia="仿宋_GB2312"/>
          <w:color w:val="000000"/>
          <w:sz w:val="32"/>
          <w:szCs w:val="32"/>
        </w:rPr>
      </w:pPr>
    </w:p>
    <w:p w14:paraId="26B29EE5">
      <w:pPr>
        <w:spacing w:line="600" w:lineRule="exact"/>
        <w:ind w:firstLine="640"/>
        <w:outlineLvl w:val="1"/>
        <w:rPr>
          <w:rStyle w:val="26"/>
          <w:rFonts w:ascii="黑体" w:hAnsi="黑体" w:eastAsia="黑体"/>
        </w:rPr>
      </w:pPr>
      <w:bookmarkStart w:id="78" w:name="_Toc15396610"/>
      <w:bookmarkStart w:id="79" w:name="_Toc79163872"/>
      <w:bookmarkStart w:id="80" w:name="_Toc79163622"/>
      <w:bookmarkStart w:id="81" w:name="_Toc15377218"/>
      <w:r>
        <w:rPr>
          <w:rFonts w:hint="eastAsia" w:ascii="黑体" w:eastAsia="黑体"/>
          <w:color w:val="000000"/>
          <w:sz w:val="32"/>
          <w:szCs w:val="32"/>
        </w:rPr>
        <w:t>八、</w:t>
      </w:r>
      <w:r>
        <w:rPr>
          <w:rStyle w:val="26"/>
          <w:rFonts w:hint="eastAsia" w:ascii="黑体" w:hAnsi="黑体" w:eastAsia="黑体"/>
          <w:b w:val="0"/>
        </w:rPr>
        <w:t>政府性基金预算支出决算情况说明</w:t>
      </w:r>
      <w:bookmarkEnd w:id="78"/>
      <w:bookmarkEnd w:id="79"/>
      <w:bookmarkEnd w:id="80"/>
      <w:bookmarkEnd w:id="81"/>
    </w:p>
    <w:p w14:paraId="5519E84E">
      <w:pPr>
        <w:spacing w:line="600" w:lineRule="exact"/>
        <w:ind w:firstLine="640"/>
        <w:rPr>
          <w:rFonts w:ascii="仿宋_GB2312" w:eastAsia="仿宋_GB2312"/>
          <w:color w:val="000000"/>
          <w:sz w:val="32"/>
          <w:szCs w:val="32"/>
        </w:rPr>
      </w:pPr>
      <w:r>
        <w:rPr>
          <w:rFonts w:hint="eastAsia" w:ascii="仿宋_GB2312" w:eastAsia="仿宋_GB2312"/>
          <w:color w:val="000000"/>
          <w:sz w:val="32"/>
          <w:szCs w:val="32"/>
          <w:lang w:eastAsia="zh-CN"/>
        </w:rPr>
        <w:t>202</w:t>
      </w:r>
      <w:r>
        <w:rPr>
          <w:rFonts w:hint="eastAsia" w:ascii="仿宋_GB2312" w:eastAsia="仿宋_GB2312"/>
          <w:color w:val="000000"/>
          <w:sz w:val="32"/>
          <w:szCs w:val="32"/>
          <w:lang w:val="en-US" w:eastAsia="zh-CN"/>
        </w:rPr>
        <w:t>5</w:t>
      </w:r>
      <w:r>
        <w:rPr>
          <w:rFonts w:hint="eastAsia" w:ascii="仿宋_GB2312" w:eastAsia="仿宋_GB2312"/>
          <w:color w:val="000000"/>
          <w:sz w:val="32"/>
          <w:szCs w:val="32"/>
        </w:rPr>
        <w:t>年政府性基金预算拨款支出</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w:t>
      </w:r>
    </w:p>
    <w:p w14:paraId="702506B9">
      <w:pPr>
        <w:spacing w:line="600" w:lineRule="exact"/>
        <w:ind w:firstLine="640"/>
        <w:rPr>
          <w:rFonts w:ascii="仿宋_GB2312" w:eastAsia="仿宋_GB2312"/>
          <w:color w:val="000000"/>
          <w:sz w:val="32"/>
          <w:szCs w:val="32"/>
        </w:rPr>
      </w:pPr>
    </w:p>
    <w:p w14:paraId="7D9252BC">
      <w:pPr>
        <w:numPr>
          <w:ilvl w:val="0"/>
          <w:numId w:val="2"/>
        </w:numPr>
        <w:spacing w:line="600" w:lineRule="exact"/>
        <w:ind w:firstLine="640"/>
        <w:outlineLvl w:val="1"/>
        <w:rPr>
          <w:rStyle w:val="26"/>
          <w:rFonts w:ascii="黑体" w:hAnsi="黑体" w:eastAsia="黑体"/>
          <w:b w:val="0"/>
        </w:rPr>
      </w:pPr>
      <w:bookmarkStart w:id="82" w:name="_Toc15396611"/>
      <w:bookmarkStart w:id="83" w:name="_Toc79163873"/>
      <w:bookmarkStart w:id="84" w:name="_Toc79163623"/>
      <w:bookmarkStart w:id="85" w:name="_Toc15377219"/>
      <w:r>
        <w:rPr>
          <w:rStyle w:val="26"/>
          <w:rFonts w:hint="eastAsia" w:ascii="黑体" w:hAnsi="黑体" w:eastAsia="黑体"/>
          <w:b w:val="0"/>
        </w:rPr>
        <w:t>国有资本经营预算支出决算情况说明</w:t>
      </w:r>
      <w:bookmarkEnd w:id="82"/>
      <w:bookmarkEnd w:id="83"/>
      <w:bookmarkEnd w:id="84"/>
      <w:bookmarkEnd w:id="85"/>
    </w:p>
    <w:p w14:paraId="51552A01">
      <w:pPr>
        <w:spacing w:line="600" w:lineRule="exact"/>
        <w:ind w:firstLine="640"/>
        <w:rPr>
          <w:rFonts w:ascii="仿宋_GB2312" w:eastAsia="仿宋_GB2312"/>
          <w:color w:val="000000"/>
          <w:sz w:val="32"/>
          <w:szCs w:val="32"/>
        </w:rPr>
      </w:pPr>
      <w:r>
        <w:rPr>
          <w:rFonts w:hint="eastAsia" w:ascii="仿宋_GB2312" w:eastAsia="仿宋_GB2312"/>
          <w:color w:val="000000"/>
          <w:sz w:val="32"/>
          <w:szCs w:val="32"/>
          <w:lang w:eastAsia="zh-CN"/>
        </w:rPr>
        <w:t>202</w:t>
      </w:r>
      <w:r>
        <w:rPr>
          <w:rFonts w:hint="eastAsia" w:ascii="仿宋_GB2312" w:eastAsia="仿宋_GB2312"/>
          <w:color w:val="000000"/>
          <w:sz w:val="32"/>
          <w:szCs w:val="32"/>
          <w:lang w:val="en-US" w:eastAsia="zh-CN"/>
        </w:rPr>
        <w:t>5</w:t>
      </w:r>
      <w:r>
        <w:rPr>
          <w:rFonts w:hint="eastAsia" w:ascii="仿宋_GB2312" w:eastAsia="仿宋_GB2312"/>
          <w:color w:val="000000"/>
          <w:sz w:val="32"/>
          <w:szCs w:val="32"/>
        </w:rPr>
        <w:t>年国有资本经营预算拨款支出</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w:t>
      </w:r>
    </w:p>
    <w:p w14:paraId="627D8CCC">
      <w:pPr>
        <w:spacing w:line="580" w:lineRule="exact"/>
        <w:jc w:val="center"/>
        <w:rPr>
          <w:rFonts w:ascii="微软雅黑" w:hAnsi="微软雅黑" w:eastAsia="微软雅黑" w:cs="微软雅黑"/>
          <w:sz w:val="44"/>
          <w:szCs w:val="44"/>
        </w:rPr>
      </w:pPr>
    </w:p>
    <w:p w14:paraId="6D52C814">
      <w:pPr>
        <w:spacing w:line="600" w:lineRule="exact"/>
        <w:ind w:firstLine="800" w:firstLineChars="250"/>
        <w:outlineLvl w:val="1"/>
        <w:rPr>
          <w:rStyle w:val="26"/>
          <w:rFonts w:ascii="黑体" w:hAnsi="黑体" w:eastAsia="黑体"/>
          <w:highlight w:val="none"/>
        </w:rPr>
      </w:pPr>
      <w:bookmarkStart w:id="86" w:name="_Toc79163874"/>
      <w:bookmarkStart w:id="87" w:name="_Toc15396612"/>
      <w:bookmarkStart w:id="88" w:name="_Toc79163624"/>
      <w:bookmarkStart w:id="89" w:name="_Toc15377221"/>
      <w:r>
        <w:rPr>
          <w:rFonts w:hint="eastAsia" w:ascii="黑体" w:hAnsi="黑体" w:eastAsia="黑体"/>
          <w:color w:val="000000"/>
          <w:sz w:val="32"/>
          <w:szCs w:val="32"/>
          <w:highlight w:val="none"/>
        </w:rPr>
        <w:t>十</w:t>
      </w:r>
      <w:r>
        <w:rPr>
          <w:rStyle w:val="26"/>
          <w:rFonts w:hint="eastAsia" w:ascii="黑体" w:hAnsi="黑体" w:eastAsia="黑体"/>
          <w:highlight w:val="none"/>
        </w:rPr>
        <w:t>、</w:t>
      </w:r>
      <w:r>
        <w:rPr>
          <w:rStyle w:val="26"/>
          <w:rFonts w:hint="eastAsia" w:ascii="黑体" w:hAnsi="黑体" w:eastAsia="黑体"/>
          <w:b w:val="0"/>
          <w:highlight w:val="none"/>
        </w:rPr>
        <w:t>其他重要事项的情况说明</w:t>
      </w:r>
      <w:bookmarkEnd w:id="86"/>
      <w:bookmarkEnd w:id="87"/>
      <w:bookmarkEnd w:id="88"/>
      <w:bookmarkEnd w:id="89"/>
    </w:p>
    <w:p w14:paraId="0CCCEF70">
      <w:pPr>
        <w:spacing w:line="600" w:lineRule="exact"/>
        <w:ind w:firstLine="643" w:firstLineChars="200"/>
        <w:outlineLvl w:val="2"/>
        <w:rPr>
          <w:rFonts w:ascii="仿宋" w:hAnsi="仿宋" w:eastAsia="仿宋"/>
          <w:color w:val="000000"/>
          <w:sz w:val="32"/>
          <w:szCs w:val="32"/>
        </w:rPr>
      </w:pPr>
      <w:bookmarkStart w:id="90" w:name="_Toc15377222"/>
      <w:bookmarkStart w:id="91" w:name="_Toc79163625"/>
      <w:bookmarkStart w:id="92" w:name="_Toc79163875"/>
      <w:r>
        <w:rPr>
          <w:rFonts w:hint="eastAsia" w:ascii="仿宋" w:hAnsi="仿宋" w:eastAsia="仿宋"/>
          <w:b/>
          <w:color w:val="000000"/>
          <w:sz w:val="32"/>
          <w:szCs w:val="32"/>
        </w:rPr>
        <w:t>（一）机关运行经费支出情况</w:t>
      </w:r>
      <w:bookmarkEnd w:id="90"/>
      <w:bookmarkEnd w:id="91"/>
      <w:bookmarkEnd w:id="92"/>
    </w:p>
    <w:p w14:paraId="2B05C633">
      <w:pPr>
        <w:spacing w:line="600" w:lineRule="exact"/>
        <w:ind w:firstLine="640" w:firstLineChars="200"/>
        <w:rPr>
          <w:rFonts w:ascii="仿宋_GB2312" w:eastAsia="仿宋_GB2312"/>
          <w:color w:val="000000"/>
          <w:sz w:val="32"/>
          <w:szCs w:val="32"/>
        </w:rPr>
      </w:pPr>
      <w:r>
        <w:rPr>
          <w:rFonts w:hint="eastAsia" w:ascii="仿宋_GB2312" w:eastAsia="仿宋_GB2312"/>
          <w:color w:val="000000"/>
          <w:sz w:val="32"/>
          <w:szCs w:val="32"/>
          <w:lang w:eastAsia="zh-CN"/>
        </w:rPr>
        <w:t>202</w:t>
      </w:r>
      <w:r>
        <w:rPr>
          <w:rFonts w:hint="eastAsia" w:ascii="仿宋_GB2312" w:eastAsia="仿宋_GB2312"/>
          <w:color w:val="000000"/>
          <w:sz w:val="32"/>
          <w:szCs w:val="32"/>
          <w:lang w:val="en-US" w:eastAsia="zh-CN"/>
        </w:rPr>
        <w:t>5</w:t>
      </w:r>
      <w:r>
        <w:rPr>
          <w:rFonts w:hint="eastAsia" w:ascii="仿宋_GB2312" w:eastAsia="仿宋_GB2312"/>
          <w:color w:val="000000"/>
          <w:sz w:val="32"/>
          <w:szCs w:val="32"/>
        </w:rPr>
        <w:t>年，机关运行经费支出</w:t>
      </w:r>
      <w:r>
        <w:rPr>
          <w:rFonts w:hint="eastAsia" w:ascii="仿宋_GB2312" w:eastAsia="仿宋_GB2312"/>
          <w:color w:val="000000"/>
          <w:sz w:val="32"/>
          <w:szCs w:val="32"/>
          <w:lang w:val="en-US" w:eastAsia="zh-CN"/>
        </w:rPr>
        <w:t>181.45</w:t>
      </w:r>
      <w:r>
        <w:rPr>
          <w:rFonts w:hint="eastAsia" w:ascii="仿宋_GB2312" w:eastAsia="仿宋_GB2312"/>
          <w:color w:val="000000"/>
          <w:sz w:val="32"/>
          <w:szCs w:val="32"/>
        </w:rPr>
        <w:t>万元，比</w:t>
      </w:r>
      <w:r>
        <w:rPr>
          <w:rFonts w:hint="eastAsia" w:ascii="仿宋_GB2312" w:eastAsia="仿宋_GB2312"/>
          <w:color w:val="000000"/>
          <w:sz w:val="32"/>
          <w:szCs w:val="32"/>
          <w:lang w:eastAsia="zh-CN"/>
        </w:rPr>
        <w:t>202</w:t>
      </w:r>
      <w:r>
        <w:rPr>
          <w:rFonts w:hint="eastAsia" w:ascii="仿宋_GB2312" w:eastAsia="仿宋_GB2312"/>
          <w:color w:val="000000"/>
          <w:sz w:val="32"/>
          <w:szCs w:val="32"/>
          <w:lang w:val="en-US" w:eastAsia="zh-CN"/>
        </w:rPr>
        <w:t>4</w:t>
      </w:r>
      <w:r>
        <w:rPr>
          <w:rFonts w:hint="eastAsia" w:ascii="仿宋_GB2312" w:eastAsia="仿宋_GB2312"/>
          <w:color w:val="000000"/>
          <w:sz w:val="32"/>
          <w:szCs w:val="32"/>
        </w:rPr>
        <w:t>年</w:t>
      </w:r>
      <w:r>
        <w:rPr>
          <w:rFonts w:hint="eastAsia" w:ascii="仿宋_GB2312" w:eastAsia="仿宋_GB2312"/>
          <w:color w:val="000000"/>
          <w:sz w:val="32"/>
          <w:szCs w:val="32"/>
          <w:lang w:val="en-US" w:eastAsia="zh-CN"/>
        </w:rPr>
        <w:t>增加73.33</w:t>
      </w:r>
      <w:r>
        <w:rPr>
          <w:rFonts w:hint="eastAsia" w:ascii="仿宋_GB2312" w:eastAsia="仿宋_GB2312"/>
          <w:color w:val="000000"/>
          <w:sz w:val="32"/>
          <w:szCs w:val="32"/>
        </w:rPr>
        <w:t>万元，</w:t>
      </w:r>
      <w:r>
        <w:rPr>
          <w:rFonts w:hint="eastAsia" w:ascii="仿宋_GB2312" w:eastAsia="仿宋_GB2312"/>
          <w:color w:val="000000"/>
          <w:sz w:val="32"/>
          <w:szCs w:val="32"/>
          <w:lang w:val="en-US" w:eastAsia="zh-CN"/>
        </w:rPr>
        <w:t>增加67.82</w:t>
      </w:r>
      <w:r>
        <w:rPr>
          <w:rFonts w:ascii="仿宋_GB2312" w:eastAsia="仿宋_GB2312"/>
          <w:color w:val="000000"/>
          <w:sz w:val="32"/>
          <w:szCs w:val="32"/>
        </w:rPr>
        <w:t>%</w:t>
      </w:r>
      <w:r>
        <w:rPr>
          <w:rFonts w:hint="eastAsia" w:ascii="仿宋_GB2312" w:eastAsia="仿宋_GB2312"/>
          <w:color w:val="000000"/>
          <w:sz w:val="32"/>
          <w:szCs w:val="32"/>
        </w:rPr>
        <w:t>。主要</w:t>
      </w:r>
      <w:r>
        <w:rPr>
          <w:rFonts w:hint="eastAsia" w:ascii="仿宋_GB2312" w:eastAsia="仿宋_GB2312"/>
          <w:color w:val="000000"/>
          <w:sz w:val="32"/>
          <w:szCs w:val="32"/>
          <w:lang w:val="en-US" w:eastAsia="zh-CN"/>
        </w:rPr>
        <w:t>原因是增加物业管理项目经费及工会经费补助增加。</w:t>
      </w:r>
    </w:p>
    <w:p w14:paraId="02BEDEE9">
      <w:pPr>
        <w:numPr>
          <w:ilvl w:val="0"/>
          <w:numId w:val="3"/>
        </w:numPr>
        <w:autoSpaceDE w:val="0"/>
        <w:autoSpaceDN w:val="0"/>
        <w:adjustRightInd w:val="0"/>
        <w:spacing w:line="600" w:lineRule="exact"/>
        <w:ind w:firstLine="643" w:firstLineChars="200"/>
        <w:jc w:val="left"/>
        <w:outlineLvl w:val="2"/>
        <w:rPr>
          <w:rFonts w:hint="eastAsia" w:ascii="仿宋" w:hAnsi="仿宋" w:eastAsia="仿宋"/>
          <w:b/>
          <w:color w:val="000000"/>
          <w:sz w:val="32"/>
          <w:szCs w:val="32"/>
          <w:lang w:val="en-US" w:eastAsia="zh-CN"/>
        </w:rPr>
      </w:pPr>
      <w:r>
        <w:rPr>
          <w:rFonts w:hint="eastAsia" w:ascii="仿宋" w:hAnsi="仿宋" w:eastAsia="仿宋"/>
          <w:b/>
          <w:color w:val="000000"/>
          <w:sz w:val="32"/>
          <w:szCs w:val="32"/>
          <w:lang w:val="en-US" w:eastAsia="zh-CN"/>
        </w:rPr>
        <w:t>政府采购支出情况</w:t>
      </w:r>
    </w:p>
    <w:p w14:paraId="233934E7">
      <w:pPr>
        <w:pStyle w:val="2"/>
        <w:numPr>
          <w:ilvl w:val="0"/>
          <w:numId w:val="0"/>
        </w:numPr>
        <w:ind w:leftChars="200" w:firstLine="320" w:firstLineChars="100"/>
        <w:rPr>
          <w:rFonts w:hint="eastAsia" w:ascii="仿宋_GB2312" w:hAnsi="Times New Roman" w:eastAsia="仿宋_GB2312" w:cs="Times New Roman"/>
          <w:color w:val="000000"/>
          <w:kern w:val="2"/>
          <w:sz w:val="32"/>
          <w:szCs w:val="32"/>
          <w:lang w:val="en-US" w:eastAsia="zh-CN" w:bidi="ar-SA"/>
        </w:rPr>
      </w:pPr>
      <w:r>
        <w:rPr>
          <w:rFonts w:hint="eastAsia" w:ascii="仿宋_GB2312" w:hAnsi="Times New Roman" w:eastAsia="仿宋_GB2312" w:cs="Times New Roman"/>
          <w:color w:val="000000"/>
          <w:kern w:val="2"/>
          <w:sz w:val="32"/>
          <w:szCs w:val="32"/>
          <w:lang w:val="en-US" w:eastAsia="zh-CN" w:bidi="ar-SA"/>
        </w:rPr>
        <w:t>202</w:t>
      </w:r>
      <w:r>
        <w:rPr>
          <w:rFonts w:hint="eastAsia" w:ascii="仿宋_GB2312" w:eastAsia="仿宋_GB2312" w:cs="Times New Roman"/>
          <w:color w:val="000000"/>
          <w:kern w:val="2"/>
          <w:sz w:val="32"/>
          <w:szCs w:val="32"/>
          <w:lang w:val="en-US" w:eastAsia="zh-CN" w:bidi="ar-SA"/>
        </w:rPr>
        <w:t>5</w:t>
      </w:r>
      <w:r>
        <w:rPr>
          <w:rFonts w:hint="eastAsia" w:ascii="仿宋_GB2312" w:hAnsi="Times New Roman" w:eastAsia="仿宋_GB2312" w:cs="Times New Roman"/>
          <w:color w:val="000000"/>
          <w:kern w:val="2"/>
          <w:sz w:val="32"/>
          <w:szCs w:val="32"/>
          <w:lang w:val="en-US" w:eastAsia="zh-CN" w:bidi="ar-SA"/>
        </w:rPr>
        <w:t>年度，九寨沟县人民法院政府采购支出总额28</w:t>
      </w:r>
      <w:r>
        <w:rPr>
          <w:rFonts w:hint="eastAsia" w:ascii="仿宋_GB2312" w:eastAsia="仿宋_GB2312" w:cs="Times New Roman"/>
          <w:color w:val="000000"/>
          <w:kern w:val="2"/>
          <w:sz w:val="32"/>
          <w:szCs w:val="32"/>
          <w:lang w:val="en-US" w:eastAsia="zh-CN" w:bidi="ar-SA"/>
        </w:rPr>
        <w:t>5.87</w:t>
      </w:r>
      <w:r>
        <w:rPr>
          <w:rFonts w:hint="eastAsia" w:ascii="仿宋_GB2312" w:hAnsi="Times New Roman" w:eastAsia="仿宋_GB2312" w:cs="Times New Roman"/>
          <w:color w:val="000000"/>
          <w:kern w:val="2"/>
          <w:sz w:val="32"/>
          <w:szCs w:val="32"/>
          <w:lang w:val="en-US" w:eastAsia="zh-CN" w:bidi="ar-SA"/>
        </w:rPr>
        <w:t>万元，其中：政府采购货物支出2</w:t>
      </w:r>
      <w:r>
        <w:rPr>
          <w:rFonts w:hint="eastAsia" w:ascii="仿宋_GB2312" w:eastAsia="仿宋_GB2312" w:cs="Times New Roman"/>
          <w:color w:val="000000"/>
          <w:kern w:val="2"/>
          <w:sz w:val="32"/>
          <w:szCs w:val="32"/>
          <w:lang w:val="en-US" w:eastAsia="zh-CN" w:bidi="ar-SA"/>
        </w:rPr>
        <w:t>85.87</w:t>
      </w:r>
      <w:r>
        <w:rPr>
          <w:rFonts w:hint="eastAsia" w:ascii="仿宋_GB2312" w:hAnsi="Times New Roman" w:eastAsia="仿宋_GB2312" w:cs="Times New Roman"/>
          <w:color w:val="000000"/>
          <w:kern w:val="2"/>
          <w:sz w:val="32"/>
          <w:szCs w:val="32"/>
          <w:lang w:val="en-US" w:eastAsia="zh-CN" w:bidi="ar-SA"/>
        </w:rPr>
        <w:t>万元。</w:t>
      </w:r>
    </w:p>
    <w:p w14:paraId="2705F079">
      <w:pPr>
        <w:numPr>
          <w:ilvl w:val="0"/>
          <w:numId w:val="3"/>
        </w:numPr>
        <w:autoSpaceDE w:val="0"/>
        <w:autoSpaceDN w:val="0"/>
        <w:adjustRightInd w:val="0"/>
        <w:spacing w:line="600" w:lineRule="exact"/>
        <w:ind w:firstLine="643" w:firstLineChars="200"/>
        <w:jc w:val="left"/>
        <w:outlineLvl w:val="2"/>
        <w:rPr>
          <w:rFonts w:hint="eastAsia" w:ascii="仿宋" w:hAnsi="仿宋" w:eastAsia="仿宋"/>
          <w:b/>
          <w:color w:val="000000"/>
          <w:sz w:val="32"/>
          <w:szCs w:val="32"/>
          <w:lang w:val="en-US" w:eastAsia="zh-CN"/>
        </w:rPr>
      </w:pPr>
      <w:r>
        <w:rPr>
          <w:rFonts w:hint="eastAsia" w:ascii="仿宋" w:hAnsi="仿宋" w:eastAsia="仿宋"/>
          <w:b/>
          <w:color w:val="000000"/>
          <w:sz w:val="32"/>
          <w:szCs w:val="32"/>
          <w:lang w:val="en-US" w:eastAsia="zh-CN"/>
        </w:rPr>
        <w:t>国有资产占有使用情况</w:t>
      </w:r>
    </w:p>
    <w:p w14:paraId="001AE1E4">
      <w:pPr>
        <w:pStyle w:val="2"/>
        <w:numPr>
          <w:ilvl w:val="0"/>
          <w:numId w:val="0"/>
        </w:numPr>
        <w:ind w:leftChars="200" w:firstLine="320" w:firstLineChars="100"/>
        <w:rPr>
          <w:rFonts w:hint="default" w:ascii="仿宋_GB2312" w:hAnsi="Times New Roman" w:eastAsia="仿宋_GB2312" w:cs="Times New Roman"/>
          <w:color w:val="000000"/>
          <w:kern w:val="2"/>
          <w:sz w:val="32"/>
          <w:szCs w:val="32"/>
          <w:lang w:val="en-US" w:eastAsia="zh-CN" w:bidi="ar-SA"/>
        </w:rPr>
      </w:pPr>
      <w:r>
        <w:rPr>
          <w:rFonts w:hint="eastAsia" w:ascii="仿宋_GB2312" w:hAnsi="Times New Roman" w:eastAsia="仿宋_GB2312" w:cs="Times New Roman"/>
          <w:color w:val="000000"/>
          <w:kern w:val="2"/>
          <w:sz w:val="32"/>
          <w:szCs w:val="32"/>
          <w:lang w:val="en-US" w:eastAsia="zh-CN" w:bidi="ar-SA"/>
        </w:rPr>
        <w:t>截至202</w:t>
      </w:r>
      <w:r>
        <w:rPr>
          <w:rFonts w:hint="eastAsia" w:ascii="仿宋_GB2312" w:eastAsia="仿宋_GB2312" w:cs="Times New Roman"/>
          <w:color w:val="000000"/>
          <w:kern w:val="2"/>
          <w:sz w:val="32"/>
          <w:szCs w:val="32"/>
          <w:lang w:val="en-US" w:eastAsia="zh-CN" w:bidi="ar-SA"/>
        </w:rPr>
        <w:t>5</w:t>
      </w:r>
      <w:r>
        <w:rPr>
          <w:rFonts w:hint="eastAsia" w:ascii="仿宋_GB2312" w:hAnsi="Times New Roman" w:eastAsia="仿宋_GB2312" w:cs="Times New Roman"/>
          <w:color w:val="000000"/>
          <w:kern w:val="2"/>
          <w:sz w:val="32"/>
          <w:szCs w:val="32"/>
          <w:lang w:val="en-US" w:eastAsia="zh-CN" w:bidi="ar-SA"/>
        </w:rPr>
        <w:t>年12月31日，九寨沟县人民法院共有车辆12辆，其中：主要负责人1辆，巡回审判车1辆，执勤执法用车10辆。</w:t>
      </w:r>
    </w:p>
    <w:p w14:paraId="79DB0AF8">
      <w:pPr>
        <w:numPr>
          <w:ilvl w:val="0"/>
          <w:numId w:val="3"/>
        </w:numPr>
        <w:autoSpaceDE w:val="0"/>
        <w:autoSpaceDN w:val="0"/>
        <w:adjustRightInd w:val="0"/>
        <w:spacing w:line="600" w:lineRule="exact"/>
        <w:ind w:firstLine="643" w:firstLineChars="200"/>
        <w:jc w:val="left"/>
        <w:outlineLvl w:val="2"/>
        <w:rPr>
          <w:rFonts w:hint="eastAsia" w:ascii="仿宋" w:hAnsi="仿宋" w:eastAsia="仿宋"/>
          <w:b/>
          <w:color w:val="000000"/>
          <w:sz w:val="32"/>
          <w:szCs w:val="32"/>
          <w:lang w:val="en-US" w:eastAsia="zh-CN"/>
        </w:rPr>
      </w:pPr>
      <w:r>
        <w:rPr>
          <w:rFonts w:hint="eastAsia" w:ascii="仿宋" w:hAnsi="仿宋" w:eastAsia="仿宋"/>
          <w:b/>
          <w:color w:val="000000"/>
          <w:sz w:val="32"/>
          <w:szCs w:val="32"/>
          <w:lang w:val="en-US" w:eastAsia="zh-CN"/>
        </w:rPr>
        <w:t>预算绩效管理情况</w:t>
      </w:r>
    </w:p>
    <w:p w14:paraId="03FC206A">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根据预算绩效管理要求，</w:t>
      </w:r>
      <w:r>
        <w:rPr>
          <w:rFonts w:hint="eastAsia" w:ascii="仿宋_GB2312" w:hAnsi="仿宋_GB2312" w:eastAsia="仿宋_GB2312" w:cs="仿宋_GB2312"/>
          <w:sz w:val="32"/>
          <w:szCs w:val="32"/>
          <w:lang w:val="en-US" w:eastAsia="zh-CN"/>
        </w:rPr>
        <w:t>我院</w:t>
      </w:r>
      <w:r>
        <w:rPr>
          <w:rFonts w:hint="eastAsia" w:ascii="仿宋_GB2312" w:hAnsi="仿宋_GB2312" w:eastAsia="仿宋_GB2312" w:cs="仿宋_GB2312"/>
          <w:sz w:val="32"/>
          <w:szCs w:val="32"/>
        </w:rPr>
        <w:t>在年初预算编制阶段，组织对</w:t>
      </w:r>
      <w:r>
        <w:rPr>
          <w:rFonts w:hint="eastAsia" w:ascii="仿宋_GB2312" w:hAnsi="仿宋_GB2312" w:eastAsia="仿宋_GB2312" w:cs="仿宋_GB2312"/>
          <w:sz w:val="32"/>
          <w:szCs w:val="32"/>
          <w:lang w:val="en-US" w:eastAsia="zh-CN"/>
        </w:rPr>
        <w:t>转移支付</w:t>
      </w:r>
      <w:r>
        <w:rPr>
          <w:rFonts w:hint="eastAsia" w:ascii="仿宋_GB2312" w:hAnsi="仿宋_GB2312" w:eastAsia="仿宋_GB2312" w:cs="仿宋_GB2312"/>
          <w:sz w:val="32"/>
          <w:szCs w:val="32"/>
        </w:rPr>
        <w:t>项目开展了预算事前绩效评估，对</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个项目编制了绩效目标，预算执行过程中，对</w:t>
      </w:r>
      <w:r>
        <w:rPr>
          <w:rFonts w:hint="eastAsia" w:ascii="仿宋_GB2312" w:hAnsi="仿宋_GB2312" w:eastAsia="仿宋_GB2312" w:cs="仿宋_GB2312"/>
          <w:sz w:val="32"/>
          <w:szCs w:val="32"/>
          <w:lang w:val="en-US" w:eastAsia="zh-CN"/>
        </w:rPr>
        <w:t>2025年转移支付</w:t>
      </w:r>
      <w:r>
        <w:rPr>
          <w:rFonts w:hint="eastAsia" w:ascii="仿宋_GB2312" w:hAnsi="仿宋_GB2312" w:eastAsia="仿宋_GB2312" w:cs="仿宋_GB2312"/>
          <w:sz w:val="32"/>
          <w:szCs w:val="32"/>
        </w:rPr>
        <w:t>项目开展了绩效目标完成情况自评。</w:t>
      </w:r>
    </w:p>
    <w:p w14:paraId="1EE232F8">
      <w:pPr>
        <w:spacing w:line="58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本部门按要求对</w:t>
      </w:r>
      <w:r>
        <w:rPr>
          <w:rFonts w:hint="eastAsia" w:ascii="仿宋_GB2312" w:hAnsi="仿宋_GB2312" w:eastAsia="仿宋_GB2312" w:cs="仿宋_GB2312"/>
          <w:sz w:val="32"/>
          <w:szCs w:val="32"/>
          <w:lang w:eastAsia="zh-CN"/>
        </w:rPr>
        <w:t>20</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年部门整体支出开展绩效自评</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绩效自评报告详见附件。</w:t>
      </w:r>
    </w:p>
    <w:p w14:paraId="3C85447E">
      <w:pPr>
        <w:spacing w:line="580" w:lineRule="exact"/>
        <w:ind w:firstLine="640" w:firstLineChars="200"/>
        <w:rPr>
          <w:rFonts w:ascii="仿宋_GB2312" w:hAnsi="仿宋_GB2312" w:eastAsia="仿宋_GB2312" w:cs="仿宋_GB2312"/>
          <w:sz w:val="32"/>
          <w:szCs w:val="32"/>
        </w:rPr>
      </w:pPr>
    </w:p>
    <w:p w14:paraId="2753F6E1">
      <w:pPr>
        <w:spacing w:line="580" w:lineRule="exact"/>
        <w:ind w:firstLine="640" w:firstLineChars="200"/>
        <w:rPr>
          <w:rFonts w:ascii="仿宋_GB2312" w:hAnsi="仿宋_GB2312" w:eastAsia="仿宋_GB2312" w:cs="仿宋_GB2312"/>
          <w:sz w:val="32"/>
          <w:szCs w:val="32"/>
        </w:rPr>
      </w:pPr>
    </w:p>
    <w:p w14:paraId="01DF5547">
      <w:pPr>
        <w:widowControl/>
        <w:jc w:val="left"/>
        <w:rPr>
          <w:rFonts w:ascii="仿宋_GB2312" w:eastAsia="仿宋_GB2312"/>
          <w:b/>
          <w:color w:val="000000"/>
          <w:sz w:val="32"/>
          <w:szCs w:val="32"/>
        </w:rPr>
      </w:pPr>
      <w:r>
        <w:rPr>
          <w:rFonts w:ascii="仿宋_GB2312" w:eastAsia="仿宋_GB2312"/>
          <w:b/>
          <w:color w:val="000000"/>
          <w:sz w:val="32"/>
          <w:szCs w:val="32"/>
        </w:rPr>
        <w:br w:type="page"/>
      </w:r>
    </w:p>
    <w:p w14:paraId="052F08FC">
      <w:pPr>
        <w:numPr>
          <w:ilvl w:val="0"/>
          <w:numId w:val="4"/>
        </w:numPr>
        <w:spacing w:line="600" w:lineRule="exact"/>
        <w:ind w:firstLine="660" w:firstLineChars="150"/>
        <w:jc w:val="center"/>
        <w:outlineLvl w:val="0"/>
        <w:rPr>
          <w:rStyle w:val="25"/>
          <w:rFonts w:ascii="黑体" w:hAnsi="黑体" w:eastAsia="黑体"/>
          <w:b w:val="0"/>
        </w:rPr>
      </w:pPr>
      <w:bookmarkStart w:id="93" w:name="_Toc15396613"/>
      <w:bookmarkStart w:id="94" w:name="_Toc79163879"/>
      <w:bookmarkStart w:id="95" w:name="_Toc15377225"/>
      <w:bookmarkStart w:id="96" w:name="_Toc79163629"/>
      <w:r>
        <w:rPr>
          <w:rFonts w:hint="eastAsia" w:ascii="黑体" w:hAnsi="黑体" w:eastAsia="黑体"/>
          <w:color w:val="000000"/>
          <w:sz w:val="44"/>
          <w:szCs w:val="44"/>
        </w:rPr>
        <w:t>名</w:t>
      </w:r>
      <w:r>
        <w:rPr>
          <w:rStyle w:val="25"/>
          <w:rFonts w:hint="eastAsia" w:ascii="黑体" w:hAnsi="黑体" w:eastAsia="黑体"/>
          <w:b w:val="0"/>
        </w:rPr>
        <w:t>词解释</w:t>
      </w:r>
      <w:bookmarkEnd w:id="93"/>
      <w:bookmarkEnd w:id="94"/>
      <w:bookmarkEnd w:id="95"/>
      <w:bookmarkEnd w:id="96"/>
    </w:p>
    <w:p w14:paraId="55128B6A">
      <w:pPr>
        <w:spacing w:line="600" w:lineRule="exact"/>
        <w:jc w:val="left"/>
        <w:rPr>
          <w:rFonts w:ascii="宋体"/>
          <w:b/>
          <w:color w:val="000000"/>
          <w:sz w:val="44"/>
          <w:szCs w:val="44"/>
        </w:rPr>
      </w:pPr>
    </w:p>
    <w:p w14:paraId="7CC0B621">
      <w:pPr>
        <w:pStyle w:val="35"/>
        <w:spacing w:line="560" w:lineRule="exact"/>
        <w:ind w:firstLine="640" w:firstLineChars="200"/>
        <w:rPr>
          <w:rFonts w:ascii="仿宋_GB2312" w:eastAsia="仿宋_GB2312"/>
          <w:sz w:val="32"/>
          <w:szCs w:val="32"/>
        </w:rPr>
      </w:pPr>
      <w:r>
        <w:rPr>
          <w:rFonts w:ascii="仿宋_GB2312" w:eastAsia="仿宋_GB2312"/>
          <w:sz w:val="32"/>
          <w:szCs w:val="32"/>
        </w:rPr>
        <w:t>1.</w:t>
      </w:r>
      <w:r>
        <w:rPr>
          <w:rFonts w:hint="eastAsia" w:ascii="仿宋_GB2312" w:eastAsia="仿宋_GB2312"/>
          <w:sz w:val="32"/>
          <w:szCs w:val="32"/>
        </w:rPr>
        <w:t>财政拨款收入：指单位从同级财政部门取得的财政预算资金。</w:t>
      </w:r>
    </w:p>
    <w:p w14:paraId="37C0DFA9">
      <w:pPr>
        <w:pStyle w:val="35"/>
        <w:spacing w:line="560" w:lineRule="exact"/>
        <w:ind w:firstLine="640" w:firstLineChars="200"/>
        <w:rPr>
          <w:rFonts w:hint="eastAsia" w:ascii="仿宋_GB2312" w:eastAsia="仿宋_GB2312"/>
          <w:sz w:val="32"/>
          <w:szCs w:val="32"/>
        </w:rPr>
      </w:pPr>
      <w:r>
        <w:rPr>
          <w:rFonts w:ascii="仿宋_GB2312" w:eastAsia="仿宋_GB2312"/>
          <w:sz w:val="32"/>
          <w:szCs w:val="32"/>
        </w:rPr>
        <w:t>2.</w:t>
      </w:r>
      <w:r>
        <w:rPr>
          <w:rFonts w:hint="eastAsia" w:ascii="仿宋_GB2312" w:eastAsia="仿宋_GB2312"/>
          <w:sz w:val="32"/>
          <w:szCs w:val="32"/>
        </w:rPr>
        <w:t>事业收入：指事业单位开展专业业务活动及辅助活动取得的收入。</w:t>
      </w:r>
    </w:p>
    <w:p w14:paraId="028883BB">
      <w:pPr>
        <w:pStyle w:val="35"/>
        <w:spacing w:line="560" w:lineRule="exact"/>
        <w:ind w:firstLine="640" w:firstLineChars="200"/>
        <w:rPr>
          <w:rFonts w:hint="eastAsia" w:ascii="仿宋_GB2312" w:eastAsia="仿宋_GB2312"/>
          <w:sz w:val="32"/>
          <w:szCs w:val="32"/>
        </w:rPr>
      </w:pPr>
      <w:r>
        <w:rPr>
          <w:rFonts w:ascii="仿宋_GB2312" w:eastAsia="仿宋_GB2312"/>
          <w:sz w:val="32"/>
          <w:szCs w:val="32"/>
        </w:rPr>
        <w:t>3.</w:t>
      </w:r>
      <w:r>
        <w:rPr>
          <w:rFonts w:hint="eastAsia" w:ascii="仿宋_GB2312" w:eastAsia="仿宋_GB2312"/>
          <w:sz w:val="32"/>
          <w:szCs w:val="32"/>
        </w:rPr>
        <w:t>经营收入：指事业单位在专业业务活动及其辅助活动之外开展非独立核算经营活动取得的收入。</w:t>
      </w:r>
    </w:p>
    <w:p w14:paraId="2C4A4F0E">
      <w:pPr>
        <w:pStyle w:val="35"/>
        <w:spacing w:line="560" w:lineRule="exact"/>
        <w:ind w:firstLine="640" w:firstLineChars="200"/>
        <w:rPr>
          <w:rFonts w:hint="eastAsia" w:ascii="仿宋_GB2312" w:eastAsia="仿宋_GB2312"/>
          <w:sz w:val="32"/>
          <w:szCs w:val="32"/>
        </w:rPr>
      </w:pPr>
      <w:r>
        <w:rPr>
          <w:rFonts w:ascii="仿宋_GB2312" w:eastAsia="仿宋_GB2312"/>
          <w:sz w:val="32"/>
          <w:szCs w:val="32"/>
        </w:rPr>
        <w:t>4.</w:t>
      </w:r>
      <w:r>
        <w:rPr>
          <w:rFonts w:hint="eastAsia" w:ascii="仿宋_GB2312" w:eastAsia="仿宋_GB2312"/>
          <w:sz w:val="32"/>
          <w:szCs w:val="32"/>
        </w:rPr>
        <w:t>其他收入：指单位取得的除上述收入以外的各项收入。</w:t>
      </w:r>
    </w:p>
    <w:p w14:paraId="0F50E831">
      <w:pPr>
        <w:pStyle w:val="35"/>
        <w:spacing w:line="560" w:lineRule="exact"/>
        <w:ind w:firstLine="640" w:firstLineChars="200"/>
        <w:rPr>
          <w:rFonts w:ascii="仿宋_GB2312" w:eastAsia="仿宋_GB2312"/>
          <w:sz w:val="32"/>
          <w:szCs w:val="32"/>
        </w:rPr>
      </w:pPr>
      <w:r>
        <w:rPr>
          <w:rFonts w:ascii="仿宋_GB2312" w:eastAsia="仿宋_GB2312"/>
          <w:sz w:val="32"/>
          <w:szCs w:val="32"/>
        </w:rPr>
        <w:t>5.</w:t>
      </w:r>
      <w:r>
        <w:rPr>
          <w:rFonts w:hint="eastAsia" w:ascii="仿宋_GB2312" w:eastAsia="仿宋_GB2312"/>
          <w:sz w:val="32"/>
          <w:szCs w:val="32"/>
        </w:rPr>
        <w:t>用事业基金弥补收支差额：指事业单位在当年的财政拨款收入、事业收入、经营收入、其他收入不足以安排当年支出的情况下，使用以前年度积累的事业基金（事业单位当年收支相抵后按国家规定提取、用于弥补以后年度收支差额的基金）弥补本年度收支缺口的资金。</w:t>
      </w:r>
      <w:r>
        <w:rPr>
          <w:rFonts w:ascii="仿宋_GB2312" w:eastAsia="仿宋_GB2312"/>
          <w:sz w:val="32"/>
          <w:szCs w:val="32"/>
        </w:rPr>
        <w:t xml:space="preserve"> </w:t>
      </w:r>
    </w:p>
    <w:p w14:paraId="6DE5D4DE">
      <w:pPr>
        <w:pStyle w:val="35"/>
        <w:spacing w:line="560" w:lineRule="exact"/>
        <w:ind w:firstLine="640" w:firstLineChars="200"/>
        <w:rPr>
          <w:rFonts w:ascii="仿宋_GB2312" w:eastAsia="仿宋_GB2312"/>
          <w:sz w:val="32"/>
          <w:szCs w:val="32"/>
        </w:rPr>
      </w:pPr>
      <w:r>
        <w:rPr>
          <w:rFonts w:ascii="仿宋_GB2312" w:eastAsia="仿宋_GB2312"/>
          <w:sz w:val="32"/>
          <w:szCs w:val="32"/>
        </w:rPr>
        <w:t>6.</w:t>
      </w:r>
      <w:r>
        <w:rPr>
          <w:rFonts w:hint="eastAsia" w:ascii="仿宋_GB2312" w:eastAsia="仿宋_GB2312"/>
          <w:sz w:val="32"/>
          <w:szCs w:val="32"/>
        </w:rPr>
        <w:t>年初结转和结余：指以前年度尚未完成、结转到本年按有关规定继续使用的资金。</w:t>
      </w:r>
      <w:r>
        <w:rPr>
          <w:rFonts w:ascii="仿宋_GB2312" w:eastAsia="仿宋_GB2312"/>
          <w:sz w:val="32"/>
          <w:szCs w:val="32"/>
        </w:rPr>
        <w:t xml:space="preserve"> </w:t>
      </w:r>
    </w:p>
    <w:p w14:paraId="4CC7B8E6">
      <w:pPr>
        <w:pStyle w:val="35"/>
        <w:spacing w:line="560" w:lineRule="exact"/>
        <w:ind w:firstLine="640" w:firstLineChars="200"/>
        <w:rPr>
          <w:rFonts w:ascii="仿宋_GB2312" w:eastAsia="仿宋_GB2312"/>
          <w:sz w:val="32"/>
          <w:szCs w:val="32"/>
        </w:rPr>
      </w:pPr>
      <w:r>
        <w:rPr>
          <w:rFonts w:ascii="仿宋_GB2312" w:eastAsia="仿宋_GB2312"/>
          <w:sz w:val="32"/>
          <w:szCs w:val="32"/>
        </w:rPr>
        <w:t>7.</w:t>
      </w:r>
      <w:r>
        <w:rPr>
          <w:rFonts w:hint="eastAsia" w:ascii="仿宋_GB2312" w:eastAsia="仿宋_GB2312"/>
          <w:sz w:val="32"/>
          <w:szCs w:val="32"/>
        </w:rPr>
        <w:t>结余分配：指事业单位按照事业单位会计制度的规定从非财政补助结余中分配的事业基金和职工福利基金等。</w:t>
      </w:r>
    </w:p>
    <w:p w14:paraId="288B865C">
      <w:pPr>
        <w:pStyle w:val="35"/>
        <w:spacing w:line="560" w:lineRule="exact"/>
        <w:ind w:firstLine="640" w:firstLineChars="200"/>
        <w:rPr>
          <w:rFonts w:hint="eastAsia" w:ascii="仿宋_GB2312" w:eastAsia="仿宋_GB2312"/>
          <w:sz w:val="32"/>
          <w:szCs w:val="32"/>
        </w:rPr>
      </w:pPr>
      <w:r>
        <w:rPr>
          <w:rFonts w:ascii="仿宋_GB2312" w:eastAsia="仿宋_GB2312"/>
          <w:sz w:val="32"/>
          <w:szCs w:val="32"/>
        </w:rPr>
        <w:t>8</w:t>
      </w:r>
      <w:r>
        <w:rPr>
          <w:rFonts w:hint="eastAsia" w:ascii="仿宋_GB2312" w:eastAsia="仿宋_GB2312"/>
          <w:sz w:val="32"/>
          <w:szCs w:val="32"/>
          <w:lang w:val="en-US" w:eastAsia="zh-CN"/>
        </w:rPr>
        <w:t>.</w:t>
      </w:r>
      <w:r>
        <w:rPr>
          <w:rFonts w:hint="eastAsia" w:ascii="仿宋_GB2312" w:eastAsia="仿宋_GB2312"/>
          <w:sz w:val="32"/>
          <w:szCs w:val="32"/>
        </w:rPr>
        <w:t>年末结转和结余：指单位按有关规定结转到下年或以后年度继续使用的资金。</w:t>
      </w:r>
    </w:p>
    <w:p w14:paraId="384528F4">
      <w:pPr>
        <w:ind w:firstLine="640" w:firstLineChars="200"/>
        <w:rPr>
          <w:rFonts w:ascii="仿宋_GB2312" w:eastAsia="仿宋_GB2312"/>
          <w:color w:val="000000"/>
          <w:sz w:val="32"/>
          <w:szCs w:val="32"/>
        </w:rPr>
      </w:pPr>
      <w:r>
        <w:rPr>
          <w:rFonts w:ascii="仿宋_GB2312" w:eastAsia="仿宋_GB2312"/>
          <w:color w:val="000000"/>
          <w:sz w:val="32"/>
          <w:szCs w:val="32"/>
        </w:rPr>
        <w:t>9.</w:t>
      </w:r>
      <w:r>
        <w:rPr>
          <w:rFonts w:hint="eastAsia" w:ascii="仿宋_GB2312" w:eastAsia="仿宋_GB2312"/>
          <w:color w:val="000000"/>
          <w:sz w:val="32"/>
          <w:szCs w:val="32"/>
          <w:lang w:eastAsia="zh-CN"/>
        </w:rPr>
        <w:t>公共安全支出</w:t>
      </w:r>
      <w:r>
        <w:rPr>
          <w:rFonts w:hint="eastAsia" w:ascii="仿宋_GB2312" w:eastAsia="仿宋_GB2312"/>
          <w:color w:val="000000"/>
          <w:sz w:val="32"/>
          <w:szCs w:val="32"/>
          <w:lang w:val="en-US" w:eastAsia="zh-CN"/>
        </w:rPr>
        <w:t>(</w:t>
      </w:r>
      <w:r>
        <w:rPr>
          <w:rFonts w:hint="eastAsia" w:ascii="仿宋_GB2312" w:eastAsia="仿宋_GB2312"/>
          <w:color w:val="000000"/>
          <w:sz w:val="32"/>
          <w:szCs w:val="32"/>
        </w:rPr>
        <w:t>20</w:t>
      </w:r>
      <w:r>
        <w:rPr>
          <w:rFonts w:hint="eastAsia" w:ascii="仿宋_GB2312" w:eastAsia="仿宋_GB2312"/>
          <w:color w:val="000000"/>
          <w:sz w:val="32"/>
          <w:szCs w:val="32"/>
          <w:lang w:val="en-US" w:eastAsia="zh-CN"/>
        </w:rPr>
        <w:t>4)法院（</w:t>
      </w:r>
      <w:r>
        <w:rPr>
          <w:rFonts w:hint="eastAsia" w:ascii="仿宋_GB2312" w:eastAsia="仿宋_GB2312"/>
          <w:color w:val="000000"/>
          <w:sz w:val="32"/>
          <w:szCs w:val="32"/>
        </w:rPr>
        <w:t>0</w:t>
      </w:r>
      <w:r>
        <w:rPr>
          <w:rFonts w:hint="eastAsia" w:ascii="仿宋_GB2312" w:eastAsia="仿宋_GB2312"/>
          <w:color w:val="000000"/>
          <w:sz w:val="32"/>
          <w:szCs w:val="32"/>
          <w:lang w:val="en-US" w:eastAsia="zh-CN"/>
        </w:rPr>
        <w:t>5）行政运行（</w:t>
      </w:r>
      <w:r>
        <w:rPr>
          <w:rFonts w:hint="eastAsia" w:ascii="仿宋_GB2312" w:eastAsia="仿宋_GB2312"/>
          <w:color w:val="000000"/>
          <w:sz w:val="32"/>
          <w:szCs w:val="32"/>
        </w:rPr>
        <w:t>01</w:t>
      </w:r>
      <w:r>
        <w:rPr>
          <w:rFonts w:hint="eastAsia" w:ascii="仿宋_GB2312" w:eastAsia="仿宋_GB2312"/>
          <w:color w:val="000000"/>
          <w:sz w:val="32"/>
          <w:szCs w:val="32"/>
          <w:lang w:eastAsia="zh-CN"/>
        </w:rPr>
        <w:t>）</w:t>
      </w:r>
      <w:r>
        <w:rPr>
          <w:rFonts w:hint="eastAsia" w:ascii="仿宋_GB2312" w:eastAsia="仿宋_GB2312"/>
          <w:color w:val="000000"/>
          <w:sz w:val="32"/>
          <w:szCs w:val="32"/>
        </w:rPr>
        <w:t>：指</w:t>
      </w:r>
      <w:r>
        <w:rPr>
          <w:rFonts w:hint="eastAsia" w:ascii="仿宋_GB2312" w:eastAsia="仿宋_GB2312"/>
          <w:color w:val="000000"/>
          <w:sz w:val="32"/>
          <w:szCs w:val="32"/>
          <w:lang w:eastAsia="zh-CN"/>
        </w:rPr>
        <w:t>保障</w:t>
      </w:r>
      <w:r>
        <w:rPr>
          <w:rStyle w:val="23"/>
          <w:rFonts w:hint="eastAsia" w:ascii="仿宋_GB2312" w:eastAsia="仿宋_GB2312"/>
          <w:b w:val="0"/>
          <w:color w:val="000000"/>
          <w:sz w:val="32"/>
          <w:szCs w:val="32"/>
        </w:rPr>
        <w:t>行政运行</w:t>
      </w:r>
      <w:r>
        <w:rPr>
          <w:rStyle w:val="23"/>
          <w:rFonts w:hint="eastAsia" w:ascii="仿宋_GB2312" w:eastAsia="仿宋_GB2312"/>
          <w:b w:val="0"/>
          <w:color w:val="000000"/>
          <w:sz w:val="32"/>
          <w:szCs w:val="32"/>
          <w:lang w:eastAsia="zh-CN"/>
        </w:rPr>
        <w:t>的经费</w:t>
      </w:r>
      <w:r>
        <w:rPr>
          <w:rFonts w:hint="eastAsia" w:ascii="仿宋_GB2312" w:eastAsia="仿宋_GB2312"/>
          <w:color w:val="000000"/>
          <w:sz w:val="32"/>
          <w:szCs w:val="32"/>
        </w:rPr>
        <w:t>。</w:t>
      </w:r>
    </w:p>
    <w:p w14:paraId="1745D400">
      <w:pPr>
        <w:ind w:firstLine="640" w:firstLineChars="200"/>
      </w:pPr>
      <w:r>
        <w:rPr>
          <w:rFonts w:ascii="仿宋_GB2312" w:eastAsia="仿宋_GB2312"/>
          <w:color w:val="000000"/>
          <w:sz w:val="32"/>
          <w:szCs w:val="32"/>
        </w:rPr>
        <w:t>1</w:t>
      </w:r>
      <w:r>
        <w:rPr>
          <w:rFonts w:hint="eastAsia" w:ascii="仿宋_GB2312" w:eastAsia="仿宋_GB2312"/>
          <w:color w:val="000000"/>
          <w:sz w:val="32"/>
          <w:szCs w:val="32"/>
          <w:lang w:val="en-US" w:eastAsia="zh-CN"/>
        </w:rPr>
        <w:t>0</w:t>
      </w:r>
      <w:r>
        <w:rPr>
          <w:rFonts w:ascii="仿宋_GB2312" w:eastAsia="仿宋_GB2312"/>
          <w:color w:val="000000"/>
          <w:sz w:val="32"/>
          <w:szCs w:val="32"/>
        </w:rPr>
        <w:t>.</w:t>
      </w:r>
      <w:r>
        <w:rPr>
          <w:rFonts w:hint="eastAsia" w:ascii="仿宋_GB2312" w:eastAsia="仿宋_GB2312"/>
          <w:sz w:val="32"/>
          <w:szCs w:val="32"/>
        </w:rPr>
        <w:t>社会保障和就业（208）行政事业单位离退休（05）机关事业单位基本养老保险缴费支出（05）：</w:t>
      </w:r>
      <w:r>
        <w:rPr>
          <w:rStyle w:val="23"/>
          <w:rFonts w:hint="eastAsia" w:ascii="仿宋_GB2312" w:eastAsia="仿宋_GB2312"/>
          <w:b w:val="0"/>
          <w:sz w:val="32"/>
          <w:szCs w:val="32"/>
        </w:rPr>
        <w:t>机关事业单位基本养老保险缴费支出</w:t>
      </w:r>
      <w:r>
        <w:rPr>
          <w:rFonts w:hint="eastAsia" w:ascii="仿宋_GB2312" w:eastAsia="仿宋_GB2312"/>
          <w:color w:val="000000"/>
          <w:sz w:val="32"/>
          <w:szCs w:val="32"/>
        </w:rPr>
        <w:t>。</w:t>
      </w:r>
    </w:p>
    <w:p w14:paraId="60F2C586">
      <w:pPr>
        <w:ind w:firstLine="640" w:firstLineChars="200"/>
        <w:rPr>
          <w:rFonts w:hint="eastAsia" w:ascii="仿宋_GB2312" w:eastAsia="仿宋_GB2312"/>
          <w:color w:val="000000"/>
          <w:sz w:val="32"/>
          <w:szCs w:val="32"/>
        </w:rPr>
      </w:pPr>
      <w:r>
        <w:rPr>
          <w:rFonts w:ascii="仿宋_GB2312" w:eastAsia="仿宋_GB2312"/>
          <w:color w:val="000000"/>
          <w:sz w:val="32"/>
          <w:szCs w:val="32"/>
        </w:rPr>
        <w:t>1</w:t>
      </w:r>
      <w:r>
        <w:rPr>
          <w:rFonts w:hint="eastAsia" w:ascii="仿宋_GB2312" w:eastAsia="仿宋_GB2312"/>
          <w:color w:val="000000"/>
          <w:sz w:val="32"/>
          <w:szCs w:val="32"/>
          <w:lang w:val="en-US" w:eastAsia="zh-CN"/>
        </w:rPr>
        <w:t>1</w:t>
      </w:r>
      <w:r>
        <w:rPr>
          <w:rFonts w:ascii="仿宋_GB2312" w:eastAsia="仿宋_GB2312"/>
          <w:color w:val="000000"/>
          <w:sz w:val="32"/>
          <w:szCs w:val="32"/>
        </w:rPr>
        <w:t>.</w:t>
      </w:r>
      <w:r>
        <w:rPr>
          <w:rFonts w:hint="eastAsia" w:ascii="仿宋_GB2312" w:eastAsia="仿宋_GB2312"/>
          <w:color w:val="000000"/>
          <w:sz w:val="32"/>
          <w:szCs w:val="32"/>
        </w:rPr>
        <w:t>医疗卫生与计划生育（210）行政事业单位医疗（11）行政单位医疗（01）</w:t>
      </w:r>
      <w:r>
        <w:rPr>
          <w:rFonts w:hint="eastAsia" w:ascii="仿宋_GB2312" w:eastAsia="仿宋_GB2312"/>
          <w:color w:val="000000"/>
          <w:sz w:val="32"/>
          <w:szCs w:val="32"/>
          <w:lang w:eastAsia="zh-CN"/>
        </w:rPr>
        <w:t>：</w:t>
      </w:r>
      <w:r>
        <w:rPr>
          <w:rFonts w:hint="eastAsia" w:ascii="仿宋_GB2312" w:eastAsia="仿宋_GB2312"/>
          <w:color w:val="000000"/>
          <w:sz w:val="32"/>
          <w:szCs w:val="32"/>
        </w:rPr>
        <w:t>指</w:t>
      </w:r>
      <w:r>
        <w:rPr>
          <w:rFonts w:hint="eastAsia" w:ascii="仿宋_GB2312" w:eastAsia="仿宋_GB2312"/>
          <w:color w:val="000000"/>
          <w:sz w:val="32"/>
          <w:szCs w:val="32"/>
          <w:lang w:eastAsia="zh-CN"/>
        </w:rPr>
        <w:t>行政单位医疗保险</w:t>
      </w:r>
      <w:r>
        <w:rPr>
          <w:rFonts w:hint="eastAsia" w:ascii="仿宋_GB2312" w:eastAsia="仿宋_GB2312"/>
          <w:color w:val="000000"/>
          <w:sz w:val="32"/>
          <w:szCs w:val="32"/>
        </w:rPr>
        <w:t>。</w:t>
      </w:r>
    </w:p>
    <w:p w14:paraId="781009EE">
      <w:pPr>
        <w:ind w:firstLine="640" w:firstLineChars="200"/>
        <w:rPr>
          <w:rFonts w:hint="eastAsia" w:ascii="仿宋_GB2312" w:eastAsia="仿宋_GB2312"/>
          <w:color w:val="000000"/>
          <w:sz w:val="32"/>
          <w:szCs w:val="32"/>
          <w:lang w:eastAsia="zh-CN"/>
        </w:rPr>
      </w:pPr>
      <w:r>
        <w:rPr>
          <w:rFonts w:ascii="仿宋_GB2312" w:eastAsia="仿宋_GB2312"/>
          <w:color w:val="000000"/>
          <w:sz w:val="32"/>
          <w:szCs w:val="32"/>
        </w:rPr>
        <w:t>1</w:t>
      </w:r>
      <w:r>
        <w:rPr>
          <w:rFonts w:hint="eastAsia" w:ascii="仿宋_GB2312" w:eastAsia="仿宋_GB2312"/>
          <w:color w:val="000000"/>
          <w:sz w:val="32"/>
          <w:szCs w:val="32"/>
          <w:lang w:val="en-US" w:eastAsia="zh-CN"/>
        </w:rPr>
        <w:t>2</w:t>
      </w:r>
      <w:r>
        <w:rPr>
          <w:rFonts w:ascii="仿宋_GB2312" w:eastAsia="仿宋_GB2312"/>
          <w:color w:val="000000"/>
          <w:sz w:val="32"/>
          <w:szCs w:val="32"/>
        </w:rPr>
        <w:t>.</w:t>
      </w:r>
      <w:r>
        <w:rPr>
          <w:rFonts w:hint="eastAsia" w:ascii="仿宋_GB2312" w:eastAsia="仿宋_GB2312"/>
          <w:color w:val="000000"/>
          <w:sz w:val="32"/>
          <w:szCs w:val="32"/>
        </w:rPr>
        <w:t>医疗卫生与计划生育（210）行政事业单位医疗（11）公务员医疗补助（03）</w:t>
      </w:r>
      <w:r>
        <w:rPr>
          <w:rFonts w:hint="eastAsia" w:ascii="仿宋_GB2312" w:eastAsia="仿宋_GB2312"/>
          <w:color w:val="000000"/>
          <w:sz w:val="32"/>
          <w:szCs w:val="32"/>
          <w:lang w:eastAsia="zh-CN"/>
        </w:rPr>
        <w:t>：</w:t>
      </w:r>
      <w:r>
        <w:rPr>
          <w:rFonts w:hint="eastAsia" w:ascii="仿宋_GB2312" w:eastAsia="仿宋_GB2312"/>
          <w:color w:val="000000"/>
          <w:sz w:val="32"/>
          <w:szCs w:val="32"/>
        </w:rPr>
        <w:t>指</w:t>
      </w:r>
      <w:r>
        <w:rPr>
          <w:rFonts w:hint="eastAsia" w:ascii="仿宋_GB2312" w:eastAsia="仿宋_GB2312"/>
          <w:color w:val="000000"/>
          <w:sz w:val="32"/>
          <w:szCs w:val="32"/>
          <w:lang w:eastAsia="zh-CN"/>
        </w:rPr>
        <w:t>公务员医疗补助。</w:t>
      </w:r>
    </w:p>
    <w:p w14:paraId="180EC9AF">
      <w:pPr>
        <w:pStyle w:val="35"/>
        <w:spacing w:line="560" w:lineRule="exact"/>
        <w:ind w:firstLine="640" w:firstLineChars="200"/>
        <w:rPr>
          <w:rFonts w:hint="eastAsia" w:ascii="仿宋_GB2312" w:eastAsia="仿宋_GB2312"/>
          <w:sz w:val="32"/>
          <w:szCs w:val="32"/>
        </w:rPr>
      </w:pPr>
      <w:r>
        <w:rPr>
          <w:rFonts w:hint="eastAsia" w:ascii="仿宋_GB2312" w:eastAsia="仿宋_GB2312"/>
          <w:color w:val="000000"/>
          <w:sz w:val="32"/>
          <w:szCs w:val="32"/>
          <w:lang w:val="en-US" w:eastAsia="zh-CN"/>
        </w:rPr>
        <w:t>13</w:t>
      </w:r>
      <w:r>
        <w:rPr>
          <w:rFonts w:ascii="仿宋_GB2312" w:eastAsia="仿宋_GB2312"/>
          <w:color w:val="000000"/>
          <w:sz w:val="32"/>
          <w:szCs w:val="32"/>
        </w:rPr>
        <w:t>.</w:t>
      </w:r>
      <w:r>
        <w:rPr>
          <w:rFonts w:hint="eastAsia" w:ascii="仿宋_GB2312" w:eastAsia="仿宋_GB2312"/>
          <w:color w:val="000000"/>
          <w:sz w:val="32"/>
          <w:szCs w:val="32"/>
        </w:rPr>
        <w:t>住房保障支出（221）住房改革支出（02）住房公积金（01）：指</w:t>
      </w:r>
      <w:r>
        <w:rPr>
          <w:rFonts w:hint="eastAsia" w:ascii="仿宋_GB2312" w:eastAsia="仿宋_GB2312"/>
          <w:color w:val="000000"/>
          <w:sz w:val="32"/>
          <w:szCs w:val="32"/>
          <w:lang w:eastAsia="zh-CN"/>
        </w:rPr>
        <w:t>住房公积金</w:t>
      </w:r>
      <w:r>
        <w:rPr>
          <w:rFonts w:hint="eastAsia" w:ascii="仿宋_GB2312" w:eastAsia="仿宋_GB2312"/>
          <w:color w:val="000000"/>
          <w:sz w:val="32"/>
          <w:szCs w:val="32"/>
        </w:rPr>
        <w:t>。</w:t>
      </w:r>
    </w:p>
    <w:p w14:paraId="4F21D4CC">
      <w:pPr>
        <w:ind w:firstLine="640" w:firstLineChars="200"/>
        <w:rPr>
          <w:rFonts w:ascii="仿宋_GB2312" w:eastAsia="仿宋_GB2312"/>
          <w:color w:val="000000"/>
          <w:sz w:val="32"/>
          <w:szCs w:val="32"/>
        </w:rPr>
      </w:pPr>
      <w:r>
        <w:rPr>
          <w:rFonts w:hint="eastAsia" w:ascii="仿宋_GB2312" w:eastAsia="仿宋_GB2312"/>
          <w:color w:val="000000"/>
          <w:sz w:val="32"/>
          <w:szCs w:val="32"/>
          <w:lang w:val="en-US" w:eastAsia="zh-CN"/>
        </w:rPr>
        <w:t>14.</w:t>
      </w:r>
      <w:r>
        <w:rPr>
          <w:rFonts w:hint="eastAsia" w:ascii="仿宋_GB2312" w:eastAsia="仿宋_GB2312"/>
          <w:color w:val="000000"/>
          <w:sz w:val="32"/>
          <w:szCs w:val="32"/>
        </w:rPr>
        <w:t>基本支出：指为保障机构正常运转、完成日常工作任务而发生的人员支出和公用支出。</w:t>
      </w:r>
    </w:p>
    <w:p w14:paraId="34937A7C">
      <w:pPr>
        <w:ind w:firstLine="640" w:firstLineChars="200"/>
        <w:rPr>
          <w:rFonts w:ascii="仿宋_GB2312" w:eastAsia="仿宋_GB2312"/>
          <w:color w:val="000000"/>
          <w:sz w:val="32"/>
          <w:szCs w:val="32"/>
        </w:rPr>
      </w:pPr>
      <w:r>
        <w:rPr>
          <w:rFonts w:hint="eastAsia" w:ascii="仿宋_GB2312" w:eastAsia="仿宋_GB2312"/>
          <w:color w:val="000000"/>
          <w:sz w:val="32"/>
          <w:szCs w:val="32"/>
          <w:lang w:val="en-US" w:eastAsia="zh-CN"/>
        </w:rPr>
        <w:t>15.</w:t>
      </w:r>
      <w:r>
        <w:rPr>
          <w:rFonts w:hint="eastAsia" w:ascii="仿宋_GB2312" w:eastAsia="仿宋_GB2312"/>
          <w:color w:val="000000"/>
          <w:sz w:val="32"/>
          <w:szCs w:val="32"/>
        </w:rPr>
        <w:t>项目支出：指在基本支出之外为完成特定行政任务和事业发展目标所发生的支出。</w:t>
      </w:r>
      <w:r>
        <w:rPr>
          <w:rFonts w:ascii="仿宋_GB2312" w:eastAsia="仿宋_GB2312"/>
          <w:color w:val="000000"/>
          <w:sz w:val="32"/>
          <w:szCs w:val="32"/>
        </w:rPr>
        <w:t xml:space="preserve"> </w:t>
      </w:r>
    </w:p>
    <w:p w14:paraId="7968A398">
      <w:pPr>
        <w:ind w:firstLine="640" w:firstLineChars="200"/>
        <w:rPr>
          <w:rFonts w:ascii="仿宋_GB2312" w:eastAsia="仿宋_GB2312"/>
          <w:color w:val="000000"/>
          <w:sz w:val="32"/>
          <w:szCs w:val="32"/>
        </w:rPr>
      </w:pPr>
      <w:r>
        <w:rPr>
          <w:rFonts w:hint="eastAsia" w:ascii="仿宋_GB2312" w:eastAsia="仿宋_GB2312"/>
          <w:color w:val="000000"/>
          <w:sz w:val="32"/>
          <w:szCs w:val="32"/>
          <w:lang w:val="en-US" w:eastAsia="zh-CN"/>
        </w:rPr>
        <w:t>16.</w:t>
      </w:r>
      <w:r>
        <w:rPr>
          <w:rFonts w:hint="eastAsia" w:ascii="仿宋_GB2312" w:eastAsia="仿宋_GB2312"/>
          <w:color w:val="000000"/>
          <w:sz w:val="32"/>
          <w:szCs w:val="32"/>
        </w:rPr>
        <w:t>经营支出：指事业单位在专业业务活动及其辅助活动之外开展非独立核算经营活动发生的支出。</w:t>
      </w:r>
    </w:p>
    <w:p w14:paraId="6D8DE2B5">
      <w:pPr>
        <w:pStyle w:val="35"/>
        <w:spacing w:line="560" w:lineRule="exact"/>
        <w:ind w:firstLine="640" w:firstLineChars="200"/>
        <w:rPr>
          <w:rFonts w:ascii="仿宋_GB2312" w:eastAsia="仿宋_GB2312"/>
          <w:sz w:val="32"/>
          <w:szCs w:val="32"/>
        </w:rPr>
      </w:pPr>
      <w:r>
        <w:rPr>
          <w:rFonts w:hint="eastAsia" w:ascii="仿宋_GB2312" w:eastAsia="仿宋_GB2312"/>
          <w:sz w:val="32"/>
          <w:szCs w:val="32"/>
          <w:lang w:val="en-US" w:eastAsia="zh-CN"/>
        </w:rPr>
        <w:t>17.</w:t>
      </w:r>
      <w:r>
        <w:rPr>
          <w:rFonts w:hint="eastAsia" w:ascii="仿宋_GB2312" w:eastAsia="仿宋_GB2312"/>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132797B2">
      <w:pPr>
        <w:pStyle w:val="35"/>
        <w:spacing w:line="560" w:lineRule="exact"/>
        <w:ind w:firstLine="640" w:firstLineChars="200"/>
        <w:rPr>
          <w:rFonts w:ascii="仿宋_GB2312" w:eastAsia="仿宋_GB2312"/>
          <w:sz w:val="32"/>
          <w:szCs w:val="32"/>
        </w:rPr>
      </w:pPr>
      <w:r>
        <w:rPr>
          <w:rFonts w:hint="eastAsia" w:ascii="仿宋_GB2312" w:eastAsia="仿宋_GB2312"/>
          <w:sz w:val="32"/>
          <w:szCs w:val="32"/>
          <w:lang w:val="en-US" w:eastAsia="zh-CN"/>
        </w:rPr>
        <w:t>18.</w:t>
      </w:r>
      <w:r>
        <w:rPr>
          <w:rFonts w:hint="eastAsia" w:ascii="仿宋_GB2312" w:eastAsia="仿宋_GB2312"/>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7218BB7B">
      <w:pPr>
        <w:spacing w:line="600" w:lineRule="exact"/>
        <w:jc w:val="center"/>
        <w:outlineLvl w:val="0"/>
        <w:rPr>
          <w:rStyle w:val="25"/>
          <w:rFonts w:ascii="黑体" w:hAnsi="黑体" w:eastAsia="黑体"/>
          <w:b w:val="0"/>
        </w:rPr>
      </w:pPr>
      <w:bookmarkStart w:id="97" w:name="_Toc15377226"/>
      <w:r>
        <w:rPr>
          <w:rFonts w:ascii="宋体"/>
          <w:b/>
          <w:color w:val="000000"/>
          <w:sz w:val="44"/>
          <w:szCs w:val="44"/>
        </w:rPr>
        <w:br w:type="page"/>
      </w:r>
      <w:bookmarkStart w:id="98" w:name="_Toc79163880"/>
      <w:bookmarkStart w:id="99" w:name="_Toc15396614"/>
      <w:bookmarkStart w:id="100" w:name="_Toc79163630"/>
      <w:r>
        <w:rPr>
          <w:rFonts w:hint="eastAsia" w:ascii="黑体" w:hAnsi="黑体" w:eastAsia="黑体"/>
          <w:color w:val="000000"/>
          <w:sz w:val="44"/>
          <w:szCs w:val="44"/>
        </w:rPr>
        <w:t>第</w:t>
      </w:r>
      <w:r>
        <w:rPr>
          <w:rStyle w:val="25"/>
          <w:rFonts w:hint="eastAsia" w:ascii="黑体" w:hAnsi="黑体" w:eastAsia="黑体"/>
          <w:b w:val="0"/>
        </w:rPr>
        <w:t>四部分</w:t>
      </w:r>
      <w:r>
        <w:rPr>
          <w:rStyle w:val="25"/>
          <w:rFonts w:ascii="黑体" w:hAnsi="黑体" w:eastAsia="黑体"/>
          <w:b w:val="0"/>
        </w:rPr>
        <w:t xml:space="preserve"> </w:t>
      </w:r>
      <w:r>
        <w:rPr>
          <w:rStyle w:val="25"/>
          <w:rFonts w:hint="eastAsia" w:ascii="黑体" w:hAnsi="黑体" w:eastAsia="黑体"/>
          <w:b w:val="0"/>
        </w:rPr>
        <w:t>附件</w:t>
      </w:r>
      <w:bookmarkEnd w:id="98"/>
      <w:bookmarkEnd w:id="99"/>
      <w:bookmarkEnd w:id="100"/>
    </w:p>
    <w:p w14:paraId="5D6C6CA2">
      <w:pPr>
        <w:spacing w:line="600" w:lineRule="exact"/>
        <w:jc w:val="left"/>
        <w:outlineLvl w:val="0"/>
        <w:rPr>
          <w:rFonts w:ascii="黑体" w:hAnsi="黑体" w:eastAsia="黑体" w:cs="黑体"/>
          <w:sz w:val="32"/>
          <w:szCs w:val="32"/>
        </w:rPr>
      </w:pPr>
      <w:bookmarkStart w:id="101" w:name="_Toc79163631"/>
      <w:bookmarkStart w:id="102" w:name="_Toc79163881"/>
      <w:r>
        <w:rPr>
          <w:rFonts w:hint="eastAsia" w:ascii="黑体" w:hAnsi="黑体" w:eastAsia="黑体" w:cs="黑体"/>
          <w:sz w:val="32"/>
          <w:szCs w:val="32"/>
        </w:rPr>
        <w:t>附件</w:t>
      </w:r>
      <w:r>
        <w:rPr>
          <w:rFonts w:ascii="黑体" w:hAnsi="黑体" w:eastAsia="黑体" w:cs="黑体"/>
          <w:sz w:val="32"/>
          <w:szCs w:val="32"/>
        </w:rPr>
        <w:t>1</w:t>
      </w:r>
      <w:bookmarkEnd w:id="101"/>
      <w:bookmarkEnd w:id="102"/>
    </w:p>
    <w:p w14:paraId="19DB8E23">
      <w:pPr>
        <w:keepNext w:val="0"/>
        <w:keepLines w:val="0"/>
        <w:pageBreakBefore w:val="0"/>
        <w:widowControl/>
        <w:kinsoku/>
        <w:wordWrap/>
        <w:overflowPunct/>
        <w:topLinePunct w:val="0"/>
        <w:autoSpaceDE/>
        <w:autoSpaceDN/>
        <w:bidi w:val="0"/>
        <w:adjustRightInd/>
        <w:snapToGrid/>
        <w:spacing w:line="600" w:lineRule="exact"/>
        <w:ind w:firstLine="0" w:firstLineChars="0"/>
        <w:contextualSpacing/>
        <w:jc w:val="center"/>
        <w:textAlignment w:val="auto"/>
        <w:outlineLvl w:val="9"/>
        <w:rPr>
          <w:rFonts w:hint="eastAsia" w:ascii="Times New Roman" w:hAnsi="Times New Roman" w:eastAsia="微软雅黑" w:cs="Times New Roman"/>
          <w:b w:val="0"/>
          <w:bCs/>
          <w:sz w:val="44"/>
          <w:szCs w:val="44"/>
          <w:highlight w:val="none"/>
          <w:shd w:val="clear" w:color="auto" w:fill="FFFFFF"/>
          <w:lang w:val="en-US" w:eastAsia="zh-CN"/>
        </w:rPr>
      </w:pPr>
      <w:bookmarkStart w:id="103" w:name="_Toc79163883"/>
      <w:bookmarkStart w:id="104" w:name="_Toc79163633"/>
      <w:r>
        <w:rPr>
          <w:rFonts w:hint="default" w:ascii="Times New Roman" w:hAnsi="Times New Roman" w:eastAsia="微软雅黑" w:cs="Times New Roman"/>
          <w:b w:val="0"/>
          <w:bCs/>
          <w:sz w:val="44"/>
          <w:szCs w:val="44"/>
          <w:highlight w:val="none"/>
          <w:shd w:val="clear" w:color="auto" w:fill="FFFFFF"/>
          <w:lang w:val="en-US" w:eastAsia="zh-CN"/>
        </w:rPr>
        <w:t>九寨沟县人民法院</w:t>
      </w:r>
      <w:r>
        <w:rPr>
          <w:rFonts w:hint="eastAsia" w:ascii="Times New Roman" w:hAnsi="Times New Roman" w:eastAsia="微软雅黑" w:cs="Times New Roman"/>
          <w:b w:val="0"/>
          <w:bCs/>
          <w:sz w:val="44"/>
          <w:szCs w:val="44"/>
          <w:highlight w:val="none"/>
          <w:shd w:val="clear" w:color="auto" w:fill="FFFFFF"/>
          <w:lang w:val="en-US" w:eastAsia="zh-CN"/>
        </w:rPr>
        <w:t>2025年</w:t>
      </w:r>
    </w:p>
    <w:p w14:paraId="5F3D57BF">
      <w:pPr>
        <w:keepNext w:val="0"/>
        <w:keepLines w:val="0"/>
        <w:pageBreakBefore w:val="0"/>
        <w:widowControl/>
        <w:kinsoku/>
        <w:wordWrap/>
        <w:overflowPunct/>
        <w:topLinePunct w:val="0"/>
        <w:autoSpaceDE/>
        <w:autoSpaceDN/>
        <w:bidi w:val="0"/>
        <w:adjustRightInd/>
        <w:snapToGrid/>
        <w:spacing w:line="600" w:lineRule="exact"/>
        <w:ind w:firstLine="0" w:firstLineChars="0"/>
        <w:contextualSpacing/>
        <w:jc w:val="center"/>
        <w:textAlignment w:val="auto"/>
        <w:outlineLvl w:val="9"/>
        <w:rPr>
          <w:rFonts w:hint="default" w:ascii="Times New Roman" w:hAnsi="Times New Roman" w:eastAsia="微软雅黑" w:cs="Times New Roman"/>
          <w:b w:val="0"/>
          <w:bCs/>
          <w:sz w:val="44"/>
          <w:szCs w:val="44"/>
          <w:highlight w:val="none"/>
          <w:shd w:val="clear" w:color="auto" w:fill="FFFFFF"/>
        </w:rPr>
      </w:pPr>
      <w:r>
        <w:rPr>
          <w:rFonts w:hint="default" w:ascii="Times New Roman" w:hAnsi="Times New Roman" w:eastAsia="微软雅黑" w:cs="Times New Roman"/>
          <w:b w:val="0"/>
          <w:bCs/>
          <w:sz w:val="44"/>
          <w:szCs w:val="44"/>
          <w:highlight w:val="none"/>
          <w:shd w:val="clear" w:color="auto" w:fill="FFFFFF"/>
          <w:lang w:eastAsia="zh-CN"/>
        </w:rPr>
        <w:t>部</w:t>
      </w:r>
      <w:r>
        <w:rPr>
          <w:rFonts w:hint="default" w:ascii="Times New Roman" w:hAnsi="Times New Roman" w:eastAsia="微软雅黑" w:cs="Times New Roman"/>
          <w:b w:val="0"/>
          <w:bCs/>
          <w:sz w:val="44"/>
          <w:szCs w:val="44"/>
          <w:highlight w:val="none"/>
          <w:shd w:val="clear" w:color="auto" w:fill="FFFFFF"/>
        </w:rPr>
        <w:t>门</w:t>
      </w:r>
      <w:r>
        <w:rPr>
          <w:rFonts w:hint="default" w:ascii="Times New Roman" w:hAnsi="Times New Roman" w:eastAsia="微软雅黑" w:cs="Times New Roman"/>
          <w:b w:val="0"/>
          <w:bCs/>
          <w:sz w:val="44"/>
          <w:szCs w:val="44"/>
          <w:highlight w:val="none"/>
          <w:shd w:val="clear" w:color="auto" w:fill="FFFFFF"/>
          <w:lang w:eastAsia="zh-CN"/>
        </w:rPr>
        <w:t>预算</w:t>
      </w:r>
      <w:r>
        <w:rPr>
          <w:rFonts w:hint="default" w:ascii="Times New Roman" w:hAnsi="Times New Roman" w:eastAsia="微软雅黑" w:cs="Times New Roman"/>
          <w:b w:val="0"/>
          <w:bCs/>
          <w:sz w:val="44"/>
          <w:szCs w:val="44"/>
          <w:highlight w:val="none"/>
          <w:shd w:val="clear" w:color="auto" w:fill="FFFFFF"/>
        </w:rPr>
        <w:t>绩效</w:t>
      </w:r>
      <w:r>
        <w:rPr>
          <w:rFonts w:hint="eastAsia" w:ascii="Times New Roman" w:hAnsi="Times New Roman" w:eastAsia="微软雅黑" w:cs="Times New Roman"/>
          <w:b w:val="0"/>
          <w:bCs/>
          <w:sz w:val="44"/>
          <w:szCs w:val="44"/>
          <w:highlight w:val="none"/>
          <w:shd w:val="clear" w:color="auto" w:fill="FFFFFF"/>
          <w:lang w:eastAsia="zh-CN"/>
        </w:rPr>
        <w:t>评价</w:t>
      </w:r>
      <w:r>
        <w:rPr>
          <w:rFonts w:hint="default" w:ascii="Times New Roman" w:hAnsi="Times New Roman" w:eastAsia="微软雅黑" w:cs="Times New Roman"/>
          <w:b w:val="0"/>
          <w:bCs/>
          <w:sz w:val="44"/>
          <w:szCs w:val="44"/>
          <w:highlight w:val="none"/>
          <w:shd w:val="clear" w:color="auto" w:fill="FFFFFF"/>
        </w:rPr>
        <w:t>报告</w:t>
      </w:r>
    </w:p>
    <w:p w14:paraId="7BE752FB">
      <w:pPr>
        <w:keepNext w:val="0"/>
        <w:keepLines w:val="0"/>
        <w:pageBreakBefore w:val="0"/>
        <w:widowControl/>
        <w:kinsoku/>
        <w:wordWrap/>
        <w:overflowPunct/>
        <w:topLinePunct w:val="0"/>
        <w:autoSpaceDE/>
        <w:autoSpaceDN/>
        <w:bidi w:val="0"/>
        <w:spacing w:line="600" w:lineRule="exact"/>
        <w:contextualSpacing/>
        <w:jc w:val="center"/>
        <w:textAlignment w:val="auto"/>
        <w:outlineLvl w:val="9"/>
        <w:rPr>
          <w:rFonts w:hint="default" w:ascii="Times New Roman" w:hAnsi="Times New Roman" w:cs="Times New Roman"/>
          <w:szCs w:val="32"/>
          <w:highlight w:val="none"/>
          <w:shd w:val="clear" w:color="auto" w:fill="FFFFFF"/>
        </w:rPr>
      </w:pPr>
    </w:p>
    <w:p w14:paraId="25ED173F">
      <w:pPr>
        <w:keepNext w:val="0"/>
        <w:keepLines w:val="0"/>
        <w:pageBreakBefore w:val="0"/>
        <w:widowControl/>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outlineLvl w:val="0"/>
        <w:rPr>
          <w:rFonts w:hint="default" w:ascii="Times New Roman" w:hAnsi="Times New Roman" w:eastAsia="黑体" w:cs="Times New Roman"/>
          <w:color w:val="000000"/>
          <w:kern w:val="0"/>
          <w:sz w:val="32"/>
          <w:szCs w:val="32"/>
          <w:highlight w:val="none"/>
          <w:shd w:val="clear" w:color="auto" w:fill="FFFFFF"/>
          <w:lang w:val="zh-CN"/>
        </w:rPr>
      </w:pPr>
      <w:r>
        <w:rPr>
          <w:rFonts w:hint="eastAsia" w:ascii="Times New Roman" w:hAnsi="Times New Roman" w:eastAsia="黑体" w:cs="Times New Roman"/>
          <w:color w:val="000000"/>
          <w:kern w:val="0"/>
          <w:sz w:val="32"/>
          <w:szCs w:val="32"/>
          <w:highlight w:val="none"/>
          <w:shd w:val="clear" w:color="auto" w:fill="FFFFFF"/>
          <w:lang w:val="zh-CN"/>
        </w:rPr>
        <w:t>一、</w:t>
      </w:r>
      <w:r>
        <w:rPr>
          <w:rFonts w:hint="default" w:ascii="Times New Roman" w:hAnsi="Times New Roman" w:eastAsia="黑体" w:cs="Times New Roman"/>
          <w:color w:val="000000"/>
          <w:kern w:val="0"/>
          <w:sz w:val="32"/>
          <w:szCs w:val="32"/>
          <w:highlight w:val="none"/>
          <w:shd w:val="clear" w:color="auto" w:fill="FFFFFF"/>
          <w:lang w:val="zh-CN"/>
        </w:rPr>
        <w:t>部门（单位）基本情况</w:t>
      </w:r>
    </w:p>
    <w:p w14:paraId="55061361">
      <w:pPr>
        <w:keepNext w:val="0"/>
        <w:keepLines w:val="0"/>
        <w:pageBreakBefore w:val="0"/>
        <w:widowControl/>
        <w:numPr>
          <w:ilvl w:val="0"/>
          <w:numId w:val="0"/>
        </w:numPr>
        <w:kinsoku/>
        <w:wordWrap/>
        <w:overflowPunct/>
        <w:topLinePunct w:val="0"/>
        <w:autoSpaceDE/>
        <w:autoSpaceDN/>
        <w:bidi w:val="0"/>
        <w:adjustRightInd w:val="0"/>
        <w:snapToGrid w:val="0"/>
        <w:spacing w:line="600" w:lineRule="exact"/>
        <w:ind w:firstLine="643" w:firstLineChars="200"/>
        <w:contextualSpacing/>
        <w:jc w:val="left"/>
        <w:textAlignment w:val="auto"/>
        <w:outlineLvl w:val="1"/>
        <w:rPr>
          <w:rFonts w:hint="default" w:ascii="Times New Roman" w:hAnsi="Times New Roman" w:eastAsia="楷体_GB2312" w:cs="Times New Roman"/>
          <w:b/>
          <w:bCs/>
          <w:color w:val="000000"/>
          <w:kern w:val="0"/>
          <w:sz w:val="32"/>
          <w:szCs w:val="32"/>
          <w:highlight w:val="none"/>
          <w:shd w:val="clear" w:color="auto" w:fill="FFFFFF"/>
          <w:lang w:val="zh-CN"/>
        </w:rPr>
      </w:pPr>
      <w:r>
        <w:rPr>
          <w:rFonts w:hint="eastAsia" w:ascii="Times New Roman" w:hAnsi="Times New Roman" w:eastAsia="楷体_GB2312" w:cs="Times New Roman"/>
          <w:b/>
          <w:bCs/>
          <w:color w:val="000000"/>
          <w:kern w:val="0"/>
          <w:sz w:val="32"/>
          <w:szCs w:val="32"/>
          <w:highlight w:val="none"/>
          <w:shd w:val="clear" w:color="auto" w:fill="FFFFFF"/>
          <w:lang w:val="zh-CN"/>
        </w:rPr>
        <w:t>（一）</w:t>
      </w:r>
      <w:r>
        <w:rPr>
          <w:rFonts w:hint="default" w:ascii="Times New Roman" w:hAnsi="Times New Roman" w:eastAsia="楷体_GB2312" w:cs="Times New Roman"/>
          <w:b/>
          <w:bCs/>
          <w:color w:val="000000"/>
          <w:kern w:val="0"/>
          <w:sz w:val="32"/>
          <w:szCs w:val="32"/>
          <w:highlight w:val="none"/>
          <w:shd w:val="clear" w:color="auto" w:fill="FFFFFF"/>
          <w:lang w:val="zh-CN"/>
        </w:rPr>
        <w:t>机构组成</w:t>
      </w:r>
    </w:p>
    <w:p w14:paraId="00DF6385">
      <w:pPr>
        <w:pageBreakBefore w:val="0"/>
        <w:kinsoku/>
        <w:wordWrap/>
        <w:overflowPunct/>
        <w:topLinePunct w:val="0"/>
        <w:autoSpaceDE/>
        <w:bidi w:val="0"/>
        <w:spacing w:line="600" w:lineRule="exact"/>
        <w:ind w:firstLine="640" w:firstLineChars="200"/>
        <w:rPr>
          <w:rFonts w:hint="default" w:ascii="Times New Roman" w:hAnsi="Times New Roman" w:eastAsia="仿宋_GB2312" w:cs="Times New Roman"/>
          <w:color w:val="000000"/>
          <w:sz w:val="32"/>
          <w:szCs w:val="32"/>
          <w:highlight w:val="none"/>
          <w:lang w:val="en-US" w:eastAsia="zh-CN" w:bidi="ar-SA"/>
        </w:rPr>
      </w:pPr>
      <w:r>
        <w:rPr>
          <w:rFonts w:hint="default" w:ascii="Times New Roman" w:hAnsi="Times New Roman" w:eastAsia="仿宋_GB2312" w:cs="Times New Roman"/>
          <w:color w:val="000000"/>
          <w:sz w:val="32"/>
          <w:szCs w:val="32"/>
          <w:highlight w:val="none"/>
          <w:lang w:val="en-US" w:eastAsia="zh-CN" w:bidi="ar-SA"/>
        </w:rPr>
        <w:t>九寨沟县人民法院</w:t>
      </w:r>
      <w:r>
        <w:rPr>
          <w:rFonts w:hint="eastAsia" w:ascii="Times New Roman" w:hAnsi="Times New Roman" w:eastAsia="仿宋_GB2312" w:cs="Times New Roman"/>
          <w:color w:val="000000"/>
          <w:sz w:val="32"/>
          <w:szCs w:val="32"/>
          <w:highlight w:val="none"/>
          <w:lang w:val="en-US" w:eastAsia="zh-CN" w:bidi="ar-SA"/>
        </w:rPr>
        <w:t>（后文简称“我院”）</w:t>
      </w:r>
      <w:r>
        <w:rPr>
          <w:rFonts w:hint="default" w:ascii="Times New Roman" w:hAnsi="Times New Roman" w:eastAsia="仿宋_GB2312" w:cs="Times New Roman"/>
          <w:color w:val="000000"/>
          <w:sz w:val="32"/>
          <w:szCs w:val="32"/>
          <w:highlight w:val="none"/>
          <w:lang w:val="en-US" w:eastAsia="zh-CN" w:bidi="ar-SA"/>
        </w:rPr>
        <w:t>内设9个机构，分别为：政治处、办公室、立案庭（诉讼服务中心）、刑事审判庭、民事审判庭、行政审判庭（国家赔偿委员会办公室）、审判监督庭、执行局、司法警察大队，并下设3个人民法庭：漳扎人民法庭、玉瓦人民法庭、双河人民法庭。</w:t>
      </w:r>
    </w:p>
    <w:p w14:paraId="4704D8DD">
      <w:pPr>
        <w:keepNext w:val="0"/>
        <w:keepLines w:val="0"/>
        <w:pageBreakBefore w:val="0"/>
        <w:widowControl/>
        <w:numPr>
          <w:ilvl w:val="0"/>
          <w:numId w:val="0"/>
        </w:numPr>
        <w:kinsoku/>
        <w:wordWrap/>
        <w:overflowPunct/>
        <w:topLinePunct w:val="0"/>
        <w:autoSpaceDE/>
        <w:autoSpaceDN/>
        <w:bidi w:val="0"/>
        <w:adjustRightInd w:val="0"/>
        <w:snapToGrid w:val="0"/>
        <w:spacing w:line="600" w:lineRule="exact"/>
        <w:ind w:firstLine="643" w:firstLineChars="200"/>
        <w:contextualSpacing/>
        <w:jc w:val="left"/>
        <w:textAlignment w:val="auto"/>
        <w:outlineLvl w:val="1"/>
        <w:rPr>
          <w:rFonts w:hint="eastAsia" w:ascii="Times New Roman" w:hAnsi="Times New Roman" w:eastAsia="楷体_GB2312" w:cs="Times New Roman"/>
          <w:b/>
          <w:bCs/>
          <w:color w:val="000000"/>
          <w:kern w:val="0"/>
          <w:sz w:val="32"/>
          <w:szCs w:val="32"/>
          <w:highlight w:val="none"/>
          <w:shd w:val="clear" w:color="auto" w:fill="FFFFFF"/>
          <w:lang w:val="zh-CN"/>
        </w:rPr>
      </w:pPr>
      <w:r>
        <w:rPr>
          <w:rFonts w:hint="eastAsia"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en-US" w:eastAsia="zh-CN"/>
        </w:rPr>
        <w:t>二）</w:t>
      </w:r>
      <w:r>
        <w:rPr>
          <w:rFonts w:hint="default" w:ascii="Times New Roman" w:hAnsi="Times New Roman" w:eastAsia="楷体_GB2312" w:cs="Times New Roman"/>
          <w:b/>
          <w:bCs/>
          <w:color w:val="000000"/>
          <w:kern w:val="0"/>
          <w:sz w:val="32"/>
          <w:szCs w:val="32"/>
          <w:highlight w:val="none"/>
          <w:shd w:val="clear" w:color="auto" w:fill="FFFFFF"/>
          <w:lang w:val="zh-CN"/>
        </w:rPr>
        <w:t>机构职能</w:t>
      </w:r>
    </w:p>
    <w:p w14:paraId="338B83DE">
      <w:pPr>
        <w:pageBreakBefore w:val="0"/>
        <w:kinsoku/>
        <w:wordWrap/>
        <w:overflowPunct/>
        <w:topLinePunct w:val="0"/>
        <w:autoSpaceDE/>
        <w:bidi w:val="0"/>
        <w:spacing w:line="600" w:lineRule="exact"/>
        <w:ind w:firstLine="640" w:firstLineChars="200"/>
        <w:rPr>
          <w:rFonts w:hint="eastAsia" w:ascii="Times New Roman" w:hAnsi="Times New Roman" w:eastAsia="仿宋_GB2312" w:cs="Times New Roman"/>
          <w:color w:val="000000"/>
          <w:sz w:val="32"/>
          <w:szCs w:val="32"/>
          <w:highlight w:val="none"/>
          <w:lang w:val="en-US" w:eastAsia="zh-CN" w:bidi="ar-SA"/>
        </w:rPr>
      </w:pPr>
      <w:r>
        <w:rPr>
          <w:rFonts w:hint="eastAsia" w:ascii="Times New Roman" w:hAnsi="Times New Roman" w:eastAsia="仿宋_GB2312" w:cs="Times New Roman"/>
          <w:color w:val="000000"/>
          <w:sz w:val="32"/>
          <w:szCs w:val="32"/>
          <w:highlight w:val="none"/>
          <w:lang w:val="en-US" w:eastAsia="zh-CN" w:bidi="ar-SA"/>
        </w:rPr>
        <w:t>我院主要承担以下职责和功能：</w:t>
      </w:r>
    </w:p>
    <w:p w14:paraId="79F2CF2A">
      <w:pPr>
        <w:pageBreakBefore w:val="0"/>
        <w:numPr>
          <w:ilvl w:val="0"/>
          <w:numId w:val="5"/>
        </w:numPr>
        <w:kinsoku/>
        <w:wordWrap/>
        <w:overflowPunct/>
        <w:topLinePunct w:val="0"/>
        <w:autoSpaceDE/>
        <w:bidi w:val="0"/>
        <w:spacing w:line="600" w:lineRule="exact"/>
        <w:ind w:firstLine="640" w:firstLineChars="200"/>
        <w:rPr>
          <w:rFonts w:hint="default" w:ascii="Times New Roman" w:hAnsi="Times New Roman" w:eastAsia="仿宋_GB2312" w:cs="Times New Roman"/>
          <w:color w:val="000000"/>
          <w:sz w:val="32"/>
          <w:szCs w:val="32"/>
          <w:highlight w:val="none"/>
          <w:lang w:val="en-US" w:eastAsia="zh-CN" w:bidi="ar-SA"/>
        </w:rPr>
      </w:pPr>
      <w:r>
        <w:rPr>
          <w:rFonts w:hint="default" w:ascii="Times New Roman" w:hAnsi="Times New Roman" w:eastAsia="仿宋_GB2312" w:cs="Times New Roman"/>
          <w:color w:val="000000"/>
          <w:sz w:val="32"/>
          <w:szCs w:val="32"/>
          <w:highlight w:val="none"/>
          <w:lang w:val="en-US" w:eastAsia="zh-CN" w:bidi="ar-SA"/>
        </w:rPr>
        <w:t>做好立案工作。依法对本辖区的各类刑事、民事、行政、执行案件进行审查立案。</w:t>
      </w:r>
    </w:p>
    <w:p w14:paraId="10CDAC28">
      <w:pPr>
        <w:pageBreakBefore w:val="0"/>
        <w:kinsoku/>
        <w:wordWrap/>
        <w:overflowPunct/>
        <w:topLinePunct w:val="0"/>
        <w:autoSpaceDE/>
        <w:bidi w:val="0"/>
        <w:spacing w:line="600" w:lineRule="exact"/>
        <w:ind w:firstLine="640" w:firstLineChars="200"/>
        <w:rPr>
          <w:rFonts w:hint="default" w:ascii="Times New Roman" w:hAnsi="Times New Roman" w:eastAsia="仿宋_GB2312" w:cs="Times New Roman"/>
          <w:color w:val="000000"/>
          <w:sz w:val="32"/>
          <w:szCs w:val="32"/>
          <w:highlight w:val="none"/>
          <w:lang w:val="en-US" w:eastAsia="zh-CN" w:bidi="ar-SA"/>
        </w:rPr>
      </w:pPr>
      <w:r>
        <w:rPr>
          <w:rFonts w:hint="default" w:ascii="Times New Roman" w:hAnsi="Times New Roman" w:eastAsia="仿宋_GB2312" w:cs="Times New Roman"/>
          <w:color w:val="000000"/>
          <w:sz w:val="32"/>
          <w:szCs w:val="32"/>
          <w:highlight w:val="none"/>
          <w:lang w:val="en-US" w:eastAsia="zh-CN" w:bidi="ar-SA"/>
        </w:rPr>
        <w:t>2．做好审判工作。依法审理法律规定由基层人民法院管辖和上级法院指定管辖的刑事、民事、行政等第一审案件。</w:t>
      </w:r>
    </w:p>
    <w:p w14:paraId="4D00940A">
      <w:pPr>
        <w:pageBreakBefore w:val="0"/>
        <w:kinsoku/>
        <w:wordWrap/>
        <w:overflowPunct/>
        <w:topLinePunct w:val="0"/>
        <w:autoSpaceDE/>
        <w:bidi w:val="0"/>
        <w:spacing w:line="600" w:lineRule="exact"/>
        <w:ind w:firstLine="640" w:firstLineChars="200"/>
        <w:rPr>
          <w:rFonts w:hint="default" w:ascii="Times New Roman" w:hAnsi="Times New Roman" w:eastAsia="仿宋_GB2312" w:cs="Times New Roman"/>
          <w:color w:val="000000"/>
          <w:sz w:val="32"/>
          <w:szCs w:val="32"/>
          <w:highlight w:val="none"/>
          <w:lang w:val="en-US" w:eastAsia="zh-CN" w:bidi="ar-SA"/>
        </w:rPr>
      </w:pPr>
      <w:r>
        <w:rPr>
          <w:rFonts w:hint="default" w:ascii="Times New Roman" w:hAnsi="Times New Roman" w:eastAsia="仿宋_GB2312" w:cs="Times New Roman"/>
          <w:color w:val="000000"/>
          <w:sz w:val="32"/>
          <w:szCs w:val="32"/>
          <w:highlight w:val="none"/>
          <w:lang w:val="en-US" w:eastAsia="zh-CN" w:bidi="ar-SA"/>
        </w:rPr>
        <w:t>3．做好执行工作。依法办理发生法律效力的民事、行政案件判决和裁定执行事项及刑事案件判决和裁定中关于财产部分的执行事项；办理法律规定由基层人民法院执行的其他法律文书的执行事项。</w:t>
      </w:r>
    </w:p>
    <w:p w14:paraId="147CF7FF">
      <w:pPr>
        <w:pageBreakBefore w:val="0"/>
        <w:kinsoku/>
        <w:wordWrap/>
        <w:overflowPunct/>
        <w:topLinePunct w:val="0"/>
        <w:autoSpaceDE/>
        <w:bidi w:val="0"/>
        <w:spacing w:line="600" w:lineRule="exact"/>
        <w:ind w:firstLine="640" w:firstLineChars="200"/>
        <w:rPr>
          <w:rFonts w:hint="default" w:ascii="Times New Roman" w:hAnsi="Times New Roman" w:eastAsia="仿宋_GB2312" w:cs="Times New Roman"/>
          <w:color w:val="000000"/>
          <w:sz w:val="32"/>
          <w:szCs w:val="32"/>
          <w:highlight w:val="none"/>
          <w:lang w:val="en-US" w:eastAsia="zh-CN" w:bidi="ar-SA"/>
        </w:rPr>
      </w:pPr>
      <w:r>
        <w:rPr>
          <w:rFonts w:hint="default" w:ascii="Times New Roman" w:hAnsi="Times New Roman" w:eastAsia="仿宋_GB2312" w:cs="Times New Roman"/>
          <w:color w:val="000000"/>
          <w:sz w:val="32"/>
          <w:szCs w:val="32"/>
          <w:highlight w:val="none"/>
          <w:lang w:val="en-US" w:eastAsia="zh-CN" w:bidi="ar-SA"/>
        </w:rPr>
        <w:t>4.管理、使用本院的司法警察力量，保证机关和押解人犯的安全，维护正常的审判执行工作秩序。</w:t>
      </w:r>
    </w:p>
    <w:p w14:paraId="1E96FA97">
      <w:pPr>
        <w:pageBreakBefore w:val="0"/>
        <w:kinsoku/>
        <w:wordWrap/>
        <w:overflowPunct/>
        <w:topLinePunct w:val="0"/>
        <w:autoSpaceDE/>
        <w:bidi w:val="0"/>
        <w:spacing w:line="600" w:lineRule="exact"/>
        <w:ind w:firstLine="640" w:firstLineChars="200"/>
        <w:rPr>
          <w:rFonts w:hint="default" w:ascii="Times New Roman" w:hAnsi="Times New Roman" w:eastAsia="仿宋_GB2312" w:cs="Times New Roman"/>
          <w:color w:val="000000"/>
          <w:sz w:val="32"/>
          <w:szCs w:val="32"/>
          <w:highlight w:val="none"/>
          <w:lang w:val="en-US" w:eastAsia="zh-CN" w:bidi="ar-SA"/>
        </w:rPr>
      </w:pPr>
      <w:r>
        <w:rPr>
          <w:rFonts w:hint="default" w:ascii="Times New Roman" w:hAnsi="Times New Roman" w:eastAsia="仿宋_GB2312" w:cs="Times New Roman"/>
          <w:color w:val="000000"/>
          <w:sz w:val="32"/>
          <w:szCs w:val="32"/>
          <w:highlight w:val="none"/>
          <w:lang w:val="en-US" w:eastAsia="zh-CN" w:bidi="ar-SA"/>
        </w:rPr>
        <w:t>5.做好诉讼指导工作，为当事人依法、充分、有效行使诉讼权利提供服务。</w:t>
      </w:r>
    </w:p>
    <w:p w14:paraId="195AECCC">
      <w:pPr>
        <w:pageBreakBefore w:val="0"/>
        <w:kinsoku/>
        <w:wordWrap/>
        <w:overflowPunct/>
        <w:topLinePunct w:val="0"/>
        <w:autoSpaceDE/>
        <w:bidi w:val="0"/>
        <w:spacing w:line="600" w:lineRule="exact"/>
        <w:ind w:firstLine="640" w:firstLineChars="200"/>
        <w:rPr>
          <w:rFonts w:hint="default" w:ascii="Times New Roman" w:hAnsi="Times New Roman" w:eastAsia="仿宋_GB2312" w:cs="Times New Roman"/>
          <w:color w:val="000000"/>
          <w:sz w:val="32"/>
          <w:szCs w:val="32"/>
          <w:highlight w:val="none"/>
          <w:lang w:val="en-US" w:eastAsia="zh-CN" w:bidi="ar-SA"/>
        </w:rPr>
      </w:pPr>
      <w:r>
        <w:rPr>
          <w:rFonts w:hint="default" w:ascii="Times New Roman" w:hAnsi="Times New Roman" w:eastAsia="仿宋_GB2312" w:cs="Times New Roman"/>
          <w:color w:val="000000"/>
          <w:sz w:val="32"/>
          <w:szCs w:val="32"/>
          <w:highlight w:val="none"/>
          <w:lang w:val="en-US" w:eastAsia="zh-CN" w:bidi="ar-SA"/>
        </w:rPr>
        <w:t>6.做好日常接待和涉诉信访工作，耐心解答当事人和相关人员提出的法律问题，做好当事人的思想疏导和服判、息诉、罢访工作。</w:t>
      </w:r>
    </w:p>
    <w:p w14:paraId="265ED463">
      <w:pPr>
        <w:pageBreakBefore w:val="0"/>
        <w:kinsoku/>
        <w:wordWrap/>
        <w:overflowPunct/>
        <w:topLinePunct w:val="0"/>
        <w:autoSpaceDE/>
        <w:bidi w:val="0"/>
        <w:spacing w:line="600" w:lineRule="exact"/>
        <w:ind w:firstLine="640" w:firstLineChars="200"/>
        <w:rPr>
          <w:rFonts w:hint="default" w:ascii="Times New Roman" w:hAnsi="Times New Roman" w:eastAsia="仿宋_GB2312" w:cs="Times New Roman"/>
          <w:color w:val="000000"/>
          <w:sz w:val="32"/>
          <w:szCs w:val="32"/>
          <w:highlight w:val="none"/>
          <w:lang w:val="en-US" w:eastAsia="zh-CN" w:bidi="ar-SA"/>
        </w:rPr>
      </w:pPr>
      <w:r>
        <w:rPr>
          <w:rFonts w:hint="default" w:ascii="Times New Roman" w:hAnsi="Times New Roman" w:eastAsia="仿宋_GB2312" w:cs="Times New Roman"/>
          <w:color w:val="000000"/>
          <w:sz w:val="32"/>
          <w:szCs w:val="32"/>
          <w:highlight w:val="none"/>
          <w:lang w:val="en-US" w:eastAsia="zh-CN" w:bidi="ar-SA"/>
        </w:rPr>
        <w:t>7.做好人民法庭管理、建设和维修工作。</w:t>
      </w:r>
    </w:p>
    <w:p w14:paraId="73D2F0A1">
      <w:pPr>
        <w:pageBreakBefore w:val="0"/>
        <w:kinsoku/>
        <w:wordWrap/>
        <w:overflowPunct/>
        <w:topLinePunct w:val="0"/>
        <w:autoSpaceDE/>
        <w:bidi w:val="0"/>
        <w:spacing w:line="600" w:lineRule="exact"/>
        <w:ind w:firstLine="640" w:firstLineChars="200"/>
        <w:rPr>
          <w:rFonts w:hint="default" w:ascii="Times New Roman" w:hAnsi="Times New Roman" w:eastAsia="仿宋_GB2312" w:cs="Times New Roman"/>
          <w:color w:val="000000"/>
          <w:sz w:val="32"/>
          <w:szCs w:val="32"/>
          <w:highlight w:val="none"/>
          <w:lang w:val="en-US" w:eastAsia="zh-CN" w:bidi="ar-SA"/>
        </w:rPr>
      </w:pPr>
      <w:r>
        <w:rPr>
          <w:rFonts w:hint="default" w:ascii="Times New Roman" w:hAnsi="Times New Roman" w:eastAsia="仿宋_GB2312" w:cs="Times New Roman"/>
          <w:color w:val="000000"/>
          <w:sz w:val="32"/>
          <w:szCs w:val="32"/>
          <w:highlight w:val="none"/>
          <w:lang w:val="en-US" w:eastAsia="zh-CN" w:bidi="ar-SA"/>
        </w:rPr>
        <w:t>8.做好综治工作，积极开展法治宣传及巡回审判。</w:t>
      </w:r>
    </w:p>
    <w:p w14:paraId="32A2B553">
      <w:pPr>
        <w:pageBreakBefore w:val="0"/>
        <w:kinsoku/>
        <w:wordWrap/>
        <w:overflowPunct/>
        <w:topLinePunct w:val="0"/>
        <w:autoSpaceDE/>
        <w:bidi w:val="0"/>
        <w:spacing w:line="600" w:lineRule="exact"/>
        <w:ind w:firstLine="640" w:firstLineChars="200"/>
        <w:rPr>
          <w:rFonts w:hint="default" w:ascii="Times New Roman" w:hAnsi="Times New Roman" w:eastAsia="仿宋_GB2312" w:cs="Times New Roman"/>
          <w:color w:val="000000"/>
          <w:sz w:val="32"/>
          <w:szCs w:val="32"/>
          <w:highlight w:val="none"/>
          <w:lang w:val="en-US" w:eastAsia="zh-CN" w:bidi="ar-SA"/>
        </w:rPr>
      </w:pPr>
      <w:r>
        <w:rPr>
          <w:rFonts w:hint="default" w:ascii="Times New Roman" w:hAnsi="Times New Roman" w:eastAsia="仿宋_GB2312" w:cs="Times New Roman"/>
          <w:color w:val="000000"/>
          <w:sz w:val="32"/>
          <w:szCs w:val="32"/>
          <w:highlight w:val="none"/>
          <w:lang w:val="en-US" w:eastAsia="zh-CN" w:bidi="ar-SA"/>
        </w:rPr>
        <w:t>9.按照县委安排部署做好全县中心工作。</w:t>
      </w:r>
    </w:p>
    <w:p w14:paraId="4A162F12">
      <w:pPr>
        <w:keepNext w:val="0"/>
        <w:keepLines w:val="0"/>
        <w:pageBreakBefore w:val="0"/>
        <w:widowControl/>
        <w:numPr>
          <w:ilvl w:val="0"/>
          <w:numId w:val="0"/>
        </w:numPr>
        <w:kinsoku/>
        <w:wordWrap/>
        <w:overflowPunct/>
        <w:topLinePunct w:val="0"/>
        <w:autoSpaceDE/>
        <w:autoSpaceDN/>
        <w:bidi w:val="0"/>
        <w:adjustRightInd w:val="0"/>
        <w:snapToGrid w:val="0"/>
        <w:spacing w:line="600" w:lineRule="exact"/>
        <w:ind w:firstLine="643" w:firstLineChars="200"/>
        <w:contextualSpacing/>
        <w:jc w:val="left"/>
        <w:textAlignment w:val="auto"/>
        <w:outlineLvl w:val="1"/>
        <w:rPr>
          <w:rFonts w:hint="eastAsia"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三</w:t>
      </w:r>
      <w:r>
        <w:rPr>
          <w:rFonts w:hint="default" w:ascii="Times New Roman" w:hAnsi="Times New Roman" w:eastAsia="楷体_GB2312" w:cs="Times New Roman"/>
          <w:b/>
          <w:bCs/>
          <w:color w:val="000000"/>
          <w:kern w:val="0"/>
          <w:sz w:val="32"/>
          <w:szCs w:val="32"/>
          <w:highlight w:val="none"/>
          <w:shd w:val="clear" w:color="auto" w:fill="FFFFFF"/>
          <w:lang w:val="zh-CN"/>
        </w:rPr>
        <w:t>）人员概况</w:t>
      </w:r>
    </w:p>
    <w:p w14:paraId="00847CE1">
      <w:pPr>
        <w:pStyle w:val="20"/>
        <w:keepNext w:val="0"/>
        <w:keepLines w:val="0"/>
        <w:widowControl/>
        <w:suppressLineNumbers w:val="0"/>
        <w:spacing w:before="60" w:beforeAutospacing="0" w:after="60" w:afterAutospacing="0"/>
        <w:ind w:left="0" w:right="0" w:firstLine="640" w:firstLineChars="200"/>
        <w:jc w:val="both"/>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截至</w:t>
      </w:r>
      <w:r>
        <w:rPr>
          <w:rFonts w:hint="eastAsia" w:ascii="Times New Roman" w:hAnsi="Times New Roman" w:eastAsia="仿宋_GB2312" w:cs="Times New Roman"/>
          <w:color w:val="000000"/>
          <w:kern w:val="2"/>
          <w:sz w:val="32"/>
          <w:szCs w:val="32"/>
          <w:highlight w:val="none"/>
          <w:lang w:val="en-US" w:eastAsia="zh-CN" w:bidi="ar-SA"/>
        </w:rPr>
        <w:t>2025年末</w:t>
      </w:r>
      <w:r>
        <w:rPr>
          <w:rFonts w:hint="default" w:ascii="Times New Roman" w:hAnsi="Times New Roman" w:eastAsia="仿宋_GB2312" w:cs="Times New Roman"/>
          <w:color w:val="000000"/>
          <w:kern w:val="2"/>
          <w:sz w:val="32"/>
          <w:szCs w:val="32"/>
          <w:highlight w:val="none"/>
          <w:lang w:val="en-US" w:eastAsia="zh-CN" w:bidi="ar-SA"/>
        </w:rPr>
        <w:t>，</w:t>
      </w:r>
      <w:r>
        <w:rPr>
          <w:rFonts w:hint="eastAsia" w:ascii="Times New Roman" w:hAnsi="Times New Roman" w:eastAsia="仿宋_GB2312" w:cs="Times New Roman"/>
          <w:color w:val="000000"/>
          <w:kern w:val="2"/>
          <w:sz w:val="32"/>
          <w:szCs w:val="32"/>
          <w:highlight w:val="none"/>
          <w:lang w:val="en-US" w:eastAsia="zh-CN" w:bidi="ar-SA"/>
        </w:rPr>
        <w:t>我院全部在职职工85人，其中：参公人员48人，机关和事业工人4人，其他人员33人。</w:t>
      </w:r>
    </w:p>
    <w:p w14:paraId="191907A6">
      <w:pPr>
        <w:keepNext w:val="0"/>
        <w:keepLines w:val="0"/>
        <w:pageBreakBefore w:val="0"/>
        <w:widowControl/>
        <w:kinsoku/>
        <w:wordWrap/>
        <w:overflowPunct/>
        <w:topLinePunct w:val="0"/>
        <w:autoSpaceDE/>
        <w:autoSpaceDN/>
        <w:bidi w:val="0"/>
        <w:adjustRightInd w:val="0"/>
        <w:snapToGrid w:val="0"/>
        <w:spacing w:line="600" w:lineRule="exact"/>
        <w:ind w:firstLine="640" w:firstLineChars="200"/>
        <w:contextualSpacing/>
        <w:jc w:val="left"/>
        <w:textAlignment w:val="auto"/>
        <w:outlineLvl w:val="0"/>
        <w:rPr>
          <w:rFonts w:hint="default" w:ascii="Times New Roman" w:hAnsi="Times New Roman" w:eastAsia="黑体" w:cs="Times New Roman"/>
          <w:color w:val="000000"/>
          <w:kern w:val="0"/>
          <w:sz w:val="32"/>
          <w:szCs w:val="32"/>
          <w:highlight w:val="none"/>
          <w:shd w:val="clear" w:color="auto" w:fill="FFFFFF"/>
        </w:rPr>
      </w:pPr>
      <w:r>
        <w:rPr>
          <w:rFonts w:hint="default" w:ascii="Times New Roman" w:hAnsi="Times New Roman" w:eastAsia="黑体" w:cs="Times New Roman"/>
          <w:color w:val="000000"/>
          <w:kern w:val="0"/>
          <w:sz w:val="32"/>
          <w:szCs w:val="32"/>
          <w:highlight w:val="none"/>
          <w:shd w:val="clear" w:color="auto" w:fill="FFFFFF"/>
        </w:rPr>
        <w:t>二、</w:t>
      </w:r>
      <w:r>
        <w:rPr>
          <w:rFonts w:hint="default" w:ascii="Times New Roman" w:hAnsi="Times New Roman" w:eastAsia="黑体" w:cs="Times New Roman"/>
          <w:color w:val="000000"/>
          <w:kern w:val="0"/>
          <w:sz w:val="32"/>
          <w:szCs w:val="32"/>
          <w:highlight w:val="none"/>
          <w:shd w:val="clear" w:color="auto" w:fill="FFFFFF"/>
          <w:lang w:eastAsia="zh-CN"/>
        </w:rPr>
        <w:t>部门</w:t>
      </w:r>
      <w:r>
        <w:rPr>
          <w:rFonts w:hint="default" w:ascii="Times New Roman" w:hAnsi="Times New Roman" w:eastAsia="黑体" w:cs="Times New Roman"/>
          <w:color w:val="000000"/>
          <w:kern w:val="0"/>
          <w:sz w:val="32"/>
          <w:szCs w:val="32"/>
          <w:highlight w:val="none"/>
          <w:shd w:val="clear" w:color="auto" w:fill="FFFFFF"/>
        </w:rPr>
        <w:t>资金收支情况</w:t>
      </w:r>
    </w:p>
    <w:p w14:paraId="00FCF4E3">
      <w:pPr>
        <w:keepNext w:val="0"/>
        <w:keepLines w:val="0"/>
        <w:pageBreakBefore w:val="0"/>
        <w:widowControl/>
        <w:kinsoku/>
        <w:wordWrap/>
        <w:overflowPunct/>
        <w:topLinePunct w:val="0"/>
        <w:autoSpaceDE/>
        <w:autoSpaceDN/>
        <w:bidi w:val="0"/>
        <w:adjustRightInd w:val="0"/>
        <w:snapToGrid w:val="0"/>
        <w:spacing w:line="600" w:lineRule="exact"/>
        <w:ind w:firstLine="643" w:firstLineChars="200"/>
        <w:contextualSpacing/>
        <w:jc w:val="left"/>
        <w:textAlignment w:val="auto"/>
        <w:outlineLvl w:val="1"/>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（一）</w:t>
      </w:r>
      <w:r>
        <w:rPr>
          <w:rFonts w:hint="eastAsia" w:ascii="Times New Roman" w:hAnsi="Times New Roman" w:eastAsia="楷体_GB2312" w:cs="Times New Roman"/>
          <w:b/>
          <w:bCs/>
          <w:color w:val="000000"/>
          <w:kern w:val="0"/>
          <w:sz w:val="32"/>
          <w:szCs w:val="32"/>
          <w:highlight w:val="none"/>
          <w:shd w:val="clear" w:color="auto" w:fill="FFFFFF"/>
          <w:lang w:val="zh-CN"/>
        </w:rPr>
        <w:t>收入情况</w:t>
      </w:r>
    </w:p>
    <w:p w14:paraId="5A333F87">
      <w:pPr>
        <w:pageBreakBefore w:val="0"/>
        <w:kinsoku/>
        <w:wordWrap/>
        <w:overflowPunct/>
        <w:topLinePunct w:val="0"/>
        <w:autoSpaceDE/>
        <w:bidi w:val="0"/>
        <w:spacing w:line="600" w:lineRule="exact"/>
        <w:ind w:firstLine="640" w:firstLineChars="200"/>
        <w:rPr>
          <w:rFonts w:hint="eastAsia" w:ascii="Times New Roman" w:hAnsi="Times New Roman" w:eastAsia="仿宋_GB2312" w:cs="Times New Roman"/>
          <w:sz w:val="32"/>
          <w:highlight w:val="none"/>
          <w:lang w:val="en-US" w:eastAsia="zh-CN"/>
        </w:rPr>
      </w:pPr>
      <w:r>
        <w:rPr>
          <w:rFonts w:hint="eastAsia" w:ascii="Times New Roman" w:hAnsi="Times New Roman" w:eastAsia="仿宋_GB2312" w:cs="Times New Roman"/>
          <w:sz w:val="32"/>
          <w:highlight w:val="none"/>
          <w:lang w:val="en-US" w:eastAsia="zh-CN"/>
        </w:rPr>
        <w:t>我院2025</w:t>
      </w:r>
      <w:r>
        <w:rPr>
          <w:rFonts w:hint="default" w:ascii="Times New Roman" w:hAnsi="Times New Roman" w:eastAsia="仿宋_GB2312" w:cs="Times New Roman"/>
          <w:sz w:val="32"/>
          <w:highlight w:val="none"/>
          <w:lang w:val="en-US"/>
        </w:rPr>
        <w:t>年年初收入预算数为</w:t>
      </w:r>
      <w:r>
        <w:rPr>
          <w:rFonts w:hint="eastAsia" w:ascii="Times New Roman" w:hAnsi="Times New Roman" w:eastAsia="仿宋_GB2312" w:cs="Times New Roman"/>
          <w:sz w:val="32"/>
          <w:highlight w:val="none"/>
          <w:lang w:val="en-US" w:eastAsia="zh-CN"/>
        </w:rPr>
        <w:t>1,339.25</w:t>
      </w:r>
      <w:r>
        <w:rPr>
          <w:rFonts w:hint="default" w:ascii="Times New Roman" w:hAnsi="Times New Roman" w:eastAsia="仿宋_GB2312" w:cs="Times New Roman"/>
          <w:sz w:val="32"/>
          <w:highlight w:val="none"/>
          <w:lang w:val="en-US"/>
        </w:rPr>
        <w:t>万元，</w:t>
      </w:r>
      <w:r>
        <w:rPr>
          <w:rFonts w:hint="eastAsia" w:ascii="Times New Roman" w:hAnsi="Times New Roman" w:eastAsia="仿宋_GB2312" w:cs="Times New Roman"/>
          <w:sz w:val="32"/>
          <w:highlight w:val="none"/>
          <w:lang w:val="en-US" w:eastAsia="zh-CN"/>
        </w:rPr>
        <w:t>其中：</w:t>
      </w:r>
      <w:r>
        <w:rPr>
          <w:rFonts w:hint="default" w:ascii="Times New Roman" w:hAnsi="Times New Roman" w:eastAsia="仿宋_GB2312" w:cs="Times New Roman"/>
          <w:sz w:val="32"/>
          <w:highlight w:val="none"/>
          <w:lang w:val="en-US"/>
        </w:rPr>
        <w:t>一般公共预算财政拨款收入</w:t>
      </w:r>
      <w:r>
        <w:rPr>
          <w:rFonts w:hint="eastAsia" w:ascii="Times New Roman" w:hAnsi="Times New Roman" w:eastAsia="仿宋_GB2312" w:cs="Times New Roman"/>
          <w:sz w:val="32"/>
          <w:highlight w:val="none"/>
          <w:lang w:val="en-US" w:eastAsia="zh-CN"/>
        </w:rPr>
        <w:t>1,339.25万元，占总预算的100%；</w:t>
      </w:r>
    </w:p>
    <w:p w14:paraId="08DF0898">
      <w:pPr>
        <w:pageBreakBefore w:val="0"/>
        <w:kinsoku/>
        <w:wordWrap/>
        <w:overflowPunct/>
        <w:topLinePunct w:val="0"/>
        <w:autoSpaceDE/>
        <w:bidi w:val="0"/>
        <w:spacing w:line="600" w:lineRule="exact"/>
        <w:ind w:firstLine="640" w:firstLineChars="200"/>
        <w:rPr>
          <w:rFonts w:hint="default" w:ascii="Times New Roman" w:hAnsi="Times New Roman" w:eastAsia="仿宋_GB2312" w:cs="Times New Roman"/>
          <w:sz w:val="32"/>
          <w:highlight w:val="none"/>
          <w:lang w:val="en-US"/>
        </w:rPr>
      </w:pPr>
      <w:r>
        <w:rPr>
          <w:rFonts w:hint="eastAsia" w:ascii="Times New Roman" w:hAnsi="Times New Roman" w:eastAsia="仿宋_GB2312" w:cs="Times New Roman"/>
          <w:sz w:val="32"/>
          <w:highlight w:val="none"/>
          <w:lang w:val="en-US" w:eastAsia="zh-CN"/>
        </w:rPr>
        <w:t>我院2025</w:t>
      </w:r>
      <w:r>
        <w:rPr>
          <w:rFonts w:hint="default" w:ascii="Times New Roman" w:hAnsi="Times New Roman" w:eastAsia="仿宋_GB2312" w:cs="Times New Roman"/>
          <w:sz w:val="32"/>
          <w:highlight w:val="none"/>
          <w:lang w:val="en-US"/>
        </w:rPr>
        <w:t>年收入决算数为</w:t>
      </w:r>
      <w:r>
        <w:rPr>
          <w:rFonts w:hint="eastAsia" w:ascii="Times New Roman" w:hAnsi="Times New Roman" w:eastAsia="仿宋_GB2312" w:cs="Times New Roman"/>
          <w:sz w:val="32"/>
          <w:highlight w:val="none"/>
          <w:lang w:val="en-US" w:eastAsia="zh-CN"/>
        </w:rPr>
        <w:t>2,441.27</w:t>
      </w:r>
      <w:r>
        <w:rPr>
          <w:rFonts w:hint="default" w:ascii="Times New Roman" w:hAnsi="Times New Roman" w:eastAsia="仿宋_GB2312" w:cs="Times New Roman"/>
          <w:sz w:val="32"/>
          <w:highlight w:val="none"/>
          <w:lang w:val="en-US"/>
        </w:rPr>
        <w:t>万元，</w:t>
      </w:r>
      <w:r>
        <w:rPr>
          <w:rFonts w:hint="eastAsia" w:ascii="Times New Roman" w:hAnsi="Times New Roman" w:eastAsia="仿宋_GB2312" w:cs="Times New Roman"/>
          <w:sz w:val="32"/>
          <w:highlight w:val="none"/>
          <w:lang w:val="en-US" w:eastAsia="zh-CN"/>
        </w:rPr>
        <w:t>其中：</w:t>
      </w:r>
      <w:r>
        <w:rPr>
          <w:rFonts w:hint="default" w:ascii="Times New Roman" w:hAnsi="Times New Roman" w:eastAsia="仿宋_GB2312" w:cs="Times New Roman"/>
          <w:sz w:val="32"/>
          <w:highlight w:val="none"/>
          <w:lang w:val="en-US"/>
        </w:rPr>
        <w:t>一般公共预算财政拨款收入</w:t>
      </w:r>
      <w:r>
        <w:rPr>
          <w:rFonts w:hint="eastAsia" w:ascii="Times New Roman" w:hAnsi="Times New Roman" w:eastAsia="仿宋_GB2312" w:cs="Times New Roman"/>
          <w:sz w:val="32"/>
          <w:highlight w:val="none"/>
          <w:lang w:val="en-US" w:eastAsia="zh-CN"/>
        </w:rPr>
        <w:t>1,965.06万元，占总决算的80.49%；其他收入439.72万元，占总决算的18.01%。</w:t>
      </w:r>
    </w:p>
    <w:p w14:paraId="1AC09524">
      <w:pPr>
        <w:keepNext w:val="0"/>
        <w:keepLines w:val="0"/>
        <w:pageBreakBefore w:val="0"/>
        <w:widowControl/>
        <w:kinsoku/>
        <w:wordWrap/>
        <w:overflowPunct/>
        <w:topLinePunct w:val="0"/>
        <w:autoSpaceDE/>
        <w:autoSpaceDN/>
        <w:bidi w:val="0"/>
        <w:adjustRightInd w:val="0"/>
        <w:snapToGrid w:val="0"/>
        <w:spacing w:line="600" w:lineRule="exact"/>
        <w:ind w:firstLine="643" w:firstLineChars="200"/>
        <w:contextualSpacing/>
        <w:jc w:val="left"/>
        <w:textAlignment w:val="auto"/>
        <w:outlineLvl w:val="1"/>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二</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支出情况</w:t>
      </w:r>
    </w:p>
    <w:p w14:paraId="2AD899A1">
      <w:pPr>
        <w:pageBreakBefore w:val="0"/>
        <w:kinsoku/>
        <w:wordWrap/>
        <w:overflowPunct/>
        <w:topLinePunct w:val="0"/>
        <w:autoSpaceDE/>
        <w:bidi w:val="0"/>
        <w:spacing w:line="600" w:lineRule="exact"/>
        <w:ind w:firstLine="640" w:firstLineChars="200"/>
        <w:rPr>
          <w:rFonts w:hint="eastAsia" w:ascii="Times New Roman" w:hAnsi="Times New Roman" w:eastAsia="仿宋_GB2312" w:cs="Times New Roman"/>
          <w:sz w:val="32"/>
          <w:highlight w:val="none"/>
          <w:lang w:val="en-US" w:eastAsia="zh-CN"/>
        </w:rPr>
      </w:pPr>
      <w:r>
        <w:rPr>
          <w:rFonts w:hint="eastAsia" w:ascii="Times New Roman" w:hAnsi="Times New Roman" w:eastAsia="仿宋_GB2312" w:cs="Times New Roman"/>
          <w:sz w:val="32"/>
          <w:highlight w:val="none"/>
          <w:lang w:val="en-US" w:eastAsia="zh-CN"/>
        </w:rPr>
        <w:t>我院2025年年初支出预算数为1,339.25万元，其中：基本支出1,225.75万元，占支出总额的91.53%；项目支出113.50万元，占支出总额的8.47%。</w:t>
      </w:r>
    </w:p>
    <w:p w14:paraId="6054BE18">
      <w:pPr>
        <w:pageBreakBefore w:val="0"/>
        <w:kinsoku/>
        <w:wordWrap/>
        <w:overflowPunct/>
        <w:topLinePunct w:val="0"/>
        <w:autoSpaceDE/>
        <w:bidi w:val="0"/>
        <w:spacing w:line="600" w:lineRule="exact"/>
        <w:ind w:firstLine="640" w:firstLineChars="200"/>
        <w:rPr>
          <w:rFonts w:hint="eastAsia" w:ascii="Times New Roman" w:hAnsi="Times New Roman" w:eastAsia="仿宋_GB2312" w:cs="Times New Roman"/>
          <w:sz w:val="32"/>
          <w:highlight w:val="none"/>
          <w:lang w:val="en-US" w:eastAsia="zh-CN"/>
        </w:rPr>
      </w:pPr>
      <w:r>
        <w:rPr>
          <w:rFonts w:hint="eastAsia" w:ascii="Times New Roman" w:hAnsi="Times New Roman" w:eastAsia="仿宋_GB2312" w:cs="Times New Roman"/>
          <w:sz w:val="32"/>
          <w:highlight w:val="none"/>
          <w:lang w:val="en-US" w:eastAsia="zh-CN"/>
        </w:rPr>
        <w:t>我院2025年支出决算数为2,441.27万元，其中：基本支出1,767.79万元，占支出总额的72.41%；项目支出113.50万元，占支出总额的4.65%。</w:t>
      </w:r>
    </w:p>
    <w:p w14:paraId="210F7C02">
      <w:pPr>
        <w:keepNext w:val="0"/>
        <w:keepLines w:val="0"/>
        <w:pageBreakBefore w:val="0"/>
        <w:widowControl/>
        <w:kinsoku/>
        <w:wordWrap/>
        <w:overflowPunct/>
        <w:topLinePunct w:val="0"/>
        <w:autoSpaceDE/>
        <w:autoSpaceDN/>
        <w:bidi w:val="0"/>
        <w:adjustRightInd w:val="0"/>
        <w:snapToGrid w:val="0"/>
        <w:spacing w:line="600" w:lineRule="exact"/>
        <w:ind w:firstLine="643" w:firstLineChars="200"/>
        <w:contextualSpacing/>
        <w:jc w:val="both"/>
        <w:textAlignment w:val="auto"/>
        <w:outlineLvl w:val="1"/>
        <w:rPr>
          <w:rFonts w:hint="eastAsia" w:ascii="Times New Roman" w:hAnsi="Times New Roman" w:eastAsia="楷体_GB2312" w:cs="Times New Roman"/>
          <w:b/>
          <w:sz w:val="32"/>
          <w:szCs w:val="32"/>
          <w:highlight w:val="none"/>
          <w:lang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三</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default" w:ascii="Times New Roman" w:hAnsi="Times New Roman" w:eastAsia="楷体_GB2312" w:cs="Times New Roman"/>
          <w:b/>
          <w:sz w:val="32"/>
          <w:szCs w:val="32"/>
          <w:highlight w:val="none"/>
        </w:rPr>
        <w:t>结余分配和结转结余情况</w:t>
      </w:r>
    </w:p>
    <w:p w14:paraId="2799FC1A">
      <w:pPr>
        <w:keepNext w:val="0"/>
        <w:keepLines w:val="0"/>
        <w:pageBreakBefore w:val="0"/>
        <w:widowControl/>
        <w:kinsoku/>
        <w:wordWrap/>
        <w:overflowPunct/>
        <w:topLinePunct w:val="0"/>
        <w:autoSpaceDE/>
        <w:autoSpaceDN/>
        <w:bidi w:val="0"/>
        <w:adjustRightInd w:val="0"/>
        <w:snapToGrid w:val="0"/>
        <w:spacing w:line="600" w:lineRule="exact"/>
        <w:ind w:firstLine="640" w:firstLineChars="200"/>
        <w:contextualSpacing/>
        <w:jc w:val="both"/>
        <w:textAlignment w:val="auto"/>
        <w:outlineLvl w:val="9"/>
        <w:rPr>
          <w:rFonts w:hint="default" w:cs="Times New Roman"/>
          <w:kern w:val="2"/>
          <w:sz w:val="32"/>
          <w:szCs w:val="24"/>
          <w:highlight w:val="none"/>
          <w:lang w:val="zh-CN" w:eastAsia="zh-CN" w:bidi="ar-SA"/>
        </w:rPr>
      </w:pPr>
      <w:r>
        <w:rPr>
          <w:rFonts w:hint="eastAsia" w:cs="Times New Roman"/>
          <w:kern w:val="2"/>
          <w:sz w:val="32"/>
          <w:szCs w:val="24"/>
          <w:highlight w:val="none"/>
          <w:lang w:val="en-US" w:eastAsia="zh-CN" w:bidi="ar-SA"/>
        </w:rPr>
        <w:t>我院</w:t>
      </w:r>
      <w:r>
        <w:rPr>
          <w:rFonts w:hint="eastAsia" w:ascii="Times New Roman" w:hAnsi="Times New Roman" w:eastAsia="仿宋_GB2312" w:cs="Times New Roman"/>
          <w:kern w:val="2"/>
          <w:sz w:val="32"/>
          <w:szCs w:val="24"/>
          <w:highlight w:val="none"/>
          <w:lang w:val="en-US" w:eastAsia="zh-CN" w:bidi="ar-SA"/>
        </w:rPr>
        <w:t>2025年决算报表结余结转金额为</w:t>
      </w:r>
      <w:r>
        <w:rPr>
          <w:rFonts w:hint="eastAsia" w:cs="Times New Roman"/>
          <w:kern w:val="2"/>
          <w:sz w:val="32"/>
          <w:szCs w:val="24"/>
          <w:highlight w:val="none"/>
          <w:lang w:val="en-US" w:eastAsia="zh-CN" w:bidi="ar-SA"/>
        </w:rPr>
        <w:t>33.55</w:t>
      </w:r>
      <w:r>
        <w:rPr>
          <w:rFonts w:hint="eastAsia" w:ascii="Times New Roman" w:hAnsi="Times New Roman" w:eastAsia="仿宋_GB2312" w:cs="Times New Roman"/>
          <w:kern w:val="2"/>
          <w:sz w:val="32"/>
          <w:szCs w:val="24"/>
          <w:highlight w:val="none"/>
          <w:lang w:val="en-US" w:eastAsia="zh-CN" w:bidi="ar-SA"/>
        </w:rPr>
        <w:t>万元</w:t>
      </w:r>
      <w:r>
        <w:rPr>
          <w:rFonts w:hint="eastAsia" w:cs="Times New Roman"/>
          <w:kern w:val="2"/>
          <w:sz w:val="32"/>
          <w:szCs w:val="24"/>
          <w:highlight w:val="none"/>
          <w:lang w:val="en-US" w:eastAsia="zh-CN" w:bidi="ar-SA"/>
        </w:rPr>
        <w:t>。</w:t>
      </w:r>
    </w:p>
    <w:p w14:paraId="04FE1C0C">
      <w:pPr>
        <w:keepNext w:val="0"/>
        <w:keepLines w:val="0"/>
        <w:pageBreakBefore w:val="0"/>
        <w:widowControl/>
        <w:kinsoku/>
        <w:wordWrap/>
        <w:overflowPunct/>
        <w:topLinePunct w:val="0"/>
        <w:autoSpaceDE/>
        <w:autoSpaceDN/>
        <w:bidi w:val="0"/>
        <w:adjustRightInd w:val="0"/>
        <w:snapToGrid w:val="0"/>
        <w:spacing w:line="600" w:lineRule="exact"/>
        <w:ind w:firstLine="640" w:firstLineChars="200"/>
        <w:contextualSpacing/>
        <w:jc w:val="left"/>
        <w:textAlignment w:val="auto"/>
        <w:outlineLvl w:val="0"/>
        <w:rPr>
          <w:rFonts w:hint="default" w:ascii="Times New Roman" w:hAnsi="Times New Roman" w:eastAsia="黑体" w:cs="Times New Roman"/>
          <w:color w:val="000000"/>
          <w:kern w:val="0"/>
          <w:sz w:val="32"/>
          <w:szCs w:val="32"/>
          <w:highlight w:val="none"/>
          <w:shd w:val="clear" w:color="auto" w:fill="FFFFFF"/>
        </w:rPr>
      </w:pPr>
      <w:r>
        <w:rPr>
          <w:rFonts w:hint="default" w:ascii="Times New Roman" w:hAnsi="Times New Roman" w:eastAsia="黑体" w:cs="Times New Roman"/>
          <w:color w:val="000000"/>
          <w:kern w:val="0"/>
          <w:sz w:val="32"/>
          <w:szCs w:val="32"/>
          <w:highlight w:val="none"/>
          <w:shd w:val="clear" w:color="auto" w:fill="FFFFFF"/>
        </w:rPr>
        <w:t>三、部门</w:t>
      </w:r>
      <w:r>
        <w:rPr>
          <w:rFonts w:hint="default" w:ascii="Times New Roman" w:hAnsi="Times New Roman" w:eastAsia="黑体" w:cs="Times New Roman"/>
          <w:color w:val="000000"/>
          <w:kern w:val="0"/>
          <w:sz w:val="32"/>
          <w:szCs w:val="32"/>
          <w:highlight w:val="none"/>
          <w:shd w:val="clear" w:color="auto" w:fill="FFFFFF"/>
          <w:lang w:eastAsia="zh-CN"/>
        </w:rPr>
        <w:t>预算</w:t>
      </w:r>
      <w:r>
        <w:rPr>
          <w:rFonts w:hint="default" w:ascii="Times New Roman" w:hAnsi="Times New Roman" w:eastAsia="黑体" w:cs="Times New Roman"/>
          <w:color w:val="000000"/>
          <w:kern w:val="0"/>
          <w:sz w:val="32"/>
          <w:szCs w:val="32"/>
          <w:highlight w:val="none"/>
          <w:shd w:val="clear" w:color="auto" w:fill="FFFFFF"/>
        </w:rPr>
        <w:t>绩效</w:t>
      </w:r>
      <w:r>
        <w:rPr>
          <w:rFonts w:hint="default" w:ascii="Times New Roman" w:hAnsi="Times New Roman" w:eastAsia="黑体" w:cs="Times New Roman"/>
          <w:color w:val="000000"/>
          <w:kern w:val="0"/>
          <w:sz w:val="32"/>
          <w:szCs w:val="32"/>
          <w:highlight w:val="none"/>
          <w:shd w:val="clear" w:color="auto" w:fill="FFFFFF"/>
          <w:lang w:eastAsia="zh-CN"/>
        </w:rPr>
        <w:t>分析</w:t>
      </w:r>
    </w:p>
    <w:p w14:paraId="44F9C299">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3" w:firstLineChars="200"/>
        <w:contextualSpacing/>
        <w:jc w:val="left"/>
        <w:textAlignment w:val="auto"/>
        <w:outlineLvl w:val="1"/>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（一）</w:t>
      </w:r>
      <w:r>
        <w:rPr>
          <w:rFonts w:hint="eastAsia" w:ascii="Times New Roman" w:hAnsi="Times New Roman" w:eastAsia="楷体_GB2312" w:cs="Times New Roman"/>
          <w:b/>
          <w:bCs/>
          <w:color w:val="000000"/>
          <w:kern w:val="0"/>
          <w:sz w:val="32"/>
          <w:szCs w:val="32"/>
          <w:highlight w:val="none"/>
          <w:shd w:val="clear" w:color="auto" w:fill="FFFFFF"/>
          <w:lang w:val="zh-CN"/>
        </w:rPr>
        <w:t>部门预算</w:t>
      </w:r>
      <w:r>
        <w:rPr>
          <w:rFonts w:hint="default" w:ascii="Times New Roman" w:hAnsi="Times New Roman" w:eastAsia="楷体_GB2312" w:cs="Times New Roman"/>
          <w:b/>
          <w:bCs/>
          <w:color w:val="000000"/>
          <w:kern w:val="0"/>
          <w:sz w:val="32"/>
          <w:szCs w:val="32"/>
          <w:highlight w:val="none"/>
          <w:shd w:val="clear" w:color="auto" w:fill="FFFFFF"/>
          <w:lang w:val="zh-CN"/>
        </w:rPr>
        <w:t>总体绩效分析</w:t>
      </w:r>
    </w:p>
    <w:p w14:paraId="6D3EF589">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outlineLvl w:val="2"/>
        <w:rPr>
          <w:rFonts w:hint="eastAsia" w:ascii="Times New Roman" w:hAnsi="Times New Roman" w:eastAsia="楷体_GB2312" w:cs="Times New Roman"/>
          <w:color w:val="000000"/>
          <w:kern w:val="0"/>
          <w:sz w:val="32"/>
          <w:szCs w:val="32"/>
          <w:highlight w:val="none"/>
          <w:shd w:val="clear" w:color="auto" w:fill="FFFFFF"/>
          <w:lang w:val="zh-CN" w:eastAsia="zh-CN"/>
        </w:rPr>
      </w:pPr>
      <w:r>
        <w:rPr>
          <w:rFonts w:hint="default" w:ascii="Times New Roman" w:hAnsi="Times New Roman" w:eastAsia="楷体_GB2312" w:cs="Times New Roman"/>
          <w:color w:val="000000"/>
          <w:kern w:val="0"/>
          <w:sz w:val="32"/>
          <w:szCs w:val="32"/>
          <w:highlight w:val="none"/>
          <w:shd w:val="clear" w:color="auto" w:fill="FFFFFF"/>
          <w:lang w:val="en-US" w:eastAsia="zh-CN"/>
        </w:rPr>
        <w:t>1</w:t>
      </w:r>
      <w:r>
        <w:rPr>
          <w:rFonts w:hint="eastAsia" w:ascii="Times New Roman" w:hAnsi="Times New Roman" w:eastAsia="楷体_GB2312" w:cs="Times New Roman"/>
          <w:color w:val="000000"/>
          <w:kern w:val="0"/>
          <w:sz w:val="32"/>
          <w:szCs w:val="32"/>
          <w:highlight w:val="none"/>
          <w:shd w:val="clear" w:color="auto" w:fill="FFFFFF"/>
          <w:lang w:val="en-US" w:eastAsia="zh-CN"/>
        </w:rPr>
        <w:t>.</w:t>
      </w:r>
      <w:r>
        <w:rPr>
          <w:rFonts w:hint="eastAsia" w:ascii="Times New Roman" w:hAnsi="Times New Roman" w:eastAsia="楷体_GB2312" w:cs="Times New Roman"/>
          <w:color w:val="000000"/>
          <w:kern w:val="0"/>
          <w:sz w:val="32"/>
          <w:szCs w:val="32"/>
          <w:highlight w:val="none"/>
          <w:shd w:val="clear" w:color="auto" w:fill="FFFFFF"/>
          <w:lang w:val="zh-CN" w:eastAsia="zh-CN"/>
        </w:rPr>
        <w:t>履职效能</w:t>
      </w:r>
    </w:p>
    <w:p w14:paraId="6CC12823">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outlineLvl w:val="2"/>
        <w:rPr>
          <w:rFonts w:hint="eastAsia" w:ascii="Times New Roman" w:hAnsi="Times New Roman" w:eastAsia="楷体_GB2312" w:cs="Times New Roman"/>
          <w:color w:val="000000"/>
          <w:kern w:val="0"/>
          <w:sz w:val="32"/>
          <w:szCs w:val="32"/>
          <w:highlight w:val="none"/>
          <w:shd w:val="clear" w:color="auto" w:fill="FFFFFF"/>
          <w:lang w:val="en-US" w:eastAsia="zh-CN"/>
        </w:rPr>
      </w:pPr>
      <w:r>
        <w:rPr>
          <w:rFonts w:hint="eastAsia" w:ascii="Times New Roman" w:hAnsi="Times New Roman" w:eastAsia="楷体_GB2312" w:cs="Times New Roman"/>
          <w:color w:val="000000"/>
          <w:kern w:val="0"/>
          <w:sz w:val="32"/>
          <w:szCs w:val="32"/>
          <w:highlight w:val="none"/>
          <w:shd w:val="clear" w:color="auto" w:fill="FFFFFF"/>
          <w:lang w:val="en-US" w:eastAsia="zh-CN"/>
        </w:rPr>
        <w:t>为充分反映我院2025年度部门职能履行成效，本次绩效自评根据《阿坝州财政局关于开展2026年州级部门预算绩效自评工作的通知》（阿州财监绩〔2026〕3号）要求，结合部门职能职责和2025年度重点工作任务，选取了“案件结案数、审限内结案率、首执案件执行到位率”3个绩效指标作为核心职能目标，各职能目标具体完成情况如下：</w:t>
      </w:r>
    </w:p>
    <w:p w14:paraId="27BA2E6A">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outlineLvl w:val="2"/>
        <w:rPr>
          <w:rFonts w:hint="eastAsia" w:ascii="Times New Roman" w:hAnsi="Times New Roman" w:eastAsia="楷体_GB2312" w:cs="Times New Roman"/>
          <w:color w:val="000000"/>
          <w:kern w:val="0"/>
          <w:sz w:val="32"/>
          <w:szCs w:val="32"/>
          <w:highlight w:val="none"/>
          <w:shd w:val="clear" w:color="auto" w:fill="FFFFFF"/>
          <w:lang w:val="en-US" w:eastAsia="zh-CN"/>
        </w:rPr>
      </w:pPr>
      <w:r>
        <w:rPr>
          <w:rFonts w:hint="eastAsia" w:ascii="Times New Roman" w:hAnsi="Times New Roman" w:eastAsia="楷体_GB2312" w:cs="Times New Roman"/>
          <w:color w:val="000000"/>
          <w:kern w:val="0"/>
          <w:sz w:val="32"/>
          <w:szCs w:val="32"/>
          <w:highlight w:val="none"/>
          <w:shd w:val="clear" w:color="auto" w:fill="FFFFFF"/>
          <w:lang w:val="en-US" w:eastAsia="zh-CN"/>
        </w:rPr>
        <w:t>（1）案件结案数</w:t>
      </w:r>
    </w:p>
    <w:p w14:paraId="550E64CB">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outlineLvl w:val="2"/>
        <w:rPr>
          <w:rFonts w:hint="eastAsia" w:ascii="Times New Roman" w:hAnsi="Times New Roman" w:eastAsia="楷体_GB2312" w:cs="Times New Roman"/>
          <w:color w:val="000000"/>
          <w:kern w:val="0"/>
          <w:sz w:val="32"/>
          <w:szCs w:val="32"/>
          <w:highlight w:val="none"/>
          <w:shd w:val="clear" w:color="auto" w:fill="FFFFFF"/>
          <w:lang w:val="en-US" w:eastAsia="zh-CN"/>
        </w:rPr>
      </w:pPr>
      <w:r>
        <w:rPr>
          <w:rFonts w:hint="eastAsia" w:ascii="Times New Roman" w:hAnsi="Times New Roman" w:eastAsia="楷体_GB2312" w:cs="Times New Roman"/>
          <w:color w:val="000000"/>
          <w:kern w:val="0"/>
          <w:sz w:val="32"/>
          <w:szCs w:val="32"/>
          <w:highlight w:val="none"/>
          <w:shd w:val="clear" w:color="auto" w:fill="FFFFFF"/>
          <w:lang w:val="en-US" w:eastAsia="zh-CN"/>
        </w:rPr>
        <w:t>2025年我院案件结案数为1029件，达到预期目标值，该项指标得满分。</w:t>
      </w:r>
    </w:p>
    <w:p w14:paraId="0A19AF46">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outlineLvl w:val="2"/>
        <w:rPr>
          <w:rFonts w:hint="default" w:ascii="Times New Roman" w:hAnsi="Times New Roman" w:eastAsia="楷体_GB2312" w:cs="Times New Roman"/>
          <w:color w:val="000000"/>
          <w:kern w:val="0"/>
          <w:sz w:val="32"/>
          <w:szCs w:val="32"/>
          <w:highlight w:val="none"/>
          <w:shd w:val="clear" w:color="auto" w:fill="FFFFFF"/>
          <w:lang w:val="en-US" w:eastAsia="zh-CN"/>
        </w:rPr>
      </w:pPr>
      <w:r>
        <w:rPr>
          <w:rFonts w:hint="eastAsia" w:ascii="Times New Roman" w:hAnsi="Times New Roman" w:eastAsia="楷体_GB2312" w:cs="Times New Roman"/>
          <w:color w:val="000000"/>
          <w:kern w:val="0"/>
          <w:sz w:val="32"/>
          <w:szCs w:val="32"/>
          <w:highlight w:val="none"/>
          <w:shd w:val="clear" w:color="auto" w:fill="FFFFFF"/>
          <w:lang w:val="en-US" w:eastAsia="zh-CN"/>
        </w:rPr>
        <w:t>根据评分标准，该项指标不扣分，得5分。</w:t>
      </w:r>
    </w:p>
    <w:p w14:paraId="5B961C56">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outlineLvl w:val="2"/>
        <w:rPr>
          <w:rFonts w:hint="eastAsia" w:ascii="Times New Roman" w:hAnsi="Times New Roman" w:eastAsia="楷体_GB2312" w:cs="Times New Roman"/>
          <w:color w:val="000000"/>
          <w:kern w:val="0"/>
          <w:sz w:val="32"/>
          <w:szCs w:val="32"/>
          <w:highlight w:val="none"/>
          <w:shd w:val="clear" w:color="auto" w:fill="FFFFFF"/>
          <w:lang w:val="en-US" w:eastAsia="zh-CN"/>
        </w:rPr>
      </w:pPr>
      <w:r>
        <w:rPr>
          <w:rFonts w:hint="eastAsia" w:ascii="Times New Roman" w:hAnsi="Times New Roman" w:eastAsia="楷体_GB2312" w:cs="Times New Roman"/>
          <w:color w:val="000000"/>
          <w:kern w:val="0"/>
          <w:sz w:val="32"/>
          <w:szCs w:val="32"/>
          <w:highlight w:val="none"/>
          <w:shd w:val="clear" w:color="auto" w:fill="FFFFFF"/>
          <w:lang w:val="en-US" w:eastAsia="zh-CN"/>
        </w:rPr>
        <w:t>（2）审限内结案率</w:t>
      </w:r>
    </w:p>
    <w:p w14:paraId="35302558">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outlineLvl w:val="2"/>
        <w:rPr>
          <w:rFonts w:hint="eastAsia" w:ascii="Times New Roman" w:hAnsi="Times New Roman" w:eastAsia="楷体_GB2312" w:cs="Times New Roman"/>
          <w:color w:val="000000"/>
          <w:kern w:val="0"/>
          <w:sz w:val="32"/>
          <w:szCs w:val="32"/>
          <w:highlight w:val="none"/>
          <w:shd w:val="clear" w:color="auto" w:fill="FFFFFF"/>
          <w:lang w:val="en-US" w:eastAsia="zh-CN"/>
        </w:rPr>
      </w:pPr>
      <w:r>
        <w:rPr>
          <w:rFonts w:hint="eastAsia" w:ascii="Times New Roman" w:hAnsi="Times New Roman" w:eastAsia="楷体_GB2312" w:cs="Times New Roman"/>
          <w:color w:val="000000"/>
          <w:kern w:val="0"/>
          <w:sz w:val="32"/>
          <w:szCs w:val="32"/>
          <w:highlight w:val="none"/>
          <w:shd w:val="clear" w:color="auto" w:fill="FFFFFF"/>
          <w:lang w:val="en-US" w:eastAsia="zh-CN"/>
        </w:rPr>
        <w:t>2025年我院审限内结案率为90%，达到预期目标值，该项指标得满分。</w:t>
      </w:r>
    </w:p>
    <w:p w14:paraId="59B43B50">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outlineLvl w:val="2"/>
        <w:rPr>
          <w:rFonts w:hint="default" w:ascii="Times New Roman" w:hAnsi="Times New Roman" w:eastAsia="楷体_GB2312" w:cs="Times New Roman"/>
          <w:color w:val="000000"/>
          <w:kern w:val="0"/>
          <w:sz w:val="32"/>
          <w:szCs w:val="32"/>
          <w:highlight w:val="none"/>
          <w:shd w:val="clear" w:color="auto" w:fill="FFFFFF"/>
          <w:lang w:val="en-US" w:eastAsia="zh-CN"/>
        </w:rPr>
      </w:pPr>
      <w:r>
        <w:rPr>
          <w:rFonts w:hint="eastAsia" w:ascii="Times New Roman" w:hAnsi="Times New Roman" w:eastAsia="楷体_GB2312" w:cs="Times New Roman"/>
          <w:color w:val="000000"/>
          <w:kern w:val="0"/>
          <w:sz w:val="32"/>
          <w:szCs w:val="32"/>
          <w:highlight w:val="none"/>
          <w:shd w:val="clear" w:color="auto" w:fill="FFFFFF"/>
          <w:lang w:val="en-US" w:eastAsia="zh-CN"/>
        </w:rPr>
        <w:t>根据评分标准，该项指标不扣分，得5分。</w:t>
      </w:r>
    </w:p>
    <w:p w14:paraId="1504C0F2">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outlineLvl w:val="2"/>
        <w:rPr>
          <w:rFonts w:hint="eastAsia" w:ascii="Times New Roman" w:hAnsi="Times New Roman" w:eastAsia="楷体_GB2312" w:cs="Times New Roman"/>
          <w:color w:val="000000"/>
          <w:kern w:val="0"/>
          <w:sz w:val="32"/>
          <w:szCs w:val="32"/>
          <w:highlight w:val="none"/>
          <w:shd w:val="clear" w:color="auto" w:fill="FFFFFF"/>
          <w:lang w:val="en-US" w:eastAsia="zh-CN"/>
        </w:rPr>
      </w:pPr>
      <w:r>
        <w:rPr>
          <w:rFonts w:hint="eastAsia" w:ascii="Times New Roman" w:hAnsi="Times New Roman" w:eastAsia="楷体_GB2312" w:cs="Times New Roman"/>
          <w:color w:val="000000"/>
          <w:kern w:val="0"/>
          <w:sz w:val="32"/>
          <w:szCs w:val="32"/>
          <w:highlight w:val="none"/>
          <w:shd w:val="clear" w:color="auto" w:fill="FFFFFF"/>
          <w:lang w:val="en-US" w:eastAsia="zh-CN"/>
        </w:rPr>
        <w:t>（3）首执案件执行到位率</w:t>
      </w:r>
    </w:p>
    <w:p w14:paraId="33B989EB">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outlineLvl w:val="2"/>
        <w:rPr>
          <w:rFonts w:hint="eastAsia" w:ascii="Times New Roman" w:hAnsi="Times New Roman" w:eastAsia="楷体_GB2312" w:cs="Times New Roman"/>
          <w:color w:val="000000"/>
          <w:kern w:val="0"/>
          <w:sz w:val="32"/>
          <w:szCs w:val="32"/>
          <w:highlight w:val="none"/>
          <w:shd w:val="clear" w:color="auto" w:fill="FFFFFF"/>
          <w:lang w:val="en-US" w:eastAsia="zh-CN"/>
        </w:rPr>
      </w:pPr>
      <w:r>
        <w:rPr>
          <w:rFonts w:hint="eastAsia" w:ascii="Times New Roman" w:hAnsi="Times New Roman" w:eastAsia="楷体_GB2312" w:cs="Times New Roman"/>
          <w:color w:val="000000"/>
          <w:kern w:val="0"/>
          <w:sz w:val="32"/>
          <w:szCs w:val="32"/>
          <w:highlight w:val="none"/>
          <w:shd w:val="clear" w:color="auto" w:fill="FFFFFF"/>
          <w:lang w:val="en-US" w:eastAsia="zh-CN"/>
        </w:rPr>
        <w:t>2025年我院首执案件执行到位率达到40%，达到预期目标值，该项指标得满分。</w:t>
      </w:r>
    </w:p>
    <w:p w14:paraId="07BA00E6">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outlineLvl w:val="2"/>
        <w:rPr>
          <w:rFonts w:hint="default" w:ascii="Times New Roman" w:hAnsi="Times New Roman" w:eastAsia="楷体_GB2312" w:cs="Times New Roman"/>
          <w:color w:val="000000"/>
          <w:kern w:val="0"/>
          <w:sz w:val="32"/>
          <w:szCs w:val="32"/>
          <w:highlight w:val="none"/>
          <w:shd w:val="clear" w:color="auto" w:fill="FFFFFF"/>
          <w:lang w:val="en-US" w:eastAsia="zh-CN"/>
        </w:rPr>
      </w:pPr>
      <w:r>
        <w:rPr>
          <w:rFonts w:hint="eastAsia" w:ascii="Times New Roman" w:hAnsi="Times New Roman" w:eastAsia="楷体_GB2312" w:cs="Times New Roman"/>
          <w:color w:val="000000"/>
          <w:kern w:val="0"/>
          <w:sz w:val="32"/>
          <w:szCs w:val="32"/>
          <w:highlight w:val="none"/>
          <w:shd w:val="clear" w:color="auto" w:fill="FFFFFF"/>
          <w:lang w:val="en-US" w:eastAsia="zh-CN"/>
        </w:rPr>
        <w:t>根据评分标准，该项指标不扣分，得5分。</w:t>
      </w:r>
    </w:p>
    <w:p w14:paraId="10CD4A33">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outlineLvl w:val="2"/>
        <w:rPr>
          <w:rFonts w:hint="eastAsia" w:ascii="Times New Roman" w:hAnsi="Times New Roman" w:eastAsia="楷体_GB2312" w:cs="Times New Roman"/>
          <w:color w:val="000000"/>
          <w:kern w:val="0"/>
          <w:sz w:val="32"/>
          <w:szCs w:val="32"/>
          <w:highlight w:val="none"/>
          <w:shd w:val="clear" w:color="auto" w:fill="FFFFFF"/>
          <w:lang w:val="en-US" w:eastAsia="zh-CN"/>
        </w:rPr>
      </w:pPr>
      <w:r>
        <w:rPr>
          <w:rFonts w:hint="eastAsia" w:ascii="Times New Roman" w:hAnsi="Times New Roman" w:eastAsia="楷体_GB2312" w:cs="Times New Roman"/>
          <w:color w:val="000000"/>
          <w:kern w:val="0"/>
          <w:sz w:val="32"/>
          <w:szCs w:val="32"/>
          <w:highlight w:val="none"/>
          <w:shd w:val="clear" w:color="auto" w:fill="FFFFFF"/>
          <w:lang w:val="en-US" w:eastAsia="zh-CN"/>
        </w:rPr>
        <w:t>综上，根据评分标准，我院履职效能指标不扣分，得15分。</w:t>
      </w:r>
    </w:p>
    <w:p w14:paraId="1B9A4854">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outlineLvl w:val="2"/>
        <w:rPr>
          <w:rFonts w:hint="eastAsia" w:ascii="Times New Roman" w:hAnsi="Times New Roman" w:eastAsia="楷体_GB2312" w:cs="Times New Roman"/>
          <w:color w:val="000000"/>
          <w:kern w:val="0"/>
          <w:sz w:val="32"/>
          <w:szCs w:val="32"/>
          <w:highlight w:val="none"/>
          <w:shd w:val="clear" w:color="auto" w:fill="FFFFFF"/>
          <w:lang w:val="zh-CN" w:eastAsia="zh-CN"/>
        </w:rPr>
      </w:pPr>
      <w:r>
        <w:rPr>
          <w:rFonts w:hint="default" w:ascii="Times New Roman" w:hAnsi="Times New Roman" w:eastAsia="楷体_GB2312" w:cs="Times New Roman"/>
          <w:color w:val="000000"/>
          <w:kern w:val="0"/>
          <w:sz w:val="32"/>
          <w:szCs w:val="32"/>
          <w:highlight w:val="none"/>
          <w:shd w:val="clear" w:color="auto" w:fill="FFFFFF"/>
          <w:lang w:val="en-US" w:eastAsia="zh-CN"/>
        </w:rPr>
        <w:t>2</w:t>
      </w:r>
      <w:r>
        <w:rPr>
          <w:rFonts w:hint="eastAsia" w:ascii="Times New Roman" w:hAnsi="Times New Roman" w:eastAsia="楷体_GB2312" w:cs="Times New Roman"/>
          <w:color w:val="000000"/>
          <w:kern w:val="0"/>
          <w:sz w:val="32"/>
          <w:szCs w:val="32"/>
          <w:highlight w:val="none"/>
          <w:shd w:val="clear" w:color="auto" w:fill="FFFFFF"/>
          <w:lang w:val="en-US" w:eastAsia="zh-CN"/>
        </w:rPr>
        <w:t>.</w:t>
      </w:r>
      <w:r>
        <w:rPr>
          <w:rFonts w:hint="default" w:ascii="Times New Roman" w:hAnsi="Times New Roman" w:eastAsia="楷体_GB2312" w:cs="Times New Roman"/>
          <w:color w:val="000000"/>
          <w:kern w:val="0"/>
          <w:sz w:val="32"/>
          <w:szCs w:val="32"/>
          <w:highlight w:val="none"/>
          <w:shd w:val="clear" w:color="auto" w:fill="FFFFFF"/>
          <w:lang w:val="zh-CN" w:eastAsia="zh-CN"/>
        </w:rPr>
        <w:t>预算管理</w:t>
      </w:r>
    </w:p>
    <w:p w14:paraId="27A8B246">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outlineLvl w:val="2"/>
        <w:rPr>
          <w:rFonts w:hint="eastAsia" w:ascii="Times New Roman" w:hAnsi="Times New Roman" w:eastAsia="楷体_GB2312" w:cs="Times New Roman"/>
          <w:color w:val="000000"/>
          <w:kern w:val="0"/>
          <w:sz w:val="32"/>
          <w:szCs w:val="32"/>
          <w:highlight w:val="none"/>
          <w:shd w:val="clear" w:color="auto" w:fill="FFFFFF"/>
          <w:lang w:val="zh-CN" w:eastAsia="zh-CN"/>
        </w:rPr>
      </w:pPr>
      <w:r>
        <w:rPr>
          <w:rFonts w:hint="eastAsia" w:ascii="Times New Roman" w:hAnsi="Times New Roman" w:eastAsia="楷体_GB2312" w:cs="Times New Roman"/>
          <w:color w:val="000000"/>
          <w:kern w:val="0"/>
          <w:sz w:val="32"/>
          <w:szCs w:val="32"/>
          <w:highlight w:val="none"/>
          <w:shd w:val="clear" w:color="auto" w:fill="FFFFFF"/>
          <w:lang w:val="zh-CN" w:eastAsia="zh-CN"/>
        </w:rPr>
        <w:t>（</w:t>
      </w:r>
      <w:r>
        <w:rPr>
          <w:rFonts w:hint="default" w:ascii="Times New Roman" w:hAnsi="Times New Roman" w:eastAsia="楷体_GB2312" w:cs="Times New Roman"/>
          <w:color w:val="000000"/>
          <w:kern w:val="0"/>
          <w:sz w:val="32"/>
          <w:szCs w:val="32"/>
          <w:highlight w:val="none"/>
          <w:shd w:val="clear" w:color="auto" w:fill="FFFFFF"/>
          <w:lang w:val="en-US" w:eastAsia="zh-CN"/>
        </w:rPr>
        <w:t>1</w:t>
      </w:r>
      <w:r>
        <w:rPr>
          <w:rFonts w:hint="eastAsia" w:ascii="Times New Roman" w:hAnsi="Times New Roman" w:eastAsia="楷体_GB2312" w:cs="Times New Roman"/>
          <w:color w:val="000000"/>
          <w:kern w:val="0"/>
          <w:sz w:val="32"/>
          <w:szCs w:val="32"/>
          <w:highlight w:val="none"/>
          <w:shd w:val="clear" w:color="auto" w:fill="FFFFFF"/>
          <w:lang w:val="zh-CN" w:eastAsia="zh-CN"/>
        </w:rPr>
        <w:t>）预算编制质量</w:t>
      </w:r>
    </w:p>
    <w:p w14:paraId="1DFDD2B4">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outlineLvl w:val="2"/>
        <w:rPr>
          <w:rFonts w:hint="default" w:ascii="Times New Roman" w:hAnsi="Times New Roman" w:eastAsia="楷体_GB2312" w:cs="Times New Roman"/>
          <w:color w:val="000000"/>
          <w:kern w:val="0"/>
          <w:sz w:val="32"/>
          <w:szCs w:val="32"/>
          <w:highlight w:val="none"/>
          <w:shd w:val="clear" w:color="auto" w:fill="FFFFFF"/>
          <w:lang w:val="en-US" w:eastAsia="zh-CN"/>
        </w:rPr>
      </w:pPr>
      <w:r>
        <w:rPr>
          <w:rFonts w:hint="eastAsia" w:ascii="Times New Roman" w:hAnsi="Times New Roman" w:eastAsia="楷体_GB2312" w:cs="Times New Roman"/>
          <w:color w:val="000000"/>
          <w:kern w:val="0"/>
          <w:sz w:val="32"/>
          <w:szCs w:val="32"/>
          <w:highlight w:val="none"/>
          <w:shd w:val="clear" w:color="auto" w:fill="FFFFFF"/>
          <w:lang w:val="en-US" w:eastAsia="zh-CN"/>
        </w:rPr>
        <w:t>2025年我院严格按照相关要求编制年初部门预算，根据2025年度预算执行情况，部门预算偏离程度如下：</w:t>
      </w:r>
    </w:p>
    <w:p w14:paraId="4104091C">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outlineLvl w:val="2"/>
        <w:rPr>
          <w:rFonts w:hint="eastAsia" w:ascii="Times New Roman" w:hAnsi="Times New Roman" w:eastAsia="楷体_GB2312" w:cs="Times New Roman"/>
          <w:color w:val="000000"/>
          <w:kern w:val="0"/>
          <w:sz w:val="32"/>
          <w:szCs w:val="32"/>
          <w:highlight w:val="none"/>
          <w:shd w:val="clear" w:color="auto" w:fill="FFFFFF"/>
          <w:lang w:val="en-US" w:eastAsia="zh-CN"/>
        </w:rPr>
      </w:pPr>
      <w:r>
        <w:rPr>
          <w:rFonts w:hint="default" w:ascii="Times New Roman" w:hAnsi="Times New Roman" w:eastAsia="楷体_GB2312" w:cs="Times New Roman"/>
          <w:color w:val="000000"/>
          <w:kern w:val="0"/>
          <w:sz w:val="32"/>
          <w:szCs w:val="32"/>
          <w:highlight w:val="none"/>
          <w:shd w:val="clear" w:color="auto" w:fill="FFFFFF"/>
          <w:lang w:val="en-US" w:eastAsia="zh-CN"/>
        </w:rPr>
        <w:t>①</w:t>
      </w:r>
      <w:r>
        <w:rPr>
          <w:rFonts w:hint="eastAsia" w:ascii="Times New Roman" w:hAnsi="Times New Roman" w:eastAsia="楷体_GB2312" w:cs="Times New Roman"/>
          <w:color w:val="000000"/>
          <w:kern w:val="0"/>
          <w:sz w:val="32"/>
          <w:szCs w:val="32"/>
          <w:highlight w:val="none"/>
          <w:shd w:val="clear" w:color="auto" w:fill="FFFFFF"/>
          <w:lang w:val="en-US" w:eastAsia="zh-CN"/>
        </w:rPr>
        <w:t>财政拨款预算偏离度=|预算执行数-年初预算数|÷年初预算数=|2,441.27-1,339.25|÷1,339.25×100%=82.29%。</w:t>
      </w:r>
    </w:p>
    <w:p w14:paraId="65F83ADB">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outlineLvl w:val="2"/>
        <w:rPr>
          <w:rFonts w:hint="default" w:ascii="Times New Roman" w:hAnsi="Times New Roman" w:eastAsia="楷体_GB2312" w:cs="Times New Roman"/>
          <w:color w:val="000000"/>
          <w:kern w:val="0"/>
          <w:sz w:val="32"/>
          <w:szCs w:val="32"/>
          <w:highlight w:val="none"/>
          <w:shd w:val="clear" w:color="auto" w:fill="FFFFFF"/>
          <w:lang w:val="en-US" w:eastAsia="zh-CN"/>
        </w:rPr>
      </w:pPr>
      <w:r>
        <w:rPr>
          <w:rFonts w:hint="default" w:ascii="Times New Roman" w:hAnsi="Times New Roman" w:eastAsia="楷体_GB2312" w:cs="Times New Roman"/>
          <w:color w:val="000000"/>
          <w:kern w:val="0"/>
          <w:sz w:val="32"/>
          <w:szCs w:val="32"/>
          <w:highlight w:val="none"/>
          <w:shd w:val="clear" w:color="auto" w:fill="FFFFFF"/>
          <w:lang w:val="en-US" w:eastAsia="zh-CN"/>
        </w:rPr>
        <w:t>②</w:t>
      </w:r>
      <w:r>
        <w:rPr>
          <w:rFonts w:hint="eastAsia" w:ascii="Times New Roman" w:hAnsi="Times New Roman" w:eastAsia="楷体_GB2312" w:cs="Times New Roman"/>
          <w:color w:val="000000"/>
          <w:kern w:val="0"/>
          <w:sz w:val="32"/>
          <w:szCs w:val="32"/>
          <w:highlight w:val="none"/>
          <w:shd w:val="clear" w:color="auto" w:fill="FFFFFF"/>
          <w:lang w:val="en-US" w:eastAsia="zh-CN"/>
        </w:rPr>
        <w:t>资产配置预算偏离度=|预算执行数-年初预算数|÷年初预算数=|225.69-0.00|÷0.00×100%=100%。</w:t>
      </w:r>
    </w:p>
    <w:p w14:paraId="0CBE40EC">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outlineLvl w:val="2"/>
        <w:rPr>
          <w:rFonts w:hint="default" w:ascii="Times New Roman" w:hAnsi="Times New Roman" w:eastAsia="楷体_GB2312" w:cs="Times New Roman"/>
          <w:color w:val="000000"/>
          <w:kern w:val="0"/>
          <w:sz w:val="32"/>
          <w:szCs w:val="32"/>
          <w:highlight w:val="none"/>
          <w:shd w:val="clear" w:color="auto" w:fill="FFFFFF"/>
          <w:lang w:val="en-US" w:eastAsia="zh-CN"/>
        </w:rPr>
      </w:pPr>
      <w:r>
        <w:rPr>
          <w:rFonts w:hint="default" w:ascii="Times New Roman" w:hAnsi="Times New Roman" w:eastAsia="楷体_GB2312" w:cs="Times New Roman"/>
          <w:color w:val="000000"/>
          <w:kern w:val="0"/>
          <w:sz w:val="32"/>
          <w:szCs w:val="32"/>
          <w:highlight w:val="none"/>
          <w:shd w:val="clear" w:color="auto" w:fill="FFFFFF"/>
          <w:lang w:val="en-US" w:eastAsia="zh-CN"/>
        </w:rPr>
        <w:t>③</w:t>
      </w:r>
      <w:r>
        <w:rPr>
          <w:rFonts w:hint="eastAsia" w:ascii="Times New Roman" w:hAnsi="Times New Roman" w:eastAsia="楷体_GB2312" w:cs="Times New Roman"/>
          <w:color w:val="000000"/>
          <w:kern w:val="0"/>
          <w:sz w:val="32"/>
          <w:szCs w:val="32"/>
          <w:highlight w:val="none"/>
          <w:shd w:val="clear" w:color="auto" w:fill="FFFFFF"/>
          <w:lang w:val="en-US" w:eastAsia="zh-CN"/>
        </w:rPr>
        <w:t>政府采购预算偏离度=|预算执行数-年初预算数|÷年初预算数=|281.37-0.00|÷0.00×100%=100%。</w:t>
      </w:r>
    </w:p>
    <w:p w14:paraId="4DF0DBAE">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outlineLvl w:val="2"/>
        <w:rPr>
          <w:rFonts w:hint="eastAsia" w:ascii="Times New Roman" w:hAnsi="Times New Roman" w:eastAsia="楷体_GB2312" w:cs="Times New Roman"/>
          <w:color w:val="000000"/>
          <w:kern w:val="0"/>
          <w:sz w:val="32"/>
          <w:szCs w:val="32"/>
          <w:highlight w:val="none"/>
          <w:shd w:val="clear" w:color="auto" w:fill="FFFFFF"/>
          <w:lang w:val="en-US" w:eastAsia="zh-CN"/>
        </w:rPr>
      </w:pPr>
      <w:r>
        <w:rPr>
          <w:rFonts w:hint="eastAsia" w:ascii="Times New Roman" w:hAnsi="Times New Roman" w:eastAsia="楷体_GB2312" w:cs="Times New Roman"/>
          <w:color w:val="000000"/>
          <w:kern w:val="0"/>
          <w:sz w:val="32"/>
          <w:szCs w:val="32"/>
          <w:highlight w:val="none"/>
          <w:shd w:val="clear" w:color="auto" w:fill="FFFFFF"/>
          <w:lang w:val="en-US" w:eastAsia="zh-CN"/>
        </w:rPr>
        <w:t>综上，该项指标得分=（1-财政拨款预算偏离度）×100%×4+（1-资产配置预算偏离度）×100%×2+（1-政府采购预算偏离度）×100%×2=0.71。</w:t>
      </w:r>
    </w:p>
    <w:p w14:paraId="62002850">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outlineLvl w:val="2"/>
        <w:rPr>
          <w:rFonts w:hint="eastAsia" w:ascii="Times New Roman" w:hAnsi="Times New Roman" w:eastAsia="楷体_GB2312" w:cs="Times New Roman"/>
          <w:color w:val="000000"/>
          <w:kern w:val="0"/>
          <w:sz w:val="32"/>
          <w:szCs w:val="32"/>
          <w:highlight w:val="none"/>
          <w:shd w:val="clear" w:color="auto" w:fill="FFFFFF"/>
          <w:lang w:val="en-US" w:eastAsia="zh-CN"/>
        </w:rPr>
      </w:pPr>
      <w:r>
        <w:rPr>
          <w:rFonts w:hint="default" w:ascii="Times New Roman" w:hAnsi="Times New Roman" w:eastAsia="楷体_GB2312" w:cs="Times New Roman"/>
          <w:color w:val="000000"/>
          <w:kern w:val="0"/>
          <w:sz w:val="32"/>
          <w:szCs w:val="32"/>
          <w:highlight w:val="none"/>
          <w:shd w:val="clear" w:color="auto" w:fill="FFFFFF"/>
          <w:lang w:val="en-US" w:eastAsia="zh-CN"/>
        </w:rPr>
        <w:t>根据评分标准，该项指标扣7.29分，得0.71分。</w:t>
      </w:r>
    </w:p>
    <w:p w14:paraId="716EE25E">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outlineLvl w:val="2"/>
        <w:rPr>
          <w:rFonts w:hint="default" w:ascii="Times New Roman" w:hAnsi="Times New Roman" w:eastAsia="楷体_GB2312" w:cs="Times New Roman"/>
          <w:color w:val="000000"/>
          <w:kern w:val="0"/>
          <w:sz w:val="32"/>
          <w:szCs w:val="32"/>
          <w:highlight w:val="none"/>
          <w:shd w:val="clear" w:color="auto" w:fill="FFFFFF"/>
          <w:lang w:val="en-US" w:eastAsia="zh-CN"/>
        </w:rPr>
      </w:pPr>
      <w:r>
        <w:rPr>
          <w:rFonts w:hint="eastAsia" w:ascii="Times New Roman" w:hAnsi="Times New Roman" w:eastAsia="楷体_GB2312" w:cs="Times New Roman"/>
          <w:color w:val="000000"/>
          <w:kern w:val="0"/>
          <w:sz w:val="32"/>
          <w:szCs w:val="32"/>
          <w:highlight w:val="none"/>
          <w:shd w:val="clear" w:color="auto" w:fill="FFFFFF"/>
          <w:lang w:val="en-US" w:eastAsia="zh-CN"/>
        </w:rPr>
        <w:t>（</w:t>
      </w:r>
      <w:r>
        <w:rPr>
          <w:rFonts w:hint="default" w:ascii="Times New Roman" w:hAnsi="Times New Roman" w:eastAsia="楷体_GB2312" w:cs="Times New Roman"/>
          <w:color w:val="000000"/>
          <w:kern w:val="0"/>
          <w:sz w:val="32"/>
          <w:szCs w:val="32"/>
          <w:highlight w:val="none"/>
          <w:shd w:val="clear" w:color="auto" w:fill="FFFFFF"/>
          <w:lang w:val="en-US" w:eastAsia="zh-CN"/>
        </w:rPr>
        <w:t>2</w:t>
      </w:r>
      <w:r>
        <w:rPr>
          <w:rFonts w:hint="eastAsia" w:ascii="Times New Roman" w:hAnsi="Times New Roman" w:eastAsia="楷体_GB2312" w:cs="Times New Roman"/>
          <w:color w:val="000000"/>
          <w:kern w:val="0"/>
          <w:sz w:val="32"/>
          <w:szCs w:val="32"/>
          <w:highlight w:val="none"/>
          <w:shd w:val="clear" w:color="auto" w:fill="FFFFFF"/>
          <w:lang w:val="en-US" w:eastAsia="zh-CN"/>
        </w:rPr>
        <w:t>）单位收入统筹</w:t>
      </w:r>
    </w:p>
    <w:p w14:paraId="64E353E5">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outlineLvl w:val="2"/>
        <w:rPr>
          <w:rFonts w:hint="eastAsia" w:ascii="Times New Roman" w:hAnsi="Times New Roman" w:eastAsia="楷体_GB2312" w:cs="Times New Roman"/>
          <w:color w:val="000000"/>
          <w:kern w:val="0"/>
          <w:sz w:val="32"/>
          <w:szCs w:val="32"/>
          <w:highlight w:val="none"/>
          <w:shd w:val="clear" w:color="auto" w:fill="FFFFFF"/>
          <w:lang w:val="en-US" w:eastAsia="zh-CN"/>
        </w:rPr>
      </w:pPr>
      <w:r>
        <w:rPr>
          <w:rFonts w:hint="eastAsia" w:ascii="Times New Roman" w:hAnsi="Times New Roman" w:eastAsia="楷体_GB2312" w:cs="Times New Roman"/>
          <w:color w:val="000000"/>
          <w:kern w:val="0"/>
          <w:sz w:val="32"/>
          <w:szCs w:val="32"/>
          <w:highlight w:val="none"/>
          <w:shd w:val="clear" w:color="auto" w:fill="FFFFFF"/>
          <w:lang w:val="en-US" w:eastAsia="zh-CN"/>
        </w:rPr>
        <w:t>我院属于财政全额拨款单位，无自有收入，故不涉及此项考核。</w:t>
      </w:r>
    </w:p>
    <w:p w14:paraId="6AF06724">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outlineLvl w:val="2"/>
        <w:rPr>
          <w:rFonts w:hint="eastAsia" w:ascii="Times New Roman" w:hAnsi="Times New Roman" w:eastAsia="楷体_GB2312" w:cs="Times New Roman"/>
          <w:color w:val="000000"/>
          <w:kern w:val="0"/>
          <w:sz w:val="32"/>
          <w:szCs w:val="32"/>
          <w:highlight w:val="none"/>
          <w:shd w:val="clear" w:color="auto" w:fill="FFFFFF"/>
          <w:lang w:val="en-US" w:eastAsia="zh-CN"/>
        </w:rPr>
      </w:pPr>
      <w:r>
        <w:rPr>
          <w:rFonts w:hint="default" w:ascii="Times New Roman" w:hAnsi="Times New Roman" w:eastAsia="楷体_GB2312" w:cs="Times New Roman"/>
          <w:color w:val="000000"/>
          <w:kern w:val="0"/>
          <w:sz w:val="32"/>
          <w:szCs w:val="32"/>
          <w:highlight w:val="none"/>
          <w:shd w:val="clear" w:color="auto" w:fill="FFFFFF"/>
          <w:lang w:val="en-US" w:eastAsia="zh-CN"/>
        </w:rPr>
        <w:t>根据评分标准，该项指标</w:t>
      </w:r>
      <w:r>
        <w:rPr>
          <w:rFonts w:hint="eastAsia" w:ascii="Times New Roman" w:hAnsi="Times New Roman" w:eastAsia="楷体_GB2312" w:cs="Times New Roman"/>
          <w:color w:val="000000"/>
          <w:kern w:val="0"/>
          <w:sz w:val="32"/>
          <w:szCs w:val="32"/>
          <w:highlight w:val="none"/>
          <w:shd w:val="clear" w:color="auto" w:fill="FFFFFF"/>
          <w:lang w:val="en-US" w:eastAsia="zh-CN"/>
        </w:rPr>
        <w:t>不扣分，得4分。</w:t>
      </w:r>
    </w:p>
    <w:p w14:paraId="6F8F5B81">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outlineLvl w:val="2"/>
        <w:rPr>
          <w:rFonts w:hint="eastAsia" w:ascii="Times New Roman" w:hAnsi="Times New Roman" w:eastAsia="楷体_GB2312" w:cs="Times New Roman"/>
          <w:color w:val="000000"/>
          <w:kern w:val="0"/>
          <w:sz w:val="32"/>
          <w:szCs w:val="32"/>
          <w:highlight w:val="none"/>
          <w:shd w:val="clear" w:color="auto" w:fill="FFFFFF"/>
          <w:lang w:val="en-US" w:eastAsia="zh-CN"/>
        </w:rPr>
      </w:pPr>
      <w:r>
        <w:rPr>
          <w:rFonts w:hint="eastAsia" w:ascii="Times New Roman" w:hAnsi="Times New Roman" w:eastAsia="楷体_GB2312" w:cs="Times New Roman"/>
          <w:color w:val="000000"/>
          <w:kern w:val="0"/>
          <w:sz w:val="32"/>
          <w:szCs w:val="32"/>
          <w:highlight w:val="none"/>
          <w:shd w:val="clear" w:color="auto" w:fill="FFFFFF"/>
          <w:lang w:val="en-US" w:eastAsia="zh-CN"/>
        </w:rPr>
        <w:t>（</w:t>
      </w:r>
      <w:r>
        <w:rPr>
          <w:rFonts w:hint="default" w:ascii="Times New Roman" w:hAnsi="Times New Roman" w:eastAsia="楷体_GB2312" w:cs="Times New Roman"/>
          <w:color w:val="000000"/>
          <w:kern w:val="0"/>
          <w:sz w:val="32"/>
          <w:szCs w:val="32"/>
          <w:highlight w:val="none"/>
          <w:shd w:val="clear" w:color="auto" w:fill="FFFFFF"/>
          <w:lang w:val="en-US" w:eastAsia="zh-CN"/>
        </w:rPr>
        <w:t>3</w:t>
      </w:r>
      <w:r>
        <w:rPr>
          <w:rFonts w:hint="eastAsia" w:ascii="Times New Roman" w:hAnsi="Times New Roman" w:eastAsia="楷体_GB2312" w:cs="Times New Roman"/>
          <w:color w:val="000000"/>
          <w:kern w:val="0"/>
          <w:sz w:val="32"/>
          <w:szCs w:val="32"/>
          <w:highlight w:val="none"/>
          <w:shd w:val="clear" w:color="auto" w:fill="FFFFFF"/>
          <w:lang w:val="en-US" w:eastAsia="zh-CN"/>
        </w:rPr>
        <w:t>）支出执行进度</w:t>
      </w:r>
    </w:p>
    <w:p w14:paraId="67BAF0AA">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outlineLvl w:val="2"/>
        <w:rPr>
          <w:rFonts w:hint="eastAsia" w:ascii="Times New Roman" w:hAnsi="Times New Roman" w:eastAsia="楷体_GB2312" w:cs="Times New Roman"/>
          <w:color w:val="000000"/>
          <w:kern w:val="0"/>
          <w:sz w:val="32"/>
          <w:szCs w:val="32"/>
          <w:highlight w:val="none"/>
          <w:shd w:val="clear" w:color="auto" w:fill="FFFFFF"/>
          <w:lang w:val="en-US" w:eastAsia="zh-CN"/>
        </w:rPr>
      </w:pPr>
      <w:r>
        <w:rPr>
          <w:rFonts w:hint="eastAsia" w:ascii="Times New Roman" w:hAnsi="Times New Roman" w:eastAsia="楷体_GB2312" w:cs="Times New Roman"/>
          <w:color w:val="000000"/>
          <w:kern w:val="0"/>
          <w:sz w:val="32"/>
          <w:szCs w:val="32"/>
          <w:highlight w:val="none"/>
          <w:shd w:val="clear" w:color="auto" w:fill="FFFFFF"/>
          <w:lang w:val="en-US" w:eastAsia="zh-CN"/>
        </w:rPr>
        <w:t>2025年我院全年预算数为2,441.27万元，</w:t>
      </w:r>
      <w:r>
        <w:rPr>
          <w:rFonts w:hint="default" w:ascii="Times New Roman" w:hAnsi="Times New Roman" w:eastAsia="楷体_GB2312" w:cs="Times New Roman"/>
          <w:color w:val="000000"/>
          <w:kern w:val="0"/>
          <w:sz w:val="32"/>
          <w:szCs w:val="32"/>
          <w:highlight w:val="none"/>
          <w:shd w:val="clear" w:color="auto" w:fill="FFFFFF"/>
          <w:lang w:val="en-US" w:eastAsia="zh-CN"/>
        </w:rPr>
        <w:t>1</w:t>
      </w:r>
      <w:r>
        <w:rPr>
          <w:rFonts w:hint="eastAsia" w:ascii="Times New Roman" w:hAnsi="Times New Roman" w:eastAsia="楷体_GB2312" w:cs="Times New Roman"/>
          <w:color w:val="000000"/>
          <w:kern w:val="0"/>
          <w:sz w:val="32"/>
          <w:szCs w:val="32"/>
          <w:highlight w:val="none"/>
          <w:shd w:val="clear" w:color="auto" w:fill="FFFFFF"/>
          <w:lang w:val="en-US" w:eastAsia="zh-CN"/>
        </w:rPr>
        <w:t>至</w:t>
      </w:r>
      <w:r>
        <w:rPr>
          <w:rFonts w:hint="default" w:ascii="Times New Roman" w:hAnsi="Times New Roman" w:eastAsia="楷体_GB2312" w:cs="Times New Roman"/>
          <w:color w:val="000000"/>
          <w:kern w:val="0"/>
          <w:sz w:val="32"/>
          <w:szCs w:val="32"/>
          <w:highlight w:val="none"/>
          <w:shd w:val="clear" w:color="auto" w:fill="FFFFFF"/>
          <w:lang w:val="en-US" w:eastAsia="zh-CN"/>
        </w:rPr>
        <w:t>6</w:t>
      </w:r>
      <w:r>
        <w:rPr>
          <w:rFonts w:hint="eastAsia" w:ascii="Times New Roman" w:hAnsi="Times New Roman" w:eastAsia="楷体_GB2312" w:cs="Times New Roman"/>
          <w:color w:val="000000"/>
          <w:kern w:val="0"/>
          <w:sz w:val="32"/>
          <w:szCs w:val="32"/>
          <w:highlight w:val="none"/>
          <w:shd w:val="clear" w:color="auto" w:fill="FFFFFF"/>
          <w:lang w:val="en-US" w:eastAsia="zh-CN"/>
        </w:rPr>
        <w:t>月预算执行数为2,961.96万元，支出预警金额为0万元，支出预警金额占比为0%，支出违规金额为0万元，支出违规金额占比为0%。</w:t>
      </w:r>
    </w:p>
    <w:p w14:paraId="32853957">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outlineLvl w:val="2"/>
        <w:rPr>
          <w:rFonts w:hint="eastAsia" w:ascii="Times New Roman" w:hAnsi="Times New Roman" w:eastAsia="楷体_GB2312" w:cs="Times New Roman"/>
          <w:color w:val="000000"/>
          <w:kern w:val="0"/>
          <w:sz w:val="32"/>
          <w:szCs w:val="32"/>
          <w:highlight w:val="none"/>
          <w:shd w:val="clear" w:color="auto" w:fill="FFFFFF"/>
          <w:lang w:val="en-US" w:eastAsia="zh-CN"/>
        </w:rPr>
      </w:pPr>
      <w:r>
        <w:rPr>
          <w:rFonts w:hint="default" w:ascii="Times New Roman" w:hAnsi="Times New Roman" w:eastAsia="楷体_GB2312" w:cs="Times New Roman"/>
          <w:color w:val="000000"/>
          <w:kern w:val="0"/>
          <w:sz w:val="32"/>
          <w:szCs w:val="32"/>
          <w:highlight w:val="none"/>
          <w:shd w:val="clear" w:color="auto" w:fill="FFFFFF"/>
          <w:lang w:val="en-US" w:eastAsia="zh-CN"/>
        </w:rPr>
        <w:t>1</w:t>
      </w:r>
      <w:r>
        <w:rPr>
          <w:rFonts w:hint="eastAsia" w:ascii="Times New Roman" w:hAnsi="Times New Roman" w:eastAsia="楷体_GB2312" w:cs="Times New Roman"/>
          <w:color w:val="000000"/>
          <w:kern w:val="0"/>
          <w:sz w:val="32"/>
          <w:szCs w:val="32"/>
          <w:highlight w:val="none"/>
          <w:shd w:val="clear" w:color="auto" w:fill="FFFFFF"/>
          <w:lang w:val="en-US" w:eastAsia="zh-CN"/>
        </w:rPr>
        <w:t>至</w:t>
      </w:r>
      <w:r>
        <w:rPr>
          <w:rFonts w:hint="default" w:ascii="Times New Roman" w:hAnsi="Times New Roman" w:eastAsia="楷体_GB2312" w:cs="Times New Roman"/>
          <w:color w:val="000000"/>
          <w:kern w:val="0"/>
          <w:sz w:val="32"/>
          <w:szCs w:val="32"/>
          <w:highlight w:val="none"/>
          <w:shd w:val="clear" w:color="auto" w:fill="FFFFFF"/>
          <w:lang w:val="en-US" w:eastAsia="zh-CN"/>
        </w:rPr>
        <w:t>10</w:t>
      </w:r>
      <w:r>
        <w:rPr>
          <w:rFonts w:hint="eastAsia" w:ascii="Times New Roman" w:hAnsi="Times New Roman" w:eastAsia="楷体_GB2312" w:cs="Times New Roman"/>
          <w:color w:val="000000"/>
          <w:kern w:val="0"/>
          <w:sz w:val="32"/>
          <w:szCs w:val="32"/>
          <w:highlight w:val="none"/>
          <w:shd w:val="clear" w:color="auto" w:fill="FFFFFF"/>
          <w:lang w:val="en-US" w:eastAsia="zh-CN"/>
        </w:rPr>
        <w:t>月预算执行数为1,741.34万元，支出预警金额为0万元，支出预警金额占比为0%，支出违规金额为0万元，支出违规金额占比为0%。</w:t>
      </w:r>
    </w:p>
    <w:p w14:paraId="6B0580CC">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outlineLvl w:val="2"/>
        <w:rPr>
          <w:rFonts w:hint="eastAsia" w:ascii="Times New Roman" w:hAnsi="Times New Roman" w:eastAsia="楷体_GB2312" w:cs="Times New Roman"/>
          <w:color w:val="000000"/>
          <w:kern w:val="0"/>
          <w:sz w:val="32"/>
          <w:szCs w:val="32"/>
          <w:highlight w:val="none"/>
          <w:shd w:val="clear" w:color="auto" w:fill="FFFFFF"/>
          <w:lang w:val="en-US" w:eastAsia="zh-CN"/>
        </w:rPr>
      </w:pPr>
      <w:r>
        <w:rPr>
          <w:rFonts w:hint="eastAsia" w:ascii="Times New Roman" w:hAnsi="Times New Roman" w:eastAsia="楷体_GB2312" w:cs="Times New Roman"/>
          <w:color w:val="000000"/>
          <w:kern w:val="0"/>
          <w:sz w:val="32"/>
          <w:szCs w:val="32"/>
          <w:highlight w:val="none"/>
          <w:shd w:val="clear" w:color="auto" w:fill="FFFFFF"/>
          <w:lang w:val="en-US" w:eastAsia="zh-CN"/>
        </w:rPr>
        <w:t>该项得分为该项指标得分=（1至6月预算执行数÷（部门预算数×50%）×4）+（1-1至6月支出预警金额占比×0.8-1至6月支出违规金额占比×0.2）+（1至10月预算执行数÷（部门预算数×83.33%）×2）+（1-1至10月支出预警金额占比×0.8-1至10月支出违规金额占比×0.2）=(2,961.96÷2,441.27×50%×4)+(1-0×0.8-0×0.2)+(1,741.34÷2,441.27×83.33%×2)+(1-0×0.8-0×0.2)=6。</w:t>
      </w:r>
    </w:p>
    <w:p w14:paraId="053F98D8">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outlineLvl w:val="2"/>
        <w:rPr>
          <w:rFonts w:hint="default" w:ascii="Times New Roman" w:hAnsi="Times New Roman" w:eastAsia="楷体_GB2312" w:cs="Times New Roman"/>
          <w:color w:val="000000"/>
          <w:kern w:val="0"/>
          <w:sz w:val="32"/>
          <w:szCs w:val="32"/>
          <w:highlight w:val="none"/>
          <w:shd w:val="clear" w:color="auto" w:fill="FFFFFF"/>
          <w:lang w:val="en-US" w:eastAsia="zh-CN"/>
        </w:rPr>
      </w:pPr>
      <w:r>
        <w:rPr>
          <w:rFonts w:hint="default" w:ascii="Times New Roman" w:hAnsi="Times New Roman" w:eastAsia="楷体_GB2312" w:cs="Times New Roman"/>
          <w:color w:val="000000"/>
          <w:kern w:val="0"/>
          <w:sz w:val="32"/>
          <w:szCs w:val="32"/>
          <w:highlight w:val="none"/>
          <w:shd w:val="clear" w:color="auto" w:fill="FFFFFF"/>
          <w:lang w:val="en-US" w:eastAsia="zh-CN"/>
        </w:rPr>
        <w:t>根据评分标准，该项指标</w:t>
      </w:r>
      <w:r>
        <w:rPr>
          <w:rFonts w:hint="eastAsia" w:ascii="Times New Roman" w:hAnsi="Times New Roman" w:eastAsia="楷体_GB2312" w:cs="Times New Roman"/>
          <w:color w:val="000000"/>
          <w:kern w:val="0"/>
          <w:sz w:val="32"/>
          <w:szCs w:val="32"/>
          <w:highlight w:val="none"/>
          <w:shd w:val="clear" w:color="auto" w:fill="FFFFFF"/>
          <w:lang w:val="en-US" w:eastAsia="zh-CN"/>
        </w:rPr>
        <w:t>不扣分，得6分。</w:t>
      </w:r>
    </w:p>
    <w:p w14:paraId="46830352">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outlineLvl w:val="2"/>
        <w:rPr>
          <w:rFonts w:hint="eastAsia" w:ascii="Times New Roman" w:hAnsi="Times New Roman" w:eastAsia="楷体_GB2312" w:cs="Times New Roman"/>
          <w:color w:val="000000"/>
          <w:kern w:val="0"/>
          <w:sz w:val="32"/>
          <w:szCs w:val="32"/>
          <w:highlight w:val="none"/>
          <w:shd w:val="clear" w:color="auto" w:fill="FFFFFF"/>
          <w:lang w:val="en-US" w:eastAsia="zh-CN"/>
        </w:rPr>
      </w:pPr>
      <w:r>
        <w:rPr>
          <w:rFonts w:hint="eastAsia" w:ascii="Times New Roman" w:hAnsi="Times New Roman" w:eastAsia="楷体_GB2312" w:cs="Times New Roman"/>
          <w:color w:val="000000"/>
          <w:kern w:val="0"/>
          <w:sz w:val="32"/>
          <w:szCs w:val="32"/>
          <w:highlight w:val="none"/>
          <w:shd w:val="clear" w:color="auto" w:fill="FFFFFF"/>
          <w:lang w:val="en-US" w:eastAsia="zh-CN"/>
        </w:rPr>
        <w:t>（</w:t>
      </w:r>
      <w:r>
        <w:rPr>
          <w:rFonts w:hint="default" w:ascii="Times New Roman" w:hAnsi="Times New Roman" w:eastAsia="楷体_GB2312" w:cs="Times New Roman"/>
          <w:color w:val="000000"/>
          <w:kern w:val="0"/>
          <w:sz w:val="32"/>
          <w:szCs w:val="32"/>
          <w:highlight w:val="none"/>
          <w:shd w:val="clear" w:color="auto" w:fill="FFFFFF"/>
          <w:lang w:val="en-US" w:eastAsia="zh-CN"/>
        </w:rPr>
        <w:t>4</w:t>
      </w:r>
      <w:r>
        <w:rPr>
          <w:rFonts w:hint="eastAsia" w:ascii="Times New Roman" w:hAnsi="Times New Roman" w:eastAsia="楷体_GB2312" w:cs="Times New Roman"/>
          <w:color w:val="000000"/>
          <w:kern w:val="0"/>
          <w:sz w:val="32"/>
          <w:szCs w:val="32"/>
          <w:highlight w:val="none"/>
          <w:shd w:val="clear" w:color="auto" w:fill="FFFFFF"/>
          <w:lang w:val="en-US" w:eastAsia="zh-CN"/>
        </w:rPr>
        <w:t>）预算年终结余</w:t>
      </w:r>
    </w:p>
    <w:p w14:paraId="093CE153">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outlineLvl w:val="2"/>
        <w:rPr>
          <w:rFonts w:hint="eastAsia" w:ascii="Times New Roman" w:hAnsi="Times New Roman" w:eastAsia="楷体_GB2312" w:cs="Times New Roman"/>
          <w:color w:val="000000"/>
          <w:kern w:val="0"/>
          <w:sz w:val="32"/>
          <w:szCs w:val="32"/>
          <w:highlight w:val="none"/>
          <w:shd w:val="clear" w:color="auto" w:fill="FFFFFF"/>
          <w:lang w:val="en-US" w:eastAsia="zh-CN"/>
        </w:rPr>
      </w:pPr>
      <w:r>
        <w:rPr>
          <w:rFonts w:hint="eastAsia" w:ascii="Times New Roman" w:hAnsi="Times New Roman" w:eastAsia="楷体_GB2312" w:cs="Times New Roman"/>
          <w:color w:val="000000"/>
          <w:kern w:val="0"/>
          <w:sz w:val="32"/>
          <w:szCs w:val="32"/>
          <w:highlight w:val="none"/>
          <w:shd w:val="clear" w:color="auto" w:fill="FFFFFF"/>
          <w:lang w:val="en-US" w:eastAsia="zh-CN"/>
        </w:rPr>
        <w:t>2025年我院全年预算数为2,441.27万元，预算执行数为2,441.27万元，注销金额为0万元。结转结余金额为33.55万元</w:t>
      </w:r>
    </w:p>
    <w:p w14:paraId="2DADEC49">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outlineLvl w:val="2"/>
        <w:rPr>
          <w:rFonts w:hint="default" w:ascii="Times New Roman" w:hAnsi="Times New Roman" w:eastAsia="楷体_GB2312" w:cs="Times New Roman"/>
          <w:color w:val="000000"/>
          <w:kern w:val="0"/>
          <w:sz w:val="32"/>
          <w:szCs w:val="32"/>
          <w:highlight w:val="none"/>
          <w:shd w:val="clear" w:color="auto" w:fill="FFFFFF"/>
          <w:lang w:val="en-US" w:eastAsia="zh-CN"/>
        </w:rPr>
      </w:pPr>
      <w:r>
        <w:rPr>
          <w:rFonts w:hint="default" w:ascii="Times New Roman" w:hAnsi="Times New Roman" w:eastAsia="楷体_GB2312" w:cs="Times New Roman"/>
          <w:color w:val="000000"/>
          <w:kern w:val="0"/>
          <w:sz w:val="32"/>
          <w:szCs w:val="32"/>
          <w:highlight w:val="none"/>
          <w:shd w:val="clear" w:color="auto" w:fill="FFFFFF"/>
          <w:lang w:val="en-US" w:eastAsia="zh-CN"/>
        </w:rPr>
        <w:t>该项指标得分=（1-部门整体预算结余率）×100%×2</w:t>
      </w:r>
      <w:r>
        <w:rPr>
          <w:rFonts w:hint="eastAsia" w:ascii="Times New Roman" w:hAnsi="Times New Roman" w:eastAsia="楷体_GB2312" w:cs="Times New Roman"/>
          <w:color w:val="000000"/>
          <w:kern w:val="0"/>
          <w:sz w:val="32"/>
          <w:szCs w:val="32"/>
          <w:highlight w:val="none"/>
          <w:shd w:val="clear" w:color="auto" w:fill="FFFFFF"/>
          <w:lang w:val="en-US" w:eastAsia="zh-CN"/>
        </w:rPr>
        <w:t>=</w:t>
      </w:r>
      <w:r>
        <w:rPr>
          <w:rFonts w:hint="default" w:ascii="Times New Roman" w:hAnsi="Times New Roman" w:eastAsia="楷体_GB2312" w:cs="Times New Roman"/>
          <w:color w:val="000000"/>
          <w:kern w:val="0"/>
          <w:sz w:val="32"/>
          <w:szCs w:val="32"/>
          <w:highlight w:val="none"/>
          <w:shd w:val="clear" w:color="auto" w:fill="FFFFFF"/>
          <w:lang w:val="en-US" w:eastAsia="zh-CN"/>
        </w:rPr>
        <w:t>(1-0.01</w:t>
      </w:r>
      <w:r>
        <w:rPr>
          <w:rFonts w:hint="eastAsia" w:ascii="Times New Roman" w:hAnsi="Times New Roman" w:eastAsia="楷体_GB2312" w:cs="Times New Roman"/>
          <w:color w:val="000000"/>
          <w:kern w:val="0"/>
          <w:sz w:val="32"/>
          <w:szCs w:val="32"/>
          <w:highlight w:val="none"/>
          <w:shd w:val="clear" w:color="auto" w:fill="FFFFFF"/>
          <w:lang w:val="en-US" w:eastAsia="zh-CN"/>
        </w:rPr>
        <w:t>)*100%*2</w:t>
      </w:r>
      <w:r>
        <w:rPr>
          <w:rFonts w:hint="default" w:ascii="Times New Roman" w:hAnsi="Times New Roman" w:eastAsia="楷体_GB2312" w:cs="Times New Roman"/>
          <w:color w:val="000000"/>
          <w:kern w:val="0"/>
          <w:sz w:val="32"/>
          <w:szCs w:val="32"/>
          <w:highlight w:val="none"/>
          <w:shd w:val="clear" w:color="auto" w:fill="FFFFFF"/>
          <w:lang w:val="en-US" w:eastAsia="zh-CN"/>
        </w:rPr>
        <w:t>=</w:t>
      </w:r>
      <w:r>
        <w:rPr>
          <w:rFonts w:hint="eastAsia" w:ascii="Times New Roman" w:hAnsi="Times New Roman" w:eastAsia="楷体_GB2312" w:cs="Times New Roman"/>
          <w:color w:val="000000"/>
          <w:kern w:val="0"/>
          <w:sz w:val="32"/>
          <w:szCs w:val="32"/>
          <w:highlight w:val="none"/>
          <w:shd w:val="clear" w:color="auto" w:fill="FFFFFF"/>
          <w:lang w:val="en-US" w:eastAsia="zh-CN"/>
        </w:rPr>
        <w:t>1.97</w:t>
      </w:r>
    </w:p>
    <w:p w14:paraId="57699628">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outlineLvl w:val="2"/>
        <w:rPr>
          <w:rFonts w:hint="eastAsia" w:ascii="Times New Roman" w:hAnsi="Times New Roman" w:eastAsia="楷体_GB2312" w:cs="Times New Roman"/>
          <w:color w:val="000000"/>
          <w:kern w:val="0"/>
          <w:sz w:val="32"/>
          <w:szCs w:val="32"/>
          <w:highlight w:val="none"/>
          <w:shd w:val="clear" w:color="auto" w:fill="FFFFFF"/>
          <w:lang w:val="en-US" w:eastAsia="zh-CN"/>
        </w:rPr>
      </w:pPr>
      <w:r>
        <w:rPr>
          <w:rFonts w:hint="default" w:ascii="Times New Roman" w:hAnsi="Times New Roman" w:eastAsia="楷体_GB2312" w:cs="Times New Roman"/>
          <w:color w:val="000000"/>
          <w:kern w:val="0"/>
          <w:sz w:val="32"/>
          <w:szCs w:val="32"/>
          <w:highlight w:val="none"/>
          <w:shd w:val="clear" w:color="auto" w:fill="FFFFFF"/>
          <w:lang w:val="en-US" w:eastAsia="zh-CN"/>
        </w:rPr>
        <w:t>根据评分标准，该项指标</w:t>
      </w:r>
      <w:r>
        <w:rPr>
          <w:rFonts w:hint="eastAsia" w:ascii="Times New Roman" w:hAnsi="Times New Roman" w:eastAsia="楷体_GB2312" w:cs="Times New Roman"/>
          <w:color w:val="000000"/>
          <w:kern w:val="0"/>
          <w:sz w:val="32"/>
          <w:szCs w:val="32"/>
          <w:highlight w:val="none"/>
          <w:shd w:val="clear" w:color="auto" w:fill="FFFFFF"/>
          <w:lang w:val="en-US" w:eastAsia="zh-CN"/>
        </w:rPr>
        <w:t>扣0.03分，得1.97分。</w:t>
      </w:r>
    </w:p>
    <w:p w14:paraId="3637A9B8">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outlineLvl w:val="2"/>
        <w:rPr>
          <w:rFonts w:hint="eastAsia" w:ascii="Times New Roman" w:hAnsi="Times New Roman" w:eastAsia="楷体_GB2312" w:cs="Times New Roman"/>
          <w:color w:val="000000"/>
          <w:kern w:val="0"/>
          <w:sz w:val="32"/>
          <w:szCs w:val="32"/>
          <w:highlight w:val="none"/>
          <w:shd w:val="clear" w:color="auto" w:fill="FFFFFF"/>
          <w:lang w:val="en-US" w:eastAsia="zh-CN"/>
        </w:rPr>
      </w:pPr>
      <w:r>
        <w:rPr>
          <w:rFonts w:hint="eastAsia" w:ascii="Times New Roman" w:hAnsi="Times New Roman" w:eastAsia="楷体_GB2312" w:cs="Times New Roman"/>
          <w:color w:val="000000"/>
          <w:kern w:val="0"/>
          <w:sz w:val="32"/>
          <w:szCs w:val="32"/>
          <w:highlight w:val="none"/>
          <w:shd w:val="clear" w:color="auto" w:fill="FFFFFF"/>
          <w:lang w:val="en-US" w:eastAsia="zh-CN"/>
        </w:rPr>
        <w:t>（</w:t>
      </w:r>
      <w:r>
        <w:rPr>
          <w:rFonts w:hint="default" w:ascii="Times New Roman" w:hAnsi="Times New Roman" w:eastAsia="楷体_GB2312" w:cs="Times New Roman"/>
          <w:color w:val="000000"/>
          <w:kern w:val="0"/>
          <w:sz w:val="32"/>
          <w:szCs w:val="32"/>
          <w:highlight w:val="none"/>
          <w:shd w:val="clear" w:color="auto" w:fill="FFFFFF"/>
          <w:lang w:val="en-US" w:eastAsia="zh-CN"/>
        </w:rPr>
        <w:t>5</w:t>
      </w:r>
      <w:r>
        <w:rPr>
          <w:rFonts w:hint="eastAsia" w:ascii="Times New Roman" w:hAnsi="Times New Roman" w:eastAsia="楷体_GB2312" w:cs="Times New Roman"/>
          <w:color w:val="000000"/>
          <w:kern w:val="0"/>
          <w:sz w:val="32"/>
          <w:szCs w:val="32"/>
          <w:highlight w:val="none"/>
          <w:shd w:val="clear" w:color="auto" w:fill="FFFFFF"/>
          <w:lang w:val="en-US" w:eastAsia="zh-CN"/>
        </w:rPr>
        <w:t>）严控一般性支出</w:t>
      </w:r>
    </w:p>
    <w:p w14:paraId="11C613B1">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outlineLvl w:val="2"/>
        <w:rPr>
          <w:rFonts w:hint="eastAsia" w:ascii="Times New Roman" w:hAnsi="Times New Roman" w:eastAsia="楷体_GB2312" w:cs="Times New Roman"/>
          <w:color w:val="000000"/>
          <w:kern w:val="0"/>
          <w:sz w:val="32"/>
          <w:szCs w:val="32"/>
          <w:highlight w:val="none"/>
          <w:shd w:val="clear" w:color="auto" w:fill="FFFFFF"/>
          <w:lang w:val="en-US" w:eastAsia="zh-CN"/>
        </w:rPr>
      </w:pPr>
      <w:r>
        <w:rPr>
          <w:rFonts w:hint="eastAsia" w:ascii="Times New Roman" w:hAnsi="Times New Roman" w:eastAsia="楷体_GB2312" w:cs="Times New Roman"/>
          <w:color w:val="000000"/>
          <w:kern w:val="0"/>
          <w:sz w:val="32"/>
          <w:szCs w:val="32"/>
          <w:highlight w:val="none"/>
          <w:shd w:val="clear" w:color="auto" w:fill="FFFFFF"/>
          <w:lang w:val="en-US" w:eastAsia="zh-CN"/>
        </w:rPr>
        <w:t>我院2025年度“三公”经费、会议、培训、差旅、办节办展、办公设备购置、信息网络及软件购置更新、课题经费等</w:t>
      </w:r>
      <w:r>
        <w:rPr>
          <w:rFonts w:hint="default" w:ascii="Times New Roman" w:hAnsi="Times New Roman" w:eastAsia="楷体_GB2312" w:cs="Times New Roman"/>
          <w:color w:val="000000"/>
          <w:kern w:val="0"/>
          <w:sz w:val="32"/>
          <w:szCs w:val="32"/>
          <w:highlight w:val="none"/>
          <w:shd w:val="clear" w:color="auto" w:fill="FFFFFF"/>
          <w:lang w:val="en-US" w:eastAsia="zh-CN"/>
        </w:rPr>
        <w:t>8</w:t>
      </w:r>
      <w:r>
        <w:rPr>
          <w:rFonts w:hint="eastAsia" w:ascii="Times New Roman" w:hAnsi="Times New Roman" w:eastAsia="楷体_GB2312" w:cs="Times New Roman"/>
          <w:color w:val="000000"/>
          <w:kern w:val="0"/>
          <w:sz w:val="32"/>
          <w:szCs w:val="32"/>
          <w:highlight w:val="none"/>
          <w:shd w:val="clear" w:color="auto" w:fill="FFFFFF"/>
          <w:lang w:val="en-US" w:eastAsia="zh-CN"/>
        </w:rPr>
        <w:t>项一般性支出情况详见下表</w:t>
      </w:r>
      <w:r>
        <w:rPr>
          <w:rFonts w:hint="default" w:ascii="Times New Roman" w:hAnsi="Times New Roman" w:eastAsia="楷体_GB2312" w:cs="Times New Roman"/>
          <w:color w:val="000000"/>
          <w:kern w:val="0"/>
          <w:sz w:val="32"/>
          <w:szCs w:val="32"/>
          <w:highlight w:val="none"/>
          <w:shd w:val="clear" w:color="auto" w:fill="FFFFFF"/>
          <w:lang w:val="en-US" w:eastAsia="zh-CN"/>
        </w:rPr>
        <w:t>3</w:t>
      </w:r>
      <w:r>
        <w:rPr>
          <w:rFonts w:hint="eastAsia" w:ascii="Times New Roman" w:hAnsi="Times New Roman" w:eastAsia="楷体_GB2312" w:cs="Times New Roman"/>
          <w:color w:val="000000"/>
          <w:kern w:val="0"/>
          <w:sz w:val="32"/>
          <w:szCs w:val="32"/>
          <w:highlight w:val="none"/>
          <w:shd w:val="clear" w:color="auto" w:fill="FFFFFF"/>
          <w:lang w:val="en-US" w:eastAsia="zh-CN"/>
        </w:rPr>
        <w:t>-</w:t>
      </w:r>
      <w:r>
        <w:rPr>
          <w:rFonts w:hint="default" w:ascii="Times New Roman" w:hAnsi="Times New Roman" w:eastAsia="楷体_GB2312" w:cs="Times New Roman"/>
          <w:color w:val="000000"/>
          <w:kern w:val="0"/>
          <w:sz w:val="32"/>
          <w:szCs w:val="32"/>
          <w:highlight w:val="none"/>
          <w:shd w:val="clear" w:color="auto" w:fill="FFFFFF"/>
          <w:lang w:val="en-US" w:eastAsia="zh-CN"/>
        </w:rPr>
        <w:t>1</w:t>
      </w:r>
      <w:r>
        <w:rPr>
          <w:rFonts w:hint="eastAsia" w:ascii="Times New Roman" w:hAnsi="Times New Roman" w:eastAsia="楷体_GB2312" w:cs="Times New Roman"/>
          <w:color w:val="000000"/>
          <w:kern w:val="0"/>
          <w:sz w:val="32"/>
          <w:szCs w:val="32"/>
          <w:highlight w:val="none"/>
          <w:shd w:val="clear" w:color="auto" w:fill="FFFFFF"/>
          <w:lang w:val="en-US" w:eastAsia="zh-CN"/>
        </w:rPr>
        <w:t>。</w:t>
      </w:r>
    </w:p>
    <w:p w14:paraId="4306C08C">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eastAsia" w:ascii="Times New Roman" w:hAnsi="Times New Roman" w:eastAsia="仿宋_GB2312" w:cs="Times New Roman"/>
          <w:b/>
          <w:bCs/>
          <w:sz w:val="32"/>
          <w:highlight w:val="none"/>
          <w:lang w:val="en-US" w:eastAsia="zh-CN"/>
        </w:rPr>
      </w:pPr>
      <w:r>
        <w:rPr>
          <w:rFonts w:hint="eastAsia" w:ascii="Times New Roman" w:hAnsi="Times New Roman" w:eastAsia="仿宋_GB2312" w:cs="Times New Roman"/>
          <w:b/>
          <w:bCs/>
          <w:sz w:val="32"/>
          <w:highlight w:val="none"/>
          <w:lang w:val="en-US" w:eastAsia="zh-CN"/>
        </w:rPr>
        <w:t>表</w:t>
      </w:r>
      <w:r>
        <w:rPr>
          <w:rFonts w:hint="default" w:ascii="Times New Roman" w:hAnsi="Times New Roman" w:eastAsia="仿宋_GB2312" w:cs="Times New Roman"/>
          <w:b/>
          <w:bCs/>
          <w:sz w:val="32"/>
          <w:highlight w:val="none"/>
          <w:lang w:val="en-US" w:eastAsia="zh-CN"/>
        </w:rPr>
        <w:t>3</w:t>
      </w:r>
      <w:r>
        <w:rPr>
          <w:rFonts w:hint="eastAsia" w:ascii="Times New Roman" w:hAnsi="Times New Roman" w:eastAsia="仿宋_GB2312" w:cs="Times New Roman"/>
          <w:b/>
          <w:bCs/>
          <w:sz w:val="32"/>
          <w:highlight w:val="none"/>
          <w:lang w:val="en-US" w:eastAsia="zh-CN"/>
        </w:rPr>
        <w:t>-</w:t>
      </w:r>
      <w:r>
        <w:rPr>
          <w:rFonts w:hint="default" w:ascii="Times New Roman" w:hAnsi="Times New Roman" w:eastAsia="仿宋_GB2312" w:cs="Times New Roman"/>
          <w:b/>
          <w:bCs/>
          <w:sz w:val="32"/>
          <w:highlight w:val="none"/>
          <w:lang w:val="en-US" w:eastAsia="zh-CN"/>
        </w:rPr>
        <w:t>1</w:t>
      </w:r>
      <w:r>
        <w:rPr>
          <w:rFonts w:hint="eastAsia" w:ascii="Times New Roman" w:hAnsi="Times New Roman" w:eastAsia="仿宋_GB2312" w:cs="Times New Roman"/>
          <w:b/>
          <w:bCs/>
          <w:sz w:val="32"/>
          <w:highlight w:val="none"/>
          <w:lang w:val="en-US" w:eastAsia="zh-CN"/>
        </w:rPr>
        <w:t>2025年度一般性支出情况表</w:t>
      </w:r>
    </w:p>
    <w:p w14:paraId="68A4E482">
      <w:pPr>
        <w:pageBreakBefore w:val="0"/>
        <w:widowControl w:val="0"/>
        <w:kinsoku/>
        <w:wordWrap/>
        <w:overflowPunct/>
        <w:topLinePunct w:val="0"/>
        <w:autoSpaceDE/>
        <w:autoSpaceDN/>
        <w:bidi w:val="0"/>
        <w:adjustRightInd/>
        <w:snapToGrid/>
        <w:spacing w:line="600" w:lineRule="exact"/>
        <w:jc w:val="right"/>
        <w:textAlignment w:val="auto"/>
        <w:rPr>
          <w:rFonts w:hint="default"/>
          <w:highlight w:val="none"/>
          <w:lang w:val="en-US" w:eastAsia="zh-CN"/>
        </w:rPr>
      </w:pPr>
      <w:r>
        <w:rPr>
          <w:rFonts w:hint="eastAsia"/>
          <w:highlight w:val="none"/>
          <w:lang w:val="en-US" w:eastAsia="zh-CN"/>
        </w:rPr>
        <w:t>单位：万元</w:t>
      </w:r>
    </w:p>
    <w:tbl>
      <w:tblPr>
        <w:tblStyle w:val="21"/>
        <w:tblW w:w="4906"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58"/>
        <w:gridCol w:w="1500"/>
        <w:gridCol w:w="1811"/>
        <w:gridCol w:w="1703"/>
        <w:gridCol w:w="1497"/>
        <w:gridCol w:w="1510"/>
      </w:tblGrid>
      <w:tr w14:paraId="1B6D24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10" w:hRule="atLeast"/>
          <w:jc w:val="center"/>
        </w:trPr>
        <w:tc>
          <w:tcPr>
            <w:tcW w:w="379" w:type="pct"/>
            <w:tcBorders>
              <w:top w:val="single" w:color="000000" w:sz="4" w:space="0"/>
              <w:left w:val="single" w:color="000000" w:sz="4" w:space="0"/>
              <w:bottom w:val="single" w:color="000000" w:sz="4" w:space="0"/>
              <w:right w:val="single" w:color="000000" w:sz="4" w:space="0"/>
            </w:tcBorders>
            <w:shd w:val="clear" w:color="auto" w:fill="D7D7D7"/>
            <w:vAlign w:val="center"/>
          </w:tcPr>
          <w:p w14:paraId="0A548F12">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rPr>
            </w:pPr>
            <w:r>
              <w:rPr>
                <w:rFonts w:hint="default" w:ascii="Times New Roman" w:hAnsi="Times New Roman" w:eastAsia="仿宋_GB2312" w:cs="Times New Roman"/>
                <w:i w:val="0"/>
                <w:iCs w:val="0"/>
                <w:color w:val="000000"/>
                <w:kern w:val="0"/>
                <w:sz w:val="24"/>
                <w:szCs w:val="24"/>
                <w:highlight w:val="none"/>
                <w:u w:val="none"/>
                <w:lang w:val="en-US" w:eastAsia="zh-CN" w:bidi="ar"/>
              </w:rPr>
              <w:t>序号</w:t>
            </w:r>
          </w:p>
        </w:tc>
        <w:tc>
          <w:tcPr>
            <w:tcW w:w="864" w:type="pct"/>
            <w:tcBorders>
              <w:top w:val="single" w:color="000000" w:sz="4" w:space="0"/>
              <w:left w:val="single" w:color="000000" w:sz="4" w:space="0"/>
              <w:bottom w:val="single" w:color="000000" w:sz="4" w:space="0"/>
              <w:right w:val="single" w:color="000000" w:sz="4" w:space="0"/>
            </w:tcBorders>
            <w:shd w:val="clear" w:color="auto" w:fill="D7D7D7"/>
            <w:vAlign w:val="center"/>
          </w:tcPr>
          <w:p w14:paraId="127A3AF9">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rPr>
            </w:pPr>
            <w:r>
              <w:rPr>
                <w:rFonts w:hint="default" w:ascii="Times New Roman" w:hAnsi="Times New Roman" w:eastAsia="仿宋_GB2312" w:cs="Times New Roman"/>
                <w:i w:val="0"/>
                <w:iCs w:val="0"/>
                <w:color w:val="000000"/>
                <w:kern w:val="0"/>
                <w:sz w:val="24"/>
                <w:szCs w:val="24"/>
                <w:highlight w:val="none"/>
                <w:u w:val="none"/>
                <w:lang w:val="en-US" w:eastAsia="zh-CN" w:bidi="ar"/>
              </w:rPr>
              <w:t>项目名称</w:t>
            </w:r>
          </w:p>
        </w:tc>
        <w:tc>
          <w:tcPr>
            <w:tcW w:w="1043" w:type="pct"/>
            <w:tcBorders>
              <w:top w:val="single" w:color="000000" w:sz="4" w:space="0"/>
              <w:left w:val="single" w:color="000000" w:sz="4" w:space="0"/>
              <w:bottom w:val="single" w:color="000000" w:sz="4" w:space="0"/>
              <w:right w:val="single" w:color="000000" w:sz="4" w:space="0"/>
            </w:tcBorders>
            <w:shd w:val="clear" w:color="auto" w:fill="D7D7D7"/>
            <w:vAlign w:val="center"/>
          </w:tcPr>
          <w:p w14:paraId="0FB8CCC4">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rPr>
            </w:pPr>
            <w:r>
              <w:rPr>
                <w:rFonts w:hint="eastAsia" w:cs="Times New Roman"/>
                <w:i w:val="0"/>
                <w:iCs w:val="0"/>
                <w:color w:val="000000"/>
                <w:kern w:val="0"/>
                <w:sz w:val="24"/>
                <w:szCs w:val="24"/>
                <w:highlight w:val="none"/>
                <w:u w:val="none"/>
                <w:lang w:val="en-US" w:eastAsia="zh-CN" w:bidi="ar"/>
              </w:rPr>
              <w:t>2024</w:t>
            </w:r>
            <w:r>
              <w:rPr>
                <w:rFonts w:hint="default" w:ascii="Times New Roman" w:hAnsi="Times New Roman" w:eastAsia="仿宋_GB2312" w:cs="Times New Roman"/>
                <w:i w:val="0"/>
                <w:iCs w:val="0"/>
                <w:color w:val="000000"/>
                <w:kern w:val="0"/>
                <w:sz w:val="24"/>
                <w:szCs w:val="24"/>
                <w:highlight w:val="none"/>
                <w:u w:val="none"/>
                <w:lang w:val="en-US" w:eastAsia="zh-CN" w:bidi="ar"/>
              </w:rPr>
              <w:t>年年初预算数</w:t>
            </w:r>
          </w:p>
        </w:tc>
        <w:tc>
          <w:tcPr>
            <w:tcW w:w="981" w:type="pct"/>
            <w:tcBorders>
              <w:top w:val="single" w:color="000000" w:sz="4" w:space="0"/>
              <w:left w:val="single" w:color="000000" w:sz="4" w:space="0"/>
              <w:bottom w:val="single" w:color="000000" w:sz="4" w:space="0"/>
              <w:right w:val="single" w:color="000000" w:sz="4" w:space="0"/>
            </w:tcBorders>
            <w:shd w:val="clear" w:color="auto" w:fill="D7D7D7"/>
            <w:vAlign w:val="center"/>
          </w:tcPr>
          <w:p w14:paraId="4DB37849">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rPr>
            </w:pPr>
            <w:r>
              <w:rPr>
                <w:rFonts w:hint="eastAsia" w:cs="Times New Roman"/>
                <w:i w:val="0"/>
                <w:iCs w:val="0"/>
                <w:color w:val="000000"/>
                <w:kern w:val="0"/>
                <w:sz w:val="24"/>
                <w:szCs w:val="24"/>
                <w:highlight w:val="none"/>
                <w:u w:val="none"/>
                <w:lang w:val="en-US" w:eastAsia="zh-CN" w:bidi="ar"/>
              </w:rPr>
              <w:t>2025年</w:t>
            </w:r>
            <w:r>
              <w:rPr>
                <w:rFonts w:hint="default" w:ascii="Times New Roman" w:hAnsi="Times New Roman" w:eastAsia="仿宋_GB2312" w:cs="Times New Roman"/>
                <w:i w:val="0"/>
                <w:iCs w:val="0"/>
                <w:color w:val="000000"/>
                <w:kern w:val="0"/>
                <w:sz w:val="24"/>
                <w:szCs w:val="24"/>
                <w:highlight w:val="none"/>
                <w:u w:val="none"/>
                <w:lang w:val="en-US" w:eastAsia="zh-CN" w:bidi="ar"/>
              </w:rPr>
              <w:t>年初预算数</w:t>
            </w:r>
          </w:p>
        </w:tc>
        <w:tc>
          <w:tcPr>
            <w:tcW w:w="862" w:type="pct"/>
            <w:tcBorders>
              <w:top w:val="single" w:color="000000" w:sz="4" w:space="0"/>
              <w:left w:val="single" w:color="000000" w:sz="4" w:space="0"/>
              <w:bottom w:val="single" w:color="000000" w:sz="4" w:space="0"/>
              <w:right w:val="single" w:color="000000" w:sz="4" w:space="0"/>
            </w:tcBorders>
            <w:shd w:val="clear" w:color="auto" w:fill="D7D7D7"/>
            <w:vAlign w:val="center"/>
          </w:tcPr>
          <w:p w14:paraId="521E54AF">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rPr>
            </w:pPr>
            <w:r>
              <w:rPr>
                <w:rFonts w:hint="eastAsia" w:cs="Times New Roman"/>
                <w:i w:val="0"/>
                <w:iCs w:val="0"/>
                <w:color w:val="000000"/>
                <w:kern w:val="0"/>
                <w:sz w:val="24"/>
                <w:szCs w:val="24"/>
                <w:highlight w:val="none"/>
                <w:u w:val="none"/>
                <w:lang w:val="en-US" w:eastAsia="zh-CN" w:bidi="ar"/>
              </w:rPr>
              <w:t>2024</w:t>
            </w:r>
            <w:r>
              <w:rPr>
                <w:rFonts w:hint="default" w:ascii="Times New Roman" w:hAnsi="Times New Roman" w:eastAsia="仿宋_GB2312" w:cs="Times New Roman"/>
                <w:i w:val="0"/>
                <w:iCs w:val="0"/>
                <w:color w:val="000000"/>
                <w:kern w:val="0"/>
                <w:sz w:val="24"/>
                <w:szCs w:val="24"/>
                <w:highlight w:val="none"/>
                <w:u w:val="none"/>
                <w:lang w:val="en-US" w:eastAsia="zh-CN" w:bidi="ar"/>
              </w:rPr>
              <w:t>年预算执行数</w:t>
            </w:r>
          </w:p>
        </w:tc>
        <w:tc>
          <w:tcPr>
            <w:tcW w:w="869" w:type="pct"/>
            <w:tcBorders>
              <w:top w:val="single" w:color="000000" w:sz="4" w:space="0"/>
              <w:left w:val="single" w:color="000000" w:sz="4" w:space="0"/>
              <w:bottom w:val="single" w:color="000000" w:sz="4" w:space="0"/>
              <w:right w:val="single" w:color="000000" w:sz="4" w:space="0"/>
            </w:tcBorders>
            <w:shd w:val="clear" w:color="auto" w:fill="D7D7D7"/>
            <w:vAlign w:val="center"/>
          </w:tcPr>
          <w:p w14:paraId="656FA2A8">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rPr>
            </w:pPr>
            <w:r>
              <w:rPr>
                <w:rFonts w:hint="eastAsia" w:cs="Times New Roman"/>
                <w:i w:val="0"/>
                <w:iCs w:val="0"/>
                <w:color w:val="000000"/>
                <w:kern w:val="0"/>
                <w:sz w:val="24"/>
                <w:szCs w:val="24"/>
                <w:highlight w:val="none"/>
                <w:u w:val="none"/>
                <w:lang w:val="en-US" w:eastAsia="zh-CN" w:bidi="ar"/>
              </w:rPr>
              <w:t>2025年</w:t>
            </w:r>
            <w:r>
              <w:rPr>
                <w:rFonts w:hint="default" w:ascii="Times New Roman" w:hAnsi="Times New Roman" w:eastAsia="仿宋_GB2312" w:cs="Times New Roman"/>
                <w:i w:val="0"/>
                <w:iCs w:val="0"/>
                <w:color w:val="000000"/>
                <w:kern w:val="0"/>
                <w:sz w:val="24"/>
                <w:szCs w:val="24"/>
                <w:highlight w:val="none"/>
                <w:u w:val="none"/>
                <w:lang w:val="en-US" w:eastAsia="zh-CN" w:bidi="ar"/>
              </w:rPr>
              <w:t>预算执行数</w:t>
            </w:r>
          </w:p>
        </w:tc>
      </w:tr>
      <w:tr w14:paraId="6F42A5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ED0CFC">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rPr>
            </w:pPr>
            <w:r>
              <w:rPr>
                <w:rFonts w:hint="default" w:ascii="Times New Roman" w:hAnsi="Times New Roman" w:eastAsia="仿宋_GB2312" w:cs="Times New Roman"/>
                <w:i w:val="0"/>
                <w:iCs w:val="0"/>
                <w:color w:val="000000"/>
                <w:kern w:val="0"/>
                <w:sz w:val="24"/>
                <w:szCs w:val="24"/>
                <w:highlight w:val="none"/>
                <w:u w:val="none"/>
                <w:lang w:val="en-US" w:eastAsia="zh-CN" w:bidi="ar"/>
              </w:rPr>
              <w:t>1</w:t>
            </w:r>
          </w:p>
        </w:tc>
        <w:tc>
          <w:tcPr>
            <w:tcW w:w="8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307381">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rPr>
            </w:pPr>
            <w:r>
              <w:rPr>
                <w:rFonts w:hint="eastAsia" w:cs="Times New Roman"/>
                <w:i w:val="0"/>
                <w:iCs w:val="0"/>
                <w:color w:val="000000"/>
                <w:kern w:val="0"/>
                <w:sz w:val="24"/>
                <w:szCs w:val="24"/>
                <w:highlight w:val="none"/>
                <w:u w:val="none"/>
                <w:lang w:val="en-US" w:eastAsia="zh-CN" w:bidi="ar"/>
              </w:rPr>
              <w:t>“</w:t>
            </w:r>
            <w:r>
              <w:rPr>
                <w:rFonts w:hint="default" w:ascii="Times New Roman" w:hAnsi="Times New Roman" w:eastAsia="仿宋_GB2312" w:cs="Times New Roman"/>
                <w:i w:val="0"/>
                <w:iCs w:val="0"/>
                <w:color w:val="000000"/>
                <w:kern w:val="0"/>
                <w:sz w:val="24"/>
                <w:szCs w:val="24"/>
                <w:highlight w:val="none"/>
                <w:u w:val="none"/>
                <w:lang w:val="en-US" w:eastAsia="zh-CN" w:bidi="ar"/>
              </w:rPr>
              <w:t>三公</w:t>
            </w:r>
            <w:r>
              <w:rPr>
                <w:rFonts w:hint="eastAsia" w:cs="Times New Roman"/>
                <w:i w:val="0"/>
                <w:iCs w:val="0"/>
                <w:color w:val="000000"/>
                <w:kern w:val="0"/>
                <w:sz w:val="24"/>
                <w:szCs w:val="24"/>
                <w:highlight w:val="none"/>
                <w:u w:val="none"/>
                <w:lang w:val="en-US" w:eastAsia="zh-CN" w:bidi="ar"/>
              </w:rPr>
              <w:t>”</w:t>
            </w:r>
            <w:r>
              <w:rPr>
                <w:rFonts w:hint="default" w:ascii="Times New Roman" w:hAnsi="Times New Roman" w:eastAsia="仿宋_GB2312" w:cs="Times New Roman"/>
                <w:i w:val="0"/>
                <w:iCs w:val="0"/>
                <w:color w:val="000000"/>
                <w:kern w:val="0"/>
                <w:sz w:val="24"/>
                <w:szCs w:val="24"/>
                <w:highlight w:val="none"/>
                <w:u w:val="none"/>
                <w:lang w:val="en-US" w:eastAsia="zh-CN" w:bidi="ar"/>
              </w:rPr>
              <w:t>经费</w:t>
            </w:r>
          </w:p>
        </w:tc>
        <w:tc>
          <w:tcPr>
            <w:tcW w:w="10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BE91AF">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eastAsia" w:cs="Times New Roman"/>
                <w:i w:val="0"/>
                <w:iCs w:val="0"/>
                <w:color w:val="000000"/>
                <w:kern w:val="0"/>
                <w:sz w:val="24"/>
                <w:szCs w:val="24"/>
                <w:highlight w:val="none"/>
                <w:u w:val="none"/>
                <w:lang w:val="en-US" w:eastAsia="zh-CN" w:bidi="ar"/>
              </w:rPr>
            </w:pPr>
            <w:r>
              <w:rPr>
                <w:rFonts w:hint="eastAsia" w:cs="Times New Roman"/>
                <w:i w:val="0"/>
                <w:iCs w:val="0"/>
                <w:color w:val="000000"/>
                <w:kern w:val="0"/>
                <w:sz w:val="24"/>
                <w:szCs w:val="24"/>
                <w:highlight w:val="none"/>
                <w:u w:val="none"/>
                <w:lang w:val="en-US" w:eastAsia="zh-CN" w:bidi="ar"/>
              </w:rPr>
              <w:t>22.50</w:t>
            </w:r>
          </w:p>
        </w:tc>
        <w:tc>
          <w:tcPr>
            <w:tcW w:w="9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20A9A4">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eastAsia" w:cs="Times New Roman"/>
                <w:i w:val="0"/>
                <w:iCs w:val="0"/>
                <w:color w:val="000000"/>
                <w:kern w:val="0"/>
                <w:sz w:val="24"/>
                <w:szCs w:val="24"/>
                <w:highlight w:val="none"/>
                <w:u w:val="none"/>
                <w:lang w:val="en-US" w:eastAsia="zh-CN" w:bidi="ar"/>
              </w:rPr>
            </w:pPr>
            <w:r>
              <w:rPr>
                <w:rFonts w:hint="eastAsia" w:cs="Times New Roman"/>
                <w:i w:val="0"/>
                <w:iCs w:val="0"/>
                <w:color w:val="000000"/>
                <w:kern w:val="0"/>
                <w:sz w:val="24"/>
                <w:szCs w:val="24"/>
                <w:highlight w:val="none"/>
                <w:u w:val="none"/>
                <w:lang w:val="en-US" w:eastAsia="zh-CN" w:bidi="ar"/>
              </w:rPr>
              <w:t>22.50</w:t>
            </w:r>
          </w:p>
        </w:tc>
        <w:tc>
          <w:tcPr>
            <w:tcW w:w="8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164EF7">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lang w:val="en-US" w:eastAsia="zh-CN"/>
              </w:rPr>
            </w:pPr>
            <w:r>
              <w:rPr>
                <w:rFonts w:hint="eastAsia" w:cs="Times New Roman"/>
                <w:i w:val="0"/>
                <w:iCs w:val="0"/>
                <w:color w:val="000000"/>
                <w:kern w:val="0"/>
                <w:sz w:val="24"/>
                <w:szCs w:val="24"/>
                <w:highlight w:val="none"/>
                <w:u w:val="none"/>
                <w:lang w:val="en-US" w:eastAsia="zh-CN" w:bidi="ar"/>
              </w:rPr>
              <w:t>88.77</w:t>
            </w:r>
          </w:p>
        </w:tc>
        <w:tc>
          <w:tcPr>
            <w:tcW w:w="8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856888">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lang w:val="en-US" w:eastAsia="zh-CN"/>
              </w:rPr>
            </w:pPr>
            <w:r>
              <w:rPr>
                <w:rFonts w:hint="eastAsia" w:cs="Times New Roman"/>
                <w:i w:val="0"/>
                <w:iCs w:val="0"/>
                <w:color w:val="000000"/>
                <w:kern w:val="0"/>
                <w:sz w:val="24"/>
                <w:szCs w:val="24"/>
                <w:highlight w:val="none"/>
                <w:u w:val="none"/>
                <w:lang w:val="en-US" w:eastAsia="zh-CN" w:bidi="ar"/>
              </w:rPr>
              <w:t>5.20</w:t>
            </w:r>
          </w:p>
        </w:tc>
      </w:tr>
      <w:tr w14:paraId="302558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E45B02">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rPr>
            </w:pPr>
            <w:r>
              <w:rPr>
                <w:rFonts w:hint="default" w:ascii="Times New Roman" w:hAnsi="Times New Roman" w:eastAsia="仿宋_GB2312" w:cs="Times New Roman"/>
                <w:i w:val="0"/>
                <w:iCs w:val="0"/>
                <w:color w:val="000000"/>
                <w:kern w:val="0"/>
                <w:sz w:val="24"/>
                <w:szCs w:val="24"/>
                <w:highlight w:val="none"/>
                <w:u w:val="none"/>
                <w:lang w:val="en-US" w:eastAsia="zh-CN" w:bidi="ar"/>
              </w:rPr>
              <w:t>2</w:t>
            </w:r>
          </w:p>
        </w:tc>
        <w:tc>
          <w:tcPr>
            <w:tcW w:w="8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77E047">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rPr>
            </w:pPr>
            <w:r>
              <w:rPr>
                <w:rFonts w:hint="default" w:ascii="Times New Roman" w:hAnsi="Times New Roman" w:eastAsia="仿宋_GB2312" w:cs="Times New Roman"/>
                <w:i w:val="0"/>
                <w:iCs w:val="0"/>
                <w:color w:val="000000"/>
                <w:kern w:val="0"/>
                <w:sz w:val="24"/>
                <w:szCs w:val="24"/>
                <w:highlight w:val="none"/>
                <w:u w:val="none"/>
                <w:lang w:val="en-US" w:eastAsia="zh-CN" w:bidi="ar"/>
              </w:rPr>
              <w:t>会议费</w:t>
            </w:r>
          </w:p>
        </w:tc>
        <w:tc>
          <w:tcPr>
            <w:tcW w:w="10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7BC8FB">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eastAsia" w:ascii="Times New Roman" w:hAnsi="Times New Roman" w:eastAsia="仿宋_GB2312" w:cs="Times New Roman"/>
                <w:i w:val="0"/>
                <w:iCs w:val="0"/>
                <w:color w:val="000000"/>
                <w:sz w:val="24"/>
                <w:szCs w:val="24"/>
                <w:highlight w:val="none"/>
                <w:u w:val="none"/>
                <w:lang w:val="en-US" w:eastAsia="zh-CN"/>
              </w:rPr>
            </w:pPr>
            <w:r>
              <w:rPr>
                <w:rFonts w:hint="eastAsia" w:cs="Times New Roman"/>
                <w:i w:val="0"/>
                <w:iCs w:val="0"/>
                <w:color w:val="000000"/>
                <w:kern w:val="0"/>
                <w:sz w:val="24"/>
                <w:szCs w:val="24"/>
                <w:highlight w:val="none"/>
                <w:u w:val="none"/>
                <w:lang w:val="en-US" w:eastAsia="zh-CN" w:bidi="ar"/>
              </w:rPr>
              <w:t>0</w:t>
            </w:r>
          </w:p>
        </w:tc>
        <w:tc>
          <w:tcPr>
            <w:tcW w:w="9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DEE525">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lang w:val="en-US" w:eastAsia="zh-CN"/>
              </w:rPr>
            </w:pPr>
            <w:r>
              <w:rPr>
                <w:rFonts w:hint="eastAsia" w:cs="Times New Roman"/>
                <w:i w:val="0"/>
                <w:iCs w:val="0"/>
                <w:color w:val="000000"/>
                <w:kern w:val="0"/>
                <w:sz w:val="24"/>
                <w:szCs w:val="24"/>
                <w:highlight w:val="none"/>
                <w:u w:val="none"/>
                <w:lang w:val="en-US" w:eastAsia="zh-CN" w:bidi="ar"/>
              </w:rPr>
              <w:t>0</w:t>
            </w:r>
          </w:p>
        </w:tc>
        <w:tc>
          <w:tcPr>
            <w:tcW w:w="8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9E0551">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eastAsia" w:ascii="Times New Roman" w:hAnsi="Times New Roman" w:eastAsia="仿宋_GB2312" w:cs="Times New Roman"/>
                <w:i w:val="0"/>
                <w:iCs w:val="0"/>
                <w:color w:val="000000"/>
                <w:sz w:val="24"/>
                <w:szCs w:val="24"/>
                <w:highlight w:val="none"/>
                <w:u w:val="none"/>
                <w:lang w:val="en-US" w:eastAsia="zh-CN"/>
              </w:rPr>
            </w:pPr>
            <w:r>
              <w:rPr>
                <w:rFonts w:hint="eastAsia" w:cs="Times New Roman"/>
                <w:i w:val="0"/>
                <w:iCs w:val="0"/>
                <w:color w:val="000000"/>
                <w:kern w:val="0"/>
                <w:sz w:val="24"/>
                <w:szCs w:val="24"/>
                <w:highlight w:val="none"/>
                <w:u w:val="none"/>
                <w:lang w:val="en-US" w:eastAsia="zh-CN" w:bidi="ar"/>
              </w:rPr>
              <w:t>0</w:t>
            </w:r>
          </w:p>
        </w:tc>
        <w:tc>
          <w:tcPr>
            <w:tcW w:w="8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E70629">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eastAsia" w:ascii="Times New Roman" w:hAnsi="Times New Roman" w:eastAsia="仿宋_GB2312" w:cs="Times New Roman"/>
                <w:i w:val="0"/>
                <w:iCs w:val="0"/>
                <w:color w:val="000000"/>
                <w:sz w:val="24"/>
                <w:szCs w:val="24"/>
                <w:highlight w:val="none"/>
                <w:u w:val="none"/>
                <w:lang w:val="en-US" w:eastAsia="zh-CN"/>
              </w:rPr>
            </w:pPr>
            <w:r>
              <w:rPr>
                <w:rFonts w:hint="eastAsia" w:cs="Times New Roman"/>
                <w:i w:val="0"/>
                <w:iCs w:val="0"/>
                <w:color w:val="000000"/>
                <w:kern w:val="0"/>
                <w:sz w:val="24"/>
                <w:szCs w:val="24"/>
                <w:highlight w:val="none"/>
                <w:u w:val="none"/>
                <w:lang w:val="en-US" w:eastAsia="zh-CN" w:bidi="ar"/>
              </w:rPr>
              <w:t>0</w:t>
            </w:r>
          </w:p>
        </w:tc>
      </w:tr>
      <w:tr w14:paraId="5ED83E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3CE0E2">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rPr>
            </w:pPr>
            <w:r>
              <w:rPr>
                <w:rFonts w:hint="default" w:ascii="Times New Roman" w:hAnsi="Times New Roman" w:eastAsia="仿宋_GB2312" w:cs="Times New Roman"/>
                <w:i w:val="0"/>
                <w:iCs w:val="0"/>
                <w:color w:val="000000"/>
                <w:kern w:val="0"/>
                <w:sz w:val="24"/>
                <w:szCs w:val="24"/>
                <w:highlight w:val="none"/>
                <w:u w:val="none"/>
                <w:lang w:val="en-US" w:eastAsia="zh-CN" w:bidi="ar"/>
              </w:rPr>
              <w:t>3</w:t>
            </w:r>
          </w:p>
        </w:tc>
        <w:tc>
          <w:tcPr>
            <w:tcW w:w="8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062C7E">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rPr>
            </w:pPr>
            <w:r>
              <w:rPr>
                <w:rFonts w:hint="default" w:ascii="Times New Roman" w:hAnsi="Times New Roman" w:eastAsia="仿宋_GB2312" w:cs="Times New Roman"/>
                <w:i w:val="0"/>
                <w:iCs w:val="0"/>
                <w:color w:val="000000"/>
                <w:kern w:val="0"/>
                <w:sz w:val="24"/>
                <w:szCs w:val="24"/>
                <w:highlight w:val="none"/>
                <w:u w:val="none"/>
                <w:lang w:val="en-US" w:eastAsia="zh-CN" w:bidi="ar"/>
              </w:rPr>
              <w:t>培训费</w:t>
            </w:r>
          </w:p>
        </w:tc>
        <w:tc>
          <w:tcPr>
            <w:tcW w:w="10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1A062F">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lang w:val="en-US" w:eastAsia="zh-CN"/>
              </w:rPr>
            </w:pPr>
            <w:r>
              <w:rPr>
                <w:rFonts w:hint="eastAsia" w:cs="Times New Roman"/>
                <w:i w:val="0"/>
                <w:iCs w:val="0"/>
                <w:color w:val="000000"/>
                <w:kern w:val="0"/>
                <w:sz w:val="24"/>
                <w:szCs w:val="24"/>
                <w:highlight w:val="none"/>
                <w:u w:val="none"/>
                <w:lang w:val="en-US" w:eastAsia="zh-CN" w:bidi="ar"/>
              </w:rPr>
              <w:t>8.76</w:t>
            </w:r>
          </w:p>
        </w:tc>
        <w:tc>
          <w:tcPr>
            <w:tcW w:w="9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B123D7">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lang w:val="en-US" w:eastAsia="zh-CN"/>
              </w:rPr>
            </w:pPr>
            <w:r>
              <w:rPr>
                <w:rFonts w:hint="eastAsia" w:cs="Times New Roman"/>
                <w:i w:val="0"/>
                <w:iCs w:val="0"/>
                <w:color w:val="000000"/>
                <w:kern w:val="0"/>
                <w:sz w:val="24"/>
                <w:szCs w:val="24"/>
                <w:highlight w:val="none"/>
                <w:u w:val="none"/>
                <w:lang w:val="en-US" w:eastAsia="zh-CN" w:bidi="ar"/>
              </w:rPr>
              <w:t>9.38</w:t>
            </w:r>
          </w:p>
        </w:tc>
        <w:tc>
          <w:tcPr>
            <w:tcW w:w="8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41A695">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lang w:val="en-US" w:eastAsia="zh-CN"/>
              </w:rPr>
            </w:pPr>
            <w:r>
              <w:rPr>
                <w:rFonts w:hint="eastAsia" w:cs="Times New Roman"/>
                <w:i w:val="0"/>
                <w:iCs w:val="0"/>
                <w:color w:val="000000"/>
                <w:kern w:val="0"/>
                <w:sz w:val="24"/>
                <w:szCs w:val="24"/>
                <w:highlight w:val="none"/>
                <w:u w:val="none"/>
                <w:lang w:val="en-US" w:eastAsia="zh-CN" w:bidi="ar"/>
              </w:rPr>
              <w:t>0.88</w:t>
            </w:r>
          </w:p>
        </w:tc>
        <w:tc>
          <w:tcPr>
            <w:tcW w:w="8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F779B2">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lang w:val="en-US" w:eastAsia="zh-CN"/>
              </w:rPr>
            </w:pPr>
            <w:r>
              <w:rPr>
                <w:rFonts w:hint="eastAsia" w:cs="Times New Roman"/>
                <w:i w:val="0"/>
                <w:iCs w:val="0"/>
                <w:color w:val="000000"/>
                <w:kern w:val="0"/>
                <w:sz w:val="24"/>
                <w:szCs w:val="24"/>
                <w:highlight w:val="none"/>
                <w:u w:val="none"/>
                <w:lang w:val="en-US" w:eastAsia="zh-CN" w:bidi="ar"/>
              </w:rPr>
              <w:t>0</w:t>
            </w:r>
          </w:p>
        </w:tc>
      </w:tr>
      <w:tr w14:paraId="064D6C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7176D8">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rPr>
            </w:pPr>
            <w:r>
              <w:rPr>
                <w:rFonts w:hint="default" w:ascii="Times New Roman" w:hAnsi="Times New Roman" w:eastAsia="仿宋_GB2312" w:cs="Times New Roman"/>
                <w:i w:val="0"/>
                <w:iCs w:val="0"/>
                <w:color w:val="000000"/>
                <w:kern w:val="0"/>
                <w:sz w:val="24"/>
                <w:szCs w:val="24"/>
                <w:highlight w:val="none"/>
                <w:u w:val="none"/>
                <w:lang w:val="en-US" w:eastAsia="zh-CN" w:bidi="ar"/>
              </w:rPr>
              <w:t>4</w:t>
            </w:r>
          </w:p>
        </w:tc>
        <w:tc>
          <w:tcPr>
            <w:tcW w:w="8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61EB21">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rPr>
            </w:pPr>
            <w:r>
              <w:rPr>
                <w:rFonts w:hint="default" w:ascii="Times New Roman" w:hAnsi="Times New Roman" w:eastAsia="仿宋_GB2312" w:cs="Times New Roman"/>
                <w:i w:val="0"/>
                <w:iCs w:val="0"/>
                <w:color w:val="000000"/>
                <w:kern w:val="0"/>
                <w:sz w:val="24"/>
                <w:szCs w:val="24"/>
                <w:highlight w:val="none"/>
                <w:u w:val="none"/>
                <w:lang w:val="en-US" w:eastAsia="zh-CN" w:bidi="ar"/>
              </w:rPr>
              <w:t>差旅费</w:t>
            </w:r>
          </w:p>
        </w:tc>
        <w:tc>
          <w:tcPr>
            <w:tcW w:w="10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3FEF2F">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lang w:val="en-US" w:eastAsia="zh-CN"/>
              </w:rPr>
            </w:pPr>
            <w:r>
              <w:rPr>
                <w:rFonts w:hint="eastAsia" w:cs="Times New Roman"/>
                <w:i w:val="0"/>
                <w:iCs w:val="0"/>
                <w:color w:val="000000"/>
                <w:kern w:val="0"/>
                <w:sz w:val="24"/>
                <w:szCs w:val="24"/>
                <w:highlight w:val="none"/>
                <w:u w:val="none"/>
                <w:lang w:val="en-US" w:eastAsia="zh-CN" w:bidi="ar"/>
              </w:rPr>
              <w:t>22.33</w:t>
            </w:r>
          </w:p>
        </w:tc>
        <w:tc>
          <w:tcPr>
            <w:tcW w:w="9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D00B64">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lang w:val="en-US" w:eastAsia="zh-CN"/>
              </w:rPr>
            </w:pPr>
            <w:r>
              <w:rPr>
                <w:rFonts w:hint="eastAsia" w:cs="Times New Roman"/>
                <w:i w:val="0"/>
                <w:iCs w:val="0"/>
                <w:color w:val="000000"/>
                <w:kern w:val="0"/>
                <w:sz w:val="24"/>
                <w:szCs w:val="24"/>
                <w:highlight w:val="none"/>
                <w:u w:val="none"/>
                <w:lang w:val="en-US" w:eastAsia="zh-CN" w:bidi="ar"/>
              </w:rPr>
              <w:t>24.24</w:t>
            </w:r>
          </w:p>
        </w:tc>
        <w:tc>
          <w:tcPr>
            <w:tcW w:w="8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389717">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lang w:val="en-US" w:eastAsia="zh-CN"/>
              </w:rPr>
            </w:pPr>
            <w:r>
              <w:rPr>
                <w:rFonts w:hint="eastAsia" w:cs="Times New Roman"/>
                <w:i w:val="0"/>
                <w:iCs w:val="0"/>
                <w:color w:val="000000"/>
                <w:kern w:val="0"/>
                <w:sz w:val="24"/>
                <w:szCs w:val="24"/>
                <w:highlight w:val="none"/>
                <w:u w:val="none"/>
                <w:lang w:val="en-US" w:eastAsia="zh-CN" w:bidi="ar"/>
              </w:rPr>
              <w:t>23.14</w:t>
            </w:r>
          </w:p>
        </w:tc>
        <w:tc>
          <w:tcPr>
            <w:tcW w:w="8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AB09B2">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lang w:val="en-US" w:eastAsia="zh-CN"/>
              </w:rPr>
            </w:pPr>
            <w:r>
              <w:rPr>
                <w:rFonts w:hint="eastAsia" w:cs="Times New Roman"/>
                <w:i w:val="0"/>
                <w:iCs w:val="0"/>
                <w:color w:val="000000"/>
                <w:kern w:val="0"/>
                <w:sz w:val="24"/>
                <w:szCs w:val="24"/>
                <w:highlight w:val="none"/>
                <w:u w:val="none"/>
                <w:lang w:val="en-US" w:eastAsia="zh-CN" w:bidi="ar"/>
              </w:rPr>
              <w:t>20.35</w:t>
            </w:r>
          </w:p>
        </w:tc>
      </w:tr>
      <w:tr w14:paraId="46CBE7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jc w:val="center"/>
        </w:trPr>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25171B">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rPr>
            </w:pPr>
            <w:r>
              <w:rPr>
                <w:rFonts w:hint="default" w:ascii="Times New Roman" w:hAnsi="Times New Roman" w:eastAsia="仿宋_GB2312" w:cs="Times New Roman"/>
                <w:i w:val="0"/>
                <w:iCs w:val="0"/>
                <w:color w:val="000000"/>
                <w:kern w:val="0"/>
                <w:sz w:val="24"/>
                <w:szCs w:val="24"/>
                <w:highlight w:val="none"/>
                <w:u w:val="none"/>
                <w:lang w:val="en-US" w:eastAsia="zh-CN" w:bidi="ar"/>
              </w:rPr>
              <w:t>5</w:t>
            </w:r>
          </w:p>
        </w:tc>
        <w:tc>
          <w:tcPr>
            <w:tcW w:w="8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AC5C29">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rPr>
            </w:pPr>
            <w:r>
              <w:rPr>
                <w:rFonts w:hint="default" w:ascii="Times New Roman" w:hAnsi="Times New Roman" w:eastAsia="仿宋_GB2312" w:cs="Times New Roman"/>
                <w:i w:val="0"/>
                <w:iCs w:val="0"/>
                <w:color w:val="000000"/>
                <w:kern w:val="0"/>
                <w:sz w:val="24"/>
                <w:szCs w:val="24"/>
                <w:highlight w:val="none"/>
                <w:u w:val="none"/>
                <w:lang w:val="en-US" w:eastAsia="zh-CN" w:bidi="ar"/>
              </w:rPr>
              <w:t>办节办展</w:t>
            </w:r>
          </w:p>
        </w:tc>
        <w:tc>
          <w:tcPr>
            <w:tcW w:w="10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63EDE5">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eastAsia" w:ascii="Times New Roman" w:hAnsi="Times New Roman" w:eastAsia="仿宋_GB2312" w:cs="Times New Roman"/>
                <w:i w:val="0"/>
                <w:iCs w:val="0"/>
                <w:color w:val="000000"/>
                <w:sz w:val="24"/>
                <w:szCs w:val="24"/>
                <w:highlight w:val="none"/>
                <w:u w:val="none"/>
                <w:lang w:val="en-US" w:eastAsia="zh-CN"/>
              </w:rPr>
            </w:pPr>
            <w:r>
              <w:rPr>
                <w:rFonts w:hint="eastAsia" w:cs="Times New Roman"/>
                <w:i w:val="0"/>
                <w:iCs w:val="0"/>
                <w:color w:val="000000"/>
                <w:kern w:val="0"/>
                <w:sz w:val="24"/>
                <w:szCs w:val="24"/>
                <w:highlight w:val="none"/>
                <w:u w:val="none"/>
                <w:lang w:val="en-US" w:eastAsia="zh-CN" w:bidi="ar"/>
              </w:rPr>
              <w:t>0</w:t>
            </w:r>
          </w:p>
        </w:tc>
        <w:tc>
          <w:tcPr>
            <w:tcW w:w="9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269425">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eastAsia" w:ascii="Times New Roman" w:hAnsi="Times New Roman" w:eastAsia="仿宋_GB2312" w:cs="Times New Roman"/>
                <w:i w:val="0"/>
                <w:iCs w:val="0"/>
                <w:color w:val="000000"/>
                <w:sz w:val="24"/>
                <w:szCs w:val="24"/>
                <w:highlight w:val="none"/>
                <w:u w:val="none"/>
                <w:lang w:val="en-US" w:eastAsia="zh-CN"/>
              </w:rPr>
            </w:pPr>
            <w:r>
              <w:rPr>
                <w:rFonts w:hint="eastAsia" w:cs="Times New Roman"/>
                <w:i w:val="0"/>
                <w:iCs w:val="0"/>
                <w:color w:val="000000"/>
                <w:kern w:val="0"/>
                <w:sz w:val="24"/>
                <w:szCs w:val="24"/>
                <w:highlight w:val="none"/>
                <w:u w:val="none"/>
                <w:lang w:val="en-US" w:eastAsia="zh-CN" w:bidi="ar"/>
              </w:rPr>
              <w:t>0</w:t>
            </w:r>
          </w:p>
        </w:tc>
        <w:tc>
          <w:tcPr>
            <w:tcW w:w="8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D45E84">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eastAsia" w:ascii="Times New Roman" w:hAnsi="Times New Roman" w:eastAsia="仿宋_GB2312" w:cs="Times New Roman"/>
                <w:i w:val="0"/>
                <w:iCs w:val="0"/>
                <w:color w:val="000000"/>
                <w:sz w:val="24"/>
                <w:szCs w:val="24"/>
                <w:highlight w:val="none"/>
                <w:u w:val="none"/>
                <w:lang w:val="en-US" w:eastAsia="zh-CN"/>
              </w:rPr>
            </w:pPr>
            <w:r>
              <w:rPr>
                <w:rFonts w:hint="eastAsia" w:cs="Times New Roman"/>
                <w:i w:val="0"/>
                <w:iCs w:val="0"/>
                <w:color w:val="000000"/>
                <w:kern w:val="0"/>
                <w:sz w:val="24"/>
                <w:szCs w:val="24"/>
                <w:highlight w:val="none"/>
                <w:u w:val="none"/>
                <w:lang w:val="en-US" w:eastAsia="zh-CN" w:bidi="ar"/>
              </w:rPr>
              <w:t>0</w:t>
            </w:r>
          </w:p>
        </w:tc>
        <w:tc>
          <w:tcPr>
            <w:tcW w:w="8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D8E7F8">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eastAsia" w:ascii="Times New Roman" w:hAnsi="Times New Roman" w:eastAsia="仿宋_GB2312" w:cs="Times New Roman"/>
                <w:i w:val="0"/>
                <w:iCs w:val="0"/>
                <w:color w:val="000000"/>
                <w:sz w:val="24"/>
                <w:szCs w:val="24"/>
                <w:highlight w:val="none"/>
                <w:u w:val="none"/>
                <w:lang w:val="en-US" w:eastAsia="zh-CN"/>
              </w:rPr>
            </w:pPr>
            <w:r>
              <w:rPr>
                <w:rFonts w:hint="eastAsia" w:cs="Times New Roman"/>
                <w:i w:val="0"/>
                <w:iCs w:val="0"/>
                <w:color w:val="000000"/>
                <w:kern w:val="0"/>
                <w:sz w:val="24"/>
                <w:szCs w:val="24"/>
                <w:highlight w:val="none"/>
                <w:u w:val="none"/>
                <w:lang w:val="en-US" w:eastAsia="zh-CN" w:bidi="ar"/>
              </w:rPr>
              <w:t>0</w:t>
            </w:r>
          </w:p>
        </w:tc>
      </w:tr>
      <w:tr w14:paraId="062A3A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jc w:val="center"/>
        </w:trPr>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F4282A">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rPr>
            </w:pPr>
            <w:r>
              <w:rPr>
                <w:rFonts w:hint="default" w:ascii="Times New Roman" w:hAnsi="Times New Roman" w:eastAsia="仿宋_GB2312" w:cs="Times New Roman"/>
                <w:i w:val="0"/>
                <w:iCs w:val="0"/>
                <w:color w:val="000000"/>
                <w:kern w:val="0"/>
                <w:sz w:val="24"/>
                <w:szCs w:val="24"/>
                <w:highlight w:val="none"/>
                <w:u w:val="none"/>
                <w:lang w:val="en-US" w:eastAsia="zh-CN" w:bidi="ar"/>
              </w:rPr>
              <w:t>6</w:t>
            </w:r>
          </w:p>
        </w:tc>
        <w:tc>
          <w:tcPr>
            <w:tcW w:w="8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A521AF">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rPr>
            </w:pPr>
            <w:r>
              <w:rPr>
                <w:rFonts w:hint="default" w:ascii="Times New Roman" w:hAnsi="Times New Roman" w:eastAsia="仿宋_GB2312" w:cs="Times New Roman"/>
                <w:i w:val="0"/>
                <w:iCs w:val="0"/>
                <w:color w:val="000000"/>
                <w:kern w:val="0"/>
                <w:sz w:val="24"/>
                <w:szCs w:val="24"/>
                <w:highlight w:val="none"/>
                <w:u w:val="none"/>
                <w:lang w:val="en-US" w:eastAsia="zh-CN" w:bidi="ar"/>
              </w:rPr>
              <w:t>办公设备购置</w:t>
            </w:r>
          </w:p>
        </w:tc>
        <w:tc>
          <w:tcPr>
            <w:tcW w:w="10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3A930A">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kern w:val="0"/>
                <w:sz w:val="24"/>
                <w:szCs w:val="24"/>
                <w:highlight w:val="none"/>
                <w:u w:val="none"/>
                <w:lang w:val="en-US" w:eastAsia="zh-CN" w:bidi="ar"/>
              </w:rPr>
            </w:pPr>
            <w:r>
              <w:rPr>
                <w:rFonts w:hint="eastAsia" w:cs="Times New Roman"/>
                <w:i w:val="0"/>
                <w:iCs w:val="0"/>
                <w:color w:val="000000"/>
                <w:kern w:val="0"/>
                <w:sz w:val="24"/>
                <w:szCs w:val="24"/>
                <w:highlight w:val="none"/>
                <w:u w:val="none"/>
                <w:lang w:val="en-US" w:eastAsia="zh-CN" w:bidi="ar"/>
              </w:rPr>
              <w:t>0</w:t>
            </w:r>
          </w:p>
        </w:tc>
        <w:tc>
          <w:tcPr>
            <w:tcW w:w="9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B80BCA">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kern w:val="0"/>
                <w:sz w:val="24"/>
                <w:szCs w:val="24"/>
                <w:highlight w:val="none"/>
                <w:u w:val="none"/>
                <w:lang w:val="en-US" w:eastAsia="zh-CN" w:bidi="ar"/>
              </w:rPr>
            </w:pPr>
            <w:r>
              <w:rPr>
                <w:rFonts w:hint="eastAsia" w:cs="Times New Roman"/>
                <w:i w:val="0"/>
                <w:iCs w:val="0"/>
                <w:color w:val="000000"/>
                <w:kern w:val="0"/>
                <w:sz w:val="24"/>
                <w:szCs w:val="24"/>
                <w:highlight w:val="none"/>
                <w:u w:val="none"/>
                <w:lang w:val="en-US" w:eastAsia="zh-CN" w:bidi="ar"/>
              </w:rPr>
              <w:t>0</w:t>
            </w:r>
          </w:p>
        </w:tc>
        <w:tc>
          <w:tcPr>
            <w:tcW w:w="8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26DC72">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kern w:val="0"/>
                <w:sz w:val="24"/>
                <w:szCs w:val="24"/>
                <w:highlight w:val="none"/>
                <w:u w:val="none"/>
                <w:lang w:val="en-US" w:eastAsia="zh-CN" w:bidi="ar"/>
              </w:rPr>
            </w:pPr>
            <w:r>
              <w:rPr>
                <w:rFonts w:hint="eastAsia" w:cs="Times New Roman"/>
                <w:i w:val="0"/>
                <w:iCs w:val="0"/>
                <w:color w:val="000000"/>
                <w:kern w:val="0"/>
                <w:sz w:val="24"/>
                <w:szCs w:val="24"/>
                <w:highlight w:val="none"/>
                <w:u w:val="none"/>
                <w:lang w:val="en-US" w:eastAsia="zh-CN" w:bidi="ar"/>
              </w:rPr>
              <w:t>0</w:t>
            </w:r>
          </w:p>
        </w:tc>
        <w:tc>
          <w:tcPr>
            <w:tcW w:w="8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214316">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kern w:val="0"/>
                <w:sz w:val="24"/>
                <w:szCs w:val="24"/>
                <w:highlight w:val="none"/>
                <w:u w:val="none"/>
                <w:lang w:val="en-US" w:eastAsia="zh-CN" w:bidi="ar"/>
              </w:rPr>
            </w:pPr>
            <w:r>
              <w:rPr>
                <w:rFonts w:hint="eastAsia" w:cs="Times New Roman"/>
                <w:i w:val="0"/>
                <w:iCs w:val="0"/>
                <w:color w:val="000000"/>
                <w:kern w:val="0"/>
                <w:sz w:val="24"/>
                <w:szCs w:val="24"/>
                <w:highlight w:val="none"/>
                <w:u w:val="none"/>
                <w:lang w:val="en-US" w:eastAsia="zh-CN" w:bidi="ar"/>
              </w:rPr>
              <w:t>0</w:t>
            </w:r>
          </w:p>
        </w:tc>
      </w:tr>
      <w:tr w14:paraId="70083C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726B54">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rPr>
            </w:pPr>
            <w:r>
              <w:rPr>
                <w:rFonts w:hint="default" w:ascii="Times New Roman" w:hAnsi="Times New Roman" w:eastAsia="仿宋_GB2312" w:cs="Times New Roman"/>
                <w:i w:val="0"/>
                <w:iCs w:val="0"/>
                <w:color w:val="000000"/>
                <w:kern w:val="0"/>
                <w:sz w:val="24"/>
                <w:szCs w:val="24"/>
                <w:highlight w:val="none"/>
                <w:u w:val="none"/>
                <w:lang w:val="en-US" w:eastAsia="zh-CN" w:bidi="ar"/>
              </w:rPr>
              <w:t>7</w:t>
            </w:r>
          </w:p>
        </w:tc>
        <w:tc>
          <w:tcPr>
            <w:tcW w:w="8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F9788D">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rPr>
            </w:pPr>
            <w:r>
              <w:rPr>
                <w:rFonts w:hint="default" w:ascii="Times New Roman" w:hAnsi="Times New Roman" w:eastAsia="仿宋_GB2312" w:cs="Times New Roman"/>
                <w:i w:val="0"/>
                <w:iCs w:val="0"/>
                <w:color w:val="000000"/>
                <w:kern w:val="0"/>
                <w:sz w:val="24"/>
                <w:szCs w:val="24"/>
                <w:highlight w:val="none"/>
                <w:u w:val="none"/>
                <w:lang w:val="en-US" w:eastAsia="zh-CN" w:bidi="ar"/>
              </w:rPr>
              <w:t>信息网络及软件购置更新经费</w:t>
            </w:r>
          </w:p>
        </w:tc>
        <w:tc>
          <w:tcPr>
            <w:tcW w:w="10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8791CD">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kern w:val="0"/>
                <w:sz w:val="24"/>
                <w:szCs w:val="24"/>
                <w:highlight w:val="none"/>
                <w:u w:val="none"/>
                <w:lang w:val="en-US" w:eastAsia="zh-CN" w:bidi="ar"/>
              </w:rPr>
            </w:pPr>
            <w:r>
              <w:rPr>
                <w:rFonts w:hint="eastAsia" w:cs="Times New Roman"/>
                <w:i w:val="0"/>
                <w:iCs w:val="0"/>
                <w:color w:val="000000"/>
                <w:kern w:val="0"/>
                <w:sz w:val="24"/>
                <w:szCs w:val="24"/>
                <w:highlight w:val="none"/>
                <w:u w:val="none"/>
                <w:lang w:val="en-US" w:eastAsia="zh-CN" w:bidi="ar"/>
              </w:rPr>
              <w:t>0</w:t>
            </w:r>
          </w:p>
        </w:tc>
        <w:tc>
          <w:tcPr>
            <w:tcW w:w="9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DD646F">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kern w:val="0"/>
                <w:sz w:val="24"/>
                <w:szCs w:val="24"/>
                <w:highlight w:val="none"/>
                <w:u w:val="none"/>
                <w:lang w:val="en-US" w:eastAsia="zh-CN" w:bidi="ar"/>
              </w:rPr>
            </w:pPr>
            <w:r>
              <w:rPr>
                <w:rFonts w:hint="eastAsia" w:cs="Times New Roman"/>
                <w:i w:val="0"/>
                <w:iCs w:val="0"/>
                <w:color w:val="000000"/>
                <w:kern w:val="0"/>
                <w:sz w:val="24"/>
                <w:szCs w:val="24"/>
                <w:highlight w:val="none"/>
                <w:u w:val="none"/>
                <w:lang w:val="en-US" w:eastAsia="zh-CN" w:bidi="ar"/>
              </w:rPr>
              <w:t>0</w:t>
            </w:r>
          </w:p>
        </w:tc>
        <w:tc>
          <w:tcPr>
            <w:tcW w:w="8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A91E85">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kern w:val="0"/>
                <w:sz w:val="24"/>
                <w:szCs w:val="24"/>
                <w:highlight w:val="none"/>
                <w:u w:val="none"/>
                <w:lang w:val="en-US" w:eastAsia="zh-CN" w:bidi="ar"/>
              </w:rPr>
            </w:pPr>
            <w:r>
              <w:rPr>
                <w:rFonts w:hint="eastAsia" w:cs="Times New Roman"/>
                <w:i w:val="0"/>
                <w:iCs w:val="0"/>
                <w:color w:val="000000"/>
                <w:kern w:val="0"/>
                <w:sz w:val="24"/>
                <w:szCs w:val="24"/>
                <w:highlight w:val="none"/>
                <w:u w:val="none"/>
                <w:lang w:val="en-US" w:eastAsia="zh-CN" w:bidi="ar"/>
              </w:rPr>
              <w:t>0</w:t>
            </w:r>
          </w:p>
        </w:tc>
        <w:tc>
          <w:tcPr>
            <w:tcW w:w="8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FCC130">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kern w:val="0"/>
                <w:sz w:val="24"/>
                <w:szCs w:val="24"/>
                <w:highlight w:val="none"/>
                <w:u w:val="none"/>
                <w:lang w:val="en-US" w:eastAsia="zh-CN" w:bidi="ar"/>
              </w:rPr>
            </w:pPr>
            <w:r>
              <w:rPr>
                <w:rFonts w:hint="eastAsia" w:cs="Times New Roman"/>
                <w:i w:val="0"/>
                <w:iCs w:val="0"/>
                <w:color w:val="000000"/>
                <w:kern w:val="0"/>
                <w:sz w:val="24"/>
                <w:szCs w:val="24"/>
                <w:highlight w:val="none"/>
                <w:u w:val="none"/>
                <w:lang w:val="en-US" w:eastAsia="zh-CN" w:bidi="ar"/>
              </w:rPr>
              <w:t>0</w:t>
            </w:r>
          </w:p>
        </w:tc>
      </w:tr>
      <w:tr w14:paraId="1EE8FC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A2F690">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8</w:t>
            </w:r>
          </w:p>
        </w:tc>
        <w:tc>
          <w:tcPr>
            <w:tcW w:w="8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121689">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课题经费</w:t>
            </w:r>
          </w:p>
        </w:tc>
        <w:tc>
          <w:tcPr>
            <w:tcW w:w="10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47358F">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eastAsia" w:cs="Times New Roman"/>
                <w:i w:val="0"/>
                <w:iCs w:val="0"/>
                <w:color w:val="auto"/>
                <w:kern w:val="0"/>
                <w:sz w:val="24"/>
                <w:szCs w:val="24"/>
                <w:highlight w:val="none"/>
                <w:u w:val="none"/>
                <w:lang w:val="en-US" w:eastAsia="zh-CN" w:bidi="ar"/>
              </w:rPr>
              <w:t>0</w:t>
            </w:r>
          </w:p>
        </w:tc>
        <w:tc>
          <w:tcPr>
            <w:tcW w:w="9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FB4790">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eastAsia" w:cs="Times New Roman"/>
                <w:i w:val="0"/>
                <w:iCs w:val="0"/>
                <w:color w:val="auto"/>
                <w:kern w:val="0"/>
                <w:sz w:val="24"/>
                <w:szCs w:val="24"/>
                <w:highlight w:val="none"/>
                <w:u w:val="none"/>
                <w:lang w:val="en-US" w:eastAsia="zh-CN" w:bidi="ar"/>
              </w:rPr>
              <w:t>0</w:t>
            </w:r>
          </w:p>
        </w:tc>
        <w:tc>
          <w:tcPr>
            <w:tcW w:w="8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B23AB9">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eastAsia" w:cs="Times New Roman"/>
                <w:i w:val="0"/>
                <w:iCs w:val="0"/>
                <w:color w:val="auto"/>
                <w:kern w:val="0"/>
                <w:sz w:val="24"/>
                <w:szCs w:val="24"/>
                <w:highlight w:val="none"/>
                <w:u w:val="none"/>
                <w:lang w:val="en-US" w:eastAsia="zh-CN" w:bidi="ar"/>
              </w:rPr>
              <w:t>0</w:t>
            </w:r>
          </w:p>
        </w:tc>
        <w:tc>
          <w:tcPr>
            <w:tcW w:w="8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78506A">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eastAsia" w:cs="Times New Roman"/>
                <w:i w:val="0"/>
                <w:iCs w:val="0"/>
                <w:color w:val="auto"/>
                <w:kern w:val="0"/>
                <w:sz w:val="24"/>
                <w:szCs w:val="24"/>
                <w:highlight w:val="none"/>
                <w:u w:val="none"/>
                <w:lang w:val="en-US" w:eastAsia="zh-CN" w:bidi="ar"/>
              </w:rPr>
              <w:t>0</w:t>
            </w:r>
          </w:p>
        </w:tc>
      </w:tr>
      <w:tr w14:paraId="519C36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124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F3F2AB">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b/>
                <w:bCs/>
                <w:i w:val="0"/>
                <w:iCs w:val="0"/>
                <w:color w:val="auto"/>
                <w:sz w:val="24"/>
                <w:szCs w:val="24"/>
                <w:highlight w:val="none"/>
                <w:u w:val="none"/>
              </w:rPr>
            </w:pPr>
            <w:r>
              <w:rPr>
                <w:rFonts w:hint="default" w:ascii="Times New Roman" w:hAnsi="Times New Roman" w:eastAsia="仿宋_GB2312" w:cs="Times New Roman"/>
                <w:b/>
                <w:bCs/>
                <w:i w:val="0"/>
                <w:iCs w:val="0"/>
                <w:color w:val="auto"/>
                <w:kern w:val="0"/>
                <w:sz w:val="24"/>
                <w:szCs w:val="24"/>
                <w:highlight w:val="none"/>
                <w:u w:val="none"/>
                <w:lang w:val="en-US" w:eastAsia="zh-CN" w:bidi="ar"/>
              </w:rPr>
              <w:t>合计</w:t>
            </w:r>
          </w:p>
        </w:tc>
        <w:tc>
          <w:tcPr>
            <w:tcW w:w="10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3958F1">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eastAsia" w:cs="Times New Roman"/>
                <w:i w:val="0"/>
                <w:iCs w:val="0"/>
                <w:color w:val="auto"/>
                <w:kern w:val="0"/>
                <w:sz w:val="24"/>
                <w:szCs w:val="24"/>
                <w:highlight w:val="none"/>
                <w:u w:val="none"/>
                <w:lang w:val="en-US" w:eastAsia="zh-CN" w:bidi="ar"/>
              </w:rPr>
            </w:pPr>
            <w:r>
              <w:rPr>
                <w:rFonts w:hint="eastAsia" w:cs="Times New Roman"/>
                <w:i w:val="0"/>
                <w:iCs w:val="0"/>
                <w:color w:val="auto"/>
                <w:kern w:val="0"/>
                <w:sz w:val="24"/>
                <w:szCs w:val="24"/>
                <w:highlight w:val="none"/>
                <w:u w:val="none"/>
                <w:lang w:val="en-US" w:eastAsia="zh-CN" w:bidi="ar"/>
              </w:rPr>
              <w:t>53.59</w:t>
            </w:r>
          </w:p>
        </w:tc>
        <w:tc>
          <w:tcPr>
            <w:tcW w:w="9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0EC45A">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eastAsia" w:cs="Times New Roman"/>
                <w:i w:val="0"/>
                <w:iCs w:val="0"/>
                <w:color w:val="auto"/>
                <w:kern w:val="0"/>
                <w:sz w:val="24"/>
                <w:szCs w:val="24"/>
                <w:highlight w:val="none"/>
                <w:u w:val="none"/>
                <w:lang w:val="en-US" w:eastAsia="zh-CN" w:bidi="ar"/>
              </w:rPr>
            </w:pPr>
            <w:r>
              <w:rPr>
                <w:rFonts w:hint="eastAsia" w:cs="Times New Roman"/>
                <w:i w:val="0"/>
                <w:iCs w:val="0"/>
                <w:color w:val="auto"/>
                <w:kern w:val="0"/>
                <w:sz w:val="24"/>
                <w:szCs w:val="24"/>
                <w:highlight w:val="none"/>
                <w:u w:val="none"/>
                <w:lang w:val="en-US" w:eastAsia="zh-CN" w:bidi="ar"/>
              </w:rPr>
              <w:t>56.12</w:t>
            </w:r>
          </w:p>
        </w:tc>
        <w:tc>
          <w:tcPr>
            <w:tcW w:w="8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5F0D3A">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eastAsia" w:cs="Times New Roman"/>
                <w:i w:val="0"/>
                <w:iCs w:val="0"/>
                <w:color w:val="auto"/>
                <w:kern w:val="0"/>
                <w:sz w:val="24"/>
                <w:szCs w:val="24"/>
                <w:highlight w:val="none"/>
                <w:u w:val="none"/>
                <w:lang w:val="en-US" w:eastAsia="zh-CN" w:bidi="ar"/>
              </w:rPr>
              <w:t>112.79</w:t>
            </w:r>
          </w:p>
        </w:tc>
        <w:tc>
          <w:tcPr>
            <w:tcW w:w="8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A2E3D3">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eastAsia" w:cs="Times New Roman"/>
                <w:i w:val="0"/>
                <w:iCs w:val="0"/>
                <w:color w:val="auto"/>
                <w:kern w:val="0"/>
                <w:sz w:val="24"/>
                <w:szCs w:val="24"/>
                <w:highlight w:val="none"/>
                <w:u w:val="none"/>
                <w:lang w:val="en-US" w:eastAsia="zh-CN" w:bidi="ar"/>
              </w:rPr>
              <w:t>25.55</w:t>
            </w:r>
          </w:p>
        </w:tc>
      </w:tr>
    </w:tbl>
    <w:p w14:paraId="1C633088">
      <w:pPr>
        <w:rPr>
          <w:rFonts w:hint="eastAsia"/>
          <w:highlight w:val="none"/>
          <w:lang w:val="en-US" w:eastAsia="zh-CN"/>
        </w:rPr>
      </w:pPr>
      <w:r>
        <w:rPr>
          <w:rFonts w:hint="eastAsia"/>
          <w:highlight w:val="none"/>
          <w:lang w:val="en-US" w:eastAsia="zh-CN"/>
        </w:rPr>
        <w:t>一般性支出财政拨款年初预算较上年增加，一般性支出财政拨款预算执行数较上年减少。</w:t>
      </w:r>
    </w:p>
    <w:p w14:paraId="2D86C155">
      <w:pPr>
        <w:rPr>
          <w:rFonts w:hint="default"/>
          <w:highlight w:val="none"/>
          <w:lang w:val="en-US" w:eastAsia="zh-CN"/>
        </w:rPr>
      </w:pPr>
      <w:r>
        <w:rPr>
          <w:rFonts w:hint="default"/>
          <w:highlight w:val="none"/>
          <w:lang w:val="en-US" w:eastAsia="zh-CN"/>
        </w:rPr>
        <w:t>根据评分标准，该项指标扣2分，得3分。</w:t>
      </w:r>
    </w:p>
    <w:p w14:paraId="30AD08A3">
      <w:pPr>
        <w:pStyle w:val="6"/>
        <w:pageBreakBefore w:val="0"/>
        <w:widowControl w:val="0"/>
        <w:kinsoku/>
        <w:wordWrap/>
        <w:overflowPunct/>
        <w:topLinePunct w:val="0"/>
        <w:autoSpaceDE/>
        <w:autoSpaceDN/>
        <w:bidi w:val="0"/>
        <w:adjustRightInd/>
        <w:snapToGrid/>
        <w:spacing w:before="0" w:beforeLines="0" w:beforeAutospacing="0" w:after="0" w:afterLines="0" w:afterAutospacing="0" w:line="600" w:lineRule="exact"/>
        <w:ind w:firstLine="640" w:firstLineChars="200"/>
        <w:textAlignment w:val="auto"/>
        <w:rPr>
          <w:rFonts w:hint="eastAsia" w:ascii="Times New Roman" w:hAnsi="Times New Roman" w:eastAsia="楷体_GB2312" w:cs="Times New Roman"/>
          <w:b w:val="0"/>
          <w:bCs w:val="0"/>
          <w:szCs w:val="24"/>
          <w:highlight w:val="none"/>
          <w:lang w:val="zh-CN" w:eastAsia="zh-CN"/>
        </w:rPr>
      </w:pPr>
      <w:r>
        <w:rPr>
          <w:rFonts w:hint="default" w:ascii="Times New Roman" w:hAnsi="Times New Roman" w:eastAsia="楷体_GB2312" w:cs="Times New Roman"/>
          <w:b w:val="0"/>
          <w:bCs w:val="0"/>
          <w:szCs w:val="24"/>
          <w:highlight w:val="none"/>
          <w:lang w:val="en-US" w:eastAsia="zh-CN"/>
        </w:rPr>
        <w:t>3</w:t>
      </w:r>
      <w:r>
        <w:rPr>
          <w:rFonts w:hint="eastAsia" w:ascii="Times New Roman" w:hAnsi="Times New Roman" w:eastAsia="楷体_GB2312" w:cs="Times New Roman"/>
          <w:b w:val="0"/>
          <w:bCs w:val="0"/>
          <w:szCs w:val="24"/>
          <w:highlight w:val="none"/>
          <w:lang w:val="en-US" w:eastAsia="zh-CN"/>
        </w:rPr>
        <w:t>.</w:t>
      </w:r>
      <w:r>
        <w:rPr>
          <w:rFonts w:hint="default" w:ascii="Times New Roman" w:hAnsi="Times New Roman" w:eastAsia="楷体_GB2312" w:cs="Times New Roman"/>
          <w:b w:val="0"/>
          <w:bCs w:val="0"/>
          <w:szCs w:val="24"/>
          <w:highlight w:val="none"/>
          <w:lang w:val="zh-CN" w:eastAsia="zh-CN"/>
        </w:rPr>
        <w:t>财务管理</w:t>
      </w:r>
    </w:p>
    <w:p w14:paraId="65A7C015">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sz w:val="32"/>
          <w:highlight w:val="none"/>
          <w:lang w:val="zh-CN" w:eastAsia="zh-CN"/>
        </w:rPr>
      </w:pPr>
      <w:r>
        <w:rPr>
          <w:rFonts w:hint="eastAsia" w:ascii="Times New Roman" w:hAnsi="Times New Roman" w:eastAsia="仿宋_GB2312" w:cs="Times New Roman"/>
          <w:sz w:val="32"/>
          <w:highlight w:val="none"/>
          <w:lang w:val="zh-CN" w:eastAsia="zh-CN"/>
        </w:rPr>
        <w:t>（1）财务管理制度</w:t>
      </w:r>
    </w:p>
    <w:p w14:paraId="281C6696">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sz w:val="32"/>
          <w:highlight w:val="none"/>
          <w:lang w:val="zh-CN" w:eastAsia="zh-CN"/>
        </w:rPr>
      </w:pPr>
      <w:r>
        <w:rPr>
          <w:rFonts w:hint="eastAsia" w:ascii="Times New Roman" w:hAnsi="Times New Roman" w:eastAsia="仿宋_GB2312" w:cs="Times New Roman"/>
          <w:sz w:val="32"/>
          <w:highlight w:val="none"/>
          <w:lang w:val="zh-CN" w:eastAsia="zh-CN"/>
        </w:rPr>
        <w:t>为加强和规范我院内部控制管理水平和风险防范能力，健全规范内部控制机制，加强廉政风险防控机制建设，我院</w:t>
      </w:r>
      <w:r>
        <w:rPr>
          <w:rFonts w:hint="eastAsia" w:ascii="Times New Roman" w:hAnsi="Times New Roman" w:eastAsia="仿宋_GB2312" w:cs="Times New Roman"/>
          <w:sz w:val="32"/>
          <w:highlight w:val="none"/>
          <w:lang w:val="en-US" w:eastAsia="zh-CN"/>
        </w:rPr>
        <w:t>2025</w:t>
      </w:r>
      <w:r>
        <w:rPr>
          <w:rFonts w:hint="eastAsia" w:ascii="Times New Roman" w:hAnsi="Times New Roman" w:eastAsia="仿宋_GB2312" w:cs="Times New Roman"/>
          <w:sz w:val="32"/>
          <w:highlight w:val="none"/>
          <w:lang w:val="zh-CN" w:eastAsia="zh-CN"/>
        </w:rPr>
        <w:t>年在对预算、收支、政府采购、资产、建设项目、合同等各类经济业务活动流程梳理的基础上，依据《中华人民共和国会计法》《中华人民共和国预算法》《中华人民共和国政府采购法》《政府会计制度》《行政事业单位内部控制规范（试行）》《关于全面推进行政事业单位内部控制建设的指导意见》（财会〔2015〕24号）、《四川省财政厅关于印发〈四川省省级行政事业单位内部控制建设指引〉的通知》（川财会〔2019〕37号）等文件编制了《九寨沟县人民法院财务内部控制制度》，部门内部财务管理制度等制度机制建立健全，制度得到有效执行。</w:t>
      </w:r>
    </w:p>
    <w:p w14:paraId="015EB18C">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sz w:val="32"/>
          <w:highlight w:val="none"/>
          <w:lang w:val="zh-CN" w:eastAsia="zh-CN"/>
        </w:rPr>
      </w:pPr>
      <w:r>
        <w:rPr>
          <w:rFonts w:hint="eastAsia" w:ascii="Times New Roman" w:hAnsi="Times New Roman" w:eastAsia="仿宋_GB2312" w:cs="Times New Roman"/>
          <w:sz w:val="32"/>
          <w:highlight w:val="none"/>
          <w:lang w:val="zh-CN" w:eastAsia="zh-CN"/>
        </w:rPr>
        <w:t>根据评分标准，该项指标不扣分，得4分。</w:t>
      </w:r>
    </w:p>
    <w:p w14:paraId="7D6C29FC">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sz w:val="32"/>
          <w:highlight w:val="none"/>
          <w:lang w:val="zh-CN" w:eastAsia="zh-CN"/>
        </w:rPr>
      </w:pPr>
      <w:r>
        <w:rPr>
          <w:rFonts w:hint="eastAsia" w:ascii="Times New Roman" w:hAnsi="Times New Roman" w:eastAsia="仿宋_GB2312" w:cs="Times New Roman"/>
          <w:sz w:val="32"/>
          <w:highlight w:val="none"/>
          <w:lang w:val="zh-CN" w:eastAsia="zh-CN"/>
        </w:rPr>
        <w:t>（2）财务岗位设置</w:t>
      </w:r>
    </w:p>
    <w:p w14:paraId="69B3AEDE">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sz w:val="32"/>
          <w:highlight w:val="none"/>
          <w:lang w:val="zh-CN" w:eastAsia="zh-CN"/>
        </w:rPr>
      </w:pPr>
      <w:r>
        <w:rPr>
          <w:rFonts w:hint="eastAsia" w:ascii="Times New Roman" w:hAnsi="Times New Roman" w:eastAsia="仿宋_GB2312" w:cs="Times New Roman"/>
          <w:sz w:val="32"/>
          <w:highlight w:val="none"/>
          <w:lang w:val="zh-CN" w:eastAsia="zh-CN"/>
        </w:rPr>
        <w:t>我院按照《中华人民共和国会计法》《中华人民共和国预算法》等相关法律，合理设置了单位财务岗位，明确了各岗位职责权限确保工作有序进行，同时，我院制定的《九寨沟县人民法院财务内部控制制度》明确表示了财务收支统一核算管理，会计和出纳岗位分设，出纳人员不得兼管审核、会计档案保管，在财务实际设置过程中，做到了将会计与出纳、审核与执行等岗位分离，形成了相互制约、监督的机制，进而增强了财务数据的准确性，提升了内部控制效能，确保了财务工作的高效与透明。</w:t>
      </w:r>
    </w:p>
    <w:p w14:paraId="28D6E527">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sz w:val="32"/>
          <w:highlight w:val="none"/>
          <w:lang w:val="zh-CN" w:eastAsia="zh-CN"/>
        </w:rPr>
      </w:pPr>
      <w:r>
        <w:rPr>
          <w:rFonts w:hint="eastAsia" w:ascii="Times New Roman" w:hAnsi="Times New Roman" w:eastAsia="仿宋_GB2312" w:cs="Times New Roman"/>
          <w:sz w:val="32"/>
          <w:highlight w:val="none"/>
          <w:lang w:val="zh-CN" w:eastAsia="zh-CN"/>
        </w:rPr>
        <w:t>根据评分标准，该项指标不扣分，得2分。</w:t>
      </w:r>
    </w:p>
    <w:p w14:paraId="5259CDD0">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sz w:val="32"/>
          <w:highlight w:val="none"/>
          <w:lang w:val="zh-CN" w:eastAsia="zh-CN"/>
        </w:rPr>
      </w:pPr>
      <w:r>
        <w:rPr>
          <w:rFonts w:hint="eastAsia" w:ascii="Times New Roman" w:hAnsi="Times New Roman" w:eastAsia="仿宋_GB2312" w:cs="Times New Roman"/>
          <w:sz w:val="32"/>
          <w:highlight w:val="none"/>
          <w:lang w:val="zh-CN" w:eastAsia="zh-CN"/>
        </w:rPr>
        <w:t>（3）资金使用规范</w:t>
      </w:r>
    </w:p>
    <w:p w14:paraId="4B68D8DE">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contextualSpacing/>
        <w:jc w:val="both"/>
        <w:textAlignment w:val="auto"/>
        <w:outlineLvl w:val="9"/>
        <w:rPr>
          <w:rFonts w:hint="eastAsia" w:ascii="Times New Roman" w:hAnsi="Times New Roman" w:eastAsia="仿宋_GB2312" w:cs="Times New Roman"/>
          <w:sz w:val="32"/>
          <w:szCs w:val="32"/>
          <w:highlight w:val="none"/>
          <w:u w:val="none"/>
          <w:lang w:val="zh-CN" w:eastAsia="zh-CN"/>
        </w:rPr>
      </w:pPr>
      <w:r>
        <w:rPr>
          <w:rFonts w:hint="eastAsia" w:ascii="Times New Roman" w:hAnsi="Times New Roman" w:eastAsia="仿宋_GB2312" w:cs="Times New Roman"/>
          <w:sz w:val="32"/>
          <w:szCs w:val="32"/>
          <w:highlight w:val="none"/>
          <w:u w:val="none"/>
          <w:lang w:val="zh-CN" w:eastAsia="zh-CN"/>
        </w:rPr>
        <w:t>我院严格按照已制定的内部控制制度文件和国家财经法规要求使用资金，资金使用符合相关财务管理制度规定，资金的拨付有完整的审批程序和手续，对项目的重大开支进行了评估论证，资金使用符合部门预算批复的用途，不存在截留、挤占、挪用、虚列支出等情况。</w:t>
      </w:r>
    </w:p>
    <w:p w14:paraId="2FEFA7C5">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sz w:val="32"/>
          <w:highlight w:val="none"/>
          <w:lang w:val="zh-CN" w:eastAsia="zh-CN"/>
        </w:rPr>
      </w:pPr>
      <w:r>
        <w:rPr>
          <w:rFonts w:hint="eastAsia" w:ascii="Times New Roman" w:hAnsi="Times New Roman" w:eastAsia="仿宋_GB2312" w:cs="Times New Roman"/>
          <w:sz w:val="32"/>
          <w:highlight w:val="none"/>
          <w:lang w:val="zh-CN" w:eastAsia="zh-CN"/>
        </w:rPr>
        <w:t>根据评分标准，该项指标不扣分，得4分。</w:t>
      </w:r>
    </w:p>
    <w:p w14:paraId="1B50331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2"/>
        <w:rPr>
          <w:rFonts w:hint="eastAsia" w:ascii="楷体_GB2312" w:hAnsi="楷体_GB2312" w:eastAsia="楷体_GB2312" w:cs="楷体_GB2312"/>
          <w:color w:val="auto"/>
          <w:sz w:val="32"/>
          <w:highlight w:val="none"/>
          <w:lang w:val="zh-CN" w:eastAsia="zh-CN"/>
        </w:rPr>
      </w:pPr>
      <w:r>
        <w:rPr>
          <w:rFonts w:hint="eastAsia" w:ascii="楷体_GB2312" w:hAnsi="楷体_GB2312" w:eastAsia="楷体_GB2312" w:cs="楷体_GB2312"/>
          <w:color w:val="auto"/>
          <w:sz w:val="32"/>
          <w:highlight w:val="none"/>
          <w:lang w:val="en-US" w:eastAsia="zh-CN"/>
        </w:rPr>
        <w:t>4.</w:t>
      </w:r>
      <w:r>
        <w:rPr>
          <w:rFonts w:hint="eastAsia" w:ascii="楷体_GB2312" w:hAnsi="楷体_GB2312" w:eastAsia="楷体_GB2312" w:cs="楷体_GB2312"/>
          <w:color w:val="auto"/>
          <w:sz w:val="32"/>
          <w:highlight w:val="none"/>
          <w:lang w:val="zh-CN" w:eastAsia="zh-CN"/>
        </w:rPr>
        <w:t>资产管理</w:t>
      </w:r>
    </w:p>
    <w:p w14:paraId="37DD3AB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3"/>
        <w:rPr>
          <w:rFonts w:hint="eastAsia" w:ascii="Times New Roman" w:hAnsi="Times New Roman" w:eastAsia="仿宋_GB2312" w:cs="Times New Roman"/>
          <w:color w:val="auto"/>
          <w:sz w:val="32"/>
          <w:highlight w:val="none"/>
          <w:lang w:val="zh-CN" w:eastAsia="zh-CN"/>
        </w:rPr>
      </w:pPr>
      <w:r>
        <w:rPr>
          <w:rFonts w:hint="eastAsia" w:ascii="Times New Roman" w:hAnsi="Times New Roman" w:eastAsia="仿宋_GB2312" w:cs="Times New Roman"/>
          <w:color w:val="auto"/>
          <w:sz w:val="32"/>
          <w:highlight w:val="none"/>
          <w:lang w:val="zh-CN" w:eastAsia="zh-CN"/>
        </w:rPr>
        <w:t>（1）人均资产变化率</w:t>
      </w:r>
    </w:p>
    <w:p w14:paraId="403A36A4">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color w:val="auto"/>
          <w:sz w:val="32"/>
          <w:highlight w:val="none"/>
          <w:lang w:val="zh-CN" w:eastAsia="zh-CN"/>
        </w:rPr>
      </w:pPr>
      <w:r>
        <w:rPr>
          <w:rFonts w:hint="eastAsia" w:ascii="Times New Roman" w:hAnsi="Times New Roman" w:eastAsia="仿宋_GB2312" w:cs="Times New Roman"/>
          <w:color w:val="auto"/>
          <w:sz w:val="32"/>
          <w:highlight w:val="none"/>
          <w:lang w:val="zh-CN" w:eastAsia="zh-CN"/>
        </w:rPr>
        <w:t>我院2024年末实有在编在职人数为79人，固定资产和无形资产期末账面值净值合计1,012.52万元；2025年末实有在职在编人数为85人，固定资产和无形资产净值合计1,368.33万元。人均占有资产及人均资产变化率计算公式分别为“（固定资产净值+无形资产净值)/在职人数、(当年人均资产-上年人均资产)/上年人均资产”。故我院2024、2025年人均占有资产分别为12.82万元/人、16.10万元/人。</w:t>
      </w:r>
    </w:p>
    <w:p w14:paraId="2536AF50">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color w:val="auto"/>
          <w:sz w:val="32"/>
          <w:highlight w:val="none"/>
          <w:lang w:val="zh-CN" w:eastAsia="zh-CN"/>
        </w:rPr>
      </w:pPr>
      <w:r>
        <w:rPr>
          <w:rFonts w:hint="eastAsia" w:ascii="Times New Roman" w:hAnsi="Times New Roman" w:eastAsia="仿宋_GB2312" w:cs="Times New Roman"/>
          <w:color w:val="auto"/>
          <w:sz w:val="32"/>
          <w:highlight w:val="none"/>
          <w:lang w:val="zh-CN" w:eastAsia="zh-CN"/>
        </w:rPr>
        <w:t>综上，2025年我院人均资产变化率为25.60%，大于0，大于1.4倍州直行政事业单位人均资产变化率-4.89% , ，大于2倍州级财政收入增长率34.20%。</w:t>
      </w:r>
    </w:p>
    <w:p w14:paraId="51268670">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sz w:val="32"/>
          <w:highlight w:val="none"/>
          <w:lang w:val="en-US" w:eastAsia="zh-CN"/>
        </w:rPr>
      </w:pPr>
      <w:r>
        <w:rPr>
          <w:rFonts w:hint="eastAsia" w:ascii="Times New Roman" w:hAnsi="Times New Roman" w:eastAsia="仿宋_GB2312" w:cs="Times New Roman"/>
          <w:color w:val="auto"/>
          <w:sz w:val="32"/>
          <w:highlight w:val="none"/>
          <w:lang w:val="zh-CN" w:eastAsia="zh-CN"/>
        </w:rPr>
        <w:t>根据评分标准，该项指标扣2.70分，得0.30分。</w:t>
      </w:r>
    </w:p>
    <w:p w14:paraId="1D889624">
      <w:pPr>
        <w:pageBreakBefore w:val="0"/>
        <w:widowControl w:val="0"/>
        <w:kinsoku/>
        <w:wordWrap/>
        <w:overflowPunct/>
        <w:topLinePunct w:val="0"/>
        <w:autoSpaceDE/>
        <w:autoSpaceDN/>
        <w:bidi w:val="0"/>
        <w:adjustRightInd/>
        <w:snapToGrid/>
        <w:spacing w:line="600" w:lineRule="exact"/>
        <w:ind w:firstLine="640" w:firstLineChars="200"/>
        <w:textAlignment w:val="auto"/>
        <w:outlineLvl w:val="3"/>
        <w:rPr>
          <w:rFonts w:hint="default" w:ascii="Times New Roman" w:hAnsi="Times New Roman" w:eastAsia="仿宋_GB2312" w:cs="Times New Roman"/>
          <w:color w:val="auto"/>
          <w:sz w:val="32"/>
          <w:highlight w:val="none"/>
          <w:lang w:val="en-US" w:eastAsia="zh-CN"/>
        </w:rPr>
      </w:pPr>
      <w:r>
        <w:rPr>
          <w:rFonts w:hint="eastAsia" w:ascii="Times New Roman" w:hAnsi="Times New Roman" w:eastAsia="仿宋_GB2312" w:cs="Times New Roman"/>
          <w:color w:val="auto"/>
          <w:sz w:val="32"/>
          <w:highlight w:val="none"/>
          <w:lang w:val="en-US" w:eastAsia="zh-CN"/>
        </w:rPr>
        <w:t>（</w:t>
      </w:r>
      <w:r>
        <w:rPr>
          <w:rFonts w:hint="default" w:ascii="Times New Roman" w:hAnsi="Times New Roman" w:eastAsia="仿宋_GB2312" w:cs="Times New Roman"/>
          <w:color w:val="auto"/>
          <w:sz w:val="32"/>
          <w:highlight w:val="none"/>
          <w:lang w:val="en-US" w:eastAsia="zh-CN"/>
        </w:rPr>
        <w:t>2</w:t>
      </w:r>
      <w:r>
        <w:rPr>
          <w:rFonts w:hint="eastAsia" w:ascii="Times New Roman" w:hAnsi="Times New Roman" w:eastAsia="仿宋_GB2312" w:cs="Times New Roman"/>
          <w:color w:val="auto"/>
          <w:sz w:val="32"/>
          <w:highlight w:val="none"/>
          <w:lang w:val="en-US" w:eastAsia="zh-CN"/>
        </w:rPr>
        <w:t>）资产利用率</w:t>
      </w:r>
    </w:p>
    <w:p w14:paraId="5C52FC9F">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color w:val="auto"/>
          <w:sz w:val="32"/>
          <w:highlight w:val="none"/>
          <w:lang w:val="en-US" w:eastAsia="zh-CN"/>
        </w:rPr>
      </w:pPr>
      <w:r>
        <w:rPr>
          <w:rFonts w:hint="eastAsia" w:ascii="Times New Roman" w:hAnsi="Times New Roman" w:eastAsia="仿宋_GB2312" w:cs="Times New Roman"/>
          <w:color w:val="auto"/>
          <w:sz w:val="32"/>
          <w:highlight w:val="none"/>
          <w:lang w:val="en-US" w:eastAsia="zh-CN"/>
        </w:rPr>
        <w:t>我院2024年办公家具账面价值为173.06万元，超最低使用年限的办公家具账面价值为4.72万元，故办公家具超最低使用年限资产利用率=超最低使用年限的办公家具账面价值÷办公家具账面价值×100%=2.73%；2025年办公设备账面价值为1,937.97万元，超最低使用年限的办公设备账面价值为730.15万元，故办公设备超最低使用年限资产利用率=超最低使用年限的办公设备账面价值÷办公设备账面价值×100%=37.68%。</w:t>
      </w:r>
    </w:p>
    <w:p w14:paraId="4D7FE4C9">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color w:val="auto"/>
          <w:sz w:val="32"/>
          <w:highlight w:val="none"/>
          <w:lang w:val="en-US" w:eastAsia="zh-CN"/>
        </w:rPr>
      </w:pPr>
      <w:r>
        <w:rPr>
          <w:rFonts w:hint="eastAsia" w:ascii="Times New Roman" w:hAnsi="Times New Roman" w:eastAsia="仿宋_GB2312" w:cs="Times New Roman"/>
          <w:color w:val="auto"/>
          <w:sz w:val="32"/>
          <w:highlight w:val="none"/>
          <w:lang w:val="en-US" w:eastAsia="zh-CN"/>
        </w:rPr>
        <w:t>综上，我院在资产利用率方面，办公家具和用具超最低使用年限资产利用率小于0.6倍州直行政事业单位平均值7.76%，办公设备超最低使用年限资产利用率大于0.6倍州直行政事业单位平均值31.88%小于0.8倍州直行政事业单位平均值42.51%。</w:t>
      </w:r>
    </w:p>
    <w:p w14:paraId="3DFF44D4">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sz w:val="32"/>
          <w:highlight w:val="none"/>
          <w:lang w:val="en-US" w:eastAsia="zh-CN"/>
        </w:rPr>
      </w:pPr>
      <w:r>
        <w:rPr>
          <w:rFonts w:hint="eastAsia" w:ascii="Times New Roman" w:hAnsi="Times New Roman" w:eastAsia="仿宋_GB2312" w:cs="Times New Roman"/>
          <w:color w:val="auto"/>
          <w:sz w:val="32"/>
          <w:highlight w:val="none"/>
          <w:lang w:val="en-US" w:eastAsia="zh-CN"/>
        </w:rPr>
        <w:t>根据评分标准，该项指标扣2.10分，得0.90分。</w:t>
      </w:r>
    </w:p>
    <w:p w14:paraId="4C2C61D0">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color w:val="auto"/>
          <w:sz w:val="32"/>
          <w:highlight w:val="none"/>
          <w:lang w:val="en-US" w:eastAsia="zh-CN"/>
        </w:rPr>
      </w:pPr>
      <w:r>
        <w:rPr>
          <w:rFonts w:hint="eastAsia" w:ascii="Times New Roman" w:hAnsi="Times New Roman" w:eastAsia="仿宋_GB2312" w:cs="Times New Roman"/>
          <w:color w:val="auto"/>
          <w:sz w:val="32"/>
          <w:highlight w:val="none"/>
          <w:lang w:val="en-US" w:eastAsia="zh-CN"/>
        </w:rPr>
        <w:t>（</w:t>
      </w:r>
      <w:r>
        <w:rPr>
          <w:rFonts w:hint="default" w:ascii="Times New Roman" w:hAnsi="Times New Roman" w:eastAsia="仿宋_GB2312" w:cs="Times New Roman"/>
          <w:color w:val="auto"/>
          <w:sz w:val="32"/>
          <w:highlight w:val="none"/>
          <w:lang w:val="en-US" w:eastAsia="zh-CN"/>
        </w:rPr>
        <w:t>3</w:t>
      </w:r>
      <w:r>
        <w:rPr>
          <w:rFonts w:hint="eastAsia" w:ascii="Times New Roman" w:hAnsi="Times New Roman" w:eastAsia="仿宋_GB2312" w:cs="Times New Roman"/>
          <w:color w:val="auto"/>
          <w:sz w:val="32"/>
          <w:highlight w:val="none"/>
          <w:lang w:val="en-US" w:eastAsia="zh-CN"/>
        </w:rPr>
        <w:t>）资产盘活率</w:t>
      </w:r>
    </w:p>
    <w:p w14:paraId="463E4232">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sz w:val="32"/>
          <w:highlight w:val="none"/>
          <w:lang w:val="en-US" w:eastAsia="zh-CN"/>
        </w:rPr>
      </w:pPr>
      <w:r>
        <w:rPr>
          <w:rFonts w:hint="eastAsia" w:ascii="Times New Roman" w:hAnsi="Times New Roman" w:eastAsia="仿宋_GB2312" w:cs="Times New Roman"/>
          <w:color w:val="auto"/>
          <w:sz w:val="32"/>
          <w:highlight w:val="none"/>
          <w:lang w:val="en-US" w:eastAsia="zh-CN"/>
        </w:rPr>
        <w:t>我院2024</w:t>
      </w:r>
      <w:r>
        <w:rPr>
          <w:rFonts w:hint="default" w:ascii="Times New Roman" w:hAnsi="Times New Roman" w:eastAsia="仿宋_GB2312" w:cs="Times New Roman"/>
          <w:color w:val="auto"/>
          <w:sz w:val="32"/>
          <w:highlight w:val="none"/>
          <w:lang w:val="en-US" w:eastAsia="zh-CN"/>
        </w:rPr>
        <w:t>年、2025年均无闲置资产。自评年度</w:t>
      </w:r>
      <w:r>
        <w:rPr>
          <w:rFonts w:hint="eastAsia" w:ascii="Times New Roman" w:hAnsi="Times New Roman" w:eastAsia="仿宋_GB2312" w:cs="Times New Roman"/>
          <w:color w:val="auto"/>
          <w:sz w:val="32"/>
          <w:highlight w:val="none"/>
          <w:lang w:val="en-US" w:eastAsia="zh-CN"/>
        </w:rPr>
        <w:t>我院</w:t>
      </w:r>
      <w:r>
        <w:rPr>
          <w:rFonts w:hint="default" w:ascii="Times New Roman" w:hAnsi="Times New Roman" w:eastAsia="仿宋_GB2312" w:cs="Times New Roman"/>
          <w:color w:val="auto"/>
          <w:sz w:val="32"/>
          <w:highlight w:val="none"/>
          <w:lang w:val="en-US" w:eastAsia="zh-CN"/>
        </w:rPr>
        <w:t>部门闲置资产占比变化率</w:t>
      </w:r>
      <w:r>
        <w:rPr>
          <w:rFonts w:hint="eastAsia" w:ascii="Times New Roman" w:hAnsi="Times New Roman" w:eastAsia="仿宋_GB2312" w:cs="Times New Roman"/>
          <w:color w:val="auto"/>
          <w:sz w:val="32"/>
          <w:highlight w:val="none"/>
          <w:lang w:val="en-US" w:eastAsia="zh-CN"/>
        </w:rPr>
        <w:t>为</w:t>
      </w:r>
      <w:r>
        <w:rPr>
          <w:rFonts w:hint="default" w:ascii="Times New Roman" w:hAnsi="Times New Roman" w:eastAsia="仿宋_GB2312" w:cs="Times New Roman"/>
          <w:color w:val="auto"/>
          <w:sz w:val="32"/>
          <w:highlight w:val="none"/>
          <w:lang w:val="en-US" w:eastAsia="zh-CN"/>
        </w:rPr>
        <w:t>0%。</w:t>
      </w:r>
    </w:p>
    <w:p w14:paraId="455C2CC1">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color w:val="auto"/>
          <w:sz w:val="32"/>
          <w:highlight w:val="none"/>
          <w:lang w:val="en-US" w:eastAsia="zh-CN"/>
        </w:rPr>
      </w:pPr>
      <w:r>
        <w:rPr>
          <w:rFonts w:hint="eastAsia" w:ascii="Times New Roman" w:hAnsi="Times New Roman" w:eastAsia="仿宋_GB2312" w:cs="Times New Roman"/>
          <w:color w:val="auto"/>
          <w:sz w:val="32"/>
          <w:highlight w:val="none"/>
          <w:lang w:val="en-US" w:eastAsia="zh-CN"/>
        </w:rPr>
        <w:t>根据评分标准，该项指标不扣分，得3分。</w:t>
      </w:r>
    </w:p>
    <w:p w14:paraId="1AABF7DB">
      <w:pPr>
        <w:pStyle w:val="6"/>
        <w:pageBreakBefore w:val="0"/>
        <w:widowControl w:val="0"/>
        <w:kinsoku/>
        <w:wordWrap/>
        <w:overflowPunct/>
        <w:topLinePunct w:val="0"/>
        <w:autoSpaceDE/>
        <w:autoSpaceDN/>
        <w:bidi w:val="0"/>
        <w:adjustRightInd/>
        <w:snapToGrid/>
        <w:spacing w:before="0" w:beforeLines="0" w:beforeAutospacing="0" w:after="0" w:afterLines="0" w:afterAutospacing="0" w:line="600" w:lineRule="exact"/>
        <w:ind w:firstLine="640" w:firstLineChars="200"/>
        <w:textAlignment w:val="auto"/>
        <w:rPr>
          <w:rFonts w:hint="eastAsia" w:ascii="Times New Roman" w:hAnsi="Times New Roman" w:eastAsia="楷体_GB2312" w:cs="Times New Roman"/>
          <w:b w:val="0"/>
          <w:bCs w:val="0"/>
          <w:color w:val="auto"/>
          <w:szCs w:val="24"/>
          <w:highlight w:val="none"/>
          <w:lang w:val="zh-CN" w:eastAsia="zh-CN"/>
        </w:rPr>
      </w:pPr>
      <w:r>
        <w:rPr>
          <w:rFonts w:hint="default" w:ascii="Times New Roman" w:hAnsi="Times New Roman" w:eastAsia="楷体_GB2312" w:cs="Times New Roman"/>
          <w:b w:val="0"/>
          <w:bCs w:val="0"/>
          <w:color w:val="auto"/>
          <w:szCs w:val="24"/>
          <w:highlight w:val="none"/>
          <w:lang w:val="en-US" w:eastAsia="zh-CN"/>
        </w:rPr>
        <w:t>5</w:t>
      </w:r>
      <w:r>
        <w:rPr>
          <w:rFonts w:hint="eastAsia" w:ascii="Times New Roman" w:hAnsi="Times New Roman" w:eastAsia="楷体_GB2312" w:cs="Times New Roman"/>
          <w:b w:val="0"/>
          <w:bCs w:val="0"/>
          <w:color w:val="auto"/>
          <w:szCs w:val="24"/>
          <w:highlight w:val="none"/>
          <w:lang w:val="en-US" w:eastAsia="zh-CN"/>
        </w:rPr>
        <w:t>.</w:t>
      </w:r>
      <w:r>
        <w:rPr>
          <w:rFonts w:hint="default" w:ascii="Times New Roman" w:hAnsi="Times New Roman" w:eastAsia="楷体_GB2312" w:cs="Times New Roman"/>
          <w:b w:val="0"/>
          <w:bCs w:val="0"/>
          <w:color w:val="auto"/>
          <w:szCs w:val="24"/>
          <w:highlight w:val="none"/>
          <w:lang w:val="zh-CN" w:eastAsia="zh-CN"/>
        </w:rPr>
        <w:t>采购管理</w:t>
      </w:r>
    </w:p>
    <w:p w14:paraId="562B300D">
      <w:pPr>
        <w:pageBreakBefore w:val="0"/>
        <w:widowControl w:val="0"/>
        <w:kinsoku/>
        <w:wordWrap/>
        <w:overflowPunct/>
        <w:topLinePunct w:val="0"/>
        <w:autoSpaceDE/>
        <w:autoSpaceDN/>
        <w:bidi w:val="0"/>
        <w:adjustRightInd/>
        <w:snapToGrid/>
        <w:spacing w:line="600" w:lineRule="exact"/>
        <w:ind w:firstLine="640" w:firstLineChars="200"/>
        <w:textAlignment w:val="auto"/>
        <w:outlineLvl w:val="3"/>
        <w:rPr>
          <w:rFonts w:hint="eastAsia" w:ascii="Times New Roman" w:hAnsi="Times New Roman" w:eastAsia="仿宋_GB2312" w:cs="Times New Roman"/>
          <w:color w:val="auto"/>
          <w:sz w:val="32"/>
          <w:highlight w:val="none"/>
          <w:lang w:val="zh-CN"/>
        </w:rPr>
      </w:pPr>
      <w:r>
        <w:rPr>
          <w:rFonts w:hint="eastAsia" w:ascii="Times New Roman" w:hAnsi="Times New Roman" w:eastAsia="仿宋_GB2312" w:cs="Times New Roman"/>
          <w:color w:val="auto"/>
          <w:sz w:val="32"/>
          <w:highlight w:val="none"/>
          <w:lang w:val="zh-CN"/>
        </w:rPr>
        <w:t>（</w:t>
      </w:r>
      <w:r>
        <w:rPr>
          <w:rFonts w:hint="default" w:ascii="Times New Roman" w:hAnsi="Times New Roman" w:eastAsia="仿宋_GB2312" w:cs="Times New Roman"/>
          <w:color w:val="auto"/>
          <w:sz w:val="32"/>
          <w:highlight w:val="none"/>
          <w:lang w:val="en-US" w:eastAsia="zh-CN"/>
        </w:rPr>
        <w:t>1</w:t>
      </w:r>
      <w:r>
        <w:rPr>
          <w:rFonts w:hint="eastAsia" w:ascii="Times New Roman" w:hAnsi="Times New Roman" w:eastAsia="仿宋_GB2312" w:cs="Times New Roman"/>
          <w:color w:val="auto"/>
          <w:sz w:val="32"/>
          <w:highlight w:val="none"/>
          <w:lang w:val="zh-CN"/>
        </w:rPr>
        <w:t>）支持中小企业发展</w:t>
      </w:r>
    </w:p>
    <w:p w14:paraId="481C1CAB">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color w:val="auto"/>
          <w:sz w:val="32"/>
          <w:highlight w:val="none"/>
          <w:lang w:val="en-US" w:eastAsia="zh-CN"/>
        </w:rPr>
      </w:pPr>
      <w:r>
        <w:rPr>
          <w:rFonts w:hint="eastAsia" w:ascii="Times New Roman" w:hAnsi="Times New Roman" w:eastAsia="仿宋_GB2312" w:cs="Times New Roman"/>
          <w:color w:val="auto"/>
          <w:sz w:val="32"/>
          <w:highlight w:val="none"/>
          <w:lang w:val="en-US" w:eastAsia="zh-CN"/>
        </w:rPr>
        <w:t>我院严格执行政府采购促进中小企业发展相关管理办法，对适宜由中小企业提供的采购项目和采购包，预留了采购份额专门面向中小企业采购，并在采购预算中单独列示。2025年，我院采购预算为0.00万元，政府采购授予中小企业合同金额为0.00万元。</w:t>
      </w:r>
    </w:p>
    <w:p w14:paraId="2FA513B1">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color w:val="auto"/>
          <w:sz w:val="32"/>
          <w:highlight w:val="none"/>
          <w:lang w:val="en-US" w:eastAsia="zh-CN"/>
        </w:rPr>
      </w:pPr>
      <w:r>
        <w:rPr>
          <w:rFonts w:hint="eastAsia" w:ascii="Times New Roman" w:hAnsi="Times New Roman" w:eastAsia="仿宋_GB2312" w:cs="Times New Roman"/>
          <w:color w:val="auto"/>
          <w:sz w:val="32"/>
          <w:highlight w:val="none"/>
          <w:lang w:val="en-US" w:eastAsia="zh-CN"/>
        </w:rPr>
        <w:t>根据评分标准，该项指标不扣分，得3分。</w:t>
      </w:r>
    </w:p>
    <w:p w14:paraId="64209123">
      <w:pPr>
        <w:pageBreakBefore w:val="0"/>
        <w:widowControl w:val="0"/>
        <w:kinsoku/>
        <w:wordWrap/>
        <w:overflowPunct/>
        <w:topLinePunct w:val="0"/>
        <w:autoSpaceDE/>
        <w:autoSpaceDN/>
        <w:bidi w:val="0"/>
        <w:adjustRightInd/>
        <w:snapToGrid/>
        <w:spacing w:line="600" w:lineRule="exact"/>
        <w:ind w:firstLine="640" w:firstLineChars="200"/>
        <w:textAlignment w:val="auto"/>
        <w:outlineLvl w:val="3"/>
        <w:rPr>
          <w:rFonts w:hint="default" w:ascii="Times New Roman" w:hAnsi="Times New Roman" w:eastAsia="仿宋_GB2312" w:cs="Times New Roman"/>
          <w:color w:val="auto"/>
          <w:sz w:val="32"/>
          <w:highlight w:val="none"/>
          <w:lang w:val="en-US" w:eastAsia="zh-CN"/>
        </w:rPr>
      </w:pPr>
      <w:r>
        <w:rPr>
          <w:rFonts w:hint="eastAsia" w:ascii="Times New Roman" w:hAnsi="Times New Roman" w:eastAsia="仿宋_GB2312" w:cs="Times New Roman"/>
          <w:color w:val="auto"/>
          <w:sz w:val="32"/>
          <w:highlight w:val="none"/>
          <w:lang w:val="en-US" w:eastAsia="zh-CN"/>
        </w:rPr>
        <w:t>（</w:t>
      </w:r>
      <w:r>
        <w:rPr>
          <w:rFonts w:hint="default" w:ascii="Times New Roman" w:hAnsi="Times New Roman" w:eastAsia="仿宋_GB2312" w:cs="Times New Roman"/>
          <w:color w:val="auto"/>
          <w:sz w:val="32"/>
          <w:highlight w:val="none"/>
          <w:lang w:val="en-US" w:eastAsia="zh-CN"/>
        </w:rPr>
        <w:t>2</w:t>
      </w:r>
      <w:r>
        <w:rPr>
          <w:rFonts w:hint="eastAsia" w:ascii="Times New Roman" w:hAnsi="Times New Roman" w:eastAsia="仿宋_GB2312" w:cs="Times New Roman"/>
          <w:color w:val="auto"/>
          <w:sz w:val="32"/>
          <w:highlight w:val="none"/>
          <w:lang w:val="en-US" w:eastAsia="zh-CN"/>
        </w:rPr>
        <w:t>）采购执行率</w:t>
      </w:r>
    </w:p>
    <w:p w14:paraId="1D6FF826">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color w:val="auto"/>
          <w:sz w:val="32"/>
          <w:highlight w:val="none"/>
          <w:lang w:val="en-US" w:eastAsia="zh-CN"/>
        </w:rPr>
      </w:pPr>
      <w:r>
        <w:rPr>
          <w:rFonts w:hint="eastAsia" w:ascii="Times New Roman" w:hAnsi="Times New Roman" w:eastAsia="仿宋_GB2312" w:cs="Times New Roman"/>
          <w:color w:val="auto"/>
          <w:sz w:val="32"/>
          <w:highlight w:val="none"/>
          <w:lang w:val="en-US" w:eastAsia="zh-CN"/>
        </w:rPr>
        <w:t>我院2025年度的政府采购总预算数为0万元，当年政府采购预算执行数为281.37万元，已完成采购项目节约金额为0万元，故我院采购执行方面采购执行率为100%。</w:t>
      </w:r>
    </w:p>
    <w:p w14:paraId="019833FD">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color w:val="auto"/>
          <w:sz w:val="32"/>
          <w:highlight w:val="none"/>
          <w:lang w:val="zh-CN" w:eastAsia="zh-CN"/>
        </w:rPr>
      </w:pPr>
      <w:r>
        <w:rPr>
          <w:rFonts w:hint="eastAsia" w:ascii="Times New Roman" w:hAnsi="Times New Roman" w:eastAsia="仿宋_GB2312" w:cs="Times New Roman"/>
          <w:color w:val="auto"/>
          <w:sz w:val="32"/>
          <w:highlight w:val="none"/>
          <w:lang w:val="en-US" w:eastAsia="zh-CN"/>
        </w:rPr>
        <w:t>根据评分标准，该项指标不扣分，得3分。</w:t>
      </w:r>
    </w:p>
    <w:p w14:paraId="2215A50D">
      <w:pPr>
        <w:keepNext w:val="0"/>
        <w:keepLines w:val="0"/>
        <w:pageBreakBefore w:val="0"/>
        <w:widowControl/>
        <w:shd w:val="clear"/>
        <w:kinsoku/>
        <w:wordWrap/>
        <w:overflowPunct/>
        <w:topLinePunct w:val="0"/>
        <w:autoSpaceDE/>
        <w:autoSpaceDN/>
        <w:bidi w:val="0"/>
        <w:adjustRightInd w:val="0"/>
        <w:snapToGrid w:val="0"/>
        <w:spacing w:line="600" w:lineRule="exact"/>
        <w:ind w:firstLine="643" w:firstLineChars="200"/>
        <w:contextualSpacing/>
        <w:jc w:val="left"/>
        <w:textAlignment w:val="auto"/>
        <w:outlineLvl w:val="1"/>
        <w:rPr>
          <w:rFonts w:hint="default" w:ascii="Times New Roman" w:hAnsi="Times New Roman" w:eastAsia="楷体_GB2312" w:cs="Times New Roman"/>
          <w:b/>
          <w:bCs/>
          <w:color w:val="000000"/>
          <w:kern w:val="0"/>
          <w:sz w:val="32"/>
          <w:szCs w:val="32"/>
          <w:highlight w:val="none"/>
          <w:shd w:val="clear" w:color="auto" w:fill="FFFFFF"/>
          <w:lang w:val="en-US"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（二）部门预算项目绩效分析</w:t>
      </w:r>
    </w:p>
    <w:p w14:paraId="16FE09EA">
      <w:pPr>
        <w:keepNext w:val="0"/>
        <w:keepLines w:val="0"/>
        <w:pageBreakBefore w:val="0"/>
        <w:widowControl w:val="0"/>
        <w:numPr>
          <w:ilvl w:val="0"/>
          <w:numId w:val="0"/>
        </w:numPr>
        <w:shd w:val="clear"/>
        <w:kinsoku/>
        <w:wordWrap/>
        <w:overflowPunct/>
        <w:topLinePunct w:val="0"/>
        <w:autoSpaceDE/>
        <w:autoSpaceDN/>
        <w:bidi w:val="0"/>
        <w:adjustRightInd w:val="0"/>
        <w:snapToGrid w:val="0"/>
        <w:spacing w:line="600" w:lineRule="exact"/>
        <w:ind w:firstLine="640" w:firstLineChars="200"/>
        <w:contextualSpacing/>
        <w:jc w:val="left"/>
        <w:textAlignment w:val="auto"/>
        <w:outlineLvl w:val="9"/>
        <w:rPr>
          <w:rFonts w:hint="default" w:ascii="Times New Roman" w:hAnsi="Times New Roman" w:eastAsia="仿宋_GB2312" w:cs="Times New Roman"/>
          <w:color w:val="000000"/>
          <w:kern w:val="0"/>
          <w:sz w:val="32"/>
          <w:szCs w:val="32"/>
          <w:highlight w:val="none"/>
          <w:shd w:val="clear" w:color="auto" w:fill="FFFFFF"/>
          <w:lang w:val="en-US" w:eastAsia="zh-CN"/>
        </w:rPr>
      </w:pPr>
      <w:r>
        <w:rPr>
          <w:rFonts w:hint="default" w:ascii="Times New Roman" w:hAnsi="Times New Roman" w:eastAsia="仿宋_GB2312" w:cs="Times New Roman"/>
          <w:color w:val="000000"/>
          <w:kern w:val="0"/>
          <w:sz w:val="32"/>
          <w:szCs w:val="32"/>
          <w:highlight w:val="none"/>
          <w:shd w:val="clear" w:color="auto" w:fill="FFFFFF"/>
          <w:lang w:val="en-US" w:eastAsia="zh-CN"/>
        </w:rPr>
        <w:t>常年项目绩效分析。</w:t>
      </w:r>
      <w:r>
        <w:rPr>
          <w:rFonts w:hint="default" w:ascii="Times New Roman" w:hAnsi="Times New Roman" w:eastAsia="仿宋_GB2312" w:cs="Times New Roman"/>
          <w:color w:val="000000"/>
          <w:kern w:val="0"/>
          <w:sz w:val="32"/>
          <w:szCs w:val="32"/>
          <w:highlight w:val="none"/>
          <w:shd w:val="clear" w:color="auto" w:fill="FFFFFF"/>
          <w:lang w:val="zh-CN" w:eastAsia="zh-CN"/>
        </w:rPr>
        <w:t>该类项目总数</w:t>
      </w:r>
      <w:r>
        <w:rPr>
          <w:rFonts w:hint="eastAsia" w:ascii="Times New Roman" w:hAnsi="Times New Roman" w:eastAsia="仿宋_GB2312" w:cs="Times New Roman"/>
          <w:color w:val="000000"/>
          <w:kern w:val="0"/>
          <w:sz w:val="32"/>
          <w:szCs w:val="32"/>
          <w:highlight w:val="none"/>
          <w:shd w:val="clear" w:color="auto" w:fill="FFFFFF"/>
          <w:lang w:val="en-US" w:eastAsia="zh-CN"/>
        </w:rPr>
        <w:t>2</w:t>
      </w:r>
      <w:r>
        <w:rPr>
          <w:rFonts w:hint="default" w:ascii="Times New Roman" w:hAnsi="Times New Roman" w:eastAsia="仿宋_GB2312" w:cs="Times New Roman"/>
          <w:color w:val="000000"/>
          <w:kern w:val="0"/>
          <w:sz w:val="32"/>
          <w:szCs w:val="32"/>
          <w:highlight w:val="none"/>
          <w:shd w:val="clear" w:color="auto" w:fill="FFFFFF"/>
          <w:lang w:val="zh-CN" w:eastAsia="zh-CN"/>
        </w:rPr>
        <w:t>个，涉及预算总金额</w:t>
      </w:r>
      <w:r>
        <w:rPr>
          <w:rFonts w:hint="eastAsia" w:ascii="Times New Roman" w:hAnsi="Times New Roman" w:eastAsia="仿宋_GB2312" w:cs="Times New Roman"/>
          <w:color w:val="000000"/>
          <w:kern w:val="0"/>
          <w:sz w:val="32"/>
          <w:szCs w:val="32"/>
          <w:highlight w:val="none"/>
          <w:shd w:val="clear" w:color="auto" w:fill="FFFFFF"/>
          <w:lang w:val="en-US" w:eastAsia="zh-CN"/>
        </w:rPr>
        <w:t>56.50</w:t>
      </w:r>
      <w:r>
        <w:rPr>
          <w:rFonts w:hint="default" w:ascii="Times New Roman" w:hAnsi="Times New Roman" w:eastAsia="仿宋_GB2312" w:cs="Times New Roman"/>
          <w:color w:val="000000"/>
          <w:kern w:val="0"/>
          <w:sz w:val="32"/>
          <w:szCs w:val="32"/>
          <w:highlight w:val="none"/>
          <w:shd w:val="clear" w:color="auto" w:fill="FFFFFF"/>
          <w:lang w:val="zh-CN" w:eastAsia="zh-CN"/>
        </w:rPr>
        <w:t>万元，1—1</w:t>
      </w:r>
      <w:r>
        <w:rPr>
          <w:rFonts w:hint="default" w:ascii="Times New Roman" w:hAnsi="Times New Roman" w:eastAsia="仿宋_GB2312" w:cs="Times New Roman"/>
          <w:color w:val="000000"/>
          <w:kern w:val="0"/>
          <w:sz w:val="32"/>
          <w:szCs w:val="32"/>
          <w:highlight w:val="none"/>
          <w:shd w:val="clear" w:color="auto" w:fill="FFFFFF"/>
          <w:lang w:val="en-US" w:eastAsia="zh-CN"/>
        </w:rPr>
        <w:t>2</w:t>
      </w:r>
      <w:r>
        <w:rPr>
          <w:rFonts w:hint="default" w:ascii="Times New Roman" w:hAnsi="Times New Roman" w:eastAsia="仿宋_GB2312" w:cs="Times New Roman"/>
          <w:color w:val="000000"/>
          <w:kern w:val="0"/>
          <w:sz w:val="32"/>
          <w:szCs w:val="32"/>
          <w:highlight w:val="none"/>
          <w:shd w:val="clear" w:color="auto" w:fill="FFFFFF"/>
          <w:lang w:val="zh-CN" w:eastAsia="zh-CN"/>
        </w:rPr>
        <w:t>月预算执行总体进度为</w:t>
      </w:r>
      <w:r>
        <w:rPr>
          <w:rFonts w:hint="eastAsia" w:ascii="Times New Roman" w:hAnsi="Times New Roman" w:eastAsia="仿宋_GB2312" w:cs="Times New Roman"/>
          <w:color w:val="000000"/>
          <w:kern w:val="0"/>
          <w:sz w:val="32"/>
          <w:szCs w:val="32"/>
          <w:highlight w:val="none"/>
          <w:shd w:val="clear" w:color="auto" w:fill="FFFFFF"/>
          <w:lang w:val="en-US" w:eastAsia="zh-CN"/>
        </w:rPr>
        <w:t>46.85%</w:t>
      </w:r>
      <w:r>
        <w:rPr>
          <w:rFonts w:hint="eastAsia" w:ascii="Times New Roman" w:hAnsi="Times New Roman" w:eastAsia="仿宋_GB2312" w:cs="Times New Roman"/>
          <w:color w:val="000000"/>
          <w:kern w:val="0"/>
          <w:sz w:val="32"/>
          <w:szCs w:val="32"/>
          <w:highlight w:val="none"/>
          <w:shd w:val="clear" w:color="auto" w:fill="FFFFFF"/>
          <w:lang w:val="zh-CN" w:eastAsia="zh-CN"/>
        </w:rPr>
        <w:t>，</w:t>
      </w:r>
      <w:r>
        <w:rPr>
          <w:rFonts w:hint="default" w:ascii="Times New Roman" w:hAnsi="Times New Roman" w:eastAsia="仿宋_GB2312" w:cs="Times New Roman"/>
          <w:color w:val="000000"/>
          <w:kern w:val="0"/>
          <w:sz w:val="32"/>
          <w:szCs w:val="32"/>
          <w:highlight w:val="none"/>
          <w:shd w:val="clear" w:color="auto" w:fill="FFFFFF"/>
          <w:lang w:val="zh-CN" w:eastAsia="zh-CN"/>
        </w:rPr>
        <w:t>其中：预算结余率大于</w:t>
      </w:r>
      <w:r>
        <w:rPr>
          <w:rFonts w:hint="default" w:ascii="Times New Roman" w:hAnsi="Times New Roman" w:eastAsia="仿宋_GB2312" w:cs="Times New Roman"/>
          <w:color w:val="000000"/>
          <w:kern w:val="0"/>
          <w:sz w:val="32"/>
          <w:szCs w:val="32"/>
          <w:highlight w:val="none"/>
          <w:shd w:val="clear" w:color="auto" w:fill="FFFFFF"/>
          <w:lang w:val="en-US" w:eastAsia="zh-CN"/>
        </w:rPr>
        <w:t>10%</w:t>
      </w:r>
      <w:r>
        <w:rPr>
          <w:rFonts w:hint="default" w:ascii="Times New Roman" w:hAnsi="Times New Roman" w:eastAsia="仿宋_GB2312" w:cs="Times New Roman"/>
          <w:color w:val="000000"/>
          <w:kern w:val="0"/>
          <w:sz w:val="32"/>
          <w:szCs w:val="32"/>
          <w:highlight w:val="none"/>
          <w:shd w:val="clear" w:color="auto" w:fill="FFFFFF"/>
          <w:lang w:val="zh-CN" w:eastAsia="zh-CN"/>
        </w:rPr>
        <w:t>的项目共计</w:t>
      </w:r>
      <w:r>
        <w:rPr>
          <w:rFonts w:hint="eastAsia" w:ascii="Times New Roman" w:hAnsi="Times New Roman" w:eastAsia="仿宋_GB2312" w:cs="Times New Roman"/>
          <w:color w:val="000000"/>
          <w:kern w:val="0"/>
          <w:sz w:val="32"/>
          <w:szCs w:val="32"/>
          <w:highlight w:val="none"/>
          <w:shd w:val="clear" w:color="auto" w:fill="FFFFFF"/>
          <w:lang w:val="en-US" w:eastAsia="zh-CN"/>
        </w:rPr>
        <w:t>1</w:t>
      </w:r>
      <w:r>
        <w:rPr>
          <w:rFonts w:hint="default" w:ascii="Times New Roman" w:hAnsi="Times New Roman" w:eastAsia="仿宋_GB2312" w:cs="Times New Roman"/>
          <w:color w:val="000000"/>
          <w:kern w:val="0"/>
          <w:sz w:val="32"/>
          <w:szCs w:val="32"/>
          <w:highlight w:val="none"/>
          <w:shd w:val="clear" w:color="auto" w:fill="FFFFFF"/>
          <w:lang w:val="zh-CN" w:eastAsia="zh-CN"/>
        </w:rPr>
        <w:t>个</w:t>
      </w:r>
      <w:r>
        <w:rPr>
          <w:rFonts w:hint="eastAsia" w:ascii="Times New Roman" w:hAnsi="Times New Roman" w:eastAsia="仿宋_GB2312" w:cs="Times New Roman"/>
          <w:color w:val="000000"/>
          <w:kern w:val="0"/>
          <w:sz w:val="32"/>
          <w:szCs w:val="32"/>
          <w:highlight w:val="none"/>
          <w:shd w:val="clear" w:color="auto" w:fill="FFFFFF"/>
          <w:lang w:val="zh-CN" w:eastAsia="zh-CN"/>
        </w:rPr>
        <w:t>。</w:t>
      </w:r>
    </w:p>
    <w:p w14:paraId="071B935C">
      <w:pPr>
        <w:keepNext w:val="0"/>
        <w:keepLines w:val="0"/>
        <w:pageBreakBefore w:val="0"/>
        <w:widowControl w:val="0"/>
        <w:numPr>
          <w:ilvl w:val="0"/>
          <w:numId w:val="0"/>
        </w:numPr>
        <w:shd w:val="clear"/>
        <w:kinsoku/>
        <w:wordWrap/>
        <w:overflowPunct/>
        <w:topLinePunct w:val="0"/>
        <w:autoSpaceDE/>
        <w:autoSpaceDN/>
        <w:bidi w:val="0"/>
        <w:adjustRightInd w:val="0"/>
        <w:snapToGrid w:val="0"/>
        <w:spacing w:line="600" w:lineRule="exact"/>
        <w:ind w:firstLine="640" w:firstLineChars="200"/>
        <w:contextualSpacing/>
        <w:jc w:val="left"/>
        <w:textAlignment w:val="auto"/>
        <w:outlineLvl w:val="9"/>
        <w:rPr>
          <w:rFonts w:hint="default" w:ascii="Times New Roman" w:hAnsi="Times New Roman" w:eastAsia="仿宋_GB2312" w:cs="Times New Roman"/>
          <w:color w:val="000000"/>
          <w:kern w:val="0"/>
          <w:sz w:val="32"/>
          <w:szCs w:val="32"/>
          <w:highlight w:val="none"/>
          <w:shd w:val="clear" w:color="auto" w:fill="FFFFFF"/>
          <w:lang w:val="zh-CN" w:eastAsia="zh-CN"/>
        </w:rPr>
      </w:pPr>
      <w:r>
        <w:rPr>
          <w:rFonts w:hint="default" w:ascii="Times New Roman" w:hAnsi="Times New Roman" w:eastAsia="仿宋_GB2312" w:cs="Times New Roman"/>
          <w:color w:val="000000"/>
          <w:kern w:val="0"/>
          <w:sz w:val="32"/>
          <w:szCs w:val="32"/>
          <w:highlight w:val="none"/>
          <w:shd w:val="clear" w:color="auto" w:fill="FFFFFF"/>
          <w:lang w:val="en-US" w:eastAsia="zh-CN"/>
        </w:rPr>
        <w:t>阶段</w:t>
      </w:r>
      <w:r>
        <w:rPr>
          <w:rFonts w:hint="eastAsia" w:ascii="Times New Roman" w:hAnsi="Times New Roman" w:eastAsia="仿宋_GB2312" w:cs="Times New Roman"/>
          <w:color w:val="000000"/>
          <w:kern w:val="0"/>
          <w:sz w:val="32"/>
          <w:szCs w:val="32"/>
          <w:highlight w:val="none"/>
          <w:shd w:val="clear" w:color="auto" w:fill="FFFFFF"/>
          <w:lang w:val="en-US" w:eastAsia="zh-CN"/>
        </w:rPr>
        <w:t>（含</w:t>
      </w:r>
      <w:r>
        <w:rPr>
          <w:rFonts w:hint="default" w:ascii="Times New Roman" w:hAnsi="Times New Roman" w:eastAsia="仿宋_GB2312" w:cs="Times New Roman"/>
          <w:color w:val="000000"/>
          <w:kern w:val="0"/>
          <w:sz w:val="32"/>
          <w:szCs w:val="32"/>
          <w:highlight w:val="none"/>
          <w:shd w:val="clear" w:color="auto" w:fill="FFFFFF"/>
          <w:lang w:val="en-US" w:eastAsia="zh-CN"/>
        </w:rPr>
        <w:t>一次性</w:t>
      </w:r>
      <w:r>
        <w:rPr>
          <w:rFonts w:hint="eastAsia" w:ascii="Times New Roman" w:hAnsi="Times New Roman" w:eastAsia="仿宋_GB2312" w:cs="Times New Roman"/>
          <w:color w:val="000000"/>
          <w:kern w:val="0"/>
          <w:sz w:val="32"/>
          <w:szCs w:val="32"/>
          <w:highlight w:val="none"/>
          <w:shd w:val="clear" w:color="auto" w:fill="FFFFFF"/>
          <w:lang w:val="en-US" w:eastAsia="zh-CN"/>
        </w:rPr>
        <w:t>）</w:t>
      </w:r>
      <w:r>
        <w:rPr>
          <w:rFonts w:hint="default" w:ascii="Times New Roman" w:hAnsi="Times New Roman" w:eastAsia="仿宋_GB2312" w:cs="Times New Roman"/>
          <w:color w:val="000000"/>
          <w:kern w:val="0"/>
          <w:sz w:val="32"/>
          <w:szCs w:val="32"/>
          <w:highlight w:val="none"/>
          <w:shd w:val="clear" w:color="auto" w:fill="FFFFFF"/>
          <w:lang w:val="en-US" w:eastAsia="zh-CN"/>
        </w:rPr>
        <w:t>项目绩效分析。</w:t>
      </w:r>
      <w:r>
        <w:rPr>
          <w:rFonts w:hint="default" w:ascii="Times New Roman" w:hAnsi="Times New Roman" w:eastAsia="仿宋_GB2312" w:cs="Times New Roman"/>
          <w:color w:val="000000"/>
          <w:kern w:val="0"/>
          <w:sz w:val="32"/>
          <w:szCs w:val="32"/>
          <w:highlight w:val="none"/>
          <w:shd w:val="clear" w:color="auto" w:fill="FFFFFF"/>
          <w:lang w:val="zh-CN" w:eastAsia="zh-CN"/>
        </w:rPr>
        <w:t>该类项目总数</w:t>
      </w:r>
      <w:r>
        <w:rPr>
          <w:rFonts w:hint="eastAsia" w:ascii="Times New Roman" w:hAnsi="Times New Roman" w:eastAsia="仿宋_GB2312" w:cs="Times New Roman"/>
          <w:color w:val="000000"/>
          <w:kern w:val="0"/>
          <w:sz w:val="32"/>
          <w:szCs w:val="32"/>
          <w:highlight w:val="none"/>
          <w:shd w:val="clear" w:color="auto" w:fill="FFFFFF"/>
          <w:lang w:val="en-US" w:eastAsia="zh-CN"/>
        </w:rPr>
        <w:t>9</w:t>
      </w:r>
      <w:r>
        <w:rPr>
          <w:rFonts w:hint="default" w:ascii="Times New Roman" w:hAnsi="Times New Roman" w:eastAsia="仿宋_GB2312" w:cs="Times New Roman"/>
          <w:color w:val="000000"/>
          <w:kern w:val="0"/>
          <w:sz w:val="32"/>
          <w:szCs w:val="32"/>
          <w:highlight w:val="none"/>
          <w:shd w:val="clear" w:color="auto" w:fill="FFFFFF"/>
          <w:lang w:val="zh-CN" w:eastAsia="zh-CN"/>
        </w:rPr>
        <w:t>个，涉及预算总金额</w:t>
      </w:r>
      <w:r>
        <w:rPr>
          <w:rFonts w:hint="eastAsia" w:ascii="Times New Roman" w:hAnsi="Times New Roman" w:eastAsia="仿宋_GB2312" w:cs="Times New Roman"/>
          <w:color w:val="000000"/>
          <w:kern w:val="0"/>
          <w:sz w:val="32"/>
          <w:szCs w:val="32"/>
          <w:highlight w:val="none"/>
          <w:shd w:val="clear" w:color="auto" w:fill="FFFFFF"/>
          <w:lang w:val="en-US" w:eastAsia="zh-CN"/>
        </w:rPr>
        <w:t>946.40</w:t>
      </w:r>
      <w:r>
        <w:rPr>
          <w:rFonts w:hint="default" w:ascii="Times New Roman" w:hAnsi="Times New Roman" w:eastAsia="仿宋_GB2312" w:cs="Times New Roman"/>
          <w:color w:val="000000"/>
          <w:kern w:val="0"/>
          <w:sz w:val="32"/>
          <w:szCs w:val="32"/>
          <w:highlight w:val="none"/>
          <w:shd w:val="clear" w:color="auto" w:fill="FFFFFF"/>
          <w:lang w:val="zh-CN" w:eastAsia="zh-CN"/>
        </w:rPr>
        <w:t>万元，1—1</w:t>
      </w:r>
      <w:r>
        <w:rPr>
          <w:rFonts w:hint="default" w:ascii="Times New Roman" w:hAnsi="Times New Roman" w:eastAsia="仿宋_GB2312" w:cs="Times New Roman"/>
          <w:color w:val="000000"/>
          <w:kern w:val="0"/>
          <w:sz w:val="32"/>
          <w:szCs w:val="32"/>
          <w:highlight w:val="none"/>
          <w:shd w:val="clear" w:color="auto" w:fill="FFFFFF"/>
          <w:lang w:val="en-US" w:eastAsia="zh-CN"/>
        </w:rPr>
        <w:t>2</w:t>
      </w:r>
      <w:r>
        <w:rPr>
          <w:rFonts w:hint="default" w:ascii="Times New Roman" w:hAnsi="Times New Roman" w:eastAsia="仿宋_GB2312" w:cs="Times New Roman"/>
          <w:color w:val="000000"/>
          <w:kern w:val="0"/>
          <w:sz w:val="32"/>
          <w:szCs w:val="32"/>
          <w:highlight w:val="none"/>
          <w:shd w:val="clear" w:color="auto" w:fill="FFFFFF"/>
          <w:lang w:val="zh-CN" w:eastAsia="zh-CN"/>
        </w:rPr>
        <w:t>月预算执行总体进度</w:t>
      </w:r>
      <w:r>
        <w:rPr>
          <w:rFonts w:hint="eastAsia" w:ascii="Times New Roman" w:hAnsi="Times New Roman" w:eastAsia="仿宋_GB2312" w:cs="Times New Roman"/>
          <w:color w:val="000000"/>
          <w:kern w:val="0"/>
          <w:sz w:val="32"/>
          <w:szCs w:val="32"/>
          <w:highlight w:val="none"/>
          <w:shd w:val="clear" w:color="auto" w:fill="FFFFFF"/>
          <w:lang w:val="en-US" w:eastAsia="zh-CN"/>
        </w:rPr>
        <w:t>74.54</w:t>
      </w:r>
      <w:r>
        <w:rPr>
          <w:rFonts w:hint="default" w:ascii="Times New Roman" w:hAnsi="Times New Roman" w:eastAsia="仿宋_GB2312" w:cs="Times New Roman"/>
          <w:color w:val="000000"/>
          <w:kern w:val="0"/>
          <w:sz w:val="32"/>
          <w:szCs w:val="32"/>
          <w:highlight w:val="none"/>
          <w:shd w:val="clear" w:color="auto" w:fill="FFFFFF"/>
          <w:lang w:val="zh-CN" w:eastAsia="zh-CN"/>
        </w:rPr>
        <w:t>%</w:t>
      </w:r>
      <w:r>
        <w:rPr>
          <w:rFonts w:hint="eastAsia" w:ascii="Times New Roman" w:hAnsi="Times New Roman" w:eastAsia="仿宋_GB2312" w:cs="Times New Roman"/>
          <w:color w:val="000000"/>
          <w:kern w:val="0"/>
          <w:sz w:val="32"/>
          <w:szCs w:val="32"/>
          <w:highlight w:val="none"/>
          <w:shd w:val="clear" w:color="auto" w:fill="FFFFFF"/>
          <w:lang w:val="zh-CN" w:eastAsia="zh-CN"/>
        </w:rPr>
        <w:t>，</w:t>
      </w:r>
      <w:r>
        <w:rPr>
          <w:rFonts w:hint="eastAsia" w:ascii="Times New Roman" w:hAnsi="Times New Roman" w:eastAsia="仿宋_GB2312" w:cs="Times New Roman"/>
          <w:color w:val="000000"/>
          <w:kern w:val="0"/>
          <w:sz w:val="32"/>
          <w:szCs w:val="32"/>
          <w:highlight w:val="none"/>
          <w:shd w:val="clear" w:color="auto" w:fill="FFFFFF"/>
          <w:lang w:val="en-US" w:eastAsia="zh-CN"/>
        </w:rPr>
        <w:t>其中；</w:t>
      </w:r>
      <w:r>
        <w:rPr>
          <w:rFonts w:hint="default" w:ascii="Times New Roman" w:hAnsi="Times New Roman" w:eastAsia="仿宋_GB2312" w:cs="Times New Roman"/>
          <w:color w:val="000000"/>
          <w:kern w:val="0"/>
          <w:sz w:val="32"/>
          <w:szCs w:val="32"/>
          <w:highlight w:val="none"/>
          <w:shd w:val="clear" w:color="auto" w:fill="FFFFFF"/>
          <w:lang w:val="zh-CN" w:eastAsia="zh-CN"/>
        </w:rPr>
        <w:t>预算结余率大于</w:t>
      </w:r>
      <w:r>
        <w:rPr>
          <w:rFonts w:hint="default" w:ascii="Times New Roman" w:hAnsi="Times New Roman" w:eastAsia="仿宋_GB2312" w:cs="Times New Roman"/>
          <w:color w:val="000000"/>
          <w:kern w:val="0"/>
          <w:sz w:val="32"/>
          <w:szCs w:val="32"/>
          <w:highlight w:val="none"/>
          <w:shd w:val="clear" w:color="auto" w:fill="FFFFFF"/>
          <w:lang w:val="en-US" w:eastAsia="zh-CN"/>
        </w:rPr>
        <w:t>10%</w:t>
      </w:r>
      <w:r>
        <w:rPr>
          <w:rFonts w:hint="default" w:ascii="Times New Roman" w:hAnsi="Times New Roman" w:eastAsia="仿宋_GB2312" w:cs="Times New Roman"/>
          <w:color w:val="000000"/>
          <w:kern w:val="0"/>
          <w:sz w:val="32"/>
          <w:szCs w:val="32"/>
          <w:highlight w:val="none"/>
          <w:shd w:val="clear" w:color="auto" w:fill="FFFFFF"/>
          <w:lang w:val="zh-CN" w:eastAsia="zh-CN"/>
        </w:rPr>
        <w:t>的项目共计</w:t>
      </w:r>
      <w:r>
        <w:rPr>
          <w:rFonts w:hint="eastAsia" w:ascii="Times New Roman" w:hAnsi="Times New Roman" w:eastAsia="仿宋_GB2312" w:cs="Times New Roman"/>
          <w:color w:val="000000"/>
          <w:kern w:val="0"/>
          <w:sz w:val="32"/>
          <w:szCs w:val="32"/>
          <w:highlight w:val="none"/>
          <w:shd w:val="clear" w:color="auto" w:fill="FFFFFF"/>
          <w:lang w:val="en-US" w:eastAsia="zh-CN"/>
        </w:rPr>
        <w:t>3</w:t>
      </w:r>
      <w:r>
        <w:rPr>
          <w:rFonts w:hint="default" w:ascii="Times New Roman" w:hAnsi="Times New Roman" w:eastAsia="仿宋_GB2312" w:cs="Times New Roman"/>
          <w:color w:val="000000"/>
          <w:kern w:val="0"/>
          <w:sz w:val="32"/>
          <w:szCs w:val="32"/>
          <w:highlight w:val="none"/>
          <w:shd w:val="clear" w:color="auto" w:fill="FFFFFF"/>
          <w:lang w:val="zh-CN" w:eastAsia="zh-CN"/>
        </w:rPr>
        <w:t>个</w:t>
      </w:r>
      <w:r>
        <w:rPr>
          <w:rFonts w:hint="eastAsia" w:ascii="Times New Roman" w:hAnsi="Times New Roman" w:eastAsia="仿宋_GB2312" w:cs="Times New Roman"/>
          <w:color w:val="000000"/>
          <w:kern w:val="0"/>
          <w:sz w:val="32"/>
          <w:szCs w:val="32"/>
          <w:highlight w:val="none"/>
          <w:shd w:val="clear" w:color="auto" w:fill="FFFFFF"/>
          <w:lang w:val="zh-CN" w:eastAsia="zh-CN"/>
        </w:rPr>
        <w:t>。</w:t>
      </w:r>
    </w:p>
    <w:p w14:paraId="2756FC29">
      <w:pPr>
        <w:keepNext w:val="0"/>
        <w:keepLines w:val="0"/>
        <w:pageBreakBefore w:val="0"/>
        <w:widowControl w:val="0"/>
        <w:numPr>
          <w:ilvl w:val="0"/>
          <w:numId w:val="0"/>
        </w:numPr>
        <w:shd w:val="clear"/>
        <w:kinsoku/>
        <w:wordWrap/>
        <w:overflowPunct/>
        <w:topLinePunct w:val="0"/>
        <w:autoSpaceDE/>
        <w:autoSpaceDN/>
        <w:bidi w:val="0"/>
        <w:adjustRightInd w:val="0"/>
        <w:snapToGrid w:val="0"/>
        <w:spacing w:line="600" w:lineRule="exact"/>
        <w:ind w:firstLine="640" w:firstLineChars="200"/>
        <w:contextualSpacing/>
        <w:jc w:val="left"/>
        <w:textAlignment w:val="auto"/>
        <w:outlineLvl w:val="9"/>
        <w:rPr>
          <w:rFonts w:hint="eastAsia" w:ascii="Times New Roman" w:hAnsi="Times New Roman" w:eastAsia="仿宋_GB2312" w:cs="Times New Roman"/>
          <w:color w:val="000000"/>
          <w:kern w:val="0"/>
          <w:sz w:val="32"/>
          <w:szCs w:val="32"/>
          <w:highlight w:val="none"/>
          <w:shd w:val="clear" w:color="auto" w:fill="FFFFFF"/>
          <w:lang w:val="zh-CN" w:eastAsia="zh-CN"/>
        </w:rPr>
      </w:pPr>
      <w:r>
        <w:rPr>
          <w:rFonts w:hint="default" w:ascii="Times New Roman" w:hAnsi="Times New Roman" w:eastAsia="仿宋_GB2312" w:cs="Times New Roman"/>
          <w:color w:val="000000"/>
          <w:kern w:val="0"/>
          <w:sz w:val="32"/>
          <w:szCs w:val="32"/>
          <w:highlight w:val="none"/>
          <w:shd w:val="clear" w:color="auto" w:fill="FFFFFF"/>
          <w:lang w:val="en-US" w:eastAsia="zh-CN"/>
        </w:rPr>
        <w:t>1</w:t>
      </w:r>
      <w:r>
        <w:rPr>
          <w:rFonts w:hint="eastAsia" w:ascii="Times New Roman" w:hAnsi="Times New Roman" w:eastAsia="仿宋_GB2312" w:cs="Times New Roman"/>
          <w:color w:val="000000"/>
          <w:kern w:val="0"/>
          <w:sz w:val="32"/>
          <w:szCs w:val="32"/>
          <w:highlight w:val="none"/>
          <w:shd w:val="clear" w:color="auto" w:fill="FFFFFF"/>
          <w:lang w:val="en-US" w:eastAsia="zh-CN"/>
        </w:rPr>
        <w:t>.</w:t>
      </w:r>
      <w:r>
        <w:rPr>
          <w:rFonts w:hint="eastAsia" w:ascii="Times New Roman" w:hAnsi="Times New Roman" w:eastAsia="仿宋_GB2312" w:cs="Times New Roman"/>
          <w:color w:val="000000"/>
          <w:kern w:val="0"/>
          <w:sz w:val="32"/>
          <w:szCs w:val="32"/>
          <w:highlight w:val="none"/>
          <w:shd w:val="clear" w:color="auto" w:fill="FFFFFF"/>
          <w:lang w:val="zh-CN" w:eastAsia="zh-CN"/>
        </w:rPr>
        <w:t>项目决策</w:t>
      </w:r>
    </w:p>
    <w:p w14:paraId="6B8CFE5C">
      <w:pPr>
        <w:keepNext w:val="0"/>
        <w:keepLines w:val="0"/>
        <w:pageBreakBefore w:val="0"/>
        <w:widowControl w:val="0"/>
        <w:numPr>
          <w:ilvl w:val="0"/>
          <w:numId w:val="0"/>
        </w:numPr>
        <w:shd w:val="clear"/>
        <w:kinsoku/>
        <w:wordWrap/>
        <w:overflowPunct/>
        <w:topLinePunct w:val="0"/>
        <w:autoSpaceDE/>
        <w:autoSpaceDN/>
        <w:bidi w:val="0"/>
        <w:adjustRightInd w:val="0"/>
        <w:snapToGrid w:val="0"/>
        <w:spacing w:line="600" w:lineRule="exact"/>
        <w:ind w:firstLine="640" w:firstLineChars="200"/>
        <w:contextualSpacing/>
        <w:jc w:val="left"/>
        <w:textAlignment w:val="auto"/>
        <w:outlineLvl w:val="9"/>
        <w:rPr>
          <w:rFonts w:hint="eastAsia" w:ascii="Times New Roman" w:hAnsi="Times New Roman" w:eastAsia="仿宋_GB2312" w:cs="Times New Roman"/>
          <w:color w:val="000000"/>
          <w:kern w:val="0"/>
          <w:sz w:val="32"/>
          <w:szCs w:val="32"/>
          <w:highlight w:val="none"/>
          <w:shd w:val="clear" w:color="auto" w:fill="FFFFFF"/>
          <w:lang w:val="zh-CN" w:eastAsia="zh-CN"/>
        </w:rPr>
      </w:pPr>
      <w:r>
        <w:rPr>
          <w:rFonts w:hint="eastAsia" w:ascii="Times New Roman" w:hAnsi="Times New Roman" w:eastAsia="仿宋_GB2312" w:cs="Times New Roman"/>
          <w:color w:val="000000"/>
          <w:kern w:val="0"/>
          <w:sz w:val="32"/>
          <w:szCs w:val="32"/>
          <w:highlight w:val="none"/>
          <w:shd w:val="clear" w:color="auto" w:fill="FFFFFF"/>
          <w:lang w:val="zh-CN" w:eastAsia="zh-CN"/>
        </w:rPr>
        <w:t>（</w:t>
      </w:r>
      <w:r>
        <w:rPr>
          <w:rFonts w:hint="default" w:ascii="Times New Roman" w:hAnsi="Times New Roman" w:eastAsia="仿宋_GB2312" w:cs="Times New Roman"/>
          <w:color w:val="000000"/>
          <w:kern w:val="0"/>
          <w:sz w:val="32"/>
          <w:szCs w:val="32"/>
          <w:highlight w:val="none"/>
          <w:shd w:val="clear" w:color="auto" w:fill="FFFFFF"/>
          <w:lang w:val="en-US" w:eastAsia="zh-CN"/>
        </w:rPr>
        <w:t>1</w:t>
      </w:r>
      <w:r>
        <w:rPr>
          <w:rFonts w:hint="eastAsia" w:ascii="Times New Roman" w:hAnsi="Times New Roman" w:eastAsia="仿宋_GB2312" w:cs="Times New Roman"/>
          <w:color w:val="000000"/>
          <w:kern w:val="0"/>
          <w:sz w:val="32"/>
          <w:szCs w:val="32"/>
          <w:highlight w:val="none"/>
          <w:shd w:val="clear" w:color="auto" w:fill="FFFFFF"/>
          <w:lang w:val="zh-CN" w:eastAsia="zh-CN"/>
        </w:rPr>
        <w:t>）决策程序</w:t>
      </w:r>
    </w:p>
    <w:p w14:paraId="7A029ECB">
      <w:pPr>
        <w:keepNext w:val="0"/>
        <w:keepLines w:val="0"/>
        <w:pageBreakBefore w:val="0"/>
        <w:widowControl w:val="0"/>
        <w:numPr>
          <w:ilvl w:val="0"/>
          <w:numId w:val="0"/>
        </w:numPr>
        <w:shd w:val="clear"/>
        <w:kinsoku/>
        <w:wordWrap/>
        <w:overflowPunct/>
        <w:topLinePunct w:val="0"/>
        <w:autoSpaceDE/>
        <w:autoSpaceDN/>
        <w:bidi w:val="0"/>
        <w:adjustRightInd w:val="0"/>
        <w:snapToGrid w:val="0"/>
        <w:spacing w:line="600" w:lineRule="exact"/>
        <w:ind w:firstLine="640" w:firstLineChars="200"/>
        <w:contextualSpacing/>
        <w:jc w:val="left"/>
        <w:textAlignment w:val="auto"/>
        <w:outlineLvl w:val="9"/>
        <w:rPr>
          <w:rFonts w:hint="eastAsia" w:ascii="Times New Roman" w:hAnsi="Times New Roman" w:eastAsia="仿宋_GB2312" w:cs="Times New Roman"/>
          <w:color w:val="000000"/>
          <w:kern w:val="0"/>
          <w:sz w:val="32"/>
          <w:szCs w:val="32"/>
          <w:highlight w:val="none"/>
          <w:shd w:val="clear" w:color="auto" w:fill="FFFFFF"/>
          <w:lang w:val="en-US" w:eastAsia="zh-CN"/>
        </w:rPr>
      </w:pPr>
      <w:r>
        <w:rPr>
          <w:rFonts w:hint="eastAsia" w:ascii="Times New Roman" w:hAnsi="Times New Roman" w:eastAsia="仿宋_GB2312" w:cs="Times New Roman"/>
          <w:color w:val="000000"/>
          <w:kern w:val="0"/>
          <w:sz w:val="32"/>
          <w:szCs w:val="32"/>
          <w:highlight w:val="none"/>
          <w:shd w:val="clear" w:color="auto" w:fill="FFFFFF"/>
          <w:lang w:val="en-US" w:eastAsia="zh-CN"/>
        </w:rPr>
        <w:t>根据事前绩效评估相关要求，2025年我院9个</w:t>
      </w:r>
      <w:r>
        <w:rPr>
          <w:rFonts w:hint="default" w:ascii="Times New Roman" w:hAnsi="Times New Roman" w:eastAsia="仿宋_GB2312" w:cs="Times New Roman"/>
          <w:color w:val="000000"/>
          <w:kern w:val="0"/>
          <w:sz w:val="32"/>
          <w:szCs w:val="32"/>
          <w:highlight w:val="none"/>
          <w:shd w:val="clear" w:color="auto" w:fill="FFFFFF"/>
          <w:lang w:val="en-US" w:eastAsia="zh-CN"/>
        </w:rPr>
        <w:t>预算阶段项目（含一次性项目）</w:t>
      </w:r>
      <w:r>
        <w:rPr>
          <w:rFonts w:hint="eastAsia" w:ascii="Times New Roman" w:hAnsi="Times New Roman" w:eastAsia="仿宋_GB2312" w:cs="Times New Roman"/>
          <w:color w:val="000000"/>
          <w:kern w:val="0"/>
          <w:sz w:val="32"/>
          <w:szCs w:val="32"/>
          <w:highlight w:val="none"/>
          <w:shd w:val="clear" w:color="auto" w:fill="FFFFFF"/>
          <w:lang w:val="en-US" w:eastAsia="zh-CN"/>
        </w:rPr>
        <w:t>均严格履行事前评估程序，项目立项依据充分，决策程序规范。</w:t>
      </w:r>
    </w:p>
    <w:p w14:paraId="27C75CAE">
      <w:pPr>
        <w:keepNext w:val="0"/>
        <w:keepLines w:val="0"/>
        <w:pageBreakBefore w:val="0"/>
        <w:widowControl w:val="0"/>
        <w:numPr>
          <w:ilvl w:val="0"/>
          <w:numId w:val="0"/>
        </w:numPr>
        <w:shd w:val="clear"/>
        <w:kinsoku/>
        <w:wordWrap/>
        <w:overflowPunct/>
        <w:topLinePunct w:val="0"/>
        <w:autoSpaceDE/>
        <w:autoSpaceDN/>
        <w:bidi w:val="0"/>
        <w:adjustRightInd w:val="0"/>
        <w:snapToGrid w:val="0"/>
        <w:spacing w:line="600" w:lineRule="exact"/>
        <w:ind w:firstLine="640" w:firstLineChars="200"/>
        <w:contextualSpacing/>
        <w:jc w:val="left"/>
        <w:textAlignment w:val="auto"/>
        <w:outlineLvl w:val="9"/>
        <w:rPr>
          <w:rFonts w:hint="eastAsia" w:ascii="Times New Roman" w:hAnsi="Times New Roman" w:eastAsia="仿宋_GB2312" w:cs="Times New Roman"/>
          <w:color w:val="000000"/>
          <w:kern w:val="0"/>
          <w:sz w:val="32"/>
          <w:szCs w:val="32"/>
          <w:highlight w:val="none"/>
          <w:shd w:val="clear" w:color="auto" w:fill="FFFFFF"/>
          <w:lang w:val="en-US" w:eastAsia="zh-CN"/>
        </w:rPr>
      </w:pPr>
      <w:r>
        <w:rPr>
          <w:rFonts w:hint="default" w:ascii="Times New Roman" w:hAnsi="Times New Roman" w:eastAsia="仿宋_GB2312" w:cs="Times New Roman"/>
          <w:color w:val="000000"/>
          <w:kern w:val="0"/>
          <w:sz w:val="32"/>
          <w:szCs w:val="32"/>
          <w:highlight w:val="none"/>
          <w:shd w:val="clear" w:color="auto" w:fill="FFFFFF"/>
          <w:lang w:val="en-US" w:eastAsia="zh-CN"/>
        </w:rPr>
        <w:t>根据评分标准，该项指标不扣分，得4分</w:t>
      </w:r>
      <w:r>
        <w:rPr>
          <w:rFonts w:hint="eastAsia" w:ascii="Times New Roman" w:hAnsi="Times New Roman" w:eastAsia="仿宋_GB2312" w:cs="Times New Roman"/>
          <w:color w:val="000000"/>
          <w:kern w:val="0"/>
          <w:sz w:val="32"/>
          <w:szCs w:val="32"/>
          <w:highlight w:val="none"/>
          <w:shd w:val="clear" w:color="auto" w:fill="FFFFFF"/>
          <w:lang w:val="en-US" w:eastAsia="zh-CN"/>
        </w:rPr>
        <w:t>。</w:t>
      </w:r>
    </w:p>
    <w:p w14:paraId="46D568C0">
      <w:pPr>
        <w:pageBreakBefore w:val="0"/>
        <w:widowControl w:val="0"/>
        <w:kinsoku/>
        <w:wordWrap/>
        <w:overflowPunct/>
        <w:topLinePunct w:val="0"/>
        <w:autoSpaceDE/>
        <w:autoSpaceDN/>
        <w:bidi w:val="0"/>
        <w:adjustRightInd/>
        <w:snapToGrid/>
        <w:spacing w:line="600" w:lineRule="exact"/>
        <w:ind w:firstLine="640" w:firstLineChars="200"/>
        <w:textAlignment w:val="auto"/>
        <w:outlineLvl w:val="2"/>
        <w:rPr>
          <w:rFonts w:hint="default" w:ascii="Times New Roman" w:hAnsi="Times New Roman" w:eastAsia="仿宋_GB2312" w:cs="Times New Roman"/>
          <w:sz w:val="32"/>
          <w:highlight w:val="none"/>
          <w:lang w:val="en-US" w:eastAsia="zh-CN"/>
        </w:rPr>
      </w:pPr>
      <w:r>
        <w:rPr>
          <w:rFonts w:hint="eastAsia" w:ascii="Times New Roman" w:hAnsi="Times New Roman" w:eastAsia="仿宋_GB2312" w:cs="Times New Roman"/>
          <w:sz w:val="32"/>
          <w:highlight w:val="none"/>
          <w:lang w:val="en-US" w:eastAsia="zh-CN"/>
        </w:rPr>
        <w:t>（</w:t>
      </w:r>
      <w:r>
        <w:rPr>
          <w:rFonts w:hint="default" w:ascii="Times New Roman" w:hAnsi="Times New Roman" w:eastAsia="仿宋_GB2312" w:cs="Times New Roman"/>
          <w:sz w:val="32"/>
          <w:highlight w:val="none"/>
          <w:lang w:val="en-US" w:eastAsia="zh-CN"/>
        </w:rPr>
        <w:t>2</w:t>
      </w:r>
      <w:r>
        <w:rPr>
          <w:rFonts w:hint="eastAsia" w:ascii="Times New Roman" w:hAnsi="Times New Roman" w:eastAsia="仿宋_GB2312" w:cs="Times New Roman"/>
          <w:sz w:val="32"/>
          <w:highlight w:val="none"/>
          <w:lang w:val="en-US" w:eastAsia="zh-CN"/>
        </w:rPr>
        <w:t>）目标设置</w:t>
      </w:r>
    </w:p>
    <w:p w14:paraId="26BEF681">
      <w:pPr>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Times New Roman"/>
          <w:sz w:val="32"/>
          <w:highlight w:val="none"/>
          <w:lang w:val="en-US" w:eastAsia="zh-CN"/>
        </w:rPr>
      </w:pPr>
      <w:r>
        <w:rPr>
          <w:rFonts w:hint="eastAsia" w:ascii="Times New Roman" w:hAnsi="Times New Roman" w:eastAsia="仿宋_GB2312" w:cs="Times New Roman"/>
          <w:sz w:val="32"/>
          <w:highlight w:val="none"/>
          <w:lang w:val="en-US" w:eastAsia="zh-CN"/>
        </w:rPr>
        <w:t>2025年我院</w:t>
      </w:r>
      <w:r>
        <w:rPr>
          <w:rFonts w:hint="default" w:ascii="Times New Roman" w:hAnsi="Times New Roman" w:eastAsia="仿宋_GB2312" w:cs="Times New Roman"/>
          <w:sz w:val="32"/>
          <w:highlight w:val="none"/>
          <w:lang w:val="zh-CN" w:eastAsia="zh-CN"/>
        </w:rPr>
        <w:t>开展绩效目标管理的</w:t>
      </w:r>
      <w:r>
        <w:rPr>
          <w:rFonts w:hint="eastAsia" w:ascii="Times New Roman" w:hAnsi="Times New Roman" w:eastAsia="仿宋_GB2312" w:cs="Times New Roman"/>
          <w:sz w:val="32"/>
          <w:highlight w:val="none"/>
          <w:lang w:val="en-US" w:eastAsia="zh-CN"/>
        </w:rPr>
        <w:t>部门预算阶段项目（含一次性项目）共有9个</w:t>
      </w:r>
      <w:r>
        <w:rPr>
          <w:rFonts w:hint="eastAsia" w:ascii="Times New Roman" w:hAnsi="Times New Roman" w:eastAsia="仿宋_GB2312" w:cs="Times New Roman"/>
          <w:sz w:val="32"/>
          <w:highlight w:val="none"/>
          <w:lang w:val="zh-CN" w:eastAsia="zh-CN"/>
        </w:rPr>
        <w:t>，</w:t>
      </w:r>
      <w:r>
        <w:rPr>
          <w:rFonts w:hint="eastAsia" w:ascii="Times New Roman" w:hAnsi="Times New Roman" w:eastAsia="仿宋_GB2312" w:cs="Times New Roman"/>
          <w:sz w:val="32"/>
          <w:highlight w:val="none"/>
          <w:lang w:val="en-US" w:eastAsia="zh-CN"/>
        </w:rPr>
        <w:t>为充分发挥绩效目标引领作用，</w:t>
      </w:r>
      <w:r>
        <w:rPr>
          <w:rFonts w:hint="eastAsia" w:ascii="Times New Roman" w:hAnsi="Times New Roman" w:eastAsia="仿宋_GB2312" w:cs="Times New Roman"/>
          <w:sz w:val="32"/>
          <w:highlight w:val="none"/>
          <w:lang w:val="zh-CN" w:eastAsia="zh-CN"/>
        </w:rPr>
        <w:t>我院</w:t>
      </w:r>
      <w:r>
        <w:rPr>
          <w:rFonts w:hint="eastAsia" w:ascii="Times New Roman" w:hAnsi="Times New Roman" w:eastAsia="仿宋_GB2312" w:cs="Times New Roman"/>
          <w:sz w:val="32"/>
          <w:highlight w:val="none"/>
          <w:lang w:val="en-US" w:eastAsia="zh-CN"/>
        </w:rPr>
        <w:t>贯彻落实《中共四川省委办公厅四川省人民政府办公厅关于深入实施预算绩效管理的通知》（川委厅〔</w:t>
      </w:r>
      <w:r>
        <w:rPr>
          <w:rFonts w:hint="default" w:ascii="Times New Roman" w:hAnsi="Times New Roman" w:eastAsia="仿宋_GB2312" w:cs="Times New Roman"/>
          <w:sz w:val="32"/>
          <w:highlight w:val="none"/>
          <w:lang w:val="en-US" w:eastAsia="zh-CN"/>
        </w:rPr>
        <w:t>2021</w:t>
      </w:r>
      <w:r>
        <w:rPr>
          <w:rFonts w:hint="eastAsia" w:ascii="Times New Roman" w:hAnsi="Times New Roman" w:eastAsia="仿宋_GB2312" w:cs="Times New Roman"/>
          <w:sz w:val="32"/>
          <w:highlight w:val="none"/>
          <w:lang w:val="en-US" w:eastAsia="zh-CN"/>
        </w:rPr>
        <w:t>〕</w:t>
      </w:r>
      <w:r>
        <w:rPr>
          <w:rFonts w:hint="default" w:ascii="Times New Roman" w:hAnsi="Times New Roman" w:eastAsia="仿宋_GB2312" w:cs="Times New Roman"/>
          <w:sz w:val="32"/>
          <w:highlight w:val="none"/>
          <w:lang w:val="en-US" w:eastAsia="zh-CN"/>
        </w:rPr>
        <w:t>5</w:t>
      </w:r>
      <w:r>
        <w:rPr>
          <w:rFonts w:hint="eastAsia" w:ascii="Times New Roman" w:hAnsi="Times New Roman" w:eastAsia="仿宋_GB2312" w:cs="Times New Roman"/>
          <w:sz w:val="32"/>
          <w:highlight w:val="none"/>
          <w:lang w:val="en-US" w:eastAsia="zh-CN"/>
        </w:rPr>
        <w:t>号）文件精神，9个项目均设置了相应的绩效目标表。</w:t>
      </w:r>
    </w:p>
    <w:p w14:paraId="28CBBA1C">
      <w:pPr>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Times New Roman"/>
          <w:sz w:val="32"/>
          <w:highlight w:val="none"/>
          <w:lang w:val="en-US" w:eastAsia="zh-CN"/>
        </w:rPr>
      </w:pPr>
      <w:r>
        <w:rPr>
          <w:rFonts w:hint="default" w:ascii="Times New Roman" w:hAnsi="Times New Roman" w:eastAsia="仿宋_GB2312" w:cs="Times New Roman"/>
          <w:sz w:val="32"/>
          <w:highlight w:val="none"/>
          <w:lang w:val="en-US" w:eastAsia="zh-CN"/>
        </w:rPr>
        <w:t>根据评分标准，该项指标不扣分，得4分</w:t>
      </w:r>
      <w:r>
        <w:rPr>
          <w:rFonts w:hint="eastAsia" w:ascii="Times New Roman" w:hAnsi="Times New Roman" w:eastAsia="仿宋_GB2312" w:cs="Times New Roman"/>
          <w:sz w:val="32"/>
          <w:highlight w:val="none"/>
          <w:lang w:val="en-US" w:eastAsia="zh-CN"/>
        </w:rPr>
        <w:t>。</w:t>
      </w:r>
    </w:p>
    <w:p w14:paraId="25F0EB7F">
      <w:pPr>
        <w:pageBreakBefore w:val="0"/>
        <w:widowControl w:val="0"/>
        <w:kinsoku/>
        <w:wordWrap/>
        <w:overflowPunct/>
        <w:topLinePunct w:val="0"/>
        <w:autoSpaceDE/>
        <w:autoSpaceDN/>
        <w:bidi w:val="0"/>
        <w:adjustRightInd/>
        <w:snapToGrid/>
        <w:spacing w:line="600" w:lineRule="exact"/>
        <w:ind w:firstLine="640" w:firstLineChars="200"/>
        <w:textAlignment w:val="auto"/>
        <w:outlineLvl w:val="2"/>
        <w:rPr>
          <w:rFonts w:hint="default" w:ascii="Times New Roman" w:hAnsi="Times New Roman" w:eastAsia="仿宋_GB2312" w:cs="Times New Roman"/>
          <w:sz w:val="32"/>
          <w:highlight w:val="none"/>
          <w:lang w:val="en-US" w:eastAsia="zh-CN"/>
        </w:rPr>
      </w:pPr>
      <w:r>
        <w:rPr>
          <w:rFonts w:hint="eastAsia" w:ascii="Times New Roman" w:hAnsi="Times New Roman" w:eastAsia="仿宋_GB2312" w:cs="Times New Roman"/>
          <w:sz w:val="32"/>
          <w:highlight w:val="none"/>
          <w:lang w:val="en-US" w:eastAsia="zh-CN"/>
        </w:rPr>
        <w:t>（</w:t>
      </w:r>
      <w:r>
        <w:rPr>
          <w:rFonts w:hint="default" w:ascii="Times New Roman" w:hAnsi="Times New Roman" w:eastAsia="仿宋_GB2312" w:cs="Times New Roman"/>
          <w:sz w:val="32"/>
          <w:highlight w:val="none"/>
          <w:lang w:val="en-US" w:eastAsia="zh-CN"/>
        </w:rPr>
        <w:t>3</w:t>
      </w:r>
      <w:r>
        <w:rPr>
          <w:rFonts w:hint="eastAsia" w:ascii="Times New Roman" w:hAnsi="Times New Roman" w:eastAsia="仿宋_GB2312" w:cs="Times New Roman"/>
          <w:sz w:val="32"/>
          <w:highlight w:val="none"/>
          <w:lang w:val="en-US" w:eastAsia="zh-CN"/>
        </w:rPr>
        <w:t>）项目入库</w:t>
      </w:r>
    </w:p>
    <w:p w14:paraId="7B4E56CA">
      <w:pPr>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Times New Roman"/>
          <w:sz w:val="32"/>
          <w:highlight w:val="none"/>
          <w:lang w:val="en-US" w:eastAsia="zh-CN"/>
        </w:rPr>
      </w:pPr>
      <w:r>
        <w:rPr>
          <w:rFonts w:hint="eastAsia" w:ascii="Times New Roman" w:hAnsi="Times New Roman" w:eastAsia="仿宋_GB2312" w:cs="Times New Roman"/>
          <w:sz w:val="32"/>
          <w:highlight w:val="none"/>
          <w:lang w:val="zh-CN" w:eastAsia="zh-CN"/>
        </w:rPr>
        <w:t>2025年我院需在</w:t>
      </w:r>
      <w:r>
        <w:rPr>
          <w:rFonts w:hint="eastAsia" w:ascii="Times New Roman" w:hAnsi="Times New Roman" w:eastAsia="仿宋_GB2312" w:cs="Times New Roman"/>
          <w:sz w:val="32"/>
          <w:highlight w:val="none"/>
          <w:lang w:val="en-US" w:eastAsia="zh-CN"/>
        </w:rPr>
        <w:t>规定时间内进行入库的</w:t>
      </w:r>
      <w:r>
        <w:rPr>
          <w:rFonts w:hint="eastAsia" w:ascii="Times New Roman" w:hAnsi="Times New Roman" w:eastAsia="仿宋_GB2312" w:cs="Times New Roman"/>
          <w:sz w:val="32"/>
          <w:highlight w:val="none"/>
          <w:lang w:val="zh-CN" w:eastAsia="zh-CN"/>
        </w:rPr>
        <w:t>项目共有</w:t>
      </w:r>
      <w:r>
        <w:rPr>
          <w:rFonts w:hint="eastAsia" w:ascii="Times New Roman" w:hAnsi="Times New Roman" w:eastAsia="仿宋_GB2312" w:cs="Times New Roman"/>
          <w:sz w:val="32"/>
          <w:highlight w:val="none"/>
          <w:lang w:val="en-US" w:eastAsia="zh-CN"/>
        </w:rPr>
        <w:t>9</w:t>
      </w:r>
      <w:r>
        <w:rPr>
          <w:rFonts w:hint="eastAsia" w:ascii="Times New Roman" w:hAnsi="Times New Roman" w:eastAsia="仿宋_GB2312" w:cs="Times New Roman"/>
          <w:sz w:val="32"/>
          <w:highlight w:val="none"/>
          <w:lang w:val="zh-CN" w:eastAsia="zh-CN"/>
        </w:rPr>
        <w:t>个，</w:t>
      </w:r>
      <w:r>
        <w:rPr>
          <w:rFonts w:hint="eastAsia" w:ascii="Times New Roman" w:hAnsi="Times New Roman" w:eastAsia="仿宋_GB2312" w:cs="Times New Roman"/>
          <w:sz w:val="32"/>
          <w:highlight w:val="none"/>
          <w:lang w:val="en-US" w:eastAsia="zh-CN"/>
        </w:rPr>
        <w:t>均在规定时间内完成了项目入库。</w:t>
      </w:r>
    </w:p>
    <w:p w14:paraId="13B773AA">
      <w:pPr>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Times New Roman"/>
          <w:sz w:val="32"/>
          <w:highlight w:val="none"/>
          <w:lang w:val="en-US" w:eastAsia="zh-CN"/>
        </w:rPr>
      </w:pPr>
      <w:r>
        <w:rPr>
          <w:rFonts w:hint="default" w:ascii="Times New Roman" w:hAnsi="Times New Roman" w:eastAsia="仿宋_GB2312" w:cs="Times New Roman"/>
          <w:sz w:val="32"/>
          <w:highlight w:val="none"/>
          <w:lang w:val="en-US" w:eastAsia="zh-CN"/>
        </w:rPr>
        <w:t>根据评分标准，该项指标不扣分，得4分</w:t>
      </w:r>
      <w:r>
        <w:rPr>
          <w:rFonts w:hint="eastAsia" w:ascii="Times New Roman" w:hAnsi="Times New Roman" w:eastAsia="仿宋_GB2312" w:cs="Times New Roman"/>
          <w:sz w:val="32"/>
          <w:highlight w:val="none"/>
          <w:lang w:val="en-US" w:eastAsia="zh-CN"/>
        </w:rPr>
        <w:t>。</w:t>
      </w:r>
    </w:p>
    <w:p w14:paraId="13534352">
      <w:pPr>
        <w:pStyle w:val="6"/>
        <w:pageBreakBefore w:val="0"/>
        <w:widowControl w:val="0"/>
        <w:kinsoku/>
        <w:wordWrap/>
        <w:overflowPunct/>
        <w:topLinePunct w:val="0"/>
        <w:autoSpaceDE/>
        <w:autoSpaceDN/>
        <w:bidi w:val="0"/>
        <w:adjustRightInd/>
        <w:snapToGrid/>
        <w:spacing w:before="0" w:beforeLines="0" w:beforeAutospacing="0" w:after="0" w:afterLines="0" w:afterAutospacing="0" w:line="600" w:lineRule="exact"/>
        <w:ind w:firstLine="640" w:firstLineChars="200"/>
        <w:textAlignment w:val="auto"/>
        <w:rPr>
          <w:rFonts w:hint="eastAsia" w:ascii="Times New Roman" w:hAnsi="Times New Roman" w:eastAsia="楷体_GB2312" w:cs="Times New Roman"/>
          <w:b w:val="0"/>
          <w:bCs w:val="0"/>
          <w:szCs w:val="24"/>
          <w:highlight w:val="none"/>
          <w:lang w:val="zh-CN" w:eastAsia="zh-CN"/>
        </w:rPr>
      </w:pPr>
      <w:r>
        <w:rPr>
          <w:rFonts w:hint="default" w:ascii="Times New Roman" w:hAnsi="Times New Roman" w:eastAsia="楷体_GB2312" w:cs="Times New Roman"/>
          <w:b w:val="0"/>
          <w:bCs w:val="0"/>
          <w:szCs w:val="24"/>
          <w:highlight w:val="none"/>
          <w:lang w:val="en-US" w:eastAsia="zh-CN"/>
        </w:rPr>
        <w:t>2</w:t>
      </w:r>
      <w:r>
        <w:rPr>
          <w:rFonts w:hint="eastAsia" w:ascii="Times New Roman" w:hAnsi="Times New Roman" w:eastAsia="楷体_GB2312" w:cs="Times New Roman"/>
          <w:b w:val="0"/>
          <w:bCs w:val="0"/>
          <w:szCs w:val="24"/>
          <w:highlight w:val="none"/>
          <w:lang w:val="en-US" w:eastAsia="zh-CN"/>
        </w:rPr>
        <w:t>.项目执行</w:t>
      </w:r>
    </w:p>
    <w:p w14:paraId="4000648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2"/>
        <w:rPr>
          <w:rFonts w:hint="eastAsia" w:ascii="Times New Roman" w:hAnsi="Times New Roman" w:eastAsia="仿宋_GB2312" w:cs="Times New Roman"/>
          <w:sz w:val="32"/>
          <w:highlight w:val="none"/>
          <w:lang w:val="zh-CN"/>
        </w:rPr>
      </w:pPr>
      <w:r>
        <w:rPr>
          <w:rFonts w:hint="eastAsia" w:ascii="Times New Roman" w:hAnsi="Times New Roman" w:eastAsia="仿宋_GB2312" w:cs="Times New Roman"/>
          <w:sz w:val="32"/>
          <w:highlight w:val="none"/>
          <w:lang w:val="zh-CN"/>
        </w:rPr>
        <w:t>（</w:t>
      </w:r>
      <w:r>
        <w:rPr>
          <w:rFonts w:hint="default" w:ascii="Times New Roman" w:hAnsi="Times New Roman" w:eastAsia="仿宋_GB2312" w:cs="Times New Roman"/>
          <w:sz w:val="32"/>
          <w:highlight w:val="none"/>
          <w:lang w:val="en-US" w:eastAsia="zh-CN"/>
        </w:rPr>
        <w:t>1</w:t>
      </w:r>
      <w:r>
        <w:rPr>
          <w:rFonts w:hint="eastAsia" w:ascii="Times New Roman" w:hAnsi="Times New Roman" w:eastAsia="仿宋_GB2312" w:cs="Times New Roman"/>
          <w:sz w:val="32"/>
          <w:highlight w:val="none"/>
          <w:lang w:val="zh-CN"/>
        </w:rPr>
        <w:t>）执行同向</w:t>
      </w:r>
    </w:p>
    <w:p w14:paraId="13B0E98C">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highlight w:val="none"/>
          <w:lang w:val="en-US" w:eastAsia="zh-CN"/>
        </w:rPr>
      </w:pPr>
      <w:r>
        <w:rPr>
          <w:rFonts w:hint="eastAsia" w:ascii="Times New Roman" w:hAnsi="Times New Roman" w:eastAsia="仿宋_GB2312" w:cs="Times New Roman"/>
          <w:sz w:val="32"/>
          <w:highlight w:val="none"/>
          <w:lang w:val="en-US" w:eastAsia="zh-CN"/>
        </w:rPr>
        <w:t>我院严格按照部门预算项目批复内容实施项目，项目资金使用符合预算批复用途，与项目总体绩效目标设置方向相符，没有相悖或不合理之处。</w:t>
      </w:r>
    </w:p>
    <w:p w14:paraId="761F85E1">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sz w:val="32"/>
          <w:highlight w:val="none"/>
          <w:lang w:val="en-US" w:eastAsia="zh-CN"/>
        </w:rPr>
      </w:pPr>
      <w:r>
        <w:rPr>
          <w:rFonts w:hint="default" w:ascii="Times New Roman" w:hAnsi="Times New Roman" w:eastAsia="仿宋_GB2312" w:cs="Times New Roman"/>
          <w:sz w:val="32"/>
          <w:highlight w:val="none"/>
          <w:lang w:val="en-US" w:eastAsia="zh-CN"/>
        </w:rPr>
        <w:t>根据评分标准，该项指标不扣分，得4分</w:t>
      </w:r>
      <w:r>
        <w:rPr>
          <w:rFonts w:hint="eastAsia" w:ascii="Times New Roman" w:hAnsi="Times New Roman" w:eastAsia="仿宋_GB2312" w:cs="Times New Roman"/>
          <w:sz w:val="32"/>
          <w:highlight w:val="none"/>
          <w:lang w:val="en-US" w:eastAsia="zh-CN"/>
        </w:rPr>
        <w:t>。</w:t>
      </w:r>
    </w:p>
    <w:p w14:paraId="27B5CC2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2"/>
        <w:rPr>
          <w:rFonts w:hint="eastAsia" w:ascii="Times New Roman" w:hAnsi="Times New Roman" w:eastAsia="仿宋_GB2312" w:cs="Times New Roman"/>
          <w:sz w:val="32"/>
          <w:highlight w:val="none"/>
          <w:lang w:val="zh-CN"/>
        </w:rPr>
      </w:pPr>
      <w:r>
        <w:rPr>
          <w:rFonts w:hint="eastAsia" w:ascii="Times New Roman" w:hAnsi="Times New Roman" w:eastAsia="仿宋_GB2312" w:cs="Times New Roman"/>
          <w:sz w:val="32"/>
          <w:highlight w:val="none"/>
          <w:lang w:val="zh-CN"/>
        </w:rPr>
        <w:t>（</w:t>
      </w:r>
      <w:r>
        <w:rPr>
          <w:rFonts w:hint="default" w:ascii="Times New Roman" w:hAnsi="Times New Roman" w:eastAsia="仿宋_GB2312" w:cs="Times New Roman"/>
          <w:sz w:val="32"/>
          <w:highlight w:val="none"/>
          <w:lang w:val="en-US" w:eastAsia="zh-CN"/>
        </w:rPr>
        <w:t>2</w:t>
      </w:r>
      <w:r>
        <w:rPr>
          <w:rFonts w:hint="eastAsia" w:ascii="Times New Roman" w:hAnsi="Times New Roman" w:eastAsia="仿宋_GB2312" w:cs="Times New Roman"/>
          <w:sz w:val="32"/>
          <w:highlight w:val="none"/>
          <w:lang w:val="zh-CN"/>
        </w:rPr>
        <w:t>）项目调整</w:t>
      </w:r>
    </w:p>
    <w:p w14:paraId="6707401E">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sz w:val="32"/>
          <w:highlight w:val="none"/>
          <w:lang w:val="en-US" w:eastAsia="zh-CN"/>
        </w:rPr>
      </w:pPr>
      <w:r>
        <w:rPr>
          <w:rFonts w:hint="eastAsia" w:ascii="Times New Roman" w:hAnsi="Times New Roman" w:eastAsia="仿宋_GB2312" w:cs="Times New Roman"/>
          <w:sz w:val="32"/>
          <w:highlight w:val="none"/>
          <w:lang w:val="en-US" w:eastAsia="zh-CN"/>
        </w:rPr>
        <w:t>2025年我院年初设置的部门项目预算较为合理，项目总体绩效目标设置较为科学合理，预算调整及时，与实际情况基本相符，不存在应采取但未采取收回预算、调整目标等处置措施的部门预算阶段项目，故不涉及收回预算、调整目标等处置措施。</w:t>
      </w:r>
    </w:p>
    <w:p w14:paraId="5DC8CB55">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sz w:val="32"/>
          <w:highlight w:val="none"/>
          <w:lang w:val="zh-CN" w:eastAsia="zh-CN"/>
        </w:rPr>
      </w:pPr>
      <w:r>
        <w:rPr>
          <w:rFonts w:hint="default" w:ascii="Times New Roman" w:hAnsi="Times New Roman" w:eastAsia="仿宋_GB2312" w:cs="Times New Roman"/>
          <w:sz w:val="32"/>
          <w:highlight w:val="none"/>
          <w:lang w:val="en-US" w:eastAsia="zh-CN"/>
        </w:rPr>
        <w:t>根据评分标准，该项指标不扣分，得4分</w:t>
      </w:r>
      <w:r>
        <w:rPr>
          <w:rFonts w:hint="eastAsia" w:ascii="Times New Roman" w:hAnsi="Times New Roman" w:eastAsia="仿宋_GB2312" w:cs="Times New Roman"/>
          <w:sz w:val="32"/>
          <w:highlight w:val="none"/>
          <w:lang w:val="en-US" w:eastAsia="zh-CN"/>
        </w:rPr>
        <w:t>。</w:t>
      </w:r>
    </w:p>
    <w:p w14:paraId="7DB078E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2"/>
        <w:rPr>
          <w:rFonts w:hint="eastAsia" w:ascii="Times New Roman" w:hAnsi="Times New Roman" w:eastAsia="仿宋_GB2312" w:cs="Times New Roman"/>
          <w:sz w:val="32"/>
          <w:highlight w:val="none"/>
          <w:lang w:val="zh-CN"/>
        </w:rPr>
      </w:pPr>
      <w:r>
        <w:rPr>
          <w:rFonts w:hint="eastAsia" w:ascii="Times New Roman" w:hAnsi="Times New Roman" w:eastAsia="仿宋_GB2312" w:cs="Times New Roman"/>
          <w:sz w:val="32"/>
          <w:highlight w:val="none"/>
          <w:lang w:val="zh-CN"/>
        </w:rPr>
        <w:t>（</w:t>
      </w:r>
      <w:r>
        <w:rPr>
          <w:rFonts w:hint="default" w:ascii="Times New Roman" w:hAnsi="Times New Roman" w:eastAsia="仿宋_GB2312" w:cs="Times New Roman"/>
          <w:sz w:val="32"/>
          <w:highlight w:val="none"/>
          <w:lang w:val="en-US" w:eastAsia="zh-CN"/>
        </w:rPr>
        <w:t>3</w:t>
      </w:r>
      <w:r>
        <w:rPr>
          <w:rFonts w:hint="eastAsia" w:ascii="Times New Roman" w:hAnsi="Times New Roman" w:eastAsia="仿宋_GB2312" w:cs="Times New Roman"/>
          <w:sz w:val="32"/>
          <w:highlight w:val="none"/>
          <w:lang w:val="zh-CN"/>
        </w:rPr>
        <w:t>）执行结果</w:t>
      </w:r>
    </w:p>
    <w:p w14:paraId="1D4B05F0">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sz w:val="32"/>
          <w:highlight w:val="none"/>
          <w:lang w:val="zh-CN" w:eastAsia="zh-CN"/>
        </w:rPr>
      </w:pPr>
      <w:r>
        <w:rPr>
          <w:rFonts w:hint="eastAsia" w:ascii="Times New Roman" w:hAnsi="Times New Roman" w:eastAsia="仿宋_GB2312" w:cs="Times New Roman"/>
          <w:sz w:val="32"/>
          <w:highlight w:val="none"/>
          <w:lang w:val="en-US" w:eastAsia="zh-CN"/>
        </w:rPr>
        <w:t>2025年我院</w:t>
      </w:r>
      <w:r>
        <w:rPr>
          <w:rFonts w:hint="eastAsia" w:ascii="Times New Roman" w:hAnsi="Times New Roman" w:eastAsia="仿宋_GB2312" w:cs="Times New Roman"/>
          <w:sz w:val="32"/>
          <w:highlight w:val="none"/>
          <w:lang w:val="zh-CN" w:eastAsia="zh-CN"/>
        </w:rPr>
        <w:t>常年项目</w:t>
      </w:r>
      <w:r>
        <w:rPr>
          <w:rFonts w:hint="eastAsia" w:ascii="Times New Roman" w:hAnsi="Times New Roman" w:eastAsia="仿宋_GB2312" w:cs="Times New Roman"/>
          <w:sz w:val="32"/>
          <w:highlight w:val="none"/>
          <w:lang w:val="en-US" w:eastAsia="zh-CN"/>
        </w:rPr>
        <w:t>共计2</w:t>
      </w:r>
      <w:r>
        <w:rPr>
          <w:rFonts w:hint="eastAsia" w:ascii="Times New Roman" w:hAnsi="Times New Roman" w:eastAsia="仿宋_GB2312" w:cs="Times New Roman"/>
          <w:sz w:val="32"/>
          <w:highlight w:val="none"/>
          <w:lang w:val="zh-CN" w:eastAsia="zh-CN"/>
        </w:rPr>
        <w:t>个，预算结余率</w:t>
      </w:r>
      <w:r>
        <w:rPr>
          <w:rFonts w:hint="eastAsia" w:ascii="Times New Roman" w:hAnsi="Times New Roman" w:eastAsia="仿宋_GB2312" w:cs="Times New Roman"/>
          <w:sz w:val="32"/>
          <w:highlight w:val="none"/>
          <w:lang w:val="en-US" w:eastAsia="zh-CN"/>
        </w:rPr>
        <w:t>小</w:t>
      </w:r>
      <w:r>
        <w:rPr>
          <w:rFonts w:hint="eastAsia" w:ascii="Times New Roman" w:hAnsi="Times New Roman" w:eastAsia="仿宋_GB2312" w:cs="Times New Roman"/>
          <w:sz w:val="32"/>
          <w:highlight w:val="none"/>
          <w:lang w:val="zh-CN" w:eastAsia="zh-CN"/>
        </w:rPr>
        <w:t>于</w:t>
      </w:r>
      <w:r>
        <w:rPr>
          <w:rFonts w:hint="default" w:ascii="Times New Roman" w:hAnsi="Times New Roman" w:eastAsia="仿宋_GB2312" w:cs="Times New Roman"/>
          <w:sz w:val="32"/>
          <w:highlight w:val="none"/>
          <w:lang w:val="zh-CN" w:eastAsia="zh-CN"/>
        </w:rPr>
        <w:t>10</w:t>
      </w:r>
      <w:r>
        <w:rPr>
          <w:rFonts w:hint="eastAsia" w:ascii="Times New Roman" w:hAnsi="Times New Roman" w:eastAsia="仿宋_GB2312" w:cs="Times New Roman"/>
          <w:sz w:val="32"/>
          <w:highlight w:val="none"/>
          <w:lang w:val="zh-CN" w:eastAsia="zh-CN"/>
        </w:rPr>
        <w:t>%</w:t>
      </w:r>
      <w:r>
        <w:rPr>
          <w:rFonts w:hint="eastAsia" w:ascii="Times New Roman" w:hAnsi="Times New Roman" w:eastAsia="仿宋_GB2312" w:cs="Times New Roman"/>
          <w:sz w:val="32"/>
          <w:highlight w:val="none"/>
          <w:lang w:val="en-US" w:eastAsia="zh-CN"/>
        </w:rPr>
        <w:t>的常年项目数量为1个</w:t>
      </w:r>
      <w:r>
        <w:rPr>
          <w:rFonts w:hint="eastAsia" w:ascii="Times New Roman" w:hAnsi="Times New Roman" w:eastAsia="仿宋_GB2312" w:cs="Times New Roman"/>
          <w:sz w:val="32"/>
          <w:highlight w:val="none"/>
          <w:lang w:val="zh-CN" w:eastAsia="zh-CN"/>
        </w:rPr>
        <w:t>；阶段（一次性）项目</w:t>
      </w:r>
      <w:r>
        <w:rPr>
          <w:rFonts w:hint="eastAsia" w:ascii="Times New Roman" w:hAnsi="Times New Roman" w:eastAsia="仿宋_GB2312" w:cs="Times New Roman"/>
          <w:sz w:val="32"/>
          <w:highlight w:val="none"/>
          <w:lang w:val="en-US" w:eastAsia="zh-CN"/>
        </w:rPr>
        <w:t>共计7</w:t>
      </w:r>
      <w:r>
        <w:rPr>
          <w:rFonts w:hint="eastAsia" w:ascii="Times New Roman" w:hAnsi="Times New Roman" w:eastAsia="仿宋_GB2312" w:cs="Times New Roman"/>
          <w:sz w:val="32"/>
          <w:highlight w:val="none"/>
          <w:lang w:val="zh-CN" w:eastAsia="zh-CN"/>
        </w:rPr>
        <w:t>个，</w:t>
      </w:r>
      <w:r>
        <w:rPr>
          <w:rFonts w:hint="eastAsia" w:ascii="Times New Roman" w:hAnsi="Times New Roman" w:eastAsia="仿宋_GB2312" w:cs="Times New Roman"/>
          <w:sz w:val="32"/>
          <w:highlight w:val="none"/>
          <w:lang w:val="en-US" w:eastAsia="zh-CN"/>
        </w:rPr>
        <w:t>预算结余率小于10%的一次性项目和阶段项目数量为6个。</w:t>
      </w:r>
    </w:p>
    <w:p w14:paraId="5321902E">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sz w:val="32"/>
          <w:highlight w:val="none"/>
          <w:lang w:val="zh-CN" w:eastAsia="zh-CN"/>
        </w:rPr>
      </w:pPr>
      <w:r>
        <w:rPr>
          <w:rFonts w:hint="default" w:ascii="Times New Roman" w:hAnsi="Times New Roman" w:eastAsia="仿宋_GB2312" w:cs="Times New Roman"/>
          <w:sz w:val="32"/>
          <w:highlight w:val="none"/>
          <w:lang w:val="en-US" w:eastAsia="zh-CN"/>
        </w:rPr>
        <w:t>根据评分标准，该项指标扣1.</w:t>
      </w:r>
      <w:r>
        <w:rPr>
          <w:rFonts w:hint="eastAsia" w:ascii="Times New Roman" w:hAnsi="Times New Roman" w:eastAsia="仿宋_GB2312" w:cs="Times New Roman"/>
          <w:sz w:val="32"/>
          <w:highlight w:val="none"/>
          <w:lang w:val="en-US" w:eastAsia="zh-CN"/>
        </w:rPr>
        <w:t>29</w:t>
      </w:r>
      <w:r>
        <w:rPr>
          <w:rFonts w:hint="default" w:ascii="Times New Roman" w:hAnsi="Times New Roman" w:eastAsia="仿宋_GB2312" w:cs="Times New Roman"/>
          <w:sz w:val="32"/>
          <w:highlight w:val="none"/>
          <w:lang w:val="en-US" w:eastAsia="zh-CN"/>
        </w:rPr>
        <w:t>分，得</w:t>
      </w:r>
      <w:r>
        <w:rPr>
          <w:rFonts w:hint="eastAsia" w:ascii="Times New Roman" w:hAnsi="Times New Roman" w:eastAsia="仿宋_GB2312" w:cs="Times New Roman"/>
          <w:sz w:val="32"/>
          <w:highlight w:val="none"/>
          <w:lang w:val="en-US" w:eastAsia="zh-CN"/>
        </w:rPr>
        <w:t>2.71</w:t>
      </w:r>
      <w:r>
        <w:rPr>
          <w:rFonts w:hint="default" w:ascii="Times New Roman" w:hAnsi="Times New Roman" w:eastAsia="仿宋_GB2312" w:cs="Times New Roman"/>
          <w:sz w:val="32"/>
          <w:highlight w:val="none"/>
          <w:lang w:val="en-US" w:eastAsia="zh-CN"/>
        </w:rPr>
        <w:t>分</w:t>
      </w:r>
      <w:r>
        <w:rPr>
          <w:rFonts w:hint="eastAsia" w:ascii="Times New Roman" w:hAnsi="Times New Roman" w:eastAsia="仿宋_GB2312" w:cs="Times New Roman"/>
          <w:sz w:val="32"/>
          <w:highlight w:val="none"/>
          <w:lang w:val="en-US" w:eastAsia="zh-CN"/>
        </w:rPr>
        <w:t>。</w:t>
      </w:r>
    </w:p>
    <w:p w14:paraId="465FAF27">
      <w:pPr>
        <w:pStyle w:val="6"/>
        <w:pageBreakBefore w:val="0"/>
        <w:widowControl w:val="0"/>
        <w:kinsoku/>
        <w:wordWrap/>
        <w:overflowPunct/>
        <w:topLinePunct w:val="0"/>
        <w:autoSpaceDE/>
        <w:autoSpaceDN/>
        <w:bidi w:val="0"/>
        <w:adjustRightInd/>
        <w:snapToGrid/>
        <w:spacing w:before="0" w:beforeLines="0" w:beforeAutospacing="0" w:after="0" w:afterLines="0" w:afterAutospacing="0" w:line="600" w:lineRule="exact"/>
        <w:ind w:firstLine="640" w:firstLineChars="200"/>
        <w:textAlignment w:val="auto"/>
        <w:rPr>
          <w:rFonts w:hint="default" w:ascii="Times New Roman" w:hAnsi="Times New Roman" w:eastAsia="楷体_GB2312" w:cs="Times New Roman"/>
          <w:b w:val="0"/>
          <w:bCs w:val="0"/>
          <w:szCs w:val="24"/>
          <w:highlight w:val="none"/>
          <w:lang w:val="en-US" w:eastAsia="zh-CN"/>
        </w:rPr>
      </w:pPr>
      <w:r>
        <w:rPr>
          <w:rFonts w:hint="default" w:ascii="Times New Roman" w:hAnsi="Times New Roman" w:eastAsia="楷体_GB2312" w:cs="Times New Roman"/>
          <w:b w:val="0"/>
          <w:bCs w:val="0"/>
          <w:szCs w:val="24"/>
          <w:highlight w:val="none"/>
          <w:lang w:val="en-US" w:eastAsia="zh-CN"/>
        </w:rPr>
        <w:t>3</w:t>
      </w:r>
      <w:r>
        <w:rPr>
          <w:rFonts w:hint="eastAsia" w:ascii="Times New Roman" w:hAnsi="Times New Roman" w:eastAsia="楷体_GB2312" w:cs="Times New Roman"/>
          <w:b w:val="0"/>
          <w:bCs w:val="0"/>
          <w:szCs w:val="24"/>
          <w:highlight w:val="none"/>
          <w:lang w:val="en-US" w:eastAsia="zh-CN"/>
        </w:rPr>
        <w:t>.</w:t>
      </w:r>
      <w:r>
        <w:rPr>
          <w:rFonts w:hint="eastAsia" w:ascii="Times New Roman" w:hAnsi="Times New Roman" w:eastAsia="楷体_GB2312" w:cs="Times New Roman"/>
          <w:b w:val="0"/>
          <w:bCs w:val="0"/>
          <w:szCs w:val="24"/>
          <w:highlight w:val="none"/>
          <w:lang w:val="zh-CN" w:eastAsia="zh-CN"/>
        </w:rPr>
        <w:t>目标实现</w:t>
      </w:r>
    </w:p>
    <w:p w14:paraId="0D77087C">
      <w:pPr>
        <w:pageBreakBefore w:val="0"/>
        <w:widowControl w:val="0"/>
        <w:kinsoku/>
        <w:wordWrap/>
        <w:overflowPunct/>
        <w:topLinePunct w:val="0"/>
        <w:autoSpaceDE/>
        <w:autoSpaceDN/>
        <w:bidi w:val="0"/>
        <w:adjustRightInd/>
        <w:snapToGrid/>
        <w:spacing w:line="600" w:lineRule="exact"/>
        <w:ind w:firstLine="640" w:firstLineChars="200"/>
        <w:textAlignment w:val="auto"/>
        <w:outlineLvl w:val="2"/>
        <w:rPr>
          <w:rFonts w:hint="eastAsia" w:ascii="Times New Roman" w:hAnsi="Times New Roman" w:eastAsia="仿宋_GB2312" w:cs="Times New Roman"/>
          <w:sz w:val="32"/>
          <w:highlight w:val="none"/>
          <w:lang w:eastAsia="zh-CN"/>
        </w:rPr>
      </w:pPr>
      <w:r>
        <w:rPr>
          <w:rFonts w:hint="eastAsia" w:ascii="Times New Roman" w:hAnsi="Times New Roman" w:eastAsia="仿宋_GB2312" w:cs="Times New Roman"/>
          <w:sz w:val="32"/>
          <w:highlight w:val="none"/>
          <w:lang w:eastAsia="zh-CN"/>
        </w:rPr>
        <w:t>（</w:t>
      </w:r>
      <w:r>
        <w:rPr>
          <w:rFonts w:hint="default" w:ascii="Times New Roman" w:hAnsi="Times New Roman" w:eastAsia="仿宋_GB2312" w:cs="Times New Roman"/>
          <w:sz w:val="32"/>
          <w:highlight w:val="none"/>
          <w:lang w:val="en-US" w:eastAsia="zh-CN"/>
        </w:rPr>
        <w:t>1</w:t>
      </w:r>
      <w:r>
        <w:rPr>
          <w:rFonts w:hint="eastAsia" w:ascii="Times New Roman" w:hAnsi="Times New Roman" w:eastAsia="仿宋_GB2312" w:cs="Times New Roman"/>
          <w:sz w:val="32"/>
          <w:highlight w:val="none"/>
          <w:lang w:eastAsia="zh-CN"/>
        </w:rPr>
        <w:t>）目标完成</w:t>
      </w:r>
    </w:p>
    <w:p w14:paraId="353BB009">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highlight w:val="none"/>
          <w:lang w:val="en-US" w:eastAsia="zh-CN"/>
        </w:rPr>
      </w:pPr>
      <w:r>
        <w:rPr>
          <w:rFonts w:hint="eastAsia" w:ascii="Times New Roman" w:hAnsi="Times New Roman" w:eastAsia="仿宋_GB2312" w:cs="Times New Roman"/>
          <w:sz w:val="32"/>
          <w:highlight w:val="none"/>
          <w:lang w:eastAsia="zh-CN"/>
        </w:rPr>
        <w:t>2025年部门预算阶段项目（含一次性项目）共有</w:t>
      </w:r>
      <w:r>
        <w:rPr>
          <w:rFonts w:hint="eastAsia" w:ascii="Times New Roman" w:hAnsi="Times New Roman" w:eastAsia="仿宋_GB2312" w:cs="Times New Roman"/>
          <w:sz w:val="32"/>
          <w:highlight w:val="none"/>
          <w:lang w:val="en-US" w:eastAsia="zh-CN"/>
        </w:rPr>
        <w:t>9</w:t>
      </w:r>
      <w:r>
        <w:rPr>
          <w:rFonts w:hint="eastAsia" w:ascii="Times New Roman" w:hAnsi="Times New Roman" w:eastAsia="仿宋_GB2312" w:cs="Times New Roman"/>
          <w:sz w:val="32"/>
          <w:highlight w:val="none"/>
          <w:lang w:eastAsia="zh-CN"/>
        </w:rPr>
        <w:t>个，</w:t>
      </w:r>
      <w:r>
        <w:rPr>
          <w:rFonts w:hint="eastAsia" w:ascii="Times New Roman" w:hAnsi="Times New Roman" w:eastAsia="仿宋_GB2312" w:cs="Times New Roman"/>
          <w:sz w:val="32"/>
          <w:highlight w:val="none"/>
          <w:lang w:val="en-US" w:eastAsia="zh-CN"/>
        </w:rPr>
        <w:t>结合项目实施的实际情况，我院所涉及的</w:t>
      </w:r>
      <w:r>
        <w:rPr>
          <w:rFonts w:hint="eastAsia" w:ascii="Times New Roman" w:hAnsi="Times New Roman" w:eastAsia="仿宋_GB2312" w:cs="Times New Roman"/>
          <w:sz w:val="32"/>
          <w:highlight w:val="none"/>
          <w:lang w:eastAsia="zh-CN"/>
        </w:rPr>
        <w:t>部门预算阶段项目（含一次性项目）</w:t>
      </w:r>
      <w:r>
        <w:rPr>
          <w:rFonts w:hint="eastAsia" w:ascii="Times New Roman" w:hAnsi="Times New Roman" w:eastAsia="仿宋_GB2312" w:cs="Times New Roman"/>
          <w:sz w:val="32"/>
          <w:highlight w:val="none"/>
          <w:lang w:val="en-US" w:eastAsia="zh-CN"/>
        </w:rPr>
        <w:t>各数量指标全部完成的数量为9个。</w:t>
      </w:r>
    </w:p>
    <w:p w14:paraId="214E1580">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highlight w:val="none"/>
          <w:lang w:eastAsia="zh-CN"/>
        </w:rPr>
      </w:pPr>
      <w:r>
        <w:rPr>
          <w:rFonts w:hint="default" w:ascii="Times New Roman" w:hAnsi="Times New Roman" w:eastAsia="仿宋_GB2312" w:cs="Times New Roman"/>
          <w:sz w:val="32"/>
          <w:highlight w:val="none"/>
          <w:lang w:val="en-US" w:eastAsia="zh-CN"/>
        </w:rPr>
        <w:t>根据评分标准，该项指标不扣分，得4分</w:t>
      </w:r>
      <w:r>
        <w:rPr>
          <w:rFonts w:hint="eastAsia" w:ascii="Times New Roman" w:hAnsi="Times New Roman" w:eastAsia="仿宋_GB2312" w:cs="Times New Roman"/>
          <w:sz w:val="32"/>
          <w:highlight w:val="none"/>
          <w:lang w:val="en-US" w:eastAsia="zh-CN"/>
        </w:rPr>
        <w:t>。</w:t>
      </w:r>
    </w:p>
    <w:p w14:paraId="3338851D">
      <w:pPr>
        <w:pageBreakBefore w:val="0"/>
        <w:widowControl w:val="0"/>
        <w:kinsoku/>
        <w:wordWrap/>
        <w:overflowPunct/>
        <w:topLinePunct w:val="0"/>
        <w:autoSpaceDE/>
        <w:autoSpaceDN/>
        <w:bidi w:val="0"/>
        <w:adjustRightInd/>
        <w:snapToGrid/>
        <w:spacing w:line="600" w:lineRule="exact"/>
        <w:ind w:firstLine="640" w:firstLineChars="200"/>
        <w:textAlignment w:val="auto"/>
        <w:outlineLvl w:val="2"/>
        <w:rPr>
          <w:rFonts w:hint="eastAsia" w:ascii="Times New Roman" w:hAnsi="Times New Roman" w:eastAsia="仿宋_GB2312" w:cs="Times New Roman"/>
          <w:sz w:val="32"/>
          <w:highlight w:val="none"/>
          <w:lang w:eastAsia="zh-CN"/>
        </w:rPr>
      </w:pPr>
      <w:r>
        <w:rPr>
          <w:rFonts w:hint="eastAsia" w:ascii="Times New Roman" w:hAnsi="Times New Roman" w:eastAsia="仿宋_GB2312" w:cs="Times New Roman"/>
          <w:sz w:val="32"/>
          <w:highlight w:val="none"/>
          <w:lang w:eastAsia="zh-CN"/>
        </w:rPr>
        <w:t>（</w:t>
      </w:r>
      <w:r>
        <w:rPr>
          <w:rFonts w:hint="default" w:ascii="Times New Roman" w:hAnsi="Times New Roman" w:eastAsia="仿宋_GB2312" w:cs="Times New Roman"/>
          <w:sz w:val="32"/>
          <w:highlight w:val="none"/>
          <w:lang w:val="en-US" w:eastAsia="zh-CN"/>
        </w:rPr>
        <w:t>2</w:t>
      </w:r>
      <w:r>
        <w:rPr>
          <w:rFonts w:hint="eastAsia" w:ascii="Times New Roman" w:hAnsi="Times New Roman" w:eastAsia="仿宋_GB2312" w:cs="Times New Roman"/>
          <w:sz w:val="32"/>
          <w:highlight w:val="none"/>
          <w:lang w:eastAsia="zh-CN"/>
        </w:rPr>
        <w:t>）目标偏离</w:t>
      </w:r>
    </w:p>
    <w:p w14:paraId="60027174">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sz w:val="32"/>
          <w:highlight w:val="none"/>
          <w:lang w:val="en-US" w:eastAsia="zh-CN"/>
        </w:rPr>
      </w:pPr>
      <w:r>
        <w:rPr>
          <w:rFonts w:hint="eastAsia" w:ascii="Times New Roman" w:hAnsi="Times New Roman" w:eastAsia="仿宋_GB2312" w:cs="Times New Roman"/>
          <w:sz w:val="32"/>
          <w:highlight w:val="none"/>
          <w:lang w:val="en-US" w:eastAsia="zh-CN"/>
        </w:rPr>
        <w:t>2025年我院部门预算项目（含</w:t>
      </w:r>
      <w:r>
        <w:rPr>
          <w:rFonts w:hint="default" w:ascii="Times New Roman" w:hAnsi="Times New Roman" w:eastAsia="仿宋_GB2312" w:cs="Times New Roman"/>
          <w:sz w:val="32"/>
          <w:highlight w:val="none"/>
          <w:lang w:val="en-US" w:eastAsia="zh-CN"/>
        </w:rPr>
        <w:t>常年项目</w:t>
      </w:r>
      <w:r>
        <w:rPr>
          <w:rFonts w:hint="eastAsia" w:ascii="Times New Roman" w:hAnsi="Times New Roman" w:eastAsia="仿宋_GB2312" w:cs="Times New Roman"/>
          <w:sz w:val="32"/>
          <w:highlight w:val="none"/>
          <w:lang w:val="en-US" w:eastAsia="zh-CN"/>
        </w:rPr>
        <w:t>和阶段项目及一次性项目）共有9个，各项目数量指标的完成值与设定预期指标值的偏离度在</w:t>
      </w:r>
      <w:r>
        <w:rPr>
          <w:rFonts w:hint="default" w:ascii="Times New Roman" w:hAnsi="Times New Roman" w:eastAsia="仿宋_GB2312" w:cs="Times New Roman"/>
          <w:sz w:val="32"/>
          <w:highlight w:val="none"/>
          <w:lang w:val="en-US" w:eastAsia="zh-CN"/>
        </w:rPr>
        <w:t>30</w:t>
      </w:r>
      <w:r>
        <w:rPr>
          <w:rFonts w:hint="eastAsia" w:ascii="Times New Roman" w:hAnsi="Times New Roman" w:eastAsia="仿宋_GB2312" w:cs="Times New Roman"/>
          <w:sz w:val="32"/>
          <w:highlight w:val="none"/>
          <w:lang w:val="en-US" w:eastAsia="zh-CN"/>
        </w:rPr>
        <w:t>%以内的个数为9个。</w:t>
      </w:r>
    </w:p>
    <w:p w14:paraId="26DF1D26">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highlight w:val="none"/>
          <w:lang w:val="en-US" w:eastAsia="zh-CN"/>
        </w:rPr>
      </w:pPr>
      <w:r>
        <w:rPr>
          <w:rFonts w:hint="default" w:ascii="Times New Roman" w:hAnsi="Times New Roman" w:eastAsia="仿宋_GB2312" w:cs="Times New Roman"/>
          <w:sz w:val="32"/>
          <w:highlight w:val="none"/>
          <w:lang w:val="en-US" w:eastAsia="zh-CN"/>
        </w:rPr>
        <w:t>根据评分标准，该项指标不扣分，得4分</w:t>
      </w:r>
      <w:r>
        <w:rPr>
          <w:rFonts w:hint="eastAsia" w:ascii="Times New Roman" w:hAnsi="Times New Roman" w:eastAsia="仿宋_GB2312" w:cs="Times New Roman"/>
          <w:sz w:val="32"/>
          <w:highlight w:val="none"/>
          <w:lang w:val="en-US" w:eastAsia="zh-CN"/>
        </w:rPr>
        <w:t>。</w:t>
      </w:r>
    </w:p>
    <w:p w14:paraId="645582A8">
      <w:pPr>
        <w:pageBreakBefore w:val="0"/>
        <w:widowControl w:val="0"/>
        <w:kinsoku/>
        <w:wordWrap/>
        <w:overflowPunct/>
        <w:topLinePunct w:val="0"/>
        <w:autoSpaceDE/>
        <w:autoSpaceDN/>
        <w:bidi w:val="0"/>
        <w:adjustRightInd/>
        <w:snapToGrid/>
        <w:spacing w:line="600" w:lineRule="exact"/>
        <w:ind w:firstLine="640" w:firstLineChars="200"/>
        <w:textAlignment w:val="auto"/>
        <w:outlineLvl w:val="2"/>
        <w:rPr>
          <w:rFonts w:hint="eastAsia" w:ascii="Times New Roman" w:hAnsi="Times New Roman" w:eastAsia="仿宋_GB2312" w:cs="Times New Roman"/>
          <w:sz w:val="32"/>
          <w:highlight w:val="none"/>
          <w:lang w:eastAsia="zh-CN"/>
        </w:rPr>
      </w:pPr>
      <w:r>
        <w:rPr>
          <w:rFonts w:hint="eastAsia" w:ascii="Times New Roman" w:hAnsi="Times New Roman" w:eastAsia="仿宋_GB2312" w:cs="Times New Roman"/>
          <w:sz w:val="32"/>
          <w:highlight w:val="none"/>
          <w:lang w:eastAsia="zh-CN"/>
        </w:rPr>
        <w:t>（</w:t>
      </w:r>
      <w:r>
        <w:rPr>
          <w:rFonts w:hint="default" w:ascii="Times New Roman" w:hAnsi="Times New Roman" w:eastAsia="仿宋_GB2312" w:cs="Times New Roman"/>
          <w:sz w:val="32"/>
          <w:highlight w:val="none"/>
          <w:lang w:val="en-US" w:eastAsia="zh-CN"/>
        </w:rPr>
        <w:t>3</w:t>
      </w:r>
      <w:r>
        <w:rPr>
          <w:rFonts w:hint="eastAsia" w:ascii="Times New Roman" w:hAnsi="Times New Roman" w:eastAsia="仿宋_GB2312" w:cs="Times New Roman"/>
          <w:sz w:val="32"/>
          <w:highlight w:val="none"/>
          <w:lang w:eastAsia="zh-CN"/>
        </w:rPr>
        <w:t>）实现效果</w:t>
      </w:r>
    </w:p>
    <w:p w14:paraId="5F5CF76A">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highlight w:val="none"/>
          <w:lang w:val="en-US" w:eastAsia="zh-CN"/>
        </w:rPr>
      </w:pPr>
      <w:r>
        <w:rPr>
          <w:rFonts w:hint="eastAsia" w:ascii="Times New Roman" w:hAnsi="Times New Roman" w:eastAsia="仿宋_GB2312" w:cs="Times New Roman"/>
          <w:sz w:val="32"/>
          <w:highlight w:val="none"/>
          <w:lang w:eastAsia="zh-CN"/>
        </w:rPr>
        <w:t>2025年我院需进行绩效目标管理的部门预算阶段项目共有</w:t>
      </w:r>
      <w:r>
        <w:rPr>
          <w:rFonts w:hint="eastAsia" w:ascii="Times New Roman" w:hAnsi="Times New Roman" w:eastAsia="仿宋_GB2312" w:cs="Times New Roman"/>
          <w:sz w:val="32"/>
          <w:highlight w:val="none"/>
          <w:lang w:val="en-US" w:eastAsia="zh-CN"/>
        </w:rPr>
        <w:t>9</w:t>
      </w:r>
      <w:r>
        <w:rPr>
          <w:rFonts w:hint="eastAsia" w:ascii="Times New Roman" w:hAnsi="Times New Roman" w:eastAsia="仿宋_GB2312" w:cs="Times New Roman"/>
          <w:sz w:val="32"/>
          <w:highlight w:val="none"/>
          <w:lang w:eastAsia="zh-CN"/>
        </w:rPr>
        <w:t>个</w:t>
      </w:r>
      <w:r>
        <w:rPr>
          <w:rFonts w:hint="eastAsia" w:ascii="Times New Roman" w:hAnsi="Times New Roman" w:eastAsia="仿宋_GB2312" w:cs="Times New Roman"/>
          <w:sz w:val="32"/>
          <w:highlight w:val="none"/>
          <w:lang w:val="en-US" w:eastAsia="zh-CN"/>
        </w:rPr>
        <w:t>，预期效益指标均已完成的项目个数为9个。</w:t>
      </w:r>
    </w:p>
    <w:p w14:paraId="593805C9">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sz w:val="32"/>
          <w:highlight w:val="none"/>
          <w:lang w:val="zh-CN" w:eastAsia="zh-CN"/>
        </w:rPr>
      </w:pPr>
      <w:r>
        <w:rPr>
          <w:rFonts w:hint="default" w:ascii="Times New Roman" w:hAnsi="Times New Roman" w:eastAsia="仿宋_GB2312" w:cs="Times New Roman"/>
          <w:sz w:val="32"/>
          <w:highlight w:val="none"/>
          <w:lang w:val="en-US" w:eastAsia="zh-CN"/>
        </w:rPr>
        <w:t>根据评分标准，该项指标不扣分，得3分</w:t>
      </w:r>
      <w:r>
        <w:rPr>
          <w:rFonts w:hint="eastAsia" w:ascii="Times New Roman" w:hAnsi="Times New Roman" w:eastAsia="仿宋_GB2312" w:cs="Times New Roman"/>
          <w:sz w:val="32"/>
          <w:highlight w:val="none"/>
          <w:lang w:val="en-US" w:eastAsia="zh-CN"/>
        </w:rPr>
        <w:t>。</w:t>
      </w:r>
    </w:p>
    <w:p w14:paraId="546D4E55">
      <w:pPr>
        <w:keepNext w:val="0"/>
        <w:keepLines w:val="0"/>
        <w:pageBreakBefore w:val="0"/>
        <w:widowControl/>
        <w:kinsoku/>
        <w:wordWrap/>
        <w:overflowPunct/>
        <w:topLinePunct w:val="0"/>
        <w:autoSpaceDE/>
        <w:autoSpaceDN/>
        <w:bidi w:val="0"/>
        <w:adjustRightInd w:val="0"/>
        <w:snapToGrid w:val="0"/>
        <w:spacing w:line="600" w:lineRule="exact"/>
        <w:ind w:firstLine="643"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三</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default" w:ascii="Times New Roman" w:hAnsi="Times New Roman" w:eastAsia="楷体_GB2312" w:cs="Times New Roman"/>
          <w:b/>
          <w:bCs/>
          <w:color w:val="000000"/>
          <w:kern w:val="0"/>
          <w:sz w:val="32"/>
          <w:szCs w:val="32"/>
          <w:highlight w:val="none"/>
          <w:shd w:val="clear" w:color="auto" w:fill="FFFFFF"/>
          <w:lang w:val="zh-CN" w:eastAsia="zh-CN"/>
        </w:rPr>
        <w:t>重点领域</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r>
        <w:rPr>
          <w:rFonts w:hint="default" w:ascii="Times New Roman" w:hAnsi="Times New Roman" w:eastAsia="楷体_GB2312" w:cs="Times New Roman"/>
          <w:b/>
          <w:bCs/>
          <w:color w:val="000000"/>
          <w:kern w:val="0"/>
          <w:sz w:val="32"/>
          <w:szCs w:val="32"/>
          <w:highlight w:val="none"/>
          <w:shd w:val="clear" w:color="auto" w:fill="FFFFFF"/>
          <w:lang w:val="zh-CN" w:eastAsia="zh-CN"/>
        </w:rPr>
        <w:t>。</w:t>
      </w:r>
    </w:p>
    <w:p w14:paraId="396DDC08">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3" w:firstLineChars="200"/>
        <w:contextualSpacing/>
        <w:jc w:val="both"/>
        <w:textAlignment w:val="auto"/>
        <w:outlineLvl w:val="9"/>
        <w:rPr>
          <w:rFonts w:hint="eastAsia" w:ascii="Times New Roman Regular" w:hAnsi="Times New Roman Regular" w:eastAsia="楷体_GB2312" w:cs="Times New Roman Regular"/>
          <w:b/>
          <w:bCs/>
          <w:color w:val="000000"/>
          <w:kern w:val="0"/>
          <w:sz w:val="32"/>
          <w:szCs w:val="32"/>
          <w:highlight w:val="none"/>
          <w:shd w:val="clear" w:color="auto" w:fill="FFFFFF"/>
          <w:lang w:val="en-US" w:eastAsia="zh-CN"/>
        </w:rPr>
      </w:pPr>
      <w:r>
        <w:rPr>
          <w:rFonts w:hint="default" w:ascii="Times New Roman Regular" w:hAnsi="Times New Roman Regular" w:eastAsia="楷体_GB2312" w:cs="Times New Roman Regular"/>
          <w:b/>
          <w:bCs/>
          <w:color w:val="000000"/>
          <w:kern w:val="0"/>
          <w:sz w:val="32"/>
          <w:szCs w:val="32"/>
          <w:highlight w:val="none"/>
          <w:shd w:val="clear" w:color="auto" w:fill="FFFFFF"/>
          <w:lang w:val="en-US" w:eastAsia="zh-CN"/>
        </w:rPr>
        <w:t>行政事业性国有资产绩效分析。</w:t>
      </w:r>
    </w:p>
    <w:p w14:paraId="6FE7B656">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contextualSpacing/>
        <w:jc w:val="both"/>
        <w:textAlignment w:val="auto"/>
        <w:outlineLvl w:val="9"/>
        <w:rPr>
          <w:rFonts w:hint="default" w:ascii="Times New Roman Regular" w:hAnsi="Times New Roman Regular" w:eastAsia="楷体_GB2312" w:cs="Times New Roman Regular"/>
          <w:b/>
          <w:bCs/>
          <w:color w:val="000000"/>
          <w:kern w:val="0"/>
          <w:szCs w:val="32"/>
          <w:highlight w:val="none"/>
          <w:shd w:val="clear" w:color="auto" w:fill="FFFFFF"/>
          <w:lang w:val="en-US" w:eastAsia="zh-CN"/>
        </w:rPr>
      </w:pPr>
      <w:r>
        <w:rPr>
          <w:rFonts w:hint="eastAsia" w:ascii="Times New Roman" w:hAnsi="Times New Roman" w:eastAsia="仿宋_GB2312" w:cs="Times New Roman"/>
          <w:sz w:val="32"/>
          <w:szCs w:val="32"/>
          <w:highlight w:val="none"/>
          <w:u w:val="none"/>
          <w:lang w:eastAsia="zh-CN"/>
        </w:rPr>
        <w:t>2025年度，我院</w:t>
      </w:r>
      <w:r>
        <w:rPr>
          <w:rFonts w:hint="eastAsia" w:ascii="Times New Roman" w:hAnsi="Times New Roman" w:eastAsia="仿宋_GB2312" w:cs="Times New Roman"/>
          <w:sz w:val="32"/>
          <w:szCs w:val="32"/>
          <w:highlight w:val="none"/>
          <w:u w:val="none"/>
          <w:lang w:val="en-US" w:eastAsia="zh-CN"/>
        </w:rPr>
        <w:t>无资产配置预算，但</w:t>
      </w:r>
      <w:r>
        <w:rPr>
          <w:rFonts w:hint="eastAsia" w:ascii="Times New Roman" w:hAnsi="Times New Roman" w:eastAsia="仿宋_GB2312" w:cs="Times New Roman"/>
          <w:sz w:val="32"/>
          <w:szCs w:val="32"/>
          <w:highlight w:val="none"/>
          <w:u w:val="none"/>
          <w:lang w:eastAsia="zh-CN"/>
        </w:rPr>
        <w:t>严格按照</w:t>
      </w:r>
      <w:r>
        <w:rPr>
          <w:rFonts w:hint="eastAsia" w:ascii="Times New Roman" w:hAnsi="Times New Roman" w:eastAsia="仿宋_GB2312" w:cs="Times New Roman"/>
          <w:sz w:val="32"/>
          <w:szCs w:val="32"/>
          <w:highlight w:val="none"/>
          <w:u w:val="none"/>
          <w:lang w:val="en-US" w:eastAsia="zh-CN"/>
        </w:rPr>
        <w:t>相关文件</w:t>
      </w:r>
      <w:r>
        <w:rPr>
          <w:rFonts w:hint="eastAsia" w:ascii="Times New Roman" w:hAnsi="Times New Roman" w:eastAsia="仿宋_GB2312" w:cs="Times New Roman"/>
          <w:sz w:val="32"/>
          <w:szCs w:val="32"/>
          <w:highlight w:val="none"/>
          <w:u w:val="none"/>
          <w:lang w:eastAsia="zh-CN"/>
        </w:rPr>
        <w:t>要求，做好国有资产的清理盘点、统计报告及日常监督检查工作，2025年度国有资产基础管理、日常管理、效率管理等方面整体效益较好，有效保障了国有资产安全，提高了国有资产利用率</w:t>
      </w:r>
      <w:r>
        <w:rPr>
          <w:rFonts w:hint="default" w:ascii="Times New Roman" w:hAnsi="Times New Roman" w:eastAsia="仿宋_GB2312" w:cs="Times New Roman"/>
          <w:sz w:val="32"/>
          <w:szCs w:val="32"/>
          <w:highlight w:val="none"/>
          <w:u w:val="none"/>
          <w:lang w:val="en-US" w:eastAsia="zh-CN"/>
        </w:rPr>
        <w:t>。</w:t>
      </w:r>
    </w:p>
    <w:p w14:paraId="4073FBE8">
      <w:pPr>
        <w:keepNext w:val="0"/>
        <w:keepLines w:val="0"/>
        <w:pageBreakBefore w:val="0"/>
        <w:widowControl/>
        <w:kinsoku/>
        <w:wordWrap/>
        <w:overflowPunct/>
        <w:topLinePunct w:val="0"/>
        <w:autoSpaceDE/>
        <w:autoSpaceDN/>
        <w:bidi w:val="0"/>
        <w:adjustRightInd w:val="0"/>
        <w:snapToGrid w:val="0"/>
        <w:spacing w:line="600" w:lineRule="exact"/>
        <w:ind w:firstLine="643"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en-US"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（四）绩效结果应用情况。</w:t>
      </w:r>
    </w:p>
    <w:p w14:paraId="090AC7D3">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contextualSpacing/>
        <w:jc w:val="both"/>
        <w:textAlignment w:val="auto"/>
        <w:outlineLvl w:val="9"/>
        <w:rPr>
          <w:rFonts w:hint="eastAsia" w:ascii="Times New Roman" w:hAnsi="Times New Roman" w:eastAsia="仿宋_GB2312" w:cs="Times New Roman"/>
          <w:sz w:val="32"/>
          <w:szCs w:val="32"/>
          <w:highlight w:val="none"/>
          <w:u w:val="none"/>
          <w:lang w:eastAsia="zh-CN"/>
        </w:rPr>
      </w:pPr>
      <w:r>
        <w:rPr>
          <w:rFonts w:hint="eastAsia" w:ascii="Times New Roman" w:hAnsi="Times New Roman" w:eastAsia="仿宋_GB2312" w:cs="Times New Roman"/>
          <w:sz w:val="32"/>
          <w:szCs w:val="32"/>
          <w:highlight w:val="none"/>
          <w:u w:val="none"/>
          <w:lang w:val="en-US" w:eastAsia="zh-CN"/>
        </w:rPr>
        <w:t>我院</w:t>
      </w:r>
      <w:r>
        <w:rPr>
          <w:rFonts w:hint="eastAsia" w:ascii="Times New Roman" w:hAnsi="Times New Roman" w:eastAsia="仿宋_GB2312" w:cs="Times New Roman"/>
          <w:sz w:val="32"/>
          <w:szCs w:val="32"/>
          <w:highlight w:val="none"/>
          <w:u w:val="none"/>
          <w:lang w:val="zh-CN" w:eastAsia="zh-CN"/>
        </w:rPr>
        <w:t>为进一步提高行政事业单位内部管理水平和风险防范能力，规范内部控制，加强廉政风险防控机制建设，我院在对预算、收支、政府采购、资产、建设项目、合同等各类经济业务活动流程梳理的基础上，明确业务环节，系统分析经济活动风险，确定风险点，选择应对策略，形成了内部控制制度</w:t>
      </w:r>
      <w:r>
        <w:rPr>
          <w:rFonts w:hint="eastAsia" w:ascii="Times New Roman" w:hAnsi="Times New Roman" w:eastAsia="仿宋_GB2312" w:cs="Times New Roman"/>
          <w:sz w:val="32"/>
          <w:szCs w:val="32"/>
          <w:highlight w:val="none"/>
          <w:u w:val="none"/>
          <w:lang w:val="en-US" w:eastAsia="zh-CN"/>
        </w:rPr>
        <w:t>手册</w:t>
      </w:r>
      <w:r>
        <w:rPr>
          <w:rFonts w:hint="eastAsia" w:ascii="Times New Roman" w:hAnsi="Times New Roman" w:eastAsia="仿宋_GB2312" w:cs="Times New Roman"/>
          <w:sz w:val="32"/>
          <w:szCs w:val="32"/>
          <w:highlight w:val="none"/>
          <w:u w:val="none"/>
          <w:lang w:val="zh-CN" w:eastAsia="zh-CN"/>
        </w:rPr>
        <w:t>，我院严格按照内控制度进行预算绩效管理，并按照相关要求将绩效信息随同</w:t>
      </w:r>
      <w:r>
        <w:rPr>
          <w:rFonts w:hint="eastAsia" w:ascii="Times New Roman" w:hAnsi="Times New Roman" w:eastAsia="仿宋_GB2312" w:cs="Times New Roman"/>
          <w:sz w:val="32"/>
          <w:szCs w:val="32"/>
          <w:highlight w:val="none"/>
          <w:u w:val="none"/>
          <w:lang w:val="en-US" w:eastAsia="zh-CN"/>
        </w:rPr>
        <w:t>预</w:t>
      </w:r>
      <w:r>
        <w:rPr>
          <w:rFonts w:hint="eastAsia" w:ascii="Times New Roman" w:hAnsi="Times New Roman" w:eastAsia="仿宋_GB2312" w:cs="Times New Roman"/>
          <w:sz w:val="32"/>
          <w:szCs w:val="32"/>
          <w:highlight w:val="none"/>
          <w:u w:val="none"/>
          <w:lang w:val="zh-CN" w:eastAsia="zh-CN"/>
        </w:rPr>
        <w:t>决算公开。</w:t>
      </w:r>
    </w:p>
    <w:p w14:paraId="271BDC1E">
      <w:pPr>
        <w:keepNext w:val="0"/>
        <w:keepLines w:val="0"/>
        <w:pageBreakBefore w:val="0"/>
        <w:widowControl/>
        <w:kinsoku/>
        <w:wordWrap/>
        <w:overflowPunct/>
        <w:topLinePunct w:val="0"/>
        <w:autoSpaceDE/>
        <w:autoSpaceDN/>
        <w:bidi w:val="0"/>
        <w:adjustRightInd w:val="0"/>
        <w:snapToGrid w:val="0"/>
        <w:spacing w:line="600" w:lineRule="exact"/>
        <w:ind w:firstLine="640" w:firstLineChars="200"/>
        <w:contextualSpacing/>
        <w:jc w:val="left"/>
        <w:textAlignment w:val="auto"/>
        <w:outlineLvl w:val="0"/>
        <w:rPr>
          <w:rFonts w:hint="default" w:ascii="Times New Roman" w:hAnsi="Times New Roman" w:eastAsia="黑体" w:cs="Times New Roman"/>
          <w:color w:val="000000"/>
          <w:kern w:val="0"/>
          <w:sz w:val="32"/>
          <w:szCs w:val="32"/>
          <w:highlight w:val="none"/>
          <w:shd w:val="clear" w:color="auto" w:fill="FFFFFF"/>
          <w:lang w:eastAsia="zh-CN"/>
        </w:rPr>
      </w:pPr>
      <w:r>
        <w:rPr>
          <w:rFonts w:hint="default" w:ascii="Times New Roman" w:hAnsi="Times New Roman" w:eastAsia="黑体" w:cs="Times New Roman"/>
          <w:color w:val="000000"/>
          <w:kern w:val="0"/>
          <w:sz w:val="32"/>
          <w:szCs w:val="32"/>
          <w:highlight w:val="none"/>
          <w:shd w:val="clear" w:color="auto" w:fill="FFFFFF"/>
          <w:lang w:eastAsia="zh-CN"/>
        </w:rPr>
        <w:t>四、评价结论及建议</w:t>
      </w:r>
    </w:p>
    <w:p w14:paraId="60E1EEF1">
      <w:pPr>
        <w:keepNext w:val="0"/>
        <w:keepLines w:val="0"/>
        <w:pageBreakBefore w:val="0"/>
        <w:widowControl/>
        <w:kinsoku/>
        <w:wordWrap/>
        <w:overflowPunct/>
        <w:topLinePunct w:val="0"/>
        <w:autoSpaceDE/>
        <w:autoSpaceDN/>
        <w:bidi w:val="0"/>
        <w:adjustRightInd w:val="0"/>
        <w:snapToGrid w:val="0"/>
        <w:spacing w:line="600" w:lineRule="exact"/>
        <w:ind w:firstLine="643" w:firstLineChars="200"/>
        <w:contextualSpacing/>
        <w:jc w:val="left"/>
        <w:textAlignment w:val="auto"/>
        <w:outlineLvl w:val="1"/>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（一）评价结论。</w:t>
      </w:r>
    </w:p>
    <w:p w14:paraId="7D9DBB1A">
      <w:pPr>
        <w:keepNext w:val="0"/>
        <w:keepLines w:val="0"/>
        <w:pageBreakBefore w:val="0"/>
        <w:widowControl/>
        <w:kinsoku/>
        <w:wordWrap/>
        <w:overflowPunct/>
        <w:topLinePunct w:val="0"/>
        <w:autoSpaceDE/>
        <w:autoSpaceDN/>
        <w:bidi w:val="0"/>
        <w:adjustRightInd w:val="0"/>
        <w:snapToGrid w:val="0"/>
        <w:spacing w:line="600" w:lineRule="exact"/>
        <w:ind w:firstLine="640" w:firstLineChars="200"/>
        <w:contextualSpacing/>
        <w:jc w:val="left"/>
        <w:textAlignment w:val="auto"/>
        <w:outlineLvl w:val="9"/>
        <w:rPr>
          <w:rFonts w:hint="default" w:ascii="Times New Roman" w:hAnsi="Times New Roman" w:eastAsia="仿宋_GB2312" w:cs="Times New Roman"/>
          <w:b w:val="0"/>
          <w:bCs w:val="0"/>
          <w:kern w:val="0"/>
          <w:position w:val="0"/>
          <w:sz w:val="32"/>
          <w:szCs w:val="32"/>
          <w:highlight w:val="none"/>
          <w:lang w:val="en-US" w:eastAsia="zh-CN" w:bidi="ar-SA"/>
        </w:rPr>
      </w:pPr>
      <w:r>
        <w:rPr>
          <w:rFonts w:hint="eastAsia" w:ascii="Times New Roman" w:hAnsi="Times New Roman" w:eastAsia="仿宋_GB2312" w:cs="Times New Roman"/>
          <w:b w:val="0"/>
          <w:bCs w:val="0"/>
          <w:kern w:val="0"/>
          <w:position w:val="0"/>
          <w:sz w:val="32"/>
          <w:szCs w:val="32"/>
          <w:highlight w:val="none"/>
          <w:lang w:val="en-US" w:eastAsia="zh-CN" w:bidi="ar-SA"/>
        </w:rPr>
        <w:t>我院针对</w:t>
      </w:r>
      <w:r>
        <w:rPr>
          <w:rFonts w:hint="default" w:ascii="Times New Roman" w:hAnsi="Times New Roman" w:eastAsia="仿宋_GB2312" w:cs="Times New Roman"/>
          <w:b w:val="0"/>
          <w:bCs w:val="0"/>
          <w:kern w:val="0"/>
          <w:position w:val="0"/>
          <w:sz w:val="32"/>
          <w:szCs w:val="32"/>
          <w:highlight w:val="none"/>
          <w:lang w:val="en-US" w:eastAsia="zh-CN" w:bidi="ar-SA"/>
        </w:rPr>
        <w:t>本次财政预算绩效自评工作，严格按照《预算绩效评价共性指标体系框架》及相关财务管理规定，</w:t>
      </w:r>
      <w:r>
        <w:rPr>
          <w:rFonts w:hint="eastAsia" w:ascii="Times New Roman" w:hAnsi="Times New Roman" w:eastAsia="仿宋_GB2312" w:cs="Times New Roman"/>
          <w:b w:val="0"/>
          <w:bCs w:val="0"/>
          <w:kern w:val="0"/>
          <w:position w:val="0"/>
          <w:sz w:val="32"/>
          <w:szCs w:val="32"/>
          <w:highlight w:val="none"/>
          <w:lang w:val="en-US" w:eastAsia="zh-CN" w:bidi="ar-SA"/>
        </w:rPr>
        <w:t>结合我院2025年度工作开展情况及履职情况，</w:t>
      </w:r>
      <w:r>
        <w:rPr>
          <w:rFonts w:hint="default" w:ascii="Times New Roman" w:hAnsi="Times New Roman" w:eastAsia="仿宋_GB2312" w:cs="Times New Roman"/>
          <w:b w:val="0"/>
          <w:bCs w:val="0"/>
          <w:kern w:val="0"/>
          <w:position w:val="0"/>
          <w:sz w:val="32"/>
          <w:szCs w:val="32"/>
          <w:highlight w:val="none"/>
          <w:lang w:val="en-US" w:eastAsia="zh-CN" w:bidi="ar-SA"/>
        </w:rPr>
        <w:t>对</w:t>
      </w:r>
      <w:r>
        <w:rPr>
          <w:rFonts w:hint="eastAsia" w:ascii="Times New Roman" w:hAnsi="Times New Roman" w:eastAsia="仿宋_GB2312" w:cs="Times New Roman"/>
          <w:b w:val="0"/>
          <w:bCs w:val="0"/>
          <w:kern w:val="0"/>
          <w:position w:val="0"/>
          <w:sz w:val="32"/>
          <w:szCs w:val="32"/>
          <w:highlight w:val="none"/>
          <w:lang w:val="en-US" w:eastAsia="zh-CN" w:bidi="ar-SA"/>
        </w:rPr>
        <w:t>2025年度部门</w:t>
      </w:r>
      <w:r>
        <w:rPr>
          <w:rFonts w:hint="default" w:ascii="Times New Roman" w:hAnsi="Times New Roman" w:eastAsia="仿宋_GB2312" w:cs="Times New Roman"/>
          <w:b w:val="0"/>
          <w:bCs w:val="0"/>
          <w:kern w:val="0"/>
          <w:position w:val="0"/>
          <w:sz w:val="32"/>
          <w:szCs w:val="32"/>
          <w:highlight w:val="none"/>
          <w:lang w:val="en-US" w:eastAsia="zh-CN" w:bidi="ar-SA"/>
        </w:rPr>
        <w:t>预算资金的使用情况进行了全面、深入的分析和评价。经过自评，我们得出以下结论</w:t>
      </w:r>
      <w:r>
        <w:rPr>
          <w:rFonts w:hint="eastAsia" w:ascii="Times New Roman" w:hAnsi="Times New Roman" w:eastAsia="仿宋_GB2312" w:cs="Times New Roman"/>
          <w:b w:val="0"/>
          <w:bCs w:val="0"/>
          <w:kern w:val="0"/>
          <w:position w:val="0"/>
          <w:sz w:val="32"/>
          <w:szCs w:val="32"/>
          <w:highlight w:val="none"/>
          <w:lang w:val="en-US" w:eastAsia="zh-CN" w:bidi="ar-SA"/>
        </w:rPr>
        <w:t>：2025年度，我院切实履行了部门职责，部门预算管理、财务管理、资产管理和采购管理等规范有序，较好地完成了各项年度任务，部门预算支出使用效益达到预期，但我院在年度预算项目绩效指标编制方面，其个别指标设置质量相对不高，按照部门预算绩效评价指标体系中指标评分标准要求，2025年我院部门预算绩效评价综合得分84.59分。</w:t>
      </w:r>
    </w:p>
    <w:p w14:paraId="2AB1ECE2">
      <w:pPr>
        <w:keepNext w:val="0"/>
        <w:keepLines w:val="0"/>
        <w:pageBreakBefore w:val="0"/>
        <w:widowControl/>
        <w:kinsoku/>
        <w:wordWrap/>
        <w:overflowPunct/>
        <w:topLinePunct w:val="0"/>
        <w:autoSpaceDE/>
        <w:autoSpaceDN/>
        <w:bidi w:val="0"/>
        <w:adjustRightInd w:val="0"/>
        <w:snapToGrid w:val="0"/>
        <w:spacing w:line="600" w:lineRule="exact"/>
        <w:ind w:firstLine="643" w:firstLineChars="200"/>
        <w:contextualSpacing/>
        <w:jc w:val="left"/>
        <w:textAlignment w:val="auto"/>
        <w:outlineLvl w:val="1"/>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（二）存在问题。</w:t>
      </w:r>
    </w:p>
    <w:p w14:paraId="6DE141E1">
      <w:pPr>
        <w:keepNext w:val="0"/>
        <w:keepLines w:val="0"/>
        <w:pageBreakBefore w:val="0"/>
        <w:widowControl/>
        <w:kinsoku/>
        <w:wordWrap/>
        <w:overflowPunct/>
        <w:topLinePunct w:val="0"/>
        <w:autoSpaceDE/>
        <w:autoSpaceDN/>
        <w:bidi w:val="0"/>
        <w:adjustRightInd w:val="0"/>
        <w:snapToGrid w:val="0"/>
        <w:spacing w:line="600" w:lineRule="exact"/>
        <w:ind w:firstLine="640" w:firstLineChars="200"/>
        <w:contextualSpacing/>
        <w:jc w:val="left"/>
        <w:textAlignment w:val="auto"/>
        <w:outlineLvl w:val="1"/>
        <w:rPr>
          <w:rFonts w:hint="eastAsia" w:ascii="Times New Roman" w:hAnsi="Times New Roman" w:eastAsia="仿宋_GB2312" w:cs="Times New Roman"/>
          <w:b w:val="0"/>
          <w:bCs w:val="0"/>
          <w:kern w:val="0"/>
          <w:position w:val="0"/>
          <w:sz w:val="32"/>
          <w:szCs w:val="32"/>
          <w:highlight w:val="none"/>
          <w:lang w:val="en-US" w:eastAsia="zh-CN" w:bidi="ar-SA"/>
        </w:rPr>
      </w:pPr>
      <w:bookmarkStart w:id="105" w:name="_Hlk110546638"/>
      <w:r>
        <w:rPr>
          <w:rFonts w:hint="eastAsia" w:ascii="Times New Roman" w:hAnsi="Times New Roman" w:eastAsia="仿宋_GB2312" w:cs="Times New Roman"/>
          <w:b w:val="0"/>
          <w:bCs w:val="0"/>
          <w:kern w:val="0"/>
          <w:position w:val="0"/>
          <w:sz w:val="32"/>
          <w:szCs w:val="32"/>
          <w:highlight w:val="none"/>
          <w:lang w:val="en-US" w:eastAsia="zh-CN" w:bidi="ar-SA"/>
        </w:rPr>
        <w:t>资产管理不到位</w:t>
      </w:r>
    </w:p>
    <w:p w14:paraId="41092DC5">
      <w:pPr>
        <w:keepNext w:val="0"/>
        <w:keepLines w:val="0"/>
        <w:pageBreakBefore w:val="0"/>
        <w:widowControl/>
        <w:kinsoku/>
        <w:wordWrap/>
        <w:overflowPunct/>
        <w:topLinePunct w:val="0"/>
        <w:autoSpaceDE/>
        <w:autoSpaceDN/>
        <w:bidi w:val="0"/>
        <w:adjustRightInd w:val="0"/>
        <w:snapToGrid w:val="0"/>
        <w:spacing w:line="600" w:lineRule="exact"/>
        <w:ind w:firstLine="640" w:firstLineChars="200"/>
        <w:contextualSpacing/>
        <w:jc w:val="left"/>
        <w:textAlignment w:val="auto"/>
        <w:outlineLvl w:val="1"/>
        <w:rPr>
          <w:rFonts w:hint="eastAsia" w:ascii="Times New Roman" w:hAnsi="Times New Roman" w:eastAsia="仿宋_GB2312" w:cs="Times New Roman"/>
          <w:b w:val="0"/>
          <w:bCs w:val="0"/>
          <w:kern w:val="0"/>
          <w:position w:val="0"/>
          <w:sz w:val="32"/>
          <w:szCs w:val="32"/>
          <w:highlight w:val="none"/>
          <w:lang w:val="en-US" w:eastAsia="zh-CN" w:bidi="ar-SA"/>
        </w:rPr>
      </w:pPr>
      <w:r>
        <w:rPr>
          <w:rFonts w:hint="eastAsia" w:ascii="Times New Roman" w:hAnsi="Times New Roman" w:eastAsia="仿宋_GB2312" w:cs="Times New Roman"/>
          <w:b w:val="0"/>
          <w:bCs w:val="0"/>
          <w:kern w:val="0"/>
          <w:position w:val="0"/>
          <w:sz w:val="32"/>
          <w:szCs w:val="32"/>
          <w:highlight w:val="none"/>
          <w:lang w:val="en-US" w:eastAsia="zh-CN" w:bidi="ar-SA"/>
        </w:rPr>
        <w:t>一是资产基础信息管理不够规范。在对照资产卡片及相关原始资料开展自查工作时发现，部分资产卡片中配置标准等关键信息存在填写不完整、内容不准确、要素不齐全等问题，未能全面、真实、准确反映资产实际配置情况，一定程度上影响了资产核算与管理的规范性。</w:t>
      </w:r>
    </w:p>
    <w:p w14:paraId="7998142C">
      <w:pPr>
        <w:keepNext w:val="0"/>
        <w:keepLines w:val="0"/>
        <w:pageBreakBefore w:val="0"/>
        <w:widowControl/>
        <w:kinsoku/>
        <w:wordWrap/>
        <w:overflowPunct/>
        <w:topLinePunct w:val="0"/>
        <w:autoSpaceDE/>
        <w:autoSpaceDN/>
        <w:bidi w:val="0"/>
        <w:adjustRightInd w:val="0"/>
        <w:snapToGrid w:val="0"/>
        <w:spacing w:line="600" w:lineRule="exact"/>
        <w:ind w:firstLine="640" w:firstLineChars="200"/>
        <w:contextualSpacing/>
        <w:jc w:val="left"/>
        <w:textAlignment w:val="auto"/>
        <w:outlineLvl w:val="1"/>
        <w:rPr>
          <w:rFonts w:hint="eastAsia" w:ascii="Times New Roman" w:hAnsi="Times New Roman" w:eastAsia="仿宋_GB2312" w:cs="Times New Roman"/>
          <w:b w:val="0"/>
          <w:bCs w:val="0"/>
          <w:kern w:val="0"/>
          <w:position w:val="0"/>
          <w:sz w:val="32"/>
          <w:szCs w:val="32"/>
          <w:highlight w:val="none"/>
          <w:lang w:val="en-US" w:eastAsia="zh-CN" w:bidi="ar-SA"/>
        </w:rPr>
      </w:pPr>
      <w:r>
        <w:rPr>
          <w:rFonts w:hint="eastAsia" w:ascii="Times New Roman" w:hAnsi="Times New Roman" w:eastAsia="仿宋_GB2312" w:cs="Times New Roman"/>
          <w:b w:val="0"/>
          <w:bCs w:val="0"/>
          <w:kern w:val="0"/>
          <w:position w:val="0"/>
          <w:sz w:val="32"/>
          <w:szCs w:val="32"/>
          <w:highlight w:val="none"/>
          <w:lang w:val="en-US" w:eastAsia="zh-CN" w:bidi="ar-SA"/>
        </w:rPr>
        <w:t>二是资产管理信息化、智能化水平有待提升。目前资产管理仍以传统方式为主，尚未应用条形码、二维码、电子标签等信息化、智能化技术手段，未能实现对资产从购置、使用、处置到盘点的全生命周期动态管理，资产盘点效率、实时监管能力有待进一步提高。</w:t>
      </w:r>
    </w:p>
    <w:p w14:paraId="5459BE57">
      <w:pPr>
        <w:keepNext w:val="0"/>
        <w:keepLines w:val="0"/>
        <w:pageBreakBefore w:val="0"/>
        <w:widowControl/>
        <w:kinsoku/>
        <w:wordWrap/>
        <w:overflowPunct/>
        <w:topLinePunct w:val="0"/>
        <w:autoSpaceDE/>
        <w:autoSpaceDN/>
        <w:bidi w:val="0"/>
        <w:adjustRightInd w:val="0"/>
        <w:snapToGrid w:val="0"/>
        <w:spacing w:line="600" w:lineRule="exact"/>
        <w:ind w:firstLine="643" w:firstLineChars="200"/>
        <w:contextualSpacing/>
        <w:jc w:val="left"/>
        <w:textAlignment w:val="auto"/>
        <w:outlineLvl w:val="1"/>
        <w:rPr>
          <w:rFonts w:hint="default" w:ascii="Times New Roman" w:hAnsi="Times New Roman" w:eastAsia="楷体_GB2312" w:cs="Times New Roman"/>
          <w:b/>
          <w:bCs/>
          <w:color w:val="000000"/>
          <w:kern w:val="0"/>
          <w:sz w:val="32"/>
          <w:szCs w:val="32"/>
          <w:highlight w:val="none"/>
          <w:shd w:val="clear" w:color="auto" w:fill="FFFFFF"/>
          <w:lang w:val="en-US" w:eastAsia="zh-CN"/>
        </w:rPr>
      </w:pPr>
      <w:r>
        <w:rPr>
          <w:rFonts w:hint="default" w:ascii="Times New Roman" w:hAnsi="Times New Roman" w:eastAsia="楷体_GB2312" w:cs="Times New Roman"/>
          <w:b/>
          <w:bCs/>
          <w:color w:val="000000"/>
          <w:kern w:val="0"/>
          <w:sz w:val="32"/>
          <w:szCs w:val="32"/>
          <w:highlight w:val="none"/>
          <w:shd w:val="clear" w:color="auto" w:fill="FFFFFF"/>
          <w:lang w:val="zh-CN" w:eastAsia="zh-CN"/>
        </w:rPr>
        <w:t>（三）改进建议。</w:t>
      </w:r>
    </w:p>
    <w:p w14:paraId="6E7C1CA6">
      <w:pPr>
        <w:keepNext w:val="0"/>
        <w:keepLines w:val="0"/>
        <w:pageBreakBefore w:val="0"/>
        <w:widowControl/>
        <w:kinsoku/>
        <w:wordWrap/>
        <w:overflowPunct/>
        <w:topLinePunct w:val="0"/>
        <w:autoSpaceDE/>
        <w:autoSpaceDN/>
        <w:bidi w:val="0"/>
        <w:adjustRightInd w:val="0"/>
        <w:snapToGrid w:val="0"/>
        <w:spacing w:line="600" w:lineRule="exact"/>
        <w:ind w:firstLine="640" w:firstLineChars="200"/>
        <w:contextualSpacing/>
        <w:jc w:val="left"/>
        <w:textAlignment w:val="auto"/>
        <w:outlineLvl w:val="9"/>
        <w:rPr>
          <w:rFonts w:hint="eastAsia" w:ascii="Times New Roman" w:hAnsi="Times New Roman" w:eastAsia="仿宋_GB2312" w:cs="Times New Roman"/>
          <w:sz w:val="32"/>
        </w:rPr>
      </w:pPr>
      <w:r>
        <w:rPr>
          <w:rFonts w:hint="eastAsia" w:ascii="Times New Roman" w:hAnsi="Times New Roman" w:eastAsia="仿宋_GB2312" w:cs="Times New Roman"/>
          <w:sz w:val="32"/>
        </w:rPr>
        <w:t>加强资产管理</w:t>
      </w:r>
    </w:p>
    <w:p w14:paraId="44E74544">
      <w:pPr>
        <w:keepNext w:val="0"/>
        <w:keepLines w:val="0"/>
        <w:pageBreakBefore w:val="0"/>
        <w:widowControl/>
        <w:kinsoku/>
        <w:wordWrap/>
        <w:overflowPunct/>
        <w:topLinePunct w:val="0"/>
        <w:autoSpaceDE/>
        <w:autoSpaceDN/>
        <w:bidi w:val="0"/>
        <w:adjustRightInd w:val="0"/>
        <w:snapToGrid w:val="0"/>
        <w:spacing w:line="600" w:lineRule="exact"/>
        <w:ind w:firstLine="640" w:firstLineChars="200"/>
        <w:contextualSpacing/>
        <w:jc w:val="left"/>
        <w:textAlignment w:val="auto"/>
        <w:outlineLvl w:val="9"/>
        <w:rPr>
          <w:rFonts w:hint="default" w:ascii="Times New Roman" w:hAnsi="Times New Roman" w:eastAsia="仿宋_GB2312" w:cs="Times New Roman"/>
          <w:sz w:val="32"/>
          <w:lang w:val="en-US" w:eastAsia="zh-CN"/>
        </w:rPr>
      </w:pPr>
      <w:r>
        <w:rPr>
          <w:rFonts w:hint="eastAsia" w:ascii="Times New Roman" w:hAnsi="Times New Roman" w:eastAsia="仿宋_GB2312" w:cs="Times New Roman"/>
          <w:sz w:val="32"/>
        </w:rPr>
        <w:t>后续将进一步规范资产卡片信息管理，严格按照资产配置标准及相关要求完善资产基础信息，确保信息完整准确、真实有效，同步健全资产信息审核机制；加快推进资产管理信息化建设，积极运用条形码、电子标签等现代化技术手段，实现资产全生命周期动态管理，提升资产管理规范化、精细化、智能化水平。</w:t>
      </w:r>
    </w:p>
    <w:bookmarkEnd w:id="105"/>
    <w:p w14:paraId="31D8F9EB">
      <w:pPr>
        <w:spacing w:line="578" w:lineRule="exact"/>
        <w:contextualSpacing/>
        <w:jc w:val="left"/>
        <w:rPr>
          <w:rFonts w:eastAsia="黑体"/>
          <w:szCs w:val="32"/>
        </w:rPr>
      </w:pPr>
    </w:p>
    <w:p w14:paraId="122E9750">
      <w:pPr>
        <w:spacing w:line="578" w:lineRule="exact"/>
        <w:ind w:firstLine="640" w:firstLineChars="200"/>
        <w:jc w:val="left"/>
        <w:rPr>
          <w:rFonts w:ascii="Times New Roman" w:hAnsi="Times New Roman" w:eastAsia="仿宋_GB2312" w:cs="Times New Roman"/>
          <w:color w:val="000000"/>
          <w:kern w:val="0"/>
          <w:sz w:val="32"/>
          <w:szCs w:val="32"/>
          <w:shd w:val="clear" w:color="auto" w:fill="FFFFFF"/>
        </w:rPr>
      </w:pPr>
      <w:r>
        <w:rPr>
          <w:rFonts w:ascii="Times New Roman" w:hAnsi="Times New Roman" w:eastAsia="仿宋_GB2312" w:cs="Times New Roman"/>
          <w:color w:val="000000"/>
          <w:kern w:val="0"/>
          <w:sz w:val="32"/>
          <w:szCs w:val="32"/>
          <w:shd w:val="clear" w:color="auto" w:fill="FFFFFF"/>
        </w:rPr>
        <w:t>附表：</w:t>
      </w:r>
      <w:r>
        <w:rPr>
          <w:rFonts w:hint="eastAsia" w:ascii="Times New Roman" w:hAnsi="Times New Roman" w:eastAsia="仿宋_GB2312" w:cs="Times New Roman"/>
          <w:color w:val="000000"/>
          <w:kern w:val="0"/>
          <w:sz w:val="32"/>
          <w:szCs w:val="32"/>
          <w:shd w:val="clear" w:color="auto" w:fill="FFFFFF"/>
        </w:rPr>
        <w:t>1.部门预算绩效自评打分表</w:t>
      </w:r>
    </w:p>
    <w:p w14:paraId="20B5697D">
      <w:pPr>
        <w:spacing w:line="578" w:lineRule="exact"/>
        <w:ind w:firstLine="640" w:firstLineChars="200"/>
        <w:jc w:val="left"/>
        <w:rPr>
          <w:rFonts w:ascii="Times New Roman" w:hAnsi="Times New Roman" w:eastAsia="仿宋_GB2312" w:cs="Times New Roman"/>
          <w:color w:val="000000"/>
          <w:kern w:val="0"/>
          <w:sz w:val="32"/>
          <w:szCs w:val="32"/>
          <w:shd w:val="clear" w:color="auto" w:fill="FFFFFF"/>
        </w:rPr>
      </w:pPr>
      <w:r>
        <w:rPr>
          <w:rFonts w:hint="eastAsia" w:ascii="Times New Roman" w:hAnsi="Times New Roman" w:eastAsia="仿宋_GB2312" w:cs="Times New Roman"/>
          <w:color w:val="000000"/>
          <w:kern w:val="0"/>
          <w:sz w:val="32"/>
          <w:szCs w:val="32"/>
          <w:shd w:val="clear" w:color="auto" w:fill="FFFFFF"/>
        </w:rPr>
        <w:t>2.</w:t>
      </w:r>
      <w:r>
        <w:rPr>
          <w:rFonts w:ascii="Times New Roman" w:hAnsi="Times New Roman" w:eastAsia="仿宋_GB2312" w:cs="Times New Roman"/>
          <w:color w:val="000000"/>
          <w:kern w:val="0"/>
          <w:sz w:val="32"/>
          <w:szCs w:val="32"/>
          <w:shd w:val="clear" w:color="auto" w:fill="FFFFFF"/>
        </w:rPr>
        <w:t>部门整体</w:t>
      </w:r>
      <w:r>
        <w:rPr>
          <w:rFonts w:hint="eastAsia" w:ascii="Times New Roman" w:hAnsi="Times New Roman" w:eastAsia="仿宋_GB2312" w:cs="Times New Roman"/>
          <w:color w:val="000000"/>
          <w:kern w:val="0"/>
          <w:sz w:val="32"/>
          <w:szCs w:val="32"/>
          <w:shd w:val="clear" w:color="auto" w:fill="FFFFFF"/>
        </w:rPr>
        <w:t>支出</w:t>
      </w:r>
      <w:r>
        <w:rPr>
          <w:rFonts w:ascii="Times New Roman" w:hAnsi="Times New Roman" w:eastAsia="仿宋_GB2312" w:cs="Times New Roman"/>
          <w:color w:val="000000"/>
          <w:kern w:val="0"/>
          <w:sz w:val="32"/>
          <w:szCs w:val="32"/>
          <w:shd w:val="clear" w:color="auto" w:fill="FFFFFF"/>
        </w:rPr>
        <w:t>绩效目标完成情况自评表</w:t>
      </w:r>
    </w:p>
    <w:p w14:paraId="188D8545">
      <w:pPr>
        <w:spacing w:line="578" w:lineRule="exact"/>
        <w:ind w:firstLine="640" w:firstLineChars="200"/>
        <w:jc w:val="left"/>
        <w:rPr>
          <w:rFonts w:ascii="Times New Roman" w:hAnsi="Times New Roman" w:eastAsia="仿宋_GB2312" w:cs="Times New Roman"/>
          <w:color w:val="000000"/>
          <w:kern w:val="0"/>
          <w:sz w:val="32"/>
          <w:szCs w:val="32"/>
          <w:shd w:val="clear" w:color="auto" w:fill="FFFFFF"/>
        </w:rPr>
      </w:pPr>
      <w:r>
        <w:rPr>
          <w:rFonts w:hint="eastAsia" w:ascii="Times New Roman" w:hAnsi="Times New Roman" w:eastAsia="仿宋_GB2312" w:cs="Times New Roman"/>
          <w:color w:val="000000"/>
          <w:kern w:val="0"/>
          <w:sz w:val="32"/>
          <w:szCs w:val="32"/>
          <w:shd w:val="clear" w:color="auto" w:fill="FFFFFF"/>
        </w:rPr>
        <w:t>3.</w:t>
      </w:r>
      <w:r>
        <w:rPr>
          <w:rFonts w:ascii="Times New Roman" w:hAnsi="Times New Roman" w:eastAsia="仿宋_GB2312" w:cs="Times New Roman"/>
          <w:color w:val="000000"/>
          <w:kern w:val="0"/>
          <w:sz w:val="32"/>
          <w:szCs w:val="32"/>
          <w:shd w:val="clear" w:color="auto" w:fill="FFFFFF"/>
        </w:rPr>
        <w:t>部门预算项目支出绩效评价表（202</w:t>
      </w:r>
      <w:r>
        <w:rPr>
          <w:rFonts w:hint="eastAsia" w:ascii="Times New Roman" w:hAnsi="Times New Roman" w:eastAsia="仿宋_GB2312" w:cs="Times New Roman"/>
          <w:color w:val="000000"/>
          <w:kern w:val="0"/>
          <w:sz w:val="32"/>
          <w:szCs w:val="32"/>
          <w:shd w:val="clear" w:color="auto" w:fill="FFFFFF"/>
        </w:rPr>
        <w:t>5</w:t>
      </w:r>
      <w:r>
        <w:rPr>
          <w:rFonts w:ascii="Times New Roman" w:hAnsi="Times New Roman" w:eastAsia="仿宋_GB2312" w:cs="Times New Roman"/>
          <w:color w:val="000000"/>
          <w:kern w:val="0"/>
          <w:sz w:val="32"/>
          <w:szCs w:val="32"/>
          <w:shd w:val="clear" w:color="auto" w:fill="FFFFFF"/>
        </w:rPr>
        <w:t>年度）</w:t>
      </w:r>
    </w:p>
    <w:p w14:paraId="603A930E">
      <w:pPr>
        <w:spacing w:line="578" w:lineRule="exact"/>
        <w:jc w:val="left"/>
        <w:rPr>
          <w:rFonts w:eastAsia="黑体"/>
        </w:rPr>
      </w:pPr>
      <w:r>
        <w:rPr>
          <w:color w:val="000000"/>
          <w:kern w:val="0"/>
          <w:szCs w:val="32"/>
          <w:shd w:val="clear" w:color="auto" w:fill="FFFFFF"/>
        </w:rPr>
        <w:br w:type="page"/>
      </w:r>
      <w:r>
        <w:rPr>
          <w:rFonts w:eastAsia="黑体"/>
        </w:rPr>
        <w:t>附表</w:t>
      </w:r>
      <w:r>
        <w:rPr>
          <w:rFonts w:hint="eastAsia" w:eastAsia="黑体"/>
        </w:rPr>
        <w:t>1</w:t>
      </w:r>
    </w:p>
    <w:p w14:paraId="7CC92566">
      <w:pPr>
        <w:widowControl/>
        <w:spacing w:line="600" w:lineRule="exact"/>
        <w:jc w:val="center"/>
        <w:textAlignment w:val="center"/>
        <w:rPr>
          <w:rFonts w:eastAsia="微软雅黑"/>
          <w:color w:val="000000"/>
          <w:kern w:val="0"/>
          <w:sz w:val="44"/>
          <w:szCs w:val="44"/>
        </w:rPr>
      </w:pPr>
      <w:r>
        <w:rPr>
          <w:rFonts w:hint="eastAsia" w:eastAsia="微软雅黑"/>
          <w:color w:val="000000"/>
          <w:kern w:val="0"/>
          <w:sz w:val="44"/>
          <w:szCs w:val="44"/>
        </w:rPr>
        <w:t>部门预算绩效自评打分表</w:t>
      </w:r>
    </w:p>
    <w:tbl>
      <w:tblPr>
        <w:tblStyle w:val="21"/>
        <w:tblW w:w="10912" w:type="dxa"/>
        <w:jc w:val="center"/>
        <w:tblLayout w:type="fixed"/>
        <w:tblCellMar>
          <w:top w:w="0" w:type="dxa"/>
          <w:left w:w="108" w:type="dxa"/>
          <w:bottom w:w="0" w:type="dxa"/>
          <w:right w:w="108" w:type="dxa"/>
        </w:tblCellMar>
      </w:tblPr>
      <w:tblGrid>
        <w:gridCol w:w="1097"/>
        <w:gridCol w:w="1201"/>
        <w:gridCol w:w="1929"/>
        <w:gridCol w:w="717"/>
        <w:gridCol w:w="4760"/>
        <w:gridCol w:w="730"/>
        <w:gridCol w:w="478"/>
      </w:tblGrid>
      <w:tr w14:paraId="3139E7C7">
        <w:tblPrEx>
          <w:tblCellMar>
            <w:top w:w="0" w:type="dxa"/>
            <w:left w:w="108" w:type="dxa"/>
            <w:bottom w:w="0" w:type="dxa"/>
            <w:right w:w="108" w:type="dxa"/>
          </w:tblCellMar>
        </w:tblPrEx>
        <w:trPr>
          <w:trHeight w:val="23" w:hRule="atLeast"/>
          <w:jc w:val="center"/>
        </w:trPr>
        <w:tc>
          <w:tcPr>
            <w:tcW w:w="49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FDEB59B">
            <w:pPr>
              <w:widowControl/>
              <w:spacing w:line="240" w:lineRule="exact"/>
              <w:ind w:firstLine="0" w:firstLineChars="0"/>
              <w:jc w:val="center"/>
              <w:textAlignment w:val="center"/>
              <w:rPr>
                <w:rFonts w:hint="eastAsia" w:ascii="宋体" w:hAnsi="宋体" w:eastAsia="宋体" w:cs="宋体"/>
                <w:b/>
                <w:color w:val="000000"/>
                <w:kern w:val="0"/>
                <w:sz w:val="24"/>
              </w:rPr>
            </w:pPr>
            <w:r>
              <w:rPr>
                <w:rFonts w:hint="eastAsia" w:ascii="宋体" w:hAnsi="宋体" w:eastAsia="宋体" w:cs="宋体"/>
                <w:b/>
                <w:color w:val="000000"/>
                <w:kern w:val="0"/>
                <w:sz w:val="24"/>
              </w:rPr>
              <w:t>绩效评价指标指标分值</w:t>
            </w:r>
          </w:p>
        </w:tc>
        <w:tc>
          <w:tcPr>
            <w:tcW w:w="47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A6ED09">
            <w:pPr>
              <w:widowControl/>
              <w:spacing w:line="240" w:lineRule="exact"/>
              <w:ind w:firstLine="0" w:firstLineChars="0"/>
              <w:jc w:val="center"/>
              <w:textAlignment w:val="center"/>
              <w:rPr>
                <w:rFonts w:hint="eastAsia" w:ascii="宋体" w:hAnsi="宋体" w:eastAsia="宋体" w:cs="宋体"/>
                <w:b/>
                <w:color w:val="000000"/>
                <w:kern w:val="0"/>
                <w:sz w:val="24"/>
              </w:rPr>
            </w:pPr>
            <w:r>
              <w:rPr>
                <w:rFonts w:hint="eastAsia" w:ascii="宋体" w:hAnsi="宋体" w:eastAsia="宋体" w:cs="宋体"/>
                <w:b/>
                <w:color w:val="000000"/>
                <w:kern w:val="0"/>
                <w:sz w:val="24"/>
              </w:rPr>
              <w:t>指标解释</w:t>
            </w:r>
          </w:p>
        </w:tc>
        <w:tc>
          <w:tcPr>
            <w:tcW w:w="730" w:type="dxa"/>
            <w:vMerge w:val="restart"/>
            <w:tcBorders>
              <w:top w:val="single" w:color="000000" w:sz="4" w:space="0"/>
              <w:left w:val="single" w:color="000000" w:sz="4" w:space="0"/>
              <w:right w:val="single" w:color="000000" w:sz="4" w:space="0"/>
            </w:tcBorders>
            <w:shd w:val="clear" w:color="auto" w:fill="auto"/>
            <w:vAlign w:val="center"/>
          </w:tcPr>
          <w:p w14:paraId="204ECD54">
            <w:pPr>
              <w:widowControl/>
              <w:spacing w:line="240" w:lineRule="exact"/>
              <w:ind w:firstLine="0" w:firstLineChars="0"/>
              <w:jc w:val="center"/>
              <w:textAlignment w:val="center"/>
              <w:rPr>
                <w:rFonts w:hint="eastAsia" w:ascii="宋体" w:hAnsi="宋体" w:eastAsia="宋体" w:cs="宋体"/>
                <w:b/>
                <w:color w:val="000000"/>
                <w:kern w:val="0"/>
                <w:sz w:val="24"/>
              </w:rPr>
            </w:pPr>
            <w:r>
              <w:rPr>
                <w:rFonts w:hint="eastAsia" w:ascii="宋体" w:hAnsi="宋体" w:eastAsia="宋体" w:cs="宋体"/>
                <w:b/>
                <w:color w:val="000000"/>
                <w:kern w:val="0"/>
                <w:sz w:val="24"/>
              </w:rPr>
              <w:t>自评得分</w:t>
            </w:r>
          </w:p>
        </w:tc>
        <w:tc>
          <w:tcPr>
            <w:tcW w:w="478" w:type="dxa"/>
            <w:vMerge w:val="restart"/>
            <w:tcBorders>
              <w:top w:val="single" w:color="000000" w:sz="4" w:space="0"/>
              <w:left w:val="single" w:color="000000" w:sz="4" w:space="0"/>
              <w:right w:val="single" w:color="000000" w:sz="4" w:space="0"/>
            </w:tcBorders>
            <w:shd w:val="clear" w:color="auto" w:fill="auto"/>
            <w:vAlign w:val="center"/>
          </w:tcPr>
          <w:p w14:paraId="69E20B18">
            <w:pPr>
              <w:widowControl/>
              <w:spacing w:line="240" w:lineRule="exact"/>
              <w:ind w:firstLine="0" w:firstLineChars="0"/>
              <w:jc w:val="center"/>
              <w:textAlignment w:val="center"/>
              <w:rPr>
                <w:rFonts w:hint="eastAsia" w:ascii="宋体" w:hAnsi="宋体" w:eastAsia="宋体" w:cs="宋体"/>
                <w:b/>
                <w:color w:val="000000"/>
                <w:kern w:val="0"/>
                <w:sz w:val="24"/>
              </w:rPr>
            </w:pPr>
            <w:r>
              <w:rPr>
                <w:rFonts w:hint="eastAsia" w:ascii="宋体" w:hAnsi="宋体" w:eastAsia="宋体" w:cs="宋体"/>
                <w:b/>
                <w:color w:val="000000"/>
                <w:kern w:val="0"/>
                <w:sz w:val="24"/>
              </w:rPr>
              <w:t>备注</w:t>
            </w:r>
          </w:p>
        </w:tc>
      </w:tr>
      <w:tr w14:paraId="4E3D01D3">
        <w:tblPrEx>
          <w:tblCellMar>
            <w:top w:w="0" w:type="dxa"/>
            <w:left w:w="108" w:type="dxa"/>
            <w:bottom w:w="0" w:type="dxa"/>
            <w:right w:w="108" w:type="dxa"/>
          </w:tblCellMar>
        </w:tblPrEx>
        <w:trPr>
          <w:trHeight w:val="23" w:hRule="atLeast"/>
          <w:jc w:val="center"/>
        </w:trPr>
        <w:tc>
          <w:tcPr>
            <w:tcW w:w="1097" w:type="dxa"/>
            <w:tcBorders>
              <w:top w:val="single" w:color="000000" w:sz="4" w:space="0"/>
              <w:left w:val="single" w:color="000000" w:sz="4" w:space="0"/>
              <w:bottom w:val="single" w:color="000000" w:sz="4" w:space="0"/>
              <w:right w:val="nil"/>
            </w:tcBorders>
            <w:shd w:val="clear" w:color="auto" w:fill="auto"/>
            <w:vAlign w:val="center"/>
          </w:tcPr>
          <w:p w14:paraId="6C3FD1EB">
            <w:pPr>
              <w:widowControl/>
              <w:spacing w:line="240" w:lineRule="exact"/>
              <w:ind w:firstLine="0" w:firstLineChars="0"/>
              <w:jc w:val="center"/>
              <w:textAlignment w:val="center"/>
              <w:rPr>
                <w:rFonts w:hint="eastAsia" w:ascii="宋体" w:hAnsi="宋体" w:eastAsia="宋体" w:cs="宋体"/>
                <w:b/>
                <w:color w:val="000000"/>
                <w:kern w:val="0"/>
                <w:sz w:val="24"/>
              </w:rPr>
            </w:pPr>
            <w:r>
              <w:rPr>
                <w:rFonts w:hint="eastAsia" w:ascii="宋体" w:hAnsi="宋体" w:eastAsia="宋体" w:cs="宋体"/>
                <w:b/>
                <w:color w:val="000000"/>
                <w:kern w:val="0"/>
                <w:sz w:val="24"/>
              </w:rPr>
              <w:t>一级指标</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DB70A">
            <w:pPr>
              <w:widowControl/>
              <w:spacing w:line="240" w:lineRule="exact"/>
              <w:ind w:firstLine="0" w:firstLineChars="0"/>
              <w:jc w:val="center"/>
              <w:textAlignment w:val="center"/>
              <w:rPr>
                <w:rFonts w:hint="eastAsia" w:ascii="宋体" w:hAnsi="宋体" w:eastAsia="宋体" w:cs="宋体"/>
                <w:b/>
                <w:color w:val="000000"/>
                <w:kern w:val="0"/>
                <w:sz w:val="24"/>
              </w:rPr>
            </w:pPr>
            <w:r>
              <w:rPr>
                <w:rFonts w:hint="eastAsia" w:ascii="宋体" w:hAnsi="宋体" w:eastAsia="宋体" w:cs="宋体"/>
                <w:b/>
                <w:color w:val="000000"/>
                <w:kern w:val="0"/>
                <w:sz w:val="24"/>
              </w:rPr>
              <w:t>二级指标</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A0CEF">
            <w:pPr>
              <w:widowControl/>
              <w:spacing w:line="240" w:lineRule="exact"/>
              <w:ind w:firstLine="0" w:firstLineChars="0"/>
              <w:jc w:val="center"/>
              <w:textAlignment w:val="center"/>
              <w:rPr>
                <w:rFonts w:hint="eastAsia" w:ascii="宋体" w:hAnsi="宋体" w:eastAsia="宋体" w:cs="宋体"/>
                <w:b/>
                <w:color w:val="000000"/>
                <w:kern w:val="0"/>
                <w:sz w:val="24"/>
              </w:rPr>
            </w:pPr>
            <w:r>
              <w:rPr>
                <w:rFonts w:hint="eastAsia" w:ascii="宋体" w:hAnsi="宋体" w:eastAsia="宋体" w:cs="宋体"/>
                <w:b/>
                <w:color w:val="000000"/>
                <w:kern w:val="0"/>
                <w:sz w:val="24"/>
              </w:rPr>
              <w:t>三级指标</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60F80">
            <w:pPr>
              <w:widowControl/>
              <w:spacing w:line="240" w:lineRule="exact"/>
              <w:ind w:firstLine="0" w:firstLineChars="0"/>
              <w:jc w:val="center"/>
              <w:textAlignment w:val="center"/>
              <w:rPr>
                <w:rFonts w:hint="eastAsia" w:ascii="宋体" w:hAnsi="宋体" w:eastAsia="宋体" w:cs="宋体"/>
                <w:b/>
                <w:color w:val="000000"/>
                <w:kern w:val="0"/>
                <w:sz w:val="24"/>
              </w:rPr>
            </w:pPr>
            <w:r>
              <w:rPr>
                <w:rFonts w:hint="eastAsia" w:ascii="宋体" w:hAnsi="宋体" w:eastAsia="宋体" w:cs="宋体"/>
                <w:b/>
                <w:color w:val="000000"/>
                <w:kern w:val="0"/>
                <w:sz w:val="24"/>
              </w:rPr>
              <w:t>指标</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分值</w:t>
            </w:r>
          </w:p>
        </w:tc>
        <w:tc>
          <w:tcPr>
            <w:tcW w:w="4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894B2E">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730" w:type="dxa"/>
            <w:vMerge w:val="continue"/>
            <w:tcBorders>
              <w:left w:val="single" w:color="000000" w:sz="4" w:space="0"/>
              <w:bottom w:val="single" w:color="000000" w:sz="4" w:space="0"/>
              <w:right w:val="single" w:color="000000" w:sz="4" w:space="0"/>
            </w:tcBorders>
            <w:shd w:val="clear" w:color="auto" w:fill="auto"/>
            <w:vAlign w:val="center"/>
          </w:tcPr>
          <w:p w14:paraId="2EF230DC">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478" w:type="dxa"/>
            <w:vMerge w:val="continue"/>
            <w:tcBorders>
              <w:left w:val="single" w:color="000000" w:sz="4" w:space="0"/>
              <w:bottom w:val="single" w:color="000000" w:sz="4" w:space="0"/>
              <w:right w:val="single" w:color="000000" w:sz="4" w:space="0"/>
            </w:tcBorders>
            <w:shd w:val="clear" w:color="auto" w:fill="auto"/>
            <w:vAlign w:val="center"/>
          </w:tcPr>
          <w:p w14:paraId="5C5B2BC7">
            <w:pPr>
              <w:widowControl/>
              <w:spacing w:line="240" w:lineRule="exact"/>
              <w:ind w:firstLine="0" w:firstLineChars="0"/>
              <w:jc w:val="center"/>
              <w:textAlignment w:val="center"/>
              <w:rPr>
                <w:rFonts w:hint="eastAsia" w:ascii="宋体" w:hAnsi="宋体" w:eastAsia="宋体" w:cs="宋体"/>
                <w:b/>
                <w:color w:val="000000"/>
                <w:kern w:val="0"/>
                <w:sz w:val="24"/>
              </w:rPr>
            </w:pPr>
          </w:p>
        </w:tc>
      </w:tr>
      <w:tr w14:paraId="7A53BD78">
        <w:tblPrEx>
          <w:tblCellMar>
            <w:top w:w="0" w:type="dxa"/>
            <w:left w:w="108" w:type="dxa"/>
            <w:bottom w:w="0" w:type="dxa"/>
            <w:right w:w="108" w:type="dxa"/>
          </w:tblCellMar>
        </w:tblPrEx>
        <w:trPr>
          <w:trHeight w:val="23" w:hRule="atLeast"/>
          <w:jc w:val="center"/>
        </w:trPr>
        <w:tc>
          <w:tcPr>
            <w:tcW w:w="1097" w:type="dxa"/>
            <w:vMerge w:val="restart"/>
            <w:tcBorders>
              <w:top w:val="single" w:color="000000" w:sz="4" w:space="0"/>
              <w:left w:val="single" w:color="000000" w:sz="4" w:space="0"/>
              <w:right w:val="single" w:color="000000" w:sz="4" w:space="0"/>
            </w:tcBorders>
            <w:shd w:val="clear" w:color="auto" w:fill="auto"/>
            <w:vAlign w:val="center"/>
          </w:tcPr>
          <w:p w14:paraId="7AB1FBF0">
            <w:pPr>
              <w:widowControl/>
              <w:spacing w:line="240" w:lineRule="exact"/>
              <w:ind w:firstLine="0" w:firstLineChars="0"/>
              <w:jc w:val="center"/>
              <w:textAlignment w:val="center"/>
              <w:rPr>
                <w:rFonts w:hint="eastAsia" w:ascii="宋体" w:hAnsi="宋体" w:eastAsia="宋体" w:cs="宋体"/>
                <w:b/>
                <w:color w:val="000000"/>
                <w:kern w:val="0"/>
                <w:sz w:val="24"/>
              </w:rPr>
            </w:pPr>
            <w:r>
              <w:rPr>
                <w:rFonts w:hint="eastAsia" w:ascii="宋体" w:hAnsi="宋体" w:eastAsia="宋体" w:cs="宋体"/>
                <w:b/>
                <w:color w:val="000000"/>
                <w:kern w:val="0"/>
                <w:sz w:val="24"/>
              </w:rPr>
              <w:t>总体绩效（65分）</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FBE83">
            <w:pPr>
              <w:widowControl/>
              <w:spacing w:line="240" w:lineRule="exact"/>
              <w:ind w:firstLine="0" w:firstLineChars="0"/>
              <w:jc w:val="center"/>
              <w:textAlignment w:val="center"/>
              <w:rPr>
                <w:rFonts w:hint="eastAsia" w:ascii="宋体" w:hAnsi="宋体" w:eastAsia="宋体" w:cs="宋体"/>
                <w:b/>
                <w:color w:val="000000"/>
                <w:kern w:val="0"/>
                <w:sz w:val="24"/>
              </w:rPr>
            </w:pPr>
            <w:r>
              <w:rPr>
                <w:rFonts w:hint="eastAsia" w:ascii="宋体" w:hAnsi="宋体" w:eastAsia="宋体" w:cs="宋体"/>
                <w:b/>
                <w:color w:val="000000"/>
                <w:kern w:val="0"/>
                <w:sz w:val="24"/>
              </w:rPr>
              <w:t>履职效能</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（15分）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930AB">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XX履职效果</w:t>
            </w:r>
          </w:p>
        </w:tc>
        <w:tc>
          <w:tcPr>
            <w:tcW w:w="717" w:type="dxa"/>
            <w:tcBorders>
              <w:top w:val="nil"/>
              <w:left w:val="single" w:color="000000" w:sz="4" w:space="0"/>
              <w:bottom w:val="single" w:color="000000" w:sz="4" w:space="0"/>
              <w:right w:val="single" w:color="000000" w:sz="4" w:space="0"/>
            </w:tcBorders>
            <w:shd w:val="clear" w:color="auto" w:fill="auto"/>
            <w:vAlign w:val="center"/>
          </w:tcPr>
          <w:p w14:paraId="756C1DD4">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15</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C1AA2">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部门整体绩效目标中选定3-5个核心职能目标，反映该项职能目标完成效果情况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B3547">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15</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F30C4">
            <w:pPr>
              <w:widowControl/>
              <w:spacing w:line="240" w:lineRule="exact"/>
              <w:ind w:firstLine="0" w:firstLineChars="0"/>
              <w:jc w:val="center"/>
              <w:textAlignment w:val="center"/>
              <w:rPr>
                <w:rFonts w:hint="eastAsia" w:ascii="宋体" w:hAnsi="宋体" w:eastAsia="宋体" w:cs="宋体"/>
                <w:color w:val="000000"/>
                <w:kern w:val="0"/>
                <w:sz w:val="24"/>
              </w:rPr>
            </w:pPr>
          </w:p>
        </w:tc>
      </w:tr>
      <w:tr w14:paraId="7C69CE4E">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63A29477">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201" w:type="dxa"/>
            <w:vMerge w:val="restart"/>
            <w:tcBorders>
              <w:top w:val="single" w:color="000000" w:sz="4" w:space="0"/>
              <w:left w:val="single" w:color="000000" w:sz="4" w:space="0"/>
              <w:right w:val="single" w:color="000000" w:sz="4" w:space="0"/>
            </w:tcBorders>
            <w:shd w:val="clear" w:color="auto" w:fill="auto"/>
            <w:vAlign w:val="center"/>
          </w:tcPr>
          <w:p w14:paraId="6DEC53EC">
            <w:pPr>
              <w:widowControl/>
              <w:spacing w:line="240" w:lineRule="exact"/>
              <w:ind w:firstLine="0" w:firstLineChars="0"/>
              <w:jc w:val="center"/>
              <w:textAlignment w:val="center"/>
              <w:rPr>
                <w:rFonts w:hint="eastAsia" w:ascii="宋体" w:hAnsi="宋体" w:eastAsia="宋体" w:cs="宋体"/>
                <w:b/>
                <w:color w:val="000000"/>
                <w:kern w:val="0"/>
                <w:sz w:val="24"/>
              </w:rPr>
            </w:pPr>
            <w:r>
              <w:rPr>
                <w:rFonts w:hint="eastAsia" w:ascii="宋体" w:hAnsi="宋体" w:eastAsia="宋体" w:cs="宋体"/>
                <w:b/>
                <w:color w:val="000000"/>
                <w:kern w:val="0"/>
                <w:sz w:val="24"/>
              </w:rPr>
              <w:t>预算管理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（25分）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49DD1">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预算编制质量</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384DA">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8</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BE8E2">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部门是否严格按要求编制年初部门预算，年初预算编制的科学性和准确性</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F1D7E">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0.71</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2B4D6">
            <w:pPr>
              <w:widowControl/>
              <w:spacing w:line="240" w:lineRule="exact"/>
              <w:ind w:firstLine="0" w:firstLineChars="0"/>
              <w:jc w:val="center"/>
              <w:textAlignment w:val="center"/>
              <w:rPr>
                <w:rFonts w:hint="eastAsia" w:ascii="宋体" w:hAnsi="宋体" w:eastAsia="宋体" w:cs="宋体"/>
                <w:color w:val="000000"/>
                <w:kern w:val="0"/>
                <w:sz w:val="24"/>
              </w:rPr>
            </w:pPr>
          </w:p>
        </w:tc>
      </w:tr>
      <w:tr w14:paraId="626B0F73">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1FB6FE77">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201" w:type="dxa"/>
            <w:vMerge w:val="continue"/>
            <w:tcBorders>
              <w:left w:val="single" w:color="000000" w:sz="4" w:space="0"/>
              <w:right w:val="single" w:color="000000" w:sz="4" w:space="0"/>
            </w:tcBorders>
            <w:shd w:val="clear" w:color="auto" w:fill="auto"/>
            <w:vAlign w:val="center"/>
          </w:tcPr>
          <w:p w14:paraId="3DAB5E5B">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19858">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单位收入统筹</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B49B8">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7249C">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部门统筹自有收入努力程度</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81AFF">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9DBCA">
            <w:pPr>
              <w:widowControl/>
              <w:spacing w:line="240" w:lineRule="exact"/>
              <w:ind w:firstLine="0" w:firstLineChars="0"/>
              <w:jc w:val="center"/>
              <w:textAlignment w:val="center"/>
              <w:rPr>
                <w:rFonts w:hint="eastAsia" w:ascii="宋体" w:hAnsi="宋体" w:eastAsia="宋体" w:cs="宋体"/>
                <w:color w:val="000000"/>
                <w:kern w:val="0"/>
                <w:sz w:val="24"/>
              </w:rPr>
            </w:pPr>
          </w:p>
        </w:tc>
      </w:tr>
      <w:tr w14:paraId="131ED0C8">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62F260C1">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201" w:type="dxa"/>
            <w:vMerge w:val="continue"/>
            <w:tcBorders>
              <w:left w:val="single" w:color="000000" w:sz="4" w:space="0"/>
              <w:right w:val="single" w:color="000000" w:sz="4" w:space="0"/>
            </w:tcBorders>
            <w:shd w:val="clear" w:color="auto" w:fill="auto"/>
            <w:vAlign w:val="center"/>
          </w:tcPr>
          <w:p w14:paraId="7035BCE2">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6022B">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支出执行管理</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4A80E">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6</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5F9BA">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部门1至6月、1至10月预算执行情况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EBABA">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6</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2DABB">
            <w:pPr>
              <w:widowControl/>
              <w:spacing w:line="240" w:lineRule="exact"/>
              <w:ind w:firstLine="0" w:firstLineChars="0"/>
              <w:jc w:val="center"/>
              <w:textAlignment w:val="center"/>
              <w:rPr>
                <w:rFonts w:hint="eastAsia" w:ascii="宋体" w:hAnsi="宋体" w:eastAsia="宋体" w:cs="宋体"/>
                <w:color w:val="000000"/>
                <w:kern w:val="0"/>
                <w:sz w:val="24"/>
              </w:rPr>
            </w:pPr>
          </w:p>
        </w:tc>
      </w:tr>
      <w:tr w14:paraId="0BD0E943">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191A1579">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201" w:type="dxa"/>
            <w:vMerge w:val="continue"/>
            <w:tcBorders>
              <w:left w:val="single" w:color="000000" w:sz="4" w:space="0"/>
              <w:right w:val="single" w:color="000000" w:sz="4" w:space="0"/>
            </w:tcBorders>
            <w:shd w:val="clear" w:color="auto" w:fill="auto"/>
            <w:vAlign w:val="center"/>
          </w:tcPr>
          <w:p w14:paraId="6C6528E7">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90538">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预算年终结余</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C8F6B">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2</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144F5">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部门整体年终预算结余情况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A2F32">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1.97</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8409B">
            <w:pPr>
              <w:widowControl/>
              <w:spacing w:line="240" w:lineRule="exact"/>
              <w:ind w:firstLine="0" w:firstLineChars="0"/>
              <w:jc w:val="center"/>
              <w:textAlignment w:val="center"/>
              <w:rPr>
                <w:rFonts w:hint="eastAsia" w:ascii="宋体" w:hAnsi="宋体" w:eastAsia="宋体" w:cs="宋体"/>
                <w:color w:val="000000"/>
                <w:kern w:val="0"/>
                <w:sz w:val="24"/>
              </w:rPr>
            </w:pPr>
          </w:p>
        </w:tc>
      </w:tr>
      <w:tr w14:paraId="40A4F4CC">
        <w:tblPrEx>
          <w:tblCellMar>
            <w:top w:w="0" w:type="dxa"/>
            <w:left w:w="108" w:type="dxa"/>
            <w:bottom w:w="0" w:type="dxa"/>
            <w:right w:w="108" w:type="dxa"/>
          </w:tblCellMar>
        </w:tblPrEx>
        <w:trPr>
          <w:trHeight w:val="743" w:hRule="atLeast"/>
          <w:jc w:val="center"/>
        </w:trPr>
        <w:tc>
          <w:tcPr>
            <w:tcW w:w="1097" w:type="dxa"/>
            <w:vMerge w:val="continue"/>
            <w:tcBorders>
              <w:left w:val="single" w:color="000000" w:sz="4" w:space="0"/>
              <w:right w:val="single" w:color="000000" w:sz="4" w:space="0"/>
            </w:tcBorders>
            <w:shd w:val="clear" w:color="auto" w:fill="auto"/>
            <w:vAlign w:val="center"/>
          </w:tcPr>
          <w:p w14:paraId="47ABCFD4">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201" w:type="dxa"/>
            <w:vMerge w:val="continue"/>
            <w:tcBorders>
              <w:left w:val="single" w:color="000000" w:sz="4" w:space="0"/>
              <w:right w:val="single" w:color="000000" w:sz="4" w:space="0"/>
            </w:tcBorders>
            <w:shd w:val="clear" w:color="auto" w:fill="auto"/>
            <w:vAlign w:val="center"/>
          </w:tcPr>
          <w:p w14:paraId="44FD8374">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81AE1">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严控一般性支出</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A0085">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5</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DF905">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部门严控“三公”经费、会议、培训、差旅、办节办展、办公设备购置、信息化建设和运维、课题经费、竞赛活动、规划编制一般性支出情况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8ACED">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FD80F">
            <w:pPr>
              <w:widowControl/>
              <w:spacing w:line="240" w:lineRule="exact"/>
              <w:ind w:firstLine="0" w:firstLineChars="0"/>
              <w:jc w:val="center"/>
              <w:textAlignment w:val="center"/>
              <w:rPr>
                <w:rFonts w:hint="eastAsia" w:ascii="宋体" w:hAnsi="宋体" w:eastAsia="宋体" w:cs="宋体"/>
                <w:color w:val="000000"/>
                <w:kern w:val="0"/>
                <w:sz w:val="24"/>
              </w:rPr>
            </w:pPr>
          </w:p>
        </w:tc>
      </w:tr>
      <w:tr w14:paraId="2F242F46">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0495B6E8">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C52457">
            <w:pPr>
              <w:widowControl/>
              <w:spacing w:line="240" w:lineRule="exact"/>
              <w:ind w:firstLine="0" w:firstLineChars="0"/>
              <w:jc w:val="center"/>
              <w:textAlignment w:val="center"/>
              <w:rPr>
                <w:rFonts w:hint="eastAsia" w:ascii="宋体" w:hAnsi="宋体" w:eastAsia="宋体" w:cs="宋体"/>
                <w:b/>
                <w:color w:val="000000"/>
                <w:kern w:val="0"/>
                <w:sz w:val="24"/>
              </w:rPr>
            </w:pPr>
            <w:r>
              <w:rPr>
                <w:rFonts w:hint="eastAsia" w:ascii="宋体" w:hAnsi="宋体" w:eastAsia="宋体" w:cs="宋体"/>
                <w:b/>
                <w:color w:val="000000"/>
                <w:kern w:val="0"/>
                <w:sz w:val="24"/>
              </w:rPr>
              <w:t>财务管理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（10分）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70E75">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财务管理制度</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83DB5">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77A56">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部门财务管理制度建立情况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980C2">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433F8">
            <w:pPr>
              <w:widowControl/>
              <w:spacing w:line="240" w:lineRule="exact"/>
              <w:ind w:firstLine="0" w:firstLineChars="0"/>
              <w:jc w:val="center"/>
              <w:textAlignment w:val="center"/>
              <w:rPr>
                <w:rFonts w:hint="eastAsia" w:ascii="宋体" w:hAnsi="宋体" w:eastAsia="宋体" w:cs="宋体"/>
                <w:color w:val="000000"/>
                <w:kern w:val="0"/>
                <w:sz w:val="24"/>
              </w:rPr>
            </w:pPr>
          </w:p>
        </w:tc>
      </w:tr>
      <w:tr w14:paraId="2F994A15">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76685C57">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8F4C74">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5085B">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财务岗位设置</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40BD3">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2</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8AF71">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部门财务岗位设置是否符合相关财务管理制度要求</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CD727">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1AF3A">
            <w:pPr>
              <w:widowControl/>
              <w:spacing w:line="240" w:lineRule="exact"/>
              <w:ind w:firstLine="0" w:firstLineChars="0"/>
              <w:jc w:val="center"/>
              <w:textAlignment w:val="center"/>
              <w:rPr>
                <w:rFonts w:hint="eastAsia" w:ascii="宋体" w:hAnsi="宋体" w:eastAsia="宋体" w:cs="宋体"/>
                <w:color w:val="000000"/>
                <w:kern w:val="0"/>
                <w:sz w:val="24"/>
              </w:rPr>
            </w:pPr>
          </w:p>
        </w:tc>
      </w:tr>
      <w:tr w14:paraId="2A56CAE7">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055A5BDC">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08D3C9">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E9C3D">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资金使用规范</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B8B21">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362C2">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部门资金使用是否符合相关财务管理制度规定</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39E69">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CEAF5">
            <w:pPr>
              <w:widowControl/>
              <w:spacing w:line="240" w:lineRule="exact"/>
              <w:ind w:firstLine="0" w:firstLineChars="0"/>
              <w:jc w:val="center"/>
              <w:textAlignment w:val="center"/>
              <w:rPr>
                <w:rFonts w:hint="eastAsia" w:ascii="宋体" w:hAnsi="宋体" w:eastAsia="宋体" w:cs="宋体"/>
                <w:color w:val="000000"/>
                <w:kern w:val="0"/>
                <w:sz w:val="24"/>
              </w:rPr>
            </w:pPr>
          </w:p>
        </w:tc>
      </w:tr>
      <w:tr w14:paraId="1DD7846C">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5E7263D3">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E34411">
            <w:pPr>
              <w:widowControl/>
              <w:spacing w:line="240" w:lineRule="exact"/>
              <w:ind w:firstLine="0" w:firstLineChars="0"/>
              <w:jc w:val="center"/>
              <w:textAlignment w:val="center"/>
              <w:rPr>
                <w:rFonts w:hint="eastAsia" w:ascii="宋体" w:hAnsi="宋体" w:eastAsia="宋体" w:cs="宋体"/>
                <w:b/>
                <w:color w:val="000000"/>
                <w:kern w:val="0"/>
                <w:sz w:val="24"/>
              </w:rPr>
            </w:pPr>
            <w:r>
              <w:rPr>
                <w:rFonts w:hint="eastAsia" w:ascii="宋体" w:hAnsi="宋体" w:eastAsia="宋体" w:cs="宋体"/>
                <w:b/>
                <w:color w:val="000000"/>
                <w:kern w:val="0"/>
                <w:sz w:val="24"/>
              </w:rPr>
              <w:t>资产管理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（9分）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5C06D">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人均资产变化率</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FC817">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9E6F7">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部门人均资产变化情况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CCEB9">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A13CE">
            <w:pPr>
              <w:widowControl/>
              <w:spacing w:line="240" w:lineRule="exact"/>
              <w:ind w:firstLine="0" w:firstLineChars="0"/>
              <w:jc w:val="center"/>
              <w:textAlignment w:val="center"/>
              <w:rPr>
                <w:rFonts w:hint="eastAsia" w:ascii="宋体" w:hAnsi="宋体" w:eastAsia="宋体" w:cs="宋体"/>
                <w:color w:val="000000"/>
                <w:kern w:val="0"/>
                <w:sz w:val="24"/>
              </w:rPr>
            </w:pPr>
          </w:p>
        </w:tc>
      </w:tr>
      <w:tr w14:paraId="3FB4C987">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30F554B3">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7D88D9">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FB0CF">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资产利用率</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27348">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B7C9D">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部门资产超最低使用年限情况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7A90B">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0.9</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3BE17">
            <w:pPr>
              <w:widowControl/>
              <w:spacing w:line="240" w:lineRule="exact"/>
              <w:ind w:firstLine="0" w:firstLineChars="0"/>
              <w:jc w:val="center"/>
              <w:textAlignment w:val="center"/>
              <w:rPr>
                <w:rFonts w:hint="eastAsia" w:ascii="宋体" w:hAnsi="宋体" w:eastAsia="宋体" w:cs="宋体"/>
                <w:color w:val="000000"/>
                <w:kern w:val="0"/>
                <w:sz w:val="24"/>
              </w:rPr>
            </w:pPr>
          </w:p>
        </w:tc>
      </w:tr>
      <w:tr w14:paraId="53811D3D">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1A2CF0A7">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18818">
            <w:pPr>
              <w:widowControl/>
              <w:spacing w:line="240" w:lineRule="exact"/>
              <w:ind w:firstLine="0" w:firstLineChars="0"/>
              <w:jc w:val="center"/>
              <w:textAlignment w:val="center"/>
              <w:rPr>
                <w:rFonts w:hint="eastAsia" w:ascii="宋体" w:hAnsi="宋体" w:eastAsia="宋体" w:cs="宋体"/>
                <w:b/>
                <w:color w:val="000000"/>
                <w:kern w:val="0"/>
                <w:sz w:val="24"/>
              </w:rPr>
            </w:pPr>
            <w:r>
              <w:rPr>
                <w:rFonts w:hint="eastAsia" w:ascii="宋体" w:hAnsi="宋体" w:eastAsia="宋体" w:cs="宋体"/>
                <w:b/>
                <w:color w:val="000000"/>
                <w:kern w:val="0"/>
                <w:sz w:val="24"/>
              </w:rPr>
              <w:t>资产管理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（9分）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792FD">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资产盘活率</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7765E">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2E294">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部门闲置一年以上的资产盘活情况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1237A">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154E7">
            <w:pPr>
              <w:widowControl/>
              <w:spacing w:line="240" w:lineRule="exact"/>
              <w:ind w:firstLine="0" w:firstLineChars="0"/>
              <w:jc w:val="center"/>
              <w:textAlignment w:val="center"/>
              <w:rPr>
                <w:rFonts w:hint="eastAsia" w:ascii="宋体" w:hAnsi="宋体" w:eastAsia="宋体" w:cs="宋体"/>
                <w:color w:val="000000"/>
                <w:kern w:val="0"/>
                <w:sz w:val="24"/>
              </w:rPr>
            </w:pPr>
          </w:p>
        </w:tc>
      </w:tr>
      <w:tr w14:paraId="20C66CC7">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4FE800F9">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8745EB">
            <w:pPr>
              <w:widowControl/>
              <w:spacing w:line="240" w:lineRule="exact"/>
              <w:ind w:firstLine="0" w:firstLineChars="0"/>
              <w:jc w:val="center"/>
              <w:textAlignment w:val="center"/>
              <w:rPr>
                <w:rFonts w:hint="eastAsia" w:ascii="宋体" w:hAnsi="宋体" w:eastAsia="宋体" w:cs="宋体"/>
                <w:b/>
                <w:color w:val="000000"/>
                <w:kern w:val="0"/>
                <w:sz w:val="24"/>
              </w:rPr>
            </w:pPr>
            <w:r>
              <w:rPr>
                <w:rFonts w:hint="eastAsia" w:ascii="宋体" w:hAnsi="宋体" w:eastAsia="宋体" w:cs="宋体"/>
                <w:b/>
                <w:color w:val="000000"/>
                <w:kern w:val="0"/>
                <w:sz w:val="24"/>
              </w:rPr>
              <w:t>采购管理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（6分）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F77A3">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支持中小企业发展</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62B6C">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157E8">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部门是否严格执行政府采购促进中小企业发展相关管理办法</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AB2DE">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72726">
            <w:pPr>
              <w:widowControl/>
              <w:spacing w:line="240" w:lineRule="exact"/>
              <w:ind w:firstLine="0" w:firstLineChars="0"/>
              <w:jc w:val="center"/>
              <w:textAlignment w:val="center"/>
              <w:rPr>
                <w:rFonts w:hint="eastAsia" w:ascii="宋体" w:hAnsi="宋体" w:eastAsia="宋体" w:cs="宋体"/>
                <w:color w:val="000000"/>
                <w:kern w:val="0"/>
                <w:sz w:val="24"/>
              </w:rPr>
            </w:pPr>
          </w:p>
        </w:tc>
      </w:tr>
      <w:tr w14:paraId="73ABD807">
        <w:tblPrEx>
          <w:tblCellMar>
            <w:top w:w="0" w:type="dxa"/>
            <w:left w:w="108" w:type="dxa"/>
            <w:bottom w:w="0" w:type="dxa"/>
            <w:right w:w="108" w:type="dxa"/>
          </w:tblCellMar>
        </w:tblPrEx>
        <w:trPr>
          <w:trHeight w:val="176" w:hRule="atLeast"/>
          <w:jc w:val="center"/>
        </w:trPr>
        <w:tc>
          <w:tcPr>
            <w:tcW w:w="1097" w:type="dxa"/>
            <w:vMerge w:val="continue"/>
            <w:tcBorders>
              <w:left w:val="single" w:color="000000" w:sz="4" w:space="0"/>
              <w:bottom w:val="single" w:color="000000" w:sz="4" w:space="0"/>
              <w:right w:val="single" w:color="000000" w:sz="4" w:space="0"/>
            </w:tcBorders>
            <w:shd w:val="clear" w:color="auto" w:fill="auto"/>
            <w:vAlign w:val="center"/>
          </w:tcPr>
          <w:p w14:paraId="2E9B1E06">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E9BE9B">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8D6D1">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采购执行率</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5BF63">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6B49B">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部门政府采购项目资金支付比例情况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16F82">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74FCD">
            <w:pPr>
              <w:widowControl/>
              <w:spacing w:line="240" w:lineRule="exact"/>
              <w:ind w:firstLine="0" w:firstLineChars="0"/>
              <w:jc w:val="center"/>
              <w:textAlignment w:val="center"/>
              <w:rPr>
                <w:rFonts w:hint="eastAsia" w:ascii="宋体" w:hAnsi="宋体" w:eastAsia="宋体" w:cs="宋体"/>
                <w:color w:val="000000"/>
                <w:kern w:val="0"/>
                <w:sz w:val="24"/>
              </w:rPr>
            </w:pPr>
          </w:p>
        </w:tc>
      </w:tr>
      <w:tr w14:paraId="7C86ED9C">
        <w:tblPrEx>
          <w:tblCellMar>
            <w:top w:w="0" w:type="dxa"/>
            <w:left w:w="108" w:type="dxa"/>
            <w:bottom w:w="0" w:type="dxa"/>
            <w:right w:w="108" w:type="dxa"/>
          </w:tblCellMar>
        </w:tblPrEx>
        <w:trPr>
          <w:trHeight w:val="23" w:hRule="atLeast"/>
          <w:jc w:val="center"/>
        </w:trPr>
        <w:tc>
          <w:tcPr>
            <w:tcW w:w="1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B1E2F3">
            <w:pPr>
              <w:widowControl/>
              <w:spacing w:line="240" w:lineRule="exact"/>
              <w:ind w:firstLine="0" w:firstLineChars="0"/>
              <w:jc w:val="center"/>
              <w:textAlignment w:val="center"/>
              <w:rPr>
                <w:rFonts w:hint="eastAsia" w:ascii="宋体" w:hAnsi="宋体" w:eastAsia="宋体" w:cs="宋体"/>
                <w:b/>
                <w:color w:val="000000"/>
                <w:kern w:val="0"/>
                <w:sz w:val="24"/>
              </w:rPr>
            </w:pPr>
            <w:r>
              <w:rPr>
                <w:rFonts w:hint="eastAsia" w:ascii="宋体" w:hAnsi="宋体" w:eastAsia="宋体" w:cs="宋体"/>
                <w:b/>
                <w:color w:val="000000"/>
                <w:kern w:val="0"/>
                <w:sz w:val="24"/>
              </w:rPr>
              <w:t>项目绩效（35分）</w:t>
            </w:r>
          </w:p>
        </w:tc>
        <w:tc>
          <w:tcPr>
            <w:tcW w:w="1201" w:type="dxa"/>
            <w:vMerge w:val="restart"/>
            <w:tcBorders>
              <w:top w:val="single" w:color="000000" w:sz="4" w:space="0"/>
              <w:left w:val="single" w:color="000000" w:sz="4" w:space="0"/>
              <w:bottom w:val="nil"/>
              <w:right w:val="single" w:color="000000" w:sz="4" w:space="0"/>
            </w:tcBorders>
            <w:shd w:val="clear" w:color="auto" w:fill="auto"/>
            <w:vAlign w:val="center"/>
          </w:tcPr>
          <w:p w14:paraId="0C567549">
            <w:pPr>
              <w:widowControl/>
              <w:spacing w:line="240" w:lineRule="exact"/>
              <w:ind w:firstLine="0" w:firstLineChars="0"/>
              <w:jc w:val="center"/>
              <w:textAlignment w:val="center"/>
              <w:rPr>
                <w:rFonts w:hint="eastAsia" w:ascii="宋体" w:hAnsi="宋体" w:eastAsia="宋体" w:cs="宋体"/>
                <w:b/>
                <w:color w:val="000000"/>
                <w:kern w:val="0"/>
                <w:sz w:val="24"/>
              </w:rPr>
            </w:pPr>
            <w:r>
              <w:rPr>
                <w:rFonts w:hint="eastAsia" w:ascii="宋体" w:hAnsi="宋体" w:eastAsia="宋体" w:cs="宋体"/>
                <w:b/>
                <w:color w:val="000000"/>
                <w:kern w:val="0"/>
                <w:sz w:val="24"/>
              </w:rPr>
              <w:t>项目决策</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（12分）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32A14">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决策程序</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BF35B">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B6A10">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部门预算项目设立是否按规定履行评估论证、申报程序</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A8A26">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2C6E1">
            <w:pPr>
              <w:widowControl/>
              <w:spacing w:line="240" w:lineRule="exact"/>
              <w:ind w:firstLine="0" w:firstLineChars="0"/>
              <w:jc w:val="center"/>
              <w:textAlignment w:val="center"/>
              <w:rPr>
                <w:rFonts w:hint="eastAsia" w:ascii="宋体" w:hAnsi="宋体" w:eastAsia="宋体" w:cs="宋体"/>
                <w:color w:val="000000"/>
                <w:kern w:val="0"/>
                <w:sz w:val="24"/>
              </w:rPr>
            </w:pPr>
          </w:p>
        </w:tc>
      </w:tr>
      <w:tr w14:paraId="59882D83">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D3A7BB">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201" w:type="dxa"/>
            <w:vMerge w:val="continue"/>
            <w:tcBorders>
              <w:top w:val="single" w:color="000000" w:sz="4" w:space="0"/>
              <w:left w:val="single" w:color="000000" w:sz="4" w:space="0"/>
              <w:bottom w:val="nil"/>
              <w:right w:val="single" w:color="000000" w:sz="4" w:space="0"/>
            </w:tcBorders>
            <w:shd w:val="clear" w:color="auto" w:fill="auto"/>
            <w:vAlign w:val="center"/>
          </w:tcPr>
          <w:p w14:paraId="16AC0766">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7A479">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目标设置</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A3FD3">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545BF">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部门预算项目绩效目标与计划期内的任务量、预算安排的资金量匹配情况，绩效目标设置是否科学合理、规范完整、量化细化、预算匹配</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BFC2D">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39F3C">
            <w:pPr>
              <w:widowControl/>
              <w:spacing w:line="240" w:lineRule="exact"/>
              <w:ind w:firstLine="0" w:firstLineChars="0"/>
              <w:jc w:val="center"/>
              <w:textAlignment w:val="center"/>
              <w:rPr>
                <w:rFonts w:hint="eastAsia" w:ascii="宋体" w:hAnsi="宋体" w:eastAsia="宋体" w:cs="宋体"/>
                <w:color w:val="000000"/>
                <w:kern w:val="0"/>
                <w:sz w:val="24"/>
              </w:rPr>
            </w:pPr>
          </w:p>
        </w:tc>
      </w:tr>
      <w:tr w14:paraId="5412A98E">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84DAFE">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201" w:type="dxa"/>
            <w:vMerge w:val="continue"/>
            <w:tcBorders>
              <w:top w:val="single" w:color="000000" w:sz="4" w:space="0"/>
              <w:left w:val="single" w:color="000000" w:sz="4" w:space="0"/>
              <w:bottom w:val="nil"/>
              <w:right w:val="single" w:color="000000" w:sz="4" w:space="0"/>
            </w:tcBorders>
            <w:shd w:val="clear" w:color="auto" w:fill="auto"/>
            <w:vAlign w:val="center"/>
          </w:tcPr>
          <w:p w14:paraId="752F7B59">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F16A9">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项目入库</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79BB4">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A9175">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部门预算项目是否在规定时间完成项目入库</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7C88D">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F654A">
            <w:pPr>
              <w:widowControl/>
              <w:spacing w:line="240" w:lineRule="exact"/>
              <w:ind w:firstLine="0" w:firstLineChars="0"/>
              <w:jc w:val="center"/>
              <w:textAlignment w:val="center"/>
              <w:rPr>
                <w:rFonts w:hint="eastAsia" w:ascii="宋体" w:hAnsi="宋体" w:eastAsia="宋体" w:cs="宋体"/>
                <w:color w:val="000000"/>
                <w:kern w:val="0"/>
                <w:sz w:val="24"/>
              </w:rPr>
            </w:pPr>
          </w:p>
        </w:tc>
      </w:tr>
      <w:tr w14:paraId="1FC11723">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4A3BB6">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201" w:type="dxa"/>
            <w:vMerge w:val="restart"/>
            <w:tcBorders>
              <w:top w:val="single" w:color="000000" w:sz="4" w:space="0"/>
              <w:left w:val="single" w:color="000000" w:sz="4" w:space="0"/>
              <w:bottom w:val="nil"/>
              <w:right w:val="single" w:color="000000" w:sz="4" w:space="0"/>
            </w:tcBorders>
            <w:shd w:val="clear" w:color="auto" w:fill="auto"/>
            <w:vAlign w:val="center"/>
          </w:tcPr>
          <w:p w14:paraId="692B5D15">
            <w:pPr>
              <w:widowControl/>
              <w:spacing w:line="240" w:lineRule="exact"/>
              <w:ind w:firstLine="0" w:firstLineChars="0"/>
              <w:jc w:val="center"/>
              <w:textAlignment w:val="center"/>
              <w:rPr>
                <w:rFonts w:hint="eastAsia" w:ascii="宋体" w:hAnsi="宋体" w:eastAsia="宋体" w:cs="宋体"/>
                <w:b/>
                <w:color w:val="000000"/>
                <w:kern w:val="0"/>
                <w:sz w:val="24"/>
              </w:rPr>
            </w:pPr>
            <w:r>
              <w:rPr>
                <w:rFonts w:hint="eastAsia" w:ascii="宋体" w:hAnsi="宋体" w:eastAsia="宋体" w:cs="宋体"/>
                <w:b/>
                <w:color w:val="000000"/>
                <w:kern w:val="0"/>
                <w:sz w:val="24"/>
              </w:rPr>
              <w:t>项目执行</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（12分）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6BF26">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执行同向</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5035D">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CE356">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部门预算项目实际列支内容是否与绩效目标设置方向相符</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79EE5">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9DA0A">
            <w:pPr>
              <w:widowControl/>
              <w:spacing w:line="240" w:lineRule="exact"/>
              <w:ind w:firstLine="0" w:firstLineChars="0"/>
              <w:jc w:val="center"/>
              <w:textAlignment w:val="center"/>
              <w:rPr>
                <w:rFonts w:hint="eastAsia" w:ascii="宋体" w:hAnsi="宋体" w:eastAsia="宋体" w:cs="宋体"/>
                <w:color w:val="000000"/>
                <w:kern w:val="0"/>
                <w:sz w:val="24"/>
              </w:rPr>
            </w:pPr>
          </w:p>
        </w:tc>
      </w:tr>
      <w:tr w14:paraId="7DFED515">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C3E469">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201" w:type="dxa"/>
            <w:vMerge w:val="continue"/>
            <w:tcBorders>
              <w:top w:val="single" w:color="000000" w:sz="4" w:space="0"/>
              <w:left w:val="single" w:color="000000" w:sz="4" w:space="0"/>
              <w:bottom w:val="nil"/>
              <w:right w:val="single" w:color="000000" w:sz="4" w:space="0"/>
            </w:tcBorders>
            <w:shd w:val="clear" w:color="auto" w:fill="auto"/>
            <w:vAlign w:val="center"/>
          </w:tcPr>
          <w:p w14:paraId="19565072">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929" w:type="dxa"/>
            <w:tcBorders>
              <w:top w:val="single" w:color="000000" w:sz="4" w:space="0"/>
              <w:left w:val="single" w:color="000000" w:sz="4" w:space="0"/>
              <w:bottom w:val="nil"/>
              <w:right w:val="single" w:color="000000" w:sz="4" w:space="0"/>
            </w:tcBorders>
            <w:shd w:val="clear" w:color="auto" w:fill="auto"/>
            <w:vAlign w:val="center"/>
          </w:tcPr>
          <w:p w14:paraId="2E554EB8">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项目调整</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09F05">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DC457">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部门预算项目是否采取对应调整措施</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1964D">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370EA">
            <w:pPr>
              <w:widowControl/>
              <w:spacing w:line="240" w:lineRule="exact"/>
              <w:ind w:firstLine="0" w:firstLineChars="0"/>
              <w:jc w:val="center"/>
              <w:textAlignment w:val="center"/>
              <w:rPr>
                <w:rFonts w:hint="eastAsia" w:ascii="宋体" w:hAnsi="宋体" w:eastAsia="宋体" w:cs="宋体"/>
                <w:color w:val="000000"/>
                <w:kern w:val="0"/>
                <w:sz w:val="24"/>
              </w:rPr>
            </w:pPr>
          </w:p>
        </w:tc>
      </w:tr>
      <w:tr w14:paraId="30F143ED">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37A6DC">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201" w:type="dxa"/>
            <w:vMerge w:val="continue"/>
            <w:tcBorders>
              <w:top w:val="single" w:color="000000" w:sz="4" w:space="0"/>
              <w:left w:val="single" w:color="000000" w:sz="4" w:space="0"/>
              <w:bottom w:val="nil"/>
              <w:right w:val="single" w:color="000000" w:sz="4" w:space="0"/>
            </w:tcBorders>
            <w:shd w:val="clear" w:color="auto" w:fill="auto"/>
            <w:vAlign w:val="center"/>
          </w:tcPr>
          <w:p w14:paraId="2E383B12">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70BA3">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执行结果</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A2641">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92A27">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部门预算项目预算执行情况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DBD17">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2.71</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22895">
            <w:pPr>
              <w:widowControl/>
              <w:spacing w:line="240" w:lineRule="exact"/>
              <w:ind w:firstLine="0" w:firstLineChars="0"/>
              <w:jc w:val="center"/>
              <w:textAlignment w:val="center"/>
              <w:rPr>
                <w:rFonts w:hint="eastAsia" w:ascii="宋体" w:hAnsi="宋体" w:eastAsia="宋体" w:cs="宋体"/>
                <w:color w:val="000000"/>
                <w:kern w:val="0"/>
                <w:sz w:val="24"/>
              </w:rPr>
            </w:pPr>
          </w:p>
        </w:tc>
      </w:tr>
      <w:tr w14:paraId="53C3471F">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695744">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943D03">
            <w:pPr>
              <w:widowControl/>
              <w:spacing w:line="240" w:lineRule="exact"/>
              <w:ind w:firstLine="0" w:firstLineChars="0"/>
              <w:jc w:val="center"/>
              <w:textAlignment w:val="center"/>
              <w:rPr>
                <w:rFonts w:hint="eastAsia" w:ascii="宋体" w:hAnsi="宋体" w:eastAsia="宋体" w:cs="宋体"/>
                <w:b/>
                <w:color w:val="000000"/>
                <w:kern w:val="0"/>
                <w:sz w:val="24"/>
              </w:rPr>
            </w:pPr>
            <w:r>
              <w:rPr>
                <w:rFonts w:hint="eastAsia" w:ascii="宋体" w:hAnsi="宋体" w:eastAsia="宋体" w:cs="宋体"/>
                <w:b/>
                <w:color w:val="000000"/>
                <w:kern w:val="0"/>
                <w:sz w:val="24"/>
              </w:rPr>
              <w:t>目标实现</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（11分）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547AF">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目标完成</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64D86">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059BE">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部门预算项目绩效目标数量指标完成情况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A7DF7">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A4D43">
            <w:pPr>
              <w:widowControl/>
              <w:spacing w:line="240" w:lineRule="exact"/>
              <w:ind w:firstLine="0" w:firstLineChars="0"/>
              <w:jc w:val="center"/>
              <w:textAlignment w:val="center"/>
              <w:rPr>
                <w:rFonts w:hint="eastAsia" w:ascii="宋体" w:hAnsi="宋体" w:eastAsia="宋体" w:cs="宋体"/>
                <w:color w:val="000000"/>
                <w:kern w:val="0"/>
                <w:sz w:val="24"/>
              </w:rPr>
            </w:pPr>
          </w:p>
        </w:tc>
      </w:tr>
      <w:tr w14:paraId="05F0CD1C">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D87960">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61AB19">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7663F">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目标偏离</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2AF75">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33ABE">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部门预算项目绩效目标数量指标实现程度与预期目标的偏离情况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2CE30">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A2779">
            <w:pPr>
              <w:widowControl/>
              <w:spacing w:line="240" w:lineRule="exact"/>
              <w:ind w:firstLine="0" w:firstLineChars="0"/>
              <w:jc w:val="center"/>
              <w:textAlignment w:val="center"/>
              <w:rPr>
                <w:rFonts w:hint="eastAsia" w:ascii="宋体" w:hAnsi="宋体" w:eastAsia="宋体" w:cs="宋体"/>
                <w:color w:val="000000"/>
                <w:kern w:val="0"/>
                <w:sz w:val="24"/>
              </w:rPr>
            </w:pPr>
          </w:p>
        </w:tc>
      </w:tr>
      <w:tr w14:paraId="34FB3CFE">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82E7FD">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45F955">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67E0C">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实现效果</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893B7">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D832B">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部门预算项目绩效目标效益指标实施效果</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95C70">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D81E8">
            <w:pPr>
              <w:widowControl/>
              <w:spacing w:line="240" w:lineRule="exact"/>
              <w:ind w:firstLine="0" w:firstLineChars="0"/>
              <w:jc w:val="center"/>
              <w:textAlignment w:val="center"/>
              <w:rPr>
                <w:rFonts w:hint="eastAsia" w:ascii="宋体" w:hAnsi="宋体" w:eastAsia="宋体" w:cs="宋体"/>
                <w:color w:val="000000"/>
                <w:kern w:val="0"/>
                <w:sz w:val="24"/>
              </w:rPr>
            </w:pPr>
          </w:p>
        </w:tc>
      </w:tr>
      <w:tr w14:paraId="29708D0A">
        <w:tblPrEx>
          <w:tblCellMar>
            <w:top w:w="0" w:type="dxa"/>
            <w:left w:w="108" w:type="dxa"/>
            <w:bottom w:w="0" w:type="dxa"/>
            <w:right w:w="108" w:type="dxa"/>
          </w:tblCellMar>
        </w:tblPrEx>
        <w:trPr>
          <w:trHeight w:val="23" w:hRule="atLeast"/>
          <w:jc w:val="center"/>
        </w:trPr>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31F4F">
            <w:pPr>
              <w:widowControl/>
              <w:spacing w:line="240" w:lineRule="exact"/>
              <w:ind w:firstLine="0" w:firstLineChars="0"/>
              <w:jc w:val="center"/>
              <w:textAlignment w:val="center"/>
              <w:rPr>
                <w:rFonts w:hint="eastAsia" w:ascii="宋体" w:hAnsi="宋体" w:eastAsia="宋体" w:cs="宋体"/>
                <w:b/>
                <w:color w:val="000000"/>
                <w:kern w:val="0"/>
                <w:sz w:val="24"/>
              </w:rPr>
            </w:pPr>
            <w:r>
              <w:rPr>
                <w:rFonts w:hint="eastAsia" w:ascii="宋体" w:hAnsi="宋体" w:eastAsia="宋体" w:cs="宋体"/>
                <w:b/>
                <w:color w:val="000000"/>
                <w:kern w:val="0"/>
                <w:sz w:val="24"/>
              </w:rPr>
              <w:t>扣分项</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（10分）</w:t>
            </w:r>
          </w:p>
        </w:tc>
        <w:tc>
          <w:tcPr>
            <w:tcW w:w="31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972887">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被评价部门配合度</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3B107">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AF7B0">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被评价对象工作配合情况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737DB">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EA181">
            <w:pPr>
              <w:widowControl/>
              <w:spacing w:line="240" w:lineRule="exact"/>
              <w:ind w:firstLine="0" w:firstLineChars="0"/>
              <w:jc w:val="center"/>
              <w:textAlignment w:val="center"/>
              <w:rPr>
                <w:rFonts w:hint="eastAsia" w:ascii="宋体" w:hAnsi="宋体" w:eastAsia="宋体" w:cs="宋体"/>
                <w:color w:val="000000"/>
                <w:kern w:val="0"/>
                <w:sz w:val="24"/>
              </w:rPr>
            </w:pPr>
          </w:p>
        </w:tc>
      </w:tr>
    </w:tbl>
    <w:p w14:paraId="3580418C">
      <w:pPr>
        <w:pStyle w:val="42"/>
        <w:spacing w:line="20" w:lineRule="exact"/>
      </w:pPr>
    </w:p>
    <w:p w14:paraId="3742B34B">
      <w:pPr>
        <w:spacing w:line="578" w:lineRule="exact"/>
        <w:jc w:val="left"/>
        <w:rPr>
          <w:rFonts w:eastAsia="黑体"/>
        </w:rPr>
      </w:pPr>
      <w:r>
        <w:rPr>
          <w:rFonts w:eastAsia="黑体"/>
        </w:rPr>
        <w:t>附表</w:t>
      </w:r>
      <w:r>
        <w:rPr>
          <w:rFonts w:hint="eastAsia" w:eastAsia="黑体"/>
        </w:rPr>
        <w:t>2</w:t>
      </w:r>
    </w:p>
    <w:p w14:paraId="16F1A229">
      <w:pPr>
        <w:widowControl/>
        <w:spacing w:line="578" w:lineRule="exact"/>
        <w:jc w:val="center"/>
        <w:textAlignment w:val="center"/>
        <w:rPr>
          <w:rFonts w:eastAsia="微软雅黑"/>
          <w:color w:val="000000"/>
          <w:kern w:val="0"/>
          <w:sz w:val="44"/>
          <w:szCs w:val="44"/>
        </w:rPr>
      </w:pPr>
      <w:r>
        <w:rPr>
          <w:rFonts w:eastAsia="微软雅黑"/>
          <w:color w:val="000000"/>
          <w:kern w:val="0"/>
          <w:sz w:val="44"/>
          <w:szCs w:val="44"/>
        </w:rPr>
        <w:t>部门整体</w:t>
      </w:r>
      <w:r>
        <w:rPr>
          <w:rFonts w:hint="eastAsia" w:eastAsia="微软雅黑"/>
          <w:color w:val="000000"/>
          <w:kern w:val="0"/>
          <w:sz w:val="44"/>
          <w:szCs w:val="44"/>
        </w:rPr>
        <w:t>支出</w:t>
      </w:r>
      <w:r>
        <w:rPr>
          <w:rFonts w:eastAsia="微软雅黑"/>
          <w:color w:val="000000"/>
          <w:kern w:val="0"/>
          <w:sz w:val="44"/>
          <w:szCs w:val="44"/>
        </w:rPr>
        <w:t>绩效目标完成情况自评表</w:t>
      </w:r>
    </w:p>
    <w:tbl>
      <w:tblPr>
        <w:tblStyle w:val="21"/>
        <w:tblW w:w="9658" w:type="dxa"/>
        <w:jc w:val="center"/>
        <w:tblLayout w:type="fixed"/>
        <w:tblCellMar>
          <w:top w:w="0" w:type="dxa"/>
          <w:left w:w="108" w:type="dxa"/>
          <w:bottom w:w="0" w:type="dxa"/>
          <w:right w:w="108" w:type="dxa"/>
        </w:tblCellMar>
      </w:tblPr>
      <w:tblGrid>
        <w:gridCol w:w="331"/>
        <w:gridCol w:w="593"/>
        <w:gridCol w:w="803"/>
        <w:gridCol w:w="1246"/>
        <w:gridCol w:w="803"/>
        <w:gridCol w:w="777"/>
        <w:gridCol w:w="1018"/>
        <w:gridCol w:w="1045"/>
        <w:gridCol w:w="1111"/>
        <w:gridCol w:w="1931"/>
      </w:tblGrid>
      <w:tr w14:paraId="0F3DE85C">
        <w:tblPrEx>
          <w:tblCellMar>
            <w:top w:w="0" w:type="dxa"/>
            <w:left w:w="108" w:type="dxa"/>
            <w:bottom w:w="0" w:type="dxa"/>
            <w:right w:w="108" w:type="dxa"/>
          </w:tblCellMar>
        </w:tblPrEx>
        <w:trPr>
          <w:trHeight w:val="465" w:hRule="atLeast"/>
          <w:jc w:val="center"/>
        </w:trPr>
        <w:tc>
          <w:tcPr>
            <w:tcW w:w="1727" w:type="dxa"/>
            <w:gridSpan w:val="3"/>
            <w:tcBorders>
              <w:top w:val="single" w:color="000000" w:sz="4" w:space="0"/>
              <w:left w:val="single" w:color="000000" w:sz="4" w:space="0"/>
              <w:bottom w:val="single" w:color="auto" w:sz="4" w:space="0"/>
              <w:right w:val="single" w:color="000000" w:sz="4" w:space="0"/>
            </w:tcBorders>
            <w:noWrap/>
            <w:vAlign w:val="center"/>
          </w:tcPr>
          <w:p w14:paraId="4673CB59">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br w:type="page"/>
            </w:r>
            <w:r>
              <w:rPr>
                <w:rFonts w:hint="eastAsia" w:ascii="宋体" w:hAnsi="宋体" w:eastAsia="宋体" w:cs="宋体"/>
                <w:color w:val="000000"/>
                <w:kern w:val="0"/>
                <w:sz w:val="24"/>
              </w:rPr>
              <w:t>部门名称</w:t>
            </w:r>
          </w:p>
        </w:tc>
        <w:tc>
          <w:tcPr>
            <w:tcW w:w="7931" w:type="dxa"/>
            <w:gridSpan w:val="7"/>
            <w:tcBorders>
              <w:top w:val="single" w:color="000000" w:sz="4" w:space="0"/>
              <w:left w:val="single" w:color="000000" w:sz="4" w:space="0"/>
              <w:bottom w:val="single" w:color="000000" w:sz="4" w:space="0"/>
              <w:right w:val="single" w:color="000000" w:sz="4" w:space="0"/>
            </w:tcBorders>
            <w:noWrap/>
            <w:vAlign w:val="center"/>
          </w:tcPr>
          <w:p w14:paraId="0090E074">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九寨沟县人民法院部门</w:t>
            </w:r>
          </w:p>
        </w:tc>
      </w:tr>
      <w:tr w14:paraId="68280013">
        <w:tblPrEx>
          <w:tblCellMar>
            <w:top w:w="0" w:type="dxa"/>
            <w:left w:w="108" w:type="dxa"/>
            <w:bottom w:w="0" w:type="dxa"/>
            <w:right w:w="108" w:type="dxa"/>
          </w:tblCellMar>
        </w:tblPrEx>
        <w:trPr>
          <w:trHeight w:val="239" w:hRule="atLeast"/>
          <w:jc w:val="center"/>
        </w:trPr>
        <w:tc>
          <w:tcPr>
            <w:tcW w:w="1727" w:type="dxa"/>
            <w:gridSpan w:val="3"/>
            <w:tcBorders>
              <w:top w:val="single" w:color="auto" w:sz="4" w:space="0"/>
              <w:left w:val="single" w:color="auto" w:sz="4" w:space="0"/>
              <w:bottom w:val="single" w:color="auto" w:sz="4" w:space="0"/>
              <w:right w:val="single" w:color="auto" w:sz="4" w:space="0"/>
            </w:tcBorders>
            <w:noWrap/>
            <w:vAlign w:val="center"/>
          </w:tcPr>
          <w:p w14:paraId="44B71947">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年度部门整体预算</w:t>
            </w:r>
          </w:p>
        </w:tc>
        <w:tc>
          <w:tcPr>
            <w:tcW w:w="2049" w:type="dxa"/>
            <w:gridSpan w:val="2"/>
            <w:tcBorders>
              <w:top w:val="single" w:color="000000" w:sz="4" w:space="0"/>
              <w:left w:val="single" w:color="auto" w:sz="4" w:space="0"/>
              <w:bottom w:val="single" w:color="000000" w:sz="4" w:space="0"/>
              <w:right w:val="single" w:color="auto" w:sz="4" w:space="0"/>
            </w:tcBorders>
            <w:noWrap/>
            <w:vAlign w:val="center"/>
          </w:tcPr>
          <w:p w14:paraId="555AC078">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资金总额</w:t>
            </w:r>
          </w:p>
        </w:tc>
        <w:tc>
          <w:tcPr>
            <w:tcW w:w="1795" w:type="dxa"/>
            <w:gridSpan w:val="2"/>
            <w:tcBorders>
              <w:top w:val="single" w:color="auto" w:sz="4" w:space="0"/>
              <w:left w:val="single" w:color="auto" w:sz="4" w:space="0"/>
              <w:bottom w:val="single" w:color="auto" w:sz="4" w:space="0"/>
              <w:right w:val="single" w:color="auto" w:sz="4" w:space="0"/>
            </w:tcBorders>
            <w:noWrap/>
            <w:vAlign w:val="center"/>
          </w:tcPr>
          <w:p w14:paraId="6C53B0CA">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财政拨款</w:t>
            </w:r>
          </w:p>
        </w:tc>
        <w:tc>
          <w:tcPr>
            <w:tcW w:w="4087" w:type="dxa"/>
            <w:gridSpan w:val="3"/>
            <w:tcBorders>
              <w:top w:val="single" w:color="auto" w:sz="4" w:space="0"/>
              <w:left w:val="single" w:color="auto" w:sz="4" w:space="0"/>
              <w:bottom w:val="single" w:color="auto" w:sz="4" w:space="0"/>
              <w:right w:val="single" w:color="auto" w:sz="4" w:space="0"/>
            </w:tcBorders>
            <w:noWrap/>
            <w:vAlign w:val="center"/>
          </w:tcPr>
          <w:p w14:paraId="4D0FA457">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其他资金</w:t>
            </w:r>
          </w:p>
        </w:tc>
      </w:tr>
      <w:tr w14:paraId="4A3B586B">
        <w:tblPrEx>
          <w:tblCellMar>
            <w:top w:w="0" w:type="dxa"/>
            <w:left w:w="108" w:type="dxa"/>
            <w:bottom w:w="0" w:type="dxa"/>
            <w:right w:w="108" w:type="dxa"/>
          </w:tblCellMar>
        </w:tblPrEx>
        <w:trPr>
          <w:trHeight w:val="239" w:hRule="atLeast"/>
          <w:jc w:val="center"/>
        </w:trPr>
        <w:tc>
          <w:tcPr>
            <w:tcW w:w="1727" w:type="dxa"/>
            <w:gridSpan w:val="3"/>
            <w:tcBorders>
              <w:top w:val="single" w:color="auto" w:sz="4" w:space="0"/>
              <w:left w:val="single" w:color="auto" w:sz="4" w:space="0"/>
              <w:bottom w:val="single" w:color="auto" w:sz="4" w:space="0"/>
              <w:right w:val="single" w:color="auto" w:sz="4" w:space="0"/>
            </w:tcBorders>
            <w:noWrap/>
            <w:vAlign w:val="center"/>
          </w:tcPr>
          <w:p w14:paraId="7EC30AA1">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收入预算</w:t>
            </w:r>
          </w:p>
        </w:tc>
        <w:tc>
          <w:tcPr>
            <w:tcW w:w="2049" w:type="dxa"/>
            <w:gridSpan w:val="2"/>
            <w:tcBorders>
              <w:top w:val="single" w:color="000000" w:sz="4" w:space="0"/>
              <w:left w:val="single" w:color="auto" w:sz="4" w:space="0"/>
              <w:bottom w:val="single" w:color="000000" w:sz="4" w:space="0"/>
              <w:right w:val="single" w:color="auto" w:sz="4" w:space="0"/>
            </w:tcBorders>
            <w:noWrap/>
            <w:vAlign w:val="center"/>
          </w:tcPr>
          <w:p w14:paraId="65C82FD7">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750,000</w:t>
            </w:r>
          </w:p>
        </w:tc>
        <w:tc>
          <w:tcPr>
            <w:tcW w:w="1795" w:type="dxa"/>
            <w:gridSpan w:val="2"/>
            <w:tcBorders>
              <w:top w:val="single" w:color="auto" w:sz="4" w:space="0"/>
              <w:left w:val="single" w:color="auto" w:sz="4" w:space="0"/>
              <w:bottom w:val="single" w:color="auto" w:sz="4" w:space="0"/>
              <w:right w:val="single" w:color="auto" w:sz="4" w:space="0"/>
            </w:tcBorders>
            <w:noWrap/>
            <w:vAlign w:val="center"/>
          </w:tcPr>
          <w:p w14:paraId="0800BFF0">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750,000</w:t>
            </w:r>
          </w:p>
        </w:tc>
        <w:tc>
          <w:tcPr>
            <w:tcW w:w="4087" w:type="dxa"/>
            <w:gridSpan w:val="3"/>
            <w:tcBorders>
              <w:top w:val="single" w:color="auto" w:sz="4" w:space="0"/>
              <w:left w:val="single" w:color="auto" w:sz="4" w:space="0"/>
              <w:bottom w:val="single" w:color="auto" w:sz="4" w:space="0"/>
              <w:right w:val="single" w:color="auto" w:sz="4" w:space="0"/>
            </w:tcBorders>
            <w:noWrap/>
            <w:vAlign w:val="center"/>
          </w:tcPr>
          <w:p w14:paraId="647237B0">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r>
      <w:tr w14:paraId="432A003F">
        <w:tblPrEx>
          <w:tblCellMar>
            <w:top w:w="0" w:type="dxa"/>
            <w:left w:w="108" w:type="dxa"/>
            <w:bottom w:w="0" w:type="dxa"/>
            <w:right w:w="108" w:type="dxa"/>
          </w:tblCellMar>
        </w:tblPrEx>
        <w:trPr>
          <w:trHeight w:val="331" w:hRule="atLeast"/>
          <w:jc w:val="center"/>
        </w:trPr>
        <w:tc>
          <w:tcPr>
            <w:tcW w:w="1727" w:type="dxa"/>
            <w:gridSpan w:val="3"/>
            <w:tcBorders>
              <w:top w:val="single" w:color="auto" w:sz="4" w:space="0"/>
              <w:left w:val="single" w:color="auto" w:sz="4" w:space="0"/>
              <w:bottom w:val="single" w:color="auto" w:sz="4" w:space="0"/>
              <w:right w:val="single" w:color="auto" w:sz="4" w:space="0"/>
            </w:tcBorders>
            <w:noWrap/>
            <w:vAlign w:val="center"/>
          </w:tcPr>
          <w:p w14:paraId="6E3E54D2">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支出预算</w:t>
            </w:r>
          </w:p>
        </w:tc>
        <w:tc>
          <w:tcPr>
            <w:tcW w:w="2049" w:type="dxa"/>
            <w:gridSpan w:val="2"/>
            <w:tcBorders>
              <w:top w:val="single" w:color="000000" w:sz="4" w:space="0"/>
              <w:left w:val="single" w:color="auto" w:sz="4" w:space="0"/>
              <w:bottom w:val="single" w:color="000000" w:sz="4" w:space="0"/>
              <w:right w:val="single" w:color="000000" w:sz="4" w:space="0"/>
            </w:tcBorders>
            <w:noWrap/>
            <w:vAlign w:val="center"/>
          </w:tcPr>
          <w:p w14:paraId="1B2CE3D2">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13,392,526.83</w:t>
            </w:r>
          </w:p>
        </w:tc>
        <w:tc>
          <w:tcPr>
            <w:tcW w:w="1795" w:type="dxa"/>
            <w:gridSpan w:val="2"/>
            <w:tcBorders>
              <w:top w:val="single" w:color="auto" w:sz="4" w:space="0"/>
              <w:left w:val="single" w:color="000000" w:sz="4" w:space="0"/>
              <w:bottom w:val="single" w:color="000000" w:sz="4" w:space="0"/>
              <w:right w:val="single" w:color="000000" w:sz="4" w:space="0"/>
            </w:tcBorders>
            <w:noWrap/>
            <w:vAlign w:val="center"/>
          </w:tcPr>
          <w:p w14:paraId="54C10D1B">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13,392,526.83</w:t>
            </w:r>
          </w:p>
        </w:tc>
        <w:tc>
          <w:tcPr>
            <w:tcW w:w="4087" w:type="dxa"/>
            <w:gridSpan w:val="3"/>
            <w:tcBorders>
              <w:top w:val="single" w:color="auto" w:sz="4" w:space="0"/>
              <w:left w:val="single" w:color="000000" w:sz="4" w:space="0"/>
              <w:bottom w:val="single" w:color="000000" w:sz="4" w:space="0"/>
              <w:right w:val="single" w:color="000000" w:sz="4" w:space="0"/>
            </w:tcBorders>
            <w:noWrap/>
            <w:vAlign w:val="center"/>
          </w:tcPr>
          <w:p w14:paraId="0FB2FA8D">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r>
      <w:tr w14:paraId="04B409AF">
        <w:tblPrEx>
          <w:tblCellMar>
            <w:top w:w="0" w:type="dxa"/>
            <w:left w:w="108" w:type="dxa"/>
            <w:bottom w:w="0" w:type="dxa"/>
            <w:right w:w="108" w:type="dxa"/>
          </w:tblCellMar>
        </w:tblPrEx>
        <w:trPr>
          <w:trHeight w:val="296" w:hRule="atLeast"/>
          <w:jc w:val="center"/>
        </w:trPr>
        <w:tc>
          <w:tcPr>
            <w:tcW w:w="1727" w:type="dxa"/>
            <w:gridSpan w:val="3"/>
            <w:tcBorders>
              <w:top w:val="single" w:color="auto" w:sz="4" w:space="0"/>
              <w:left w:val="single" w:color="000000" w:sz="4" w:space="0"/>
              <w:bottom w:val="single" w:color="000000" w:sz="4" w:space="0"/>
              <w:right w:val="single" w:color="000000" w:sz="4" w:space="0"/>
            </w:tcBorders>
            <w:noWrap/>
            <w:vAlign w:val="center"/>
          </w:tcPr>
          <w:p w14:paraId="342A2916">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年度总体目标</w:t>
            </w:r>
          </w:p>
        </w:tc>
        <w:tc>
          <w:tcPr>
            <w:tcW w:w="7931" w:type="dxa"/>
            <w:gridSpan w:val="7"/>
            <w:tcBorders>
              <w:top w:val="single" w:color="000000" w:sz="4" w:space="0"/>
              <w:left w:val="single" w:color="000000" w:sz="4" w:space="0"/>
              <w:bottom w:val="single" w:color="000000" w:sz="4" w:space="0"/>
              <w:right w:val="single" w:color="000000" w:sz="4" w:space="0"/>
            </w:tcBorders>
            <w:noWrap/>
            <w:vAlign w:val="center"/>
          </w:tcPr>
          <w:p w14:paraId="3649C130">
            <w:pPr>
              <w:widowControl/>
              <w:spacing w:line="240" w:lineRule="exact"/>
              <w:ind w:firstLine="0" w:firstLineChars="0"/>
              <w:jc w:val="left"/>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2025年，县人民法院工作总体思路是：坚持以习近平新时代中国特色社会主义思想为指导，深入学习贯彻习近平法治思想，全面贯彻落实党的二十大、二十届三中全会精神和省委、州委、县委全会精神，聚焦建设国际生态文化旅游目的地，聚力县委“135”发展目标，做深做实为大局服务、为人民司法，奋力推进审判工作现代化，为服务保障全县经济社会高质量发展贡献法院力量。为此，我们将重点做好以下五方面工作。</w:t>
            </w:r>
          </w:p>
          <w:p w14:paraId="272BCE6B">
            <w:pPr>
              <w:widowControl/>
              <w:spacing w:line="240" w:lineRule="exact"/>
              <w:ind w:firstLine="0" w:firstLineChars="0"/>
              <w:jc w:val="left"/>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筑牢政治忠诚，在加强政治建设中迈出新步伐。始终坚持党对法院工作的绝对领导，确保思想站位高、行动方向准。坚持抓党建带队建促审判，打造更加坚强有力的战斗堡垒。压实意识形态工作责任制，坚决守住司法领域意识形态安全底线。忠实践行全过程人民民主，拓宽畅通接受监督渠道，促进严格、公正、廉洁司法。</w:t>
            </w:r>
          </w:p>
          <w:p w14:paraId="259AA59B">
            <w:pPr>
              <w:widowControl/>
              <w:spacing w:line="240" w:lineRule="exact"/>
              <w:ind w:firstLine="0" w:firstLineChars="0"/>
              <w:jc w:val="left"/>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深耕主责主业，在服务发展大局中彰显新担当。坚定不移贯彻总体国家安全观，打好常态化扫黑除恶斗争持久战，全力维护国家安全、社会安定、人民安宁。践行新时代“枫桥经验”，助力县域社会治理现代化，维护全县社会大局稳定。坚持围绕中心服务大局，在推动法旅互动、文旅融合高质量发展中，持续优化法治化营商环境。</w:t>
            </w:r>
          </w:p>
          <w:p w14:paraId="44D673A4">
            <w:pPr>
              <w:widowControl/>
              <w:spacing w:line="240" w:lineRule="exact"/>
              <w:ind w:firstLine="0" w:firstLineChars="0"/>
              <w:jc w:val="left"/>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牢记初心使命，在践行司法为民中展现新作为。坚持以人民为中心的发展思想，依法维护人民群众合法权益，在服务发展中保障和改善民生。践行“如我在诉”，抓好执法办案，切实提升人民群众幸福感、安全感。聚焦群众急难愁盼，优化司法便民惠民举措，全面拓展司法公开广度深度，努力让人民群众感受到公平正义就在身边。</w:t>
            </w:r>
          </w:p>
          <w:p w14:paraId="65D021C8">
            <w:pPr>
              <w:widowControl/>
              <w:spacing w:line="240" w:lineRule="exact"/>
              <w:ind w:firstLine="0" w:firstLineChars="0"/>
              <w:jc w:val="left"/>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抓实公正效率，在狠抓审判质效中实现新提升。坚持整体推进与重点突破相统一，全面深化司法体制综合配套改革，不断释放发展内生动力。严格落实司法责任制，健全完善“四类案件”监管制度，加快构建与新型审判权力运行机制相适应的制约监督和责任体系。深化数字法院建设，切实以数字赋能推进审判工作现代化水平，回应互联网时代人民司法新需求。</w:t>
            </w:r>
          </w:p>
          <w:p w14:paraId="104C8198">
            <w:pPr>
              <w:widowControl/>
              <w:spacing w:line="240" w:lineRule="exact"/>
              <w:ind w:firstLine="0" w:firstLineChars="0"/>
              <w:jc w:val="left"/>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聚力强基固本，在提升队伍建设中展示新形象。坚持不懈推进全面从严管党治院，一体推进政治素质、业务素质、职业道德素质建设。把思想建设作为核心，以党的创新理论推动司法理念现代化。把能力建设作为重点，努力提升与社会治理能力现代化相适应的司法能力。把作风建设作为关键，持之以恒正风肃纪反腐，确保法院清正、法官清廉、司法清明。</w:t>
            </w:r>
          </w:p>
          <w:p w14:paraId="2F4C55E6">
            <w:pPr>
              <w:widowControl/>
              <w:spacing w:line="240" w:lineRule="exact"/>
              <w:ind w:firstLine="0" w:firstLineChars="0"/>
              <w:jc w:val="left"/>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各位代表，大道至简，实干为要。新的一年，县人民法院将在县委的坚强领导下，在县人大及其常委会有力监督下，全面落实党中央、省委、州委和县委决策部署，牢记嘱托、感恩奋进，认真贯彻落实本次大会决议，忠实履行宪法法律赋予的职责，为全面建设社会主义现代化九寨沟和国际生态文化旅游目的地作出新的更大贡献！</w:t>
            </w:r>
          </w:p>
        </w:tc>
      </w:tr>
      <w:tr w14:paraId="1D743171">
        <w:tblPrEx>
          <w:tblCellMar>
            <w:top w:w="0" w:type="dxa"/>
            <w:left w:w="108" w:type="dxa"/>
            <w:bottom w:w="0" w:type="dxa"/>
            <w:right w:w="108" w:type="dxa"/>
          </w:tblCellMar>
        </w:tblPrEx>
        <w:trPr>
          <w:trHeight w:val="296" w:hRule="atLeast"/>
          <w:jc w:val="center"/>
        </w:trPr>
        <w:tc>
          <w:tcPr>
            <w:tcW w:w="331" w:type="dxa"/>
            <w:vMerge w:val="restart"/>
            <w:tcBorders>
              <w:top w:val="single" w:color="000000" w:sz="4" w:space="0"/>
              <w:left w:val="single" w:color="000000" w:sz="4" w:space="0"/>
              <w:bottom w:val="single" w:color="000000" w:sz="4" w:space="0"/>
              <w:right w:val="single" w:color="000000" w:sz="4" w:space="0"/>
            </w:tcBorders>
            <w:noWrap/>
            <w:vAlign w:val="center"/>
          </w:tcPr>
          <w:p w14:paraId="2B78C4B4">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管理效率</w:t>
            </w:r>
          </w:p>
        </w:tc>
        <w:tc>
          <w:tcPr>
            <w:tcW w:w="593" w:type="dxa"/>
            <w:vMerge w:val="restart"/>
            <w:tcBorders>
              <w:top w:val="single" w:color="000000" w:sz="4" w:space="0"/>
              <w:left w:val="single" w:color="000000" w:sz="4" w:space="0"/>
              <w:bottom w:val="single" w:color="000000" w:sz="4" w:space="0"/>
              <w:right w:val="single" w:color="000000" w:sz="4" w:space="0"/>
            </w:tcBorders>
            <w:noWrap/>
            <w:vAlign w:val="center"/>
          </w:tcPr>
          <w:p w14:paraId="4657B515">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一级指标</w:t>
            </w:r>
          </w:p>
        </w:tc>
        <w:tc>
          <w:tcPr>
            <w:tcW w:w="803" w:type="dxa"/>
            <w:vMerge w:val="restart"/>
            <w:tcBorders>
              <w:top w:val="single" w:color="000000" w:sz="4" w:space="0"/>
              <w:left w:val="single" w:color="000000" w:sz="4" w:space="0"/>
              <w:bottom w:val="single" w:color="000000" w:sz="4" w:space="0"/>
              <w:right w:val="single" w:color="000000" w:sz="4" w:space="0"/>
            </w:tcBorders>
            <w:noWrap/>
            <w:vAlign w:val="center"/>
          </w:tcPr>
          <w:p w14:paraId="7C267A6D">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二级指标</w:t>
            </w:r>
          </w:p>
        </w:tc>
        <w:tc>
          <w:tcPr>
            <w:tcW w:w="1246" w:type="dxa"/>
            <w:vMerge w:val="restart"/>
            <w:tcBorders>
              <w:top w:val="single" w:color="000000" w:sz="4" w:space="0"/>
              <w:left w:val="single" w:color="000000" w:sz="4" w:space="0"/>
              <w:bottom w:val="single" w:color="000000" w:sz="4" w:space="0"/>
              <w:right w:val="single" w:color="000000" w:sz="4" w:space="0"/>
            </w:tcBorders>
            <w:noWrap/>
            <w:vAlign w:val="center"/>
          </w:tcPr>
          <w:p w14:paraId="2F89970C">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三级指标</w:t>
            </w:r>
          </w:p>
        </w:tc>
        <w:tc>
          <w:tcPr>
            <w:tcW w:w="803" w:type="dxa"/>
            <w:vMerge w:val="restart"/>
            <w:tcBorders>
              <w:top w:val="single" w:color="000000" w:sz="4" w:space="0"/>
              <w:left w:val="single" w:color="000000" w:sz="4" w:space="0"/>
              <w:bottom w:val="single" w:color="000000" w:sz="4" w:space="0"/>
              <w:right w:val="single" w:color="000000" w:sz="4" w:space="0"/>
            </w:tcBorders>
            <w:noWrap/>
            <w:vAlign w:val="center"/>
          </w:tcPr>
          <w:p w14:paraId="438CE416">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指标值</w:t>
            </w:r>
          </w:p>
        </w:tc>
        <w:tc>
          <w:tcPr>
            <w:tcW w:w="3951" w:type="dxa"/>
            <w:gridSpan w:val="4"/>
            <w:tcBorders>
              <w:top w:val="single" w:color="000000" w:sz="4" w:space="0"/>
              <w:left w:val="single" w:color="000000" w:sz="4" w:space="0"/>
              <w:bottom w:val="single" w:color="000000" w:sz="4" w:space="0"/>
              <w:right w:val="single" w:color="000000" w:sz="4" w:space="0"/>
            </w:tcBorders>
            <w:noWrap/>
            <w:vAlign w:val="center"/>
          </w:tcPr>
          <w:p w14:paraId="5EB4791C">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指标设置参考值</w:t>
            </w:r>
          </w:p>
        </w:tc>
        <w:tc>
          <w:tcPr>
            <w:tcW w:w="1931" w:type="dxa"/>
            <w:vMerge w:val="restart"/>
            <w:tcBorders>
              <w:top w:val="single" w:color="000000" w:sz="4" w:space="0"/>
              <w:left w:val="single" w:color="000000" w:sz="4" w:space="0"/>
              <w:right w:val="single" w:color="000000" w:sz="4" w:space="0"/>
            </w:tcBorders>
            <w:noWrap/>
            <w:vAlign w:val="center"/>
          </w:tcPr>
          <w:p w14:paraId="24FDBA56">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指标实际完成值</w:t>
            </w:r>
          </w:p>
        </w:tc>
      </w:tr>
      <w:tr w14:paraId="7044A651">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07686535">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2CD320CC">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378DB252">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1246" w:type="dxa"/>
            <w:vMerge w:val="continue"/>
            <w:tcBorders>
              <w:top w:val="single" w:color="000000" w:sz="4" w:space="0"/>
              <w:left w:val="single" w:color="000000" w:sz="4" w:space="0"/>
              <w:bottom w:val="single" w:color="000000" w:sz="4" w:space="0"/>
              <w:right w:val="single" w:color="000000" w:sz="4" w:space="0"/>
            </w:tcBorders>
            <w:noWrap/>
            <w:vAlign w:val="center"/>
          </w:tcPr>
          <w:p w14:paraId="7044481A">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20BE3944">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777" w:type="dxa"/>
            <w:tcBorders>
              <w:top w:val="single" w:color="000000" w:sz="4" w:space="0"/>
              <w:left w:val="single" w:color="000000" w:sz="4" w:space="0"/>
              <w:right w:val="single" w:color="000000" w:sz="4" w:space="0"/>
            </w:tcBorders>
            <w:noWrap/>
            <w:vAlign w:val="center"/>
          </w:tcPr>
          <w:p w14:paraId="2013680D">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三年</w:t>
            </w:r>
          </w:p>
          <w:p w14:paraId="7ED02B03">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均值</w:t>
            </w:r>
          </w:p>
        </w:tc>
        <w:tc>
          <w:tcPr>
            <w:tcW w:w="1018" w:type="dxa"/>
            <w:tcBorders>
              <w:top w:val="single" w:color="000000" w:sz="4" w:space="0"/>
              <w:left w:val="single" w:color="000000" w:sz="4" w:space="0"/>
              <w:bottom w:val="single" w:color="000000" w:sz="4" w:space="0"/>
              <w:right w:val="single" w:color="000000" w:sz="4" w:space="0"/>
            </w:tcBorders>
            <w:noWrap/>
            <w:vAlign w:val="center"/>
          </w:tcPr>
          <w:p w14:paraId="705AA196">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202</w:t>
            </w:r>
            <w:r>
              <w:rPr>
                <w:rFonts w:hint="eastAsia" w:ascii="宋体" w:hAnsi="宋体" w:eastAsia="宋体" w:cs="宋体"/>
                <w:color w:val="000000"/>
                <w:kern w:val="0"/>
                <w:sz w:val="24"/>
                <w:lang w:val="en-US" w:eastAsia="zh-CN"/>
              </w:rPr>
              <w:t>2</w:t>
            </w:r>
            <w:r>
              <w:rPr>
                <w:rFonts w:hint="eastAsia" w:ascii="宋体" w:hAnsi="宋体" w:eastAsia="宋体" w:cs="宋体"/>
                <w:color w:val="000000"/>
                <w:kern w:val="0"/>
                <w:sz w:val="24"/>
              </w:rPr>
              <w:t>年</w:t>
            </w: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755A25CD">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202</w:t>
            </w:r>
            <w:r>
              <w:rPr>
                <w:rFonts w:hint="eastAsia" w:ascii="宋体" w:hAnsi="宋体" w:eastAsia="宋体" w:cs="宋体"/>
                <w:color w:val="000000"/>
                <w:kern w:val="0"/>
                <w:sz w:val="24"/>
                <w:lang w:val="en-US" w:eastAsia="zh-CN"/>
              </w:rPr>
              <w:t>3</w:t>
            </w:r>
            <w:r>
              <w:rPr>
                <w:rFonts w:hint="eastAsia" w:ascii="宋体" w:hAnsi="宋体" w:eastAsia="宋体" w:cs="宋体"/>
                <w:color w:val="000000"/>
                <w:kern w:val="0"/>
                <w:sz w:val="24"/>
              </w:rPr>
              <w:t>年</w:t>
            </w: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21F16CBB">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202</w:t>
            </w:r>
            <w:r>
              <w:rPr>
                <w:rFonts w:hint="eastAsia" w:ascii="宋体" w:hAnsi="宋体" w:eastAsia="宋体" w:cs="宋体"/>
                <w:color w:val="000000"/>
                <w:kern w:val="0"/>
                <w:sz w:val="24"/>
                <w:lang w:val="en-US" w:eastAsia="zh-CN"/>
              </w:rPr>
              <w:t>4</w:t>
            </w:r>
            <w:r>
              <w:rPr>
                <w:rFonts w:hint="eastAsia" w:ascii="宋体" w:hAnsi="宋体" w:eastAsia="宋体" w:cs="宋体"/>
                <w:color w:val="000000"/>
                <w:kern w:val="0"/>
                <w:sz w:val="24"/>
              </w:rPr>
              <w:t>年</w:t>
            </w:r>
          </w:p>
        </w:tc>
        <w:tc>
          <w:tcPr>
            <w:tcW w:w="1931" w:type="dxa"/>
            <w:vMerge w:val="continue"/>
            <w:tcBorders>
              <w:left w:val="single" w:color="000000" w:sz="4" w:space="0"/>
              <w:right w:val="single" w:color="000000" w:sz="4" w:space="0"/>
            </w:tcBorders>
            <w:noWrap/>
            <w:vAlign w:val="center"/>
          </w:tcPr>
          <w:p w14:paraId="16D88586">
            <w:pPr>
              <w:widowControl/>
              <w:spacing w:line="240" w:lineRule="exact"/>
              <w:ind w:firstLine="0" w:firstLineChars="0"/>
              <w:jc w:val="center"/>
              <w:textAlignment w:val="center"/>
              <w:rPr>
                <w:rFonts w:hint="eastAsia" w:ascii="宋体" w:hAnsi="宋体" w:eastAsia="宋体" w:cs="宋体"/>
                <w:color w:val="000000"/>
                <w:kern w:val="0"/>
                <w:sz w:val="24"/>
              </w:rPr>
            </w:pPr>
          </w:p>
        </w:tc>
      </w:tr>
      <w:tr w14:paraId="720BB46E">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441CFB08">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vMerge w:val="restart"/>
            <w:tcBorders>
              <w:top w:val="single" w:color="000000" w:sz="4" w:space="0"/>
              <w:left w:val="single" w:color="000000" w:sz="4" w:space="0"/>
              <w:bottom w:val="single" w:color="000000" w:sz="4" w:space="0"/>
              <w:right w:val="single" w:color="000000" w:sz="4" w:space="0"/>
            </w:tcBorders>
            <w:noWrap/>
            <w:vAlign w:val="center"/>
          </w:tcPr>
          <w:p w14:paraId="2F93D29F">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成本指标</w:t>
            </w:r>
          </w:p>
        </w:tc>
        <w:tc>
          <w:tcPr>
            <w:tcW w:w="803" w:type="dxa"/>
            <w:vMerge w:val="restart"/>
            <w:tcBorders>
              <w:top w:val="single" w:color="000000" w:sz="4" w:space="0"/>
              <w:left w:val="single" w:color="000000" w:sz="4" w:space="0"/>
              <w:bottom w:val="single" w:color="000000" w:sz="4" w:space="0"/>
              <w:right w:val="single" w:color="000000" w:sz="4" w:space="0"/>
            </w:tcBorders>
            <w:noWrap/>
            <w:vAlign w:val="center"/>
          </w:tcPr>
          <w:p w14:paraId="75D74CE1">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预算管理</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716EC4E1">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财政拨款预算编制偏离度</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777423E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25%</w:t>
            </w:r>
          </w:p>
        </w:tc>
        <w:tc>
          <w:tcPr>
            <w:tcW w:w="777" w:type="dxa"/>
            <w:tcBorders>
              <w:top w:val="single" w:color="000000" w:sz="4" w:space="0"/>
              <w:left w:val="single" w:color="000000" w:sz="4" w:space="0"/>
              <w:bottom w:val="single" w:color="000000" w:sz="4" w:space="0"/>
              <w:right w:val="single" w:color="000000" w:sz="4" w:space="0"/>
            </w:tcBorders>
            <w:noWrap/>
            <w:vAlign w:val="center"/>
          </w:tcPr>
          <w:p w14:paraId="72A1262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25%</w:t>
            </w:r>
          </w:p>
        </w:tc>
        <w:tc>
          <w:tcPr>
            <w:tcW w:w="1018" w:type="dxa"/>
            <w:tcBorders>
              <w:top w:val="single" w:color="000000" w:sz="4" w:space="0"/>
              <w:left w:val="single" w:color="000000" w:sz="4" w:space="0"/>
              <w:bottom w:val="single" w:color="000000" w:sz="4" w:space="0"/>
              <w:right w:val="single" w:color="000000" w:sz="4" w:space="0"/>
            </w:tcBorders>
            <w:noWrap/>
            <w:vAlign w:val="center"/>
          </w:tcPr>
          <w:p w14:paraId="39D9659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25%</w:t>
            </w: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4E93E15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25%</w:t>
            </w: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777AE3D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25%</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0B22DA6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82.29%</w:t>
            </w:r>
          </w:p>
        </w:tc>
      </w:tr>
      <w:tr w14:paraId="40B9B774">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0EA0D8E1">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2C383C3B">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1AA61118">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408E5584">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单位收入统筹度</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0F9AE83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85%</w:t>
            </w:r>
          </w:p>
        </w:tc>
        <w:tc>
          <w:tcPr>
            <w:tcW w:w="777" w:type="dxa"/>
            <w:tcBorders>
              <w:top w:val="single" w:color="000000" w:sz="4" w:space="0"/>
              <w:left w:val="single" w:color="000000" w:sz="4" w:space="0"/>
              <w:bottom w:val="single" w:color="000000" w:sz="4" w:space="0"/>
              <w:right w:val="single" w:color="000000" w:sz="4" w:space="0"/>
            </w:tcBorders>
            <w:noWrap/>
            <w:vAlign w:val="center"/>
          </w:tcPr>
          <w:p w14:paraId="068E938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85%</w:t>
            </w:r>
          </w:p>
        </w:tc>
        <w:tc>
          <w:tcPr>
            <w:tcW w:w="1018" w:type="dxa"/>
            <w:tcBorders>
              <w:top w:val="single" w:color="000000" w:sz="4" w:space="0"/>
              <w:left w:val="single" w:color="000000" w:sz="4" w:space="0"/>
              <w:bottom w:val="single" w:color="000000" w:sz="4" w:space="0"/>
              <w:right w:val="single" w:color="000000" w:sz="4" w:space="0"/>
            </w:tcBorders>
            <w:noWrap/>
            <w:vAlign w:val="center"/>
          </w:tcPr>
          <w:p w14:paraId="2A597AB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85%</w:t>
            </w: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01A0FFF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85%</w:t>
            </w: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4A37C96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85%</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62F4DBA5">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w:t>
            </w:r>
          </w:p>
        </w:tc>
      </w:tr>
      <w:tr w14:paraId="1688F2D1">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4C8A3D1D">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6379C811">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5C652B06">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6CA522C7">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预算年终结余率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06142D9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777" w:type="dxa"/>
            <w:tcBorders>
              <w:top w:val="single" w:color="000000" w:sz="4" w:space="0"/>
              <w:left w:val="single" w:color="000000" w:sz="4" w:space="0"/>
              <w:bottom w:val="single" w:color="000000" w:sz="4" w:space="0"/>
              <w:right w:val="single" w:color="000000" w:sz="4" w:space="0"/>
            </w:tcBorders>
            <w:noWrap/>
            <w:vAlign w:val="center"/>
          </w:tcPr>
          <w:p w14:paraId="6B514AD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018" w:type="dxa"/>
            <w:tcBorders>
              <w:top w:val="single" w:color="000000" w:sz="4" w:space="0"/>
              <w:left w:val="single" w:color="000000" w:sz="4" w:space="0"/>
              <w:bottom w:val="single" w:color="000000" w:sz="4" w:space="0"/>
              <w:right w:val="single" w:color="000000" w:sz="4" w:space="0"/>
            </w:tcBorders>
            <w:noWrap/>
            <w:vAlign w:val="center"/>
          </w:tcPr>
          <w:p w14:paraId="431F8B8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37DA1CC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158802D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5B6954D3">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1.37%</w:t>
            </w:r>
          </w:p>
        </w:tc>
      </w:tr>
      <w:tr w14:paraId="511C1C83">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78B6C0F5">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6FBE51EE">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23A65B23">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760831BB">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一般性支出金额</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35D0A38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1,618.96元</w:t>
            </w:r>
          </w:p>
        </w:tc>
        <w:tc>
          <w:tcPr>
            <w:tcW w:w="777" w:type="dxa"/>
            <w:tcBorders>
              <w:top w:val="single" w:color="000000" w:sz="4" w:space="0"/>
              <w:left w:val="single" w:color="000000" w:sz="4" w:space="0"/>
              <w:bottom w:val="single" w:color="000000" w:sz="4" w:space="0"/>
              <w:right w:val="single" w:color="000000" w:sz="4" w:space="0"/>
            </w:tcBorders>
            <w:noWrap/>
            <w:vAlign w:val="center"/>
          </w:tcPr>
          <w:p w14:paraId="587AD90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1,618.96元</w:t>
            </w:r>
          </w:p>
        </w:tc>
        <w:tc>
          <w:tcPr>
            <w:tcW w:w="1018" w:type="dxa"/>
            <w:tcBorders>
              <w:top w:val="single" w:color="000000" w:sz="4" w:space="0"/>
              <w:left w:val="single" w:color="000000" w:sz="4" w:space="0"/>
              <w:bottom w:val="single" w:color="000000" w:sz="4" w:space="0"/>
              <w:right w:val="single" w:color="000000" w:sz="4" w:space="0"/>
            </w:tcBorders>
            <w:noWrap/>
            <w:vAlign w:val="center"/>
          </w:tcPr>
          <w:p w14:paraId="760D44D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67287D8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002CD75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1,618.96元</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6C3C6FAE">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25.55万元</w:t>
            </w:r>
          </w:p>
        </w:tc>
      </w:tr>
      <w:tr w14:paraId="4761D1D7">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3ED8A69D">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3BEA85AB">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147A0DD4">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财务管理</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4D58FFCC">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财务管理规范</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2AFDF00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优</w:t>
            </w:r>
          </w:p>
        </w:tc>
        <w:tc>
          <w:tcPr>
            <w:tcW w:w="777" w:type="dxa"/>
            <w:tcBorders>
              <w:top w:val="single" w:color="000000" w:sz="4" w:space="0"/>
              <w:left w:val="single" w:color="000000" w:sz="4" w:space="0"/>
              <w:bottom w:val="single" w:color="000000" w:sz="4" w:space="0"/>
              <w:right w:val="single" w:color="000000" w:sz="4" w:space="0"/>
            </w:tcBorders>
            <w:noWrap/>
            <w:vAlign w:val="center"/>
          </w:tcPr>
          <w:p w14:paraId="465AD39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18" w:type="dxa"/>
            <w:tcBorders>
              <w:top w:val="single" w:color="000000" w:sz="4" w:space="0"/>
              <w:left w:val="single" w:color="000000" w:sz="4" w:space="0"/>
              <w:bottom w:val="single" w:color="000000" w:sz="4" w:space="0"/>
              <w:right w:val="single" w:color="000000" w:sz="4" w:space="0"/>
            </w:tcBorders>
            <w:noWrap/>
            <w:vAlign w:val="center"/>
          </w:tcPr>
          <w:p w14:paraId="268E619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1829063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61609C16">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优</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7D29700B">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有</w:t>
            </w:r>
          </w:p>
        </w:tc>
      </w:tr>
      <w:tr w14:paraId="0EF759CB">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7FD71668">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10088728">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0D5D0408">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资产管理</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5F7B65C4">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资产配置预算偏离度</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7C3AC27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777" w:type="dxa"/>
            <w:tcBorders>
              <w:top w:val="single" w:color="000000" w:sz="4" w:space="0"/>
              <w:left w:val="single" w:color="000000" w:sz="4" w:space="0"/>
              <w:bottom w:val="single" w:color="000000" w:sz="4" w:space="0"/>
              <w:right w:val="single" w:color="000000" w:sz="4" w:space="0"/>
            </w:tcBorders>
            <w:noWrap/>
            <w:vAlign w:val="center"/>
          </w:tcPr>
          <w:p w14:paraId="008DD14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018" w:type="dxa"/>
            <w:tcBorders>
              <w:top w:val="single" w:color="000000" w:sz="4" w:space="0"/>
              <w:left w:val="single" w:color="000000" w:sz="4" w:space="0"/>
              <w:bottom w:val="single" w:color="000000" w:sz="4" w:space="0"/>
              <w:right w:val="single" w:color="000000" w:sz="4" w:space="0"/>
            </w:tcBorders>
            <w:noWrap/>
            <w:vAlign w:val="center"/>
          </w:tcPr>
          <w:p w14:paraId="61AEE76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393B659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7A5D28A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5801E075">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r>
      <w:tr w14:paraId="4E50BF09">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6405CB14">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44461F61">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6551923D">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采购管理</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1ED9DA0A">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采购执行率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68DF75B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90%</w:t>
            </w:r>
          </w:p>
        </w:tc>
        <w:tc>
          <w:tcPr>
            <w:tcW w:w="777" w:type="dxa"/>
            <w:tcBorders>
              <w:top w:val="single" w:color="000000" w:sz="4" w:space="0"/>
              <w:left w:val="single" w:color="000000" w:sz="4" w:space="0"/>
              <w:bottom w:val="single" w:color="000000" w:sz="4" w:space="0"/>
              <w:right w:val="single" w:color="000000" w:sz="4" w:space="0"/>
            </w:tcBorders>
            <w:noWrap/>
            <w:vAlign w:val="center"/>
          </w:tcPr>
          <w:p w14:paraId="79D796C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90%</w:t>
            </w:r>
          </w:p>
        </w:tc>
        <w:tc>
          <w:tcPr>
            <w:tcW w:w="1018" w:type="dxa"/>
            <w:tcBorders>
              <w:top w:val="single" w:color="000000" w:sz="4" w:space="0"/>
              <w:left w:val="single" w:color="000000" w:sz="4" w:space="0"/>
              <w:bottom w:val="single" w:color="000000" w:sz="4" w:space="0"/>
              <w:right w:val="single" w:color="000000" w:sz="4" w:space="0"/>
            </w:tcBorders>
            <w:noWrap/>
            <w:vAlign w:val="center"/>
          </w:tcPr>
          <w:p w14:paraId="2FBD0D8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90%</w:t>
            </w: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5FBC01D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90%</w:t>
            </w: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3B0CF42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90%</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027F58D0">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r>
      <w:tr w14:paraId="20FF1DEE">
        <w:tblPrEx>
          <w:tblCellMar>
            <w:top w:w="0" w:type="dxa"/>
            <w:left w:w="108" w:type="dxa"/>
            <w:bottom w:w="0" w:type="dxa"/>
            <w:right w:w="108" w:type="dxa"/>
          </w:tblCellMar>
        </w:tblPrEx>
        <w:trPr>
          <w:trHeight w:val="468" w:hRule="atLeast"/>
          <w:jc w:val="center"/>
        </w:trPr>
        <w:tc>
          <w:tcPr>
            <w:tcW w:w="331" w:type="dxa"/>
            <w:vMerge w:val="restart"/>
            <w:tcBorders>
              <w:top w:val="single" w:color="000000" w:sz="4" w:space="0"/>
              <w:left w:val="single" w:color="000000" w:sz="4" w:space="0"/>
              <w:right w:val="single" w:color="000000" w:sz="4" w:space="0"/>
            </w:tcBorders>
            <w:noWrap/>
            <w:vAlign w:val="center"/>
          </w:tcPr>
          <w:p w14:paraId="75932177">
            <w:pPr>
              <w:widowControl/>
              <w:spacing w:line="240" w:lineRule="exact"/>
              <w:ind w:firstLine="0" w:firstLineChars="0"/>
              <w:jc w:val="both"/>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履职效能</w:t>
            </w:r>
          </w:p>
        </w:tc>
        <w:tc>
          <w:tcPr>
            <w:tcW w:w="593" w:type="dxa"/>
            <w:tcBorders>
              <w:top w:val="single" w:color="000000" w:sz="4" w:space="0"/>
              <w:left w:val="single" w:color="000000" w:sz="4" w:space="0"/>
              <w:bottom w:val="single" w:color="000000" w:sz="4" w:space="0"/>
              <w:right w:val="single" w:color="000000" w:sz="4" w:space="0"/>
            </w:tcBorders>
            <w:noWrap/>
            <w:vAlign w:val="center"/>
          </w:tcPr>
          <w:p w14:paraId="60F23D50">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一级指标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0150484A">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二级指标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5BFF37BE">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三级指标</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575E39EF">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指标值（包含数字及文字描述）</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47EC693E">
            <w:pPr>
              <w:widowControl/>
              <w:spacing w:line="240" w:lineRule="exact"/>
              <w:ind w:firstLine="0" w:firstLineChars="0"/>
              <w:jc w:val="center"/>
              <w:textAlignment w:val="center"/>
              <w:rPr>
                <w:rFonts w:hint="eastAsia" w:ascii="宋体" w:hAnsi="宋体" w:eastAsia="宋体" w:cs="宋体"/>
                <w:color w:val="000000"/>
                <w:kern w:val="0"/>
                <w:sz w:val="24"/>
              </w:rPr>
            </w:pPr>
          </w:p>
        </w:tc>
      </w:tr>
      <w:tr w14:paraId="4E1B0F59">
        <w:tblPrEx>
          <w:tblCellMar>
            <w:top w:w="0" w:type="dxa"/>
            <w:left w:w="108" w:type="dxa"/>
            <w:bottom w:w="0" w:type="dxa"/>
            <w:right w:w="108" w:type="dxa"/>
          </w:tblCellMar>
        </w:tblPrEx>
        <w:trPr>
          <w:trHeight w:val="296" w:hRule="atLeast"/>
          <w:jc w:val="center"/>
        </w:trPr>
        <w:tc>
          <w:tcPr>
            <w:tcW w:w="331" w:type="dxa"/>
            <w:vMerge w:val="continue"/>
            <w:tcBorders>
              <w:left w:val="single" w:color="000000" w:sz="4" w:space="0"/>
              <w:right w:val="single" w:color="000000" w:sz="4" w:space="0"/>
            </w:tcBorders>
            <w:noWrap/>
            <w:vAlign w:val="center"/>
          </w:tcPr>
          <w:p w14:paraId="3A152529">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tcBorders>
              <w:top w:val="single" w:color="000000" w:sz="4" w:space="0"/>
              <w:left w:val="single" w:color="000000" w:sz="4" w:space="0"/>
              <w:bottom w:val="single" w:color="000000" w:sz="4" w:space="0"/>
              <w:right w:val="single" w:color="000000" w:sz="4" w:space="0"/>
            </w:tcBorders>
            <w:noWrap/>
            <w:vAlign w:val="center"/>
          </w:tcPr>
          <w:p w14:paraId="134B83F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18E766A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时效指标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362AE94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审限内结案率</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76876E7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≥90%</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16753481">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90%</w:t>
            </w:r>
          </w:p>
        </w:tc>
      </w:tr>
      <w:tr w14:paraId="1E3E2D25">
        <w:tblPrEx>
          <w:tblCellMar>
            <w:top w:w="0" w:type="dxa"/>
            <w:left w:w="108" w:type="dxa"/>
            <w:bottom w:w="0" w:type="dxa"/>
            <w:right w:w="108" w:type="dxa"/>
          </w:tblCellMar>
        </w:tblPrEx>
        <w:trPr>
          <w:trHeight w:val="296" w:hRule="atLeast"/>
          <w:jc w:val="center"/>
        </w:trPr>
        <w:tc>
          <w:tcPr>
            <w:tcW w:w="331" w:type="dxa"/>
            <w:vMerge w:val="continue"/>
            <w:tcBorders>
              <w:left w:val="single" w:color="000000" w:sz="4" w:space="0"/>
              <w:right w:val="single" w:color="000000" w:sz="4" w:space="0"/>
            </w:tcBorders>
            <w:noWrap/>
            <w:vAlign w:val="center"/>
          </w:tcPr>
          <w:p w14:paraId="37555F42">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tcBorders>
              <w:top w:val="single" w:color="000000" w:sz="4" w:space="0"/>
              <w:left w:val="single" w:color="000000" w:sz="4" w:space="0"/>
              <w:bottom w:val="single" w:color="000000" w:sz="4" w:space="0"/>
              <w:right w:val="single" w:color="000000" w:sz="4" w:space="0"/>
            </w:tcBorders>
            <w:noWrap/>
            <w:vAlign w:val="center"/>
          </w:tcPr>
          <w:p w14:paraId="0DB60A6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1349CEB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6977E55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保障司法审判公平公正</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123078F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优</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1C87B51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优</w:t>
            </w:r>
          </w:p>
        </w:tc>
      </w:tr>
      <w:tr w14:paraId="4A3606F3">
        <w:tblPrEx>
          <w:tblCellMar>
            <w:top w:w="0" w:type="dxa"/>
            <w:left w:w="108" w:type="dxa"/>
            <w:bottom w:w="0" w:type="dxa"/>
            <w:right w:w="108" w:type="dxa"/>
          </w:tblCellMar>
        </w:tblPrEx>
        <w:trPr>
          <w:trHeight w:val="296" w:hRule="atLeast"/>
          <w:jc w:val="center"/>
        </w:trPr>
        <w:tc>
          <w:tcPr>
            <w:tcW w:w="331" w:type="dxa"/>
            <w:vMerge w:val="continue"/>
            <w:tcBorders>
              <w:left w:val="single" w:color="000000" w:sz="4" w:space="0"/>
              <w:right w:val="single" w:color="000000" w:sz="4" w:space="0"/>
            </w:tcBorders>
            <w:noWrap/>
            <w:vAlign w:val="center"/>
          </w:tcPr>
          <w:p w14:paraId="6377C3BD">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tcBorders>
              <w:top w:val="single" w:color="000000" w:sz="4" w:space="0"/>
              <w:left w:val="single" w:color="000000" w:sz="4" w:space="0"/>
              <w:bottom w:val="single" w:color="000000" w:sz="4" w:space="0"/>
              <w:right w:val="single" w:color="000000" w:sz="4" w:space="0"/>
            </w:tcBorders>
            <w:noWrap/>
            <w:vAlign w:val="center"/>
          </w:tcPr>
          <w:p w14:paraId="4588ADA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663D1EE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时效指标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2F14614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完成时限</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4BB024E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2025年12月31日</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3881A9EF">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2025年12月31日</w:t>
            </w:r>
          </w:p>
        </w:tc>
      </w:tr>
      <w:tr w14:paraId="5F5600F3">
        <w:tblPrEx>
          <w:tblCellMar>
            <w:top w:w="0" w:type="dxa"/>
            <w:left w:w="108" w:type="dxa"/>
            <w:bottom w:w="0" w:type="dxa"/>
            <w:right w:w="108" w:type="dxa"/>
          </w:tblCellMar>
        </w:tblPrEx>
        <w:trPr>
          <w:trHeight w:val="296" w:hRule="atLeast"/>
          <w:jc w:val="center"/>
        </w:trPr>
        <w:tc>
          <w:tcPr>
            <w:tcW w:w="331" w:type="dxa"/>
            <w:vMerge w:val="continue"/>
            <w:tcBorders>
              <w:left w:val="single" w:color="000000" w:sz="4" w:space="0"/>
              <w:right w:val="single" w:color="000000" w:sz="4" w:space="0"/>
            </w:tcBorders>
            <w:noWrap/>
            <w:vAlign w:val="center"/>
          </w:tcPr>
          <w:p w14:paraId="3FAD3FC4">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tcBorders>
              <w:top w:val="single" w:color="000000" w:sz="4" w:space="0"/>
              <w:left w:val="single" w:color="000000" w:sz="4" w:space="0"/>
              <w:bottom w:val="single" w:color="000000" w:sz="4" w:space="0"/>
              <w:right w:val="single" w:color="000000" w:sz="4" w:space="0"/>
            </w:tcBorders>
            <w:noWrap/>
            <w:vAlign w:val="center"/>
          </w:tcPr>
          <w:p w14:paraId="7FEFD1A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15728E3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质量指标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4BC0297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首执案件执行到位率</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5329B10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≥40%</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5FF1C33C">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40%</w:t>
            </w:r>
          </w:p>
        </w:tc>
      </w:tr>
      <w:tr w14:paraId="3ED25317">
        <w:tblPrEx>
          <w:tblCellMar>
            <w:top w:w="0" w:type="dxa"/>
            <w:left w:w="108" w:type="dxa"/>
            <w:bottom w:w="0" w:type="dxa"/>
            <w:right w:w="108" w:type="dxa"/>
          </w:tblCellMar>
        </w:tblPrEx>
        <w:trPr>
          <w:trHeight w:val="296" w:hRule="atLeast"/>
          <w:jc w:val="center"/>
        </w:trPr>
        <w:tc>
          <w:tcPr>
            <w:tcW w:w="331" w:type="dxa"/>
            <w:vMerge w:val="continue"/>
            <w:tcBorders>
              <w:left w:val="single" w:color="000000" w:sz="4" w:space="0"/>
              <w:right w:val="single" w:color="000000" w:sz="4" w:space="0"/>
            </w:tcBorders>
            <w:noWrap/>
            <w:vAlign w:val="center"/>
          </w:tcPr>
          <w:p w14:paraId="7B6F8CF6">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tcBorders>
              <w:top w:val="single" w:color="000000" w:sz="4" w:space="0"/>
              <w:left w:val="single" w:color="000000" w:sz="4" w:space="0"/>
              <w:bottom w:val="single" w:color="000000" w:sz="4" w:space="0"/>
              <w:right w:val="single" w:color="000000" w:sz="4" w:space="0"/>
            </w:tcBorders>
            <w:noWrap/>
            <w:vAlign w:val="center"/>
          </w:tcPr>
          <w:p w14:paraId="49963E7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0827FE3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4ADB927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2025年诉讼案件结案数量</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415D1A5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≥820件</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1916ABE1">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820件</w:t>
            </w:r>
          </w:p>
        </w:tc>
      </w:tr>
      <w:tr w14:paraId="0AE335B9">
        <w:tblPrEx>
          <w:tblCellMar>
            <w:top w:w="0" w:type="dxa"/>
            <w:left w:w="108" w:type="dxa"/>
            <w:bottom w:w="0" w:type="dxa"/>
            <w:right w:w="108" w:type="dxa"/>
          </w:tblCellMar>
        </w:tblPrEx>
        <w:trPr>
          <w:trHeight w:val="306" w:hRule="atLeast"/>
          <w:jc w:val="center"/>
        </w:trPr>
        <w:tc>
          <w:tcPr>
            <w:tcW w:w="331" w:type="dxa"/>
            <w:vMerge w:val="continue"/>
            <w:tcBorders>
              <w:left w:val="single" w:color="000000" w:sz="4" w:space="0"/>
              <w:right w:val="single" w:color="000000" w:sz="4" w:space="0"/>
            </w:tcBorders>
            <w:noWrap/>
            <w:vAlign w:val="center"/>
          </w:tcPr>
          <w:p w14:paraId="758FB049">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tcBorders>
              <w:top w:val="single" w:color="000000" w:sz="4" w:space="0"/>
              <w:left w:val="single" w:color="000000" w:sz="4" w:space="0"/>
              <w:bottom w:val="single" w:color="000000" w:sz="4" w:space="0"/>
              <w:right w:val="single" w:color="000000" w:sz="4" w:space="0"/>
            </w:tcBorders>
            <w:noWrap/>
            <w:vAlign w:val="center"/>
          </w:tcPr>
          <w:p w14:paraId="01E07AF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68F96A0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063BD44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2025年受理诉讼案件数量</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73AFA82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≥900件</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03F7CF8F">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900件</w:t>
            </w:r>
          </w:p>
        </w:tc>
      </w:tr>
      <w:tr w14:paraId="272D0F80">
        <w:tblPrEx>
          <w:tblCellMar>
            <w:top w:w="0" w:type="dxa"/>
            <w:left w:w="108" w:type="dxa"/>
            <w:bottom w:w="0" w:type="dxa"/>
            <w:right w:w="108" w:type="dxa"/>
          </w:tblCellMar>
        </w:tblPrEx>
        <w:trPr>
          <w:trHeight w:val="306" w:hRule="atLeast"/>
          <w:jc w:val="center"/>
        </w:trPr>
        <w:tc>
          <w:tcPr>
            <w:tcW w:w="331" w:type="dxa"/>
            <w:vMerge w:val="continue"/>
            <w:tcBorders>
              <w:left w:val="single" w:color="000000" w:sz="4" w:space="0"/>
              <w:bottom w:val="single" w:color="000000" w:sz="4" w:space="0"/>
              <w:right w:val="single" w:color="000000" w:sz="4" w:space="0"/>
            </w:tcBorders>
            <w:noWrap/>
            <w:vAlign w:val="center"/>
          </w:tcPr>
          <w:p w14:paraId="238044D8">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tcBorders>
              <w:top w:val="single" w:color="000000" w:sz="4" w:space="0"/>
              <w:left w:val="single" w:color="000000" w:sz="4" w:space="0"/>
              <w:bottom w:val="single" w:color="000000" w:sz="4" w:space="0"/>
              <w:right w:val="single" w:color="000000" w:sz="4" w:space="0"/>
            </w:tcBorders>
            <w:noWrap/>
            <w:vAlign w:val="center"/>
          </w:tcPr>
          <w:p w14:paraId="7221211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1C4EF16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质量指标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283908F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生效案件改发率</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58A8DCF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1C41AEC4">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r>
    </w:tbl>
    <w:p w14:paraId="2CEDA62C">
      <w:pPr>
        <w:widowControl/>
        <w:spacing w:line="240" w:lineRule="exact"/>
        <w:ind w:firstLine="0" w:firstLineChars="0"/>
        <w:jc w:val="center"/>
        <w:textAlignment w:val="center"/>
        <w:rPr>
          <w:rFonts w:hint="eastAsia" w:ascii="宋体" w:hAnsi="宋体" w:eastAsia="宋体" w:cs="宋体"/>
          <w:color w:val="000000"/>
          <w:kern w:val="0"/>
          <w:sz w:val="24"/>
        </w:rPr>
      </w:pPr>
    </w:p>
    <w:p w14:paraId="4B7D636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sectPr>
          <w:headerReference r:id="rId3" w:type="default"/>
          <w:footerReference r:id="rId4" w:type="default"/>
          <w:pgSz w:w="11906" w:h="16838"/>
          <w:pgMar w:top="2098" w:right="1474" w:bottom="1984" w:left="1587" w:header="851" w:footer="992" w:gutter="0"/>
          <w:pgNumType w:fmt="decimal"/>
          <w:cols w:space="425" w:num="1"/>
          <w:docGrid w:type="lines" w:linePitch="435" w:charSpace="0"/>
        </w:sectPr>
      </w:pPr>
    </w:p>
    <w:tbl>
      <w:tblPr>
        <w:tblStyle w:val="21"/>
        <w:tblW w:w="13016"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36"/>
        <w:gridCol w:w="1036"/>
        <w:gridCol w:w="1306"/>
        <w:gridCol w:w="1396"/>
        <w:gridCol w:w="1036"/>
        <w:gridCol w:w="1216"/>
        <w:gridCol w:w="1036"/>
        <w:gridCol w:w="1486"/>
        <w:gridCol w:w="1126"/>
        <w:gridCol w:w="1306"/>
        <w:gridCol w:w="1036"/>
      </w:tblGrid>
      <w:tr w14:paraId="06883C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301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04F1862">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5300A0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0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425F9A">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项目名称</w:t>
            </w:r>
          </w:p>
        </w:tc>
        <w:tc>
          <w:tcPr>
            <w:tcW w:w="1094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63D9BC4">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51320023T000008537348-2022年特定转移支付Z-装备费</w:t>
            </w:r>
          </w:p>
        </w:tc>
      </w:tr>
      <w:tr w14:paraId="0971F5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0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5DF49C">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主管部门</w:t>
            </w:r>
          </w:p>
        </w:tc>
        <w:tc>
          <w:tcPr>
            <w:tcW w:w="599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880D35A">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九寨沟县人民法院部门</w:t>
            </w:r>
          </w:p>
        </w:tc>
        <w:tc>
          <w:tcPr>
            <w:tcW w:w="1486" w:type="dxa"/>
            <w:tcBorders>
              <w:top w:val="nil"/>
              <w:left w:val="nil"/>
              <w:bottom w:val="nil"/>
              <w:right w:val="nil"/>
            </w:tcBorders>
            <w:shd w:val="clear" w:color="auto" w:fill="auto"/>
            <w:vAlign w:val="center"/>
          </w:tcPr>
          <w:p w14:paraId="6673DB3C">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实施单位 （盖章）</w:t>
            </w:r>
          </w:p>
        </w:tc>
        <w:tc>
          <w:tcPr>
            <w:tcW w:w="346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23A32C">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九寨沟县人民法院</w:t>
            </w:r>
          </w:p>
        </w:tc>
      </w:tr>
      <w:tr w14:paraId="1E0420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0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6B36E3">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项目基本情况</w:t>
            </w:r>
          </w:p>
        </w:tc>
        <w:tc>
          <w:tcPr>
            <w:tcW w:w="10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465318">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1.项目年度目标完成情况</w:t>
            </w:r>
          </w:p>
        </w:tc>
        <w:tc>
          <w:tcPr>
            <w:tcW w:w="599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700CF43">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项目年度目标</w:t>
            </w:r>
          </w:p>
        </w:tc>
        <w:tc>
          <w:tcPr>
            <w:tcW w:w="495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058EA4D">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年度目标完成情况</w:t>
            </w:r>
          </w:p>
        </w:tc>
      </w:tr>
      <w:tr w14:paraId="4B8A3E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688CFA">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AE667D">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9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5808DA9">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法院日常办案业务费</w:t>
            </w:r>
          </w:p>
        </w:tc>
        <w:tc>
          <w:tcPr>
            <w:tcW w:w="495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152EF6C">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已完成装备采购任务，保障了法院日常办案所需装备的配备与使用，提升了办案效率。</w:t>
            </w:r>
          </w:p>
        </w:tc>
      </w:tr>
      <w:tr w14:paraId="1AE2C3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C3B186">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B725C">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2.项目实施内容及过程概述</w:t>
            </w:r>
          </w:p>
        </w:tc>
        <w:tc>
          <w:tcPr>
            <w:tcW w:w="1094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4CA4475">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项目主要用于采购办案所需装备，严格按照政府采购程序执行，设备验收合格并投入使用，资金使用规范。</w:t>
            </w:r>
          </w:p>
        </w:tc>
      </w:tr>
      <w:tr w14:paraId="46C734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10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84823B">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预算执行情况（10分）</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16EE4">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年度预算数（万元）</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F0260">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年初预算</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A81F6">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调整后预算数</w:t>
            </w:r>
          </w:p>
        </w:tc>
        <w:tc>
          <w:tcPr>
            <w:tcW w:w="32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53DB7F5">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预算执行数</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FF91B">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预算执行率</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033D2">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权重</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5BA4C">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得分</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9B7FB">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原因</w:t>
            </w:r>
          </w:p>
        </w:tc>
      </w:tr>
      <w:tr w14:paraId="7066A7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EE90B8">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5C859">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总额</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38852">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97533">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4.50</w:t>
            </w:r>
          </w:p>
        </w:tc>
        <w:tc>
          <w:tcPr>
            <w:tcW w:w="32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CD08973">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4.49</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29E58">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99.82%</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2BCA4">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10</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55CE8">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9.98</w:t>
            </w:r>
          </w:p>
        </w:tc>
        <w:tc>
          <w:tcPr>
            <w:tcW w:w="10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C875F8">
            <w:pPr>
              <w:widowControl/>
              <w:spacing w:line="240" w:lineRule="exact"/>
              <w:ind w:firstLine="0" w:firstLineChars="0"/>
              <w:jc w:val="center"/>
              <w:textAlignment w:val="center"/>
              <w:rPr>
                <w:rFonts w:hint="eastAsia" w:ascii="宋体" w:hAnsi="宋体" w:eastAsia="宋体" w:cs="宋体"/>
                <w:color w:val="000000"/>
                <w:kern w:val="0"/>
                <w:sz w:val="24"/>
              </w:rPr>
            </w:pPr>
          </w:p>
        </w:tc>
      </w:tr>
      <w:tr w14:paraId="4C5160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F2B65A">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7D076">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其中：财政资金</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B180A">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AE710">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4.50</w:t>
            </w:r>
          </w:p>
        </w:tc>
        <w:tc>
          <w:tcPr>
            <w:tcW w:w="32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A8DB00">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4.49</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D002B">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99.82%</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86892">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392B2">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w:t>
            </w:r>
          </w:p>
        </w:tc>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820339">
            <w:pPr>
              <w:widowControl/>
              <w:spacing w:line="240" w:lineRule="exact"/>
              <w:ind w:firstLine="0" w:firstLineChars="0"/>
              <w:jc w:val="center"/>
              <w:textAlignment w:val="center"/>
              <w:rPr>
                <w:rFonts w:hint="eastAsia" w:ascii="宋体" w:hAnsi="宋体" w:eastAsia="宋体" w:cs="宋体"/>
                <w:color w:val="000000"/>
                <w:kern w:val="0"/>
                <w:sz w:val="24"/>
              </w:rPr>
            </w:pPr>
          </w:p>
        </w:tc>
      </w:tr>
      <w:tr w14:paraId="7F37D1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35212D">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9C162">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财政专户管理资金</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CD332">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32D78">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0.00</w:t>
            </w:r>
          </w:p>
        </w:tc>
        <w:tc>
          <w:tcPr>
            <w:tcW w:w="32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A1A94B">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0.00</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891A0">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0.00%</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A60E9">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EAAB9">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w:t>
            </w:r>
          </w:p>
        </w:tc>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D6D192">
            <w:pPr>
              <w:widowControl/>
              <w:spacing w:line="240" w:lineRule="exact"/>
              <w:ind w:firstLine="0" w:firstLineChars="0"/>
              <w:jc w:val="center"/>
              <w:textAlignment w:val="center"/>
              <w:rPr>
                <w:rFonts w:hint="eastAsia" w:ascii="宋体" w:hAnsi="宋体" w:eastAsia="宋体" w:cs="宋体"/>
                <w:color w:val="000000"/>
                <w:kern w:val="0"/>
                <w:sz w:val="24"/>
              </w:rPr>
            </w:pPr>
          </w:p>
        </w:tc>
      </w:tr>
      <w:tr w14:paraId="1FE357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E6E37B">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FC085">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单位资金</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65FB7">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63869">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0.00</w:t>
            </w:r>
          </w:p>
        </w:tc>
        <w:tc>
          <w:tcPr>
            <w:tcW w:w="32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25A4AC2">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0.00</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86779">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0.00%</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6CCD3">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7746A">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w:t>
            </w:r>
          </w:p>
        </w:tc>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E014A4">
            <w:pPr>
              <w:widowControl/>
              <w:spacing w:line="240" w:lineRule="exact"/>
              <w:ind w:firstLine="0" w:firstLineChars="0"/>
              <w:jc w:val="center"/>
              <w:textAlignment w:val="center"/>
              <w:rPr>
                <w:rFonts w:hint="eastAsia" w:ascii="宋体" w:hAnsi="宋体" w:eastAsia="宋体" w:cs="宋体"/>
                <w:color w:val="000000"/>
                <w:kern w:val="0"/>
                <w:sz w:val="24"/>
              </w:rPr>
            </w:pPr>
          </w:p>
        </w:tc>
      </w:tr>
      <w:tr w14:paraId="6F5AE8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09327F">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A380C">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其他资金</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41890">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131B7">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32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0AC0E11">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F82C6">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1588F">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E5E8C">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w:t>
            </w:r>
          </w:p>
        </w:tc>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81EF77">
            <w:pPr>
              <w:widowControl/>
              <w:spacing w:line="240" w:lineRule="exact"/>
              <w:ind w:firstLine="0" w:firstLineChars="0"/>
              <w:jc w:val="center"/>
              <w:textAlignment w:val="center"/>
              <w:rPr>
                <w:rFonts w:hint="eastAsia" w:ascii="宋体" w:hAnsi="宋体" w:eastAsia="宋体" w:cs="宋体"/>
                <w:color w:val="000000"/>
                <w:kern w:val="0"/>
                <w:sz w:val="24"/>
              </w:rPr>
            </w:pPr>
          </w:p>
        </w:tc>
      </w:tr>
      <w:tr w14:paraId="7584F5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10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B8FF8B">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绩效指标（90分）</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1469A">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一级指标</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D6D40">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二级指标</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DDC5D">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三级指标</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8954F">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指标性质</w:t>
            </w: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9067E">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指标值</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94F08">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度量单位</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437FC">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完成值</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C59EC">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权重</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5051E">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得分</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BB21E">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未完成原因分析</w:t>
            </w:r>
          </w:p>
        </w:tc>
      </w:tr>
      <w:tr w14:paraId="221FC1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5DF19E">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43A53">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产出指标</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B5455">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数量指标</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EE863">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案件受理率</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CC390">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w:t>
            </w: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356D1">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90</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40992">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F25E1">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90</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F8055">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50</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7FF89">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50</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C7C86">
            <w:pPr>
              <w:widowControl/>
              <w:spacing w:line="240" w:lineRule="exact"/>
              <w:ind w:firstLine="0" w:firstLineChars="0"/>
              <w:jc w:val="center"/>
              <w:textAlignment w:val="center"/>
              <w:rPr>
                <w:rFonts w:hint="eastAsia" w:ascii="宋体" w:hAnsi="宋体" w:eastAsia="宋体" w:cs="宋体"/>
                <w:color w:val="000000"/>
                <w:kern w:val="0"/>
                <w:sz w:val="24"/>
              </w:rPr>
            </w:pPr>
          </w:p>
        </w:tc>
      </w:tr>
      <w:tr w14:paraId="512C6D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564C41">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21F72">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效益指标</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6C165">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社会效益指标</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BE152">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保障司法审判公平公正</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98AE3">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定性</w:t>
            </w: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0F81C">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优</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192C9">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9223C">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优</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DA6F6">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40</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A5099">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40</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A433A">
            <w:pPr>
              <w:widowControl/>
              <w:spacing w:line="240" w:lineRule="exact"/>
              <w:ind w:firstLine="0" w:firstLineChars="0"/>
              <w:jc w:val="center"/>
              <w:textAlignment w:val="center"/>
              <w:rPr>
                <w:rFonts w:hint="eastAsia" w:ascii="宋体" w:hAnsi="宋体" w:eastAsia="宋体" w:cs="宋体"/>
                <w:color w:val="000000"/>
                <w:kern w:val="0"/>
                <w:sz w:val="24"/>
              </w:rPr>
            </w:pPr>
          </w:p>
        </w:tc>
      </w:tr>
      <w:tr w14:paraId="63B7D7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54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AE03ED1">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合计</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92EEC">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100</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C8327">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99.98</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CD581">
            <w:pPr>
              <w:widowControl/>
              <w:spacing w:line="240" w:lineRule="exact"/>
              <w:ind w:firstLine="0" w:firstLineChars="0"/>
              <w:jc w:val="center"/>
              <w:textAlignment w:val="center"/>
              <w:rPr>
                <w:rFonts w:hint="eastAsia" w:ascii="宋体" w:hAnsi="宋体" w:eastAsia="宋体" w:cs="宋体"/>
                <w:color w:val="000000"/>
                <w:kern w:val="0"/>
                <w:sz w:val="24"/>
              </w:rPr>
            </w:pPr>
          </w:p>
        </w:tc>
      </w:tr>
      <w:tr w14:paraId="4D2E32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F31AA">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评价结论</w:t>
            </w:r>
          </w:p>
        </w:tc>
        <w:tc>
          <w:tcPr>
            <w:tcW w:w="1198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4AE6A02">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项目自评得分99.98分。</w:t>
            </w:r>
          </w:p>
        </w:tc>
      </w:tr>
      <w:tr w14:paraId="55E878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87B3F">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存在问题</w:t>
            </w:r>
          </w:p>
        </w:tc>
        <w:tc>
          <w:tcPr>
            <w:tcW w:w="1198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C6B5015">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无</w:t>
            </w:r>
          </w:p>
        </w:tc>
      </w:tr>
      <w:tr w14:paraId="3142E5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834DD">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改进措施</w:t>
            </w:r>
          </w:p>
        </w:tc>
        <w:tc>
          <w:tcPr>
            <w:tcW w:w="1198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067C17F">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无</w:t>
            </w:r>
          </w:p>
        </w:tc>
      </w:tr>
      <w:tr w14:paraId="72777C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581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EEE6E64">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项目负责人：</w:t>
            </w:r>
          </w:p>
        </w:tc>
        <w:tc>
          <w:tcPr>
            <w:tcW w:w="720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CCEEC5D">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财务负责人：</w:t>
            </w:r>
          </w:p>
        </w:tc>
      </w:tr>
    </w:tbl>
    <w:p w14:paraId="68A4DC7A">
      <w:pPr>
        <w:rPr>
          <w:rFonts w:hint="eastAsia" w:ascii="宋体" w:hAnsi="宋体" w:eastAsia="宋体" w:cs="宋体"/>
          <w:i w:val="0"/>
          <w:iCs w:val="0"/>
          <w:color w:val="000000"/>
          <w:sz w:val="18"/>
          <w:szCs w:val="18"/>
          <w:u w:val="none"/>
        </w:rPr>
        <w:sectPr>
          <w:pgSz w:w="16838" w:h="11906" w:orient="landscape"/>
          <w:pgMar w:top="1587" w:right="2098" w:bottom="1474" w:left="1984" w:header="851" w:footer="992" w:gutter="0"/>
          <w:pgNumType w:fmt="decimal"/>
          <w:cols w:space="425" w:num="1"/>
          <w:docGrid w:type="lines" w:linePitch="435" w:charSpace="0"/>
        </w:sectPr>
      </w:pPr>
    </w:p>
    <w:tbl>
      <w:tblPr>
        <w:tblStyle w:val="21"/>
        <w:tblW w:w="13016"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36"/>
        <w:gridCol w:w="1036"/>
        <w:gridCol w:w="1306"/>
        <w:gridCol w:w="1396"/>
        <w:gridCol w:w="1036"/>
        <w:gridCol w:w="1216"/>
        <w:gridCol w:w="1036"/>
        <w:gridCol w:w="1486"/>
        <w:gridCol w:w="1126"/>
        <w:gridCol w:w="1306"/>
        <w:gridCol w:w="1036"/>
      </w:tblGrid>
      <w:tr w14:paraId="4E5277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301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5CD4C34">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6BA6F4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0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18643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项目名称</w:t>
            </w:r>
          </w:p>
        </w:tc>
        <w:tc>
          <w:tcPr>
            <w:tcW w:w="1094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41F12F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51320024T000010447112-九寨沟县人民法院后勤服务项目</w:t>
            </w:r>
          </w:p>
        </w:tc>
      </w:tr>
      <w:tr w14:paraId="08DB0B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20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EC28F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主管部门</w:t>
            </w:r>
          </w:p>
        </w:tc>
        <w:tc>
          <w:tcPr>
            <w:tcW w:w="599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ADCDBD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九寨沟县人民法院部门</w:t>
            </w:r>
          </w:p>
        </w:tc>
        <w:tc>
          <w:tcPr>
            <w:tcW w:w="1486" w:type="dxa"/>
            <w:tcBorders>
              <w:top w:val="nil"/>
              <w:left w:val="nil"/>
              <w:bottom w:val="nil"/>
              <w:right w:val="nil"/>
            </w:tcBorders>
            <w:shd w:val="clear" w:color="auto" w:fill="auto"/>
            <w:vAlign w:val="center"/>
          </w:tcPr>
          <w:p w14:paraId="72A38BE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实施单位 （盖章）</w:t>
            </w:r>
          </w:p>
        </w:tc>
        <w:tc>
          <w:tcPr>
            <w:tcW w:w="346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8E766A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九寨沟县人民法院</w:t>
            </w:r>
          </w:p>
        </w:tc>
      </w:tr>
      <w:tr w14:paraId="554D66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0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E37C7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项目基本情况</w:t>
            </w:r>
          </w:p>
        </w:tc>
        <w:tc>
          <w:tcPr>
            <w:tcW w:w="10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EA23A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1.项目年度目标完成情况</w:t>
            </w:r>
          </w:p>
        </w:tc>
        <w:tc>
          <w:tcPr>
            <w:tcW w:w="599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CBC2F7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项目年度目标</w:t>
            </w:r>
          </w:p>
        </w:tc>
        <w:tc>
          <w:tcPr>
            <w:tcW w:w="495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2342C1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年度目标完成情况</w:t>
            </w:r>
          </w:p>
        </w:tc>
      </w:tr>
      <w:tr w14:paraId="0ACAF0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8476E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BAE4F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599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0BEA9E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保障九寨沟县人民法院后勤服务正常运行，提高干警工作效率和司法服务水平。</w:t>
            </w:r>
          </w:p>
        </w:tc>
        <w:tc>
          <w:tcPr>
            <w:tcW w:w="495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D3C1C9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后勤服务保障有力，办公区域保洁、食堂、安保等运行正常，干警工作环境明显改善。</w:t>
            </w:r>
          </w:p>
        </w:tc>
      </w:tr>
      <w:tr w14:paraId="46BFCF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71063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BE9D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2.项目实施内容及过程概述</w:t>
            </w:r>
          </w:p>
        </w:tc>
        <w:tc>
          <w:tcPr>
            <w:tcW w:w="1094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A221CC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通过购买服务方式引入专业后勤团队，明确服务标准，定期考核服务质量，确保后勤工作高效有序。</w:t>
            </w:r>
          </w:p>
        </w:tc>
      </w:tr>
      <w:tr w14:paraId="45F801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10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37705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预算执行情况（10分）</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429E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年度预算数（万元）</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CC99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年初预算</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7F79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调整后预算数</w:t>
            </w:r>
          </w:p>
        </w:tc>
        <w:tc>
          <w:tcPr>
            <w:tcW w:w="32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88E79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预算执行数</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8B38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预算执行率</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1A36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B964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195E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原因</w:t>
            </w:r>
          </w:p>
        </w:tc>
      </w:tr>
      <w:tr w14:paraId="1317F4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00066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D1F7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总额</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000C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48.50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F256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48.50</w:t>
            </w:r>
          </w:p>
        </w:tc>
        <w:tc>
          <w:tcPr>
            <w:tcW w:w="32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F17F22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48.00</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B727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98.97%</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6A10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0C70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9.98</w:t>
            </w:r>
          </w:p>
        </w:tc>
        <w:tc>
          <w:tcPr>
            <w:tcW w:w="10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804EC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4B7550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A496F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5668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其中：财政资金</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4DB2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48.50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4585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48.50</w:t>
            </w:r>
          </w:p>
        </w:tc>
        <w:tc>
          <w:tcPr>
            <w:tcW w:w="32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BF9D3D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48.00</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B335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98.97%</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761B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96B0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24081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1A6BC6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E7403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EDB8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财政专户管理资金</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094F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C6AC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2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712926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5336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3CF7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8137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F8045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51072A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57CA4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F240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单位资金</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65E5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00E6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2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8F21D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96EC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1B92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92B0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5372C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53B91F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AE26F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3C52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其他资金</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B232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2B2F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32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4C266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C826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65C3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7950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AA0B5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6596C1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10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F0D8A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绩效指标（90分）</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3A15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一级指标</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D4D7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二级指标</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F0E8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三级指标</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520B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指标性质</w:t>
            </w: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5E70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指标值</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95DE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度量单位</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6C0A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完成值</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27B0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6BB8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E0AA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未完成原因分析</w:t>
            </w:r>
          </w:p>
        </w:tc>
      </w:tr>
      <w:tr w14:paraId="60E387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F861E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0B43E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13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ADC3B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A010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日常保洁面积</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EA89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2260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5800</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A186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平方米</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AB0A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5800</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3B82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AF23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89E8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37C699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284C2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9C7A9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3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5B8F9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D503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后勤服务覆盖人数</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0E08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74AA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70</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C2FB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人</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3DAB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70</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A463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B0FD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DF94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615D11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85C11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8DCE1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74CE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质量指标</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DEB7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后勤服务质量考勤合格率</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68C2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FE9C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80</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23C2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C1C8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80</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1E02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C6DD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F440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2B9839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4AE92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5246E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F525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时效指标</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CE65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后勤服务响应时间</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641D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5672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7F02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分钟</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C9BE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B31F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8640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8534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10C401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143DE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CE8F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3BC6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2A7B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干警工作效率提升率</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E6F2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30A2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80</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9976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0C07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80</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37C9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F0C5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FC87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69953B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C5173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1353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满意度指标</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7F98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服务对象满意度指标</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55B3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干警及群众满意度</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FA83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0E52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90</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8C33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C1DC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90</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4712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3E8D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0F50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631A5F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969FD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3292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成本指标</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9E9D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经济成本指标</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8362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项目预算控制率</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2F2B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EEE9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90</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09C4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4EE6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90</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B7BB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590F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4D67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6BF7ED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54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E9BEE7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合计</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59F4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3307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99.98</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7AE6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6B1C33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5839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评价结论</w:t>
            </w:r>
          </w:p>
        </w:tc>
        <w:tc>
          <w:tcPr>
            <w:tcW w:w="1198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AC6FA5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项目自评得分99.98分。</w:t>
            </w:r>
          </w:p>
        </w:tc>
      </w:tr>
      <w:tr w14:paraId="56F45B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9703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存在问题</w:t>
            </w:r>
          </w:p>
        </w:tc>
        <w:tc>
          <w:tcPr>
            <w:tcW w:w="1198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0E581F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2D133A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7397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改进措施</w:t>
            </w:r>
          </w:p>
        </w:tc>
        <w:tc>
          <w:tcPr>
            <w:tcW w:w="1198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229E8C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0805AC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581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C7948D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项目负责人：</w:t>
            </w:r>
          </w:p>
        </w:tc>
        <w:tc>
          <w:tcPr>
            <w:tcW w:w="720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0FEF68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财务负责人：</w:t>
            </w:r>
          </w:p>
        </w:tc>
      </w:tr>
    </w:tbl>
    <w:p w14:paraId="04084276">
      <w:pPr>
        <w:rPr>
          <w:rFonts w:hint="eastAsia" w:ascii="宋体" w:hAnsi="宋体" w:eastAsia="宋体" w:cs="宋体"/>
          <w:i w:val="0"/>
          <w:iCs w:val="0"/>
          <w:color w:val="000000"/>
          <w:sz w:val="18"/>
          <w:szCs w:val="18"/>
          <w:u w:val="none"/>
        </w:rPr>
        <w:sectPr>
          <w:pgSz w:w="16838" w:h="11906" w:orient="landscape"/>
          <w:pgMar w:top="1587" w:right="2098" w:bottom="1474" w:left="1984" w:header="851" w:footer="992" w:gutter="0"/>
          <w:pgNumType w:fmt="decimal"/>
          <w:cols w:space="425" w:num="1"/>
          <w:docGrid w:type="lines" w:linePitch="435" w:charSpace="0"/>
        </w:sectPr>
      </w:pPr>
    </w:p>
    <w:tbl>
      <w:tblPr>
        <w:tblStyle w:val="21"/>
        <w:tblW w:w="13016"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36"/>
        <w:gridCol w:w="1036"/>
        <w:gridCol w:w="1306"/>
        <w:gridCol w:w="1396"/>
        <w:gridCol w:w="1036"/>
        <w:gridCol w:w="1216"/>
        <w:gridCol w:w="1036"/>
        <w:gridCol w:w="1486"/>
        <w:gridCol w:w="1126"/>
        <w:gridCol w:w="1306"/>
        <w:gridCol w:w="1036"/>
      </w:tblGrid>
      <w:tr w14:paraId="5CABA1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301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3EE89FD">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04276F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0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58B7D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项目名称</w:t>
            </w:r>
          </w:p>
        </w:tc>
        <w:tc>
          <w:tcPr>
            <w:tcW w:w="1094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A7D5ED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51320025T000012298822-法警训练室设备增加及搬迁</w:t>
            </w:r>
          </w:p>
        </w:tc>
      </w:tr>
      <w:tr w14:paraId="65E81F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0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60000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主管部门</w:t>
            </w:r>
          </w:p>
        </w:tc>
        <w:tc>
          <w:tcPr>
            <w:tcW w:w="599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2C1216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九寨沟县人民法院部门</w:t>
            </w:r>
          </w:p>
        </w:tc>
        <w:tc>
          <w:tcPr>
            <w:tcW w:w="1486" w:type="dxa"/>
            <w:tcBorders>
              <w:top w:val="nil"/>
              <w:left w:val="nil"/>
              <w:bottom w:val="nil"/>
              <w:right w:val="nil"/>
            </w:tcBorders>
            <w:shd w:val="clear" w:color="auto" w:fill="auto"/>
            <w:vAlign w:val="center"/>
          </w:tcPr>
          <w:p w14:paraId="3FAA91F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实施单位 （盖章）</w:t>
            </w:r>
          </w:p>
        </w:tc>
        <w:tc>
          <w:tcPr>
            <w:tcW w:w="346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2FEA43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九寨沟县人民法院</w:t>
            </w:r>
          </w:p>
        </w:tc>
      </w:tr>
      <w:tr w14:paraId="366A2E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0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9FD90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项目基本情况</w:t>
            </w:r>
          </w:p>
        </w:tc>
        <w:tc>
          <w:tcPr>
            <w:tcW w:w="10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11C9A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1.项目年度目标完成情况</w:t>
            </w:r>
          </w:p>
        </w:tc>
        <w:tc>
          <w:tcPr>
            <w:tcW w:w="599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E13251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项目年度目标</w:t>
            </w:r>
          </w:p>
        </w:tc>
        <w:tc>
          <w:tcPr>
            <w:tcW w:w="495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89DD2B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年度目标完成情况</w:t>
            </w:r>
          </w:p>
        </w:tc>
      </w:tr>
      <w:tr w14:paraId="20C0BA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ABA36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97096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599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C739F9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法警训练室设备增加及搬迁，提升队伍整体素质。</w:t>
            </w:r>
          </w:p>
        </w:tc>
        <w:tc>
          <w:tcPr>
            <w:tcW w:w="495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516C82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完成法警训练室设备搬迁及新增配置，训练条件显著改善，队伍整体素质得到提升。</w:t>
            </w:r>
          </w:p>
        </w:tc>
      </w:tr>
      <w:tr w14:paraId="3AB8CD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9E72E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0FFE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2.项目实施内容及过程概述</w:t>
            </w:r>
          </w:p>
        </w:tc>
        <w:tc>
          <w:tcPr>
            <w:tcW w:w="1094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930834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组织设备搬迁、安装调试及新增设备采购，确保训练室正常使用，满足日常训练需求。</w:t>
            </w:r>
          </w:p>
        </w:tc>
      </w:tr>
      <w:tr w14:paraId="6A00EB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10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41F7A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预算执行情况（10分）</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DC27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年度预算数（万元）</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BEAB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年初预算</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CFA9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调整后预算数</w:t>
            </w:r>
          </w:p>
        </w:tc>
        <w:tc>
          <w:tcPr>
            <w:tcW w:w="32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29D29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预算执行数</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A563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预算执行率</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21D0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C8D7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9009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原因</w:t>
            </w:r>
          </w:p>
        </w:tc>
      </w:tr>
      <w:tr w14:paraId="377E7E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D5F98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18BE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总额</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5AE5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2B07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33.08</w:t>
            </w:r>
          </w:p>
        </w:tc>
        <w:tc>
          <w:tcPr>
            <w:tcW w:w="32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08E285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33.08</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EFF2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EAD4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192E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ED372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5BEC32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E52BF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E1DC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其中：财政资金</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DFB1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5C1D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2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6874B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24FB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639D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E03C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F4BD2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15D06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41635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D33F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财政专户管理资金</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27F1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4E35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2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8396E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23EB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C429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0FA2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FD646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265D7D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D0C0F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90DF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单位资金</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F8E3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5C74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33.08</w:t>
            </w:r>
          </w:p>
        </w:tc>
        <w:tc>
          <w:tcPr>
            <w:tcW w:w="32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46E53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33.08</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95F5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C10E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6931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F186F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5C90F1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93470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CA33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其他资金</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2551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42B2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32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31E96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3685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A508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2265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6A89A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0C92BC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10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7D657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绩效指标（90分）</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4FFC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一级指标</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DAE3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二级指标</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EF05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三级指标</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2B4D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指标性质</w:t>
            </w: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1219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指标值</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FA93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度量单位</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43ED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完成值</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AD96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0639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67F0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未完成原因分析</w:t>
            </w:r>
          </w:p>
        </w:tc>
      </w:tr>
      <w:tr w14:paraId="2CAB84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5872C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F071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7442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质量指标</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E88B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队伍整体质量</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EEC5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9230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0F0C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4E91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52F4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40</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BA54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40</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A7C4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101CF8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981FD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33C3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BC3C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84BE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整体素质提升率</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C5A2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DFA7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80</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1F92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BAAB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80</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651F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40</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C4C8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40</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3642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406A58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3F732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FF22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满意度指标</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9C85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服务对象满意度指标</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720F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群众满意度</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55FA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5CAD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80</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52FD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8359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80</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4001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746D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5473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206C98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54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3FD3C0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合计</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69D2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EBE2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9A77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29C8D5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A28D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评价结论</w:t>
            </w:r>
          </w:p>
        </w:tc>
        <w:tc>
          <w:tcPr>
            <w:tcW w:w="1198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E168E1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项目自评得分100分</w:t>
            </w:r>
          </w:p>
        </w:tc>
      </w:tr>
      <w:tr w14:paraId="2DE1A8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D6F0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存在问题</w:t>
            </w:r>
          </w:p>
        </w:tc>
        <w:tc>
          <w:tcPr>
            <w:tcW w:w="1198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A4C14C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1CE2F0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4C73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改进措施</w:t>
            </w:r>
          </w:p>
        </w:tc>
        <w:tc>
          <w:tcPr>
            <w:tcW w:w="1198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85DA08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63F0F7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81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6D2B5F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项目负责人：</w:t>
            </w:r>
          </w:p>
        </w:tc>
        <w:tc>
          <w:tcPr>
            <w:tcW w:w="720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CA32BC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财务负责人：</w:t>
            </w:r>
          </w:p>
        </w:tc>
      </w:tr>
    </w:tbl>
    <w:p w14:paraId="51A907C1">
      <w:pPr>
        <w:rPr>
          <w:rFonts w:hint="eastAsia" w:ascii="宋体" w:hAnsi="宋体" w:eastAsia="宋体" w:cs="宋体"/>
          <w:i w:val="0"/>
          <w:iCs w:val="0"/>
          <w:color w:val="000000"/>
          <w:sz w:val="18"/>
          <w:szCs w:val="18"/>
          <w:u w:val="none"/>
        </w:rPr>
        <w:sectPr>
          <w:pgSz w:w="16838" w:h="11906" w:orient="landscape"/>
          <w:pgMar w:top="1587" w:right="2098" w:bottom="1474" w:left="1984" w:header="851" w:footer="992" w:gutter="0"/>
          <w:pgNumType w:fmt="decimal"/>
          <w:cols w:space="425" w:num="1"/>
          <w:docGrid w:type="lines" w:linePitch="435" w:charSpace="0"/>
        </w:sectPr>
      </w:pPr>
    </w:p>
    <w:tbl>
      <w:tblPr>
        <w:tblStyle w:val="21"/>
        <w:tblW w:w="13016"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36"/>
        <w:gridCol w:w="1036"/>
        <w:gridCol w:w="1306"/>
        <w:gridCol w:w="1396"/>
        <w:gridCol w:w="1036"/>
        <w:gridCol w:w="1216"/>
        <w:gridCol w:w="1036"/>
        <w:gridCol w:w="1486"/>
        <w:gridCol w:w="1126"/>
        <w:gridCol w:w="1306"/>
        <w:gridCol w:w="1036"/>
      </w:tblGrid>
      <w:tr w14:paraId="55A75A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301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FCFE5F7">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6F17E9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0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7B279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项目名称</w:t>
            </w:r>
          </w:p>
        </w:tc>
        <w:tc>
          <w:tcPr>
            <w:tcW w:w="1094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7437CD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51320025T000012445519-2024年下半年ZF转移支付资金</w:t>
            </w:r>
          </w:p>
        </w:tc>
      </w:tr>
      <w:tr w14:paraId="49672B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20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332C6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主管部门</w:t>
            </w:r>
          </w:p>
        </w:tc>
        <w:tc>
          <w:tcPr>
            <w:tcW w:w="599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57EDBA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九寨沟县人民法院部门</w:t>
            </w:r>
          </w:p>
        </w:tc>
        <w:tc>
          <w:tcPr>
            <w:tcW w:w="1486" w:type="dxa"/>
            <w:tcBorders>
              <w:top w:val="nil"/>
              <w:left w:val="nil"/>
              <w:bottom w:val="nil"/>
              <w:right w:val="nil"/>
            </w:tcBorders>
            <w:shd w:val="clear" w:color="auto" w:fill="auto"/>
            <w:vAlign w:val="center"/>
          </w:tcPr>
          <w:p w14:paraId="781724E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实施单位 （盖章）</w:t>
            </w:r>
          </w:p>
        </w:tc>
        <w:tc>
          <w:tcPr>
            <w:tcW w:w="346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B98A29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九寨沟县人民法院</w:t>
            </w:r>
          </w:p>
        </w:tc>
      </w:tr>
      <w:tr w14:paraId="1BF085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0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F786E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项目基本情况</w:t>
            </w:r>
          </w:p>
        </w:tc>
        <w:tc>
          <w:tcPr>
            <w:tcW w:w="10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F085A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1.项目年度目标完成情况</w:t>
            </w:r>
          </w:p>
        </w:tc>
        <w:tc>
          <w:tcPr>
            <w:tcW w:w="599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5AEAF8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项目年度目标</w:t>
            </w:r>
          </w:p>
        </w:tc>
        <w:tc>
          <w:tcPr>
            <w:tcW w:w="495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618EA0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年度目标完成情况</w:t>
            </w:r>
          </w:p>
        </w:tc>
      </w:tr>
      <w:tr w14:paraId="6383B4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F8951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6E3CB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599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3AB8FF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保障2024年九寨沟县人民法院案件审判、案件执行工作正常运行。</w:t>
            </w:r>
          </w:p>
        </w:tc>
        <w:tc>
          <w:tcPr>
            <w:tcW w:w="495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B3E967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有效保障了2024年下半年案件审判与执行工作的正常开展，案件受理率、执行到位率均达到预期。</w:t>
            </w:r>
          </w:p>
        </w:tc>
      </w:tr>
      <w:tr w14:paraId="325980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F1626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9920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2.项目实施内容及过程概述</w:t>
            </w:r>
          </w:p>
        </w:tc>
        <w:tc>
          <w:tcPr>
            <w:tcW w:w="1094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280584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资金主要用于办案经费、执行经费等支出，严格按照预算执行，确保法院各项工作有序推进。</w:t>
            </w:r>
          </w:p>
        </w:tc>
      </w:tr>
      <w:tr w14:paraId="5288D0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10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ECCDD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预算执行情况（10分）</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9F8C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年度预算数（万元）</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FC94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年初预算</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3FB4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调整后预算数</w:t>
            </w:r>
          </w:p>
        </w:tc>
        <w:tc>
          <w:tcPr>
            <w:tcW w:w="32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E09A68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预算执行数</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F864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预算执行率</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AC1A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AC0D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8379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原因</w:t>
            </w:r>
          </w:p>
        </w:tc>
      </w:tr>
      <w:tr w14:paraId="147FB5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6C1C1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4D08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总额</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FF16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0E26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6.32</w:t>
            </w:r>
          </w:p>
        </w:tc>
        <w:tc>
          <w:tcPr>
            <w:tcW w:w="32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A3C890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6.32</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0288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F4C4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E50E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F099F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51AFF2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E9FF4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B9BA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其中：财政资金</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7203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0170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6.32</w:t>
            </w:r>
          </w:p>
        </w:tc>
        <w:tc>
          <w:tcPr>
            <w:tcW w:w="32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A1B4E9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6.32</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C316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9819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FB95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8478A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7B7ACF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6268F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834A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财政专户管理资金</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BD6D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6783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2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6D295F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4581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524B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D4ED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A4692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4A4EF5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8A4DC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8873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单位资金</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E152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3D56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2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F814D7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7579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4214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B882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06F31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45647D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82172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06FD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其他资金</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4EFC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30CC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32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2BD085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F728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B349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35DA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CF402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215311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10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43F6F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绩效指标（90分）</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4611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一级指标</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5645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二级指标</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835D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三级指标</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0C0A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指标性质</w:t>
            </w: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AD3D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指标值</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3265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度量单位</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EEBA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完成值</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12D5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1A70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F6E7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未完成原因分析</w:t>
            </w:r>
          </w:p>
        </w:tc>
      </w:tr>
      <w:tr w14:paraId="5093F6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70303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FF0A2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67E5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B059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案件受理率</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3252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8039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EF9D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E8E2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8B87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40</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3F3B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40</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24DA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2A6BFB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30813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8C864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1E49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质量指标</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2C87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发回重审案率</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AEF3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76EE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16DF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A88A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F717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4D88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A5C9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7CFBD3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DF45E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0A7D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D213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经济效益指标</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79F4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执行标的额到位率</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075C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CCE8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80</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EFBE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1ACA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80</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7C67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4325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0788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675237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54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040AA0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合计</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FAB3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D478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D8EC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62E1AE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3D88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评价结论</w:t>
            </w:r>
          </w:p>
        </w:tc>
        <w:tc>
          <w:tcPr>
            <w:tcW w:w="1198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C7E14A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项目自评得分100分</w:t>
            </w:r>
          </w:p>
        </w:tc>
      </w:tr>
      <w:tr w14:paraId="5C5C8D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65B2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存在问题</w:t>
            </w:r>
          </w:p>
        </w:tc>
        <w:tc>
          <w:tcPr>
            <w:tcW w:w="1198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3D36D8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58BE8C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6BA6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改进措施</w:t>
            </w:r>
          </w:p>
        </w:tc>
        <w:tc>
          <w:tcPr>
            <w:tcW w:w="1198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0A2A4E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133C3C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81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649B68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项目负责人：</w:t>
            </w:r>
          </w:p>
        </w:tc>
        <w:tc>
          <w:tcPr>
            <w:tcW w:w="720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0D74C5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财务负责人：</w:t>
            </w:r>
          </w:p>
        </w:tc>
      </w:tr>
    </w:tbl>
    <w:p w14:paraId="60C10A8B">
      <w:pPr>
        <w:rPr>
          <w:rFonts w:hint="eastAsia" w:ascii="宋体" w:hAnsi="宋体" w:eastAsia="宋体" w:cs="宋体"/>
          <w:i w:val="0"/>
          <w:iCs w:val="0"/>
          <w:color w:val="000000"/>
          <w:sz w:val="18"/>
          <w:szCs w:val="18"/>
          <w:u w:val="none"/>
        </w:rPr>
        <w:sectPr>
          <w:pgSz w:w="16838" w:h="11906" w:orient="landscape"/>
          <w:pgMar w:top="1587" w:right="2098" w:bottom="1474" w:left="1984" w:header="851" w:footer="992" w:gutter="0"/>
          <w:pgNumType w:fmt="decimal"/>
          <w:cols w:space="425" w:num="1"/>
          <w:docGrid w:type="lines" w:linePitch="435" w:charSpace="0"/>
        </w:sectPr>
      </w:pPr>
    </w:p>
    <w:tbl>
      <w:tblPr>
        <w:tblStyle w:val="21"/>
        <w:tblW w:w="13016"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36"/>
        <w:gridCol w:w="1036"/>
        <w:gridCol w:w="1306"/>
        <w:gridCol w:w="1396"/>
        <w:gridCol w:w="1036"/>
        <w:gridCol w:w="1216"/>
        <w:gridCol w:w="1036"/>
        <w:gridCol w:w="1486"/>
        <w:gridCol w:w="1126"/>
        <w:gridCol w:w="1306"/>
        <w:gridCol w:w="1036"/>
      </w:tblGrid>
      <w:tr w14:paraId="52B548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301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4F9F1A6">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7C142F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0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46BB6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项目名称</w:t>
            </w:r>
          </w:p>
        </w:tc>
        <w:tc>
          <w:tcPr>
            <w:tcW w:w="1094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65B73A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51320025T000012788547-九寨沟县人民法院水电维修改造项目</w:t>
            </w:r>
          </w:p>
        </w:tc>
      </w:tr>
      <w:tr w14:paraId="52EB54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0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F51D3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主管部门</w:t>
            </w:r>
          </w:p>
        </w:tc>
        <w:tc>
          <w:tcPr>
            <w:tcW w:w="599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20FAAA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九寨沟县人民法院部门</w:t>
            </w:r>
          </w:p>
        </w:tc>
        <w:tc>
          <w:tcPr>
            <w:tcW w:w="1486" w:type="dxa"/>
            <w:tcBorders>
              <w:top w:val="nil"/>
              <w:left w:val="nil"/>
              <w:bottom w:val="nil"/>
              <w:right w:val="nil"/>
            </w:tcBorders>
            <w:shd w:val="clear" w:color="auto" w:fill="auto"/>
            <w:vAlign w:val="center"/>
          </w:tcPr>
          <w:p w14:paraId="4D06BF2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实施单位 （盖章）</w:t>
            </w:r>
          </w:p>
        </w:tc>
        <w:tc>
          <w:tcPr>
            <w:tcW w:w="346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2A261C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九寨沟县人民法院</w:t>
            </w:r>
          </w:p>
        </w:tc>
      </w:tr>
      <w:tr w14:paraId="180528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0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6FB7E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项目基本情况</w:t>
            </w:r>
          </w:p>
        </w:tc>
        <w:tc>
          <w:tcPr>
            <w:tcW w:w="10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924A8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1.项目年度目标完成情况</w:t>
            </w:r>
          </w:p>
        </w:tc>
        <w:tc>
          <w:tcPr>
            <w:tcW w:w="599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C1229E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项目年度目标</w:t>
            </w:r>
          </w:p>
        </w:tc>
        <w:tc>
          <w:tcPr>
            <w:tcW w:w="495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0FEB54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年度目标完成情况</w:t>
            </w:r>
          </w:p>
        </w:tc>
      </w:tr>
      <w:tr w14:paraId="6546AE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031E2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0785F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599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CBF19B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通过水电维修改造，解决线路外露问题，改造污水口，改造地下进水管道，消除安全隐患，改善办公环境。</w:t>
            </w:r>
          </w:p>
        </w:tc>
        <w:tc>
          <w:tcPr>
            <w:tcW w:w="495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B4222E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完成部分水电维修改造任务，线路隐患初步排除，办公环境有所改善。</w:t>
            </w:r>
          </w:p>
        </w:tc>
      </w:tr>
      <w:tr w14:paraId="2D7F4E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8C0EB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1270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2.项目实施内容及过程概述</w:t>
            </w:r>
          </w:p>
        </w:tc>
        <w:tc>
          <w:tcPr>
            <w:tcW w:w="1094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6BF8E0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项目按计划分阶段实施，完成部分管道改造和线路整治，剩余工程因施工安排暂缓，待后续推进。</w:t>
            </w:r>
          </w:p>
        </w:tc>
      </w:tr>
      <w:tr w14:paraId="252E14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10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21A48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预算执行情况（10分）</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232C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年度预算数（万元）</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B49C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年初预算</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ADA0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调整后预算数</w:t>
            </w:r>
          </w:p>
        </w:tc>
        <w:tc>
          <w:tcPr>
            <w:tcW w:w="32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995359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预算执行数</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12AC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预算执行率</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9486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AF39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C985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原因</w:t>
            </w:r>
          </w:p>
        </w:tc>
      </w:tr>
      <w:tr w14:paraId="723E82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5EC3E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7DCF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总额</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A4F9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65.00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A3D0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65.00</w:t>
            </w:r>
          </w:p>
        </w:tc>
        <w:tc>
          <w:tcPr>
            <w:tcW w:w="32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505A82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19.07</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8C2A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29.34%</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46FE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0BF9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2.93</w:t>
            </w:r>
          </w:p>
        </w:tc>
        <w:tc>
          <w:tcPr>
            <w:tcW w:w="10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12310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04D1A8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BCF4C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08AA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其中：财政资金</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4D98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65.00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EF1E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65.00</w:t>
            </w:r>
          </w:p>
        </w:tc>
        <w:tc>
          <w:tcPr>
            <w:tcW w:w="32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4E761B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19.07</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27E7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29.34%</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9069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559D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BDA5B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57EDD0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3A98C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2A7F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财政专户管理资金</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02F6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E092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2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1E8E1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DC27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F911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2AE7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99D10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172BB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58C76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0099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单位资金</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F6E1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7F62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2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35DE04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C5FC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07DE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332C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72785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5333DD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C781F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ED89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其他资金</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F1A8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7DAA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32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00005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96ED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1DF8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F441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02789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301F73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10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FF9FF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绩效指标（90分）</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8796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一级指标</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2F34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二级指标</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E1A2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三级指标</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5BE5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指标性质</w:t>
            </w: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DCA9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指标值</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3775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度量单位</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1DB1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完成值</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CFF7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026F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BF1A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未完成原因分析</w:t>
            </w:r>
          </w:p>
        </w:tc>
      </w:tr>
      <w:tr w14:paraId="436A7E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C9204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705F8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13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F78F7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6737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下水管道改造长度</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423C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0DBD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03F3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米</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DC99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D6B5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DE46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1D73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4A6652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5E423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71E2A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3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049E2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E366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下水管道改造数</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050A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7250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3576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米</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6692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FC7F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6222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C5F5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02FDF6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79A1D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18052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5359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质量指标</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EFBB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线路改造验收合格率</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E962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E535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32DA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0BDB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124A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031B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E8C9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266A86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C24DA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09AFB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98BD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时效指标</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E2FD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项目竣工验收及时率</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F056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5887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C67F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3535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CAB9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869B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1639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2AF02E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891A8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6553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3B70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FCC1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办公环境改善率</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8314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73C3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90</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D2A6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A509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90</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77CE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A612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D436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2E920F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70768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6703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满意度指标</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B205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服务对象满意度指标</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3606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干警满意度</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CF03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554D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90</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EE9D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145C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90</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ADA3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937F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2000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765EAD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AD15E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CB85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成本指标</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945E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经济成本指标</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195A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工程预算控制率</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C8AA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D72C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15</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6198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A384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15</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7411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F21F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2BC1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4F9D9E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54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3FE8E5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合计</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DF51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E1D1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92.93</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1409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11FFE8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384F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评价结论</w:t>
            </w:r>
          </w:p>
        </w:tc>
        <w:tc>
          <w:tcPr>
            <w:tcW w:w="1198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159A83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项目自评得分92.93分</w:t>
            </w:r>
          </w:p>
        </w:tc>
      </w:tr>
      <w:tr w14:paraId="12A69E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6436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存在问题</w:t>
            </w:r>
          </w:p>
        </w:tc>
        <w:tc>
          <w:tcPr>
            <w:tcW w:w="1198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BEB716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319319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BC7C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改进措施</w:t>
            </w:r>
          </w:p>
        </w:tc>
        <w:tc>
          <w:tcPr>
            <w:tcW w:w="1198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8BCD28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0CC905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581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F9A695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项目负责人：</w:t>
            </w:r>
          </w:p>
        </w:tc>
        <w:tc>
          <w:tcPr>
            <w:tcW w:w="720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C03E72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财务负责人：</w:t>
            </w:r>
          </w:p>
        </w:tc>
      </w:tr>
    </w:tbl>
    <w:p w14:paraId="308DB570">
      <w:pPr>
        <w:rPr>
          <w:rFonts w:hint="eastAsia" w:ascii="宋体" w:hAnsi="宋体" w:eastAsia="宋体" w:cs="宋体"/>
          <w:i w:val="0"/>
          <w:iCs w:val="0"/>
          <w:color w:val="000000"/>
          <w:sz w:val="18"/>
          <w:szCs w:val="18"/>
          <w:u w:val="none"/>
        </w:rPr>
        <w:sectPr>
          <w:pgSz w:w="16838" w:h="11906" w:orient="landscape"/>
          <w:pgMar w:top="1587" w:right="2098" w:bottom="1474" w:left="1984" w:header="851" w:footer="992" w:gutter="0"/>
          <w:pgNumType w:fmt="decimal"/>
          <w:cols w:space="425" w:num="1"/>
          <w:docGrid w:type="lines" w:linePitch="435" w:charSpace="0"/>
        </w:sectPr>
      </w:pPr>
    </w:p>
    <w:tbl>
      <w:tblPr>
        <w:tblStyle w:val="21"/>
        <w:tblW w:w="13016"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36"/>
        <w:gridCol w:w="1036"/>
        <w:gridCol w:w="1306"/>
        <w:gridCol w:w="1396"/>
        <w:gridCol w:w="1036"/>
        <w:gridCol w:w="1216"/>
        <w:gridCol w:w="1036"/>
        <w:gridCol w:w="1486"/>
        <w:gridCol w:w="1126"/>
        <w:gridCol w:w="1306"/>
        <w:gridCol w:w="1036"/>
      </w:tblGrid>
      <w:tr w14:paraId="3FDD16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301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CE860B6">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64343A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0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1F25D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项目名称</w:t>
            </w:r>
          </w:p>
        </w:tc>
        <w:tc>
          <w:tcPr>
            <w:tcW w:w="1094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70824F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51320025T000013673578-慰问金支出</w:t>
            </w:r>
          </w:p>
        </w:tc>
      </w:tr>
      <w:tr w14:paraId="3C002E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20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4DF1F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主管部门</w:t>
            </w:r>
          </w:p>
        </w:tc>
        <w:tc>
          <w:tcPr>
            <w:tcW w:w="599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33EFAE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九寨沟县人民法院部门</w:t>
            </w:r>
          </w:p>
        </w:tc>
        <w:tc>
          <w:tcPr>
            <w:tcW w:w="1486" w:type="dxa"/>
            <w:tcBorders>
              <w:top w:val="nil"/>
              <w:left w:val="nil"/>
              <w:bottom w:val="nil"/>
              <w:right w:val="nil"/>
            </w:tcBorders>
            <w:shd w:val="clear" w:color="auto" w:fill="auto"/>
            <w:vAlign w:val="center"/>
          </w:tcPr>
          <w:p w14:paraId="68302A1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实施单位 （盖章）</w:t>
            </w:r>
          </w:p>
        </w:tc>
        <w:tc>
          <w:tcPr>
            <w:tcW w:w="346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E4CC84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九寨沟县人民法院</w:t>
            </w:r>
          </w:p>
        </w:tc>
      </w:tr>
      <w:tr w14:paraId="441232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0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37C33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项目基本情况</w:t>
            </w:r>
          </w:p>
        </w:tc>
        <w:tc>
          <w:tcPr>
            <w:tcW w:w="10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32C79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1.项目年度目标完成情况</w:t>
            </w:r>
          </w:p>
        </w:tc>
        <w:tc>
          <w:tcPr>
            <w:tcW w:w="599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E620F0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项目年度目标</w:t>
            </w:r>
          </w:p>
        </w:tc>
        <w:tc>
          <w:tcPr>
            <w:tcW w:w="495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762460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年度目标完成情况</w:t>
            </w:r>
          </w:p>
        </w:tc>
      </w:tr>
      <w:tr w14:paraId="0BCF23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7CE1C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CD426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599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D846D7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严格完善慰问金及援助资金需求计划函及复函规范援助资金使用范围，合理使用援助资金。</w:t>
            </w:r>
          </w:p>
        </w:tc>
        <w:tc>
          <w:tcPr>
            <w:tcW w:w="495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382DCC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按政策规定使用慰问金，保障了干警慰问及困难援助工作的规范开展。</w:t>
            </w:r>
          </w:p>
        </w:tc>
      </w:tr>
      <w:tr w14:paraId="3C92BE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3AAFA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4507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2.项目实施内容及过程概述</w:t>
            </w:r>
          </w:p>
        </w:tc>
        <w:tc>
          <w:tcPr>
            <w:tcW w:w="1094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853212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依据相关制度发放慰问金，资金使用合规，程序完备，体现了组织的关怀与支持。</w:t>
            </w:r>
          </w:p>
        </w:tc>
      </w:tr>
      <w:tr w14:paraId="10E948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10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464C4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预算执行情况（10分）</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F4B1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年度预算数（万元）</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5A4F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年初预算</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FE7D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调整后预算数</w:t>
            </w:r>
          </w:p>
        </w:tc>
        <w:tc>
          <w:tcPr>
            <w:tcW w:w="32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63D3B6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预算执行数</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8DCB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预算执行率</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69C1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7701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DBAC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原因</w:t>
            </w:r>
          </w:p>
        </w:tc>
      </w:tr>
      <w:tr w14:paraId="6D87CA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D6DB8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CC12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总额</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FBD5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751E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35.03</w:t>
            </w:r>
          </w:p>
        </w:tc>
        <w:tc>
          <w:tcPr>
            <w:tcW w:w="32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78B90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5.00</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8D94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14.28%</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1703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CC1F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1.43</w:t>
            </w:r>
          </w:p>
        </w:tc>
        <w:tc>
          <w:tcPr>
            <w:tcW w:w="10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6312A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3F8C22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2EE58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E63F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其中：财政资金</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E294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1ED2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2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77659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67F7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D779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7F5F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8C91C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6618EB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984AE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6E9E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财政专户管理资金</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F7FD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69B8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2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3A0A1F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FE66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1CBE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4906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70B2E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5705D1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35CD5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F844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单位资金</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DF5C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B033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35.03</w:t>
            </w:r>
          </w:p>
        </w:tc>
        <w:tc>
          <w:tcPr>
            <w:tcW w:w="32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F0DB64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5.00</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D06F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14.28%</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B40C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8C72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6E05A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500EF0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06141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4F99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其他资金</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3AF8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0D6F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32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409BF7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B33E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F9FA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C396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316A4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728698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10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5007F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绩效指标（90分）</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0AA1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一级指标</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660A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二级指标</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2DD3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三级指标</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E438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指标性质</w:t>
            </w: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A796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指标值</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385A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度量单位</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D171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完成值</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223F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3B65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2D46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未完成原因分析</w:t>
            </w:r>
          </w:p>
        </w:tc>
      </w:tr>
      <w:tr w14:paraId="2C3514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0139C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4561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F9F5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质量指标</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BB9D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后勤服务满意度</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DE96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7776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80</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E2B8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E42C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80</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CA34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50</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EF0A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50</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F870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4DF64C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23C05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1929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077C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可持续发展指标</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6557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职工满意度</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4243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90C3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80</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2EFC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F597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80</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A964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40</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CD7E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40</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DB59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38807D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54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1F63FD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合计</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955A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1F95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91.43</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392A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03F662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04E5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评价结论</w:t>
            </w:r>
          </w:p>
        </w:tc>
        <w:tc>
          <w:tcPr>
            <w:tcW w:w="1198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FB6C52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项目自评得分91.43分</w:t>
            </w:r>
          </w:p>
        </w:tc>
      </w:tr>
      <w:tr w14:paraId="71417F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B1A0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存在问题</w:t>
            </w:r>
          </w:p>
        </w:tc>
        <w:tc>
          <w:tcPr>
            <w:tcW w:w="1198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AE85B3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43288C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FACC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改进措施</w:t>
            </w:r>
          </w:p>
        </w:tc>
        <w:tc>
          <w:tcPr>
            <w:tcW w:w="1198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1067A8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5DDE3B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581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A5E6C4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项目负责人：</w:t>
            </w:r>
          </w:p>
        </w:tc>
        <w:tc>
          <w:tcPr>
            <w:tcW w:w="720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20F9C9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财务负责人：</w:t>
            </w:r>
          </w:p>
        </w:tc>
      </w:tr>
    </w:tbl>
    <w:p w14:paraId="6755CEE0">
      <w:pPr>
        <w:rPr>
          <w:rFonts w:hint="eastAsia" w:ascii="宋体" w:hAnsi="宋体" w:eastAsia="宋体" w:cs="宋体"/>
          <w:i w:val="0"/>
          <w:iCs w:val="0"/>
          <w:color w:val="000000"/>
          <w:sz w:val="18"/>
          <w:szCs w:val="18"/>
          <w:u w:val="none"/>
        </w:rPr>
        <w:sectPr>
          <w:pgSz w:w="16838" w:h="11906" w:orient="landscape"/>
          <w:pgMar w:top="1587" w:right="2098" w:bottom="1474" w:left="1984" w:header="851" w:footer="992" w:gutter="0"/>
          <w:pgNumType w:fmt="decimal"/>
          <w:cols w:space="425" w:num="1"/>
          <w:docGrid w:type="lines" w:linePitch="435" w:charSpace="0"/>
        </w:sectPr>
      </w:pPr>
    </w:p>
    <w:p w14:paraId="6FA4984A">
      <w:pPr>
        <w:rPr>
          <w:rFonts w:hint="eastAsia" w:ascii="宋体" w:hAnsi="宋体" w:eastAsia="宋体" w:cs="宋体"/>
          <w:i w:val="0"/>
          <w:iCs w:val="0"/>
          <w:color w:val="000000"/>
          <w:sz w:val="18"/>
          <w:szCs w:val="18"/>
          <w:u w:val="none"/>
        </w:rPr>
        <w:sectPr>
          <w:type w:val="continuous"/>
          <w:pgSz w:w="16838" w:h="11906" w:orient="landscape"/>
          <w:pgMar w:top="1587" w:right="2098" w:bottom="1474" w:left="1984" w:header="851" w:footer="992" w:gutter="0"/>
          <w:pgNumType w:fmt="decimal"/>
          <w:cols w:space="425" w:num="1"/>
          <w:docGrid w:type="lines" w:linePitch="435" w:charSpace="0"/>
        </w:sectPr>
      </w:pPr>
    </w:p>
    <w:p w14:paraId="7E92BCD0">
      <w:pPr>
        <w:rPr>
          <w:rFonts w:hint="eastAsia" w:ascii="宋体" w:hAnsi="宋体" w:eastAsia="宋体" w:cs="宋体"/>
          <w:i w:val="0"/>
          <w:iCs w:val="0"/>
          <w:color w:val="000000"/>
          <w:sz w:val="18"/>
          <w:szCs w:val="18"/>
          <w:u w:val="none"/>
        </w:rPr>
        <w:sectPr>
          <w:type w:val="continuous"/>
          <w:pgSz w:w="16838" w:h="11906" w:orient="landscape"/>
          <w:pgMar w:top="1587" w:right="2098" w:bottom="1474" w:left="1984" w:header="851" w:footer="992" w:gutter="0"/>
          <w:pgNumType w:fmt="decimal"/>
          <w:cols w:space="425" w:num="1"/>
          <w:docGrid w:type="lines" w:linePitch="435" w:charSpace="0"/>
        </w:sectPr>
      </w:pPr>
    </w:p>
    <w:tbl>
      <w:tblPr>
        <w:tblStyle w:val="21"/>
        <w:tblW w:w="13016"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36"/>
        <w:gridCol w:w="1036"/>
        <w:gridCol w:w="1306"/>
        <w:gridCol w:w="1396"/>
        <w:gridCol w:w="3288"/>
        <w:gridCol w:w="1486"/>
        <w:gridCol w:w="1126"/>
        <w:gridCol w:w="1306"/>
        <w:gridCol w:w="1036"/>
      </w:tblGrid>
      <w:tr w14:paraId="303A5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3016"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F9523A2">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5AAA82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0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DBF2E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项目名称</w:t>
            </w:r>
          </w:p>
        </w:tc>
        <w:tc>
          <w:tcPr>
            <w:tcW w:w="10944"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33C7E4F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51320025T000013801704-2025年中央和省级ZFZY</w:t>
            </w:r>
          </w:p>
        </w:tc>
      </w:tr>
      <w:tr w14:paraId="2F4C11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20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E02B5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主管部门</w:t>
            </w:r>
          </w:p>
        </w:tc>
        <w:tc>
          <w:tcPr>
            <w:tcW w:w="59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AB58CA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九寨沟县人民法院部门</w:t>
            </w:r>
          </w:p>
        </w:tc>
        <w:tc>
          <w:tcPr>
            <w:tcW w:w="1486" w:type="dxa"/>
            <w:tcBorders>
              <w:top w:val="nil"/>
              <w:left w:val="nil"/>
              <w:bottom w:val="nil"/>
              <w:right w:val="nil"/>
            </w:tcBorders>
            <w:shd w:val="clear" w:color="auto" w:fill="auto"/>
            <w:vAlign w:val="center"/>
          </w:tcPr>
          <w:p w14:paraId="43FD38D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实施单位 （盖章）</w:t>
            </w:r>
          </w:p>
        </w:tc>
        <w:tc>
          <w:tcPr>
            <w:tcW w:w="346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23D655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九寨沟县人民法院</w:t>
            </w:r>
          </w:p>
        </w:tc>
      </w:tr>
      <w:tr w14:paraId="38D459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0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6823A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项目基本情况</w:t>
            </w:r>
          </w:p>
        </w:tc>
        <w:tc>
          <w:tcPr>
            <w:tcW w:w="10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29559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1.项目年度目标完成情况</w:t>
            </w:r>
          </w:p>
        </w:tc>
        <w:tc>
          <w:tcPr>
            <w:tcW w:w="59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C928F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项目年度目标</w:t>
            </w:r>
          </w:p>
        </w:tc>
        <w:tc>
          <w:tcPr>
            <w:tcW w:w="495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DFFB39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年度目标完成情况</w:t>
            </w:r>
          </w:p>
        </w:tc>
      </w:tr>
      <w:tr w14:paraId="335621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42A5A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23104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59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AF45E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保障九寨沟县人民法院案件审判、案件执行的正常运行。</w:t>
            </w:r>
          </w:p>
        </w:tc>
        <w:tc>
          <w:tcPr>
            <w:tcW w:w="495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3A344F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保障了2025年度案件审理、执行等工作的正常开展，结案数量、群众满意度等指标完成良好。</w:t>
            </w:r>
          </w:p>
        </w:tc>
      </w:tr>
      <w:tr w14:paraId="2E8C3E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B46A8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3A34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2.项目实施内容及过程概述</w:t>
            </w:r>
          </w:p>
        </w:tc>
        <w:tc>
          <w:tcPr>
            <w:tcW w:w="10944"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2CF8CB0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资金主要用于办案、执行、装备维护等方面，严格执行预算，确保法院工作高效运转。</w:t>
            </w:r>
          </w:p>
        </w:tc>
      </w:tr>
      <w:tr w14:paraId="2776E7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9F3A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预算执行情况（10分）</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2E77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年度预算数（万元）</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7F3C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年初预算</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F24F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调整后预算数</w:t>
            </w:r>
          </w:p>
        </w:tc>
        <w:tc>
          <w:tcPr>
            <w:tcW w:w="32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511C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预算执行数</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EC75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预算执行率</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3115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01EE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B414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原因</w:t>
            </w:r>
          </w:p>
        </w:tc>
      </w:tr>
    </w:tbl>
    <w:p w14:paraId="2BD9202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sectPr>
          <w:headerReference r:id="rId5" w:type="default"/>
          <w:footerReference r:id="rId6" w:type="default"/>
          <w:type w:val="continuous"/>
          <w:pgSz w:w="16838" w:h="11906" w:orient="landscape"/>
          <w:pgMar w:top="1587" w:right="2098" w:bottom="1474" w:left="1984" w:header="851" w:footer="992" w:gutter="0"/>
          <w:pgNumType w:fmt="decimal"/>
          <w:cols w:space="425" w:num="1"/>
          <w:titlePg/>
          <w:docGrid w:type="lines" w:linePitch="312" w:charSpace="0"/>
        </w:sectPr>
      </w:pPr>
    </w:p>
    <w:tbl>
      <w:tblPr>
        <w:tblStyle w:val="21"/>
        <w:tblW w:w="13016"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36"/>
        <w:gridCol w:w="1036"/>
        <w:gridCol w:w="1306"/>
        <w:gridCol w:w="1396"/>
        <w:gridCol w:w="1036"/>
        <w:gridCol w:w="1216"/>
        <w:gridCol w:w="1036"/>
        <w:gridCol w:w="1486"/>
        <w:gridCol w:w="1126"/>
        <w:gridCol w:w="1306"/>
        <w:gridCol w:w="1036"/>
      </w:tblGrid>
      <w:tr w14:paraId="26DB1C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1036" w:type="dxa"/>
            <w:vMerge w:val="restart"/>
            <w:tcBorders>
              <w:top w:val="single" w:color="000000" w:sz="4" w:space="0"/>
              <w:left w:val="single" w:color="000000" w:sz="4" w:space="0"/>
              <w:right w:val="single" w:color="000000" w:sz="4" w:space="0"/>
            </w:tcBorders>
            <w:shd w:val="clear" w:color="auto" w:fill="auto"/>
            <w:vAlign w:val="center"/>
          </w:tcPr>
          <w:p w14:paraId="13E65A5F">
            <w:pPr>
              <w:pStyle w:val="2"/>
              <w:rPr>
                <w:rFonts w:hint="eastAsia"/>
                <w:lang w:val="en-US" w:eastAsia="zh-CN"/>
              </w:rPr>
            </w:pP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3959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总额</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0265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06AD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549.00</w:t>
            </w:r>
          </w:p>
        </w:tc>
        <w:tc>
          <w:tcPr>
            <w:tcW w:w="32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A9E65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534.50</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67A4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97.36%</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7FAC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4CF5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9.74</w:t>
            </w:r>
          </w:p>
        </w:tc>
        <w:tc>
          <w:tcPr>
            <w:tcW w:w="10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595A8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48CEF7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48AE9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ABB8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其中：财政资金</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0FD0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2911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549.00</w:t>
            </w:r>
          </w:p>
        </w:tc>
        <w:tc>
          <w:tcPr>
            <w:tcW w:w="32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A1A24C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534.50</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E734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97.36%</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AA31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01B2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E26AE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48ECFF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1F31B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E458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财政专户管理资金</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2FE7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116E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2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3B3C2D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2FA3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CFFF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185B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72CEF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3114A6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232DD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6391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单位资金</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DE95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9C64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2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E41F27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3EFC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F951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69C8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2C012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2B4F3C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E5AEF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4E6C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其他资金</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7953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FA83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32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F27E5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14AA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9859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F5F4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5E378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222F9F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10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1DA72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绩效指标（90分）</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F9E9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一级指标</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0AE8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二级指标</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83AB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三级指标</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009F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指标性质</w:t>
            </w: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C222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指标值</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FD54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度量单位</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94C7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完成值</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D4D8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505B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99A8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未完成原因分析</w:t>
            </w:r>
          </w:p>
        </w:tc>
      </w:tr>
      <w:tr w14:paraId="0F787E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A7A16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B0A84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13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70B3F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C35E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结案数</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51DD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9C51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600</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0A47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案件数</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4F19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600</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93BF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FEE2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54F0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2428F9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CEB3F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009FD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3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95998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D72C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案件数</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4BAC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9080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900</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F0C5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案件数</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D9BD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900</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6316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17F9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2054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3F8689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A4122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4B7D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4C4F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A9FD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满意度</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359F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A074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90</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AEF0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099F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90</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A1C3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1223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8FE0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0C88F3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54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2817D9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合计</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B48B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0AF9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99.74</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D347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1F6730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17A5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评价结论</w:t>
            </w:r>
          </w:p>
        </w:tc>
        <w:tc>
          <w:tcPr>
            <w:tcW w:w="1198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E8CA26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项目自评得分99.74分</w:t>
            </w:r>
          </w:p>
        </w:tc>
      </w:tr>
      <w:tr w14:paraId="057902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12F7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存在问题</w:t>
            </w:r>
          </w:p>
        </w:tc>
        <w:tc>
          <w:tcPr>
            <w:tcW w:w="1198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827146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3C6AFB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9C05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改进措施</w:t>
            </w:r>
          </w:p>
        </w:tc>
        <w:tc>
          <w:tcPr>
            <w:tcW w:w="1198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35B1BF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182360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581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A76489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项目负责人：</w:t>
            </w:r>
          </w:p>
        </w:tc>
        <w:tc>
          <w:tcPr>
            <w:tcW w:w="720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259DCC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财务负责人：</w:t>
            </w:r>
          </w:p>
        </w:tc>
      </w:tr>
    </w:tbl>
    <w:p w14:paraId="0EDDAB1C">
      <w:pPr>
        <w:spacing w:line="600" w:lineRule="exact"/>
        <w:jc w:val="left"/>
        <w:outlineLvl w:val="0"/>
        <w:rPr>
          <w:rFonts w:hint="eastAsia" w:ascii="黑体" w:hAnsi="黑体" w:eastAsia="黑体" w:cs="黑体"/>
          <w:sz w:val="32"/>
          <w:szCs w:val="32"/>
        </w:rPr>
      </w:pPr>
    </w:p>
    <w:bookmarkEnd w:id="103"/>
    <w:bookmarkEnd w:id="104"/>
    <w:p w14:paraId="5FF49A72">
      <w:pPr>
        <w:spacing w:line="600" w:lineRule="exact"/>
        <w:jc w:val="left"/>
        <w:outlineLvl w:val="0"/>
        <w:rPr>
          <w:rFonts w:hint="eastAsia" w:ascii="黑体" w:hAnsi="黑体" w:eastAsia="黑体" w:cs="黑体"/>
          <w:sz w:val="32"/>
          <w:szCs w:val="32"/>
          <w:lang w:val="en-US" w:eastAsia="zh-CN"/>
        </w:rPr>
        <w:sectPr>
          <w:footerReference r:id="rId8" w:type="first"/>
          <w:footerReference r:id="rId7" w:type="default"/>
          <w:pgSz w:w="16838" w:h="11906" w:orient="landscape"/>
          <w:pgMar w:top="1587" w:right="2098" w:bottom="1474" w:left="1984" w:header="851" w:footer="992" w:gutter="0"/>
          <w:pgNumType w:fmt="decimal"/>
          <w:cols w:space="425" w:num="1"/>
          <w:titlePg/>
          <w:docGrid w:type="lines" w:linePitch="312" w:charSpace="0"/>
        </w:sectPr>
      </w:pPr>
    </w:p>
    <w:p w14:paraId="7FE6E700">
      <w:pPr>
        <w:spacing w:line="600" w:lineRule="exact"/>
        <w:jc w:val="left"/>
        <w:outlineLvl w:val="0"/>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 xml:space="preserve">附件2 </w:t>
      </w:r>
    </w:p>
    <w:p w14:paraId="41C90742">
      <w:pPr>
        <w:pStyle w:val="4"/>
        <w:keepNext/>
        <w:keepLines/>
        <w:pageBreakBefore w:val="0"/>
        <w:widowControl w:val="0"/>
        <w:kinsoku/>
        <w:wordWrap/>
        <w:overflowPunct/>
        <w:topLinePunct w:val="0"/>
        <w:autoSpaceDE/>
        <w:autoSpaceDN/>
        <w:bidi w:val="0"/>
        <w:adjustRightInd/>
        <w:snapToGrid/>
        <w:spacing w:line="560" w:lineRule="exact"/>
        <w:jc w:val="center"/>
        <w:textAlignment w:val="auto"/>
        <w:rPr>
          <w:rFonts w:hint="eastAsia"/>
        </w:rPr>
      </w:pPr>
      <w:r>
        <w:rPr>
          <w:rFonts w:hint="eastAsia"/>
          <w:lang w:val="en-US" w:eastAsia="zh-CN"/>
        </w:rPr>
        <w:t>九寨沟县人民法院</w:t>
      </w:r>
      <w:r>
        <w:rPr>
          <w:rFonts w:hint="eastAsia"/>
        </w:rPr>
        <w:t>转移支付</w:t>
      </w:r>
    </w:p>
    <w:p w14:paraId="70ED05DC">
      <w:pPr>
        <w:pStyle w:val="4"/>
        <w:keepNext/>
        <w:keepLines/>
        <w:pageBreakBefore w:val="0"/>
        <w:widowControl w:val="0"/>
        <w:kinsoku/>
        <w:wordWrap/>
        <w:overflowPunct/>
        <w:topLinePunct w:val="0"/>
        <w:autoSpaceDE/>
        <w:autoSpaceDN/>
        <w:bidi w:val="0"/>
        <w:adjustRightInd/>
        <w:snapToGrid/>
        <w:spacing w:line="560" w:lineRule="exact"/>
        <w:jc w:val="center"/>
        <w:textAlignment w:val="auto"/>
      </w:pPr>
      <w:r>
        <w:rPr>
          <w:rFonts w:hint="eastAsia"/>
        </w:rPr>
        <w:t>20</w:t>
      </w:r>
      <w:r>
        <w:rPr>
          <w:rFonts w:hint="eastAsia"/>
          <w:lang w:val="en-US" w:eastAsia="zh-CN"/>
        </w:rPr>
        <w:t>25</w:t>
      </w:r>
      <w:r>
        <w:rPr>
          <w:rFonts w:hint="eastAsia"/>
        </w:rPr>
        <w:t>年度绩效自评报告</w:t>
      </w:r>
    </w:p>
    <w:p w14:paraId="65B8D5B0">
      <w:pPr>
        <w:keepNext w:val="0"/>
        <w:keepLines w:val="0"/>
        <w:pageBreakBefore w:val="0"/>
        <w:widowControl w:val="0"/>
        <w:kinsoku/>
        <w:wordWrap/>
        <w:overflowPunct/>
        <w:topLinePunct w:val="0"/>
        <w:autoSpaceDE/>
        <w:autoSpaceDN/>
        <w:bidi w:val="0"/>
        <w:adjustRightInd/>
        <w:snapToGrid w:val="0"/>
        <w:spacing w:line="580" w:lineRule="exact"/>
        <w:ind w:firstLine="420" w:firstLineChars="200"/>
        <w:textAlignment w:val="auto"/>
        <w:rPr>
          <w:rFonts w:hint="eastAsia" w:ascii="黑体" w:hAnsi="黑体" w:eastAsia="黑体" w:cs="黑体"/>
          <w:bCs/>
          <w:szCs w:val="32"/>
        </w:rPr>
      </w:pPr>
    </w:p>
    <w:p w14:paraId="740EF370">
      <w:pPr>
        <w:keepNext w:val="0"/>
        <w:keepLines w:val="0"/>
        <w:pageBreakBefore w:val="0"/>
        <w:widowControl w:val="0"/>
        <w:kinsoku/>
        <w:wordWrap/>
        <w:overflowPunct/>
        <w:topLinePunct w:val="0"/>
        <w:autoSpaceDE/>
        <w:autoSpaceDN/>
        <w:bidi w:val="0"/>
        <w:adjustRightInd/>
        <w:snapToGrid w:val="0"/>
        <w:spacing w:line="580" w:lineRule="exact"/>
        <w:ind w:firstLine="640" w:firstLineChars="200"/>
        <w:textAlignment w:val="auto"/>
        <w:rPr>
          <w:rFonts w:hint="eastAsia" w:ascii="黑体" w:hAnsi="黑体" w:eastAsia="黑体" w:cs="黑体"/>
          <w:bCs/>
          <w:sz w:val="32"/>
          <w:szCs w:val="32"/>
        </w:rPr>
      </w:pPr>
      <w:r>
        <w:rPr>
          <w:rFonts w:hint="eastAsia" w:ascii="黑体" w:hAnsi="黑体" w:eastAsia="黑体" w:cs="黑体"/>
          <w:bCs/>
          <w:sz w:val="32"/>
          <w:szCs w:val="32"/>
        </w:rPr>
        <w:t>一、绩效目标分解下达情况</w:t>
      </w:r>
    </w:p>
    <w:p w14:paraId="0BA1EE95">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hint="eastAsia" w:ascii="楷体" w:hAnsi="楷体" w:eastAsia="楷体" w:cs="楷体"/>
          <w:b/>
          <w:sz w:val="32"/>
          <w:szCs w:val="32"/>
          <w:lang w:val="zh-CN"/>
        </w:rPr>
      </w:pPr>
      <w:r>
        <w:rPr>
          <w:rFonts w:hint="eastAsia" w:ascii="楷体" w:hAnsi="楷体" w:eastAsia="楷体" w:cs="楷体"/>
          <w:b/>
          <w:sz w:val="32"/>
          <w:szCs w:val="32"/>
          <w:lang w:val="zh-CN"/>
        </w:rPr>
        <w:t>（一）项目基本情况</w:t>
      </w:r>
    </w:p>
    <w:p w14:paraId="13DDDFBA">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hint="eastAsia" w:ascii="仿宋" w:hAnsi="仿宋" w:eastAsia="仿宋" w:cs="仿宋"/>
          <w:sz w:val="32"/>
          <w:szCs w:val="32"/>
          <w:lang w:val="zh-CN"/>
        </w:rPr>
      </w:pPr>
      <w:r>
        <w:rPr>
          <w:rFonts w:hint="eastAsia" w:ascii="仿宋" w:hAnsi="仿宋" w:eastAsia="仿宋" w:cs="仿宋"/>
          <w:sz w:val="32"/>
          <w:szCs w:val="32"/>
          <w:lang w:val="zh-CN"/>
        </w:rPr>
        <w:t>1．说明项目主管部门（单位）在该项目管理中的职能。</w:t>
      </w:r>
    </w:p>
    <w:p w14:paraId="7738B4AC">
      <w:pPr>
        <w:adjustRightInd w:val="0"/>
        <w:snapToGrid w:val="0"/>
        <w:spacing w:line="560" w:lineRule="exact"/>
        <w:ind w:firstLine="72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负责辖区内各类民事、刑事、行政案件的立案、调解、审判、执行等相关工作；做好辖区内普法宣传工作，并进行相关的司法咨询、司法援助工作；加强</w:t>
      </w:r>
      <w:r>
        <w:rPr>
          <w:rFonts w:hint="eastAsia" w:ascii="仿宋" w:hAnsi="仿宋" w:eastAsia="仿宋" w:cs="仿宋"/>
          <w:sz w:val="32"/>
          <w:szCs w:val="32"/>
        </w:rPr>
        <w:t>队伍建设，提高司法服务水平；加快信息化建设和科技法庭建设，提高办案效率。</w:t>
      </w:r>
    </w:p>
    <w:p w14:paraId="75E3AA6B">
      <w:pPr>
        <w:keepNext w:val="0"/>
        <w:keepLines w:val="0"/>
        <w:pageBreakBefore w:val="0"/>
        <w:numPr>
          <w:ilvl w:val="0"/>
          <w:numId w:val="6"/>
        </w:numPr>
        <w:kinsoku/>
        <w:wordWrap/>
        <w:overflowPunct/>
        <w:topLinePunct w:val="0"/>
        <w:autoSpaceDE/>
        <w:autoSpaceDN/>
        <w:bidi w:val="0"/>
        <w:adjustRightInd w:val="0"/>
        <w:snapToGrid w:val="0"/>
        <w:spacing w:line="600" w:lineRule="exact"/>
        <w:ind w:firstLine="720"/>
        <w:textAlignment w:val="auto"/>
        <w:rPr>
          <w:rFonts w:hint="eastAsia" w:ascii="仿宋" w:hAnsi="仿宋" w:eastAsia="仿宋" w:cs="仿宋"/>
          <w:sz w:val="32"/>
          <w:szCs w:val="32"/>
          <w:lang w:val="zh-CN"/>
        </w:rPr>
      </w:pPr>
      <w:r>
        <w:rPr>
          <w:rFonts w:hint="eastAsia" w:ascii="仿宋" w:hAnsi="仿宋" w:eastAsia="仿宋" w:cs="仿宋"/>
          <w:sz w:val="32"/>
          <w:szCs w:val="32"/>
          <w:lang w:val="zh-CN"/>
        </w:rPr>
        <w:t>项目立项、资金申报的依据。</w:t>
      </w:r>
    </w:p>
    <w:p w14:paraId="7F391C0A">
      <w:pPr>
        <w:adjustRightInd w:val="0"/>
        <w:snapToGrid w:val="0"/>
        <w:spacing w:line="560" w:lineRule="exact"/>
        <w:ind w:firstLine="72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阿州财行</w:t>
      </w:r>
      <w:r>
        <w:rPr>
          <w:rFonts w:hint="eastAsia" w:ascii="仿宋" w:hAnsi="仿宋" w:eastAsia="仿宋" w:cs="仿宋"/>
          <w:sz w:val="32"/>
          <w:szCs w:val="32"/>
          <w:lang w:val="zh-CN" w:eastAsia="zh-CN"/>
        </w:rPr>
        <w:t>﹝</w:t>
      </w:r>
      <w:r>
        <w:rPr>
          <w:rFonts w:hint="eastAsia" w:ascii="仿宋" w:hAnsi="仿宋" w:eastAsia="仿宋" w:cs="仿宋"/>
          <w:sz w:val="32"/>
          <w:szCs w:val="32"/>
          <w:lang w:val="en-US" w:eastAsia="zh-CN"/>
        </w:rPr>
        <w:t>2025</w:t>
      </w:r>
      <w:r>
        <w:rPr>
          <w:rFonts w:hint="eastAsia" w:ascii="仿宋" w:hAnsi="仿宋" w:eastAsia="仿宋" w:cs="仿宋"/>
          <w:sz w:val="32"/>
          <w:szCs w:val="32"/>
          <w:lang w:val="zh-CN" w:eastAsia="zh-CN"/>
        </w:rPr>
        <w:t>﹞</w:t>
      </w:r>
      <w:r>
        <w:rPr>
          <w:rFonts w:hint="eastAsia" w:ascii="仿宋" w:hAnsi="仿宋" w:eastAsia="仿宋" w:cs="仿宋"/>
          <w:sz w:val="32"/>
          <w:szCs w:val="32"/>
          <w:lang w:val="en-US" w:eastAsia="zh-CN"/>
        </w:rPr>
        <w:t>20、21、66、70号文件，</w:t>
      </w:r>
      <w:r>
        <w:rPr>
          <w:rFonts w:hint="eastAsia" w:ascii="仿宋" w:hAnsi="仿宋" w:eastAsia="仿宋" w:cs="仿宋"/>
          <w:sz w:val="32"/>
          <w:szCs w:val="32"/>
          <w:lang w:val="zh-CN" w:eastAsia="zh-CN"/>
        </w:rPr>
        <w:t>项目申报内容与具体实施内容相符、申报目标合理可行。</w:t>
      </w:r>
    </w:p>
    <w:p w14:paraId="32832E87">
      <w:pPr>
        <w:keepNext w:val="0"/>
        <w:keepLines w:val="0"/>
        <w:pageBreakBefore w:val="0"/>
        <w:numPr>
          <w:ilvl w:val="0"/>
          <w:numId w:val="6"/>
        </w:numPr>
        <w:kinsoku/>
        <w:wordWrap/>
        <w:overflowPunct/>
        <w:topLinePunct w:val="0"/>
        <w:autoSpaceDE/>
        <w:autoSpaceDN/>
        <w:bidi w:val="0"/>
        <w:adjustRightInd w:val="0"/>
        <w:snapToGrid w:val="0"/>
        <w:spacing w:line="600" w:lineRule="exact"/>
        <w:ind w:left="0" w:leftChars="0" w:firstLine="720" w:firstLineChars="0"/>
        <w:textAlignment w:val="auto"/>
        <w:rPr>
          <w:rFonts w:hint="eastAsia" w:ascii="仿宋" w:hAnsi="仿宋" w:eastAsia="仿宋" w:cs="仿宋"/>
          <w:sz w:val="32"/>
          <w:szCs w:val="32"/>
          <w:lang w:val="zh-CN"/>
        </w:rPr>
      </w:pPr>
      <w:r>
        <w:rPr>
          <w:rFonts w:hint="eastAsia" w:ascii="仿宋" w:hAnsi="仿宋" w:eastAsia="仿宋" w:cs="仿宋"/>
          <w:sz w:val="32"/>
          <w:szCs w:val="32"/>
          <w:lang w:val="zh-CN"/>
        </w:rPr>
        <w:t>资金管理办法制定情况，资金支持具体项目的条件、范围与支持方式概况。</w:t>
      </w:r>
    </w:p>
    <w:p w14:paraId="55379FB1">
      <w:pPr>
        <w:adjustRightInd w:val="0"/>
        <w:snapToGrid w:val="0"/>
        <w:spacing w:line="560" w:lineRule="exact"/>
        <w:ind w:firstLine="72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我院制定了《九寨沟县人民法院内控制度》，包括财务制度、专项资金管理办法、收支管理等相关制度，均适用该项目，支持该项目实施。</w:t>
      </w:r>
    </w:p>
    <w:p w14:paraId="545748AB">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hint="eastAsia" w:ascii="仿宋" w:hAnsi="仿宋" w:eastAsia="仿宋" w:cs="仿宋"/>
          <w:sz w:val="32"/>
          <w:szCs w:val="32"/>
          <w:lang w:val="zh-CN"/>
        </w:rPr>
      </w:pPr>
      <w:r>
        <w:rPr>
          <w:rFonts w:hint="eastAsia" w:ascii="仿宋" w:hAnsi="仿宋" w:eastAsia="仿宋" w:cs="仿宋"/>
          <w:sz w:val="32"/>
          <w:szCs w:val="32"/>
          <w:lang w:val="zh-CN"/>
        </w:rPr>
        <w:t>4．资金分配的原则及考虑因素。</w:t>
      </w:r>
    </w:p>
    <w:p w14:paraId="7DFCE00E">
      <w:pPr>
        <w:adjustRightInd w:val="0"/>
        <w:snapToGrid w:val="0"/>
        <w:spacing w:line="560" w:lineRule="exact"/>
        <w:ind w:firstLine="72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根据工作实际情况及工作需要分配资金，该专项资金主要涉及办案业务经费、业务装备经费及司法救助金。</w:t>
      </w:r>
    </w:p>
    <w:p w14:paraId="1E2159BA">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hint="eastAsia" w:ascii="楷体" w:hAnsi="楷体" w:eastAsia="楷体" w:cs="楷体"/>
          <w:b/>
          <w:sz w:val="32"/>
          <w:szCs w:val="32"/>
          <w:lang w:val="zh-CN"/>
        </w:rPr>
      </w:pPr>
      <w:r>
        <w:rPr>
          <w:rFonts w:hint="eastAsia" w:ascii="楷体" w:hAnsi="楷体" w:eastAsia="楷体" w:cs="楷体"/>
          <w:b/>
          <w:sz w:val="32"/>
          <w:szCs w:val="32"/>
          <w:lang w:val="zh-CN"/>
        </w:rPr>
        <w:t>（二）项目绩效目标</w:t>
      </w:r>
    </w:p>
    <w:p w14:paraId="112C15A5">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hint="eastAsia" w:ascii="仿宋" w:hAnsi="仿宋" w:eastAsia="仿宋" w:cs="仿宋"/>
          <w:sz w:val="32"/>
          <w:szCs w:val="32"/>
          <w:lang w:val="zh-CN"/>
        </w:rPr>
      </w:pPr>
      <w:r>
        <w:rPr>
          <w:rFonts w:hint="eastAsia" w:ascii="仿宋" w:hAnsi="仿宋" w:eastAsia="仿宋" w:cs="仿宋"/>
          <w:sz w:val="32"/>
          <w:szCs w:val="32"/>
          <w:lang w:val="zh-CN"/>
        </w:rPr>
        <w:t>1．项目主要内容</w:t>
      </w:r>
    </w:p>
    <w:p w14:paraId="7AD6F3B8">
      <w:pPr>
        <w:adjustRightInd w:val="0"/>
        <w:snapToGrid w:val="0"/>
        <w:spacing w:line="560" w:lineRule="exact"/>
        <w:ind w:firstLine="72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2025年共下达转移资金789万元，其中：办案业务费567.8万元，业务装备费221.2万元；</w:t>
      </w:r>
      <w:r>
        <w:rPr>
          <w:rFonts w:hint="eastAsia" w:ascii="仿宋" w:hAnsi="仿宋" w:eastAsia="仿宋" w:cs="仿宋"/>
          <w:sz w:val="32"/>
          <w:szCs w:val="32"/>
        </w:rPr>
        <w:t>专项资金主要用于案件办理有关差旅费、公务用车运行费、案件执行、人民陪审员支出、司法救助、庭审网络直播等办案相关业务及物资装备建设、执行指挥系统建设等。</w:t>
      </w:r>
      <w:r>
        <w:rPr>
          <w:rFonts w:hint="eastAsia" w:ascii="仿宋" w:hAnsi="仿宋" w:eastAsia="仿宋" w:cs="仿宋"/>
          <w:sz w:val="32"/>
          <w:szCs w:val="32"/>
          <w:lang w:val="en-US" w:eastAsia="zh-CN"/>
        </w:rPr>
        <w:t>保障法院审判工作的顺利开展，保证当年案件审判优质高效完成;提高法官队伍素质，加强法制宣传，提高办案质量，提升群众满意度。</w:t>
      </w:r>
    </w:p>
    <w:p w14:paraId="3DE87905">
      <w:pPr>
        <w:adjustRightInd w:val="0"/>
        <w:snapToGrid w:val="0"/>
        <w:spacing w:line="560" w:lineRule="exact"/>
        <w:ind w:firstLine="720"/>
        <w:rPr>
          <w:rFonts w:hint="eastAsia" w:ascii="仿宋" w:hAnsi="仿宋" w:eastAsia="仿宋" w:cs="仿宋"/>
          <w:sz w:val="32"/>
          <w:szCs w:val="32"/>
          <w:lang w:val="zh-CN"/>
        </w:rPr>
      </w:pPr>
      <w:r>
        <w:rPr>
          <w:rFonts w:hint="eastAsia" w:ascii="仿宋" w:hAnsi="仿宋" w:eastAsia="仿宋" w:cs="仿宋"/>
          <w:sz w:val="32"/>
          <w:szCs w:val="32"/>
          <w:lang w:val="en-US" w:eastAsia="zh-CN"/>
        </w:rPr>
        <w:t>2.</w:t>
      </w:r>
      <w:r>
        <w:rPr>
          <w:rFonts w:hint="eastAsia" w:ascii="仿宋" w:hAnsi="仿宋" w:eastAsia="仿宋" w:cs="仿宋"/>
          <w:sz w:val="32"/>
          <w:szCs w:val="32"/>
          <w:lang w:val="zh-CN"/>
        </w:rPr>
        <w:t>项目应实现的具体绩效目标，包括目标的量化、细化情况以及项目实施进度计划等。</w:t>
      </w:r>
    </w:p>
    <w:p w14:paraId="2AA7133E">
      <w:pPr>
        <w:adjustRightInd w:val="0"/>
        <w:snapToGrid w:val="0"/>
        <w:spacing w:line="560" w:lineRule="exact"/>
        <w:ind w:firstLine="720"/>
        <w:rPr>
          <w:rFonts w:hint="eastAsia" w:ascii="仿宋" w:hAnsi="仿宋" w:eastAsia="仿宋" w:cs="仿宋"/>
          <w:sz w:val="32"/>
          <w:szCs w:val="32"/>
          <w:lang w:val="en-US" w:eastAsia="zh-CN"/>
        </w:rPr>
      </w:pPr>
      <w:r>
        <w:rPr>
          <w:rFonts w:hint="eastAsia" w:ascii="仿宋" w:hAnsi="仿宋" w:eastAsia="仿宋" w:cs="仿宋"/>
          <w:sz w:val="32"/>
          <w:szCs w:val="32"/>
        </w:rPr>
        <w:t>抓好三大审判、服务全县发展大局；坚定司法为民，努力保障合法权益；加强队伍建设，提高司法服务水平；加快信息化建设和科技法庭建设，提高办案效率。</w:t>
      </w:r>
    </w:p>
    <w:p w14:paraId="0D85C263">
      <w:pPr>
        <w:adjustRightInd w:val="0"/>
        <w:snapToGrid w:val="0"/>
        <w:spacing w:line="560" w:lineRule="exact"/>
        <w:ind w:firstLine="720"/>
        <w:rPr>
          <w:rFonts w:hint="eastAsia" w:ascii="仿宋" w:hAnsi="仿宋" w:eastAsia="仿宋" w:cs="仿宋"/>
          <w:sz w:val="32"/>
          <w:szCs w:val="32"/>
          <w:lang w:val="zh-CN"/>
        </w:rPr>
      </w:pPr>
      <w:r>
        <w:rPr>
          <w:rFonts w:hint="eastAsia" w:ascii="仿宋" w:hAnsi="仿宋" w:eastAsia="仿宋" w:cs="仿宋"/>
          <w:sz w:val="32"/>
          <w:szCs w:val="32"/>
          <w:lang w:val="zh-CN"/>
        </w:rPr>
        <w:t>3．分析评价申报内容是否与实际相符，申报目标是否合理可行。</w:t>
      </w:r>
    </w:p>
    <w:p w14:paraId="665BDF12">
      <w:pPr>
        <w:adjustRightInd w:val="0"/>
        <w:snapToGrid w:val="0"/>
        <w:spacing w:line="560" w:lineRule="exact"/>
        <w:ind w:firstLine="72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经认真核实，纳入本次评价的中央、省政法转移支付资金项目申报内容与实际相符，达到了预期效果，项目申报目标合理可行。</w:t>
      </w:r>
    </w:p>
    <w:p w14:paraId="4A47D167">
      <w:pPr>
        <w:keepNext w:val="0"/>
        <w:keepLines w:val="0"/>
        <w:pageBreakBefore w:val="0"/>
        <w:widowControl w:val="0"/>
        <w:kinsoku/>
        <w:wordWrap/>
        <w:overflowPunct/>
        <w:topLinePunct w:val="0"/>
        <w:autoSpaceDE/>
        <w:autoSpaceDN/>
        <w:bidi w:val="0"/>
        <w:adjustRightInd/>
        <w:snapToGrid w:val="0"/>
        <w:spacing w:line="580" w:lineRule="exact"/>
        <w:ind w:firstLine="640" w:firstLineChars="200"/>
        <w:textAlignment w:val="auto"/>
        <w:rPr>
          <w:rFonts w:hint="eastAsia" w:ascii="黑体" w:hAnsi="黑体" w:eastAsia="黑体" w:cs="黑体"/>
          <w:bCs/>
          <w:sz w:val="32"/>
          <w:szCs w:val="32"/>
          <w:highlight w:val="none"/>
        </w:rPr>
      </w:pPr>
      <w:r>
        <w:rPr>
          <w:rFonts w:hint="eastAsia" w:ascii="黑体" w:hAnsi="黑体" w:eastAsia="黑体" w:cs="黑体"/>
          <w:bCs/>
          <w:sz w:val="32"/>
          <w:szCs w:val="32"/>
          <w:highlight w:val="none"/>
        </w:rPr>
        <w:t>二、</w:t>
      </w:r>
      <w:r>
        <w:rPr>
          <w:rFonts w:hint="eastAsia" w:ascii="黑体" w:hAnsi="黑体" w:eastAsia="黑体" w:cs="黑体"/>
          <w:bCs/>
          <w:sz w:val="32"/>
          <w:szCs w:val="32"/>
          <w:highlight w:val="none"/>
          <w:lang w:eastAsia="zh-CN"/>
        </w:rPr>
        <w:t>绩效</w:t>
      </w:r>
      <w:r>
        <w:rPr>
          <w:rFonts w:hint="eastAsia" w:ascii="黑体" w:hAnsi="黑体" w:eastAsia="黑体" w:cs="黑体"/>
          <w:bCs/>
          <w:sz w:val="32"/>
          <w:szCs w:val="32"/>
          <w:highlight w:val="none"/>
        </w:rPr>
        <w:t>情况分析</w:t>
      </w:r>
    </w:p>
    <w:p w14:paraId="73519FCB">
      <w:pPr>
        <w:keepNext w:val="0"/>
        <w:keepLines w:val="0"/>
        <w:pageBreakBefore w:val="0"/>
        <w:widowControl w:val="0"/>
        <w:kinsoku/>
        <w:wordWrap/>
        <w:overflowPunct/>
        <w:topLinePunct w:val="0"/>
        <w:autoSpaceDE/>
        <w:autoSpaceDN/>
        <w:bidi w:val="0"/>
        <w:adjustRightInd/>
        <w:snapToGrid w:val="0"/>
        <w:spacing w:line="580" w:lineRule="exact"/>
        <w:ind w:firstLine="643" w:firstLineChars="200"/>
        <w:textAlignment w:val="auto"/>
        <w:outlineLvl w:val="0"/>
        <w:rPr>
          <w:rFonts w:hint="eastAsia" w:ascii="楷体" w:hAnsi="楷体" w:eastAsia="楷体" w:cs="楷体"/>
          <w:b/>
          <w:bCs/>
          <w:sz w:val="32"/>
          <w:szCs w:val="32"/>
          <w:highlight w:val="none"/>
        </w:rPr>
      </w:pPr>
      <w:r>
        <w:rPr>
          <w:rFonts w:hint="eastAsia" w:ascii="楷体" w:hAnsi="楷体" w:eastAsia="楷体" w:cs="楷体"/>
          <w:b/>
          <w:bCs/>
          <w:sz w:val="32"/>
          <w:szCs w:val="32"/>
          <w:highlight w:val="none"/>
        </w:rPr>
        <w:t>（一）资金投入情况分析</w:t>
      </w:r>
    </w:p>
    <w:p w14:paraId="34BDE5EC">
      <w:pPr>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1.项目资金到位情况分析</w:t>
      </w:r>
    </w:p>
    <w:p w14:paraId="2178F7BF">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本年度共下达政法转移资金789万元。分两批次下达，2025年5月下达2025年中央和省级ZFZY资金549万元，2025年12月下达2025年下半年中央和省级ZFZY支付资金240万元。支付594.5万元，支付率达到75.35%。</w:t>
      </w:r>
    </w:p>
    <w:p w14:paraId="0019F91C">
      <w:pPr>
        <w:numPr>
          <w:ilvl w:val="0"/>
          <w:numId w:val="0"/>
        </w:numPr>
        <w:ind w:firstLine="643" w:firstLineChars="200"/>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2.</w:t>
      </w:r>
      <w:r>
        <w:rPr>
          <w:rFonts w:hint="eastAsia" w:ascii="仿宋" w:hAnsi="仿宋" w:eastAsia="仿宋" w:cs="仿宋"/>
          <w:b/>
          <w:bCs/>
          <w:sz w:val="32"/>
          <w:szCs w:val="32"/>
        </w:rPr>
        <w:t>项目资金执行情况分析</w:t>
      </w:r>
      <w:r>
        <w:rPr>
          <w:rFonts w:hint="eastAsia" w:ascii="仿宋" w:hAnsi="仿宋" w:eastAsia="仿宋" w:cs="仿宋"/>
          <w:b/>
          <w:bCs/>
          <w:sz w:val="32"/>
          <w:szCs w:val="32"/>
          <w:lang w:val="en-US" w:eastAsia="zh-CN"/>
        </w:rPr>
        <w:t xml:space="preserve"> </w:t>
      </w:r>
      <w:r>
        <w:rPr>
          <w:rFonts w:hint="eastAsia" w:ascii="仿宋" w:hAnsi="仿宋" w:eastAsia="仿宋" w:cs="仿宋"/>
          <w:sz w:val="32"/>
          <w:szCs w:val="32"/>
          <w:lang w:val="en-US" w:eastAsia="zh-CN"/>
        </w:rPr>
        <w:t xml:space="preserve">                  </w:t>
      </w:r>
    </w:p>
    <w:p w14:paraId="09CF7C96">
      <w:pPr>
        <w:numPr>
          <w:ilvl w:val="0"/>
          <w:numId w:val="0"/>
        </w:numPr>
        <w:ind w:firstLine="640" w:firstLineChars="200"/>
        <w:rPr>
          <w:rFonts w:hint="eastAsia" w:ascii="仿宋" w:hAnsi="仿宋" w:eastAsia="仿宋" w:cs="仿宋"/>
          <w:b w:val="0"/>
          <w:bCs w:val="0"/>
          <w:sz w:val="32"/>
          <w:szCs w:val="32"/>
          <w:highlight w:val="none"/>
          <w:lang w:val="en-US" w:eastAsia="zh-CN"/>
        </w:rPr>
      </w:pPr>
      <w:r>
        <w:rPr>
          <w:rFonts w:hint="eastAsia" w:ascii="仿宋" w:hAnsi="仿宋" w:eastAsia="仿宋" w:cs="仿宋"/>
          <w:sz w:val="32"/>
          <w:szCs w:val="32"/>
          <w:lang w:val="en-US" w:eastAsia="zh-CN"/>
        </w:rPr>
        <w:t>2025年共下达我院中央和省级政法转移支付资金共789万，我院共使用中央和省级政法转移支付资金594.5万元，预算执行率达75.35%。</w:t>
      </w:r>
    </w:p>
    <w:p w14:paraId="23CC1F4D">
      <w:pPr>
        <w:keepNext w:val="0"/>
        <w:keepLines w:val="0"/>
        <w:pageBreakBefore w:val="0"/>
        <w:widowControl w:val="0"/>
        <w:numPr>
          <w:ilvl w:val="0"/>
          <w:numId w:val="7"/>
        </w:numPr>
        <w:kinsoku/>
        <w:wordWrap/>
        <w:overflowPunct/>
        <w:topLinePunct w:val="0"/>
        <w:autoSpaceDE/>
        <w:autoSpaceDN/>
        <w:bidi w:val="0"/>
        <w:adjustRightInd/>
        <w:snapToGrid w:val="0"/>
        <w:spacing w:line="580" w:lineRule="exact"/>
        <w:ind w:firstLine="643" w:firstLineChars="200"/>
        <w:textAlignment w:val="auto"/>
        <w:outlineLvl w:val="0"/>
        <w:rPr>
          <w:rFonts w:hint="eastAsia" w:ascii="楷体" w:hAnsi="楷体" w:eastAsia="楷体" w:cs="楷体"/>
          <w:b/>
          <w:bCs/>
          <w:sz w:val="32"/>
          <w:szCs w:val="32"/>
          <w:highlight w:val="none"/>
          <w:lang w:eastAsia="zh-CN"/>
        </w:rPr>
      </w:pPr>
      <w:r>
        <w:rPr>
          <w:rFonts w:hint="eastAsia" w:ascii="楷体" w:hAnsi="楷体" w:eastAsia="楷体" w:cs="楷体"/>
          <w:b/>
          <w:bCs/>
          <w:sz w:val="32"/>
          <w:szCs w:val="32"/>
          <w:highlight w:val="none"/>
          <w:lang w:eastAsia="zh-CN"/>
        </w:rPr>
        <w:t>资金管理情况分析</w:t>
      </w:r>
    </w:p>
    <w:p w14:paraId="4330ED8A">
      <w:pPr>
        <w:keepNext w:val="0"/>
        <w:keepLines w:val="0"/>
        <w:pageBreakBefore w:val="0"/>
        <w:widowControl w:val="0"/>
        <w:numPr>
          <w:ilvl w:val="0"/>
          <w:numId w:val="0"/>
        </w:numPr>
        <w:kinsoku/>
        <w:wordWrap/>
        <w:overflowPunct/>
        <w:topLinePunct w:val="0"/>
        <w:autoSpaceDE/>
        <w:autoSpaceDN/>
        <w:bidi w:val="0"/>
        <w:adjustRightInd/>
        <w:snapToGrid w:val="0"/>
        <w:spacing w:line="580" w:lineRule="exact"/>
        <w:ind w:firstLine="640" w:firstLineChars="200"/>
        <w:textAlignment w:val="auto"/>
        <w:outlineLvl w:val="0"/>
        <w:rPr>
          <w:rFonts w:hint="eastAsia" w:ascii="仿宋" w:hAnsi="仿宋" w:eastAsia="仿宋" w:cs="仿宋"/>
          <w:b w:val="0"/>
          <w:bCs w:val="0"/>
          <w:sz w:val="32"/>
          <w:szCs w:val="32"/>
          <w:highlight w:val="none"/>
          <w:lang w:eastAsia="zh-CN"/>
        </w:rPr>
      </w:pPr>
      <w:r>
        <w:rPr>
          <w:rFonts w:hint="eastAsia" w:ascii="仿宋" w:hAnsi="仿宋" w:eastAsia="仿宋" w:cs="仿宋"/>
          <w:sz w:val="32"/>
          <w:szCs w:val="32"/>
        </w:rPr>
        <w:t>按照综合预算的原则，我院收入和支出均纳入部门预算管理。按照预算确定的资金支出用途使用，做到专款专用。资金支付依据合规合法，资金支付与项目预算相符。</w:t>
      </w:r>
    </w:p>
    <w:p w14:paraId="74B60EEB">
      <w:pPr>
        <w:keepNext w:val="0"/>
        <w:keepLines w:val="0"/>
        <w:pageBreakBefore w:val="0"/>
        <w:widowControl w:val="0"/>
        <w:numPr>
          <w:ilvl w:val="0"/>
          <w:numId w:val="7"/>
        </w:numPr>
        <w:kinsoku/>
        <w:wordWrap/>
        <w:overflowPunct/>
        <w:topLinePunct w:val="0"/>
        <w:autoSpaceDE/>
        <w:autoSpaceDN/>
        <w:bidi w:val="0"/>
        <w:adjustRightInd/>
        <w:snapToGrid w:val="0"/>
        <w:spacing w:line="580" w:lineRule="exact"/>
        <w:ind w:firstLine="643" w:firstLineChars="200"/>
        <w:textAlignment w:val="auto"/>
        <w:outlineLvl w:val="0"/>
        <w:rPr>
          <w:rFonts w:hint="eastAsia" w:ascii="楷体" w:hAnsi="楷体" w:eastAsia="楷体" w:cs="楷体"/>
          <w:b/>
          <w:bCs/>
          <w:sz w:val="32"/>
          <w:szCs w:val="32"/>
          <w:highlight w:val="none"/>
          <w:lang w:eastAsia="zh-CN"/>
        </w:rPr>
      </w:pPr>
      <w:r>
        <w:rPr>
          <w:rFonts w:hint="eastAsia" w:ascii="楷体" w:hAnsi="楷体" w:eastAsia="楷体" w:cs="楷体"/>
          <w:b/>
          <w:bCs/>
          <w:sz w:val="32"/>
          <w:szCs w:val="32"/>
          <w:highlight w:val="none"/>
          <w:lang w:eastAsia="zh-CN"/>
        </w:rPr>
        <w:t>总体绩效目标完成情况分析</w:t>
      </w:r>
    </w:p>
    <w:p w14:paraId="17DCC69D">
      <w:pPr>
        <w:numPr>
          <w:ilvl w:val="0"/>
          <w:numId w:val="0"/>
        </w:numPr>
        <w:ind w:leftChars="200" w:firstLine="320" w:firstLineChars="100"/>
        <w:outlineLvl w:val="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1.努力推动高水平司法，提速助跑高效能治理。</w:t>
      </w:r>
    </w:p>
    <w:p w14:paraId="46FD4A2D">
      <w:pPr>
        <w:numPr>
          <w:ilvl w:val="0"/>
          <w:numId w:val="0"/>
        </w:numPr>
        <w:ind w:leftChars="200" w:firstLine="320" w:firstLineChars="100"/>
        <w:outlineLvl w:val="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2.牢记人民法院初心使命，践行司法为民宗旨。</w:t>
      </w:r>
    </w:p>
    <w:p w14:paraId="26F45FC8">
      <w:pPr>
        <w:numPr>
          <w:ilvl w:val="0"/>
          <w:numId w:val="0"/>
        </w:numPr>
        <w:ind w:leftChars="200" w:firstLine="320" w:firstLineChars="100"/>
        <w:outlineLvl w:val="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3.坚持政治引领党建先行，锤炼过硬法院队伍。</w:t>
      </w:r>
    </w:p>
    <w:p w14:paraId="55E54156">
      <w:pPr>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w:t>
      </w:r>
      <w:r>
        <w:rPr>
          <w:rFonts w:hint="eastAsia" w:ascii="楷体" w:hAnsi="楷体" w:eastAsia="楷体" w:cs="楷体"/>
          <w:b/>
          <w:bCs/>
          <w:sz w:val="32"/>
          <w:szCs w:val="32"/>
          <w:highlight w:val="none"/>
          <w:lang w:eastAsia="zh-CN"/>
        </w:rPr>
        <w:t>四）绩效指标完成情况分析</w:t>
      </w:r>
    </w:p>
    <w:p w14:paraId="11577C8A">
      <w:pPr>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1.产出指标完成情况分析</w:t>
      </w:r>
    </w:p>
    <w:p w14:paraId="384C1154">
      <w:pPr>
        <w:keepNext w:val="0"/>
        <w:keepLines w:val="0"/>
        <w:pageBreakBefore w:val="0"/>
        <w:widowControl w:val="0"/>
        <w:kinsoku/>
        <w:wordWrap/>
        <w:overflowPunct/>
        <w:topLinePunct w:val="0"/>
        <w:autoSpaceDE/>
        <w:autoSpaceDN/>
        <w:bidi w:val="0"/>
        <w:adjustRightInd/>
        <w:snapToGrid/>
        <w:spacing w:line="576" w:lineRule="exact"/>
        <w:ind w:left="0" w:leftChars="0"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rPr>
        <w:t>（1）数量指标。</w:t>
      </w:r>
      <w:r>
        <w:rPr>
          <w:rFonts w:hint="eastAsia" w:ascii="仿宋" w:hAnsi="仿宋" w:eastAsia="仿宋" w:cs="仿宋"/>
          <w:sz w:val="32"/>
          <w:szCs w:val="32"/>
          <w:lang w:val="en-US" w:eastAsia="zh-CN"/>
        </w:rPr>
        <w:t>2025年</w:t>
      </w:r>
      <w:r>
        <w:rPr>
          <w:rFonts w:hint="default" w:ascii="Times New Roman" w:hAnsi="Times New Roman" w:eastAsia="方正仿宋_GBK" w:cs="Times New Roman"/>
          <w:sz w:val="32"/>
          <w:szCs w:val="32"/>
        </w:rPr>
        <w:t>全年共受理各类案件1069件，审执结1029件，审执结率96.26%，审判执行质效持续走在全州法院前列。</w:t>
      </w:r>
    </w:p>
    <w:p w14:paraId="56F2E0AF">
      <w:pPr>
        <w:keepNext w:val="0"/>
        <w:keepLines w:val="0"/>
        <w:pageBreakBefore w:val="0"/>
        <w:widowControl/>
        <w:suppressLineNumbers w:val="0"/>
        <w:kinsoku/>
        <w:wordWrap/>
        <w:topLinePunct w:val="0"/>
        <w:autoSpaceDE/>
        <w:autoSpaceDN/>
        <w:bidi w:val="0"/>
        <w:adjustRightInd/>
        <w:snapToGrid/>
        <w:spacing w:line="576"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（2）社会效益指标。</w:t>
      </w:r>
      <w:r>
        <w:rPr>
          <w:rFonts w:hint="eastAsia" w:ascii="仿宋" w:hAnsi="仿宋" w:eastAsia="仿宋" w:cs="仿宋"/>
          <w:color w:val="auto"/>
          <w:kern w:val="2"/>
          <w:sz w:val="32"/>
          <w:szCs w:val="32"/>
          <w:lang w:val="en-US" w:eastAsia="zh-CN" w:bidi="ar-SA"/>
        </w:rPr>
        <w:t>坚持以高质量党建引领保障高质量发展，</w:t>
      </w:r>
      <w:r>
        <w:rPr>
          <w:rFonts w:hint="eastAsia" w:ascii="仿宋" w:hAnsi="仿宋" w:eastAsia="仿宋" w:cs="仿宋"/>
          <w:b w:val="0"/>
          <w:bCs w:val="0"/>
          <w:color w:val="auto"/>
          <w:sz w:val="32"/>
          <w:szCs w:val="32"/>
          <w:lang w:val="en-US" w:eastAsia="zh-CN"/>
        </w:rPr>
        <w:t>打造“公正之盾铸党魂”党建品牌，</w:t>
      </w:r>
      <w:r>
        <w:rPr>
          <w:rFonts w:hint="eastAsia" w:ascii="仿宋" w:hAnsi="仿宋" w:eastAsia="仿宋" w:cs="仿宋"/>
          <w:b w:val="0"/>
          <w:bCs w:val="0"/>
          <w:color w:val="auto"/>
          <w:kern w:val="2"/>
          <w:sz w:val="32"/>
          <w:szCs w:val="32"/>
          <w:lang w:val="en-US" w:eastAsia="zh-CN" w:bidi="ar-SA"/>
        </w:rPr>
        <w:t>严格党的组织生活，</w:t>
      </w:r>
      <w:r>
        <w:rPr>
          <w:rFonts w:hint="eastAsia" w:ascii="仿宋" w:hAnsi="仿宋" w:eastAsia="仿宋" w:cs="仿宋"/>
          <w:b w:val="0"/>
          <w:bCs/>
          <w:color w:val="auto"/>
          <w:kern w:val="0"/>
          <w:sz w:val="32"/>
          <w:szCs w:val="32"/>
          <w:lang w:val="en-US" w:eastAsia="zh-CN" w:bidi="ar"/>
        </w:rPr>
        <w:t>加强党支部建设，建强战斗堡垒，发挥党员干警先锋模范作用，在推动民族团结进步创建与全国文明城市创建交融共创中，让党旗高扬、法徽闪亮，保障司法公平公正达85%。</w:t>
      </w:r>
    </w:p>
    <w:p w14:paraId="451A5F4A">
      <w:pPr>
        <w:keepNext w:val="0"/>
        <w:keepLines w:val="0"/>
        <w:pageBreakBefore w:val="0"/>
        <w:kinsoku/>
        <w:wordWrap/>
        <w:overflowPunct/>
        <w:topLinePunct w:val="0"/>
        <w:autoSpaceDE/>
        <w:autoSpaceDN/>
        <w:bidi w:val="0"/>
        <w:adjustRightInd/>
        <w:snapToGrid/>
        <w:spacing w:line="576"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w:t>
      </w:r>
      <w:r>
        <w:rPr>
          <w:rFonts w:hint="eastAsia" w:ascii="仿宋" w:hAnsi="仿宋" w:eastAsia="仿宋" w:cs="仿宋"/>
          <w:sz w:val="32"/>
          <w:szCs w:val="32"/>
          <w:lang w:val="en-US" w:eastAsia="zh-CN"/>
        </w:rPr>
        <w:t>3</w:t>
      </w:r>
      <w:r>
        <w:rPr>
          <w:rFonts w:hint="eastAsia" w:ascii="仿宋" w:hAnsi="仿宋" w:eastAsia="仿宋" w:cs="仿宋"/>
          <w:sz w:val="32"/>
          <w:szCs w:val="32"/>
        </w:rPr>
        <w:t>）</w:t>
      </w:r>
      <w:r>
        <w:rPr>
          <w:rFonts w:hint="eastAsia" w:ascii="仿宋" w:hAnsi="仿宋" w:eastAsia="仿宋" w:cs="仿宋"/>
          <w:sz w:val="32"/>
          <w:szCs w:val="32"/>
          <w:lang w:val="en-US" w:eastAsia="zh-CN"/>
        </w:rPr>
        <w:t>服务对象满意度指标</w:t>
      </w:r>
      <w:r>
        <w:rPr>
          <w:rFonts w:hint="eastAsia" w:ascii="仿宋" w:hAnsi="仿宋" w:eastAsia="仿宋" w:cs="仿宋"/>
          <w:sz w:val="32"/>
          <w:szCs w:val="32"/>
        </w:rPr>
        <w:t>。</w:t>
      </w:r>
      <w:r>
        <w:rPr>
          <w:rFonts w:hint="default" w:ascii="Times New Roman" w:hAnsi="Times New Roman" w:eastAsia="方正仿宋_GBK" w:cs="Times New Roman"/>
          <w:sz w:val="32"/>
          <w:szCs w:val="32"/>
        </w:rPr>
        <w:t>坚持“以党建带队建促审判”工作思路，以党支部规范化、标准化建设为抓手，完成支部换届选举，为抓实机关党建工作奠定坚实组织基础。扎实开展“铸忠诚警魂·建高原铁军”教育活动，聚焦提升</w:t>
      </w:r>
      <w:r>
        <w:rPr>
          <w:rFonts w:hint="default" w:ascii="Times New Roman" w:hAnsi="Times New Roman" w:eastAsia="方正仿宋_GBK" w:cs="Times New Roman"/>
          <w:sz w:val="32"/>
          <w:szCs w:val="32"/>
          <w:lang w:val="en-US" w:eastAsia="zh-CN"/>
        </w:rPr>
        <w:t>干警履职</w:t>
      </w:r>
      <w:r>
        <w:rPr>
          <w:rFonts w:hint="default" w:ascii="Times New Roman" w:hAnsi="Times New Roman" w:eastAsia="方正仿宋_GBK" w:cs="Times New Roman"/>
          <w:sz w:val="32"/>
          <w:szCs w:val="32"/>
        </w:rPr>
        <w:t>能力，实质推动队伍技能比武、岗位练兵。积极发挥党员先锋模范和示范引领作用，设立“党员先锋岗”5个，党员干警</w:t>
      </w:r>
      <w:r>
        <w:rPr>
          <w:rFonts w:hint="eastAsia" w:ascii="Times New Roman" w:hAnsi="Times New Roman" w:eastAsia="方正仿宋_GBK" w:cs="Times New Roman"/>
          <w:sz w:val="32"/>
          <w:szCs w:val="32"/>
          <w:lang w:val="en-US" w:eastAsia="zh-CN"/>
        </w:rPr>
        <w:t>办理</w:t>
      </w:r>
      <w:r>
        <w:rPr>
          <w:rFonts w:hint="default" w:ascii="Times New Roman" w:hAnsi="Times New Roman" w:eastAsia="方正仿宋_GBK" w:cs="Times New Roman"/>
          <w:sz w:val="32"/>
          <w:szCs w:val="32"/>
        </w:rPr>
        <w:t>疑难复杂案件占比80%。</w:t>
      </w:r>
      <w:r>
        <w:rPr>
          <w:rFonts w:hint="default" w:ascii="Times New Roman" w:hAnsi="Times New Roman" w:eastAsia="方正仿宋_GBK" w:cs="Times New Roman"/>
          <w:sz w:val="32"/>
          <w:szCs w:val="40"/>
        </w:rPr>
        <w:t>与九寨</w:t>
      </w:r>
      <w:r>
        <w:rPr>
          <w:rFonts w:hint="eastAsia" w:ascii="Times New Roman" w:hAnsi="Times New Roman" w:eastAsia="方正仿宋_GBK" w:cs="Times New Roman"/>
          <w:sz w:val="32"/>
          <w:szCs w:val="40"/>
          <w:lang w:val="en-US" w:eastAsia="zh-CN"/>
        </w:rPr>
        <w:t>沟</w:t>
      </w:r>
      <w:r>
        <w:rPr>
          <w:rFonts w:hint="default" w:ascii="Times New Roman" w:hAnsi="Times New Roman" w:eastAsia="方正仿宋_GBK" w:cs="Times New Roman"/>
          <w:sz w:val="32"/>
          <w:szCs w:val="40"/>
        </w:rPr>
        <w:t>青苗党支部构建常态化联动机制，接收省级选调生到院实践锻炼，以“互帮共促+轮岗实训+一线攻坚”的模式，为推动审执工作提供新鲜血液和创新思维。</w:t>
      </w:r>
      <w:r>
        <w:rPr>
          <w:rFonts w:hint="eastAsia" w:ascii="仿宋" w:hAnsi="仿宋" w:eastAsia="仿宋" w:cs="仿宋"/>
          <w:sz w:val="32"/>
          <w:szCs w:val="32"/>
          <w:lang w:val="en-US" w:eastAsia="zh-CN"/>
        </w:rPr>
        <w:t>社会满意度测评-总体满意度达到90%。</w:t>
      </w:r>
    </w:p>
    <w:p w14:paraId="6CD8AA71">
      <w:pPr>
        <w:keepNext w:val="0"/>
        <w:keepLines w:val="0"/>
        <w:pageBreakBefore w:val="0"/>
        <w:widowControl w:val="0"/>
        <w:kinsoku/>
        <w:wordWrap/>
        <w:overflowPunct/>
        <w:topLinePunct w:val="0"/>
        <w:autoSpaceDE/>
        <w:autoSpaceDN/>
        <w:bidi w:val="0"/>
        <w:adjustRightInd/>
        <w:snapToGrid w:val="0"/>
        <w:spacing w:line="580" w:lineRule="exact"/>
        <w:ind w:firstLine="640" w:firstLineChars="200"/>
        <w:textAlignment w:val="auto"/>
        <w:rPr>
          <w:rFonts w:hint="eastAsia" w:ascii="黑体" w:hAnsi="黑体" w:eastAsia="黑体" w:cs="黑体"/>
          <w:sz w:val="32"/>
          <w:szCs w:val="32"/>
        </w:rPr>
      </w:pPr>
      <w:r>
        <w:rPr>
          <w:rFonts w:hint="eastAsia" w:ascii="黑体" w:hAnsi="黑体" w:eastAsia="黑体" w:cs="黑体"/>
          <w:bCs/>
          <w:sz w:val="32"/>
          <w:szCs w:val="32"/>
        </w:rPr>
        <w:t>三、偏离绩效目标的原因和下一步改进措施</w:t>
      </w:r>
    </w:p>
    <w:p w14:paraId="0A93B303">
      <w:p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2025年较好完成绩效目标任务。在今后的工作中进一步加强部门预算管理意识，加强预算的控制力，细化预算编制工作，严格遵守预算编制的相关制度和要求。根据单位的年度工作重点和项目专项工作规划，本着“厉行节约、保障运转”的原则进行单位预算编制。更加合理安排计划使用好资金。</w:t>
      </w:r>
    </w:p>
    <w:p w14:paraId="7BFD5BDD">
      <w:pPr>
        <w:keepNext w:val="0"/>
        <w:keepLines w:val="0"/>
        <w:pageBreakBefore w:val="0"/>
        <w:widowControl w:val="0"/>
        <w:kinsoku/>
        <w:wordWrap/>
        <w:overflowPunct/>
        <w:topLinePunct w:val="0"/>
        <w:autoSpaceDE/>
        <w:autoSpaceDN/>
        <w:bidi w:val="0"/>
        <w:adjustRightInd/>
        <w:snapToGrid w:val="0"/>
        <w:spacing w:line="580" w:lineRule="exact"/>
        <w:ind w:firstLine="640" w:firstLineChars="200"/>
        <w:textAlignment w:val="auto"/>
        <w:rPr>
          <w:rFonts w:hint="eastAsia" w:ascii="黑体" w:hAnsi="黑体" w:eastAsia="黑体" w:cs="黑体"/>
          <w:bCs/>
          <w:sz w:val="32"/>
          <w:szCs w:val="32"/>
        </w:rPr>
      </w:pPr>
      <w:r>
        <w:rPr>
          <w:rFonts w:hint="eastAsia" w:ascii="黑体" w:hAnsi="黑体" w:eastAsia="黑体" w:cs="黑体"/>
          <w:bCs/>
          <w:sz w:val="32"/>
          <w:szCs w:val="32"/>
          <w:lang w:val="en-US" w:eastAsia="zh-CN"/>
        </w:rPr>
        <w:t>四、</w:t>
      </w:r>
      <w:r>
        <w:rPr>
          <w:rFonts w:hint="eastAsia" w:ascii="黑体" w:hAnsi="黑体" w:eastAsia="黑体" w:cs="黑体"/>
          <w:bCs/>
          <w:sz w:val="32"/>
          <w:szCs w:val="32"/>
        </w:rPr>
        <w:t>绩效自评结果拟应用和公开情况</w:t>
      </w:r>
    </w:p>
    <w:p w14:paraId="41E493C1">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九寨沟县人民法院2025年中央和省政法转移支付资金项目总体实施情况良好，项目绩效目标申报依据充分、程序规范，绩效目标合理、明确，资金使用规范合理，制度执行有效；保质保量完成设备购置和维修维护任务，在提高办案质量和效率、保障业务技术装备等方面发挥效益良好。该项目绩效自评得分为：98分，等级“优”。</w:t>
      </w:r>
      <w:r>
        <w:rPr>
          <w:rFonts w:hint="eastAsia" w:ascii="仿宋" w:hAnsi="仿宋" w:eastAsia="仿宋" w:cs="仿宋"/>
          <w:i w:val="0"/>
          <w:caps w:val="0"/>
          <w:color w:val="000000"/>
          <w:spacing w:val="0"/>
          <w:kern w:val="0"/>
          <w:sz w:val="32"/>
          <w:szCs w:val="32"/>
          <w:shd w:val="clear" w:fill="FFFFFF"/>
          <w:lang w:val="en-US" w:eastAsia="zh-CN" w:bidi="ar"/>
        </w:rPr>
        <w:t>绩效评价结果按照相关规定和要求，及时在单位门户网站上公开。</w:t>
      </w:r>
    </w:p>
    <w:p w14:paraId="0B7C3B63">
      <w:pPr>
        <w:keepNext w:val="0"/>
        <w:keepLines w:val="0"/>
        <w:pageBreakBefore w:val="0"/>
        <w:widowControl w:val="0"/>
        <w:kinsoku/>
        <w:wordWrap/>
        <w:overflowPunct/>
        <w:topLinePunct w:val="0"/>
        <w:autoSpaceDE/>
        <w:autoSpaceDN/>
        <w:bidi w:val="0"/>
        <w:adjustRightInd/>
        <w:snapToGrid w:val="0"/>
        <w:spacing w:line="580" w:lineRule="exact"/>
        <w:ind w:firstLine="640" w:firstLineChars="200"/>
        <w:textAlignment w:val="auto"/>
        <w:rPr>
          <w:rFonts w:hint="eastAsia" w:ascii="黑体" w:hAnsi="黑体" w:eastAsia="黑体" w:cs="黑体"/>
          <w:bCs/>
          <w:sz w:val="32"/>
          <w:szCs w:val="32"/>
        </w:rPr>
      </w:pPr>
      <w:r>
        <w:rPr>
          <w:rFonts w:hint="eastAsia" w:ascii="黑体" w:hAnsi="黑体" w:eastAsia="黑体" w:cs="黑体"/>
          <w:bCs/>
          <w:sz w:val="32"/>
          <w:szCs w:val="32"/>
        </w:rPr>
        <w:t>五、其他需要说明的问题</w:t>
      </w:r>
    </w:p>
    <w:p w14:paraId="5DA9F5B8">
      <w:pPr>
        <w:keepNext w:val="0"/>
        <w:keepLines w:val="0"/>
        <w:pageBreakBefore w:val="0"/>
        <w:widowControl w:val="0"/>
        <w:kinsoku/>
        <w:wordWrap/>
        <w:overflowPunct/>
        <w:topLinePunct w:val="0"/>
        <w:autoSpaceDE/>
        <w:autoSpaceDN/>
        <w:bidi w:val="0"/>
        <w:adjustRightInd/>
        <w:snapToGrid w:val="0"/>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无</w:t>
      </w:r>
      <w:r>
        <w:rPr>
          <w:rFonts w:hint="eastAsia" w:ascii="仿宋" w:hAnsi="仿宋" w:eastAsia="仿宋" w:cs="仿宋"/>
          <w:sz w:val="32"/>
          <w:szCs w:val="32"/>
        </w:rPr>
        <w:t>。</w:t>
      </w:r>
    </w:p>
    <w:p w14:paraId="208C3758">
      <w:pPr>
        <w:spacing w:line="580" w:lineRule="exact"/>
        <w:ind w:firstLine="640" w:firstLineChars="200"/>
        <w:rPr>
          <w:rFonts w:ascii="仿宋_GB2312" w:hAnsi="仿宋_GB2312" w:eastAsia="仿宋_GB2312" w:cs="仿宋_GB2312"/>
          <w:sz w:val="32"/>
          <w:szCs w:val="32"/>
        </w:rPr>
      </w:pPr>
    </w:p>
    <w:p w14:paraId="3E80EEE7">
      <w:pPr>
        <w:ind w:firstLine="420" w:firstLineChars="200"/>
        <w:jc w:val="right"/>
        <w:rPr>
          <w:rFonts w:hint="eastAsia"/>
          <w:lang w:val="en-US" w:eastAsia="zh-CN"/>
        </w:rPr>
      </w:pPr>
    </w:p>
    <w:p w14:paraId="2629EE0C">
      <w:pPr>
        <w:pStyle w:val="2"/>
        <w:rPr>
          <w:rFonts w:hint="eastAsia"/>
          <w:lang w:val="en-US" w:eastAsia="zh-CN"/>
        </w:rPr>
      </w:pPr>
    </w:p>
    <w:p w14:paraId="07DEA58B">
      <w:pPr>
        <w:rPr>
          <w:rFonts w:hint="eastAsia"/>
          <w:lang w:val="en-US" w:eastAsia="zh-CN"/>
        </w:rPr>
      </w:pPr>
    </w:p>
    <w:p w14:paraId="49D1BA9E">
      <w:pPr>
        <w:pStyle w:val="2"/>
        <w:rPr>
          <w:rFonts w:hint="eastAsia"/>
          <w:lang w:val="en-US" w:eastAsia="zh-CN"/>
        </w:rPr>
      </w:pPr>
    </w:p>
    <w:p w14:paraId="798EAD1E">
      <w:pPr>
        <w:rPr>
          <w:rFonts w:hint="eastAsia"/>
          <w:lang w:val="en-US" w:eastAsia="zh-CN"/>
        </w:rPr>
      </w:pPr>
    </w:p>
    <w:p w14:paraId="024BB831">
      <w:pPr>
        <w:pStyle w:val="2"/>
        <w:rPr>
          <w:rFonts w:hint="eastAsia"/>
          <w:lang w:val="en-US" w:eastAsia="zh-CN"/>
        </w:rPr>
      </w:pPr>
    </w:p>
    <w:p w14:paraId="74139A59">
      <w:pPr>
        <w:rPr>
          <w:rFonts w:hint="eastAsia"/>
          <w:lang w:val="en-US" w:eastAsia="zh-CN"/>
        </w:rPr>
      </w:pPr>
    </w:p>
    <w:p w14:paraId="3F9939DD">
      <w:pPr>
        <w:pStyle w:val="2"/>
        <w:rPr>
          <w:rFonts w:hint="eastAsia"/>
          <w:lang w:val="en-US" w:eastAsia="zh-CN"/>
        </w:rPr>
      </w:pPr>
    </w:p>
    <w:p w14:paraId="6F223820">
      <w:pPr>
        <w:rPr>
          <w:rFonts w:hint="eastAsia"/>
          <w:lang w:val="en-US" w:eastAsia="zh-CN"/>
        </w:rPr>
      </w:pPr>
    </w:p>
    <w:p w14:paraId="7F86E1DD">
      <w:pPr>
        <w:pStyle w:val="2"/>
        <w:rPr>
          <w:rFonts w:hint="eastAsia"/>
          <w:lang w:val="en-US" w:eastAsia="zh-CN"/>
        </w:rPr>
      </w:pPr>
    </w:p>
    <w:p w14:paraId="1E770FBE">
      <w:pPr>
        <w:rPr>
          <w:rFonts w:hint="eastAsia"/>
          <w:lang w:val="en-US" w:eastAsia="zh-CN"/>
        </w:rPr>
      </w:pPr>
    </w:p>
    <w:p w14:paraId="09964C5B">
      <w:pPr>
        <w:pStyle w:val="2"/>
        <w:rPr>
          <w:rFonts w:hint="eastAsia"/>
          <w:lang w:val="en-US" w:eastAsia="zh-CN"/>
        </w:rPr>
      </w:pPr>
    </w:p>
    <w:p w14:paraId="5AB58519">
      <w:pPr>
        <w:ind w:firstLine="420" w:firstLineChars="200"/>
        <w:jc w:val="right"/>
        <w:rPr>
          <w:rFonts w:hint="eastAsia"/>
          <w:lang w:val="en-US" w:eastAsia="zh-CN"/>
        </w:rPr>
      </w:pPr>
    </w:p>
    <w:p w14:paraId="3E7D0267">
      <w:pPr>
        <w:spacing w:line="580" w:lineRule="exact"/>
        <w:rPr>
          <w:rFonts w:ascii="仿宋_GB2312" w:hAnsi="仿宋_GB2312" w:eastAsia="仿宋_GB2312" w:cs="仿宋_GB2312"/>
          <w:sz w:val="32"/>
          <w:szCs w:val="32"/>
        </w:rPr>
      </w:pPr>
    </w:p>
    <w:p w14:paraId="729A671A">
      <w:pPr>
        <w:widowControl/>
        <w:jc w:val="left"/>
        <w:rPr>
          <w:rStyle w:val="25"/>
          <w:rFonts w:ascii="黑体" w:hAnsi="黑体" w:eastAsia="黑体"/>
          <w:b w:val="0"/>
        </w:rPr>
      </w:pPr>
    </w:p>
    <w:p w14:paraId="3461DC56">
      <w:pPr>
        <w:spacing w:line="600" w:lineRule="exact"/>
        <w:jc w:val="center"/>
        <w:outlineLvl w:val="0"/>
        <w:rPr>
          <w:rStyle w:val="25"/>
          <w:rFonts w:ascii="黑体" w:hAnsi="黑体" w:eastAsia="黑体"/>
          <w:b w:val="0"/>
        </w:rPr>
      </w:pPr>
      <w:bookmarkStart w:id="106" w:name="_Toc79163885"/>
      <w:bookmarkStart w:id="107" w:name="_Toc79163635"/>
      <w:bookmarkStart w:id="108" w:name="_Toc15396618"/>
      <w:r>
        <w:rPr>
          <w:rFonts w:hint="eastAsia" w:ascii="黑体" w:hAnsi="黑体" w:eastAsia="黑体"/>
          <w:color w:val="000000"/>
          <w:sz w:val="44"/>
          <w:szCs w:val="44"/>
        </w:rPr>
        <w:t>第</w:t>
      </w:r>
      <w:r>
        <w:rPr>
          <w:rStyle w:val="25"/>
          <w:rFonts w:hint="eastAsia" w:ascii="黑体" w:hAnsi="黑体" w:eastAsia="黑体"/>
          <w:b w:val="0"/>
        </w:rPr>
        <w:t>五部分</w:t>
      </w:r>
      <w:r>
        <w:rPr>
          <w:rStyle w:val="25"/>
          <w:rFonts w:ascii="黑体" w:hAnsi="黑体" w:eastAsia="黑体"/>
          <w:b w:val="0"/>
        </w:rPr>
        <w:t xml:space="preserve"> </w:t>
      </w:r>
      <w:r>
        <w:rPr>
          <w:rStyle w:val="25"/>
          <w:rFonts w:hint="eastAsia" w:ascii="黑体" w:hAnsi="黑体" w:eastAsia="黑体"/>
          <w:b w:val="0"/>
        </w:rPr>
        <w:t>附表</w:t>
      </w:r>
      <w:bookmarkEnd w:id="97"/>
      <w:bookmarkEnd w:id="106"/>
      <w:bookmarkEnd w:id="107"/>
      <w:bookmarkEnd w:id="108"/>
    </w:p>
    <w:p w14:paraId="3B35E3A6">
      <w:pPr>
        <w:pStyle w:val="5"/>
        <w:keepNext/>
        <w:keepLines/>
        <w:pageBreakBefore w:val="0"/>
        <w:widowControl w:val="0"/>
        <w:kinsoku/>
        <w:wordWrap/>
        <w:overflowPunct/>
        <w:topLinePunct w:val="0"/>
        <w:autoSpaceDE/>
        <w:autoSpaceDN/>
        <w:bidi w:val="0"/>
        <w:adjustRightInd/>
        <w:snapToGrid/>
        <w:spacing w:line="560" w:lineRule="exact"/>
        <w:textAlignment w:val="auto"/>
        <w:rPr>
          <w:rFonts w:ascii="仿宋" w:hAnsi="仿宋" w:eastAsia="仿宋"/>
          <w:color w:val="000000"/>
        </w:rPr>
      </w:pPr>
      <w:bookmarkStart w:id="109" w:name="_Toc79163636"/>
      <w:bookmarkStart w:id="110" w:name="_Toc15396619"/>
      <w:bookmarkStart w:id="111" w:name="_Toc79163886"/>
      <w:r>
        <w:rPr>
          <w:rFonts w:hint="eastAsia" w:ascii="仿宋" w:hAnsi="仿宋" w:eastAsia="仿宋"/>
          <w:b w:val="0"/>
          <w:color w:val="000000"/>
        </w:rPr>
        <w:t>一、收</w:t>
      </w:r>
      <w:r>
        <w:rPr>
          <w:rStyle w:val="26"/>
          <w:rFonts w:hint="eastAsia" w:ascii="仿宋" w:hAnsi="仿宋" w:eastAsia="仿宋"/>
          <w:b w:val="0"/>
          <w:bCs w:val="0"/>
        </w:rPr>
        <w:t>入支出决算总表</w:t>
      </w:r>
      <w:bookmarkEnd w:id="109"/>
      <w:bookmarkEnd w:id="110"/>
      <w:bookmarkEnd w:id="111"/>
    </w:p>
    <w:p w14:paraId="152C50A8">
      <w:pPr>
        <w:pStyle w:val="5"/>
        <w:keepNext/>
        <w:keepLines/>
        <w:pageBreakBefore w:val="0"/>
        <w:widowControl w:val="0"/>
        <w:kinsoku/>
        <w:wordWrap/>
        <w:overflowPunct/>
        <w:topLinePunct w:val="0"/>
        <w:autoSpaceDE/>
        <w:autoSpaceDN/>
        <w:bidi w:val="0"/>
        <w:adjustRightInd/>
        <w:snapToGrid/>
        <w:spacing w:line="560" w:lineRule="exact"/>
        <w:textAlignment w:val="auto"/>
        <w:rPr>
          <w:rFonts w:ascii="仿宋" w:hAnsi="仿宋" w:eastAsia="仿宋"/>
          <w:color w:val="000000"/>
        </w:rPr>
      </w:pPr>
      <w:bookmarkStart w:id="112" w:name="_Toc79163887"/>
      <w:bookmarkStart w:id="113" w:name="_Toc79163637"/>
      <w:bookmarkStart w:id="114" w:name="_Toc15396620"/>
      <w:r>
        <w:rPr>
          <w:rFonts w:hint="eastAsia" w:ascii="仿宋" w:hAnsi="仿宋" w:eastAsia="仿宋"/>
          <w:b w:val="0"/>
          <w:color w:val="000000"/>
        </w:rPr>
        <w:t>二、收</w:t>
      </w:r>
      <w:r>
        <w:rPr>
          <w:rStyle w:val="26"/>
          <w:rFonts w:hint="eastAsia" w:ascii="仿宋" w:hAnsi="仿宋" w:eastAsia="仿宋"/>
          <w:b w:val="0"/>
          <w:bCs w:val="0"/>
        </w:rPr>
        <w:t>入决算表</w:t>
      </w:r>
      <w:bookmarkEnd w:id="112"/>
      <w:bookmarkEnd w:id="113"/>
      <w:bookmarkEnd w:id="114"/>
    </w:p>
    <w:p w14:paraId="1530A260">
      <w:pPr>
        <w:pStyle w:val="5"/>
        <w:keepNext/>
        <w:keepLines/>
        <w:pageBreakBefore w:val="0"/>
        <w:widowControl w:val="0"/>
        <w:kinsoku/>
        <w:wordWrap/>
        <w:overflowPunct/>
        <w:topLinePunct w:val="0"/>
        <w:autoSpaceDE/>
        <w:autoSpaceDN/>
        <w:bidi w:val="0"/>
        <w:adjustRightInd/>
        <w:snapToGrid/>
        <w:spacing w:line="560" w:lineRule="exact"/>
        <w:textAlignment w:val="auto"/>
        <w:rPr>
          <w:rFonts w:ascii="仿宋" w:hAnsi="仿宋" w:eastAsia="仿宋"/>
          <w:color w:val="000000"/>
        </w:rPr>
      </w:pPr>
      <w:bookmarkStart w:id="115" w:name="_Toc15396621"/>
      <w:bookmarkStart w:id="116" w:name="_Toc79163888"/>
      <w:bookmarkStart w:id="117" w:name="_Toc79163638"/>
      <w:r>
        <w:rPr>
          <w:rStyle w:val="26"/>
          <w:rFonts w:hint="eastAsia" w:ascii="仿宋" w:hAnsi="仿宋" w:eastAsia="仿宋"/>
          <w:b w:val="0"/>
          <w:bCs w:val="0"/>
        </w:rPr>
        <w:t>三、</w:t>
      </w:r>
      <w:r>
        <w:rPr>
          <w:rFonts w:hint="eastAsia" w:ascii="仿宋" w:hAnsi="仿宋" w:eastAsia="仿宋"/>
          <w:b w:val="0"/>
          <w:color w:val="000000"/>
        </w:rPr>
        <w:t>支</w:t>
      </w:r>
      <w:r>
        <w:rPr>
          <w:rStyle w:val="26"/>
          <w:rFonts w:hint="eastAsia" w:ascii="仿宋" w:hAnsi="仿宋" w:eastAsia="仿宋"/>
          <w:b w:val="0"/>
          <w:bCs w:val="0"/>
        </w:rPr>
        <w:t>出决算表</w:t>
      </w:r>
      <w:bookmarkEnd w:id="115"/>
      <w:bookmarkEnd w:id="116"/>
      <w:bookmarkEnd w:id="117"/>
    </w:p>
    <w:p w14:paraId="1CB59285">
      <w:pPr>
        <w:pStyle w:val="5"/>
        <w:keepNext/>
        <w:keepLines/>
        <w:pageBreakBefore w:val="0"/>
        <w:widowControl w:val="0"/>
        <w:kinsoku/>
        <w:wordWrap/>
        <w:overflowPunct/>
        <w:topLinePunct w:val="0"/>
        <w:autoSpaceDE/>
        <w:autoSpaceDN/>
        <w:bidi w:val="0"/>
        <w:adjustRightInd/>
        <w:snapToGrid/>
        <w:spacing w:line="560" w:lineRule="exact"/>
        <w:textAlignment w:val="auto"/>
        <w:rPr>
          <w:rFonts w:ascii="仿宋" w:hAnsi="仿宋" w:eastAsia="仿宋"/>
          <w:b w:val="0"/>
          <w:color w:val="000000"/>
        </w:rPr>
      </w:pPr>
      <w:bookmarkStart w:id="118" w:name="_Toc15396622"/>
      <w:bookmarkStart w:id="119" w:name="_Toc79163639"/>
      <w:bookmarkStart w:id="120" w:name="_Toc79163889"/>
      <w:r>
        <w:rPr>
          <w:rStyle w:val="26"/>
          <w:rFonts w:hint="eastAsia" w:ascii="仿宋" w:hAnsi="仿宋" w:eastAsia="仿宋"/>
          <w:b w:val="0"/>
          <w:bCs w:val="0"/>
        </w:rPr>
        <w:t>四、</w:t>
      </w:r>
      <w:r>
        <w:rPr>
          <w:rFonts w:hint="eastAsia" w:ascii="仿宋" w:hAnsi="仿宋" w:eastAsia="仿宋"/>
          <w:b w:val="0"/>
          <w:color w:val="000000"/>
        </w:rPr>
        <w:t>财</w:t>
      </w:r>
      <w:r>
        <w:rPr>
          <w:rStyle w:val="26"/>
          <w:rFonts w:hint="eastAsia" w:ascii="仿宋" w:hAnsi="仿宋" w:eastAsia="仿宋"/>
          <w:b w:val="0"/>
          <w:bCs w:val="0"/>
        </w:rPr>
        <w:t>政拨款收入支出决算总表</w:t>
      </w:r>
      <w:bookmarkEnd w:id="118"/>
      <w:bookmarkEnd w:id="119"/>
      <w:bookmarkEnd w:id="120"/>
    </w:p>
    <w:p w14:paraId="291ED140">
      <w:pPr>
        <w:pStyle w:val="5"/>
        <w:keepNext/>
        <w:keepLines/>
        <w:pageBreakBefore w:val="0"/>
        <w:widowControl w:val="0"/>
        <w:kinsoku/>
        <w:wordWrap/>
        <w:overflowPunct/>
        <w:topLinePunct w:val="0"/>
        <w:autoSpaceDE/>
        <w:autoSpaceDN/>
        <w:bidi w:val="0"/>
        <w:adjustRightInd/>
        <w:snapToGrid/>
        <w:spacing w:line="560" w:lineRule="exact"/>
        <w:textAlignment w:val="auto"/>
        <w:rPr>
          <w:rStyle w:val="26"/>
          <w:rFonts w:ascii="仿宋" w:hAnsi="仿宋" w:eastAsia="仿宋"/>
          <w:b w:val="0"/>
          <w:bCs w:val="0"/>
        </w:rPr>
      </w:pPr>
      <w:bookmarkStart w:id="121" w:name="_Toc79163890"/>
      <w:bookmarkStart w:id="122" w:name="_Toc79163640"/>
      <w:bookmarkStart w:id="123" w:name="_Toc15396623"/>
      <w:r>
        <w:rPr>
          <w:rStyle w:val="26"/>
          <w:rFonts w:hint="eastAsia" w:ascii="仿宋" w:hAnsi="仿宋" w:eastAsia="仿宋"/>
          <w:b w:val="0"/>
          <w:bCs w:val="0"/>
        </w:rPr>
        <w:t>五、</w:t>
      </w:r>
      <w:r>
        <w:rPr>
          <w:rFonts w:hint="eastAsia" w:ascii="仿宋" w:hAnsi="仿宋" w:eastAsia="仿宋"/>
          <w:b w:val="0"/>
          <w:color w:val="000000"/>
        </w:rPr>
        <w:t>财</w:t>
      </w:r>
      <w:r>
        <w:rPr>
          <w:rStyle w:val="26"/>
          <w:rFonts w:hint="eastAsia" w:ascii="仿宋" w:hAnsi="仿宋" w:eastAsia="仿宋"/>
          <w:b w:val="0"/>
          <w:bCs w:val="0"/>
        </w:rPr>
        <w:t>政拨款支出决算明细表</w:t>
      </w:r>
      <w:bookmarkEnd w:id="121"/>
      <w:bookmarkEnd w:id="122"/>
      <w:bookmarkEnd w:id="123"/>
      <w:bookmarkStart w:id="124" w:name="_Toc15396624"/>
    </w:p>
    <w:p w14:paraId="3E8B0962">
      <w:pPr>
        <w:pStyle w:val="5"/>
        <w:keepNext/>
        <w:keepLines/>
        <w:pageBreakBefore w:val="0"/>
        <w:widowControl w:val="0"/>
        <w:kinsoku/>
        <w:wordWrap/>
        <w:overflowPunct/>
        <w:topLinePunct w:val="0"/>
        <w:autoSpaceDE/>
        <w:autoSpaceDN/>
        <w:bidi w:val="0"/>
        <w:adjustRightInd/>
        <w:snapToGrid/>
        <w:spacing w:line="560" w:lineRule="exact"/>
        <w:textAlignment w:val="auto"/>
        <w:rPr>
          <w:rFonts w:ascii="仿宋" w:hAnsi="仿宋" w:eastAsia="仿宋"/>
          <w:color w:val="000000"/>
        </w:rPr>
      </w:pPr>
      <w:bookmarkStart w:id="125" w:name="_Toc79163641"/>
      <w:bookmarkStart w:id="126" w:name="_Toc79163891"/>
      <w:r>
        <w:rPr>
          <w:rStyle w:val="26"/>
          <w:rFonts w:hint="eastAsia" w:ascii="仿宋" w:hAnsi="仿宋" w:eastAsia="仿宋"/>
          <w:b w:val="0"/>
          <w:bCs w:val="0"/>
        </w:rPr>
        <w:t>六、</w:t>
      </w:r>
      <w:r>
        <w:rPr>
          <w:rFonts w:hint="eastAsia" w:ascii="仿宋" w:hAnsi="仿宋" w:eastAsia="仿宋"/>
          <w:b w:val="0"/>
          <w:color w:val="000000"/>
        </w:rPr>
        <w:t>一</w:t>
      </w:r>
      <w:r>
        <w:rPr>
          <w:rStyle w:val="26"/>
          <w:rFonts w:hint="eastAsia" w:ascii="仿宋" w:hAnsi="仿宋" w:eastAsia="仿宋"/>
          <w:b w:val="0"/>
          <w:bCs w:val="0"/>
        </w:rPr>
        <w:t>般公共预算财政拨款支出决算表</w:t>
      </w:r>
      <w:bookmarkEnd w:id="124"/>
      <w:bookmarkEnd w:id="125"/>
      <w:bookmarkEnd w:id="126"/>
    </w:p>
    <w:p w14:paraId="35204BA6">
      <w:pPr>
        <w:pStyle w:val="5"/>
        <w:keepNext/>
        <w:keepLines/>
        <w:pageBreakBefore w:val="0"/>
        <w:widowControl w:val="0"/>
        <w:kinsoku/>
        <w:wordWrap/>
        <w:overflowPunct/>
        <w:topLinePunct w:val="0"/>
        <w:autoSpaceDE/>
        <w:autoSpaceDN/>
        <w:bidi w:val="0"/>
        <w:adjustRightInd/>
        <w:snapToGrid/>
        <w:spacing w:line="560" w:lineRule="exact"/>
        <w:textAlignment w:val="auto"/>
        <w:rPr>
          <w:rFonts w:ascii="仿宋" w:hAnsi="仿宋" w:eastAsia="仿宋"/>
          <w:color w:val="000000"/>
        </w:rPr>
      </w:pPr>
      <w:bookmarkStart w:id="127" w:name="_Toc79163642"/>
      <w:bookmarkStart w:id="128" w:name="_Toc15396625"/>
      <w:bookmarkStart w:id="129" w:name="_Toc79163892"/>
      <w:r>
        <w:rPr>
          <w:rStyle w:val="26"/>
          <w:rFonts w:hint="eastAsia" w:ascii="仿宋" w:hAnsi="仿宋" w:eastAsia="仿宋"/>
          <w:b w:val="0"/>
          <w:bCs w:val="0"/>
        </w:rPr>
        <w:t>七、</w:t>
      </w:r>
      <w:r>
        <w:rPr>
          <w:rFonts w:hint="eastAsia" w:ascii="仿宋" w:hAnsi="仿宋" w:eastAsia="仿宋"/>
          <w:b w:val="0"/>
          <w:color w:val="000000"/>
        </w:rPr>
        <w:t>一</w:t>
      </w:r>
      <w:r>
        <w:rPr>
          <w:rStyle w:val="26"/>
          <w:rFonts w:hint="eastAsia" w:ascii="仿宋" w:hAnsi="仿宋" w:eastAsia="仿宋"/>
          <w:b w:val="0"/>
          <w:bCs w:val="0"/>
        </w:rPr>
        <w:t>般公共预算财政拨款支出决算明细表</w:t>
      </w:r>
      <w:bookmarkEnd w:id="127"/>
      <w:bookmarkEnd w:id="128"/>
      <w:bookmarkEnd w:id="129"/>
    </w:p>
    <w:p w14:paraId="6D465E50">
      <w:pPr>
        <w:pStyle w:val="5"/>
        <w:keepNext/>
        <w:keepLines/>
        <w:pageBreakBefore w:val="0"/>
        <w:widowControl w:val="0"/>
        <w:kinsoku/>
        <w:wordWrap/>
        <w:overflowPunct/>
        <w:topLinePunct w:val="0"/>
        <w:autoSpaceDE/>
        <w:autoSpaceDN/>
        <w:bidi w:val="0"/>
        <w:adjustRightInd/>
        <w:snapToGrid/>
        <w:spacing w:line="560" w:lineRule="exact"/>
        <w:textAlignment w:val="auto"/>
        <w:rPr>
          <w:rFonts w:ascii="仿宋" w:hAnsi="仿宋" w:eastAsia="仿宋"/>
          <w:color w:val="000000"/>
        </w:rPr>
      </w:pPr>
      <w:bookmarkStart w:id="130" w:name="_Toc15396626"/>
      <w:bookmarkStart w:id="131" w:name="_Toc79163893"/>
      <w:bookmarkStart w:id="132" w:name="_Toc79163643"/>
      <w:r>
        <w:rPr>
          <w:rStyle w:val="26"/>
          <w:rFonts w:hint="eastAsia" w:ascii="仿宋" w:hAnsi="仿宋" w:eastAsia="仿宋"/>
          <w:b w:val="0"/>
          <w:bCs w:val="0"/>
        </w:rPr>
        <w:t>八、</w:t>
      </w:r>
      <w:r>
        <w:rPr>
          <w:rFonts w:hint="eastAsia" w:ascii="仿宋" w:hAnsi="仿宋" w:eastAsia="仿宋"/>
          <w:b w:val="0"/>
          <w:color w:val="000000"/>
        </w:rPr>
        <w:t>一</w:t>
      </w:r>
      <w:r>
        <w:rPr>
          <w:rStyle w:val="26"/>
          <w:rFonts w:hint="eastAsia" w:ascii="仿宋" w:hAnsi="仿宋" w:eastAsia="仿宋"/>
          <w:b w:val="0"/>
          <w:bCs w:val="0"/>
        </w:rPr>
        <w:t>般公共预算财政拨款基本支出决算表</w:t>
      </w:r>
      <w:bookmarkEnd w:id="130"/>
      <w:bookmarkEnd w:id="131"/>
      <w:bookmarkEnd w:id="132"/>
    </w:p>
    <w:p w14:paraId="7C748C10">
      <w:pPr>
        <w:pStyle w:val="5"/>
        <w:keepNext/>
        <w:keepLines/>
        <w:pageBreakBefore w:val="0"/>
        <w:widowControl w:val="0"/>
        <w:kinsoku/>
        <w:wordWrap/>
        <w:overflowPunct/>
        <w:topLinePunct w:val="0"/>
        <w:autoSpaceDE/>
        <w:autoSpaceDN/>
        <w:bidi w:val="0"/>
        <w:adjustRightInd/>
        <w:snapToGrid/>
        <w:spacing w:line="560" w:lineRule="exact"/>
        <w:textAlignment w:val="auto"/>
        <w:rPr>
          <w:rFonts w:ascii="仿宋" w:hAnsi="仿宋" w:eastAsia="仿宋"/>
          <w:color w:val="000000"/>
        </w:rPr>
      </w:pPr>
      <w:bookmarkStart w:id="133" w:name="_Toc79163644"/>
      <w:bookmarkStart w:id="134" w:name="_Toc15396627"/>
      <w:bookmarkStart w:id="135" w:name="_Toc79163894"/>
      <w:r>
        <w:rPr>
          <w:rStyle w:val="26"/>
          <w:rFonts w:hint="eastAsia" w:ascii="仿宋" w:hAnsi="仿宋" w:eastAsia="仿宋"/>
          <w:b w:val="0"/>
          <w:bCs w:val="0"/>
        </w:rPr>
        <w:t>九、</w:t>
      </w:r>
      <w:r>
        <w:rPr>
          <w:rFonts w:hint="eastAsia" w:ascii="仿宋" w:hAnsi="仿宋" w:eastAsia="仿宋"/>
          <w:b w:val="0"/>
          <w:color w:val="000000"/>
        </w:rPr>
        <w:t>一</w:t>
      </w:r>
      <w:r>
        <w:rPr>
          <w:rStyle w:val="26"/>
          <w:rFonts w:hint="eastAsia" w:ascii="仿宋" w:hAnsi="仿宋" w:eastAsia="仿宋"/>
          <w:b w:val="0"/>
          <w:bCs w:val="0"/>
        </w:rPr>
        <w:t>般公共预算财政拨款项目支出决算表</w:t>
      </w:r>
      <w:bookmarkEnd w:id="133"/>
      <w:bookmarkEnd w:id="134"/>
      <w:bookmarkEnd w:id="135"/>
    </w:p>
    <w:p w14:paraId="1C975C48">
      <w:pPr>
        <w:pStyle w:val="5"/>
        <w:keepNext/>
        <w:keepLines/>
        <w:pageBreakBefore w:val="0"/>
        <w:widowControl w:val="0"/>
        <w:kinsoku/>
        <w:wordWrap/>
        <w:overflowPunct/>
        <w:topLinePunct w:val="0"/>
        <w:autoSpaceDE/>
        <w:autoSpaceDN/>
        <w:bidi w:val="0"/>
        <w:adjustRightInd/>
        <w:snapToGrid/>
        <w:spacing w:line="560" w:lineRule="exact"/>
        <w:textAlignment w:val="auto"/>
        <w:rPr>
          <w:rStyle w:val="26"/>
          <w:rFonts w:hint="eastAsia" w:ascii="仿宋" w:hAnsi="仿宋" w:eastAsia="仿宋"/>
          <w:b w:val="0"/>
          <w:bCs w:val="0"/>
          <w:lang w:val="en-US" w:eastAsia="zh-CN"/>
        </w:rPr>
      </w:pPr>
      <w:bookmarkStart w:id="136" w:name="_Toc15396628"/>
      <w:bookmarkStart w:id="137" w:name="_Toc79163895"/>
      <w:bookmarkStart w:id="138" w:name="_Toc79163645"/>
      <w:r>
        <w:rPr>
          <w:rStyle w:val="26"/>
          <w:rFonts w:hint="eastAsia" w:ascii="仿宋" w:hAnsi="仿宋" w:eastAsia="仿宋"/>
          <w:b w:val="0"/>
          <w:bCs w:val="0"/>
        </w:rPr>
        <w:t>十、</w:t>
      </w:r>
      <w:bookmarkEnd w:id="136"/>
      <w:bookmarkEnd w:id="137"/>
      <w:bookmarkEnd w:id="138"/>
      <w:bookmarkStart w:id="139" w:name="_Toc79163896"/>
      <w:bookmarkStart w:id="140" w:name="_Toc79163646"/>
      <w:bookmarkStart w:id="141" w:name="_Toc15396629"/>
      <w:r>
        <w:rPr>
          <w:rStyle w:val="26"/>
          <w:rFonts w:hint="eastAsia" w:ascii="仿宋" w:hAnsi="仿宋" w:eastAsia="仿宋"/>
          <w:b w:val="0"/>
          <w:bCs w:val="0"/>
          <w:lang w:val="en-US" w:eastAsia="zh-CN"/>
        </w:rPr>
        <w:t>政府性基金预算财政拨款收入支出决算表</w:t>
      </w:r>
    </w:p>
    <w:p w14:paraId="4C98DD63">
      <w:pPr>
        <w:pStyle w:val="5"/>
        <w:keepNext/>
        <w:keepLines/>
        <w:pageBreakBefore w:val="0"/>
        <w:widowControl w:val="0"/>
        <w:kinsoku/>
        <w:wordWrap/>
        <w:overflowPunct/>
        <w:topLinePunct w:val="0"/>
        <w:autoSpaceDE/>
        <w:autoSpaceDN/>
        <w:bidi w:val="0"/>
        <w:adjustRightInd/>
        <w:snapToGrid/>
        <w:spacing w:line="560" w:lineRule="exact"/>
        <w:textAlignment w:val="auto"/>
        <w:rPr>
          <w:rStyle w:val="26"/>
          <w:rFonts w:hint="eastAsia" w:ascii="仿宋" w:hAnsi="仿宋" w:eastAsia="仿宋"/>
          <w:b w:val="0"/>
          <w:bCs w:val="0"/>
        </w:rPr>
      </w:pPr>
      <w:r>
        <w:rPr>
          <w:rStyle w:val="26"/>
          <w:rFonts w:hint="eastAsia" w:ascii="仿宋" w:hAnsi="仿宋" w:eastAsia="仿宋"/>
          <w:b w:val="0"/>
          <w:bCs w:val="0"/>
        </w:rPr>
        <w:t>十一、</w:t>
      </w:r>
      <w:r>
        <w:rPr>
          <w:rFonts w:hint="eastAsia" w:ascii="仿宋" w:hAnsi="仿宋" w:eastAsia="仿宋"/>
          <w:b w:val="0"/>
          <w:color w:val="000000"/>
        </w:rPr>
        <w:t>国</w:t>
      </w:r>
      <w:r>
        <w:rPr>
          <w:rStyle w:val="26"/>
          <w:rFonts w:hint="eastAsia" w:ascii="仿宋" w:hAnsi="仿宋" w:eastAsia="仿宋"/>
          <w:b w:val="0"/>
          <w:bCs w:val="0"/>
        </w:rPr>
        <w:t>有资本经营预算财政拨款支出决算表</w:t>
      </w:r>
    </w:p>
    <w:bookmarkEnd w:id="139"/>
    <w:bookmarkEnd w:id="140"/>
    <w:bookmarkEnd w:id="141"/>
    <w:p w14:paraId="1920D8ED">
      <w:pPr>
        <w:pStyle w:val="5"/>
        <w:keepNext/>
        <w:keepLines/>
        <w:pageBreakBefore w:val="0"/>
        <w:widowControl w:val="0"/>
        <w:numPr>
          <w:ilvl w:val="0"/>
          <w:numId w:val="8"/>
        </w:numPr>
        <w:kinsoku/>
        <w:wordWrap/>
        <w:overflowPunct/>
        <w:topLinePunct w:val="0"/>
        <w:autoSpaceDE/>
        <w:autoSpaceDN/>
        <w:bidi w:val="0"/>
        <w:adjustRightInd/>
        <w:snapToGrid/>
        <w:spacing w:line="560" w:lineRule="exact"/>
        <w:textAlignment w:val="auto"/>
        <w:rPr>
          <w:rStyle w:val="26"/>
          <w:rFonts w:hint="eastAsia" w:ascii="仿宋" w:hAnsi="仿宋" w:eastAsia="仿宋"/>
          <w:b w:val="0"/>
          <w:bCs w:val="0"/>
        </w:rPr>
      </w:pPr>
      <w:bookmarkStart w:id="142" w:name="_Toc79163897"/>
      <w:bookmarkStart w:id="143" w:name="_Toc79163647"/>
      <w:bookmarkStart w:id="144" w:name="_Toc15396630"/>
      <w:r>
        <w:rPr>
          <w:rStyle w:val="26"/>
          <w:rFonts w:hint="eastAsia" w:ascii="仿宋" w:hAnsi="仿宋" w:eastAsia="仿宋"/>
          <w:b w:val="0"/>
          <w:bCs w:val="0"/>
        </w:rPr>
        <w:t>国有资本经营预算财政拨款支出决算表</w:t>
      </w:r>
      <w:bookmarkEnd w:id="142"/>
      <w:bookmarkEnd w:id="143"/>
      <w:bookmarkEnd w:id="144"/>
      <w:bookmarkStart w:id="145" w:name="_Toc15396631"/>
      <w:bookmarkStart w:id="146" w:name="_Toc79163648"/>
      <w:bookmarkStart w:id="147" w:name="_Toc79163898"/>
    </w:p>
    <w:bookmarkEnd w:id="145"/>
    <w:bookmarkEnd w:id="146"/>
    <w:bookmarkEnd w:id="147"/>
    <w:p w14:paraId="413FD313">
      <w:pPr>
        <w:pStyle w:val="5"/>
        <w:keepNext/>
        <w:keepLines/>
        <w:pageBreakBefore w:val="0"/>
        <w:widowControl w:val="0"/>
        <w:kinsoku/>
        <w:wordWrap/>
        <w:overflowPunct/>
        <w:topLinePunct w:val="0"/>
        <w:autoSpaceDE/>
        <w:autoSpaceDN/>
        <w:bidi w:val="0"/>
        <w:adjustRightInd/>
        <w:snapToGrid/>
        <w:spacing w:line="560" w:lineRule="exact"/>
        <w:textAlignment w:val="auto"/>
        <w:rPr>
          <w:rFonts w:ascii="仿宋" w:hAnsi="仿宋" w:eastAsia="仿宋"/>
          <w:color w:val="000000"/>
        </w:rPr>
      </w:pPr>
      <w:bookmarkStart w:id="148" w:name="_Toc79163649"/>
      <w:bookmarkStart w:id="149" w:name="_Toc79163899"/>
      <w:r>
        <w:rPr>
          <w:rFonts w:hint="eastAsia" w:ascii="仿宋" w:hAnsi="仿宋" w:eastAsia="仿宋"/>
          <w:b w:val="0"/>
          <w:color w:val="000000"/>
          <w:lang w:val="en-US" w:eastAsia="zh-CN"/>
        </w:rPr>
        <w:t>十三、</w:t>
      </w:r>
      <w:r>
        <w:rPr>
          <w:rFonts w:hint="eastAsia" w:ascii="仿宋" w:hAnsi="仿宋" w:eastAsia="仿宋"/>
          <w:b w:val="0"/>
          <w:color w:val="000000"/>
        </w:rPr>
        <w:t>政</w:t>
      </w:r>
      <w:r>
        <w:rPr>
          <w:rStyle w:val="26"/>
          <w:rFonts w:hint="eastAsia" w:ascii="仿宋" w:hAnsi="仿宋" w:eastAsia="仿宋"/>
          <w:b w:val="0"/>
          <w:bCs w:val="0"/>
        </w:rPr>
        <w:t>府性基金预算财政拨款“三公”经费支出决算表</w:t>
      </w:r>
    </w:p>
    <w:bookmarkEnd w:id="148"/>
    <w:bookmarkEnd w:id="149"/>
    <w:p w14:paraId="014B90ED">
      <w:pPr>
        <w:pStyle w:val="5"/>
        <w:keepNext/>
        <w:keepLines/>
        <w:pageBreakBefore w:val="0"/>
        <w:widowControl w:val="0"/>
        <w:kinsoku/>
        <w:wordWrap/>
        <w:overflowPunct/>
        <w:topLinePunct w:val="0"/>
        <w:autoSpaceDE/>
        <w:autoSpaceDN/>
        <w:bidi w:val="0"/>
        <w:adjustRightInd/>
        <w:snapToGrid/>
        <w:spacing w:line="560" w:lineRule="exact"/>
        <w:textAlignment w:val="auto"/>
        <w:rPr>
          <w:rStyle w:val="26"/>
          <w:rFonts w:ascii="仿宋" w:hAnsi="仿宋" w:eastAsia="仿宋"/>
          <w:b w:val="0"/>
          <w:bCs w:val="0"/>
        </w:rPr>
      </w:pPr>
    </w:p>
    <w:sectPr>
      <w:type w:val="continuous"/>
      <w:pgSz w:w="11906" w:h="16838"/>
      <w:pgMar w:top="2098" w:right="1474" w:bottom="1984" w:left="1587" w:header="851" w:footer="992" w:gutter="0"/>
      <w:pgNumType w:fmt="decimal"/>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C54F59E-FF64-45B8-8C64-70F91A855BE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embedRegular r:id="rId2" w:fontKey="{D7C73C91-734E-4F8C-AECB-904920936FB7}"/>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embedRegular r:id="rId3" w:fontKey="{EE451FE2-AC8A-4CCD-AA5A-85FAA567C70D}"/>
  </w:font>
  <w:font w:name="仿宋">
    <w:panose1 w:val="02010609060101010101"/>
    <w:charset w:val="86"/>
    <w:family w:val="auto"/>
    <w:pitch w:val="default"/>
    <w:sig w:usb0="800002BF" w:usb1="38CF7CFA" w:usb2="00000016" w:usb3="00000000" w:csb0="00040001" w:csb1="00000000"/>
    <w:embedRegular r:id="rId4" w:fontKey="{262DF709-B3E1-4398-9F34-7D75195488AD}"/>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embedRegular r:id="rId5" w:fontKey="{264EBF31-C0C9-4591-B105-938D4CA56DA1}"/>
  </w:font>
  <w:font w:name="方正仿宋_GBK">
    <w:panose1 w:val="02000000000000000000"/>
    <w:charset w:val="86"/>
    <w:family w:val="script"/>
    <w:pitch w:val="default"/>
    <w:sig w:usb0="A00002BF" w:usb1="38CF7CFA" w:usb2="00082016" w:usb3="00000000" w:csb0="00040001" w:csb1="00000000"/>
    <w:embedRegular r:id="rId6" w:fontKey="{750877A3-0310-4442-990F-6F0CCCB1EA6C}"/>
  </w:font>
  <w:font w:name="方正黑体_GBK">
    <w:panose1 w:val="02000000000000000000"/>
    <w:charset w:val="86"/>
    <w:family w:val="auto"/>
    <w:pitch w:val="default"/>
    <w:sig w:usb0="A00002BF" w:usb1="38CF7CFA" w:usb2="00082016" w:usb3="00000000" w:csb0="00040001" w:csb1="00000000"/>
    <w:embedRegular r:id="rId7" w:fontKey="{C7FE5ADD-F1C0-4E66-9E55-A92D2B1FEC6B}"/>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embedRegular r:id="rId8" w:fontKey="{84DD032A-F744-4FAA-8C81-9B0384316B9D}"/>
  </w:font>
  <w:font w:name="Times New Roman Regular">
    <w:altName w:val="Times New Roman"/>
    <w:panose1 w:val="02020503050405090304"/>
    <w:charset w:val="00"/>
    <w:family w:val="auto"/>
    <w:pitch w:val="default"/>
    <w:sig w:usb0="00000000" w:usb1="00000000" w:usb2="00000001" w:usb3="00000000" w:csb0="400001BF" w:csb1="DFF70000"/>
    <w:embedRegular r:id="rId9" w:fontKey="{845E608F-B37C-48A1-8043-062C58DC60F7}"/>
  </w:font>
  <w:font w:name="楷体">
    <w:panose1 w:val="02010609060101010101"/>
    <w:charset w:val="86"/>
    <w:family w:val="auto"/>
    <w:pitch w:val="default"/>
    <w:sig w:usb0="800002BF" w:usb1="38CF7CFA" w:usb2="00000016" w:usb3="00000000" w:csb0="00040001" w:csb1="00000000"/>
    <w:embedRegular r:id="rId10" w:fontKey="{54FFE5F7-F049-4F00-BD61-C86B7276C23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23309A">
    <w:pPr>
      <w:pStyle w:val="1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89C97D">
                          <w:r>
                            <w:t xml:space="preserve">— </w:t>
                          </w:r>
                          <w:r>
                            <w:fldChar w:fldCharType="begin"/>
                          </w:r>
                          <w:r>
                            <w:instrText xml:space="preserve"> PAGE  \* MERGEFORMAT </w:instrText>
                          </w:r>
                          <w:r>
                            <w:fldChar w:fldCharType="separate"/>
                          </w:r>
                          <w:r>
                            <w:t>- 1 -</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1389C97D">
                    <w:r>
                      <w:t xml:space="preserve">— </w:t>
                    </w:r>
                    <w:r>
                      <w:fldChar w:fldCharType="begin"/>
                    </w:r>
                    <w:r>
                      <w:instrText xml:space="preserve"> PAGE  \* MERGEFORMAT </w:instrText>
                    </w:r>
                    <w:r>
                      <w:fldChar w:fldCharType="separate"/>
                    </w:r>
                    <w:r>
                      <w:t>- 1 -</w:t>
                    </w:r>
                    <w:r>
                      <w:fldChar w:fldCharType="end"/>
                    </w:r>
                    <w: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BF5A81">
    <w:pPr>
      <w:pStyle w:val="13"/>
      <w:jc w:val="center"/>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C81768">
                          <w:pPr>
                            <w:pStyle w:val="13"/>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72C81768">
                    <w:pPr>
                      <w:pStyle w:val="13"/>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p w14:paraId="5C122AEA">
    <w:pPr>
      <w:pStyle w:val="1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99F189">
    <w:pPr>
      <w:pStyle w:val="13"/>
      <w:jc w:val="center"/>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2F7F8C">
                          <w:pPr>
                            <w:pStyle w:val="13"/>
                          </w:pPr>
                          <w:r>
                            <w:t xml:space="preserve">— </w:t>
                          </w:r>
                          <w:r>
                            <w:fldChar w:fldCharType="begin"/>
                          </w:r>
                          <w:r>
                            <w:instrText xml:space="preserve"> PAGE  \* MERGEFORMAT </w:instrText>
                          </w:r>
                          <w:r>
                            <w:fldChar w:fldCharType="separate"/>
                          </w:r>
                          <w:r>
                            <w:t>3</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F2F7F8C">
                    <w:pPr>
                      <w:pStyle w:val="13"/>
                    </w:pPr>
                    <w:r>
                      <w:t xml:space="preserve">— </w:t>
                    </w:r>
                    <w:r>
                      <w:fldChar w:fldCharType="begin"/>
                    </w:r>
                    <w:r>
                      <w:instrText xml:space="preserve"> PAGE  \* MERGEFORMAT </w:instrText>
                    </w:r>
                    <w:r>
                      <w:fldChar w:fldCharType="separate"/>
                    </w:r>
                    <w:r>
                      <w:t>3</w:t>
                    </w:r>
                    <w:r>
                      <w:fldChar w:fldCharType="end"/>
                    </w:r>
                    <w:r>
                      <w:t xml:space="preserve"> —</w:t>
                    </w:r>
                  </w:p>
                </w:txbxContent>
              </v:textbox>
            </v:shape>
          </w:pict>
        </mc:Fallback>
      </mc:AlternateContent>
    </w:r>
  </w:p>
  <w:p w14:paraId="556ADD37">
    <w:pPr>
      <w:pStyle w:val="13"/>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71BDB2">
    <w:pPr>
      <w:pStyle w:val="13"/>
    </w:pPr>
    <w:r>
      <w:rPr>
        <w:sz w:val="1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27A9739">
                          <w:pPr>
                            <w:pStyle w:val="13"/>
                            <w:rPr>
                              <w:rFonts w:hint="default" w:ascii="Times New Roman" w:hAnsi="Times New Roman" w:eastAsia="宋体" w:cs="Times New Roman"/>
                              <w:sz w:val="24"/>
                              <w:szCs w:val="24"/>
                            </w:rPr>
                          </w:pPr>
                          <w:r>
                            <w:rPr>
                              <w:rFonts w:hint="default" w:ascii="Times New Roman" w:hAnsi="Times New Roman" w:eastAsia="宋体" w:cs="Times New Roman"/>
                              <w:sz w:val="24"/>
                              <w:szCs w:val="24"/>
                            </w:rPr>
                            <w:t xml:space="preserve">— </w:t>
                          </w: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PAGE  \* MERGEFORMAT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1</w:t>
                          </w:r>
                          <w:r>
                            <w:rPr>
                              <w:rFonts w:hint="default" w:ascii="Times New Roman" w:hAnsi="Times New Roman" w:eastAsia="宋体" w:cs="Times New Roman"/>
                              <w:sz w:val="24"/>
                              <w:szCs w:val="24"/>
                            </w:rPr>
                            <w:fldChar w:fldCharType="end"/>
                          </w:r>
                          <w:r>
                            <w:rPr>
                              <w:rFonts w:hint="default" w:ascii="Times New Roman" w:hAnsi="Times New Roman" w:eastAsia="宋体" w:cs="Times New Roman"/>
                              <w:sz w:val="24"/>
                              <w:szCs w:val="24"/>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27A9739">
                    <w:pPr>
                      <w:pStyle w:val="13"/>
                      <w:rPr>
                        <w:rFonts w:hint="default" w:ascii="Times New Roman" w:hAnsi="Times New Roman" w:eastAsia="宋体" w:cs="Times New Roman"/>
                        <w:sz w:val="24"/>
                        <w:szCs w:val="24"/>
                      </w:rPr>
                    </w:pPr>
                    <w:r>
                      <w:rPr>
                        <w:rFonts w:hint="default" w:ascii="Times New Roman" w:hAnsi="Times New Roman" w:eastAsia="宋体" w:cs="Times New Roman"/>
                        <w:sz w:val="24"/>
                        <w:szCs w:val="24"/>
                      </w:rPr>
                      <w:t xml:space="preserve">— </w:t>
                    </w: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PAGE  \* MERGEFORMAT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1</w:t>
                    </w:r>
                    <w:r>
                      <w:rPr>
                        <w:rFonts w:hint="default" w:ascii="Times New Roman" w:hAnsi="Times New Roman" w:eastAsia="宋体" w:cs="Times New Roman"/>
                        <w:sz w:val="24"/>
                        <w:szCs w:val="24"/>
                      </w:rPr>
                      <w:fldChar w:fldCharType="end"/>
                    </w:r>
                    <w:r>
                      <w:rPr>
                        <w:rFonts w:hint="default" w:ascii="Times New Roman" w:hAnsi="Times New Roman" w:eastAsia="宋体" w:cs="Times New Roman"/>
                        <w:sz w:val="24"/>
                        <w:szCs w:val="24"/>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AE3622">
    <w:pPr>
      <w:pStyle w:val="1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916273">
    <w:pPr>
      <w:pStyle w:val="1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D418B0C"/>
    <w:multiLevelType w:val="singleLevel"/>
    <w:tmpl w:val="CD418B0C"/>
    <w:lvl w:ilvl="0" w:tentative="0">
      <w:start w:val="1"/>
      <w:numFmt w:val="decimal"/>
      <w:suff w:val="space"/>
      <w:lvlText w:val="%1."/>
      <w:lvlJc w:val="left"/>
    </w:lvl>
  </w:abstractNum>
  <w:abstractNum w:abstractNumId="1">
    <w:nsid w:val="CF652CEC"/>
    <w:multiLevelType w:val="singleLevel"/>
    <w:tmpl w:val="CF652CEC"/>
    <w:lvl w:ilvl="0" w:tentative="0">
      <w:start w:val="9"/>
      <w:numFmt w:val="chineseCounting"/>
      <w:suff w:val="nothing"/>
      <w:lvlText w:val="%1、"/>
      <w:lvlJc w:val="left"/>
      <w:rPr>
        <w:rFonts w:hint="eastAsia" w:cs="Times New Roman"/>
      </w:rPr>
    </w:lvl>
  </w:abstractNum>
  <w:abstractNum w:abstractNumId="2">
    <w:nsid w:val="D2977437"/>
    <w:multiLevelType w:val="singleLevel"/>
    <w:tmpl w:val="D2977437"/>
    <w:lvl w:ilvl="0" w:tentative="0">
      <w:start w:val="2"/>
      <w:numFmt w:val="chineseCounting"/>
      <w:suff w:val="nothing"/>
      <w:lvlText w:val="（%1）"/>
      <w:lvlJc w:val="left"/>
      <w:rPr>
        <w:rFonts w:hint="eastAsia"/>
      </w:rPr>
    </w:lvl>
  </w:abstractNum>
  <w:abstractNum w:abstractNumId="3">
    <w:nsid w:val="E2FA047D"/>
    <w:multiLevelType w:val="singleLevel"/>
    <w:tmpl w:val="E2FA047D"/>
    <w:lvl w:ilvl="0" w:tentative="0">
      <w:start w:val="3"/>
      <w:numFmt w:val="chineseCounting"/>
      <w:suff w:val="space"/>
      <w:lvlText w:val="第%1部分"/>
      <w:lvlJc w:val="left"/>
      <w:rPr>
        <w:rFonts w:hint="eastAsia" w:cs="Times New Roman"/>
      </w:rPr>
    </w:lvl>
  </w:abstractNum>
  <w:abstractNum w:abstractNumId="4">
    <w:nsid w:val="0BAFF640"/>
    <w:multiLevelType w:val="singleLevel"/>
    <w:tmpl w:val="0BAFF640"/>
    <w:lvl w:ilvl="0" w:tentative="0">
      <w:start w:val="2"/>
      <w:numFmt w:val="decimal"/>
      <w:suff w:val="nothing"/>
      <w:lvlText w:val="%1．"/>
      <w:lvlJc w:val="left"/>
    </w:lvl>
  </w:abstractNum>
  <w:abstractNum w:abstractNumId="5">
    <w:nsid w:val="1272550B"/>
    <w:multiLevelType w:val="multilevel"/>
    <w:tmpl w:val="1272550B"/>
    <w:lvl w:ilvl="0" w:tentative="0">
      <w:start w:val="1"/>
      <w:numFmt w:val="japaneseCounting"/>
      <w:lvlText w:val="%1、"/>
      <w:lvlJc w:val="left"/>
      <w:pPr>
        <w:ind w:left="1360" w:hanging="720"/>
      </w:pPr>
      <w:rPr>
        <w:rFonts w:hint="default" w:cs="Times New Roman"/>
        <w:b w:val="0"/>
      </w:rPr>
    </w:lvl>
    <w:lvl w:ilvl="1" w:tentative="0">
      <w:start w:val="1"/>
      <w:numFmt w:val="lowerLetter"/>
      <w:lvlText w:val="%2)"/>
      <w:lvlJc w:val="left"/>
      <w:pPr>
        <w:ind w:left="1480" w:hanging="420"/>
      </w:pPr>
      <w:rPr>
        <w:rFonts w:cs="Times New Roman"/>
      </w:rPr>
    </w:lvl>
    <w:lvl w:ilvl="2" w:tentative="0">
      <w:start w:val="1"/>
      <w:numFmt w:val="lowerRoman"/>
      <w:lvlText w:val="%3."/>
      <w:lvlJc w:val="right"/>
      <w:pPr>
        <w:ind w:left="1900" w:hanging="420"/>
      </w:pPr>
      <w:rPr>
        <w:rFonts w:cs="Times New Roman"/>
      </w:rPr>
    </w:lvl>
    <w:lvl w:ilvl="3" w:tentative="0">
      <w:start w:val="1"/>
      <w:numFmt w:val="decimal"/>
      <w:lvlText w:val="%4."/>
      <w:lvlJc w:val="left"/>
      <w:pPr>
        <w:ind w:left="2320" w:hanging="420"/>
      </w:pPr>
      <w:rPr>
        <w:rFonts w:cs="Times New Roman"/>
      </w:rPr>
    </w:lvl>
    <w:lvl w:ilvl="4" w:tentative="0">
      <w:start w:val="1"/>
      <w:numFmt w:val="lowerLetter"/>
      <w:lvlText w:val="%5)"/>
      <w:lvlJc w:val="left"/>
      <w:pPr>
        <w:ind w:left="2740" w:hanging="420"/>
      </w:pPr>
      <w:rPr>
        <w:rFonts w:cs="Times New Roman"/>
      </w:rPr>
    </w:lvl>
    <w:lvl w:ilvl="5" w:tentative="0">
      <w:start w:val="1"/>
      <w:numFmt w:val="lowerRoman"/>
      <w:lvlText w:val="%6."/>
      <w:lvlJc w:val="right"/>
      <w:pPr>
        <w:ind w:left="3160" w:hanging="420"/>
      </w:pPr>
      <w:rPr>
        <w:rFonts w:cs="Times New Roman"/>
      </w:rPr>
    </w:lvl>
    <w:lvl w:ilvl="6" w:tentative="0">
      <w:start w:val="1"/>
      <w:numFmt w:val="decimal"/>
      <w:lvlText w:val="%7."/>
      <w:lvlJc w:val="left"/>
      <w:pPr>
        <w:ind w:left="3580" w:hanging="420"/>
      </w:pPr>
      <w:rPr>
        <w:rFonts w:cs="Times New Roman"/>
      </w:rPr>
    </w:lvl>
    <w:lvl w:ilvl="7" w:tentative="0">
      <w:start w:val="1"/>
      <w:numFmt w:val="lowerLetter"/>
      <w:lvlText w:val="%8)"/>
      <w:lvlJc w:val="left"/>
      <w:pPr>
        <w:ind w:left="4000" w:hanging="420"/>
      </w:pPr>
      <w:rPr>
        <w:rFonts w:cs="Times New Roman"/>
      </w:rPr>
    </w:lvl>
    <w:lvl w:ilvl="8" w:tentative="0">
      <w:start w:val="1"/>
      <w:numFmt w:val="lowerRoman"/>
      <w:lvlText w:val="%9."/>
      <w:lvlJc w:val="right"/>
      <w:pPr>
        <w:ind w:left="4420" w:hanging="420"/>
      </w:pPr>
      <w:rPr>
        <w:rFonts w:cs="Times New Roman"/>
      </w:rPr>
    </w:lvl>
  </w:abstractNum>
  <w:abstractNum w:abstractNumId="6">
    <w:nsid w:val="1AC5D280"/>
    <w:multiLevelType w:val="singleLevel"/>
    <w:tmpl w:val="1AC5D280"/>
    <w:lvl w:ilvl="0" w:tentative="0">
      <w:start w:val="12"/>
      <w:numFmt w:val="chineseCounting"/>
      <w:suff w:val="nothing"/>
      <w:lvlText w:val="%1、"/>
      <w:lvlJc w:val="left"/>
      <w:rPr>
        <w:rFonts w:hint="eastAsia"/>
      </w:rPr>
    </w:lvl>
  </w:abstractNum>
  <w:abstractNum w:abstractNumId="7">
    <w:nsid w:val="3DFE7533"/>
    <w:multiLevelType w:val="singleLevel"/>
    <w:tmpl w:val="3DFE7533"/>
    <w:lvl w:ilvl="0" w:tentative="0">
      <w:start w:val="2"/>
      <w:numFmt w:val="chineseCounting"/>
      <w:suff w:val="nothing"/>
      <w:lvlText w:val="（%1）"/>
      <w:lvlJc w:val="left"/>
      <w:rPr>
        <w:rFonts w:hint="eastAsia"/>
      </w:rPr>
    </w:lvl>
  </w:abstractNum>
  <w:num w:numId="1">
    <w:abstractNumId w:val="5"/>
  </w:num>
  <w:num w:numId="2">
    <w:abstractNumId w:val="1"/>
  </w:num>
  <w:num w:numId="3">
    <w:abstractNumId w:val="7"/>
  </w:num>
  <w:num w:numId="4">
    <w:abstractNumId w:val="3"/>
  </w:num>
  <w:num w:numId="5">
    <w:abstractNumId w:val="0"/>
  </w:num>
  <w:num w:numId="6">
    <w:abstractNumId w:val="4"/>
  </w:num>
  <w:num w:numId="7">
    <w:abstractNumId w:val="2"/>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JmODZiZGY3MWMxOTA0M2Y4YjNhYTQ2MjlmNDU1YWI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15301"/>
    <w:rsid w:val="001319E1"/>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56262"/>
    <w:rsid w:val="00260C38"/>
    <w:rsid w:val="002616C0"/>
    <w:rsid w:val="00265372"/>
    <w:rsid w:val="002662AA"/>
    <w:rsid w:val="0027224D"/>
    <w:rsid w:val="00280496"/>
    <w:rsid w:val="00294DC9"/>
    <w:rsid w:val="00295495"/>
    <w:rsid w:val="002A31DE"/>
    <w:rsid w:val="002B2613"/>
    <w:rsid w:val="002B2FF7"/>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3E6FE4"/>
    <w:rsid w:val="00406254"/>
    <w:rsid w:val="004223DE"/>
    <w:rsid w:val="00434489"/>
    <w:rsid w:val="00437085"/>
    <w:rsid w:val="00443880"/>
    <w:rsid w:val="00445607"/>
    <w:rsid w:val="004464F4"/>
    <w:rsid w:val="00471401"/>
    <w:rsid w:val="00473F31"/>
    <w:rsid w:val="0048263A"/>
    <w:rsid w:val="00487E5D"/>
    <w:rsid w:val="004A711F"/>
    <w:rsid w:val="004B199D"/>
    <w:rsid w:val="004B4690"/>
    <w:rsid w:val="004D5479"/>
    <w:rsid w:val="004E0A2D"/>
    <w:rsid w:val="004E206B"/>
    <w:rsid w:val="004E6DF7"/>
    <w:rsid w:val="004F0FBD"/>
    <w:rsid w:val="00505A47"/>
    <w:rsid w:val="00512FDA"/>
    <w:rsid w:val="00520DA0"/>
    <w:rsid w:val="005269A7"/>
    <w:rsid w:val="005269D7"/>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45F81"/>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2977"/>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34D8"/>
    <w:rsid w:val="00935C98"/>
    <w:rsid w:val="00946945"/>
    <w:rsid w:val="00951248"/>
    <w:rsid w:val="0095152F"/>
    <w:rsid w:val="00954C49"/>
    <w:rsid w:val="00955E37"/>
    <w:rsid w:val="00962656"/>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84824"/>
    <w:rsid w:val="00A91760"/>
    <w:rsid w:val="00A93B00"/>
    <w:rsid w:val="00A93C21"/>
    <w:rsid w:val="00AB64C9"/>
    <w:rsid w:val="00AC3C6A"/>
    <w:rsid w:val="00AD5620"/>
    <w:rsid w:val="00AD656B"/>
    <w:rsid w:val="00AD7C1B"/>
    <w:rsid w:val="00AE16BA"/>
    <w:rsid w:val="00AE1EBE"/>
    <w:rsid w:val="00B011E4"/>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0E4E"/>
    <w:rsid w:val="00B944D6"/>
    <w:rsid w:val="00B965DC"/>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4B0"/>
    <w:rsid w:val="00DC7CBA"/>
    <w:rsid w:val="00DD73B7"/>
    <w:rsid w:val="00DF28BC"/>
    <w:rsid w:val="00DF34B9"/>
    <w:rsid w:val="00E01053"/>
    <w:rsid w:val="00E07ACF"/>
    <w:rsid w:val="00E32CAD"/>
    <w:rsid w:val="00E331A1"/>
    <w:rsid w:val="00E33202"/>
    <w:rsid w:val="00E336A9"/>
    <w:rsid w:val="00E472B1"/>
    <w:rsid w:val="00E50624"/>
    <w:rsid w:val="00E568DF"/>
    <w:rsid w:val="00E64269"/>
    <w:rsid w:val="00E70975"/>
    <w:rsid w:val="00E82267"/>
    <w:rsid w:val="00E853CE"/>
    <w:rsid w:val="00E867B6"/>
    <w:rsid w:val="00EA010F"/>
    <w:rsid w:val="00ED1B63"/>
    <w:rsid w:val="00ED3C1F"/>
    <w:rsid w:val="00ED4085"/>
    <w:rsid w:val="00ED420E"/>
    <w:rsid w:val="00ED6FBE"/>
    <w:rsid w:val="00EE2F57"/>
    <w:rsid w:val="00EF4C34"/>
    <w:rsid w:val="00EF60EF"/>
    <w:rsid w:val="00EF77C6"/>
    <w:rsid w:val="00F05438"/>
    <w:rsid w:val="00F1361C"/>
    <w:rsid w:val="00F156F0"/>
    <w:rsid w:val="00F160C7"/>
    <w:rsid w:val="00F2408F"/>
    <w:rsid w:val="00F240E9"/>
    <w:rsid w:val="00F36D8F"/>
    <w:rsid w:val="00F417B1"/>
    <w:rsid w:val="00F45853"/>
    <w:rsid w:val="00F602DF"/>
    <w:rsid w:val="00F67211"/>
    <w:rsid w:val="00F754A1"/>
    <w:rsid w:val="00F81FD9"/>
    <w:rsid w:val="00F841AA"/>
    <w:rsid w:val="00F84A94"/>
    <w:rsid w:val="00F87E96"/>
    <w:rsid w:val="00FA23E8"/>
    <w:rsid w:val="00FD3CC1"/>
    <w:rsid w:val="00FF1E02"/>
    <w:rsid w:val="00FF30B4"/>
    <w:rsid w:val="039B58F3"/>
    <w:rsid w:val="043C3749"/>
    <w:rsid w:val="062A1B37"/>
    <w:rsid w:val="06A05249"/>
    <w:rsid w:val="07182832"/>
    <w:rsid w:val="07B25AB5"/>
    <w:rsid w:val="09E55D95"/>
    <w:rsid w:val="0A2032A3"/>
    <w:rsid w:val="0DCD1FF8"/>
    <w:rsid w:val="10C055FF"/>
    <w:rsid w:val="1165571B"/>
    <w:rsid w:val="118107EC"/>
    <w:rsid w:val="14790014"/>
    <w:rsid w:val="14D72009"/>
    <w:rsid w:val="153C0833"/>
    <w:rsid w:val="16BB723D"/>
    <w:rsid w:val="18562547"/>
    <w:rsid w:val="1AD03EF7"/>
    <w:rsid w:val="1B71205C"/>
    <w:rsid w:val="1D0F1446"/>
    <w:rsid w:val="1D155CEE"/>
    <w:rsid w:val="1D556936"/>
    <w:rsid w:val="1F5C21FD"/>
    <w:rsid w:val="227A7719"/>
    <w:rsid w:val="240371BF"/>
    <w:rsid w:val="2765577F"/>
    <w:rsid w:val="29FD04D3"/>
    <w:rsid w:val="2A2379E8"/>
    <w:rsid w:val="2FFD1E48"/>
    <w:rsid w:val="319F7F4E"/>
    <w:rsid w:val="33E416A1"/>
    <w:rsid w:val="3458654D"/>
    <w:rsid w:val="37EF7C5B"/>
    <w:rsid w:val="39615167"/>
    <w:rsid w:val="3AA15360"/>
    <w:rsid w:val="400E2C48"/>
    <w:rsid w:val="42750901"/>
    <w:rsid w:val="427A732C"/>
    <w:rsid w:val="429056FC"/>
    <w:rsid w:val="44581EC4"/>
    <w:rsid w:val="46144678"/>
    <w:rsid w:val="46292994"/>
    <w:rsid w:val="46BD080D"/>
    <w:rsid w:val="46EB46BB"/>
    <w:rsid w:val="46F02BC9"/>
    <w:rsid w:val="471005C8"/>
    <w:rsid w:val="4D6F10DE"/>
    <w:rsid w:val="4D785DD4"/>
    <w:rsid w:val="4ECE2238"/>
    <w:rsid w:val="4F5B2487"/>
    <w:rsid w:val="50047BC4"/>
    <w:rsid w:val="51BF1FF4"/>
    <w:rsid w:val="53227B62"/>
    <w:rsid w:val="53A54518"/>
    <w:rsid w:val="56C13AB2"/>
    <w:rsid w:val="5A492DA3"/>
    <w:rsid w:val="5A787A17"/>
    <w:rsid w:val="5D436582"/>
    <w:rsid w:val="5D7E2FBA"/>
    <w:rsid w:val="5F4333C8"/>
    <w:rsid w:val="61EA334F"/>
    <w:rsid w:val="621364C8"/>
    <w:rsid w:val="62194A73"/>
    <w:rsid w:val="64F54300"/>
    <w:rsid w:val="65CB0B10"/>
    <w:rsid w:val="674D5D7B"/>
    <w:rsid w:val="675C1C7E"/>
    <w:rsid w:val="67A23AF2"/>
    <w:rsid w:val="6C4A05C8"/>
    <w:rsid w:val="6DFE57FA"/>
    <w:rsid w:val="6EDF6BE8"/>
    <w:rsid w:val="721B6926"/>
    <w:rsid w:val="722120BB"/>
    <w:rsid w:val="72734D90"/>
    <w:rsid w:val="77A7572C"/>
    <w:rsid w:val="79E55631"/>
    <w:rsid w:val="7BB25888"/>
    <w:rsid w:val="7FE370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uiPriority="99"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25"/>
    <w:qFormat/>
    <w:uiPriority w:val="9"/>
    <w:pPr>
      <w:keepNext/>
      <w:keepLines/>
      <w:spacing w:before="340" w:after="330" w:line="578" w:lineRule="auto"/>
      <w:outlineLvl w:val="0"/>
    </w:pPr>
    <w:rPr>
      <w:b/>
      <w:bCs/>
      <w:kern w:val="44"/>
      <w:sz w:val="44"/>
      <w:szCs w:val="44"/>
    </w:rPr>
  </w:style>
  <w:style w:type="paragraph" w:styleId="5">
    <w:name w:val="heading 2"/>
    <w:basedOn w:val="1"/>
    <w:next w:val="1"/>
    <w:link w:val="26"/>
    <w:qFormat/>
    <w:uiPriority w:val="9"/>
    <w:pPr>
      <w:keepNext/>
      <w:keepLines/>
      <w:spacing w:before="260" w:after="260" w:line="416" w:lineRule="auto"/>
      <w:outlineLvl w:val="1"/>
    </w:pPr>
    <w:rPr>
      <w:rFonts w:ascii="Cambria" w:hAnsi="Cambria"/>
      <w:b/>
      <w:bCs/>
      <w:sz w:val="32"/>
      <w:szCs w:val="32"/>
    </w:rPr>
  </w:style>
  <w:style w:type="paragraph" w:styleId="6">
    <w:name w:val="heading 3"/>
    <w:basedOn w:val="1"/>
    <w:next w:val="1"/>
    <w:link w:val="27"/>
    <w:qFormat/>
    <w:uiPriority w:val="9"/>
    <w:pPr>
      <w:keepNext/>
      <w:keepLines/>
      <w:spacing w:before="260" w:after="260" w:line="416" w:lineRule="auto"/>
      <w:outlineLvl w:val="2"/>
    </w:pPr>
    <w:rPr>
      <w:b/>
      <w:bCs/>
      <w:sz w:val="32"/>
      <w:szCs w:val="32"/>
    </w:rPr>
  </w:style>
  <w:style w:type="character" w:default="1" w:styleId="22">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qFormat/>
    <w:uiPriority w:val="99"/>
    <w:pPr>
      <w:widowControl/>
      <w:spacing w:after="0"/>
      <w:ind w:left="0" w:leftChars="0" w:firstLine="420" w:firstLineChars="200"/>
    </w:pPr>
    <w:rPr>
      <w:kern w:val="0"/>
      <w:szCs w:val="22"/>
    </w:rPr>
  </w:style>
  <w:style w:type="paragraph" w:styleId="3">
    <w:name w:val="Body Text Indent"/>
    <w:basedOn w:val="1"/>
    <w:next w:val="2"/>
    <w:qFormat/>
    <w:uiPriority w:val="99"/>
    <w:pPr>
      <w:spacing w:after="120"/>
      <w:ind w:left="420" w:leftChars="200"/>
    </w:pPr>
  </w:style>
  <w:style w:type="paragraph" w:styleId="7">
    <w:name w:val="toc 7"/>
    <w:basedOn w:val="1"/>
    <w:next w:val="1"/>
    <w:unhideWhenUsed/>
    <w:qFormat/>
    <w:uiPriority w:val="39"/>
    <w:pPr>
      <w:ind w:left="1260"/>
      <w:jc w:val="left"/>
    </w:pPr>
    <w:rPr>
      <w:rFonts w:asciiTheme="minorHAnsi" w:eastAsiaTheme="minorHAnsi"/>
      <w:sz w:val="18"/>
      <w:szCs w:val="18"/>
    </w:rPr>
  </w:style>
  <w:style w:type="paragraph" w:styleId="8">
    <w:name w:val="Body Text"/>
    <w:basedOn w:val="1"/>
    <w:link w:val="34"/>
    <w:qFormat/>
    <w:uiPriority w:val="99"/>
    <w:pPr>
      <w:spacing w:beforeLines="30"/>
    </w:pPr>
    <w:rPr>
      <w:rFonts w:ascii="仿宋_GB2312" w:eastAsia="仿宋_GB2312"/>
      <w:kern w:val="0"/>
      <w:sz w:val="24"/>
      <w:szCs w:val="20"/>
      <w:lang w:val="zh-CN" w:eastAsia="zh-CN"/>
    </w:rPr>
  </w:style>
  <w:style w:type="paragraph" w:styleId="9">
    <w:name w:val="toc 5"/>
    <w:basedOn w:val="1"/>
    <w:next w:val="1"/>
    <w:unhideWhenUsed/>
    <w:qFormat/>
    <w:uiPriority w:val="39"/>
    <w:pPr>
      <w:ind w:left="840"/>
      <w:jc w:val="left"/>
    </w:pPr>
    <w:rPr>
      <w:rFonts w:asciiTheme="minorHAnsi" w:eastAsiaTheme="minorHAnsi"/>
      <w:sz w:val="18"/>
      <w:szCs w:val="18"/>
    </w:rPr>
  </w:style>
  <w:style w:type="paragraph" w:styleId="10">
    <w:name w:val="toc 3"/>
    <w:basedOn w:val="1"/>
    <w:next w:val="1"/>
    <w:unhideWhenUsed/>
    <w:qFormat/>
    <w:uiPriority w:val="39"/>
    <w:pPr>
      <w:ind w:left="420"/>
      <w:jc w:val="left"/>
    </w:pPr>
    <w:rPr>
      <w:rFonts w:asciiTheme="minorHAnsi" w:eastAsiaTheme="minorHAnsi"/>
      <w:i/>
      <w:iCs/>
      <w:sz w:val="20"/>
      <w:szCs w:val="20"/>
    </w:rPr>
  </w:style>
  <w:style w:type="paragraph" w:styleId="11">
    <w:name w:val="toc 8"/>
    <w:basedOn w:val="1"/>
    <w:next w:val="1"/>
    <w:unhideWhenUsed/>
    <w:qFormat/>
    <w:uiPriority w:val="39"/>
    <w:pPr>
      <w:ind w:left="1470"/>
      <w:jc w:val="left"/>
    </w:pPr>
    <w:rPr>
      <w:rFonts w:asciiTheme="minorHAnsi" w:eastAsiaTheme="minorHAnsi"/>
      <w:sz w:val="18"/>
      <w:szCs w:val="18"/>
    </w:rPr>
  </w:style>
  <w:style w:type="paragraph" w:styleId="12">
    <w:name w:val="Balloon Text"/>
    <w:basedOn w:val="1"/>
    <w:link w:val="29"/>
    <w:semiHidden/>
    <w:unhideWhenUsed/>
    <w:qFormat/>
    <w:uiPriority w:val="99"/>
    <w:rPr>
      <w:sz w:val="18"/>
      <w:szCs w:val="18"/>
    </w:rPr>
  </w:style>
  <w:style w:type="paragraph" w:styleId="13">
    <w:name w:val="footer"/>
    <w:basedOn w:val="1"/>
    <w:link w:val="33"/>
    <w:qFormat/>
    <w:uiPriority w:val="99"/>
    <w:pPr>
      <w:tabs>
        <w:tab w:val="center" w:pos="4153"/>
        <w:tab w:val="right" w:pos="8306"/>
      </w:tabs>
      <w:snapToGrid w:val="0"/>
      <w:jc w:val="left"/>
    </w:pPr>
    <w:rPr>
      <w:rFonts w:ascii="Calibri" w:hAnsi="Calibri"/>
      <w:kern w:val="0"/>
      <w:sz w:val="18"/>
      <w:szCs w:val="20"/>
      <w:lang w:val="zh-CN" w:eastAsia="zh-CN"/>
    </w:rPr>
  </w:style>
  <w:style w:type="paragraph" w:styleId="14">
    <w:name w:val="header"/>
    <w:basedOn w:val="1"/>
    <w:link w:val="32"/>
    <w:semiHidden/>
    <w:qFormat/>
    <w:uiPriority w:val="99"/>
    <w:pPr>
      <w:pBdr>
        <w:bottom w:val="single" w:color="auto" w:sz="6" w:space="1"/>
      </w:pBdr>
      <w:tabs>
        <w:tab w:val="center" w:pos="4153"/>
        <w:tab w:val="right" w:pos="8306"/>
      </w:tabs>
      <w:snapToGrid w:val="0"/>
      <w:jc w:val="center"/>
    </w:pPr>
    <w:rPr>
      <w:rFonts w:ascii="Calibri" w:hAnsi="Calibri"/>
      <w:kern w:val="0"/>
      <w:sz w:val="18"/>
      <w:szCs w:val="20"/>
      <w:lang w:val="zh-CN" w:eastAsia="zh-CN"/>
    </w:rPr>
  </w:style>
  <w:style w:type="paragraph" w:styleId="15">
    <w:name w:val="toc 1"/>
    <w:basedOn w:val="1"/>
    <w:next w:val="1"/>
    <w:unhideWhenUsed/>
    <w:qFormat/>
    <w:uiPriority w:val="39"/>
    <w:pPr>
      <w:spacing w:before="120" w:after="120"/>
      <w:jc w:val="left"/>
    </w:pPr>
    <w:rPr>
      <w:rFonts w:asciiTheme="minorHAnsi" w:eastAsiaTheme="minorHAnsi"/>
      <w:b/>
      <w:bCs/>
      <w:caps/>
      <w:sz w:val="20"/>
      <w:szCs w:val="20"/>
    </w:rPr>
  </w:style>
  <w:style w:type="paragraph" w:styleId="16">
    <w:name w:val="toc 4"/>
    <w:basedOn w:val="1"/>
    <w:next w:val="1"/>
    <w:unhideWhenUsed/>
    <w:qFormat/>
    <w:uiPriority w:val="39"/>
    <w:pPr>
      <w:ind w:left="630"/>
      <w:jc w:val="left"/>
    </w:pPr>
    <w:rPr>
      <w:rFonts w:asciiTheme="minorHAnsi" w:eastAsiaTheme="minorHAnsi"/>
      <w:sz w:val="18"/>
      <w:szCs w:val="18"/>
    </w:rPr>
  </w:style>
  <w:style w:type="paragraph" w:styleId="17">
    <w:name w:val="toc 6"/>
    <w:basedOn w:val="1"/>
    <w:next w:val="1"/>
    <w:unhideWhenUsed/>
    <w:qFormat/>
    <w:uiPriority w:val="39"/>
    <w:pPr>
      <w:ind w:left="1050"/>
      <w:jc w:val="left"/>
    </w:pPr>
    <w:rPr>
      <w:rFonts w:asciiTheme="minorHAnsi" w:eastAsiaTheme="minorHAnsi"/>
      <w:sz w:val="18"/>
      <w:szCs w:val="18"/>
    </w:rPr>
  </w:style>
  <w:style w:type="paragraph" w:styleId="18">
    <w:name w:val="toc 2"/>
    <w:basedOn w:val="1"/>
    <w:next w:val="1"/>
    <w:unhideWhenUsed/>
    <w:qFormat/>
    <w:uiPriority w:val="39"/>
    <w:pPr>
      <w:ind w:left="210"/>
      <w:jc w:val="left"/>
    </w:pPr>
    <w:rPr>
      <w:rFonts w:asciiTheme="minorHAnsi" w:eastAsiaTheme="minorHAnsi"/>
      <w:smallCaps/>
      <w:sz w:val="20"/>
      <w:szCs w:val="20"/>
    </w:rPr>
  </w:style>
  <w:style w:type="paragraph" w:styleId="19">
    <w:name w:val="toc 9"/>
    <w:basedOn w:val="1"/>
    <w:next w:val="1"/>
    <w:unhideWhenUsed/>
    <w:qFormat/>
    <w:uiPriority w:val="39"/>
    <w:pPr>
      <w:ind w:left="1680"/>
      <w:jc w:val="left"/>
    </w:pPr>
    <w:rPr>
      <w:rFonts w:asciiTheme="minorHAnsi" w:eastAsiaTheme="minorHAnsi"/>
      <w:sz w:val="18"/>
      <w:szCs w:val="18"/>
    </w:rPr>
  </w:style>
  <w:style w:type="paragraph" w:styleId="20">
    <w:name w:val="Normal (Web)"/>
    <w:basedOn w:val="1"/>
    <w:qFormat/>
    <w:uiPriority w:val="0"/>
    <w:pPr>
      <w:spacing w:before="0" w:beforeAutospacing="1" w:after="0" w:afterAutospacing="1"/>
      <w:ind w:left="0" w:right="0"/>
      <w:jc w:val="left"/>
    </w:pPr>
    <w:rPr>
      <w:kern w:val="0"/>
      <w:sz w:val="24"/>
      <w:lang w:val="en-US" w:eastAsia="zh-CN" w:bidi="ar"/>
    </w:rPr>
  </w:style>
  <w:style w:type="character" w:styleId="23">
    <w:name w:val="Strong"/>
    <w:basedOn w:val="22"/>
    <w:qFormat/>
    <w:uiPriority w:val="99"/>
    <w:rPr>
      <w:rFonts w:cs="Times New Roman"/>
      <w:b/>
    </w:rPr>
  </w:style>
  <w:style w:type="character" w:styleId="24">
    <w:name w:val="Hyperlink"/>
    <w:basedOn w:val="22"/>
    <w:unhideWhenUsed/>
    <w:qFormat/>
    <w:uiPriority w:val="99"/>
    <w:rPr>
      <w:rFonts w:cs="Times New Roman"/>
      <w:color w:val="0000FF"/>
      <w:u w:val="single"/>
    </w:rPr>
  </w:style>
  <w:style w:type="character" w:customStyle="1" w:styleId="25">
    <w:name w:val="标题 1 字符"/>
    <w:basedOn w:val="22"/>
    <w:link w:val="4"/>
    <w:qFormat/>
    <w:locked/>
    <w:uiPriority w:val="9"/>
    <w:rPr>
      <w:rFonts w:ascii="Times New Roman" w:hAnsi="Times New Roman" w:cs="Times New Roman"/>
      <w:b/>
      <w:bCs/>
      <w:kern w:val="44"/>
      <w:sz w:val="44"/>
      <w:szCs w:val="44"/>
    </w:rPr>
  </w:style>
  <w:style w:type="character" w:customStyle="1" w:styleId="26">
    <w:name w:val="标题 2 字符"/>
    <w:basedOn w:val="22"/>
    <w:link w:val="5"/>
    <w:qFormat/>
    <w:locked/>
    <w:uiPriority w:val="9"/>
    <w:rPr>
      <w:rFonts w:ascii="Cambria" w:hAnsi="Cambria" w:eastAsia="宋体" w:cs="Times New Roman"/>
      <w:b/>
      <w:bCs/>
      <w:kern w:val="2"/>
      <w:sz w:val="32"/>
      <w:szCs w:val="32"/>
    </w:rPr>
  </w:style>
  <w:style w:type="character" w:customStyle="1" w:styleId="27">
    <w:name w:val="标题 3 字符"/>
    <w:basedOn w:val="22"/>
    <w:link w:val="6"/>
    <w:qFormat/>
    <w:locked/>
    <w:uiPriority w:val="9"/>
    <w:rPr>
      <w:rFonts w:ascii="Times New Roman" w:hAnsi="Times New Roman" w:cs="Times New Roman"/>
      <w:b/>
      <w:bCs/>
      <w:kern w:val="2"/>
      <w:sz w:val="32"/>
      <w:szCs w:val="32"/>
    </w:rPr>
  </w:style>
  <w:style w:type="character" w:customStyle="1" w:styleId="28">
    <w:name w:val="Body Text Char"/>
    <w:basedOn w:val="22"/>
    <w:semiHidden/>
    <w:qFormat/>
    <w:uiPriority w:val="99"/>
    <w:rPr>
      <w:rFonts w:ascii="Times New Roman" w:hAnsi="Times New Roman" w:cs="Times New Roman"/>
      <w:sz w:val="24"/>
      <w:szCs w:val="24"/>
    </w:rPr>
  </w:style>
  <w:style w:type="character" w:customStyle="1" w:styleId="29">
    <w:name w:val="批注框文本 字符"/>
    <w:basedOn w:val="22"/>
    <w:link w:val="12"/>
    <w:semiHidden/>
    <w:qFormat/>
    <w:locked/>
    <w:uiPriority w:val="99"/>
    <w:rPr>
      <w:rFonts w:ascii="Times New Roman" w:hAnsi="Times New Roman" w:cs="Times New Roman"/>
      <w:kern w:val="2"/>
      <w:sz w:val="18"/>
      <w:szCs w:val="18"/>
    </w:rPr>
  </w:style>
  <w:style w:type="character" w:customStyle="1" w:styleId="30">
    <w:name w:val="Footer Char"/>
    <w:basedOn w:val="22"/>
    <w:semiHidden/>
    <w:qFormat/>
    <w:uiPriority w:val="99"/>
    <w:rPr>
      <w:rFonts w:ascii="Times New Roman" w:hAnsi="Times New Roman" w:cs="Times New Roman"/>
      <w:sz w:val="18"/>
      <w:szCs w:val="18"/>
    </w:rPr>
  </w:style>
  <w:style w:type="character" w:customStyle="1" w:styleId="31">
    <w:name w:val="Header Char"/>
    <w:basedOn w:val="22"/>
    <w:semiHidden/>
    <w:qFormat/>
    <w:uiPriority w:val="99"/>
    <w:rPr>
      <w:rFonts w:ascii="Times New Roman" w:hAnsi="Times New Roman" w:cs="Times New Roman"/>
      <w:sz w:val="18"/>
      <w:szCs w:val="18"/>
    </w:rPr>
  </w:style>
  <w:style w:type="character" w:customStyle="1" w:styleId="32">
    <w:name w:val="页眉 字符"/>
    <w:link w:val="14"/>
    <w:semiHidden/>
    <w:qFormat/>
    <w:locked/>
    <w:uiPriority w:val="99"/>
    <w:rPr>
      <w:sz w:val="18"/>
    </w:rPr>
  </w:style>
  <w:style w:type="character" w:customStyle="1" w:styleId="33">
    <w:name w:val="页脚 字符"/>
    <w:link w:val="13"/>
    <w:qFormat/>
    <w:locked/>
    <w:uiPriority w:val="99"/>
    <w:rPr>
      <w:sz w:val="18"/>
    </w:rPr>
  </w:style>
  <w:style w:type="character" w:customStyle="1" w:styleId="34">
    <w:name w:val="正文文本 字符"/>
    <w:link w:val="8"/>
    <w:qFormat/>
    <w:locked/>
    <w:uiPriority w:val="99"/>
    <w:rPr>
      <w:rFonts w:ascii="仿宋_GB2312" w:hAnsi="Times New Roman" w:eastAsia="仿宋_GB2312"/>
      <w:sz w:val="24"/>
    </w:rPr>
  </w:style>
  <w:style w:type="paragraph" w:customStyle="1" w:styleId="35">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customStyle="1" w:styleId="36">
    <w:name w:val="列表段落1"/>
    <w:basedOn w:val="1"/>
    <w:qFormat/>
    <w:uiPriority w:val="34"/>
    <w:pPr>
      <w:ind w:firstLine="420" w:firstLineChars="200"/>
    </w:pPr>
  </w:style>
  <w:style w:type="paragraph" w:customStyle="1" w:styleId="37">
    <w:name w:val="TOC 标题1"/>
    <w:basedOn w:val="4"/>
    <w:next w:val="1"/>
    <w:unhideWhenUsed/>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38">
    <w:name w:val="TOC Heading1"/>
    <w:basedOn w:val="4"/>
    <w:next w:val="1"/>
    <w:unhideWhenUsed/>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39">
    <w:name w:val="TOC Heading"/>
    <w:basedOn w:val="4"/>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F5597" w:themeColor="accent1" w:themeShade="BF"/>
      <w:kern w:val="0"/>
      <w:sz w:val="32"/>
      <w:szCs w:val="32"/>
    </w:rPr>
  </w:style>
  <w:style w:type="paragraph" w:customStyle="1" w:styleId="40">
    <w:name w:val="0"/>
    <w:basedOn w:val="1"/>
    <w:qFormat/>
    <w:uiPriority w:val="0"/>
    <w:pPr>
      <w:widowControl/>
      <w:snapToGrid w:val="0"/>
    </w:pPr>
    <w:rPr>
      <w:kern w:val="0"/>
      <w:szCs w:val="20"/>
    </w:rPr>
  </w:style>
  <w:style w:type="paragraph" w:customStyle="1" w:styleId="41">
    <w:name w:val="NOTE_Normal"/>
    <w:basedOn w:val="1"/>
    <w:qFormat/>
    <w:uiPriority w:val="0"/>
  </w:style>
  <w:style w:type="paragraph" w:customStyle="1" w:styleId="42">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E9CAE55-CD1B-4B4A-B759-66D9AAD6058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52</Pages>
  <Words>7130</Words>
  <Characters>8203</Characters>
  <Lines>74</Lines>
  <Paragraphs>21</Paragraphs>
  <TotalTime>19</TotalTime>
  <ScaleCrop>false</ScaleCrop>
  <LinksUpToDate>false</LinksUpToDate>
  <CharactersWithSpaces>8258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2021-08-06T09:38:00Z</dcterms:created>
  <dc:creator>曹颖</dc:creator>
  <cp:lastModifiedBy>一个笨蛋</cp:lastModifiedBy>
  <cp:lastPrinted>2026-09-02T01:36:00Z</cp:lastPrinted>
  <dcterms:modified xsi:type="dcterms:W3CDTF">2026-10-21T01:33:39Z</dcterms:modified>
  <dc:title>阿坝州部门决算说明</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8AF9FD1F5A5A4EE5936D232D40C2E47C_13</vt:lpwstr>
  </property>
  <property fmtid="{D5CDD505-2E9C-101B-9397-08002B2CF9AE}" pid="4" name="KSOTemplateDocerSaveRecord">
    <vt:lpwstr>eyJoZGlkIjoiYjllZGNkZWEzYjg0NDNmNTQ5MjkzNjk0ODlhNmVkYzAiLCJ1c2VySWQiOiI0MTAxMDQ4MDkifQ==</vt:lpwstr>
  </property>
</Properties>
</file>