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微软雅黑" w:hAnsi="宋体" w:eastAsia="微软雅黑"/>
          <w:color w:val="000000"/>
          <w:sz w:val="72"/>
          <w:szCs w:val="72"/>
          <w:lang w:val="en-US" w:eastAsia="zh-CN"/>
        </w:rPr>
      </w:pPr>
      <w:bookmarkStart w:id="0" w:name="_Toc15306267"/>
      <w:r>
        <w:rPr>
          <w:rFonts w:hint="eastAsia" w:ascii="微软雅黑" w:hAnsi="宋体" w:eastAsia="微软雅黑"/>
          <w:color w:val="000000"/>
          <w:sz w:val="72"/>
          <w:szCs w:val="72"/>
          <w:lang w:val="en-US" w:eastAsia="zh-CN"/>
        </w:rPr>
        <w:t xml:space="preserve"> </w:t>
      </w:r>
    </w:p>
    <w:p>
      <w:pPr>
        <w:spacing w:line="600" w:lineRule="exact"/>
        <w:jc w:val="center"/>
        <w:outlineLvl w:val="0"/>
        <w:rPr>
          <w:rFonts w:ascii="微软雅黑" w:hAnsi="宋体" w:eastAsia="微软雅黑"/>
          <w:color w:val="000000"/>
          <w:sz w:val="72"/>
          <w:szCs w:val="72"/>
        </w:rPr>
      </w:pPr>
    </w:p>
    <w:p>
      <w:pPr>
        <w:spacing w:line="600" w:lineRule="exact"/>
        <w:jc w:val="center"/>
        <w:outlineLvl w:val="0"/>
        <w:rPr>
          <w:rFonts w:ascii="微软雅黑" w:hAnsi="宋体" w:eastAsia="微软雅黑"/>
          <w:color w:val="000000"/>
          <w:sz w:val="72"/>
          <w:szCs w:val="72"/>
        </w:rPr>
      </w:pPr>
    </w:p>
    <w:p>
      <w:pPr>
        <w:jc w:val="center"/>
        <w:rPr>
          <w:rFonts w:hint="eastAsia" w:ascii="微软雅黑" w:eastAsia="微软雅黑"/>
          <w:sz w:val="72"/>
          <w:szCs w:val="72"/>
        </w:rPr>
      </w:pPr>
      <w:bookmarkStart w:id="1" w:name="_Toc15378441"/>
      <w:bookmarkStart w:id="2" w:name="_Toc15396597"/>
      <w:bookmarkStart w:id="3" w:name="_Toc15396475"/>
      <w:bookmarkStart w:id="4" w:name="_Toc15377425"/>
      <w:bookmarkStart w:id="5" w:name="_Toc15377193"/>
      <w:r>
        <w:rPr>
          <w:rFonts w:hint="eastAsia" w:ascii="微软雅黑" w:eastAsia="微软雅黑"/>
          <w:sz w:val="72"/>
          <w:szCs w:val="72"/>
          <w:lang w:eastAsia="zh-CN"/>
        </w:rPr>
        <w:t>202</w:t>
      </w:r>
      <w:r>
        <w:rPr>
          <w:rFonts w:hint="eastAsia" w:ascii="微软雅黑" w:eastAsia="微软雅黑"/>
          <w:sz w:val="72"/>
          <w:szCs w:val="72"/>
          <w:lang w:val="en-US" w:eastAsia="zh-CN"/>
        </w:rPr>
        <w:t>2</w:t>
      </w:r>
      <w:r>
        <w:rPr>
          <w:rFonts w:hint="eastAsia" w:ascii="微软雅黑" w:eastAsia="微软雅黑"/>
          <w:sz w:val="72"/>
          <w:szCs w:val="72"/>
        </w:rPr>
        <w:t>年度</w:t>
      </w:r>
      <w:bookmarkEnd w:id="1"/>
      <w:bookmarkEnd w:id="2"/>
      <w:bookmarkEnd w:id="3"/>
      <w:bookmarkEnd w:id="4"/>
      <w:bookmarkEnd w:id="5"/>
    </w:p>
    <w:p>
      <w:pPr>
        <w:jc w:val="center"/>
        <w:rPr>
          <w:rFonts w:ascii="微软雅黑" w:eastAsia="微软雅黑"/>
          <w:sz w:val="72"/>
          <w:szCs w:val="72"/>
        </w:rPr>
      </w:pPr>
      <w:bookmarkStart w:id="6" w:name="_Toc15377426"/>
      <w:bookmarkStart w:id="7" w:name="_Toc15378442"/>
      <w:bookmarkStart w:id="8" w:name="_Toc15396476"/>
      <w:bookmarkStart w:id="9" w:name="_Toc15396598"/>
      <w:bookmarkStart w:id="10" w:name="_Toc15377194"/>
      <w:r>
        <w:rPr>
          <w:rFonts w:hint="eastAsia" w:ascii="微软雅黑" w:eastAsia="微软雅黑"/>
          <w:sz w:val="72"/>
          <w:szCs w:val="72"/>
        </w:rPr>
        <w:t>四川省阿坝州</w:t>
      </w:r>
      <w:bookmarkEnd w:id="0"/>
      <w:bookmarkStart w:id="11" w:name="_Toc15306268"/>
      <w:r>
        <w:rPr>
          <w:rFonts w:hint="eastAsia" w:ascii="微软雅黑" w:eastAsia="微软雅黑"/>
          <w:sz w:val="72"/>
          <w:szCs w:val="72"/>
          <w:lang w:val="en-US" w:eastAsia="zh-CN"/>
        </w:rPr>
        <w:t>九寨沟县人民法院</w:t>
      </w:r>
      <w:r>
        <w:rPr>
          <w:rFonts w:hint="eastAsia" w:ascii="微软雅黑" w:eastAsia="微软雅黑"/>
          <w:sz w:val="72"/>
          <w:szCs w:val="72"/>
        </w:rPr>
        <w:t>部门决算</w:t>
      </w:r>
      <w:bookmarkEnd w:id="6"/>
      <w:bookmarkEnd w:id="7"/>
      <w:bookmarkEnd w:id="8"/>
      <w:bookmarkEnd w:id="9"/>
      <w:bookmarkEnd w:id="10"/>
      <w:bookmarkEnd w:id="11"/>
    </w:p>
    <w:p>
      <w:pPr>
        <w:widowControl/>
        <w:jc w:val="center"/>
        <w:rPr>
          <w:rFonts w:ascii="微软雅黑" w:hAnsi="宋体" w:eastAsia="微软雅黑"/>
          <w:color w:val="000000"/>
          <w:sz w:val="36"/>
          <w:szCs w:val="36"/>
        </w:rPr>
      </w:pPr>
    </w:p>
    <w:p>
      <w:pPr>
        <w:rPr>
          <w:rFonts w:ascii="微软雅黑" w:hAnsi="宋体" w:eastAsia="微软雅黑"/>
          <w:sz w:val="36"/>
          <w:szCs w:val="36"/>
        </w:rPr>
      </w:pPr>
    </w:p>
    <w:p>
      <w:pPr>
        <w:rPr>
          <w:rFonts w:ascii="微软雅黑" w:hAnsi="宋体" w:eastAsia="微软雅黑"/>
          <w:sz w:val="36"/>
          <w:szCs w:val="36"/>
        </w:rPr>
      </w:pPr>
    </w:p>
    <w:p>
      <w:pPr>
        <w:rPr>
          <w:rFonts w:ascii="微软雅黑" w:hAnsi="宋体" w:eastAsia="微软雅黑"/>
          <w:sz w:val="36"/>
          <w:szCs w:val="36"/>
        </w:rPr>
      </w:pPr>
    </w:p>
    <w:p>
      <w:pPr>
        <w:rPr>
          <w:rFonts w:ascii="微软雅黑" w:hAnsi="宋体" w:eastAsia="微软雅黑"/>
          <w:sz w:val="36"/>
          <w:szCs w:val="36"/>
        </w:rPr>
      </w:pPr>
    </w:p>
    <w:p>
      <w:pPr>
        <w:rPr>
          <w:rFonts w:ascii="微软雅黑" w:hAnsi="宋体" w:eastAsia="微软雅黑"/>
          <w:sz w:val="36"/>
          <w:szCs w:val="36"/>
        </w:rPr>
      </w:pPr>
    </w:p>
    <w:p>
      <w:pPr>
        <w:rPr>
          <w:rFonts w:ascii="微软雅黑" w:hAnsi="宋体" w:eastAsia="微软雅黑"/>
          <w:sz w:val="36"/>
          <w:szCs w:val="36"/>
        </w:rPr>
      </w:pPr>
    </w:p>
    <w:p>
      <w:pPr>
        <w:rPr>
          <w:rFonts w:ascii="微软雅黑" w:hAnsi="宋体" w:eastAsia="微软雅黑"/>
          <w:sz w:val="36"/>
          <w:szCs w:val="36"/>
        </w:rPr>
      </w:pPr>
    </w:p>
    <w:p>
      <w:pPr>
        <w:rPr>
          <w:rFonts w:ascii="微软雅黑" w:hAnsi="宋体" w:eastAsia="微软雅黑"/>
          <w:sz w:val="36"/>
          <w:szCs w:val="36"/>
        </w:rPr>
      </w:pPr>
    </w:p>
    <w:p>
      <w:pPr>
        <w:autoSpaceDE w:val="0"/>
        <w:autoSpaceDN w:val="0"/>
        <w:adjustRightInd w:val="0"/>
        <w:ind w:left="420" w:leftChars="200"/>
        <w:jc w:val="left"/>
        <w:rPr>
          <w:rFonts w:hint="eastAsia" w:ascii="宋体" w:hAnsi="宋体" w:eastAsia="宋体"/>
          <w:sz w:val="32"/>
          <w:szCs w:val="32"/>
          <w:lang w:val="en-US" w:eastAsia="zh-CN"/>
        </w:rPr>
      </w:pPr>
      <w:r>
        <w:rPr>
          <w:rFonts w:hint="eastAsia" w:ascii="宋体" w:hAnsi="宋体" w:cs="仿宋_GB2312"/>
          <w:sz w:val="32"/>
          <w:szCs w:val="32"/>
        </w:rPr>
        <w:t>保密审查情况：已审查，内容审定</w:t>
      </w:r>
      <w:r>
        <w:rPr>
          <w:rFonts w:hint="eastAsia" w:ascii="宋体" w:hAnsi="宋体" w:cs="仿宋_GB2312"/>
          <w:sz w:val="32"/>
          <w:szCs w:val="32"/>
          <w:lang w:eastAsia="zh-CN"/>
        </w:rPr>
        <w:t>。</w:t>
      </w:r>
    </w:p>
    <w:p>
      <w:pPr>
        <w:autoSpaceDE w:val="0"/>
        <w:autoSpaceDN w:val="0"/>
        <w:adjustRightInd w:val="0"/>
        <w:ind w:left="420" w:leftChars="200"/>
        <w:jc w:val="left"/>
        <w:rPr>
          <w:rFonts w:hint="eastAsia" w:ascii="宋体" w:hAnsi="宋体" w:eastAsia="宋体"/>
          <w:sz w:val="32"/>
          <w:szCs w:val="32"/>
          <w:lang w:eastAsia="zh-CN"/>
        </w:rPr>
      </w:pPr>
      <w:r>
        <w:rPr>
          <w:rFonts w:hint="eastAsia" w:ascii="宋体" w:hAnsi="宋体" w:cs="仿宋_GB2312"/>
          <w:sz w:val="32"/>
          <w:szCs w:val="32"/>
        </w:rPr>
        <w:t>部门主要负责人审签情况：已审签，同意对外公开</w:t>
      </w:r>
      <w:r>
        <w:rPr>
          <w:rFonts w:hint="eastAsia" w:ascii="宋体" w:hAnsi="宋体" w:cs="仿宋_GB2312"/>
          <w:sz w:val="32"/>
          <w:szCs w:val="32"/>
          <w:lang w:eastAsia="zh-CN"/>
        </w:rPr>
        <w:t>。</w:t>
      </w:r>
    </w:p>
    <w:p>
      <w:pPr>
        <w:widowControl/>
        <w:jc w:val="center"/>
        <w:rPr>
          <w:rFonts w:ascii="黑体" w:hAnsi="黑体" w:eastAsia="黑体"/>
          <w:color w:val="000000"/>
          <w:sz w:val="48"/>
          <w:szCs w:val="48"/>
        </w:rPr>
      </w:pP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 xml:space="preserve">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16</w:t>
      </w:r>
      <w:r>
        <w:rPr>
          <w:rFonts w:hint="eastAsia" w:hAnsiTheme="minorHAnsi"/>
          <w:b w:val="0"/>
          <w:bCs w:val="0"/>
          <w:sz w:val="24"/>
          <w:szCs w:val="24"/>
        </w:rPr>
        <w:t xml:space="preserve"> 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0"/>
        <w:tabs>
          <w:tab w:val="right" w:leader="dot" w:pos="8296"/>
        </w:tabs>
        <w:rPr>
          <w:rFonts w:hAnsiTheme="minorHAnsi" w:eastAsiaTheme="minorEastAsia" w:cstheme="minorBidi"/>
          <w:b/>
          <w:bCs w:val="0"/>
          <w:i w:val="0"/>
          <w:iCs w:val="0"/>
          <w:sz w:val="21"/>
          <w:szCs w:val="22"/>
        </w:rPr>
      </w:pPr>
      <w:r>
        <w:rPr>
          <w:rFonts w:ascii="仿宋" w:hAnsi="仿宋" w:eastAsia="仿宋"/>
          <w:b/>
          <w:bCs w:val="0"/>
          <w:color w:val="000000"/>
        </w:rPr>
        <w:t>（一）主要职能。</w:t>
      </w:r>
      <w:r>
        <w:rPr>
          <w:b/>
          <w:bCs w:val="0"/>
        </w:rPr>
        <w:tab/>
      </w:r>
      <w:r>
        <w:rPr>
          <w:b/>
          <w:bCs w:val="0"/>
        </w:rPr>
        <w:fldChar w:fldCharType="begin"/>
      </w:r>
      <w:r>
        <w:rPr>
          <w:b/>
          <w:bCs w:val="0"/>
        </w:rPr>
        <w:instrText xml:space="preserve"> PAGEREF _Toc79163853 \h </w:instrText>
      </w:r>
      <w:r>
        <w:rPr>
          <w:b/>
          <w:bCs w:val="0"/>
        </w:rPr>
        <w:fldChar w:fldCharType="separate"/>
      </w:r>
      <w:r>
        <w:rPr>
          <w:b/>
          <w:bCs w:val="0"/>
        </w:rPr>
        <w:t>4</w:t>
      </w:r>
      <w:r>
        <w:rPr>
          <w:b/>
          <w:bCs w:val="0"/>
        </w:rPr>
        <w:fldChar w:fldCharType="end"/>
      </w:r>
    </w:p>
    <w:p>
      <w:pPr>
        <w:pStyle w:val="10"/>
        <w:tabs>
          <w:tab w:val="right" w:leader="dot" w:pos="8296"/>
        </w:tabs>
        <w:rPr>
          <w:rFonts w:hint="eastAsia" w:hAnsiTheme="minorHAnsi" w:eastAsiaTheme="minorHAnsi" w:cstheme="minorBidi"/>
          <w:b/>
          <w:bCs w:val="0"/>
          <w:i w:val="0"/>
          <w:iCs w:val="0"/>
          <w:sz w:val="21"/>
          <w:szCs w:val="22"/>
          <w:lang w:eastAsia="zh-CN"/>
        </w:rPr>
      </w:pPr>
      <w:r>
        <w:rPr>
          <w:rFonts w:ascii="仿宋" w:hAnsi="仿宋" w:eastAsia="仿宋"/>
          <w:b/>
          <w:bCs w:val="0"/>
          <w:color w:val="000000"/>
        </w:rPr>
        <w:t>（二）</w:t>
      </w:r>
      <w:r>
        <w:rPr>
          <w:rFonts w:hint="eastAsia" w:ascii="仿宋" w:hAnsi="仿宋" w:eastAsia="仿宋"/>
          <w:b/>
          <w:bCs w:val="0"/>
          <w:color w:val="000000"/>
          <w:lang w:eastAsia="zh-CN"/>
        </w:rPr>
        <w:t>20</w:t>
      </w:r>
      <w:r>
        <w:rPr>
          <w:rFonts w:hint="eastAsia" w:ascii="仿宋" w:hAnsi="仿宋" w:eastAsia="仿宋"/>
          <w:b/>
          <w:bCs w:val="0"/>
          <w:color w:val="000000"/>
          <w:lang w:val="en-US" w:eastAsia="zh-CN"/>
        </w:rPr>
        <w:t>22</w:t>
      </w:r>
      <w:r>
        <w:rPr>
          <w:rFonts w:ascii="仿宋" w:hAnsi="仿宋" w:eastAsia="仿宋"/>
          <w:b/>
          <w:bCs w:val="0"/>
          <w:color w:val="000000"/>
        </w:rPr>
        <w:t>年重点工作完成情况。</w:t>
      </w:r>
      <w:r>
        <w:rPr>
          <w:b/>
          <w:bCs w:val="0"/>
        </w:rPr>
        <w:tab/>
      </w:r>
      <w:r>
        <w:rPr>
          <w:rFonts w:hint="eastAsia"/>
          <w:b/>
          <w:bCs w:val="0"/>
          <w:lang w:val="en-US" w:eastAsia="zh-CN"/>
        </w:rPr>
        <w:t>5</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14</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w:t>
      </w:r>
      <w:r>
        <w:rPr>
          <w:rFonts w:hint="eastAsia" w:ascii="黑体" w:hAnsi="黑体" w:eastAsia="黑体"/>
          <w:b w:val="0"/>
          <w:bCs w:val="0"/>
          <w:lang w:val="en-US" w:eastAsia="zh-CN"/>
        </w:rPr>
        <w:t>2</w:t>
      </w:r>
      <w:r>
        <w:rPr>
          <w:rFonts w:ascii="黑体" w:hAnsi="黑体" w:eastAsia="黑体"/>
          <w:b w:val="0"/>
          <w:bCs w:val="0"/>
        </w:rPr>
        <w:t>年度部门决算情况说明</w:t>
      </w:r>
      <w:r>
        <w:tab/>
      </w:r>
      <w:r>
        <w:rPr>
          <w:rFonts w:hint="eastAsia"/>
          <w:lang w:val="en-US" w:eastAsia="zh-CN"/>
        </w:rPr>
        <w:t>15</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15</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15</w:t>
      </w:r>
    </w:p>
    <w:p>
      <w:pPr>
        <w:pStyle w:val="18"/>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15</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15</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15</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15</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16</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16</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17</w:t>
      </w:r>
    </w:p>
    <w:p>
      <w:pPr>
        <w:pStyle w:val="18"/>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18</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18</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18</w:t>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19</w:t>
      </w:r>
      <w:r>
        <w:fldChar w:fldCharType="end"/>
      </w:r>
    </w:p>
    <w:p>
      <w:pPr>
        <w:pStyle w:val="18"/>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19</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19</w:t>
      </w:r>
      <w:r>
        <w:fldChar w:fldCharType="end"/>
      </w:r>
    </w:p>
    <w:p>
      <w:pPr>
        <w:pStyle w:val="10"/>
        <w:tabs>
          <w:tab w:val="right" w:leader="dot" w:pos="8296"/>
        </w:tabs>
        <w:ind w:left="0" w:leftChars="0" w:firstLine="402" w:firstLineChars="200"/>
        <w:rPr>
          <w:rFonts w:hAnsiTheme="minorHAnsi" w:eastAsiaTheme="minorEastAsia" w:cstheme="minorBidi"/>
          <w:i w:val="0"/>
          <w:iCs w:val="0"/>
          <w:sz w:val="21"/>
          <w:szCs w:val="22"/>
        </w:rPr>
      </w:pPr>
      <w:r>
        <w:rPr>
          <w:rFonts w:ascii="仿宋" w:hAnsi="仿宋" w:eastAsia="仿宋"/>
          <w:b/>
          <w:color w:val="000000"/>
        </w:rPr>
        <w:t>（</w:t>
      </w:r>
      <w:r>
        <w:rPr>
          <w:rFonts w:hint="eastAsia" w:ascii="仿宋" w:hAnsi="仿宋" w:eastAsia="仿宋"/>
          <w:b/>
          <w:color w:val="000000"/>
          <w:lang w:val="en-US" w:eastAsia="zh-CN"/>
        </w:rPr>
        <w:t>二</w:t>
      </w:r>
      <w:r>
        <w:rPr>
          <w:rFonts w:ascii="仿宋" w:hAnsi="仿宋" w:eastAsia="仿宋"/>
          <w:b/>
          <w:color w:val="000000"/>
        </w:rPr>
        <w:t>）预算绩效管理情况。</w:t>
      </w:r>
      <w:r>
        <w:tab/>
      </w:r>
      <w:r>
        <w:fldChar w:fldCharType="begin"/>
      </w:r>
      <w:r>
        <w:instrText xml:space="preserve"> PAGEREF _Toc79163878 \h </w:instrText>
      </w:r>
      <w:r>
        <w:fldChar w:fldCharType="separate"/>
      </w:r>
      <w:r>
        <w:t>19</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22</w:t>
      </w:r>
      <w:r>
        <w:fldChar w:fldCharType="end"/>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25</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25</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微软雅黑" w:hAnsi="黑体" w:eastAsia="微软雅黑" w:cs="黑体"/>
          <w:lang w:val="en-US" w:eastAsia="zh-CN"/>
        </w:rPr>
        <w:t>九寨沟县人民法院</w:t>
      </w:r>
      <w:r>
        <w:rPr>
          <w:rFonts w:hint="eastAsia" w:ascii="微软雅黑" w:hAnsi="黑体" w:eastAsia="微软雅黑" w:cs="黑体"/>
          <w:lang w:eastAsia="zh-CN"/>
        </w:rPr>
        <w:t>202</w:t>
      </w:r>
      <w:r>
        <w:rPr>
          <w:rFonts w:hint="eastAsia" w:ascii="微软雅黑" w:hAnsi="黑体" w:eastAsia="微软雅黑" w:cs="黑体"/>
          <w:lang w:val="en-US" w:eastAsia="zh-CN"/>
        </w:rPr>
        <w:t>2</w:t>
      </w:r>
      <w:r>
        <w:rPr>
          <w:rFonts w:ascii="微软雅黑" w:hAnsi="黑体" w:eastAsia="微软雅黑" w:cs="黑体"/>
        </w:rPr>
        <w:t>年部门整体支出绩效评价报告</w:t>
      </w:r>
      <w:r>
        <w:tab/>
      </w:r>
      <w:r>
        <w:rPr>
          <w:rFonts w:hint="eastAsia"/>
          <w:lang w:val="en-US" w:eastAsia="zh-CN"/>
        </w:rPr>
        <w:t>25</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38</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微软雅黑" w:hAnsi="黑体" w:eastAsia="微软雅黑" w:cs="黑体"/>
          <w:lang w:val="en-US" w:eastAsia="zh-CN"/>
        </w:rPr>
        <w:t>2022年转移支付</w:t>
      </w:r>
      <w:r>
        <w:rPr>
          <w:rFonts w:ascii="微软雅黑" w:hAnsi="黑体" w:eastAsia="微软雅黑" w:cs="黑体"/>
        </w:rPr>
        <w:t>项目</w:t>
      </w:r>
      <w:r>
        <w:rPr>
          <w:rFonts w:hint="eastAsia" w:ascii="微软雅黑" w:hAnsi="黑体" w:eastAsia="微软雅黑" w:cs="黑体"/>
          <w:lang w:eastAsia="zh-CN"/>
        </w:rPr>
        <w:t>202</w:t>
      </w:r>
      <w:r>
        <w:rPr>
          <w:rFonts w:hint="eastAsia" w:ascii="微软雅黑" w:hAnsi="黑体" w:eastAsia="微软雅黑" w:cs="黑体"/>
          <w:lang w:val="en-US" w:eastAsia="zh-CN"/>
        </w:rPr>
        <w:t>2</w:t>
      </w:r>
      <w:r>
        <w:rPr>
          <w:rFonts w:ascii="微软雅黑" w:hAnsi="黑体" w:eastAsia="微软雅黑" w:cs="黑体"/>
        </w:rPr>
        <w:t>年绩效评价报告</w:t>
      </w:r>
      <w:r>
        <w:tab/>
      </w:r>
      <w:r>
        <w:rPr>
          <w:rFonts w:hint="eastAsia"/>
          <w:lang w:val="en-US" w:eastAsia="zh-CN"/>
        </w:rPr>
        <w:t>38</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41</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42</w:t>
      </w:r>
    </w:p>
    <w:p>
      <w:pPr>
        <w:pStyle w:val="18"/>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42</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pStyle w:val="3"/>
        <w:pageBreakBefore w:val="0"/>
        <w:widowControl w:val="0"/>
        <w:kinsoku/>
        <w:wordWrap/>
        <w:overflowPunct/>
        <w:topLinePunct w:val="0"/>
        <w:autoSpaceDE/>
        <w:autoSpaceDN/>
        <w:bidi w:val="0"/>
        <w:spacing w:line="576" w:lineRule="exact"/>
        <w:ind w:firstLine="640" w:firstLineChars="200"/>
        <w:textAlignment w:val="auto"/>
        <w:rPr>
          <w:rStyle w:val="26"/>
          <w:rFonts w:hint="eastAsia" w:ascii="方正黑体_GBK" w:hAnsi="方正黑体_GBK" w:eastAsia="方正黑体_GBK" w:cs="方正黑体_GBK"/>
          <w:b w:val="0"/>
          <w:bCs w:val="0"/>
        </w:rPr>
      </w:pPr>
      <w:bookmarkStart w:id="16" w:name="_Toc79163852"/>
      <w:bookmarkStart w:id="17" w:name="_Toc15377197"/>
      <w:bookmarkStart w:id="18" w:name="_Toc79163602"/>
      <w:bookmarkStart w:id="19" w:name="_Toc15396600"/>
      <w:r>
        <w:rPr>
          <w:rFonts w:hint="eastAsia" w:ascii="方正黑体_GBK" w:hAnsi="方正黑体_GBK" w:eastAsia="方正黑体_GBK" w:cs="方正黑体_GBK"/>
          <w:b w:val="0"/>
          <w:color w:val="000000"/>
        </w:rPr>
        <w:t>一、基</w:t>
      </w:r>
      <w:r>
        <w:rPr>
          <w:rStyle w:val="26"/>
          <w:rFonts w:hint="eastAsia" w:ascii="方正黑体_GBK" w:hAnsi="方正黑体_GBK" w:eastAsia="方正黑体_GBK" w:cs="方正黑体_GBK"/>
          <w:b w:val="0"/>
          <w:bCs w:val="0"/>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3"/>
        <w:pageBreakBefore w:val="0"/>
        <w:widowControl w:val="0"/>
        <w:kinsoku/>
        <w:wordWrap/>
        <w:overflowPunct/>
        <w:topLinePunct w:val="0"/>
        <w:autoSpaceDE/>
        <w:autoSpaceDN/>
        <w:bidi w:val="0"/>
        <w:spacing w:line="576" w:lineRule="exact"/>
        <w:ind w:firstLine="643" w:firstLineChars="200"/>
        <w:textAlignment w:val="auto"/>
        <w:rPr>
          <w:rFonts w:ascii="仿宋" w:hAnsi="仿宋" w:eastAsia="仿宋"/>
          <w:bCs/>
          <w:color w:val="000000"/>
          <w:sz w:val="32"/>
          <w:szCs w:val="32"/>
        </w:rPr>
      </w:pPr>
      <w:r>
        <w:rPr>
          <w:rFonts w:hint="eastAsia" w:ascii="方正楷体_GBK" w:hAnsi="方正楷体_GBK" w:eastAsia="方正楷体_GBK" w:cs="方正楷体_GBK"/>
          <w:bCs/>
          <w:color w:val="000000"/>
          <w:sz w:val="32"/>
          <w:szCs w:val="32"/>
        </w:rPr>
        <w:t>（一）主要职能。</w:t>
      </w:r>
      <w:bookmarkEnd w:id="20"/>
      <w:bookmarkEnd w:id="21"/>
    </w:p>
    <w:bookmarkEnd w:id="22"/>
    <w:bookmarkEnd w:id="23"/>
    <w:p>
      <w:pPr>
        <w:pStyle w:val="6"/>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outlineLvl w:val="2"/>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人民法院是国家的审判机关，依法独立行使审判权，对人民代表大会及其常务委员会负责并报告工作</w:t>
      </w:r>
      <w:r>
        <w:rPr>
          <w:rFonts w:hint="eastAsia" w:asci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依照法律规定对刑事案件、民商事案件和行政案件进行审理并做出裁决。人民法院的职责，是通过审判活动，惩治一切犯罪分子，解决各类矛盾纠纷，维护社会主义法治和社会经济秩序，保卫社会主义全民所有制财产、劳动群众集体所有制财产，保护公民私人所有的合法财产，保护公民的人身权利、民主权利和其他权利，保障国家社会主义建设事业顺利进行。</w:t>
      </w:r>
    </w:p>
    <w:p>
      <w:pPr>
        <w:pStyle w:val="6"/>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九寨沟</w:t>
      </w:r>
      <w:r>
        <w:rPr>
          <w:rFonts w:hint="default" w:ascii="Times New Roman" w:hAnsi="Times New Roman" w:eastAsia="方正仿宋_GBK" w:cs="Times New Roman"/>
          <w:bCs/>
          <w:color w:val="000000"/>
          <w:sz w:val="32"/>
          <w:szCs w:val="32"/>
        </w:rPr>
        <w:t>县人民法院是</w:t>
      </w:r>
      <w:r>
        <w:rPr>
          <w:rFonts w:hint="eastAsia" w:ascii="Times New Roman" w:hAnsi="Times New Roman" w:eastAsia="方正仿宋_GBK" w:cs="Times New Roman"/>
          <w:bCs/>
          <w:color w:val="000000"/>
          <w:sz w:val="32"/>
          <w:szCs w:val="32"/>
          <w:lang w:val="en-US" w:eastAsia="zh-CN"/>
        </w:rPr>
        <w:t>基层人民法院</w:t>
      </w:r>
      <w:r>
        <w:rPr>
          <w:rFonts w:hint="eastAsia"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主要职责是:</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default" w:ascii="Times New Roman" w:hAnsi="Times New Roman" w:eastAsia="方正仿宋_GBK" w:cs="Times New Roman"/>
          <w:bCs/>
          <w:color w:val="000000"/>
          <w:sz w:val="32"/>
          <w:szCs w:val="32"/>
        </w:rPr>
        <w:t>依法审判法律规定由基层人民法院管辖和上级法院指定管辖的刑事、民事、行政等第一审案件。</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2.</w:t>
      </w:r>
      <w:r>
        <w:rPr>
          <w:rFonts w:hint="default" w:ascii="Times New Roman" w:hAnsi="Times New Roman" w:eastAsia="方正仿宋_GBK" w:cs="Times New Roman"/>
          <w:bCs/>
          <w:color w:val="000000"/>
          <w:sz w:val="32"/>
          <w:szCs w:val="32"/>
        </w:rPr>
        <w:t>审查和受理各类申诉案件，审判各类再审案件，处理涉诉信访。</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3</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依法办理发生法律效力的民事、行政案件判决和裁定执行事项及刑事案件判决和裁定中关于财产部分的执行事项;办理法律规定由基层人民法院执行的其他法律文书的执行事项。</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4</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管理、使用本院的司法警察力量，保证机关和押解人犯的安全，维护正常的审判执行工作秩序。</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5</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负责本院审判工作的管理监督、调查研究，总结审判工作经验。</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6</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负责本院干警思想政治教育、法制宣传和业务培训工作</w:t>
      </w:r>
      <w:r>
        <w:rPr>
          <w:rFonts w:hint="eastAsia"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按照权限管理法官和其他工作人员</w:t>
      </w:r>
      <w:r>
        <w:rPr>
          <w:rFonts w:hint="eastAsia"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协同上级法院及县主管部门管理本院的机构设置、人员编制工作。</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7</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管理本院的有关经费及物资装备。</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8</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负责本院司法技术鉴定、通讯、网络信息等技术管理工作。</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9</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负责人民陪审员的选任、培训、使用、考核、奖惩等相关工作。</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eastAsia" w:ascii="Times New Roman" w:eastAsia="方正仿宋_GBK" w:cs="Times New Roman"/>
          <w:bCs/>
          <w:color w:val="000000"/>
          <w:sz w:val="32"/>
          <w:szCs w:val="32"/>
          <w:lang w:val="en-US" w:eastAsia="zh-CN"/>
        </w:rPr>
        <w:t>0</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自觉接受上级法院对审判工作的监督和指导。</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eastAsia" w:ascii="Times New Roman" w:eastAsia="方正仿宋_GBK" w:cs="Times New Roman"/>
          <w:bCs/>
          <w:color w:val="000000"/>
          <w:sz w:val="32"/>
          <w:szCs w:val="32"/>
          <w:lang w:val="en-US" w:eastAsia="zh-CN"/>
        </w:rPr>
        <w:t>1</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做好人大代表、政协委员联络工作。</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eastAsia" w:ascii="Times New Roman" w:eastAsia="方正仿宋_GBK" w:cs="Times New Roman"/>
          <w:bCs/>
          <w:color w:val="000000"/>
          <w:sz w:val="32"/>
          <w:szCs w:val="32"/>
          <w:lang w:val="en-US" w:eastAsia="zh-CN"/>
        </w:rPr>
        <w:t>2</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完成其他应由基层人民法院负责的工作。　</w:t>
      </w:r>
    </w:p>
    <w:p>
      <w:pPr>
        <w:pStyle w:val="6"/>
        <w:keepNext w:val="0"/>
        <w:keepLines w:val="0"/>
        <w:pageBreakBefore w:val="0"/>
        <w:widowControl w:val="0"/>
        <w:kinsoku/>
        <w:wordWrap/>
        <w:overflowPunct/>
        <w:topLinePunct w:val="0"/>
        <w:autoSpaceDE/>
        <w:autoSpaceDN/>
        <w:bidi w:val="0"/>
        <w:adjustRightInd w:val="0"/>
        <w:snapToGrid w:val="0"/>
        <w:spacing w:before="93" w:line="576" w:lineRule="exact"/>
        <w:ind w:firstLine="675" w:firstLineChars="210"/>
        <w:textAlignment w:val="auto"/>
        <w:outlineLvl w:val="2"/>
        <w:rPr>
          <w:rFonts w:hint="eastAsia" w:ascii="方正楷体_GBK" w:hAnsi="方正楷体_GBK" w:eastAsia="方正楷体_GBK" w:cs="方正楷体_GBK"/>
          <w:b/>
          <w:bCs w:val="0"/>
          <w:color w:val="000000"/>
          <w:sz w:val="32"/>
          <w:szCs w:val="32"/>
        </w:rPr>
      </w:pPr>
      <w:r>
        <w:rPr>
          <w:rFonts w:hint="eastAsia" w:ascii="方正楷体_GBK" w:hAnsi="方正楷体_GBK" w:eastAsia="方正楷体_GBK" w:cs="方正楷体_GBK"/>
          <w:b/>
          <w:bCs w:val="0"/>
          <w:color w:val="000000"/>
          <w:sz w:val="32"/>
          <w:szCs w:val="32"/>
        </w:rPr>
        <w:t>（二）202</w:t>
      </w:r>
      <w:r>
        <w:rPr>
          <w:rFonts w:hint="eastAsia" w:ascii="方正楷体_GBK" w:hAnsi="方正楷体_GBK" w:eastAsia="方正楷体_GBK" w:cs="方正楷体_GBK"/>
          <w:b/>
          <w:bCs w:val="0"/>
          <w:color w:val="000000"/>
          <w:sz w:val="32"/>
          <w:szCs w:val="32"/>
          <w:lang w:val="en-US" w:eastAsia="zh-CN"/>
        </w:rPr>
        <w:t>2</w:t>
      </w:r>
      <w:r>
        <w:rPr>
          <w:rFonts w:hint="eastAsia" w:ascii="方正楷体_GBK" w:hAnsi="方正楷体_GBK" w:eastAsia="方正楷体_GBK" w:cs="方正楷体_GBK"/>
          <w:b/>
          <w:bCs w:val="0"/>
          <w:color w:val="000000"/>
          <w:sz w:val="32"/>
          <w:szCs w:val="32"/>
        </w:rPr>
        <w:t>年重点工作完成情况。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64" w:firstLineChars="200"/>
        <w:jc w:val="both"/>
        <w:textAlignment w:val="auto"/>
        <w:rPr>
          <w:rFonts w:hint="default" w:ascii="Times New Roman" w:hAnsi="Times New Roman" w:eastAsia="方正仿宋_GBK" w:cs="Times New Roman"/>
          <w:b w:val="0"/>
          <w:bCs w:val="0"/>
          <w:spacing w:val="6"/>
          <w:sz w:val="32"/>
          <w:szCs w:val="32"/>
          <w:lang w:val="en-US" w:eastAsia="zh-CN"/>
        </w:rPr>
      </w:pPr>
      <w:r>
        <w:rPr>
          <w:rFonts w:hint="default" w:ascii="Times New Roman" w:hAnsi="Times New Roman" w:eastAsia="方正仿宋_GBK" w:cs="Times New Roman"/>
          <w:b w:val="0"/>
          <w:bCs w:val="0"/>
          <w:spacing w:val="6"/>
          <w:sz w:val="32"/>
          <w:szCs w:val="32"/>
          <w:lang w:val="en-US" w:eastAsia="zh-CN"/>
        </w:rPr>
        <w:t>2022年</w:t>
      </w:r>
      <w:r>
        <w:rPr>
          <w:rFonts w:hint="default" w:ascii="Times New Roman" w:hAnsi="Times New Roman" w:eastAsia="方正仿宋_GBK" w:cs="Times New Roman"/>
          <w:b w:val="0"/>
          <w:bCs w:val="0"/>
          <w:spacing w:val="6"/>
          <w:sz w:val="32"/>
          <w:szCs w:val="32"/>
        </w:rPr>
        <w:t>，九寨沟县人民法院在县委坚强领导、县人大及其常委会有力监督、县政府大力支持、县政协民主监督和上级法院精心指导下，坚持以习近平新时代中国特色社会主义思想为指导，深入学习贯彻习近平法治思想</w:t>
      </w:r>
      <w:r>
        <w:rPr>
          <w:rFonts w:hint="default" w:ascii="Times New Roman" w:hAnsi="Times New Roman" w:eastAsia="方正仿宋_GBK" w:cs="Times New Roman"/>
          <w:b w:val="0"/>
          <w:bCs w:val="0"/>
          <w:spacing w:val="6"/>
          <w:sz w:val="32"/>
          <w:szCs w:val="32"/>
          <w:lang w:val="en-US" w:eastAsia="zh-CN"/>
        </w:rPr>
        <w:t>，坚决</w:t>
      </w:r>
      <w:r>
        <w:rPr>
          <w:rFonts w:hint="eastAsia" w:eastAsia="方正仿宋_GBK" w:cs="Times New Roman"/>
          <w:b w:val="0"/>
          <w:bCs w:val="0"/>
          <w:spacing w:val="6"/>
          <w:sz w:val="32"/>
          <w:szCs w:val="32"/>
          <w:lang w:val="en-US" w:eastAsia="zh-CN"/>
        </w:rPr>
        <w:t>贯彻</w:t>
      </w:r>
      <w:r>
        <w:rPr>
          <w:rFonts w:hint="default" w:ascii="Times New Roman" w:hAnsi="Times New Roman" w:eastAsia="方正仿宋_GBK" w:cs="Times New Roman"/>
          <w:b w:val="0"/>
          <w:bCs w:val="0"/>
          <w:spacing w:val="6"/>
          <w:sz w:val="32"/>
          <w:szCs w:val="32"/>
          <w:lang w:val="en-US" w:eastAsia="zh-CN"/>
        </w:rPr>
        <w:t>落实</w:t>
      </w:r>
      <w:r>
        <w:rPr>
          <w:rFonts w:hint="default" w:ascii="Times New Roman" w:hAnsi="Times New Roman" w:eastAsia="方正仿宋_GBK" w:cs="Times New Roman"/>
          <w:b w:val="0"/>
          <w:bCs w:val="0"/>
          <w:color w:val="auto"/>
          <w:spacing w:val="6"/>
          <w:sz w:val="32"/>
          <w:szCs w:val="32"/>
          <w:lang w:val="en-US" w:eastAsia="zh-CN"/>
        </w:rPr>
        <w:t>党</w:t>
      </w:r>
      <w:r>
        <w:rPr>
          <w:rFonts w:hint="default" w:ascii="Times New Roman" w:hAnsi="Times New Roman" w:eastAsia="方正仿宋_GBK" w:cs="Times New Roman"/>
          <w:b w:val="0"/>
          <w:bCs w:val="0"/>
          <w:color w:val="auto"/>
          <w:spacing w:val="6"/>
          <w:sz w:val="32"/>
          <w:szCs w:val="32"/>
        </w:rPr>
        <w:t>的十九大和十九届历次全会</w:t>
      </w:r>
      <w:r>
        <w:rPr>
          <w:rFonts w:hint="default" w:ascii="Times New Roman" w:hAnsi="Times New Roman" w:eastAsia="方正仿宋_GBK" w:cs="Times New Roman"/>
          <w:b w:val="0"/>
          <w:bCs w:val="0"/>
          <w:color w:val="auto"/>
          <w:spacing w:val="6"/>
          <w:sz w:val="32"/>
          <w:szCs w:val="32"/>
          <w:lang w:val="en-US" w:eastAsia="zh-CN"/>
        </w:rPr>
        <w:t>，党</w:t>
      </w:r>
      <w:r>
        <w:rPr>
          <w:rFonts w:hint="default" w:ascii="Times New Roman" w:hAnsi="Times New Roman" w:eastAsia="方正仿宋_GBK" w:cs="Times New Roman"/>
          <w:b w:val="0"/>
          <w:bCs w:val="0"/>
          <w:color w:val="auto"/>
          <w:spacing w:val="6"/>
          <w:sz w:val="32"/>
          <w:szCs w:val="32"/>
        </w:rPr>
        <w:t>的</w:t>
      </w:r>
      <w:r>
        <w:rPr>
          <w:rFonts w:hint="default" w:ascii="Times New Roman" w:hAnsi="Times New Roman" w:eastAsia="方正仿宋_GBK" w:cs="Times New Roman"/>
          <w:b w:val="0"/>
          <w:bCs w:val="0"/>
          <w:color w:val="auto"/>
          <w:spacing w:val="6"/>
          <w:sz w:val="32"/>
          <w:szCs w:val="32"/>
          <w:lang w:val="en-US" w:eastAsia="zh-CN"/>
        </w:rPr>
        <w:t>二十大</w:t>
      </w:r>
      <w:r>
        <w:rPr>
          <w:rFonts w:hint="default" w:ascii="Times New Roman" w:hAnsi="Times New Roman" w:eastAsia="方正仿宋_GBK" w:cs="Times New Roman"/>
          <w:b w:val="0"/>
          <w:bCs w:val="0"/>
          <w:color w:val="auto"/>
          <w:spacing w:val="6"/>
          <w:sz w:val="32"/>
          <w:szCs w:val="32"/>
        </w:rPr>
        <w:t>，省、州第十二次党代会和县第五次党代会精神，</w:t>
      </w:r>
      <w:r>
        <w:rPr>
          <w:rFonts w:hint="default" w:ascii="Times New Roman" w:hAnsi="Times New Roman" w:eastAsia="方正仿宋_GBK" w:cs="Times New Roman"/>
          <w:b w:val="0"/>
          <w:bCs w:val="0"/>
          <w:spacing w:val="6"/>
          <w:sz w:val="32"/>
          <w:szCs w:val="32"/>
        </w:rPr>
        <w:t>紧紧围绕“努力让人民群众在每一个司法案件中感受到公平正义”</w:t>
      </w:r>
      <w:r>
        <w:rPr>
          <w:rFonts w:hint="default" w:ascii="Times New Roman" w:hAnsi="Times New Roman" w:eastAsia="方正仿宋_GBK" w:cs="Times New Roman"/>
          <w:b w:val="0"/>
          <w:bCs w:val="0"/>
          <w:spacing w:val="6"/>
          <w:sz w:val="32"/>
          <w:szCs w:val="32"/>
          <w:lang w:val="en-US" w:eastAsia="zh-CN"/>
        </w:rPr>
        <w:t>的</w:t>
      </w:r>
      <w:r>
        <w:rPr>
          <w:rFonts w:hint="default" w:ascii="Times New Roman" w:hAnsi="Times New Roman" w:eastAsia="方正仿宋_GBK" w:cs="Times New Roman"/>
          <w:b w:val="0"/>
          <w:bCs w:val="0"/>
          <w:spacing w:val="6"/>
          <w:sz w:val="32"/>
          <w:szCs w:val="32"/>
        </w:rPr>
        <w:t>目标，忠实履行宪法和法律赋予的</w:t>
      </w:r>
      <w:r>
        <w:rPr>
          <w:rFonts w:hint="default" w:ascii="Times New Roman" w:hAnsi="Times New Roman" w:eastAsia="方正仿宋_GBK" w:cs="Times New Roman"/>
          <w:b w:val="0"/>
          <w:bCs w:val="0"/>
          <w:spacing w:val="6"/>
          <w:sz w:val="32"/>
          <w:szCs w:val="32"/>
          <w:lang w:val="en-US" w:eastAsia="zh-CN"/>
        </w:rPr>
        <w:t>职责，全年共受理各类案件13</w:t>
      </w:r>
      <w:r>
        <w:rPr>
          <w:rFonts w:hint="eastAsia" w:ascii="Times New Roman" w:hAnsi="Times New Roman" w:eastAsia="方正仿宋_GBK" w:cs="Times New Roman"/>
          <w:b w:val="0"/>
          <w:bCs w:val="0"/>
          <w:spacing w:val="6"/>
          <w:sz w:val="32"/>
          <w:szCs w:val="32"/>
          <w:lang w:val="en-US" w:eastAsia="zh-CN"/>
        </w:rPr>
        <w:t>45</w:t>
      </w:r>
      <w:r>
        <w:rPr>
          <w:rFonts w:hint="default" w:ascii="Times New Roman" w:hAnsi="Times New Roman" w:eastAsia="方正仿宋_GBK" w:cs="Times New Roman"/>
          <w:b w:val="0"/>
          <w:bCs w:val="0"/>
          <w:spacing w:val="6"/>
          <w:sz w:val="32"/>
          <w:szCs w:val="32"/>
          <w:lang w:val="en-US" w:eastAsia="zh-CN"/>
        </w:rPr>
        <w:t>件，审执结1</w:t>
      </w:r>
      <w:r>
        <w:rPr>
          <w:rFonts w:hint="eastAsia" w:ascii="Times New Roman" w:hAnsi="Times New Roman" w:eastAsia="方正仿宋_GBK" w:cs="Times New Roman"/>
          <w:b w:val="0"/>
          <w:bCs w:val="0"/>
          <w:spacing w:val="6"/>
          <w:sz w:val="32"/>
          <w:szCs w:val="32"/>
          <w:lang w:val="en-US" w:eastAsia="zh-CN"/>
        </w:rPr>
        <w:t>321</w:t>
      </w:r>
      <w:r>
        <w:rPr>
          <w:rFonts w:hint="default" w:ascii="Times New Roman" w:hAnsi="Times New Roman" w:eastAsia="方正仿宋_GBK" w:cs="Times New Roman"/>
          <w:b w:val="0"/>
          <w:bCs w:val="0"/>
          <w:spacing w:val="6"/>
          <w:sz w:val="32"/>
          <w:szCs w:val="32"/>
          <w:lang w:val="en-US" w:eastAsia="zh-CN"/>
        </w:rPr>
        <w:t>件，同比上升</w:t>
      </w:r>
      <w:r>
        <w:rPr>
          <w:rFonts w:hint="eastAsia" w:ascii="Times New Roman" w:hAnsi="Times New Roman" w:eastAsia="方正仿宋_GBK" w:cs="Times New Roman"/>
          <w:b w:val="0"/>
          <w:bCs w:val="0"/>
          <w:spacing w:val="6"/>
          <w:sz w:val="32"/>
          <w:szCs w:val="32"/>
          <w:lang w:val="en-US" w:eastAsia="zh-CN"/>
        </w:rPr>
        <w:t>19.98</w:t>
      </w:r>
      <w:r>
        <w:rPr>
          <w:rFonts w:hint="default" w:ascii="Times New Roman" w:hAnsi="Times New Roman" w:eastAsia="方正仿宋_GBK" w:cs="Times New Roman"/>
          <w:b w:val="0"/>
          <w:bCs w:val="0"/>
          <w:spacing w:val="6"/>
          <w:sz w:val="32"/>
          <w:szCs w:val="32"/>
          <w:lang w:val="en-US" w:eastAsia="zh-CN"/>
        </w:rPr>
        <w:t>%，各项指标位居全州前列。</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Style w:val="23"/>
          <w:rFonts w:hint="default" w:ascii="Times New Roman" w:hAnsi="Times New Roman" w:eastAsia="方正黑体_GBK" w:cs="Times New Roman"/>
          <w:b w:val="0"/>
          <w:bCs w:val="0"/>
          <w:color w:val="auto"/>
          <w:spacing w:val="0"/>
          <w:sz w:val="32"/>
          <w:szCs w:val="32"/>
          <w:lang w:val="en-US" w:eastAsia="zh-CN"/>
        </w:rPr>
      </w:pPr>
      <w:r>
        <w:rPr>
          <w:rStyle w:val="23"/>
          <w:rFonts w:hint="default" w:ascii="Times New Roman" w:hAnsi="Times New Roman" w:eastAsia="方正黑体_GBK" w:cs="Times New Roman"/>
          <w:b w:val="0"/>
          <w:bCs w:val="0"/>
          <w:color w:val="auto"/>
          <w:spacing w:val="0"/>
          <w:sz w:val="32"/>
          <w:szCs w:val="32"/>
          <w:lang w:val="en-US" w:eastAsia="zh-CN"/>
        </w:rPr>
        <w:t>一、把牢政治建院总方向，在知行合一中筑牢政治忠诚</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筑牢政治忠诚压舱石。</w:t>
      </w:r>
      <w:r>
        <w:rPr>
          <w:rFonts w:hint="default" w:ascii="Times New Roman" w:hAnsi="Times New Roman" w:eastAsia="方正仿宋_GBK" w:cs="Times New Roman"/>
          <w:b w:val="0"/>
          <w:bCs w:val="0"/>
          <w:spacing w:val="6"/>
          <w:kern w:val="2"/>
          <w:sz w:val="32"/>
          <w:szCs w:val="32"/>
          <w:lang w:val="en-US" w:eastAsia="zh-CN" w:bidi="ar-SA"/>
        </w:rPr>
        <w:t>牢记政法初心使命，始终把政治建设摆在首位，坚持党对法院工作的绝对领导。认真贯彻落实《中国共产党党组工作条例》《中国共产党政法工作条例》及我省实施细则，向县委、县委政法委请示汇报重点工作25次，认真接受县委政法委政治督察和执法监督检查，确保法院工作政治方向正确。</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练好理论学习基本功。</w:t>
      </w:r>
      <w:r>
        <w:rPr>
          <w:rFonts w:hint="default" w:ascii="Times New Roman" w:hAnsi="Times New Roman" w:eastAsia="方正仿宋_GBK" w:cs="Times New Roman"/>
          <w:b w:val="0"/>
          <w:bCs w:val="0"/>
          <w:spacing w:val="6"/>
          <w:kern w:val="2"/>
          <w:sz w:val="32"/>
          <w:szCs w:val="32"/>
          <w:lang w:val="en-US" w:eastAsia="zh-CN" w:bidi="ar-SA"/>
        </w:rPr>
        <w:t>强化“政治引擎”，持续推动党史学习教育常态化长效化，将学习宣传党的二十大精神同“忠诚铸魂、铁纪担当”“政治建设年”等专项活动有机结合，开展政治轮训10次，忠诚教育、形势教育3次，开展“笃学</w:t>
      </w:r>
      <w:r>
        <w:rPr>
          <w:rFonts w:hint="default" w:ascii="Times New Roman" w:hAnsi="Times New Roman" w:eastAsia="方正仿宋_GBK" w:cs="Times New Roman"/>
          <w:b/>
          <w:bCs/>
          <w:spacing w:val="6"/>
          <w:kern w:val="2"/>
          <w:sz w:val="32"/>
          <w:szCs w:val="32"/>
          <w:lang w:val="en-US" w:eastAsia="zh-CN" w:bidi="ar-SA"/>
        </w:rPr>
        <w:t>·</w:t>
      </w:r>
      <w:r>
        <w:rPr>
          <w:rFonts w:hint="default" w:ascii="Times New Roman" w:hAnsi="Times New Roman" w:eastAsia="方正仿宋_GBK" w:cs="Times New Roman"/>
          <w:b w:val="0"/>
          <w:bCs w:val="0"/>
          <w:spacing w:val="6"/>
          <w:kern w:val="2"/>
          <w:sz w:val="32"/>
          <w:szCs w:val="32"/>
          <w:lang w:val="en-US" w:eastAsia="zh-CN" w:bidi="ar-SA"/>
        </w:rPr>
        <w:t>笃信</w:t>
      </w:r>
      <w:r>
        <w:rPr>
          <w:rFonts w:hint="default" w:ascii="Times New Roman" w:hAnsi="Times New Roman" w:eastAsia="方正仿宋_GBK" w:cs="Times New Roman"/>
          <w:b/>
          <w:bCs/>
          <w:spacing w:val="6"/>
          <w:kern w:val="2"/>
          <w:sz w:val="32"/>
          <w:szCs w:val="32"/>
          <w:lang w:val="en-US" w:eastAsia="zh-CN" w:bidi="ar-SA"/>
        </w:rPr>
        <w:t>·</w:t>
      </w:r>
      <w:r>
        <w:rPr>
          <w:rFonts w:hint="default" w:ascii="Times New Roman" w:hAnsi="Times New Roman" w:eastAsia="方正仿宋_GBK" w:cs="Times New Roman"/>
          <w:b w:val="0"/>
          <w:bCs w:val="0"/>
          <w:spacing w:val="6"/>
          <w:kern w:val="2"/>
          <w:sz w:val="32"/>
          <w:szCs w:val="32"/>
          <w:lang w:val="en-US" w:eastAsia="zh-CN" w:bidi="ar-SA"/>
        </w:rPr>
        <w:t>笃行”每月一学活动，开展会前学纪、事前学法37次，确保政治理论学习走深走实。</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坚守意识形态主阵地。</w:t>
      </w:r>
      <w:r>
        <w:rPr>
          <w:rFonts w:hint="default" w:ascii="Times New Roman" w:hAnsi="Times New Roman" w:eastAsia="方正仿宋_GBK" w:cs="Times New Roman"/>
          <w:b w:val="0"/>
          <w:bCs w:val="0"/>
          <w:spacing w:val="6"/>
          <w:kern w:val="2"/>
          <w:sz w:val="32"/>
          <w:szCs w:val="32"/>
          <w:lang w:val="en-US" w:eastAsia="zh-CN" w:bidi="ar-SA"/>
        </w:rPr>
        <w:t>提升“政治三力”，严格落实意识形态工作责任制，专题研究部署意识形态工作，始终保持清醒头脑，做政治上的明白人、纪律上的清醒人。</w:t>
      </w:r>
      <w:r>
        <w:rPr>
          <w:rFonts w:hint="default" w:ascii="Times New Roman" w:hAnsi="Times New Roman" w:eastAsia="方正仿宋_GBK" w:cs="Times New Roman"/>
          <w:b w:val="0"/>
          <w:bCs w:val="0"/>
          <w:spacing w:val="-6"/>
          <w:kern w:val="2"/>
          <w:sz w:val="32"/>
          <w:szCs w:val="32"/>
          <w:lang w:val="en-US" w:eastAsia="zh-CN" w:bidi="ar-SA"/>
        </w:rPr>
        <w:t>强化意识形态阵地管理，落实重大敏感案事件“三同步”原则，</w:t>
      </w:r>
      <w:r>
        <w:rPr>
          <w:rFonts w:hint="default" w:ascii="Times New Roman" w:hAnsi="Times New Roman" w:eastAsia="方正仿宋_GBK" w:cs="Times New Roman"/>
          <w:b w:val="0"/>
          <w:bCs w:val="0"/>
          <w:sz w:val="32"/>
          <w:szCs w:val="32"/>
          <w:lang w:val="en-US" w:eastAsia="zh-CN"/>
        </w:rPr>
        <w:t>开展</w:t>
      </w:r>
      <w:r>
        <w:rPr>
          <w:rFonts w:hint="default" w:ascii="Times New Roman" w:hAnsi="Times New Roman" w:eastAsia="方正仿宋_GBK" w:cs="Times New Roman"/>
          <w:b w:val="0"/>
          <w:bCs w:val="0"/>
          <w:sz w:val="32"/>
          <w:szCs w:val="32"/>
        </w:rPr>
        <w:t>信息拉练</w:t>
      </w:r>
      <w:r>
        <w:rPr>
          <w:rFonts w:hint="default" w:ascii="Times New Roman" w:hAnsi="Times New Roman" w:eastAsia="方正仿宋_GBK" w:cs="Times New Roman"/>
          <w:b w:val="0"/>
          <w:bCs w:val="0"/>
          <w:sz w:val="32"/>
          <w:szCs w:val="32"/>
          <w:lang w:val="en-US" w:eastAsia="zh-CN"/>
        </w:rPr>
        <w:t>活动</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pacing w:val="-6"/>
          <w:kern w:val="2"/>
          <w:sz w:val="32"/>
          <w:szCs w:val="32"/>
          <w:lang w:val="en-US" w:eastAsia="zh-CN" w:bidi="ar-SA"/>
        </w:rPr>
        <w:t>提升舆情防范和应对处置能力，</w:t>
      </w:r>
      <w:r>
        <w:rPr>
          <w:rFonts w:hint="default" w:ascii="Times New Roman" w:hAnsi="Times New Roman" w:eastAsia="方正仿宋_GBK" w:cs="Times New Roman"/>
          <w:b w:val="0"/>
          <w:bCs w:val="0"/>
          <w:spacing w:val="6"/>
          <w:kern w:val="2"/>
          <w:sz w:val="32"/>
          <w:szCs w:val="32"/>
          <w:lang w:val="en-US" w:eastAsia="zh-CN" w:bidi="ar-SA"/>
        </w:rPr>
        <w:t>切实维护和保障司法领域意识形态安全</w:t>
      </w:r>
      <w:r>
        <w:rPr>
          <w:rFonts w:hint="default" w:ascii="Times New Roman" w:hAnsi="Times New Roman" w:eastAsia="方正仿宋_GBK" w:cs="Times New Roman"/>
          <w:b w:val="0"/>
          <w:bCs w:val="0"/>
          <w:spacing w:val="-6"/>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锻造担当作为硬实力。</w:t>
      </w:r>
      <w:r>
        <w:rPr>
          <w:rFonts w:hint="default" w:ascii="Times New Roman" w:hAnsi="Times New Roman" w:eastAsia="方正仿宋_GBK" w:cs="Times New Roman"/>
          <w:b w:val="0"/>
          <w:bCs w:val="0"/>
          <w:spacing w:val="6"/>
          <w:kern w:val="2"/>
          <w:sz w:val="32"/>
          <w:szCs w:val="32"/>
          <w:lang w:val="en-US" w:eastAsia="zh-CN" w:bidi="ar-SA"/>
        </w:rPr>
        <w:t>深入实施“全域发展、绿色崛起”总体战略，围绕“五大工程”，服务“五大振兴”，助力加快建成“三地一典范”。在“两联一进”中，聚力“防疫”阻击战，聚焦“双创”再升级。组织32名党员干警下沉一线，扛起“疫线”担当，全员参加周末大扫除和文明交通劝导志愿服务，助力全国文明城市创建，打造民族团结进步示范法庭，实质化运行“石榴籽”调解室，助推民族团结进步创建。在“法律七进”中绘就乡村振兴法治底色。拓展普法教育新阵地，在双河镇打造法治文化长廊，为上草地村购买万余元法治文化用品，落实“一乡（镇）一法官”，员额法官全覆盖联系12个乡（镇），审执涉农案件73件，结案标的7000余万元，让群众看得见法官身影、听得见法治声音、感受到司法温度。</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color w:val="auto"/>
          <w:spacing w:val="0"/>
          <w:sz w:val="32"/>
          <w:szCs w:val="32"/>
          <w:lang w:eastAsia="zh-CN"/>
        </w:rPr>
      </w:pPr>
      <w:r>
        <w:rPr>
          <w:rStyle w:val="23"/>
          <w:rFonts w:hint="default" w:ascii="Times New Roman" w:hAnsi="Times New Roman" w:eastAsia="方正黑体_GBK" w:cs="Times New Roman"/>
          <w:b w:val="0"/>
          <w:bCs w:val="0"/>
          <w:color w:val="auto"/>
          <w:spacing w:val="0"/>
          <w:sz w:val="32"/>
          <w:szCs w:val="32"/>
          <w:lang w:val="en-US" w:eastAsia="zh-CN"/>
        </w:rPr>
        <w:t>二、聚力服务大局总要求，在担当履职中展现司法作为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助力优化营商环境“添砝码”。</w:t>
      </w:r>
      <w:r>
        <w:rPr>
          <w:rFonts w:hint="default" w:ascii="Times New Roman" w:hAnsi="Times New Roman" w:eastAsia="方正仿宋_GBK" w:cs="Times New Roman"/>
          <w:b w:val="0"/>
          <w:bCs w:val="0"/>
          <w:spacing w:val="6"/>
          <w:kern w:val="2"/>
          <w:sz w:val="32"/>
          <w:szCs w:val="32"/>
          <w:lang w:val="en-US" w:eastAsia="zh-CN" w:bidi="ar-SA"/>
        </w:rPr>
        <w:t>秉承“人人都是营商环境、案案都是试金石”理念，积极营造法治化营商环境。依法妥善审结各类商事纠纷5</w:t>
      </w:r>
      <w:r>
        <w:rPr>
          <w:rFonts w:hint="eastAsia" w:ascii="Times New Roman" w:hAnsi="Times New Roman" w:eastAsia="方正仿宋_GBK" w:cs="Times New Roman"/>
          <w:b w:val="0"/>
          <w:bCs w:val="0"/>
          <w:spacing w:val="6"/>
          <w:kern w:val="2"/>
          <w:sz w:val="32"/>
          <w:szCs w:val="32"/>
          <w:lang w:val="en-US" w:eastAsia="zh-CN" w:bidi="ar-SA"/>
        </w:rPr>
        <w:t>80</w:t>
      </w:r>
      <w:r>
        <w:rPr>
          <w:rFonts w:hint="default" w:ascii="Times New Roman" w:hAnsi="Times New Roman" w:eastAsia="方正仿宋_GBK" w:cs="Times New Roman"/>
          <w:b w:val="0"/>
          <w:bCs w:val="0"/>
          <w:spacing w:val="6"/>
          <w:kern w:val="2"/>
          <w:sz w:val="32"/>
          <w:szCs w:val="32"/>
          <w:lang w:val="en-US" w:eastAsia="zh-CN" w:bidi="ar-SA"/>
        </w:rPr>
        <w:t>件，涉公司股权转让、股东知情权纠纷5件，保护中小投资者权益。服务保障重点工程顺利推进，及时审结涉九绵高速等交通项目案件16件，案涉标的6000余万元。推行网络司法拍卖，盘活资产39项，释放土地27亩，缴纳税款158万元，尽最大努力维持涉诉市场主体财产价值。围绕中小微企业“急难愁盼”延伸司法服务，开展“法企同行、共护营商”进企业活动，走访服务企业8家，征集企业法治需求，开</w:t>
      </w:r>
      <w:r>
        <w:rPr>
          <w:rFonts w:hint="default" w:ascii="Times New Roman" w:hAnsi="Times New Roman" w:eastAsia="方正仿宋_GBK" w:cs="Times New Roman"/>
          <w:b w:val="0"/>
          <w:bCs w:val="0"/>
          <w:spacing w:val="-6"/>
          <w:kern w:val="2"/>
          <w:sz w:val="32"/>
          <w:szCs w:val="32"/>
          <w:lang w:val="en-US" w:eastAsia="zh-CN" w:bidi="ar-SA"/>
        </w:rPr>
        <w:t>展法律宣传，为企业答疑解惑，助力企业提升经营管理法治化水平。</w:t>
      </w:r>
    </w:p>
    <w:p>
      <w:pPr>
        <w:pStyle w:val="4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拧紧金融风险防控“安全阀”。</w:t>
      </w:r>
      <w:r>
        <w:rPr>
          <w:rFonts w:hint="default" w:ascii="Times New Roman" w:hAnsi="Times New Roman" w:eastAsia="方正仿宋_GBK" w:cs="Times New Roman"/>
          <w:b w:val="0"/>
          <w:bCs w:val="0"/>
          <w:spacing w:val="6"/>
          <w:kern w:val="2"/>
          <w:sz w:val="32"/>
          <w:szCs w:val="32"/>
          <w:lang w:val="en-US" w:eastAsia="zh-CN" w:bidi="ar-SA"/>
        </w:rPr>
        <w:t>紧扣服务实体经济、防控金融风险、化解不良金融债权重点任务，深耕“法银共建”，推动实施“金融调解+司法确认”金融纠纷多元化解机制建设。成立全州首个金融纠纷调解工作室，聘请18名银行、保险等金融行业骨干担任金融纠纷调解员，召开金融风险化解工作联席会、业务培训会6场次，委托特约调解员调解涉金融纠纷案件</w:t>
      </w:r>
      <w:r>
        <w:rPr>
          <w:rFonts w:hint="default" w:ascii="Times New Roman" w:hAnsi="Times New Roman" w:eastAsia="方正仿宋_GBK" w:cs="Times New Roman"/>
          <w:b w:val="0"/>
          <w:bCs w:val="0"/>
          <w:color w:val="auto"/>
          <w:spacing w:val="6"/>
          <w:kern w:val="2"/>
          <w:sz w:val="32"/>
          <w:szCs w:val="32"/>
          <w:lang w:val="en-US" w:eastAsia="zh-CN" w:bidi="ar-SA"/>
        </w:rPr>
        <w:t>20件</w:t>
      </w:r>
      <w:r>
        <w:rPr>
          <w:rFonts w:hint="default" w:ascii="Times New Roman" w:hAnsi="Times New Roman" w:eastAsia="方正仿宋_GBK" w:cs="Times New Roman"/>
          <w:b w:val="0"/>
          <w:bCs w:val="0"/>
          <w:spacing w:val="6"/>
          <w:kern w:val="2"/>
          <w:sz w:val="32"/>
          <w:szCs w:val="32"/>
          <w:lang w:val="en-US" w:eastAsia="zh-CN" w:bidi="ar-SA"/>
        </w:rPr>
        <w:t>。办理涉金融机构案件38件，涉及金额6469万元，实际执结16件，执行到位3714万元，以物抵债5件，实现债权4900万元，为坚决打赢“不良贷款清收百日攻坚”防范和化解金融风险提供了有力司法保障。</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hint="default" w:ascii="Times New Roman" w:hAnsi="Times New Roman" w:eastAsia="方正仿宋_GBK" w:cs="Times New Roman"/>
          <w:b w:val="0"/>
          <w:bCs w:val="0"/>
          <w:spacing w:val="0"/>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厚植绿水青山司法“防护林”。</w:t>
      </w:r>
      <w:r>
        <w:rPr>
          <w:rFonts w:hint="default" w:ascii="Times New Roman" w:hAnsi="Times New Roman" w:eastAsia="方正仿宋_GBK" w:cs="Times New Roman"/>
          <w:b w:val="0"/>
          <w:bCs w:val="0"/>
          <w:spacing w:val="6"/>
          <w:kern w:val="2"/>
          <w:sz w:val="32"/>
          <w:szCs w:val="32"/>
          <w:lang w:val="en-US" w:eastAsia="zh-CN" w:bidi="ar-SA"/>
        </w:rPr>
        <w:t>立足“生态立县、文旅强县”工程，致力环保服务旅游，当好童话世界的生态卫士，护好九寨山水林田湖草，审结全州首例非法采挖兰草案。持续深化“补植复绿+社区矫正”，组织涉林涉野犯罪社区矫正人员补植复绿400余株，为绿水青山厚植司法“防护林”。坚持文旅融合法旅互动，审结涉旅纠纷14件，与泸定法院共签《涉灾矛盾纠纷司法应对暨法旅互动文旅融合交流协作协议》，结成川内首个震后恢复重建“法庭协作联盟”。积极配合成都铁路</w:t>
      </w:r>
      <w:r>
        <w:rPr>
          <w:rFonts w:hint="default" w:ascii="Times New Roman" w:hAnsi="Times New Roman" w:eastAsia="方正仿宋_GBK" w:cs="Times New Roman"/>
          <w:b w:val="0"/>
          <w:bCs w:val="0"/>
          <w:spacing w:val="0"/>
          <w:kern w:val="2"/>
          <w:sz w:val="32"/>
          <w:szCs w:val="32"/>
          <w:lang w:val="en-US" w:eastAsia="zh-CN" w:bidi="ar-SA"/>
        </w:rPr>
        <w:t>运输法院开展大熊猫国家公园四川片区环资案件集中管辖改革。</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leftChars="0" w:right="0" w:rightChars="0" w:firstLine="635"/>
        <w:jc w:val="both"/>
        <w:textAlignment w:val="auto"/>
        <w:rPr>
          <w:rFonts w:hint="default" w:ascii="Times New Roman" w:hAnsi="Times New Roman" w:eastAsia="楷体_GB2312" w:cs="Times New Roman"/>
          <w:b w:val="0"/>
          <w:bCs w:val="0"/>
          <w:i w:val="0"/>
          <w:caps w:val="0"/>
          <w:color w:val="333333"/>
          <w:spacing w:val="0"/>
          <w:sz w:val="31"/>
          <w:szCs w:val="31"/>
          <w:shd w:val="clear" w:fill="FFFFFF"/>
          <w:lang w:val="en-US" w:eastAsia="zh-CN"/>
        </w:rPr>
      </w:pPr>
      <w:r>
        <w:rPr>
          <w:rStyle w:val="23"/>
          <w:rFonts w:hint="default" w:ascii="Times New Roman" w:hAnsi="Times New Roman" w:eastAsia="方正黑体_GBK" w:cs="Times New Roman"/>
          <w:b w:val="0"/>
          <w:bCs w:val="0"/>
          <w:color w:val="auto"/>
          <w:spacing w:val="0"/>
          <w:sz w:val="32"/>
          <w:szCs w:val="32"/>
          <w:lang w:val="en-US" w:eastAsia="zh-CN"/>
        </w:rPr>
        <w:t xml:space="preserve">三、聚焦公平正义总目标，在深耕主业中践行政法初心 </w:t>
      </w:r>
      <w:r>
        <w:rPr>
          <w:rFonts w:hint="default" w:ascii="Times New Roman" w:hAnsi="Times New Roman" w:eastAsia="楷体_GB2312" w:cs="Times New Roman"/>
          <w:b w:val="0"/>
          <w:bCs w:val="0"/>
          <w:i w:val="0"/>
          <w:caps w:val="0"/>
          <w:color w:val="auto"/>
          <w:spacing w:val="0"/>
          <w:sz w:val="31"/>
          <w:szCs w:val="31"/>
          <w:shd w:val="clear" w:fill="FFFFFF"/>
          <w:lang w:val="en-US" w:eastAsia="zh-CN"/>
        </w:rPr>
        <w:t xml:space="preserve"> </w:t>
      </w:r>
      <w:r>
        <w:rPr>
          <w:rFonts w:hint="default" w:ascii="Times New Roman" w:hAnsi="Times New Roman" w:eastAsia="楷体_GB2312" w:cs="Times New Roman"/>
          <w:b w:val="0"/>
          <w:bCs w:val="0"/>
          <w:i w:val="0"/>
          <w:caps w:val="0"/>
          <w:color w:val="333333"/>
          <w:spacing w:val="0"/>
          <w:sz w:val="31"/>
          <w:szCs w:val="31"/>
          <w:shd w:val="clear"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刑事审判护稳定，平安建设上台阶。</w:t>
      </w:r>
      <w:r>
        <w:rPr>
          <w:rFonts w:hint="default" w:ascii="Times New Roman" w:hAnsi="Times New Roman" w:eastAsia="方正仿宋_GBK" w:cs="Times New Roman"/>
          <w:b w:val="0"/>
          <w:bCs w:val="0"/>
          <w:spacing w:val="6"/>
          <w:kern w:val="2"/>
          <w:sz w:val="32"/>
          <w:szCs w:val="32"/>
          <w:lang w:val="en-US" w:eastAsia="zh-CN" w:bidi="ar-SA"/>
        </w:rPr>
        <w:t>贯彻总体国家安全观，充分发挥刑事审判职能作用，审结各类刑事犯罪案件</w:t>
      </w:r>
      <w:r>
        <w:rPr>
          <w:rFonts w:hint="eastAsia" w:ascii="Times New Roman" w:hAnsi="Times New Roman" w:eastAsia="方正仿宋_GBK" w:cs="Times New Roman"/>
          <w:b w:val="0"/>
          <w:bCs w:val="0"/>
          <w:spacing w:val="6"/>
          <w:kern w:val="2"/>
          <w:sz w:val="32"/>
          <w:szCs w:val="32"/>
          <w:lang w:val="en-US" w:eastAsia="zh-CN" w:bidi="ar-SA"/>
        </w:rPr>
        <w:t>51</w:t>
      </w:r>
      <w:r>
        <w:rPr>
          <w:rFonts w:hint="default" w:ascii="Times New Roman" w:hAnsi="Times New Roman" w:eastAsia="方正仿宋_GBK" w:cs="Times New Roman"/>
          <w:b w:val="0"/>
          <w:bCs w:val="0"/>
          <w:spacing w:val="6"/>
          <w:kern w:val="2"/>
          <w:sz w:val="32"/>
          <w:szCs w:val="32"/>
          <w:lang w:val="en-US" w:eastAsia="zh-CN" w:bidi="ar-SA"/>
        </w:rPr>
        <w:t>件</w:t>
      </w:r>
      <w:r>
        <w:rPr>
          <w:rFonts w:hint="eastAsia" w:ascii="Times New Roman" w:hAnsi="Times New Roman" w:eastAsia="方正仿宋_GBK" w:cs="Times New Roman"/>
          <w:b w:val="0"/>
          <w:bCs w:val="0"/>
          <w:spacing w:val="6"/>
          <w:kern w:val="2"/>
          <w:sz w:val="32"/>
          <w:szCs w:val="32"/>
          <w:lang w:val="en-US" w:eastAsia="zh-CN" w:bidi="ar-SA"/>
        </w:rPr>
        <w:t>93</w:t>
      </w:r>
      <w:r>
        <w:rPr>
          <w:rFonts w:hint="default" w:ascii="Times New Roman" w:hAnsi="Times New Roman" w:eastAsia="方正仿宋_GBK" w:cs="Times New Roman"/>
          <w:b w:val="0"/>
          <w:bCs w:val="0"/>
          <w:spacing w:val="6"/>
          <w:kern w:val="2"/>
          <w:sz w:val="32"/>
          <w:szCs w:val="32"/>
          <w:lang w:val="en-US" w:eastAsia="zh-CN" w:bidi="ar-SA"/>
        </w:rPr>
        <w:t>人，助推更高水平的平安九寨建设。审结危害公共安全犯罪17件20人，审结侵财型犯罪5件13人，维护社会稳定和人民群众人身财产安全。审结容留他人吸毒案2件2人，有效净化社会环境。审结帮助信息网络犯罪活动案4件21人，压缩电信网络诈骗犯罪蔓延空间。审结未成年人犯罪2件2人，教育感化挽救“问题少年”。审结食品安全犯罪1件6人，保障人民群众“舌尖上的安全”。审</w:t>
      </w:r>
      <w:r>
        <w:rPr>
          <w:rFonts w:hint="eastAsia" w:ascii="Times New Roman" w:hAnsi="Times New Roman" w:eastAsia="方正仿宋_GBK" w:cs="Times New Roman"/>
          <w:b w:val="0"/>
          <w:bCs w:val="0"/>
          <w:spacing w:val="6"/>
          <w:kern w:val="2"/>
          <w:sz w:val="32"/>
          <w:szCs w:val="32"/>
          <w:lang w:val="en-US" w:eastAsia="zh-CN" w:bidi="ar-SA"/>
        </w:rPr>
        <w:t>结</w:t>
      </w:r>
      <w:r>
        <w:rPr>
          <w:rFonts w:hint="default" w:ascii="Times New Roman" w:hAnsi="Times New Roman" w:eastAsia="方正仿宋_GBK" w:cs="Times New Roman"/>
          <w:b w:val="0"/>
          <w:bCs w:val="0"/>
          <w:spacing w:val="6"/>
          <w:kern w:val="2"/>
          <w:sz w:val="32"/>
          <w:szCs w:val="32"/>
          <w:lang w:val="en-US" w:eastAsia="zh-CN" w:bidi="ar-SA"/>
        </w:rPr>
        <w:t>景区门票</w:t>
      </w:r>
      <w:r>
        <w:rPr>
          <w:rFonts w:hint="eastAsia" w:ascii="Times New Roman" w:hAnsi="Times New Roman" w:eastAsia="方正仿宋_GBK" w:cs="Times New Roman"/>
          <w:b w:val="0"/>
          <w:bCs w:val="0"/>
          <w:spacing w:val="6"/>
          <w:kern w:val="2"/>
          <w:sz w:val="32"/>
          <w:szCs w:val="32"/>
          <w:lang w:val="en-US" w:eastAsia="zh-CN" w:bidi="ar-SA"/>
        </w:rPr>
        <w:t>案1件5人</w:t>
      </w:r>
      <w:r>
        <w:rPr>
          <w:rFonts w:hint="default" w:ascii="Times New Roman" w:hAnsi="Times New Roman" w:eastAsia="方正仿宋_GBK" w:cs="Times New Roman"/>
          <w:b w:val="0"/>
          <w:bCs w:val="0"/>
          <w:spacing w:val="6"/>
          <w:kern w:val="2"/>
          <w:sz w:val="32"/>
          <w:szCs w:val="32"/>
          <w:lang w:val="en-US" w:eastAsia="zh-CN" w:bidi="ar-SA"/>
        </w:rPr>
        <w:t>，当好景区“守门人”。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民事调判止纷争，服判息诉促和谐。</w:t>
      </w:r>
      <w:r>
        <w:rPr>
          <w:rFonts w:hint="default" w:ascii="Times New Roman" w:hAnsi="Times New Roman" w:eastAsia="方正仿宋_GBK" w:cs="Times New Roman"/>
          <w:b w:val="0"/>
          <w:bCs w:val="0"/>
          <w:spacing w:val="6"/>
          <w:kern w:val="2"/>
          <w:sz w:val="32"/>
          <w:szCs w:val="32"/>
          <w:lang w:val="en-US" w:eastAsia="zh-CN" w:bidi="ar-SA"/>
        </w:rPr>
        <w:t>办好“小案件”做实“大民生”。审结民商事案件</w:t>
      </w:r>
      <w:r>
        <w:rPr>
          <w:rFonts w:hint="eastAsia" w:ascii="Times New Roman" w:hAnsi="Times New Roman" w:eastAsia="方正仿宋_GBK" w:cs="Times New Roman"/>
          <w:b w:val="0"/>
          <w:bCs w:val="0"/>
          <w:spacing w:val="6"/>
          <w:kern w:val="2"/>
          <w:sz w:val="32"/>
          <w:szCs w:val="32"/>
          <w:lang w:val="en-US" w:eastAsia="zh-CN" w:bidi="ar-SA"/>
        </w:rPr>
        <w:t>828</w:t>
      </w:r>
      <w:r>
        <w:rPr>
          <w:rFonts w:hint="default" w:ascii="Times New Roman" w:hAnsi="Times New Roman" w:eastAsia="方正仿宋_GBK" w:cs="Times New Roman"/>
          <w:b w:val="0"/>
          <w:bCs w:val="0"/>
          <w:spacing w:val="6"/>
          <w:kern w:val="2"/>
          <w:sz w:val="32"/>
          <w:szCs w:val="32"/>
          <w:lang w:val="en-US" w:eastAsia="zh-CN" w:bidi="ar-SA"/>
        </w:rPr>
        <w:t>件，涉及标的总额3.</w:t>
      </w:r>
      <w:r>
        <w:rPr>
          <w:rFonts w:hint="eastAsia" w:ascii="Times New Roman" w:hAnsi="Times New Roman" w:eastAsia="方正仿宋_GBK" w:cs="Times New Roman"/>
          <w:b w:val="0"/>
          <w:bCs w:val="0"/>
          <w:spacing w:val="6"/>
          <w:kern w:val="2"/>
          <w:sz w:val="32"/>
          <w:szCs w:val="32"/>
          <w:lang w:val="en-US" w:eastAsia="zh-CN" w:bidi="ar-SA"/>
        </w:rPr>
        <w:t>6</w:t>
      </w:r>
      <w:r>
        <w:rPr>
          <w:rFonts w:hint="default" w:ascii="Times New Roman" w:hAnsi="Times New Roman" w:eastAsia="方正仿宋_GBK" w:cs="Times New Roman"/>
          <w:b w:val="0"/>
          <w:bCs w:val="0"/>
          <w:spacing w:val="6"/>
          <w:kern w:val="2"/>
          <w:sz w:val="32"/>
          <w:szCs w:val="32"/>
          <w:lang w:val="en-US" w:eastAsia="zh-CN" w:bidi="ar-SA"/>
        </w:rPr>
        <w:t>亿元。审结房屋买卖、建设工程、物业服务等案件122件，保障住有所居、居有所安。推动人身安全保护令落地见效，设立“反家暴庇护所”，发出保护令2份，审结抚养、赡养、婚姻等家事纠纷案件4</w:t>
      </w:r>
      <w:r>
        <w:rPr>
          <w:rFonts w:hint="eastAsia" w:ascii="Times New Roman" w:hAnsi="Times New Roman" w:eastAsia="方正仿宋_GBK" w:cs="Times New Roman"/>
          <w:b w:val="0"/>
          <w:bCs w:val="0"/>
          <w:spacing w:val="6"/>
          <w:kern w:val="2"/>
          <w:sz w:val="32"/>
          <w:szCs w:val="32"/>
          <w:lang w:val="en-US" w:eastAsia="zh-CN" w:bidi="ar-SA"/>
        </w:rPr>
        <w:t>8</w:t>
      </w:r>
      <w:r>
        <w:rPr>
          <w:rFonts w:hint="default" w:ascii="Times New Roman" w:hAnsi="Times New Roman" w:eastAsia="方正仿宋_GBK" w:cs="Times New Roman"/>
          <w:b w:val="0"/>
          <w:bCs w:val="0"/>
          <w:spacing w:val="6"/>
          <w:kern w:val="2"/>
          <w:sz w:val="32"/>
          <w:szCs w:val="32"/>
          <w:lang w:val="en-US" w:eastAsia="zh-CN" w:bidi="ar-SA"/>
        </w:rPr>
        <w:t>件，保障幼有所育、弱有所扶。高效调解追索劳动报酬案件57件，为农民工讨薪600余万元，保障劳有所得。统一城乡居民人身损害赔偿标准，推行“同命同价”，审结人身损害赔偿纠纷案件34件。加强弱势群体诉讼权益保护，缓减免诉讼费14.2万元，办理司法救助案件19件20人，救助金额13.8万元，以温情司法温暖人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行政争议诉前调，案结事了促政和。</w:t>
      </w:r>
      <w:r>
        <w:rPr>
          <w:rFonts w:hint="default" w:ascii="Times New Roman" w:hAnsi="Times New Roman" w:eastAsia="方正仿宋_GBK" w:cs="Times New Roman"/>
          <w:b w:val="0"/>
          <w:bCs w:val="0"/>
          <w:spacing w:val="6"/>
          <w:kern w:val="2"/>
          <w:sz w:val="32"/>
          <w:szCs w:val="32"/>
          <w:lang w:val="en-US" w:eastAsia="zh-CN" w:bidi="ar-SA"/>
        </w:rPr>
        <w:t>坚持依法裁判和实质化解相结合，审结行政案件9件，促成6案实质化解。支持行政机关发挥经济调控、市场监管、公共服务等职能，依法裁定准予强制执行非诉行政案件4件。建立健全庭前联络机制，大</w:t>
      </w:r>
      <w:r>
        <w:rPr>
          <w:rFonts w:hint="default" w:ascii="Times New Roman" w:hAnsi="Times New Roman" w:eastAsia="方正仿宋_GBK" w:cs="Times New Roman"/>
          <w:b w:val="0"/>
          <w:bCs w:val="0"/>
          <w:spacing w:val="-6"/>
          <w:kern w:val="2"/>
          <w:sz w:val="32"/>
          <w:szCs w:val="32"/>
          <w:lang w:val="en-US" w:eastAsia="zh-CN" w:bidi="ar-SA"/>
        </w:rPr>
        <w:t>力推进行政机关负责人出庭应诉，行政机关负责人出庭率100%。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善意文明有温度，高效执行护法威。</w:t>
      </w:r>
      <w:r>
        <w:rPr>
          <w:rFonts w:hint="default" w:ascii="Times New Roman" w:hAnsi="Times New Roman" w:eastAsia="方正仿宋_GBK" w:cs="Times New Roman"/>
          <w:b w:val="0"/>
          <w:bCs w:val="0"/>
          <w:spacing w:val="6"/>
          <w:kern w:val="2"/>
          <w:sz w:val="32"/>
          <w:szCs w:val="32"/>
          <w:lang w:val="en-US" w:eastAsia="zh-CN" w:bidi="ar-SA"/>
        </w:rPr>
        <w:t>推动“基本解决执行难”向“切实解决执行难”迈进，受理执行案件43</w:t>
      </w:r>
      <w:r>
        <w:rPr>
          <w:rFonts w:hint="eastAsia" w:ascii="Times New Roman" w:hAnsi="Times New Roman" w:eastAsia="方正仿宋_GBK" w:cs="Times New Roman"/>
          <w:b w:val="0"/>
          <w:bCs w:val="0"/>
          <w:spacing w:val="6"/>
          <w:kern w:val="2"/>
          <w:sz w:val="32"/>
          <w:szCs w:val="32"/>
          <w:lang w:val="en-US" w:eastAsia="zh-CN" w:bidi="ar-SA"/>
        </w:rPr>
        <w:t>7</w:t>
      </w:r>
      <w:r>
        <w:rPr>
          <w:rFonts w:hint="default" w:ascii="Times New Roman" w:hAnsi="Times New Roman" w:eastAsia="方正仿宋_GBK" w:cs="Times New Roman"/>
          <w:b w:val="0"/>
          <w:bCs w:val="0"/>
          <w:spacing w:val="6"/>
          <w:kern w:val="2"/>
          <w:sz w:val="32"/>
          <w:szCs w:val="32"/>
          <w:lang w:val="en-US" w:eastAsia="zh-CN" w:bidi="ar-SA"/>
        </w:rPr>
        <w:t>件，执结</w:t>
      </w:r>
      <w:r>
        <w:rPr>
          <w:rFonts w:hint="eastAsia" w:ascii="Times New Roman" w:hAnsi="Times New Roman" w:eastAsia="方正仿宋_GBK" w:cs="Times New Roman"/>
          <w:b w:val="0"/>
          <w:bCs w:val="0"/>
          <w:spacing w:val="6"/>
          <w:kern w:val="2"/>
          <w:sz w:val="32"/>
          <w:szCs w:val="32"/>
          <w:lang w:val="en-US" w:eastAsia="zh-CN" w:bidi="ar-SA"/>
        </w:rPr>
        <w:t>433</w:t>
      </w:r>
      <w:r>
        <w:rPr>
          <w:rFonts w:hint="default" w:ascii="Times New Roman" w:hAnsi="Times New Roman" w:eastAsia="方正仿宋_GBK" w:cs="Times New Roman"/>
          <w:b w:val="0"/>
          <w:bCs w:val="0"/>
          <w:spacing w:val="6"/>
          <w:kern w:val="2"/>
          <w:sz w:val="32"/>
          <w:szCs w:val="32"/>
          <w:lang w:val="en-US" w:eastAsia="zh-CN" w:bidi="ar-SA"/>
        </w:rPr>
        <w:t>件，执行到位3.6亿元。智慧执行赋能增效，网络查询金融机构、互联网银行存款账户1800余次，查扣资金2200万元，开启“司法网拍+网拍辅助”模式，在全州率先引进网拍辅助机构，拍卖财产网络询价6次，在线拍卖财产11次，降低拍卖成本，缩短执行周期。持续加大执行力度，常态化开展信用惩戒，罚款6人、拘传12人，限制高消费172人次、纳入失信被执行人名单149人，让失信者处处受限、寸步难行。持续开展涉民生案件专项执行行动，执行到位2500余万元，兑现真金白银，增进民生福祉。</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Style w:val="23"/>
          <w:rFonts w:hint="default" w:ascii="Times New Roman" w:hAnsi="Times New Roman" w:eastAsia="方正黑体_GBK" w:cs="Times New Roman"/>
          <w:b w:val="0"/>
          <w:bCs w:val="0"/>
          <w:color w:val="auto"/>
          <w:spacing w:val="0"/>
          <w:sz w:val="32"/>
          <w:szCs w:val="32"/>
          <w:lang w:val="en-US" w:eastAsia="zh-CN"/>
        </w:rPr>
      </w:pPr>
      <w:r>
        <w:rPr>
          <w:rStyle w:val="23"/>
          <w:rFonts w:hint="default" w:ascii="Times New Roman" w:hAnsi="Times New Roman" w:eastAsia="方正黑体_GBK" w:cs="Times New Roman"/>
          <w:b w:val="0"/>
          <w:bCs w:val="0"/>
          <w:color w:val="auto"/>
          <w:spacing w:val="0"/>
          <w:sz w:val="32"/>
          <w:szCs w:val="32"/>
          <w:lang w:val="en-US" w:eastAsia="zh-CN"/>
        </w:rPr>
        <w:t>四、坚持稳中求进总基调，在深化司法改革中聚势赋能</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 xml:space="preserve">  </w:t>
      </w:r>
      <w:r>
        <w:rPr>
          <w:rFonts w:hint="default" w:ascii="方正楷体_GBK" w:hAnsi="方正楷体_GBK" w:eastAsia="方正楷体_GBK" w:cs="方正楷体_GBK"/>
          <w:b/>
          <w:bCs/>
          <w:kern w:val="2"/>
          <w:sz w:val="32"/>
          <w:szCs w:val="32"/>
          <w:lang w:val="en-US" w:eastAsia="zh-CN" w:bidi="ar-SA"/>
        </w:rPr>
        <w:t xml:space="preserve">  “奋楫当先”促改革。</w:t>
      </w:r>
      <w:r>
        <w:rPr>
          <w:rFonts w:hint="default" w:ascii="Times New Roman" w:hAnsi="Times New Roman" w:eastAsia="方正仿宋_GBK" w:cs="Times New Roman"/>
          <w:b w:val="0"/>
          <w:bCs w:val="0"/>
          <w:spacing w:val="6"/>
          <w:kern w:val="2"/>
          <w:sz w:val="32"/>
          <w:szCs w:val="32"/>
          <w:lang w:val="en-US" w:eastAsia="zh-CN" w:bidi="ar-SA"/>
        </w:rPr>
        <w:t>全面落实司法责任制，细化审判权责清单和审委会议事规则，推动专业法官会议实质化运行，推进审判体系和审判能力现代化。2022年法官人均办案7</w:t>
      </w:r>
      <w:r>
        <w:rPr>
          <w:rFonts w:hint="eastAsia" w:ascii="Times New Roman" w:hAnsi="Times New Roman" w:eastAsia="方正仿宋_GBK" w:cs="Times New Roman"/>
          <w:b w:val="0"/>
          <w:bCs w:val="0"/>
          <w:spacing w:val="6"/>
          <w:kern w:val="2"/>
          <w:sz w:val="32"/>
          <w:szCs w:val="32"/>
          <w:lang w:val="en-US" w:eastAsia="zh-CN" w:bidi="ar-SA"/>
        </w:rPr>
        <w:t>3</w:t>
      </w:r>
      <w:r>
        <w:rPr>
          <w:rFonts w:hint="default" w:ascii="Times New Roman" w:hAnsi="Times New Roman" w:eastAsia="方正仿宋_GBK" w:cs="Times New Roman"/>
          <w:b w:val="0"/>
          <w:bCs w:val="0"/>
          <w:spacing w:val="6"/>
          <w:kern w:val="2"/>
          <w:sz w:val="32"/>
          <w:szCs w:val="32"/>
          <w:lang w:val="en-US" w:eastAsia="zh-CN" w:bidi="ar-SA"/>
        </w:rPr>
        <w:t>件，强化院庭长示范引领和监督管理，带头并参与办案11</w:t>
      </w:r>
      <w:r>
        <w:rPr>
          <w:rFonts w:hint="eastAsia" w:ascii="Times New Roman" w:hAnsi="Times New Roman" w:eastAsia="方正仿宋_GBK" w:cs="Times New Roman"/>
          <w:b w:val="0"/>
          <w:bCs w:val="0"/>
          <w:spacing w:val="6"/>
          <w:kern w:val="2"/>
          <w:sz w:val="32"/>
          <w:szCs w:val="32"/>
          <w:lang w:val="en-US" w:eastAsia="zh-CN" w:bidi="ar-SA"/>
        </w:rPr>
        <w:t>66</w:t>
      </w:r>
      <w:r>
        <w:rPr>
          <w:rFonts w:hint="default" w:ascii="Times New Roman" w:hAnsi="Times New Roman" w:eastAsia="方正仿宋_GBK" w:cs="Times New Roman"/>
          <w:b w:val="0"/>
          <w:bCs w:val="0"/>
          <w:spacing w:val="6"/>
          <w:kern w:val="2"/>
          <w:sz w:val="32"/>
          <w:szCs w:val="32"/>
          <w:lang w:val="en-US" w:eastAsia="zh-CN" w:bidi="ar-SA"/>
        </w:rPr>
        <w:t>件，占比86.6</w:t>
      </w:r>
      <w:r>
        <w:rPr>
          <w:rFonts w:hint="eastAsia" w:ascii="Times New Roman" w:hAnsi="Times New Roman" w:eastAsia="方正仿宋_GBK" w:cs="Times New Roman"/>
          <w:b w:val="0"/>
          <w:bCs w:val="0"/>
          <w:spacing w:val="6"/>
          <w:kern w:val="2"/>
          <w:sz w:val="32"/>
          <w:szCs w:val="32"/>
          <w:lang w:val="en-US" w:eastAsia="zh-CN" w:bidi="ar-SA"/>
        </w:rPr>
        <w:t>9</w:t>
      </w:r>
      <w:r>
        <w:rPr>
          <w:rFonts w:hint="default" w:ascii="Times New Roman" w:hAnsi="Times New Roman" w:eastAsia="方正仿宋_GBK" w:cs="Times New Roman"/>
          <w:b w:val="0"/>
          <w:bCs w:val="0"/>
          <w:spacing w:val="6"/>
          <w:kern w:val="2"/>
          <w:sz w:val="32"/>
          <w:szCs w:val="32"/>
          <w:lang w:val="en-US" w:eastAsia="zh-CN" w:bidi="ar-SA"/>
        </w:rPr>
        <w:t>%。强化审判监督管理，“四类案件”全流程监管，“三评查”全覆盖员额法官，平均审理天数、人均结案数、服判息诉率等核心质效指标稳步提升。深挖改革潜力，有序推进法院审级职能定位改革试点，有力推进财物统管改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“智慧法院”提效率。</w:t>
      </w:r>
      <w:r>
        <w:rPr>
          <w:rFonts w:hint="default" w:ascii="Times New Roman" w:hAnsi="Times New Roman" w:eastAsia="方正仿宋_GBK" w:cs="Times New Roman"/>
          <w:b w:val="0"/>
          <w:bCs w:val="0"/>
          <w:spacing w:val="6"/>
          <w:kern w:val="2"/>
          <w:sz w:val="32"/>
          <w:szCs w:val="32"/>
          <w:lang w:val="en-US" w:eastAsia="zh-CN" w:bidi="ar-SA"/>
        </w:rPr>
        <w:t>推进诉讼服务机制转型升级，添置自助服务和自助缴费终端2台、“云上法庭”设备2套，上线移动微法院、跨域立案、互联网远程庭审及电子送达等多种网络诉讼模式。全年网上立案161件，跨域立案20件、电子送达1113次，在线审理160件，在线调解149件，为人民群众参与诉讼提供多种选择和全方位便利。启用政法系统跨部门办案平台，实现立案侦查、批捕起诉、审判执行及刑罚执行全流程闭环互联互通、业务协同、信息共享。</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“诉事速办”强服务。</w:t>
      </w:r>
      <w:r>
        <w:rPr>
          <w:rFonts w:hint="default" w:ascii="Times New Roman" w:hAnsi="Times New Roman" w:eastAsia="方正仿宋_GBK" w:cs="Times New Roman"/>
          <w:b w:val="0"/>
          <w:bCs w:val="0"/>
          <w:spacing w:val="6"/>
          <w:kern w:val="2"/>
          <w:sz w:val="32"/>
          <w:szCs w:val="32"/>
          <w:lang w:val="en-US" w:eastAsia="zh-CN" w:bidi="ar-SA"/>
        </w:rPr>
        <w:t>落实民诉法在线调解新规，通过在线司法确认和在线调解，快速调处253起民事纠纷，司法确认30件，实现案件一次性受理，纠纷一次性化解，结果一次性确认。按下程序切换“快捷键”，对适用简易程序审理的152起小额合同纠纷案转为督促程序。灵活运用实现担保物权特别程序审结金融借款合同纠纷，案涉标的3900万元，节约诉讼成本。推动“案件审理期间”和“纠纷在院时间”双向考评机制试点工作落实落细</w:t>
      </w:r>
      <w:r>
        <w:rPr>
          <w:rFonts w:hint="default" w:ascii="Times New Roman" w:hAnsi="Times New Roman" w:eastAsia="方正仿宋_GBK" w:cs="Times New Roman"/>
          <w:b w:val="0"/>
          <w:bCs w:val="0"/>
          <w:spacing w:val="-6"/>
          <w:kern w:val="2"/>
          <w:sz w:val="32"/>
          <w:szCs w:val="32"/>
          <w:lang w:val="en-US" w:eastAsia="zh-CN" w:bidi="ar-SA"/>
        </w:rPr>
        <w:t>，案件平均审理天数由65天降至30天。</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0"/>
        <w:jc w:val="both"/>
        <w:textAlignment w:val="auto"/>
        <w:outlineLvl w:val="9"/>
        <w:rPr>
          <w:rFonts w:hint="default" w:ascii="Times New Roman" w:hAnsi="Times New Roman" w:eastAsia="方正仿宋_GBK" w:cs="Times New Roman"/>
          <w:b w:val="0"/>
          <w:bCs w:val="0"/>
          <w:spacing w:val="6"/>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“诉源共治”聚合力。</w:t>
      </w:r>
      <w:r>
        <w:rPr>
          <w:rFonts w:hint="default" w:ascii="Times New Roman" w:hAnsi="Times New Roman" w:eastAsia="方正仿宋_GBK" w:cs="Times New Roman"/>
          <w:b w:val="0"/>
          <w:bCs w:val="0"/>
          <w:spacing w:val="6"/>
          <w:kern w:val="2"/>
          <w:sz w:val="32"/>
          <w:szCs w:val="32"/>
          <w:lang w:val="en-US" w:eastAsia="zh-CN" w:bidi="ar-SA"/>
        </w:rPr>
        <w:t>调纷于“根”，止诉于“源”，员额法官进网格，诉源治理进社区。基层法庭与辖区行政、警务、司法及村民组织建立联系机制，警法联合，庭队协作，所庭对接多元联动化纠纷，同题共答诉源治理“民生卷”。巡回审判到乡村，以案释法到院坝，开展巡回审判34</w:t>
      </w:r>
      <w:r>
        <w:rPr>
          <w:rFonts w:hint="default" w:ascii="Times New Roman" w:hAnsi="Times New Roman" w:eastAsia="方正仿宋_GBK" w:cs="Times New Roman"/>
          <w:b w:val="0"/>
          <w:bCs w:val="0"/>
          <w:spacing w:val="-6"/>
          <w:kern w:val="2"/>
          <w:sz w:val="32"/>
          <w:szCs w:val="32"/>
          <w:lang w:val="en-US" w:eastAsia="zh-CN" w:bidi="ar-SA"/>
        </w:rPr>
        <w:t>场</w:t>
      </w:r>
      <w:r>
        <w:rPr>
          <w:rFonts w:hint="default" w:ascii="Times New Roman" w:hAnsi="Times New Roman" w:eastAsia="方正仿宋_GBK" w:cs="Times New Roman"/>
          <w:b w:val="0"/>
          <w:bCs w:val="0"/>
          <w:spacing w:val="6"/>
          <w:kern w:val="2"/>
          <w:sz w:val="32"/>
          <w:szCs w:val="32"/>
          <w:lang w:val="en-US" w:eastAsia="zh-CN" w:bidi="ar-SA"/>
        </w:rPr>
        <w:t>次。开展“开学第一课”“庭审进校园”等活动11场次，护航未成年人健康成长。用好典型案例活教材，通过“两微一端”发布案例16篇，让公正裁判引领社会风尚，发布审判执行工作亮点130条次，总阅读量达5.5万人次，25篇信息被《川观新闻》《四川法治报》等媒体报道，传播法院好声音，弘扬司法正能量。</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Style w:val="23"/>
          <w:rFonts w:hint="default" w:ascii="Times New Roman" w:hAnsi="Times New Roman" w:eastAsia="方正黑体_GBK" w:cs="Times New Roman"/>
          <w:b w:val="0"/>
          <w:bCs w:val="0"/>
          <w:color w:val="auto"/>
          <w:spacing w:val="0"/>
          <w:sz w:val="32"/>
          <w:szCs w:val="32"/>
          <w:lang w:val="en-US" w:eastAsia="zh-CN"/>
        </w:rPr>
      </w:pPr>
      <w:r>
        <w:rPr>
          <w:rStyle w:val="23"/>
          <w:rFonts w:hint="default" w:ascii="Times New Roman" w:hAnsi="Times New Roman" w:eastAsia="方正黑体_GBK" w:cs="Times New Roman"/>
          <w:b w:val="0"/>
          <w:bCs w:val="0"/>
          <w:color w:val="auto"/>
          <w:spacing w:val="0"/>
          <w:sz w:val="32"/>
          <w:szCs w:val="32"/>
          <w:lang w:val="en-US" w:eastAsia="zh-CN"/>
        </w:rPr>
        <w:t>五、实施铸魂强基总工程，在自强固本中锻造过硬队伍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淬炼“信得过”的政治品格。</w:t>
      </w:r>
      <w:r>
        <w:rPr>
          <w:rFonts w:hint="default" w:ascii="Times New Roman" w:hAnsi="Times New Roman" w:eastAsia="方正仿宋_GBK" w:cs="Times New Roman"/>
          <w:b w:val="0"/>
          <w:bCs w:val="0"/>
          <w:spacing w:val="6"/>
          <w:kern w:val="2"/>
          <w:sz w:val="32"/>
          <w:szCs w:val="32"/>
          <w:lang w:val="en-US" w:eastAsia="zh-CN" w:bidi="ar-SA"/>
        </w:rPr>
        <w:t>依托九寨沟县“红色铸魂”工程，紧紧围绕“讲政治、重公道、业务精、作风好”要求，举办“知行合一</w:t>
      </w:r>
      <w:r>
        <w:rPr>
          <w:rFonts w:hint="default" w:ascii="Times New Roman" w:hAnsi="Times New Roman" w:eastAsia="方正仿宋_GBK" w:cs="Times New Roman"/>
          <w:b/>
          <w:bCs/>
          <w:spacing w:val="6"/>
          <w:kern w:val="2"/>
          <w:sz w:val="32"/>
          <w:szCs w:val="32"/>
          <w:lang w:val="en-US" w:eastAsia="zh-CN" w:bidi="ar-SA"/>
        </w:rPr>
        <w:t>·</w:t>
      </w:r>
      <w:r>
        <w:rPr>
          <w:rFonts w:hint="default" w:ascii="Times New Roman" w:hAnsi="Times New Roman" w:eastAsia="方正仿宋_GBK" w:cs="Times New Roman"/>
          <w:b w:val="0"/>
          <w:bCs w:val="0"/>
          <w:spacing w:val="6"/>
          <w:kern w:val="2"/>
          <w:sz w:val="32"/>
          <w:szCs w:val="32"/>
          <w:lang w:val="en-US" w:eastAsia="zh-CN" w:bidi="ar-SA"/>
        </w:rPr>
        <w:t>党建课堂”，训育并举筑基塑魂。规范执行“三会一课”制度，严格党内组织生活，支部结对共建聚合力，</w:t>
      </w:r>
      <w:r>
        <w:rPr>
          <w:rFonts w:hint="default" w:ascii="Times New Roman" w:hAnsi="Times New Roman" w:eastAsia="方正仿宋_GBK" w:cs="Times New Roman"/>
          <w:b w:val="0"/>
          <w:bCs w:val="0"/>
          <w:spacing w:val="-6"/>
          <w:kern w:val="2"/>
          <w:sz w:val="32"/>
          <w:szCs w:val="32"/>
          <w:lang w:val="en-US" w:eastAsia="zh-CN" w:bidi="ar-SA"/>
        </w:rPr>
        <w:t>服务群众办实事30件次，纾困解难暖人心。打造“初心向党</w:t>
      </w:r>
      <w:r>
        <w:rPr>
          <w:rFonts w:hint="default" w:ascii="Times New Roman" w:hAnsi="Times New Roman" w:eastAsia="方正仿宋_GBK" w:cs="Times New Roman"/>
          <w:b/>
          <w:bCs/>
          <w:spacing w:val="-6"/>
          <w:kern w:val="2"/>
          <w:sz w:val="32"/>
          <w:szCs w:val="32"/>
          <w:lang w:val="en-US" w:eastAsia="zh-CN" w:bidi="ar-SA"/>
        </w:rPr>
        <w:t>·</w:t>
      </w:r>
      <w:r>
        <w:rPr>
          <w:rFonts w:hint="default" w:ascii="Times New Roman" w:hAnsi="Times New Roman" w:eastAsia="方正仿宋_GBK" w:cs="Times New Roman"/>
          <w:b w:val="0"/>
          <w:bCs w:val="0"/>
          <w:spacing w:val="-6"/>
          <w:kern w:val="2"/>
          <w:sz w:val="32"/>
          <w:szCs w:val="32"/>
          <w:lang w:val="en-US" w:eastAsia="zh-CN" w:bidi="ar-SA"/>
        </w:rPr>
        <w:t>初</w:t>
      </w:r>
      <w:r>
        <w:rPr>
          <w:rFonts w:hint="default" w:ascii="Times New Roman" w:hAnsi="Times New Roman" w:eastAsia="方正仿宋_GBK" w:cs="Times New Roman"/>
          <w:b w:val="0"/>
          <w:bCs w:val="0"/>
          <w:spacing w:val="6"/>
          <w:kern w:val="2"/>
          <w:sz w:val="32"/>
          <w:szCs w:val="32"/>
          <w:lang w:val="en-US" w:eastAsia="zh-CN" w:bidi="ar-SA"/>
        </w:rPr>
        <w:t>心在党”党建品牌，组织开展喜迎二十大系列党建文化活动。强基固本</w:t>
      </w:r>
      <w:r>
        <w:rPr>
          <w:rFonts w:hint="default" w:ascii="Times New Roman" w:hAnsi="Times New Roman" w:eastAsia="方正仿宋_GBK" w:cs="Times New Roman"/>
          <w:b w:val="0"/>
          <w:bCs w:val="0"/>
          <w:spacing w:val="-6"/>
          <w:kern w:val="2"/>
          <w:sz w:val="32"/>
          <w:szCs w:val="32"/>
          <w:lang w:val="en-US" w:eastAsia="zh-CN" w:bidi="ar-SA"/>
        </w:rPr>
        <w:t>筑堡垒，推荐5名干警参加入党积极分子培训，提升支部组织力。</w:t>
      </w:r>
    </w:p>
    <w:p>
      <w:pPr>
        <w:pStyle w:val="8"/>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2"/>
        <w:jc w:val="both"/>
        <w:textAlignment w:val="auto"/>
        <w:rPr>
          <w:rFonts w:hint="default" w:ascii="Times New Roman" w:hAnsi="Times New Roman" w:eastAsia="方正仿宋_GBK" w:cs="Times New Roman"/>
          <w:b w:val="0"/>
          <w:bCs w:val="0"/>
          <w:spacing w:val="6"/>
          <w:kern w:val="2"/>
          <w:sz w:val="32"/>
          <w:szCs w:val="32"/>
          <w:lang w:val="en-US" w:eastAsia="zh-CN" w:bidi="ar-SA"/>
        </w:rPr>
      </w:pPr>
      <w:r>
        <w:rPr>
          <w:rFonts w:hint="default" w:ascii="方正楷体_GBK" w:hAnsi="方正楷体_GBK" w:eastAsia="方正楷体_GBK" w:cs="方正楷体_GBK"/>
          <w:b/>
          <w:bCs/>
          <w:kern w:val="2"/>
          <w:sz w:val="32"/>
          <w:szCs w:val="32"/>
          <w:lang w:val="en-US" w:eastAsia="zh-CN" w:bidi="ar-SA"/>
        </w:rPr>
        <w:t>历练“靠得住”的过硬本领。</w:t>
      </w:r>
      <w:r>
        <w:rPr>
          <w:rFonts w:hint="default" w:ascii="Times New Roman" w:hAnsi="Times New Roman" w:eastAsia="方正仿宋_GBK" w:cs="Times New Roman"/>
          <w:b w:val="0"/>
          <w:bCs w:val="0"/>
          <w:spacing w:val="6"/>
          <w:kern w:val="2"/>
          <w:sz w:val="32"/>
          <w:szCs w:val="32"/>
          <w:lang w:val="en-US" w:eastAsia="zh-CN" w:bidi="ar-SA"/>
        </w:rPr>
        <w:t>聚焦提质强能，打造“三高六质”法院队伍。充分发挥学术委员会的作用，抓调研促审判，5篇学术论文获省级表彰。青蓝相继，携手共进，成立首届青年工作委员会，开展读书分享、朗诵比赛等文体活动，队伍建设激活力。线上线下齐推进，组织全员参加各类业务培训500余人次，培训赋能取成效。发挥“六专四室”作用，推动司法警务新发展，开展司法警察“一月一训”活动，提升法警及警务辅助人员业务技能及应急处突能力。</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方正仿宋_GBK" w:cs="Times New Roman"/>
          <w:b w:val="0"/>
          <w:bCs w:val="0"/>
          <w:spacing w:val="6"/>
          <w:kern w:val="2"/>
          <w:sz w:val="32"/>
          <w:szCs w:val="32"/>
          <w:highlight w:val="yellow"/>
          <w:lang w:val="en-US" w:eastAsia="zh-CN" w:bidi="ar-SA"/>
        </w:rPr>
      </w:pPr>
      <w:r>
        <w:rPr>
          <w:rFonts w:hint="eastAsia" w:ascii="方正楷体_GBK" w:hAnsi="方正楷体_GBK" w:eastAsia="方正楷体_GBK" w:cs="方正楷体_GBK"/>
          <w:b/>
          <w:bCs/>
          <w:kern w:val="2"/>
          <w:sz w:val="32"/>
          <w:szCs w:val="32"/>
          <w:lang w:val="en-US" w:eastAsia="zh-CN" w:bidi="ar-SA"/>
        </w:rPr>
        <w:t>锤炼“能放心”的优良作风。</w:t>
      </w:r>
      <w:r>
        <w:rPr>
          <w:rFonts w:hint="default" w:ascii="Times New Roman" w:hAnsi="Times New Roman" w:eastAsia="方正仿宋_GBK" w:cs="Times New Roman"/>
          <w:b w:val="0"/>
          <w:bCs w:val="0"/>
          <w:spacing w:val="6"/>
          <w:kern w:val="2"/>
          <w:sz w:val="32"/>
          <w:szCs w:val="32"/>
          <w:lang w:val="en-US" w:eastAsia="zh-CN" w:bidi="ar-SA"/>
        </w:rPr>
        <w:t>持续正风肃纪，落实“紧严细实廉”，</w:t>
      </w:r>
      <w:r>
        <w:rPr>
          <w:rFonts w:hint="default" w:ascii="Times New Roman" w:hAnsi="Times New Roman" w:eastAsia="方正仿宋_GBK" w:cs="Times New Roman"/>
          <w:b w:val="0"/>
          <w:bCs w:val="0"/>
          <w:spacing w:val="6"/>
          <w:kern w:val="2"/>
          <w:sz w:val="32"/>
          <w:szCs w:val="32"/>
          <w:highlight w:val="none"/>
          <w:lang w:val="en-US" w:eastAsia="zh-CN" w:bidi="ar-SA"/>
        </w:rPr>
        <w:t>开展常态化警示教育活动，</w:t>
      </w:r>
      <w:r>
        <w:rPr>
          <w:rFonts w:hint="default" w:ascii="Times New Roman" w:hAnsi="Times New Roman" w:eastAsia="方正仿宋_GBK" w:cs="Times New Roman"/>
          <w:b w:val="0"/>
          <w:bCs w:val="0"/>
          <w:spacing w:val="6"/>
          <w:kern w:val="2"/>
          <w:sz w:val="32"/>
          <w:szCs w:val="32"/>
          <w:lang w:val="en-US" w:eastAsia="zh-CN" w:bidi="ar-SA"/>
        </w:rPr>
        <w:t>树牢底线思维。狠抓“三个规定”实质化运行，月月督察促落实，筑牢防止干预司法防火墙。认真贯彻执行新时代政法干警“十个严禁”，开展审务督察28次，发出督察通报4期，以岗位为点、程序为线、制度为面，梳理廉政风险关键节点57个，</w:t>
      </w:r>
      <w:r>
        <w:rPr>
          <w:rFonts w:hint="default" w:ascii="Times New Roman" w:hAnsi="Times New Roman" w:eastAsia="方正仿宋_GBK" w:cs="Times New Roman"/>
          <w:b w:val="0"/>
          <w:bCs w:val="0"/>
          <w:spacing w:val="6"/>
          <w:kern w:val="2"/>
          <w:sz w:val="32"/>
          <w:szCs w:val="32"/>
          <w:highlight w:val="none"/>
          <w:lang w:val="en-US" w:eastAsia="zh-CN" w:bidi="ar-SA"/>
        </w:rPr>
        <w:t>压实廉政责任。</w:t>
      </w:r>
    </w:p>
    <w:p>
      <w:pPr>
        <w:keepNext w:val="0"/>
        <w:keepLines w:val="0"/>
        <w:pageBreakBefore w:val="0"/>
        <w:widowControl w:val="0"/>
        <w:numPr>
          <w:ilvl w:val="0"/>
          <w:numId w:val="0"/>
        </w:numPr>
        <w:kinsoku/>
        <w:wordWrap/>
        <w:overflowPunct w:val="0"/>
        <w:topLinePunct w:val="0"/>
        <w:autoSpaceDE/>
        <w:autoSpaceDN/>
        <w:bidi w:val="0"/>
        <w:adjustRightInd/>
        <w:snapToGrid/>
        <w:spacing w:line="576" w:lineRule="exact"/>
        <w:ind w:left="0" w:leftChars="0" w:right="0" w:rightChars="0" w:firstLine="664" w:firstLineChars="200"/>
        <w:jc w:val="both"/>
        <w:textAlignment w:val="auto"/>
        <w:outlineLvl w:val="9"/>
        <w:rPr>
          <w:rFonts w:hint="default" w:ascii="Times New Roman" w:hAnsi="Times New Roman" w:eastAsia="方正仿宋_GBK" w:cs="Times New Roman"/>
          <w:b w:val="0"/>
          <w:bCs w:val="0"/>
          <w:spacing w:val="6"/>
          <w:kern w:val="2"/>
          <w:sz w:val="32"/>
          <w:szCs w:val="32"/>
          <w:lang w:val="en-US" w:eastAsia="zh-CN" w:bidi="ar-SA"/>
        </w:rPr>
      </w:pPr>
      <w:r>
        <w:rPr>
          <w:rFonts w:hint="default" w:ascii="Times New Roman" w:hAnsi="Times New Roman" w:eastAsia="方正仿宋_GBK" w:cs="Times New Roman"/>
          <w:b w:val="0"/>
          <w:bCs w:val="0"/>
          <w:spacing w:val="6"/>
          <w:kern w:val="2"/>
          <w:sz w:val="32"/>
          <w:szCs w:val="32"/>
          <w:lang w:val="en-US" w:eastAsia="zh-CN" w:bidi="ar-SA"/>
        </w:rPr>
        <w:t>一直以来，县法院始终把接受监督作为服务大局、司法为民、公正司法的重要保障。自觉接受人大监督和政协民主监督，主动向县人大及其常委会、县政协报告、通报重点工作和依法履职情况。持续加强代表委员联络工作，主动上门走访以及邀请视察座谈、旁听庭审、见证执行7次，认真听取代表委员意见建议，5项意见建议转化为公正司法具体举措。自觉接受纪检监察机关法纪监督，促进公正廉洁司法。依法接受检察监督，共同推进职务犯罪案件刑事裁判涉财产部分执行工作。广泛接受社会监督，人民陪审员参审案件113件，公开裁判文书572份，直播庭审131场，审判流程、执行信息全面公开，让群众参与司法、监督司法，以公开促公正。</w:t>
      </w:r>
      <w:bookmarkStart w:id="24" w:name="_Toc79163855"/>
      <w:bookmarkStart w:id="25" w:name="_Toc15377200"/>
      <w:bookmarkStart w:id="26" w:name="_Toc15396601"/>
      <w:bookmarkStart w:id="27" w:name="_Toc79163605"/>
    </w:p>
    <w:p>
      <w:pPr>
        <w:keepNext w:val="0"/>
        <w:keepLines w:val="0"/>
        <w:pageBreakBefore w:val="0"/>
        <w:widowControl w:val="0"/>
        <w:numPr>
          <w:ilvl w:val="0"/>
          <w:numId w:val="0"/>
        </w:numPr>
        <w:kinsoku/>
        <w:wordWrap/>
        <w:overflowPunct w:val="0"/>
        <w:topLinePunct w:val="0"/>
        <w:autoSpaceDE/>
        <w:autoSpaceDN/>
        <w:bidi w:val="0"/>
        <w:adjustRightInd/>
        <w:snapToGrid/>
        <w:spacing w:line="576" w:lineRule="exact"/>
        <w:ind w:left="0" w:leftChars="0" w:right="0" w:rightChars="0" w:firstLine="640" w:firstLineChars="200"/>
        <w:jc w:val="both"/>
        <w:textAlignment w:val="auto"/>
        <w:outlineLvl w:val="9"/>
        <w:rPr>
          <w:rStyle w:val="26"/>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color w:val="000000"/>
          <w:sz w:val="32"/>
          <w:szCs w:val="32"/>
        </w:rPr>
        <w:t>二、机</w:t>
      </w:r>
      <w:r>
        <w:rPr>
          <w:rStyle w:val="26"/>
          <w:rFonts w:hint="eastAsia" w:ascii="方正黑体_GBK" w:hAnsi="方正黑体_GBK" w:eastAsia="方正黑体_GBK" w:cs="方正黑体_GBK"/>
          <w:b w:val="0"/>
          <w:bCs w:val="0"/>
          <w:sz w:val="32"/>
          <w:szCs w:val="32"/>
        </w:rPr>
        <w:t>构设置</w:t>
      </w:r>
      <w:bookmarkEnd w:id="24"/>
      <w:bookmarkEnd w:id="25"/>
      <w:bookmarkEnd w:id="26"/>
      <w:bookmarkEnd w:id="27"/>
    </w:p>
    <w:p>
      <w:pPr>
        <w:keepNext w:val="0"/>
        <w:keepLines w:val="0"/>
        <w:pageBreakBefore w:val="0"/>
        <w:widowControl w:val="0"/>
        <w:numPr>
          <w:ilvl w:val="0"/>
          <w:numId w:val="0"/>
        </w:numPr>
        <w:kinsoku/>
        <w:wordWrap/>
        <w:overflowPunct w:val="0"/>
        <w:topLinePunct w:val="0"/>
        <w:autoSpaceDE/>
        <w:autoSpaceDN/>
        <w:bidi w:val="0"/>
        <w:adjustRightInd/>
        <w:snapToGrid/>
        <w:spacing w:line="576" w:lineRule="exact"/>
        <w:ind w:left="0" w:leftChars="0" w:right="0" w:rightChars="0" w:firstLine="664" w:firstLineChars="200"/>
        <w:jc w:val="both"/>
        <w:textAlignment w:val="auto"/>
        <w:outlineLvl w:val="9"/>
        <w:rPr>
          <w:rFonts w:hint="eastAsia" w:ascii="Times New Roman" w:hAnsi="Times New Roman" w:eastAsia="方正仿宋_GBK" w:cs="Times New Roman"/>
          <w:b w:val="0"/>
          <w:bCs w:val="0"/>
          <w:spacing w:val="6"/>
          <w:kern w:val="2"/>
          <w:sz w:val="32"/>
          <w:szCs w:val="32"/>
          <w:lang w:val="en-US" w:eastAsia="zh-CN" w:bidi="ar-SA"/>
        </w:rPr>
      </w:pPr>
      <w:r>
        <w:rPr>
          <w:rFonts w:hint="eastAsia" w:ascii="Times New Roman" w:hAnsi="Times New Roman" w:eastAsia="方正仿宋_GBK" w:cs="Times New Roman"/>
          <w:b w:val="0"/>
          <w:bCs w:val="0"/>
          <w:spacing w:val="6"/>
          <w:kern w:val="2"/>
          <w:sz w:val="32"/>
          <w:szCs w:val="32"/>
          <w:lang w:val="en-US" w:eastAsia="zh-CN" w:bidi="ar-SA"/>
        </w:rPr>
        <w:t>九寨沟县人民法院属一级决算单位，共设有</w:t>
      </w:r>
      <w:r>
        <w:rPr>
          <w:rFonts w:hint="eastAsia" w:eastAsia="方正仿宋_GBK" w:cs="Times New Roman"/>
          <w:b w:val="0"/>
          <w:bCs w:val="0"/>
          <w:spacing w:val="6"/>
          <w:kern w:val="2"/>
          <w:sz w:val="32"/>
          <w:szCs w:val="32"/>
          <w:lang w:val="en-US" w:eastAsia="zh-CN" w:bidi="ar-SA"/>
        </w:rPr>
        <w:t>8</w:t>
      </w:r>
      <w:r>
        <w:rPr>
          <w:rFonts w:hint="eastAsia" w:ascii="Times New Roman" w:hAnsi="Times New Roman" w:eastAsia="方正仿宋_GBK" w:cs="Times New Roman"/>
          <w:b w:val="0"/>
          <w:bCs w:val="0"/>
          <w:spacing w:val="6"/>
          <w:kern w:val="2"/>
          <w:sz w:val="32"/>
          <w:szCs w:val="32"/>
          <w:lang w:val="en-US" w:eastAsia="zh-CN" w:bidi="ar-SA"/>
        </w:rPr>
        <w:t>个内设</w:t>
      </w:r>
      <w:r>
        <w:rPr>
          <w:rFonts w:hint="eastAsia" w:eastAsia="方正仿宋_GBK" w:cs="Times New Roman"/>
          <w:b w:val="0"/>
          <w:bCs w:val="0"/>
          <w:spacing w:val="6"/>
          <w:kern w:val="2"/>
          <w:sz w:val="32"/>
          <w:szCs w:val="32"/>
          <w:lang w:val="en-US" w:eastAsia="zh-CN" w:bidi="ar-SA"/>
        </w:rPr>
        <w:t>庭室</w:t>
      </w:r>
      <w:r>
        <w:rPr>
          <w:rFonts w:hint="eastAsia" w:ascii="Times New Roman" w:hAnsi="Times New Roman" w:eastAsia="方正仿宋_GBK" w:cs="Times New Roman"/>
          <w:b w:val="0"/>
          <w:bCs w:val="0"/>
          <w:spacing w:val="6"/>
          <w:kern w:val="2"/>
          <w:sz w:val="32"/>
          <w:szCs w:val="32"/>
          <w:lang w:val="en-US" w:eastAsia="zh-CN" w:bidi="ar-SA"/>
        </w:rPr>
        <w:t>，3个派出机构。在职人员共48人，其中公务员44人，工勤人员4人。</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pPr>
      <w:bookmarkStart w:id="28" w:name="_Toc79163609"/>
      <w:bookmarkStart w:id="29" w:name="_Toc15396602"/>
      <w:bookmarkStart w:id="30" w:name="_Toc79163859"/>
      <w:bookmarkStart w:id="31" w:name="_Toc15377204"/>
      <w:r>
        <w:rPr>
          <w:rFonts w:hint="eastAsia" w:ascii="黑体" w:hAnsi="黑体" w:eastAsia="黑体"/>
          <w:b w:val="0"/>
          <w:color w:val="000000"/>
        </w:rPr>
        <w:t>第二部分</w:t>
      </w:r>
      <w:r>
        <w:rPr>
          <w:rFonts w:ascii="黑体" w:hAnsi="黑体" w:eastAsia="黑体"/>
          <w:color w:val="000000"/>
        </w:rPr>
        <w:t xml:space="preserve"> </w:t>
      </w:r>
      <w:r>
        <w:rPr>
          <w:rStyle w:val="25"/>
          <w:rFonts w:hint="eastAsia" w:ascii="黑体" w:hAnsi="黑体" w:eastAsia="黑体"/>
          <w:b w:val="0"/>
          <w:bCs w:val="0"/>
          <w:lang w:eastAsia="zh-CN"/>
        </w:rPr>
        <w:t>202</w:t>
      </w:r>
      <w:r>
        <w:rPr>
          <w:rStyle w:val="25"/>
          <w:rFonts w:hint="eastAsia" w:ascii="黑体" w:hAnsi="黑体" w:eastAsia="黑体"/>
          <w:b w:val="0"/>
          <w:bCs w:val="0"/>
          <w:lang w:val="en-US" w:eastAsia="zh-CN"/>
        </w:rPr>
        <w:t>2</w:t>
      </w:r>
      <w:r>
        <w:rPr>
          <w:rStyle w:val="25"/>
          <w:rFonts w:hint="eastAsia" w:ascii="黑体" w:hAnsi="黑体" w:eastAsia="黑体"/>
          <w:b w:val="0"/>
          <w:bCs w:val="0"/>
        </w:rPr>
        <w:t>年度部门决算情况说明</w:t>
      </w:r>
      <w:bookmarkEnd w:id="28"/>
      <w:bookmarkEnd w:id="29"/>
      <w:bookmarkEnd w:id="30"/>
      <w:bookmarkEnd w:id="31"/>
    </w:p>
    <w:p>
      <w:pPr>
        <w:pStyle w:val="36"/>
        <w:numPr>
          <w:ilvl w:val="0"/>
          <w:numId w:val="1"/>
        </w:numPr>
        <w:spacing w:line="600" w:lineRule="exact"/>
        <w:ind w:firstLineChars="0"/>
        <w:outlineLvl w:val="1"/>
        <w:rPr>
          <w:rStyle w:val="26"/>
          <w:rFonts w:ascii="黑体" w:hAnsi="黑体" w:eastAsia="黑体"/>
          <w:b w:val="0"/>
        </w:rPr>
      </w:pPr>
      <w:bookmarkStart w:id="32" w:name="_Toc79163860"/>
      <w:bookmarkStart w:id="33" w:name="_Toc15377205"/>
      <w:bookmarkStart w:id="34" w:name="_Toc79163610"/>
      <w:bookmarkStart w:id="3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2"/>
      <w:bookmarkEnd w:id="33"/>
      <w:bookmarkEnd w:id="34"/>
      <w:bookmarkEnd w:id="35"/>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1966.61</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年相比，收、支总计各</w:t>
      </w:r>
      <w:r>
        <w:rPr>
          <w:rFonts w:hint="eastAsia" w:ascii="仿宋" w:hAnsi="仿宋" w:eastAsia="仿宋"/>
          <w:color w:val="000000"/>
          <w:sz w:val="32"/>
          <w:szCs w:val="32"/>
          <w:lang w:val="en-US" w:eastAsia="zh-CN"/>
        </w:rPr>
        <w:t>增加112.91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上涨6.1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漳扎法庭建设，项目支出增加。</w:t>
      </w:r>
    </w:p>
    <w:p>
      <w:pPr>
        <w:pStyle w:val="36"/>
        <w:numPr>
          <w:ilvl w:val="0"/>
          <w:numId w:val="1"/>
        </w:numPr>
        <w:spacing w:line="600" w:lineRule="exact"/>
        <w:ind w:firstLineChars="0"/>
        <w:outlineLvl w:val="1"/>
        <w:rPr>
          <w:rStyle w:val="26"/>
          <w:rFonts w:ascii="黑体" w:hAnsi="黑体" w:eastAsia="黑体"/>
          <w:b w:val="0"/>
        </w:rPr>
      </w:pPr>
      <w:bookmarkStart w:id="36" w:name="_Toc15377206"/>
      <w:bookmarkStart w:id="37" w:name="_Toc79163611"/>
      <w:bookmarkStart w:id="38" w:name="_Toc15396604"/>
      <w:bookmarkStart w:id="39" w:name="_Toc79163861"/>
      <w:r>
        <w:rPr>
          <w:rFonts w:hint="eastAsia" w:ascii="黑体" w:hAnsi="黑体" w:eastAsia="黑体"/>
          <w:color w:val="000000"/>
          <w:sz w:val="32"/>
          <w:szCs w:val="32"/>
        </w:rPr>
        <w:t>收</w:t>
      </w:r>
      <w:r>
        <w:rPr>
          <w:rStyle w:val="26"/>
          <w:rFonts w:hint="eastAsia" w:ascii="黑体" w:hAnsi="黑体" w:eastAsia="黑体"/>
          <w:b w:val="0"/>
        </w:rPr>
        <w:t>入决算情况说明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1966.61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1248.87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63.50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其他收入717.74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36.50</w:t>
      </w:r>
      <w:r>
        <w:rPr>
          <w:rFonts w:ascii="仿宋" w:hAnsi="仿宋" w:eastAsia="仿宋"/>
          <w:color w:val="000000"/>
          <w:sz w:val="32"/>
          <w:szCs w:val="32"/>
        </w:rPr>
        <w:t>%</w:t>
      </w:r>
      <w:r>
        <w:rPr>
          <w:rFonts w:hint="eastAsia" w:ascii="仿宋" w:hAnsi="仿宋" w:eastAsia="仿宋"/>
          <w:color w:val="000000"/>
          <w:sz w:val="32"/>
          <w:szCs w:val="32"/>
        </w:rPr>
        <w:t>。</w:t>
      </w:r>
    </w:p>
    <w:p>
      <w:pPr>
        <w:pStyle w:val="36"/>
        <w:numPr>
          <w:ilvl w:val="0"/>
          <w:numId w:val="1"/>
        </w:numPr>
        <w:spacing w:line="600" w:lineRule="exact"/>
        <w:ind w:firstLineChars="0"/>
        <w:outlineLvl w:val="1"/>
        <w:rPr>
          <w:rStyle w:val="26"/>
          <w:rFonts w:ascii="黑体" w:hAnsi="黑体" w:eastAsia="黑体"/>
          <w:b w:val="0"/>
        </w:rPr>
      </w:pPr>
      <w:bookmarkStart w:id="40" w:name="_Toc15377207"/>
      <w:bookmarkStart w:id="41" w:name="_Toc79163862"/>
      <w:bookmarkStart w:id="42" w:name="_Toc79163612"/>
      <w:bookmarkStart w:id="43"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40"/>
      <w:bookmarkEnd w:id="41"/>
      <w:bookmarkEnd w:id="42"/>
      <w:bookmarkEnd w:id="43"/>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w:t>
      </w:r>
      <w:r>
        <w:rPr>
          <w:rFonts w:hint="eastAsia" w:ascii="仿宋_GB2312" w:eastAsia="仿宋_GB2312"/>
          <w:sz w:val="32"/>
          <w:szCs w:val="32"/>
          <w:lang w:val="en-US" w:eastAsia="zh-CN"/>
        </w:rPr>
        <w:t>1966.61</w:t>
      </w:r>
      <w:r>
        <w:rPr>
          <w:rFonts w:hint="eastAsia" w:ascii="仿宋_GB2312" w:eastAsia="仿宋_GB2312"/>
          <w:sz w:val="32"/>
          <w:szCs w:val="32"/>
        </w:rPr>
        <w:t>万元，其中：基本支出</w:t>
      </w:r>
      <w:r>
        <w:rPr>
          <w:rFonts w:hint="eastAsia" w:ascii="仿宋_GB2312" w:eastAsia="仿宋_GB2312"/>
          <w:sz w:val="32"/>
          <w:szCs w:val="32"/>
          <w:lang w:val="en-US" w:eastAsia="zh-CN"/>
        </w:rPr>
        <w:t>1414.62</w:t>
      </w:r>
      <w:r>
        <w:rPr>
          <w:rFonts w:hint="eastAsia" w:ascii="仿宋_GB2312" w:eastAsia="仿宋_GB2312"/>
          <w:sz w:val="32"/>
          <w:szCs w:val="32"/>
        </w:rPr>
        <w:t>万元，占</w:t>
      </w:r>
      <w:r>
        <w:rPr>
          <w:rFonts w:hint="eastAsia" w:ascii="仿宋_GB2312" w:eastAsia="仿宋_GB2312"/>
          <w:sz w:val="32"/>
          <w:szCs w:val="32"/>
          <w:lang w:val="en-US" w:eastAsia="zh-CN"/>
        </w:rPr>
        <w:t>71.93</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551.99</w:t>
      </w:r>
      <w:r>
        <w:rPr>
          <w:rFonts w:hint="eastAsia" w:ascii="仿宋_GB2312" w:eastAsia="仿宋_GB2312"/>
          <w:sz w:val="32"/>
          <w:szCs w:val="32"/>
        </w:rPr>
        <w:t>万元，占</w:t>
      </w:r>
      <w:r>
        <w:rPr>
          <w:rFonts w:hint="eastAsia" w:ascii="仿宋_GB2312" w:eastAsia="仿宋_GB2312"/>
          <w:sz w:val="32"/>
          <w:szCs w:val="32"/>
          <w:lang w:val="en-US" w:eastAsia="zh-CN"/>
        </w:rPr>
        <w:t>28.07</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outlineLvl w:val="1"/>
        <w:rPr>
          <w:rStyle w:val="26"/>
          <w:rFonts w:ascii="黑体" w:hAnsi="黑体" w:eastAsia="黑体"/>
          <w:b w:val="0"/>
        </w:rPr>
      </w:pPr>
      <w:bookmarkStart w:id="44" w:name="_Toc79163863"/>
      <w:bookmarkStart w:id="45" w:name="_Toc15377208"/>
      <w:bookmarkStart w:id="46" w:name="_Toc15396606"/>
      <w:bookmarkStart w:id="47" w:name="_Toc7916361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4"/>
      <w:bookmarkEnd w:id="45"/>
      <w:bookmarkEnd w:id="46"/>
      <w:bookmarkEnd w:id="47"/>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1966.61</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w:t>
      </w:r>
      <w:r>
        <w:rPr>
          <w:rFonts w:hint="eastAsia" w:ascii="仿宋" w:hAnsi="仿宋" w:eastAsia="仿宋"/>
          <w:color w:val="000000"/>
          <w:sz w:val="32"/>
          <w:szCs w:val="32"/>
          <w:lang w:val="en-US" w:eastAsia="zh-CN"/>
        </w:rPr>
        <w:t>增加112.91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上涨6.1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漳扎法庭建设，项目支出增加。</w:t>
      </w:r>
    </w:p>
    <w:p>
      <w:pPr>
        <w:spacing w:line="600" w:lineRule="exact"/>
        <w:ind w:firstLine="640" w:firstLineChars="200"/>
        <w:outlineLvl w:val="1"/>
        <w:rPr>
          <w:rStyle w:val="26"/>
          <w:rFonts w:ascii="黑体" w:hAnsi="黑体" w:eastAsia="黑体"/>
          <w:b w:val="0"/>
        </w:rPr>
      </w:pPr>
      <w:bookmarkStart w:id="48" w:name="_Toc15377209"/>
      <w:bookmarkStart w:id="49" w:name="_Toc79163864"/>
      <w:bookmarkStart w:id="50" w:name="_Toc79163614"/>
      <w:bookmarkStart w:id="5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48"/>
      <w:bookmarkEnd w:id="49"/>
      <w:bookmarkEnd w:id="50"/>
      <w:bookmarkEnd w:id="51"/>
    </w:p>
    <w:p>
      <w:pPr>
        <w:spacing w:line="600" w:lineRule="exact"/>
        <w:ind w:firstLine="643" w:firstLineChars="200"/>
        <w:outlineLvl w:val="2"/>
        <w:rPr>
          <w:rFonts w:ascii="仿宋" w:hAnsi="仿宋" w:eastAsia="仿宋"/>
          <w:b/>
          <w:color w:val="000000"/>
          <w:sz w:val="32"/>
          <w:szCs w:val="32"/>
        </w:rPr>
      </w:pPr>
      <w:bookmarkStart w:id="52" w:name="_Toc79163615"/>
      <w:bookmarkStart w:id="53" w:name="_Toc79163865"/>
      <w:bookmarkStart w:id="54" w:name="_Toc15377210"/>
      <w:r>
        <w:rPr>
          <w:rFonts w:hint="eastAsia" w:ascii="仿宋" w:hAnsi="仿宋" w:eastAsia="仿宋"/>
          <w:b/>
          <w:color w:val="000000"/>
          <w:sz w:val="32"/>
          <w:szCs w:val="32"/>
        </w:rPr>
        <w:t>（一）一般公共预算财政拨款支出决算总体情况</w:t>
      </w:r>
      <w:bookmarkEnd w:id="52"/>
      <w:bookmarkEnd w:id="53"/>
      <w:bookmarkEnd w:id="54"/>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1966.61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增加112.91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上涨6.1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漳扎法庭建设，项目支出增加。</w:t>
      </w:r>
    </w:p>
    <w:p>
      <w:pPr>
        <w:spacing w:line="600" w:lineRule="exact"/>
        <w:ind w:firstLine="643" w:firstLineChars="200"/>
        <w:outlineLvl w:val="2"/>
        <w:rPr>
          <w:rFonts w:ascii="仿宋" w:hAnsi="仿宋" w:eastAsia="仿宋"/>
          <w:b/>
          <w:color w:val="000000"/>
          <w:sz w:val="32"/>
          <w:szCs w:val="32"/>
        </w:rPr>
      </w:pPr>
      <w:bookmarkStart w:id="55" w:name="_Toc79163866"/>
      <w:bookmarkStart w:id="56" w:name="_Toc79163616"/>
      <w:bookmarkStart w:id="57" w:name="_Toc15377211"/>
      <w:r>
        <w:rPr>
          <w:rFonts w:hint="eastAsia" w:ascii="仿宋" w:hAnsi="仿宋" w:eastAsia="仿宋"/>
          <w:b/>
          <w:color w:val="000000"/>
          <w:sz w:val="32"/>
          <w:szCs w:val="32"/>
        </w:rPr>
        <w:t>（二）一般公共预算财政拨款支出决算结构情况</w:t>
      </w:r>
      <w:bookmarkEnd w:id="55"/>
      <w:bookmarkEnd w:id="56"/>
      <w:bookmarkEnd w:id="57"/>
    </w:p>
    <w:p>
      <w:pPr>
        <w:spacing w:line="600" w:lineRule="exact"/>
        <w:ind w:firstLine="640"/>
        <w:rPr>
          <w:rFonts w:ascii="仿宋" w:hAnsi="仿宋" w:eastAsia="仿宋"/>
          <w:b/>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1966.61</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lang w:val="en-US" w:eastAsia="zh-CN"/>
        </w:rPr>
        <w:t>公共安全</w:t>
      </w:r>
      <w:r>
        <w:rPr>
          <w:rFonts w:hint="eastAsia" w:ascii="仿宋" w:hAnsi="仿宋" w:eastAsia="仿宋" w:cs="Times New Roman"/>
          <w:b/>
          <w:color w:val="000000"/>
          <w:sz w:val="32"/>
          <w:szCs w:val="32"/>
          <w:lang w:val="en-US" w:eastAsia="zh-CN"/>
        </w:rPr>
        <w:t>支出</w:t>
      </w:r>
      <w:r>
        <w:rPr>
          <w:rFonts w:hint="eastAsia" w:ascii="仿宋" w:hAnsi="仿宋" w:eastAsia="仿宋"/>
          <w:color w:val="000000"/>
          <w:sz w:val="32"/>
          <w:szCs w:val="32"/>
          <w:lang w:val="en-US" w:eastAsia="zh-CN"/>
        </w:rPr>
        <w:t>1680.19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85.44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s="Times New Roman"/>
          <w:b/>
          <w:color w:val="000000"/>
          <w:sz w:val="32"/>
          <w:szCs w:val="32"/>
        </w:rPr>
        <w:t>支出</w:t>
      </w:r>
      <w:r>
        <w:rPr>
          <w:rFonts w:hint="eastAsia" w:ascii="仿宋" w:hAnsi="仿宋" w:eastAsia="仿宋"/>
          <w:color w:val="000000"/>
          <w:sz w:val="32"/>
          <w:szCs w:val="32"/>
          <w:lang w:val="en-US" w:eastAsia="zh-CN"/>
        </w:rPr>
        <w:t>130.09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6.61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59.97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color w:val="000000"/>
          <w:sz w:val="32"/>
          <w:szCs w:val="32"/>
        </w:rPr>
        <w:t>住房保障支出</w:t>
      </w:r>
      <w:r>
        <w:rPr>
          <w:rFonts w:hint="eastAsia" w:ascii="仿宋" w:hAnsi="仿宋" w:eastAsia="仿宋"/>
          <w:color w:val="000000"/>
          <w:sz w:val="32"/>
          <w:szCs w:val="32"/>
          <w:lang w:val="en-US" w:eastAsia="zh-CN"/>
        </w:rPr>
        <w:t>96.36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4.89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58" w:name="_Toc15377212"/>
      <w:bookmarkStart w:id="59" w:name="_Toc79163617"/>
      <w:bookmarkStart w:id="60" w:name="_Toc79163867"/>
      <w:r>
        <w:rPr>
          <w:rFonts w:hint="eastAsia" w:ascii="仿宋" w:hAnsi="仿宋" w:eastAsia="仿宋"/>
          <w:b/>
          <w:color w:val="000000"/>
          <w:sz w:val="32"/>
          <w:szCs w:val="32"/>
        </w:rPr>
        <w:t>（三）一般公共预算财政拨款支出决算具体情况</w:t>
      </w:r>
      <w:bookmarkEnd w:id="58"/>
      <w:bookmarkEnd w:id="59"/>
      <w:bookmarkEnd w:id="60"/>
    </w:p>
    <w:p>
      <w:pPr>
        <w:spacing w:line="600" w:lineRule="exact"/>
        <w:ind w:firstLine="643" w:firstLineChars="200"/>
        <w:rPr>
          <w:rFonts w:ascii="仿宋_GB2312" w:eastAsia="仿宋_GB2312"/>
          <w:b/>
          <w:bCs/>
          <w:sz w:val="32"/>
          <w:szCs w:val="32"/>
        </w:rPr>
      </w:pPr>
      <w:bookmarkStart w:id="61" w:name="_Toc15378460"/>
      <w:bookmarkStart w:id="62" w:name="_Toc15377444"/>
      <w:bookmarkStart w:id="63" w:name="_Toc15377213"/>
      <w:r>
        <w:rPr>
          <w:rFonts w:hint="eastAsia" w:ascii="仿宋_GB2312" w:eastAsia="仿宋_GB2312"/>
          <w:b/>
          <w:bCs/>
          <w:sz w:val="32"/>
          <w:szCs w:val="32"/>
          <w:lang w:eastAsia="zh-CN"/>
        </w:rPr>
        <w:t>202</w:t>
      </w:r>
      <w:r>
        <w:rPr>
          <w:rFonts w:hint="eastAsia" w:ascii="仿宋_GB2312" w:eastAsia="仿宋_GB2312"/>
          <w:b/>
          <w:bCs/>
          <w:sz w:val="32"/>
          <w:szCs w:val="32"/>
          <w:lang w:val="en-US" w:eastAsia="zh-CN"/>
        </w:rPr>
        <w:t>2</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1966.61</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1"/>
      <w:bookmarkEnd w:id="62"/>
      <w:bookmarkEnd w:id="63"/>
    </w:p>
    <w:p>
      <w:pPr>
        <w:numPr>
          <w:ilvl w:val="0"/>
          <w:numId w:val="0"/>
        </w:num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1.</w:t>
      </w:r>
      <w:r>
        <w:rPr>
          <w:rStyle w:val="23"/>
          <w:rFonts w:hint="eastAsia" w:ascii="仿宋" w:hAnsi="仿宋" w:eastAsia="仿宋"/>
          <w:bCs/>
          <w:color w:val="000000"/>
          <w:sz w:val="32"/>
          <w:szCs w:val="32"/>
        </w:rPr>
        <w:t>公共</w:t>
      </w:r>
      <w:r>
        <w:rPr>
          <w:rStyle w:val="23"/>
          <w:rFonts w:hint="eastAsia" w:ascii="仿宋" w:hAnsi="仿宋" w:eastAsia="仿宋"/>
          <w:bCs/>
          <w:color w:val="000000"/>
          <w:sz w:val="32"/>
          <w:szCs w:val="32"/>
          <w:lang w:val="en-US" w:eastAsia="zh-CN"/>
        </w:rPr>
        <w:t>安全</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法院</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行政运行</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1128.20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numPr>
          <w:ilvl w:val="0"/>
          <w:numId w:val="0"/>
        </w:numPr>
        <w:spacing w:line="600" w:lineRule="exact"/>
        <w:ind w:firstLine="643" w:firstLineChars="200"/>
      </w:pPr>
      <w:r>
        <w:rPr>
          <w:rStyle w:val="23"/>
          <w:rFonts w:hint="eastAsia" w:ascii="仿宋" w:hAnsi="仿宋" w:eastAsia="仿宋"/>
          <w:bCs/>
          <w:color w:val="000000"/>
          <w:sz w:val="32"/>
          <w:szCs w:val="32"/>
          <w:lang w:val="en-US" w:eastAsia="zh-CN"/>
        </w:rPr>
        <w:t>2.</w:t>
      </w:r>
      <w:r>
        <w:rPr>
          <w:rStyle w:val="23"/>
          <w:rFonts w:hint="eastAsia" w:ascii="仿宋" w:hAnsi="仿宋" w:eastAsia="仿宋"/>
          <w:bCs/>
          <w:color w:val="000000"/>
          <w:sz w:val="32"/>
          <w:szCs w:val="32"/>
        </w:rPr>
        <w:t>公共</w:t>
      </w:r>
      <w:r>
        <w:rPr>
          <w:rStyle w:val="23"/>
          <w:rFonts w:hint="eastAsia" w:ascii="仿宋" w:hAnsi="仿宋" w:eastAsia="仿宋"/>
          <w:bCs/>
          <w:color w:val="000000"/>
          <w:sz w:val="32"/>
          <w:szCs w:val="32"/>
          <w:lang w:val="en-US" w:eastAsia="zh-CN"/>
        </w:rPr>
        <w:t>安全</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法院</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一般行政管理事物</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365.81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numPr>
          <w:ilvl w:val="0"/>
          <w:numId w:val="0"/>
        </w:num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3.</w:t>
      </w:r>
      <w:r>
        <w:rPr>
          <w:rStyle w:val="23"/>
          <w:rFonts w:hint="eastAsia" w:ascii="仿宋" w:hAnsi="仿宋" w:eastAsia="仿宋"/>
          <w:bCs/>
          <w:color w:val="000000"/>
          <w:sz w:val="32"/>
          <w:szCs w:val="32"/>
        </w:rPr>
        <w:t>公共</w:t>
      </w:r>
      <w:r>
        <w:rPr>
          <w:rStyle w:val="23"/>
          <w:rFonts w:hint="eastAsia" w:ascii="仿宋" w:hAnsi="仿宋" w:eastAsia="仿宋"/>
          <w:bCs/>
          <w:color w:val="000000"/>
          <w:sz w:val="32"/>
          <w:szCs w:val="32"/>
          <w:lang w:val="en-US" w:eastAsia="zh-CN"/>
        </w:rPr>
        <w:t>安全</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法院</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一般行政管理事物</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99）</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186.18</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pPr>
      <w:r>
        <w:rPr>
          <w:rStyle w:val="23"/>
          <w:rFonts w:hint="eastAsia" w:ascii="仿宋" w:hAnsi="仿宋" w:eastAsia="仿宋"/>
          <w:bCs/>
          <w:color w:val="000000"/>
          <w:sz w:val="32"/>
          <w:szCs w:val="32"/>
          <w:lang w:val="en-US" w:eastAsia="zh-CN"/>
        </w:rPr>
        <w:t>4.社会保障和就业</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行政事业单位养老</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 xml:space="preserve"> 机关事业单位基本养老保险缴费支出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86.72</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5</w:t>
      </w:r>
      <w:r>
        <w:rPr>
          <w:rStyle w:val="23"/>
          <w:rFonts w:ascii="仿宋" w:hAnsi="仿宋" w:eastAsia="仿宋"/>
          <w:bCs/>
          <w:color w:val="000000"/>
          <w:sz w:val="32"/>
          <w:szCs w:val="32"/>
        </w:rPr>
        <w:t>.</w:t>
      </w:r>
      <w:r>
        <w:rPr>
          <w:rStyle w:val="23"/>
          <w:rFonts w:hint="eastAsia" w:ascii="仿宋" w:hAnsi="仿宋" w:eastAsia="仿宋"/>
          <w:bCs/>
          <w:color w:val="000000"/>
          <w:sz w:val="32"/>
          <w:szCs w:val="32"/>
          <w:lang w:val="en-US" w:eastAsia="zh-CN"/>
        </w:rPr>
        <w:t>社会保障和就业</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行政事业单位养老</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机关事业单位职业年金缴费</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06</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43.36</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6</w:t>
      </w:r>
      <w:r>
        <w:rPr>
          <w:rStyle w:val="23"/>
          <w:rFonts w:ascii="仿宋" w:hAnsi="仿宋" w:eastAsia="仿宋"/>
          <w:bCs/>
          <w:color w:val="000000"/>
          <w:sz w:val="32"/>
          <w:szCs w:val="32"/>
        </w:rPr>
        <w:t>.</w:t>
      </w:r>
      <w:r>
        <w:rPr>
          <w:rStyle w:val="23"/>
          <w:rFonts w:hint="eastAsia" w:ascii="仿宋" w:hAnsi="仿宋" w:eastAsia="仿宋"/>
          <w:bCs/>
          <w:color w:val="000000"/>
          <w:sz w:val="32"/>
          <w:szCs w:val="32"/>
          <w:lang w:val="en-US" w:eastAsia="zh-CN"/>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行政事业单位医疗</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行政事业单位医疗</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49.68</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Style w:val="23"/>
          <w:rFonts w:hint="eastAsia" w:ascii="仿宋" w:hAnsi="仿宋" w:eastAsia="仿宋"/>
          <w:bCs/>
          <w:color w:val="000000"/>
          <w:sz w:val="32"/>
          <w:szCs w:val="32"/>
          <w:lang w:val="en-US" w:eastAsia="zh-CN"/>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行政事业单位医疗</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公务员医疗补助</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03</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10.30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pStyle w:val="8"/>
      </w:pPr>
      <w:r>
        <w:rPr>
          <w:rStyle w:val="23"/>
          <w:rFonts w:hint="eastAsia" w:ascii="仿宋" w:hAnsi="仿宋" w:eastAsia="仿宋"/>
          <w:bCs/>
          <w:color w:val="000000"/>
          <w:sz w:val="32"/>
          <w:szCs w:val="32"/>
          <w:lang w:val="en-US" w:eastAsia="zh-CN"/>
        </w:rPr>
        <w:t>8</w:t>
      </w:r>
      <w:r>
        <w:rPr>
          <w:rStyle w:val="23"/>
          <w:rFonts w:ascii="仿宋" w:hAnsi="仿宋" w:eastAsia="仿宋"/>
          <w:bCs/>
          <w:color w:val="000000"/>
          <w:sz w:val="32"/>
          <w:szCs w:val="32"/>
        </w:rPr>
        <w:t>.</w:t>
      </w:r>
      <w:r>
        <w:rPr>
          <w:rFonts w:hint="eastAsia" w:ascii="仿宋" w:hAnsi="仿宋" w:eastAsia="仿宋"/>
          <w:b/>
          <w:bCs/>
          <w:color w:val="000000"/>
          <w:sz w:val="32"/>
          <w:szCs w:val="32"/>
          <w:lang w:val="en-US" w:eastAsia="zh-CN"/>
        </w:rPr>
        <w:t>住房保障</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221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住房改革</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住房公积金</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96.36</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6"/>
        </w:rPr>
      </w:pPr>
      <w:bookmarkStart w:id="64" w:name="_Toc79163618"/>
      <w:bookmarkStart w:id="65" w:name="_Toc15396608"/>
      <w:bookmarkStart w:id="66" w:name="_Toc79163868"/>
      <w:bookmarkStart w:id="6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4"/>
      <w:bookmarkEnd w:id="65"/>
      <w:bookmarkEnd w:id="66"/>
      <w:bookmarkEnd w:id="67"/>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1414.62</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1314.76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320" w:firstLineChars="100"/>
        <w:rPr>
          <w:rFonts w:ascii="仿宋" w:hAnsi="仿宋" w:eastAsia="仿宋"/>
          <w:color w:val="00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99.86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68" w:name="_Toc79163869"/>
      <w:bookmarkStart w:id="69" w:name="_Toc15396609"/>
      <w:bookmarkStart w:id="70" w:name="_Toc15377215"/>
      <w:bookmarkStart w:id="71" w:name="_Toc7916361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8"/>
      <w:bookmarkEnd w:id="69"/>
      <w:bookmarkEnd w:id="70"/>
      <w:bookmarkEnd w:id="71"/>
    </w:p>
    <w:p>
      <w:pPr>
        <w:spacing w:line="600" w:lineRule="exact"/>
        <w:ind w:firstLine="640"/>
        <w:outlineLvl w:val="2"/>
        <w:rPr>
          <w:rFonts w:ascii="仿宋" w:hAnsi="仿宋" w:eastAsia="仿宋"/>
          <w:b/>
          <w:color w:val="000000"/>
          <w:sz w:val="32"/>
          <w:szCs w:val="32"/>
        </w:rPr>
      </w:pPr>
      <w:bookmarkStart w:id="72" w:name="_Toc15377216"/>
      <w:bookmarkStart w:id="73" w:name="_Toc79163620"/>
      <w:bookmarkStart w:id="74" w:name="_Toc79163870"/>
      <w:r>
        <w:rPr>
          <w:rFonts w:hint="eastAsia" w:ascii="仿宋" w:hAnsi="仿宋" w:eastAsia="仿宋"/>
          <w:b/>
          <w:color w:val="000000"/>
          <w:sz w:val="32"/>
          <w:szCs w:val="32"/>
        </w:rPr>
        <w:t>（一）“三公”经费财政拨款支出决算总体情况说明</w:t>
      </w:r>
      <w:bookmarkEnd w:id="72"/>
      <w:bookmarkEnd w:id="73"/>
      <w:bookmarkEnd w:id="7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highlight w:val="none"/>
          <w:lang w:val="en-US" w:eastAsia="zh-CN"/>
        </w:rPr>
        <w:t>27.34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5" w:name="_Toc15377217"/>
      <w:bookmarkStart w:id="76" w:name="_Toc79163621"/>
      <w:bookmarkStart w:id="77" w:name="_Toc79163871"/>
      <w:r>
        <w:rPr>
          <w:rFonts w:hint="eastAsia" w:ascii="仿宋" w:hAnsi="仿宋" w:eastAsia="仿宋"/>
          <w:b/>
          <w:color w:val="000000"/>
          <w:sz w:val="32"/>
          <w:szCs w:val="32"/>
        </w:rPr>
        <w:t>（二）“三公”经费财政拨款支出决算具体情况说明</w:t>
      </w:r>
      <w:bookmarkEnd w:id="75"/>
      <w:bookmarkEnd w:id="76"/>
      <w:bookmarkEnd w:id="7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25.81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94.40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5.60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lang w:val="en-US" w:eastAsia="zh-CN"/>
        </w:rPr>
        <w:t>1</w:t>
      </w:r>
      <w:r>
        <w:rPr>
          <w:rFonts w:ascii="仿宋_GB2312" w:eastAsia="仿宋_GB2312"/>
          <w:b/>
          <w:color w:val="000000"/>
          <w:sz w:val="32"/>
          <w:szCs w:val="32"/>
        </w:rPr>
        <w:t>.</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25.81</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3.72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12.60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厉行节俭，节约开支</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25.81</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办案</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1.53</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2.61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检查增加，公务接待增加</w:t>
      </w:r>
      <w:r>
        <w:rPr>
          <w:rFonts w:hint="eastAsia" w:ascii="仿宋_GB2312" w:eastAsia="仿宋_GB2312"/>
          <w:color w:val="000000"/>
          <w:sz w:val="32"/>
          <w:szCs w:val="32"/>
        </w:rPr>
        <w:t>。其中：</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1.53</w:t>
      </w:r>
      <w:r>
        <w:rPr>
          <w:rFonts w:hint="eastAsia" w:ascii="仿宋_GB2312" w:eastAsia="仿宋_GB2312"/>
          <w:color w:val="000000"/>
          <w:sz w:val="32"/>
          <w:szCs w:val="32"/>
        </w:rPr>
        <w:t>万元，主要用于执行公务、开展业务活动开支的交通费、住宿费、用餐费</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p>
      <w:pPr>
        <w:spacing w:line="600" w:lineRule="exact"/>
        <w:ind w:firstLine="640"/>
        <w:outlineLvl w:val="1"/>
        <w:rPr>
          <w:rStyle w:val="26"/>
          <w:rFonts w:ascii="黑体" w:hAnsi="黑体" w:eastAsia="黑体"/>
        </w:rPr>
      </w:pPr>
      <w:bookmarkStart w:id="78" w:name="_Toc15377218"/>
      <w:bookmarkStart w:id="79" w:name="_Toc15396610"/>
      <w:bookmarkStart w:id="80" w:name="_Toc79163622"/>
      <w:bookmarkStart w:id="81" w:name="_Toc79163872"/>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78"/>
      <w:bookmarkEnd w:id="79"/>
      <w:bookmarkEnd w:id="80"/>
      <w:bookmarkEnd w:id="81"/>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82" w:name="_Toc79163873"/>
      <w:bookmarkStart w:id="83" w:name="_Toc15377219"/>
      <w:bookmarkStart w:id="84" w:name="_Toc15396611"/>
      <w:bookmarkStart w:id="85" w:name="_Toc79163623"/>
      <w:r>
        <w:rPr>
          <w:rStyle w:val="26"/>
          <w:rFonts w:hint="eastAsia" w:ascii="黑体" w:hAnsi="黑体" w:eastAsia="黑体"/>
          <w:b w:val="0"/>
        </w:rPr>
        <w:t>国有资本经营预算支出决算情况说明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6"/>
          <w:rFonts w:ascii="黑体" w:hAnsi="黑体" w:eastAsia="黑体"/>
          <w:highlight w:val="none"/>
        </w:rPr>
      </w:pPr>
      <w:bookmarkStart w:id="86" w:name="_Toc15377221"/>
      <w:bookmarkStart w:id="87" w:name="_Toc79163874"/>
      <w:bookmarkStart w:id="88" w:name="_Toc79163624"/>
      <w:bookmarkStart w:id="89" w:name="_Toc15396612"/>
      <w:r>
        <w:rPr>
          <w:rFonts w:hint="eastAsia" w:ascii="黑体" w:hAnsi="黑体" w:eastAsia="黑体"/>
          <w:color w:val="000000"/>
          <w:sz w:val="32"/>
          <w:szCs w:val="32"/>
          <w:highlight w:val="none"/>
        </w:rPr>
        <w:t>十</w:t>
      </w:r>
      <w:r>
        <w:rPr>
          <w:rStyle w:val="26"/>
          <w:rFonts w:hint="eastAsia" w:ascii="黑体" w:hAnsi="黑体" w:eastAsia="黑体"/>
          <w:highlight w:val="none"/>
        </w:rPr>
        <w:t>、</w:t>
      </w:r>
      <w:r>
        <w:rPr>
          <w:rStyle w:val="26"/>
          <w:rFonts w:hint="eastAsia" w:ascii="黑体" w:hAnsi="黑体" w:eastAsia="黑体"/>
          <w:b w:val="0"/>
          <w:highlight w:val="none"/>
        </w:rPr>
        <w:t>其他重要事项的情况说明</w:t>
      </w:r>
      <w:bookmarkEnd w:id="86"/>
      <w:bookmarkEnd w:id="87"/>
      <w:bookmarkEnd w:id="88"/>
      <w:bookmarkEnd w:id="89"/>
    </w:p>
    <w:p>
      <w:pPr>
        <w:spacing w:line="600" w:lineRule="exact"/>
        <w:ind w:firstLine="643" w:firstLineChars="200"/>
        <w:outlineLvl w:val="2"/>
        <w:rPr>
          <w:rFonts w:ascii="仿宋" w:hAnsi="仿宋" w:eastAsia="仿宋"/>
          <w:color w:val="000000"/>
          <w:sz w:val="32"/>
          <w:szCs w:val="32"/>
        </w:rPr>
      </w:pPr>
      <w:bookmarkStart w:id="90" w:name="_Toc15377222"/>
      <w:bookmarkStart w:id="91" w:name="_Toc79163875"/>
      <w:bookmarkStart w:id="92" w:name="_Toc79163625"/>
      <w:r>
        <w:rPr>
          <w:rFonts w:hint="eastAsia" w:ascii="仿宋" w:hAnsi="仿宋" w:eastAsia="仿宋"/>
          <w:b/>
          <w:color w:val="000000"/>
          <w:sz w:val="32"/>
          <w:szCs w:val="32"/>
        </w:rPr>
        <w:t>（一）机关运行经费支出情况</w:t>
      </w:r>
      <w:bookmarkEnd w:id="90"/>
      <w:bookmarkEnd w:id="91"/>
      <w:bookmarkEnd w:id="9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年，机关运行经费支出</w:t>
      </w:r>
      <w:r>
        <w:rPr>
          <w:rFonts w:hint="eastAsia" w:ascii="仿宋_GB2312" w:eastAsia="仿宋_GB2312"/>
          <w:color w:val="000000"/>
          <w:sz w:val="32"/>
          <w:szCs w:val="32"/>
          <w:lang w:val="en-US" w:eastAsia="zh-CN"/>
        </w:rPr>
        <w:t>99.86</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增加7.85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上涨8.53</w:t>
      </w:r>
      <w:r>
        <w:rPr>
          <w:rFonts w:ascii="仿宋_GB2312" w:eastAsia="仿宋_GB2312"/>
          <w:color w:val="000000"/>
          <w:sz w:val="32"/>
          <w:szCs w:val="32"/>
        </w:rPr>
        <w:t>%</w:t>
      </w:r>
      <w:r>
        <w:rPr>
          <w:rFonts w:hint="eastAsia" w:ascii="仿宋_GB2312" w:eastAsia="仿宋_GB2312"/>
          <w:color w:val="000000"/>
          <w:sz w:val="32"/>
          <w:szCs w:val="32"/>
        </w:rPr>
        <w:t>。主要</w:t>
      </w:r>
      <w:r>
        <w:rPr>
          <w:rFonts w:hint="eastAsia" w:ascii="仿宋_GB2312" w:eastAsia="仿宋_GB2312"/>
          <w:color w:val="000000"/>
          <w:sz w:val="32"/>
          <w:szCs w:val="32"/>
          <w:lang w:val="en-US" w:eastAsia="zh-CN"/>
        </w:rPr>
        <w:t>案件增加，办案开支增加。</w:t>
      </w:r>
    </w:p>
    <w:p>
      <w:pPr>
        <w:autoSpaceDE w:val="0"/>
        <w:autoSpaceDN w:val="0"/>
        <w:adjustRightInd w:val="0"/>
        <w:spacing w:line="600" w:lineRule="exact"/>
        <w:ind w:firstLine="643" w:firstLineChars="200"/>
        <w:jc w:val="left"/>
        <w:outlineLvl w:val="2"/>
        <w:rPr>
          <w:rFonts w:ascii="仿宋_GB2312" w:hAnsi="仿宋_GB2312" w:eastAsia="仿宋_GB2312" w:cs="仿宋_GB2312"/>
          <w:sz w:val="32"/>
          <w:szCs w:val="32"/>
        </w:rPr>
      </w:pPr>
      <w:bookmarkStart w:id="93" w:name="_Toc79163878"/>
      <w:bookmarkStart w:id="94" w:name="_Toc79163628"/>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二</w:t>
      </w:r>
      <w:r>
        <w:rPr>
          <w:rFonts w:hint="eastAsia" w:ascii="仿宋" w:hAnsi="仿宋" w:eastAsia="仿宋"/>
          <w:b/>
          <w:color w:val="000000"/>
          <w:sz w:val="32"/>
          <w:szCs w:val="32"/>
        </w:rPr>
        <w:t>）预算绩效管理情况。</w:t>
      </w:r>
      <w:bookmarkEnd w:id="93"/>
      <w:bookmarkEnd w:id="94"/>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转移支付</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个项目编制了绩效目标，预算执行过程中，对</w:t>
      </w:r>
      <w:r>
        <w:rPr>
          <w:rFonts w:hint="eastAsia" w:ascii="仿宋_GB2312" w:hAnsi="仿宋_GB2312" w:eastAsia="仿宋_GB2312" w:cs="仿宋_GB2312"/>
          <w:sz w:val="32"/>
          <w:szCs w:val="32"/>
          <w:lang w:val="en-US" w:eastAsia="zh-CN"/>
        </w:rPr>
        <w:t>2022年转移支付</w:t>
      </w:r>
      <w:r>
        <w:rPr>
          <w:rFonts w:hint="eastAsia" w:ascii="仿宋_GB2312" w:hAnsi="仿宋_GB2312" w:eastAsia="仿宋_GB2312" w:cs="仿宋_GB2312"/>
          <w:sz w:val="32"/>
          <w:szCs w:val="32"/>
        </w:rPr>
        <w:t>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2022年转移支付</w:t>
      </w:r>
      <w:r>
        <w:rPr>
          <w:rFonts w:hint="eastAsia" w:ascii="仿宋_GB2312" w:hAnsi="仿宋_GB2312" w:eastAsia="仿宋_GB2312" w:cs="仿宋_GB2312"/>
          <w:sz w:val="32"/>
          <w:szCs w:val="32"/>
        </w:rPr>
        <w:t>项目绩效目标实际完成情况。</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2022年转移支付</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551.98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551.98</w:t>
      </w:r>
      <w:r>
        <w:rPr>
          <w:rFonts w:hint="eastAsia" w:ascii="仿宋_GB2312" w:hAnsi="仿宋_GB2312" w:eastAsia="仿宋_GB2312" w:cs="仿宋_GB2312"/>
          <w:sz w:val="32"/>
          <w:szCs w:val="32"/>
        </w:rPr>
        <w:t>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法院办案业务的开展。</w:t>
      </w:r>
    </w:p>
    <w:p>
      <w:pPr>
        <w:spacing w:line="580" w:lineRule="exact"/>
        <w:ind w:firstLine="640" w:firstLineChars="200"/>
        <w:rPr>
          <w:rFonts w:ascii="仿宋_GB2312" w:hAnsi="仿宋_GB2312" w:eastAsia="仿宋_GB2312" w:cs="仿宋_GB2312"/>
          <w:sz w:val="32"/>
          <w:szCs w:val="32"/>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w:t>
            </w:r>
            <w:r>
              <w:rPr>
                <w:rFonts w:hint="eastAsia" w:ascii="宋体" w:hAnsi="宋体" w:cs="宋体"/>
                <w:color w:val="000000"/>
                <w:kern w:val="0"/>
                <w:sz w:val="36"/>
                <w:szCs w:val="36"/>
                <w:lang w:eastAsia="zh-CN" w:bidi="ar"/>
              </w:rPr>
              <w:t>202</w:t>
            </w:r>
            <w:r>
              <w:rPr>
                <w:rFonts w:hint="eastAsia" w:ascii="宋体" w:hAnsi="宋体" w:cs="宋体"/>
                <w:color w:val="000000"/>
                <w:kern w:val="0"/>
                <w:sz w:val="36"/>
                <w:szCs w:val="36"/>
                <w:lang w:val="en-US" w:eastAsia="zh-CN" w:bidi="ar"/>
              </w:rPr>
              <w:t>2</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hAnsi="宋体" w:eastAsia="宋体" w:cs="宋体"/>
                <w:color w:val="000000"/>
                <w:kern w:val="0"/>
                <w:sz w:val="24"/>
                <w:lang w:val="en-US" w:eastAsia="zh-CN" w:bidi="ar"/>
              </w:rPr>
              <w:t>2021</w:t>
            </w:r>
            <w:r>
              <w:rPr>
                <w:rFonts w:hint="eastAsia" w:ascii="宋体" w:hAnsi="宋体" w:eastAsia="宋体" w:cs="宋体"/>
                <w:color w:val="000000"/>
                <w:kern w:val="0"/>
                <w:sz w:val="24"/>
                <w:lang w:bidi="ar"/>
              </w:rPr>
              <w:t>年转移支付</w:t>
            </w:r>
            <w:r>
              <w:rPr>
                <w:rFonts w:hint="eastAsia" w:ascii="宋体" w:hAnsi="宋体" w:eastAsia="宋体" w:cs="宋体"/>
                <w:color w:val="000000"/>
                <w:kern w:val="0"/>
                <w:sz w:val="24"/>
                <w:lang w:val="en-US" w:eastAsia="zh-CN" w:bidi="ar"/>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九寨沟县人民法院</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551.98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551.98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551.98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551.98</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 xml:space="preserve">  保障法院审判工作的顺利开展，保证当年案件审判优质高效完成;提高法官队伍素质，加强法制宣传，提高办案质量，提升群众满意度。</w:t>
            </w:r>
          </w:p>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hint="eastAsia" w:ascii="宋体" w:cs="宋体"/>
                <w:color w:val="000000"/>
                <w:sz w:val="24"/>
                <w:lang w:val="en-US" w:eastAsia="zh-CN"/>
              </w:rPr>
            </w:pPr>
            <w:r>
              <w:rPr>
                <w:rFonts w:hint="eastAsia" w:ascii="宋体" w:cs="宋体"/>
                <w:color w:val="000000"/>
                <w:sz w:val="24"/>
                <w:lang w:val="en-US" w:eastAsia="zh-CN"/>
              </w:rPr>
              <w:t>保障了法院审判工作的顺利开展，保证了当年案件审判优质高效完成;提高了法官队伍素质，加强了法制宣传，提高了办案质量，提升了群众满意度。</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使用资金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小与等于551.98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小与等于551.98</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总支出和各分项支出控制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不超过定额标准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不超过定额标准</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受益群众满意度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大于等于95%</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九寨沟县人民法院</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转移支付</w:t>
      </w:r>
      <w:r>
        <w:rPr>
          <w:rFonts w:hint="eastAsia" w:ascii="仿宋_GB2312" w:hAnsi="仿宋_GB2312" w:eastAsia="仿宋_GB2312" w:cs="仿宋_GB2312"/>
          <w:sz w:val="32"/>
          <w:szCs w:val="32"/>
        </w:rPr>
        <w:t>项目绩效评价，《</w:t>
      </w:r>
      <w:r>
        <w:rPr>
          <w:rFonts w:hint="eastAsia" w:ascii="仿宋_GB2312" w:hAnsi="仿宋_GB2312" w:eastAsia="仿宋_GB2312" w:cs="仿宋_GB2312"/>
          <w:sz w:val="32"/>
          <w:szCs w:val="32"/>
          <w:lang w:val="en-US" w:eastAsia="zh-CN"/>
        </w:rPr>
        <w:t>2022年转移支付</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pStyle w:val="8"/>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95" w:name="_Toc15396613"/>
      <w:bookmarkStart w:id="96" w:name="_Toc15377225"/>
      <w:bookmarkStart w:id="97" w:name="_Toc79163629"/>
      <w:bookmarkStart w:id="98" w:name="_Toc79163879"/>
      <w:r>
        <w:rPr>
          <w:rFonts w:hint="eastAsia" w:ascii="黑体" w:hAnsi="黑体" w:eastAsia="黑体"/>
          <w:color w:val="000000"/>
          <w:sz w:val="44"/>
          <w:szCs w:val="44"/>
        </w:rPr>
        <w:t>名</w:t>
      </w:r>
      <w:r>
        <w:rPr>
          <w:rStyle w:val="25"/>
          <w:rFonts w:hint="eastAsia" w:ascii="黑体" w:hAnsi="黑体" w:eastAsia="黑体"/>
          <w:b w:val="0"/>
        </w:rPr>
        <w:t>词解释</w:t>
      </w:r>
      <w:bookmarkEnd w:id="95"/>
      <w:bookmarkEnd w:id="96"/>
      <w:bookmarkEnd w:id="97"/>
      <w:bookmarkEnd w:id="98"/>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lang w:eastAsia="zh-CN"/>
        </w:rPr>
        <w:t>公共安全支出</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4)法院（</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5）行政运行（</w:t>
      </w:r>
      <w:r>
        <w:rPr>
          <w:rFonts w:hint="eastAsia" w:ascii="仿宋_GB2312" w:eastAsia="仿宋_GB2312"/>
          <w:color w:val="000000"/>
          <w:sz w:val="32"/>
          <w:szCs w:val="32"/>
        </w:rPr>
        <w:t>01</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w:t>
      </w:r>
      <w:r>
        <w:rPr>
          <w:rStyle w:val="23"/>
          <w:rFonts w:hint="eastAsia" w:ascii="仿宋_GB2312" w:eastAsia="仿宋_GB2312"/>
          <w:b w:val="0"/>
          <w:color w:val="000000"/>
          <w:sz w:val="32"/>
          <w:szCs w:val="32"/>
        </w:rPr>
        <w:t>行政运行</w:t>
      </w:r>
      <w:r>
        <w:rPr>
          <w:rStyle w:val="23"/>
          <w:rFonts w:hint="eastAsia" w:ascii="仿宋_GB2312" w:eastAsia="仿宋_GB2312"/>
          <w:b w:val="0"/>
          <w:color w:val="000000"/>
          <w:sz w:val="32"/>
          <w:szCs w:val="32"/>
          <w:lang w:eastAsia="zh-CN"/>
        </w:rPr>
        <w:t>的经费</w:t>
      </w:r>
      <w:r>
        <w:rPr>
          <w:rFonts w:hint="eastAsia" w:ascii="仿宋_GB2312" w:eastAsia="仿宋_GB2312"/>
          <w:color w:val="000000"/>
          <w:sz w:val="32"/>
          <w:szCs w:val="32"/>
        </w:rPr>
        <w:t>。</w:t>
      </w:r>
    </w:p>
    <w:p>
      <w:pPr>
        <w:ind w:firstLine="640" w:firstLineChars="200"/>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sz w:val="32"/>
          <w:szCs w:val="32"/>
        </w:rPr>
        <w:t>社会保障和就业（208）行政事业单位离退休（05）机关事业单位基本养老保险缴费支出（05）：</w:t>
      </w:r>
      <w:r>
        <w:rPr>
          <w:rStyle w:val="23"/>
          <w:rFonts w:hint="eastAsia" w:ascii="仿宋_GB2312" w:eastAsia="仿宋_GB2312"/>
          <w:b w:val="0"/>
          <w:sz w:val="32"/>
          <w:szCs w:val="32"/>
        </w:rPr>
        <w:t>机关事业单位基本养老保险缴费支出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医疗卫生与计划生育（210）行政事业单位医疗（11）行政单位医疗（01）</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行政单位医疗保险</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医疗卫生与计划生育（210）行政事业单位医疗（11）公务员医疗补助（03）</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公务员医疗补助。</w:t>
      </w:r>
    </w:p>
    <w:p>
      <w:pPr>
        <w:pStyle w:val="35"/>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住房保障支出（221）住房改革支出（02）住房公积金（01）：指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99" w:name="_Toc15377226"/>
      <w:r>
        <w:rPr>
          <w:rFonts w:ascii="宋体"/>
          <w:b/>
          <w:color w:val="000000"/>
          <w:sz w:val="44"/>
          <w:szCs w:val="44"/>
        </w:rPr>
        <w:br w:type="page"/>
      </w:r>
      <w:bookmarkStart w:id="100" w:name="_Toc79163880"/>
      <w:bookmarkStart w:id="101" w:name="_Toc15396614"/>
      <w:bookmarkStart w:id="102" w:name="_Toc79163630"/>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0"/>
      <w:bookmarkEnd w:id="101"/>
      <w:bookmarkEnd w:id="102"/>
    </w:p>
    <w:p>
      <w:pPr>
        <w:spacing w:line="600" w:lineRule="exact"/>
        <w:jc w:val="left"/>
        <w:outlineLvl w:val="0"/>
        <w:rPr>
          <w:rFonts w:ascii="微软雅黑" w:hAnsi="微软雅黑" w:eastAsia="微软雅黑" w:cs="微软雅黑"/>
          <w:sz w:val="32"/>
          <w:szCs w:val="32"/>
        </w:rPr>
      </w:pPr>
      <w:bookmarkStart w:id="103" w:name="_Toc79163631"/>
      <w:bookmarkStart w:id="104" w:name="_Toc79163881"/>
      <w:r>
        <w:rPr>
          <w:rFonts w:hint="eastAsia" w:ascii="黑体" w:hAnsi="黑体" w:eastAsia="黑体" w:cs="黑体"/>
          <w:sz w:val="32"/>
          <w:szCs w:val="32"/>
        </w:rPr>
        <w:t>附件</w:t>
      </w:r>
      <w:r>
        <w:rPr>
          <w:rFonts w:ascii="黑体" w:hAnsi="黑体" w:eastAsia="黑体" w:cs="黑体"/>
          <w:sz w:val="32"/>
          <w:szCs w:val="32"/>
        </w:rPr>
        <w:t>1</w:t>
      </w:r>
      <w:bookmarkEnd w:id="103"/>
      <w:bookmarkEnd w:id="104"/>
    </w:p>
    <w:p>
      <w:pPr>
        <w:spacing w:line="580" w:lineRule="exact"/>
        <w:jc w:val="center"/>
        <w:rPr>
          <w:rFonts w:ascii="微软雅黑" w:hAnsi="微软雅黑" w:eastAsia="微软雅黑" w:cs="微软雅黑"/>
          <w:sz w:val="44"/>
          <w:szCs w:val="44"/>
        </w:rPr>
      </w:pPr>
    </w:p>
    <w:p>
      <w:pPr>
        <w:widowControl/>
        <w:spacing w:line="48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九寨沟县</w:t>
      </w:r>
      <w:r>
        <w:rPr>
          <w:rFonts w:hint="eastAsia" w:ascii="方正小标宋简体" w:hAnsi="方正小标宋简体" w:eastAsia="方正小标宋简体" w:cs="方正小标宋简体"/>
          <w:sz w:val="44"/>
          <w:szCs w:val="44"/>
          <w:lang w:val="en-US" w:eastAsia="zh-CN"/>
        </w:rPr>
        <w:t>人民法院</w:t>
      </w:r>
    </w:p>
    <w:p>
      <w:pPr>
        <w:widowControl/>
        <w:spacing w:line="4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2022</w:t>
      </w:r>
      <w:r>
        <w:rPr>
          <w:rFonts w:hint="eastAsia" w:ascii="方正小标宋简体" w:hAnsi="方正小标宋简体" w:eastAsia="方正小标宋简体" w:cs="方正小标宋简体"/>
          <w:sz w:val="44"/>
          <w:szCs w:val="44"/>
        </w:rPr>
        <w:t>年部门整体支出绩效报告</w:t>
      </w:r>
    </w:p>
    <w:p>
      <w:pPr>
        <w:widowControl/>
        <w:adjustRightInd w:val="0"/>
        <w:snapToGrid w:val="0"/>
        <w:spacing w:line="480" w:lineRule="exact"/>
        <w:ind w:firstLine="720"/>
        <w:jc w:val="left"/>
        <w:rPr>
          <w:rFonts w:hint="eastAsia" w:ascii="黑体" w:hAnsi="宋体" w:eastAsia="黑体" w:cs="宋体"/>
          <w:color w:val="000000"/>
          <w:kern w:val="0"/>
        </w:rPr>
      </w:pPr>
    </w:p>
    <w:p>
      <w:pPr>
        <w:widowControl/>
        <w:adjustRightInd w:val="0"/>
        <w:snapToGrid w:val="0"/>
        <w:spacing w:line="480" w:lineRule="exact"/>
        <w:ind w:firstLine="720"/>
        <w:jc w:val="left"/>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pPr>
        <w:widowControl/>
        <w:adjustRightInd w:val="0"/>
        <w:snapToGrid w:val="0"/>
        <w:spacing w:line="480" w:lineRule="exact"/>
        <w:jc w:val="left"/>
        <w:rPr>
          <w:rFonts w:hint="eastAsia" w:ascii="楷体_GB2312" w:hAnsi="楷体_GB2312" w:eastAsia="楷体_GB2312" w:cs="楷体_GB2312"/>
          <w:b w:val="0"/>
          <w:bCs w:val="0"/>
          <w:color w:val="000000"/>
          <w:kern w:val="0"/>
          <w:sz w:val="32"/>
          <w:szCs w:val="32"/>
          <w:lang w:val="zh-CN"/>
        </w:rPr>
      </w:pPr>
      <w:r>
        <w:rPr>
          <w:rFonts w:hint="eastAsia" w:ascii="楷体_GB2312" w:hAnsi="楷体_GB2312" w:eastAsia="楷体_GB2312" w:cs="楷体_GB2312"/>
          <w:b w:val="0"/>
          <w:bCs w:val="0"/>
          <w:color w:val="000000"/>
          <w:kern w:val="0"/>
          <w:sz w:val="32"/>
          <w:szCs w:val="32"/>
          <w:lang w:val="en-US" w:eastAsia="zh-CN"/>
        </w:rPr>
        <w:t xml:space="preserve">   </w:t>
      </w:r>
      <w:r>
        <w:rPr>
          <w:rFonts w:hint="eastAsia" w:ascii="楷体_GB2312" w:hAnsi="楷体_GB2312" w:eastAsia="楷体_GB2312" w:cs="楷体_GB2312"/>
          <w:b w:val="0"/>
          <w:bCs w:val="0"/>
          <w:color w:val="000000"/>
          <w:kern w:val="0"/>
          <w:sz w:val="32"/>
          <w:szCs w:val="32"/>
          <w:lang w:val="zh-CN"/>
        </w:rPr>
        <w:t>（一）机构组成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九寨沟县人民法院</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基层人民法院</w:t>
      </w:r>
      <w:r>
        <w:rPr>
          <w:rFonts w:hint="eastAsia" w:ascii="仿宋_GB2312" w:hAnsi="仿宋_GB2312" w:eastAsia="仿宋_GB2312" w:cs="仿宋_GB2312"/>
          <w:sz w:val="32"/>
          <w:szCs w:val="32"/>
        </w:rPr>
        <w:t>，是县级一级预算单位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单位编制</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人，其中</w:t>
      </w:r>
      <w:r>
        <w:rPr>
          <w:rFonts w:hint="eastAsia" w:ascii="仿宋_GB2312" w:hAnsi="仿宋_GB2312" w:eastAsia="仿宋_GB2312" w:cs="仿宋_GB2312"/>
          <w:sz w:val="32"/>
          <w:szCs w:val="32"/>
          <w:lang w:val="en-US" w:eastAsia="zh-CN"/>
        </w:rPr>
        <w:t>政法编制52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工勤</w:t>
      </w:r>
      <w:r>
        <w:rPr>
          <w:rFonts w:hint="eastAsia" w:ascii="仿宋_GB2312" w:hAnsi="仿宋_GB2312" w:eastAsia="仿宋_GB2312" w:cs="仿宋_GB2312"/>
          <w:sz w:val="32"/>
          <w:szCs w:val="32"/>
        </w:rPr>
        <w:t>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人。单位有</w:t>
      </w:r>
      <w:r>
        <w:rPr>
          <w:rFonts w:hint="eastAsia" w:ascii="仿宋_GB2312" w:hAnsi="仿宋_GB2312" w:eastAsia="仿宋_GB2312" w:cs="仿宋_GB2312"/>
          <w:sz w:val="32"/>
          <w:szCs w:val="32"/>
          <w:lang w:val="en-US" w:eastAsia="zh-CN"/>
        </w:rPr>
        <w:t>院长1名，副院长3</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val="en-US" w:eastAsia="zh-CN"/>
        </w:rPr>
        <w:t>政治处主任</w:t>
      </w:r>
      <w:r>
        <w:rPr>
          <w:rFonts w:hint="eastAsia" w:ascii="仿宋_GB2312" w:hAnsi="仿宋_GB2312" w:eastAsia="仿宋_GB2312" w:cs="仿宋_GB2312"/>
          <w:sz w:val="32"/>
          <w:szCs w:val="32"/>
        </w:rPr>
        <w:t>1名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执行局局长1名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设置8个内设机构，分别为综合办公室、政治处（督查室）、立案庭（诉讼服务中心）、刑事审判庭、民事审判庭、行政审判庭、审判管理办公室、执行局</w:t>
      </w:r>
      <w:r>
        <w:rPr>
          <w:rFonts w:hint="eastAsia" w:ascii="仿宋_GB2312" w:hAnsi="仿宋_GB2312" w:eastAsia="仿宋_GB2312" w:cs="仿宋_GB2312"/>
          <w:sz w:val="32"/>
          <w:szCs w:val="32"/>
        </w:rPr>
        <w:t>。</w:t>
      </w:r>
    </w:p>
    <w:p>
      <w:pPr>
        <w:widowControl/>
        <w:adjustRightInd w:val="0"/>
        <w:snapToGrid w:val="0"/>
        <w:spacing w:line="480" w:lineRule="exact"/>
        <w:jc w:val="left"/>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color w:val="000000"/>
          <w:kern w:val="0"/>
          <w:sz w:val="32"/>
          <w:szCs w:val="32"/>
          <w:lang w:val="en-US" w:eastAsia="zh-CN"/>
        </w:rPr>
        <w:t xml:space="preserve">  </w:t>
      </w:r>
      <w:r>
        <w:rPr>
          <w:rFonts w:hint="eastAsia" w:ascii="楷体_GB2312" w:hAnsi="楷体_GB2312" w:eastAsia="楷体_GB2312" w:cs="楷体_GB2312"/>
          <w:b/>
          <w:bCs/>
          <w:color w:val="000000"/>
          <w:kern w:val="0"/>
          <w:sz w:val="32"/>
          <w:szCs w:val="32"/>
          <w:lang w:val="en-US" w:eastAsia="zh-CN"/>
        </w:rPr>
        <w:t xml:space="preserve"> </w:t>
      </w:r>
      <w:r>
        <w:rPr>
          <w:rFonts w:hint="eastAsia" w:ascii="楷体_GB2312" w:hAnsi="楷体_GB2312" w:eastAsia="楷体_GB2312" w:cs="楷体_GB2312"/>
          <w:b/>
          <w:bCs/>
          <w:color w:val="000000"/>
          <w:kern w:val="0"/>
          <w:sz w:val="32"/>
          <w:szCs w:val="32"/>
          <w:lang w:val="zh-CN"/>
        </w:rPr>
        <w:t>（二）机构职能</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我院是基层人民法院，是国家的一级审判机关，代表国家依法独立行使审判权，对九寨沟县人民代表大会及其常务委员会负责，并报告工作，其主要职责是：</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1.审判法律规定由基层人民法院审理的第一审刑事、民事、经济、行政案件。</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2.审判上级人民检察院发回重申和本院院长提起再审或上级人民法院指令再审的案件。</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3.依法行使司法执行权和司法决定权。 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4.依法审理决定国家赔偿案件。 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5.针对案件审理中发现的问题提出司法建议。</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6.接待来信来访，受理应由县人民法院管辖的告诉、申诉案件。 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7.管理全院的经费和物资装备。 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8.搞好干警思想政治。教育培训工作，按照权限管理法官、执行员、书记员、司法警察及司法行政人员，协同主管部门管理法院的机构设置、人员编制、干部考核工作。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9.基层人民法庭指导人民调解委员会的工作。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10.在业务工作中宣传法制，教育公民忠于社会主义祖国，自觉遵守宪法、法律和社会公德。</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11.办理其他应由基层人民法院负责的工作。  </w:t>
      </w:r>
    </w:p>
    <w:p>
      <w:pPr>
        <w:ind w:firstLine="320" w:firstLineChars="100"/>
        <w:rPr>
          <w:rFonts w:hint="eastAsia" w:ascii="楷体_GB2312" w:hAnsi="楷体_GB2312" w:eastAsia="楷体_GB2312" w:cs="楷体_GB2312"/>
          <w:color w:val="000000"/>
          <w:kern w:val="0"/>
          <w:sz w:val="32"/>
          <w:szCs w:val="32"/>
          <w:lang w:val="zh-CN" w:eastAsia="zh-CN"/>
        </w:rPr>
      </w:pPr>
      <w:r>
        <w:rPr>
          <w:rFonts w:hint="eastAsia" w:ascii="楷体_GB2312" w:hAnsi="楷体_GB2312" w:eastAsia="楷体_GB2312" w:cs="楷体_GB2312"/>
          <w:color w:val="000000"/>
          <w:kern w:val="0"/>
          <w:sz w:val="32"/>
          <w:szCs w:val="32"/>
          <w:lang w:val="zh-CN" w:eastAsia="zh-CN"/>
        </w:rPr>
        <w:t>（三）人员概况</w:t>
      </w:r>
    </w:p>
    <w:p>
      <w:pPr>
        <w:tabs>
          <w:tab w:val="left" w:pos="567"/>
        </w:tabs>
        <w:rPr>
          <w:rFonts w:hint="default" w:ascii="仿宋_GB2312" w:hAnsi="仿宋_GB2312" w:eastAsia="仿宋_GB2312" w:cs="仿宋_GB2312"/>
          <w:sz w:val="32"/>
          <w:szCs w:val="32"/>
          <w:lang w:val="en-US" w:eastAsia="zh-CN"/>
        </w:rPr>
      </w:pPr>
      <w:r>
        <w:rPr>
          <w:rFonts w:hint="eastAsia" w:ascii="仿宋_GB2312" w:hAnsi="宋体" w:cs="宋体"/>
          <w:b/>
          <w:bCs/>
          <w:color w:val="000000"/>
          <w:kern w:val="0"/>
          <w:lang w:val="en-US" w:eastAsia="zh-CN"/>
        </w:rPr>
        <w:t xml:space="preserve">   </w:t>
      </w:r>
      <w:r>
        <w:rPr>
          <w:rFonts w:hint="eastAsia" w:ascii="仿宋_GB2312" w:hAnsi="仿宋_GB2312" w:eastAsia="仿宋_GB2312" w:cs="仿宋_GB2312"/>
          <w:sz w:val="32"/>
          <w:szCs w:val="32"/>
          <w:lang w:val="en-US" w:eastAsia="zh-CN"/>
        </w:rPr>
        <w:t xml:space="preserve"> 我院共有编制56人，行政人员编制52人，行政工勤人员编制4人。目前在职人员共48人，其中公务员44人，工勤人员4人。退休职工11人，遗属人员3人。</w:t>
      </w:r>
    </w:p>
    <w:p>
      <w:pPr>
        <w:widowControl/>
        <w:adjustRightInd w:val="0"/>
        <w:snapToGrid w:val="0"/>
        <w:spacing w:line="48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widowControl/>
        <w:adjustRightInd w:val="0"/>
        <w:snapToGrid w:val="0"/>
        <w:spacing w:line="480" w:lineRule="exact"/>
        <w:ind w:firstLine="640" w:firstLineChars="200"/>
        <w:jc w:val="left"/>
        <w:rPr>
          <w:rFonts w:hint="eastAsia" w:ascii="楷体_GB2312" w:hAnsi="楷体_GB2312" w:eastAsia="楷体_GB2312" w:cs="楷体_GB2312"/>
          <w:color w:val="000000"/>
          <w:kern w:val="0"/>
          <w:sz w:val="32"/>
          <w:szCs w:val="32"/>
          <w:lang w:val="zh-CN" w:eastAsia="zh-CN"/>
        </w:rPr>
      </w:pPr>
      <w:r>
        <w:rPr>
          <w:rFonts w:hint="eastAsia" w:ascii="楷体_GB2312" w:hAnsi="楷体_GB2312" w:eastAsia="楷体_GB2312" w:cs="楷体_GB2312"/>
          <w:color w:val="000000"/>
          <w:kern w:val="0"/>
          <w:sz w:val="32"/>
          <w:szCs w:val="32"/>
          <w:lang w:val="zh-CN" w:eastAsia="zh-CN"/>
        </w:rPr>
        <w:t>（一）部门财政资金收入情况</w:t>
      </w:r>
    </w:p>
    <w:p>
      <w:pPr>
        <w:tabs>
          <w:tab w:val="left" w:pos="550"/>
        </w:tabs>
        <w:rPr>
          <w:rFonts w:hint="default" w:ascii="仿宋_GB2312" w:hAnsi="仿宋_GB2312" w:eastAsia="仿宋_GB2312" w:cs="仿宋_GB2312"/>
          <w:sz w:val="32"/>
          <w:szCs w:val="32"/>
          <w:lang w:val="en-US" w:eastAsia="zh-CN"/>
        </w:rPr>
      </w:pPr>
      <w:r>
        <w:rPr>
          <w:rFonts w:hint="eastAsia" w:ascii="仿宋_GB2312"/>
          <w:sz w:val="32"/>
          <w:szCs w:val="32"/>
          <w:lang w:val="en-US" w:eastAsia="zh-CN"/>
        </w:rPr>
        <w:t xml:space="preserve">   </w:t>
      </w:r>
      <w:r>
        <w:rPr>
          <w:rFonts w:hint="eastAsia" w:ascii="仿宋_GB2312" w:hAnsi="仿宋_GB2312" w:eastAsia="仿宋_GB2312" w:cs="仿宋_GB2312"/>
          <w:sz w:val="32"/>
          <w:szCs w:val="32"/>
          <w:lang w:val="en-US" w:eastAsia="zh-CN"/>
        </w:rPr>
        <w:t xml:space="preserve"> 县法院2022年财政资金收入共1966.61万元，其中一般公共预算财政拨款收入1966.61万元。</w:t>
      </w:r>
    </w:p>
    <w:p>
      <w:pPr>
        <w:widowControl/>
        <w:adjustRightInd w:val="0"/>
        <w:snapToGrid w:val="0"/>
        <w:spacing w:line="480" w:lineRule="exact"/>
        <w:jc w:val="left"/>
        <w:rPr>
          <w:rFonts w:hint="eastAsia" w:ascii="仿宋_GB2312" w:hAnsi="宋体" w:cs="宋体"/>
          <w:b/>
          <w:bCs/>
          <w:color w:val="000000"/>
          <w:kern w:val="0"/>
          <w:lang w:val="zh-CN"/>
        </w:rPr>
      </w:pPr>
      <w:r>
        <w:rPr>
          <w:rFonts w:hint="eastAsia" w:ascii="仿宋_GB2312" w:hAnsi="宋体" w:cs="宋体"/>
          <w:color w:val="000000"/>
          <w:kern w:val="0"/>
          <w:lang w:val="en-US" w:eastAsia="zh-CN"/>
        </w:rPr>
        <w:t xml:space="preserve">  </w:t>
      </w:r>
      <w:r>
        <w:rPr>
          <w:rFonts w:hint="eastAsia" w:ascii="仿宋_GB2312" w:hAnsi="宋体" w:cs="宋体"/>
          <w:b/>
          <w:bCs/>
          <w:color w:val="000000"/>
          <w:kern w:val="0"/>
          <w:lang w:val="en-US" w:eastAsia="zh-CN"/>
        </w:rPr>
        <w:t xml:space="preserve"> </w:t>
      </w:r>
      <w:r>
        <w:rPr>
          <w:rFonts w:hint="eastAsia" w:ascii="楷体_GB2312" w:hAnsi="楷体_GB2312" w:eastAsia="楷体_GB2312" w:cs="楷体_GB2312"/>
          <w:b w:val="0"/>
          <w:bCs w:val="0"/>
          <w:color w:val="000000"/>
          <w:kern w:val="0"/>
          <w:sz w:val="32"/>
          <w:szCs w:val="32"/>
          <w:lang w:val="zh-CN"/>
        </w:rPr>
        <w:t>（二）部门财政资金支出情况</w:t>
      </w:r>
    </w:p>
    <w:p>
      <w:pPr>
        <w:tabs>
          <w:tab w:val="left" w:pos="550"/>
        </w:tabs>
        <w:rPr>
          <w:rFonts w:hint="eastAsia" w:ascii="仿宋_GB2312" w:hAnsi="仿宋_GB2312" w:eastAsia="仿宋_GB2312" w:cs="仿宋_GB2312"/>
          <w:sz w:val="32"/>
          <w:szCs w:val="32"/>
          <w:lang w:val="en-US" w:eastAsia="zh-CN"/>
        </w:rPr>
      </w:pPr>
      <w:r>
        <w:rPr>
          <w:rFonts w:hint="eastAsia" w:ascii="仿宋_GB2312" w:hAnsi="宋体" w:cs="宋体"/>
          <w:b/>
          <w:bCs/>
          <w:color w:val="000000"/>
          <w:kern w:val="0"/>
          <w:lang w:val="en-US" w:eastAsia="zh-CN"/>
        </w:rPr>
        <w:t xml:space="preserve">    </w:t>
      </w:r>
      <w:r>
        <w:rPr>
          <w:rFonts w:hint="eastAsia" w:ascii="仿宋_GB2312" w:hAnsi="仿宋_GB2312" w:eastAsia="仿宋_GB2312" w:cs="仿宋_GB2312"/>
          <w:sz w:val="32"/>
          <w:szCs w:val="32"/>
          <w:lang w:val="en-US" w:eastAsia="zh-CN"/>
        </w:rPr>
        <w:t>县法院2022年财政资金支出1966.61万元，其中基本支出1414.62万元，项目支出551.99万元。</w:t>
      </w:r>
    </w:p>
    <w:p>
      <w:pPr>
        <w:widowControl/>
        <w:adjustRightInd w:val="0"/>
        <w:snapToGrid w:val="0"/>
        <w:spacing w:line="480" w:lineRule="exact"/>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lang w:val="en-US" w:eastAsia="zh-CN"/>
        </w:rPr>
        <w:t xml:space="preserve">    </w:t>
      </w:r>
      <w:r>
        <w:rPr>
          <w:rFonts w:hint="eastAsia" w:ascii="黑体" w:hAnsi="宋体" w:eastAsia="黑体" w:cs="宋体"/>
          <w:color w:val="000000"/>
          <w:kern w:val="0"/>
          <w:sz w:val="32"/>
          <w:szCs w:val="32"/>
        </w:rPr>
        <w:t>三、部门</w:t>
      </w:r>
      <w:r>
        <w:rPr>
          <w:rFonts w:hint="eastAsia" w:ascii="黑体" w:hAnsi="宋体" w:eastAsia="黑体" w:cs="宋体"/>
          <w:color w:val="000000"/>
          <w:kern w:val="0"/>
          <w:sz w:val="32"/>
          <w:szCs w:val="32"/>
          <w:lang w:val="en-US" w:eastAsia="zh-CN"/>
        </w:rPr>
        <w:t>整体预算绩效管理情况</w:t>
      </w:r>
    </w:p>
    <w:p>
      <w:pPr>
        <w:widowControl/>
        <w:adjustRightInd w:val="0"/>
        <w:snapToGrid w:val="0"/>
        <w:spacing w:line="480" w:lineRule="exact"/>
        <w:jc w:val="left"/>
        <w:rPr>
          <w:rFonts w:ascii="楷体" w:hAnsi="楷体" w:eastAsia="楷体" w:cs="宋体"/>
          <w:b w:val="0"/>
          <w:bCs w:val="0"/>
          <w:color w:val="000000"/>
          <w:kern w:val="0"/>
          <w:sz w:val="32"/>
          <w:szCs w:val="32"/>
          <w:lang w:val="zh-CN"/>
        </w:rPr>
      </w:pPr>
      <w:r>
        <w:rPr>
          <w:rFonts w:hint="eastAsia" w:ascii="楷体" w:hAnsi="楷体" w:eastAsia="楷体" w:cs="宋体"/>
          <w:b w:val="0"/>
          <w:bCs w:val="0"/>
          <w:color w:val="000000"/>
          <w:kern w:val="0"/>
          <w:sz w:val="32"/>
          <w:szCs w:val="32"/>
          <w:lang w:val="en-US" w:eastAsia="zh-CN"/>
        </w:rPr>
        <w:t xml:space="preserve">   </w:t>
      </w:r>
      <w:r>
        <w:rPr>
          <w:rFonts w:hint="eastAsia" w:ascii="楷体" w:hAnsi="楷体" w:eastAsia="楷体" w:cs="宋体"/>
          <w:b w:val="0"/>
          <w:bCs w:val="0"/>
          <w:color w:val="000000"/>
          <w:kern w:val="0"/>
          <w:sz w:val="32"/>
          <w:szCs w:val="32"/>
          <w:lang w:val="zh-CN"/>
        </w:rPr>
        <w:t>（一）预算编制情况。</w:t>
      </w:r>
    </w:p>
    <w:p>
      <w:pPr>
        <w:tabs>
          <w:tab w:val="left" w:pos="550"/>
        </w:tabs>
        <w:rPr>
          <w:rFonts w:hint="eastAsia" w:ascii="仿宋_GB2312" w:hAnsi="仿宋_GB2312" w:eastAsia="仿宋_GB2312" w:cs="仿宋_GB2312"/>
          <w:sz w:val="32"/>
          <w:szCs w:val="32"/>
          <w:lang w:val="en-US" w:eastAsia="zh-CN"/>
        </w:rPr>
      </w:pPr>
      <w:r>
        <w:rPr>
          <w:rFonts w:hint="eastAsia" w:ascii="仿宋_GB2312" w:hAnsi="宋体" w:cs="宋体"/>
          <w:color w:val="000000"/>
          <w:kern w:val="0"/>
          <w:lang w:val="en-US" w:eastAsia="zh-CN"/>
        </w:rPr>
        <w:t xml:space="preserve">  </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按照县财政局部门预算编制通知和有关要求，及时准确高质量完成单位部门预算编报，项目库报送工作。部门整体绩效目标能完整、合理反映部门年度职责履行情况，项目编制明确、量化。无转移支付及专项转移支付分地区分项目的情况。</w:t>
      </w:r>
    </w:p>
    <w:p>
      <w:pPr>
        <w:widowControl/>
        <w:adjustRightInd w:val="0"/>
        <w:snapToGrid w:val="0"/>
        <w:spacing w:line="480" w:lineRule="exact"/>
        <w:jc w:val="left"/>
        <w:rPr>
          <w:rFonts w:hint="eastAsia" w:ascii="楷体" w:hAnsi="楷体" w:eastAsia="楷体" w:cs="宋体"/>
          <w:b w:val="0"/>
          <w:bCs w:val="0"/>
          <w:color w:val="000000"/>
          <w:kern w:val="0"/>
          <w:sz w:val="32"/>
          <w:szCs w:val="32"/>
          <w:lang w:val="zh-CN"/>
        </w:rPr>
      </w:pPr>
      <w:r>
        <w:rPr>
          <w:rFonts w:hint="eastAsia" w:ascii="楷体" w:hAnsi="楷体" w:eastAsia="楷体" w:cs="宋体"/>
          <w:b w:val="0"/>
          <w:bCs w:val="0"/>
          <w:color w:val="000000"/>
          <w:kern w:val="0"/>
          <w:sz w:val="32"/>
          <w:szCs w:val="32"/>
          <w:lang w:val="en-US" w:eastAsia="zh-CN"/>
        </w:rPr>
        <w:t xml:space="preserve">   </w:t>
      </w:r>
      <w:r>
        <w:rPr>
          <w:rFonts w:hint="eastAsia" w:ascii="楷体" w:hAnsi="楷体" w:eastAsia="楷体" w:cs="宋体"/>
          <w:b w:val="0"/>
          <w:bCs w:val="0"/>
          <w:color w:val="000000"/>
          <w:kern w:val="0"/>
          <w:sz w:val="32"/>
          <w:szCs w:val="32"/>
          <w:lang w:val="zh-CN"/>
        </w:rPr>
        <w:t>（二）执行管理情况</w:t>
      </w:r>
    </w:p>
    <w:p>
      <w:pPr>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按照县财政局要求，依据《预算法》，严格执行预算管理，及时合理合规分配各项资金，不擅自改变预算资金用途。严格执行“三公经费”预算，不超出“三公经费”指标。</w:t>
      </w:r>
    </w:p>
    <w:p>
      <w:pPr>
        <w:widowControl/>
        <w:adjustRightInd w:val="0"/>
        <w:snapToGrid w:val="0"/>
        <w:spacing w:line="480" w:lineRule="exact"/>
        <w:jc w:val="left"/>
        <w:rPr>
          <w:rFonts w:ascii="楷体" w:hAnsi="楷体" w:eastAsia="楷体" w:cs="宋体"/>
          <w:color w:val="000000"/>
          <w:kern w:val="0"/>
          <w:lang w:val="zh-CN"/>
        </w:rPr>
      </w:pPr>
      <w:r>
        <w:rPr>
          <w:rFonts w:hint="eastAsia" w:ascii="楷体" w:hAnsi="楷体" w:eastAsia="楷体" w:cs="宋体"/>
          <w:color w:val="000000"/>
          <w:kern w:val="0"/>
          <w:lang w:val="en-US" w:eastAsia="zh-CN"/>
        </w:rPr>
        <w:t xml:space="preserve">  </w:t>
      </w:r>
      <w:r>
        <w:rPr>
          <w:rFonts w:hint="eastAsia" w:ascii="楷体" w:hAnsi="楷体" w:eastAsia="楷体" w:cs="宋体"/>
          <w:b/>
          <w:bCs/>
          <w:color w:val="000000"/>
          <w:kern w:val="0"/>
          <w:lang w:val="en-US" w:eastAsia="zh-CN"/>
        </w:rPr>
        <w:t xml:space="preserve"> </w:t>
      </w:r>
      <w:r>
        <w:rPr>
          <w:rFonts w:hint="eastAsia" w:ascii="楷体" w:hAnsi="楷体" w:eastAsia="楷体" w:cs="宋体"/>
          <w:b w:val="0"/>
          <w:bCs w:val="0"/>
          <w:color w:val="000000"/>
          <w:kern w:val="0"/>
          <w:sz w:val="32"/>
          <w:szCs w:val="32"/>
          <w:lang w:val="zh-CN"/>
        </w:rPr>
        <w:t>（三）综合管理情况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院资产管理方面，依托资产管理信息系统，按照要求准时规范填写资产卡片等基础资料，定期上报资产报表。严格执行每年盘点制度，保证固定资产帐卡同步变化，做到账实相符。内控制度管理方面，建立健全单位内部控制制度，按照县财政局要求安装内部控制制度报表软件，并按要求认真上报2022年度内部控制报表。信息公开方面，按照县财政局要求及时准确公开了单位的预算、决算信息。依法自觉接受财政监督检查，对检查中存在的问题立即有效整改。</w:t>
      </w:r>
    </w:p>
    <w:p>
      <w:pPr>
        <w:widowControl/>
        <w:adjustRightInd w:val="0"/>
        <w:snapToGrid w:val="0"/>
        <w:spacing w:line="480" w:lineRule="exact"/>
        <w:ind w:firstLine="320" w:firstLineChars="100"/>
        <w:jc w:val="left"/>
        <w:rPr>
          <w:rFonts w:hint="eastAsia" w:ascii="楷体" w:hAnsi="楷体" w:eastAsia="楷体" w:cs="宋体"/>
          <w:b w:val="0"/>
          <w:bCs w:val="0"/>
          <w:color w:val="000000"/>
          <w:kern w:val="0"/>
          <w:sz w:val="32"/>
          <w:szCs w:val="32"/>
          <w:lang w:val="zh-CN"/>
        </w:rPr>
      </w:pPr>
      <w:r>
        <w:rPr>
          <w:rFonts w:hint="eastAsia" w:ascii="楷体" w:hAnsi="楷体" w:eastAsia="楷体" w:cs="宋体"/>
          <w:b w:val="0"/>
          <w:bCs w:val="0"/>
          <w:color w:val="000000"/>
          <w:kern w:val="0"/>
          <w:sz w:val="32"/>
          <w:szCs w:val="32"/>
          <w:lang w:val="zh-CN"/>
        </w:rPr>
        <w:t>（四）整体绩效</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我院牢牢把握“努力让人民群众在每一个司法案件中感受到公平正义”工作目标，坚守为民初心，牢记公正使命，以推进“六个实质化”为抓手，各项工作取得实质提升，共受理各类案件1345件（旧存24件），审执结1321件，审执结率达98.22%，为加快建成“三地一典范”提供了有力的司法保障。</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Style w:val="23"/>
          <w:rFonts w:hint="default" w:ascii="Times New Roman" w:hAnsi="Times New Roman" w:eastAsia="方正黑体_GBK" w:cs="Times New Roman"/>
          <w:b w:val="0"/>
          <w:bCs w:val="0"/>
          <w:color w:val="auto"/>
          <w:spacing w:val="0"/>
          <w:sz w:val="32"/>
          <w:szCs w:val="32"/>
          <w:lang w:val="en-US" w:eastAsia="zh-CN"/>
        </w:rPr>
      </w:pPr>
      <w:r>
        <w:rPr>
          <w:rStyle w:val="23"/>
          <w:rFonts w:hint="default" w:ascii="Times New Roman" w:hAnsi="Times New Roman" w:eastAsia="方正黑体_GBK" w:cs="Times New Roman"/>
          <w:b w:val="0"/>
          <w:bCs w:val="0"/>
          <w:color w:val="auto"/>
          <w:spacing w:val="0"/>
          <w:sz w:val="32"/>
          <w:szCs w:val="32"/>
          <w:lang w:val="en-US" w:eastAsia="zh-CN"/>
        </w:rPr>
        <w:t>一、把牢政治建院总方向，在知行合一中筑牢政治忠诚</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筑牢政治忠诚压舱石。</w:t>
      </w:r>
      <w:r>
        <w:rPr>
          <w:rFonts w:hint="default" w:ascii="仿宋_GB2312" w:hAnsi="仿宋_GB2312" w:eastAsia="仿宋_GB2312" w:cs="仿宋_GB2312"/>
          <w:sz w:val="32"/>
          <w:szCs w:val="32"/>
          <w:lang w:val="en-US" w:eastAsia="zh-CN"/>
        </w:rPr>
        <w:t>牢记政法初心使命，始终把政治建设摆在首位，坚持党对法院</w:t>
      </w:r>
      <w:r>
        <w:rPr>
          <w:rFonts w:hint="default" w:ascii="仿宋_GB2312" w:hAnsi="仿宋_GB2312" w:eastAsia="仿宋_GB2312" w:cs="仿宋_GB2312"/>
          <w:sz w:val="32"/>
          <w:szCs w:val="32"/>
          <w:lang w:val="en-US" w:eastAsia="zh-CN"/>
        </w:rPr>
        <w:t>工作的绝对领导。认真贯彻落实《中国共产党党组工作条例》《中国共产党政法工作条例》及我省实施细则，向县委、县委政法委请示汇报重点工作25次，认真接受县委政法委政治督察和执法监督检查，确保法院工作政治方向正确。</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练好理论学习基本功。强化“政治引擎”，持续推动党史学习教育常态化长效化，将学习宣传党的二十大精神同“忠诚铸魂、铁纪担当”“政治建设年”等专项活动有机结合，开展政治轮训10次，忠诚教育、形势教育3次，开展“笃学·笃信·笃行”每月一学活动，开展会前学纪、事前学法37次，确保政治理论学习走深走实。</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坚守意识形态主阵地。提升“政治三力”，严格落实意识形态工作责任制，专题研究部署意识形态工作，始终保持清醒头脑，做政治上的明白人、纪律上的清醒人。强化意识形态阵地管理，落实重大敏感案事件“三同步”原则，开展信息拉练活动，提升舆情防范和应对处置能力，切实维护和保障司法领域意识形态安全。</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锻造担当作为硬实力。深入实施“全域发展、绿色崛起”总体战略，围绕“五大工程”，服务“五大振兴”，助力加快建成“三地一典范”。在“两联一进”中，聚力“防疫”阻击战，聚焦“双创”再升级。组织32名党员干警下沉一线，扛起“疫线”担当，全员参加周末大扫除和文明交通劝导志愿服务，助力全国文明城市创建，打造民族团结进步示范法庭，实质化运行“石榴籽”调解室，助推民族团结进步创建。在“法律七进”中绘就乡村振兴法治底色。拓展普法教育新阵地，在双河镇打造法治文化长廊，为上草地村购买万余元法治文化用品，落实“一乡（镇）一法官”，员额法官全覆盖联系12个乡（镇），审执涉农案件73件，结案标的7000余万元，让群众看得见法官身影、听得见法治声音、感受到司法温度。</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color w:val="auto"/>
          <w:spacing w:val="0"/>
          <w:sz w:val="32"/>
          <w:szCs w:val="32"/>
          <w:lang w:eastAsia="zh-CN"/>
        </w:rPr>
      </w:pPr>
      <w:r>
        <w:rPr>
          <w:rStyle w:val="23"/>
          <w:rFonts w:hint="eastAsia" w:ascii="黑体" w:hAnsi="黑体" w:eastAsia="黑体" w:cs="黑体"/>
          <w:b w:val="0"/>
          <w:bCs w:val="0"/>
          <w:color w:val="auto"/>
          <w:spacing w:val="0"/>
          <w:sz w:val="32"/>
          <w:szCs w:val="32"/>
          <w:lang w:val="en-US" w:eastAsia="zh-CN"/>
        </w:rPr>
        <w:t>二、聚力服务大局总要求，在担当履职中展现司法作为</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助力优化营商环境“添砝码”。秉承“人人都是营商环境、案案都是试金石”理念，积极营造法治化营商环境。依法妥善审结各类商事纠纷5</w:t>
      </w:r>
      <w:r>
        <w:rPr>
          <w:rFonts w:hint="eastAsia" w:ascii="仿宋_GB2312" w:hAnsi="仿宋_GB2312" w:eastAsia="仿宋_GB2312" w:cs="仿宋_GB2312"/>
          <w:sz w:val="32"/>
          <w:szCs w:val="32"/>
          <w:lang w:val="en-US" w:eastAsia="zh-CN"/>
        </w:rPr>
        <w:t>80</w:t>
      </w:r>
      <w:r>
        <w:rPr>
          <w:rFonts w:hint="default" w:ascii="仿宋_GB2312" w:hAnsi="仿宋_GB2312" w:eastAsia="仿宋_GB2312" w:cs="仿宋_GB2312"/>
          <w:sz w:val="32"/>
          <w:szCs w:val="32"/>
          <w:lang w:val="en-US" w:eastAsia="zh-CN"/>
        </w:rPr>
        <w:t>件，涉公司股权转让、股东知情权纠纷5件，保护中小投资者权益。服务保障重点工程顺利推进，及时审结涉九绵高速等交通项目案件16件，案涉标的6000余万元。推行网络司法拍卖，盘活资产39项，释放土地27亩，缴纳税款158万元，尽最大努力维持涉诉市场主体财产价值。围绕中小微企业“急难愁盼”延伸司法服务，开展“法企同行、共护营商”进企业活动，走访服务企业8家，征集企业法治需求，开展法律宣传，为企业答疑解惑，助力企业提升经营管理法治化水平。</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拧紧金融风险防控“安全阀”。紧扣服务实体经济、防控金融风险、化解不良金融债权重点任务，深耕“法银共建”，推动实施“金融调解+司法确认”金融纠纷多元化解机制建设。成立全州首个金融纠纷调解工作室，聘请18名银行、保险等金融行业骨干担任金融纠纷调解员，召开金融风险化解工作联席会、业务培训会6场次，委托特约调解员调解涉金融纠纷案件20件。办理涉金融机构案件38件，涉及金额6469万元，实际执结16件，执行到位3714万元，以物抵债5件，实现债权4900万元，为坚决打赢“不良贷款清收百日攻坚”防范和化解金融风险提供了有力司法保障。</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厚植绿水青山司法“防护林”。立足“生态立县、文旅强县”工程，致力环保服务旅游，当好童话世界的生态卫士，护好九寨山水林田湖草，审结全州首例非法采挖兰草案。持续深化“补植复绿+社区矫正”，组织涉林涉野犯罪社区矫正人员补植复绿400余株，为绿水青山厚植司法“防护林”。坚持文旅融合法旅互动，审结涉旅纠纷14件，与泸定法院共签《涉灾矛盾纠纷司法应对暨法旅互动文旅融合交流协作协议》，结成川内首个震后恢复重建“法庭协作联盟”。积极配合成都铁路运输法院开展大熊猫国家公园四川片区环资案件集中管辖改革。</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60" w:lineRule="exact"/>
        <w:ind w:left="0" w:leftChars="0" w:right="0" w:rightChars="0" w:firstLine="635"/>
        <w:jc w:val="both"/>
        <w:textAlignment w:val="auto"/>
        <w:rPr>
          <w:rFonts w:hint="eastAsia" w:ascii="黑体" w:hAnsi="黑体" w:eastAsia="黑体" w:cs="黑体"/>
          <w:b w:val="0"/>
          <w:bCs w:val="0"/>
          <w:i w:val="0"/>
          <w:caps w:val="0"/>
          <w:color w:val="333333"/>
          <w:spacing w:val="0"/>
          <w:sz w:val="31"/>
          <w:szCs w:val="31"/>
          <w:shd w:val="clear" w:fill="FFFFFF"/>
          <w:lang w:val="en-US" w:eastAsia="zh-CN"/>
        </w:rPr>
      </w:pPr>
      <w:r>
        <w:rPr>
          <w:rStyle w:val="23"/>
          <w:rFonts w:hint="eastAsia" w:ascii="黑体" w:hAnsi="黑体" w:eastAsia="黑体" w:cs="黑体"/>
          <w:b w:val="0"/>
          <w:bCs w:val="0"/>
          <w:color w:val="auto"/>
          <w:spacing w:val="0"/>
          <w:sz w:val="32"/>
          <w:szCs w:val="32"/>
          <w:lang w:val="en-US" w:eastAsia="zh-CN"/>
        </w:rPr>
        <w:t xml:space="preserve">三、聚焦公平正义总目标，在深耕主业中践行政法初心 </w:t>
      </w:r>
      <w:r>
        <w:rPr>
          <w:rFonts w:hint="eastAsia" w:ascii="黑体" w:hAnsi="黑体" w:eastAsia="黑体" w:cs="黑体"/>
          <w:b w:val="0"/>
          <w:bCs w:val="0"/>
          <w:i w:val="0"/>
          <w:caps w:val="0"/>
          <w:color w:val="auto"/>
          <w:spacing w:val="0"/>
          <w:sz w:val="31"/>
          <w:szCs w:val="31"/>
          <w:shd w:val="clear" w:fill="FFFFFF"/>
          <w:lang w:val="en-US" w:eastAsia="zh-CN"/>
        </w:rPr>
        <w:t xml:space="preserve"> </w:t>
      </w:r>
      <w:r>
        <w:rPr>
          <w:rFonts w:hint="eastAsia" w:ascii="黑体" w:hAnsi="黑体" w:eastAsia="黑体" w:cs="黑体"/>
          <w:b w:val="0"/>
          <w:bCs w:val="0"/>
          <w:i w:val="0"/>
          <w:caps w:val="0"/>
          <w:color w:val="333333"/>
          <w:spacing w:val="0"/>
          <w:sz w:val="31"/>
          <w:szCs w:val="31"/>
          <w:shd w:val="clear" w:fill="FFFFFF"/>
          <w:lang w:val="en-US" w:eastAsia="zh-CN"/>
        </w:rPr>
        <w:t xml:space="preserve">   </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刑事审判护稳定，平安建设上台阶。贯彻总体国家安全观，充分发挥刑事审判职能作用，审结各类刑事犯罪案件</w:t>
      </w:r>
      <w:r>
        <w:rPr>
          <w:rFonts w:hint="eastAsia" w:ascii="仿宋_GB2312" w:hAnsi="仿宋_GB2312" w:eastAsia="仿宋_GB2312" w:cs="仿宋_GB2312"/>
          <w:sz w:val="32"/>
          <w:szCs w:val="32"/>
          <w:lang w:val="en-US" w:eastAsia="zh-CN"/>
        </w:rPr>
        <w:t>51</w:t>
      </w:r>
      <w:r>
        <w:rPr>
          <w:rFonts w:hint="default" w:ascii="仿宋_GB2312" w:hAnsi="仿宋_GB2312" w:eastAsia="仿宋_GB2312" w:cs="仿宋_GB2312"/>
          <w:sz w:val="32"/>
          <w:szCs w:val="32"/>
          <w:lang w:val="en-US" w:eastAsia="zh-CN"/>
        </w:rPr>
        <w:t>件</w:t>
      </w:r>
      <w:r>
        <w:rPr>
          <w:rFonts w:hint="eastAsia" w:ascii="仿宋_GB2312" w:hAnsi="仿宋_GB2312" w:eastAsia="仿宋_GB2312" w:cs="仿宋_GB2312"/>
          <w:sz w:val="32"/>
          <w:szCs w:val="32"/>
          <w:lang w:val="en-US" w:eastAsia="zh-CN"/>
        </w:rPr>
        <w:t>93</w:t>
      </w:r>
      <w:r>
        <w:rPr>
          <w:rFonts w:hint="default" w:ascii="仿宋_GB2312" w:hAnsi="仿宋_GB2312" w:eastAsia="仿宋_GB2312" w:cs="仿宋_GB2312"/>
          <w:sz w:val="32"/>
          <w:szCs w:val="32"/>
          <w:lang w:val="en-US" w:eastAsia="zh-CN"/>
        </w:rPr>
        <w:t>人，助推更高水平的平安九寨建设。审结危害公共安全犯罪17件20人，审结侵财型犯罪5件13人，维护社会稳定和人民群众人身财产安全。审结容留他人吸毒案2件2人，有效净化社会环境。审结帮助信息网络犯罪活动案4件21人，压缩电信网络诈骗犯罪蔓延空间。审结未成年人犯罪2件2人，教育感化挽救“问题少年”。审结食品安全犯罪1件6人，保障人民群众“舌尖上的安全”。审</w:t>
      </w:r>
      <w:r>
        <w:rPr>
          <w:rFonts w:hint="eastAsia" w:ascii="仿宋_GB2312" w:hAnsi="仿宋_GB2312" w:eastAsia="仿宋_GB2312" w:cs="仿宋_GB2312"/>
          <w:sz w:val="32"/>
          <w:szCs w:val="32"/>
          <w:lang w:val="en-US" w:eastAsia="zh-CN"/>
        </w:rPr>
        <w:t>结</w:t>
      </w:r>
      <w:r>
        <w:rPr>
          <w:rFonts w:hint="default" w:ascii="仿宋_GB2312" w:hAnsi="仿宋_GB2312" w:eastAsia="仿宋_GB2312" w:cs="仿宋_GB2312"/>
          <w:sz w:val="32"/>
          <w:szCs w:val="32"/>
          <w:lang w:val="en-US" w:eastAsia="zh-CN"/>
        </w:rPr>
        <w:t>景区门票</w:t>
      </w:r>
      <w:r>
        <w:rPr>
          <w:rFonts w:hint="eastAsia" w:ascii="仿宋_GB2312" w:hAnsi="仿宋_GB2312" w:eastAsia="仿宋_GB2312" w:cs="仿宋_GB2312"/>
          <w:sz w:val="32"/>
          <w:szCs w:val="32"/>
          <w:lang w:val="en-US" w:eastAsia="zh-CN"/>
        </w:rPr>
        <w:t>案1件5人</w:t>
      </w:r>
      <w:r>
        <w:rPr>
          <w:rFonts w:hint="default" w:ascii="仿宋_GB2312" w:hAnsi="仿宋_GB2312" w:eastAsia="仿宋_GB2312" w:cs="仿宋_GB2312"/>
          <w:sz w:val="32"/>
          <w:szCs w:val="32"/>
          <w:lang w:val="en-US" w:eastAsia="zh-CN"/>
        </w:rPr>
        <w:t>，当好景区“守门人”。</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民事调判止纷争，服判息诉促和谐。办好“小案件”做实“大民生”。审结民商事案件</w:t>
      </w:r>
      <w:r>
        <w:rPr>
          <w:rFonts w:hint="eastAsia" w:ascii="仿宋_GB2312" w:hAnsi="仿宋_GB2312" w:eastAsia="仿宋_GB2312" w:cs="仿宋_GB2312"/>
          <w:sz w:val="32"/>
          <w:szCs w:val="32"/>
          <w:lang w:val="en-US" w:eastAsia="zh-CN"/>
        </w:rPr>
        <w:t>828</w:t>
      </w:r>
      <w:r>
        <w:rPr>
          <w:rFonts w:hint="default" w:ascii="仿宋_GB2312" w:hAnsi="仿宋_GB2312" w:eastAsia="仿宋_GB2312" w:cs="仿宋_GB2312"/>
          <w:sz w:val="32"/>
          <w:szCs w:val="32"/>
          <w:lang w:val="en-US" w:eastAsia="zh-CN"/>
        </w:rPr>
        <w:t>件，涉及标的总额3.</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亿元。审结房屋买卖、建设工程、物业服务等案件122件，保障住有所居、居有所安。推动人身安全保护令落地见效，设立“反家暴庇护所”，发出保护令2份，审结抚养、赡养、婚姻等家事纠纷案件4</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件，保障幼有所育、弱有所扶。高效调解追索劳动报酬案件57件，为农民工讨薪600余万元，保障劳有所得。统一城乡居民人身损害赔偿标准，推行“同命同价”，审结人身损害赔偿纠纷案件34件。加强弱势群体诉讼权益保护，缓减免诉讼费14.2万元，办理司法救助案件19件20人，救助金额13.8万元，以温情司法温暖人心。</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行政争议诉前调，案结事了促政和。坚持依法裁判和实质化解相结合，审结行政案件9件，促成6案实质化解。支持行政机关发挥经济调控、市场监管、公共服务等职能，依法裁定准予强制执行非诉行政案件4件。建立健全庭前联络机制，大力推进行政机关负责人出庭应诉，行政机关负责人出庭率100%。</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善意文明有温度，高效执行护法威。推动“基本解决执行难”向“切实解决执行难”迈进，受理执行案件43</w:t>
      </w: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件，执结</w:t>
      </w:r>
      <w:r>
        <w:rPr>
          <w:rFonts w:hint="eastAsia" w:ascii="仿宋_GB2312" w:hAnsi="仿宋_GB2312" w:eastAsia="仿宋_GB2312" w:cs="仿宋_GB2312"/>
          <w:sz w:val="32"/>
          <w:szCs w:val="32"/>
          <w:lang w:val="en-US" w:eastAsia="zh-CN"/>
        </w:rPr>
        <w:t>433</w:t>
      </w:r>
      <w:r>
        <w:rPr>
          <w:rFonts w:hint="default" w:ascii="仿宋_GB2312" w:hAnsi="仿宋_GB2312" w:eastAsia="仿宋_GB2312" w:cs="仿宋_GB2312"/>
          <w:sz w:val="32"/>
          <w:szCs w:val="32"/>
          <w:lang w:val="en-US" w:eastAsia="zh-CN"/>
        </w:rPr>
        <w:t>件，执行到位3.6亿元。智慧执行赋能增效，网络查询金融机构、互联网银行存款账户1800余次，查扣资金2200万元，开启“司法网拍+网拍辅助”模式，在全州率先引进网拍辅助机构，拍卖财产网络询价6次，在线拍卖财产11次，降低拍卖成本，缩短执行周期。持续加大执行力度，常态化开展信用惩戒，罚款6人、拘传12人，限制高消费172人次、纳入失信被执行人名单149人，让失信者处处受限、寸步难行。持续开展涉民生案件专项执行行动，执行到位2500余万元，兑现真金白银，增进民生福祉。</w:t>
      </w:r>
    </w:p>
    <w:p>
      <w:pPr>
        <w:pStyle w:val="2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Style w:val="23"/>
          <w:rFonts w:hint="default" w:ascii="Times New Roman" w:hAnsi="Times New Roman" w:eastAsia="方正黑体_GBK" w:cs="Times New Roman"/>
          <w:b w:val="0"/>
          <w:bCs w:val="0"/>
          <w:color w:val="auto"/>
          <w:spacing w:val="0"/>
          <w:sz w:val="32"/>
          <w:szCs w:val="32"/>
          <w:lang w:val="en-US" w:eastAsia="zh-CN"/>
        </w:rPr>
      </w:pPr>
      <w:r>
        <w:rPr>
          <w:rStyle w:val="23"/>
          <w:rFonts w:hint="default" w:ascii="Times New Roman" w:hAnsi="Times New Roman" w:eastAsia="方正黑体_GBK" w:cs="Times New Roman"/>
          <w:b w:val="0"/>
          <w:bCs w:val="0"/>
          <w:color w:val="auto"/>
          <w:spacing w:val="0"/>
          <w:sz w:val="32"/>
          <w:szCs w:val="32"/>
          <w:lang w:val="en-US" w:eastAsia="zh-CN"/>
        </w:rPr>
        <w:t>四、坚持稳中求进总基调，在深化司法改革中聚势赋能</w:t>
      </w:r>
    </w:p>
    <w:p>
      <w:pPr>
        <w:ind w:firstLine="320" w:firstLineChars="1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“奋楫当先”促改革。全面落实司法责任制，细化审判权责清单和审委会议事规则，推动专业法官会议实质化运行，推进审判体系和审判能力现代化。2022年法官人均办案7</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件，强化院庭长示范引领和监督管理，带头并参与办案11</w:t>
      </w:r>
      <w:r>
        <w:rPr>
          <w:rFonts w:hint="eastAsia" w:ascii="仿宋_GB2312" w:hAnsi="仿宋_GB2312" w:eastAsia="仿宋_GB2312" w:cs="仿宋_GB2312"/>
          <w:sz w:val="32"/>
          <w:szCs w:val="32"/>
          <w:lang w:val="en-US" w:eastAsia="zh-CN"/>
        </w:rPr>
        <w:t>66</w:t>
      </w:r>
      <w:r>
        <w:rPr>
          <w:rFonts w:hint="default" w:ascii="仿宋_GB2312" w:hAnsi="仿宋_GB2312" w:eastAsia="仿宋_GB2312" w:cs="仿宋_GB2312"/>
          <w:sz w:val="32"/>
          <w:szCs w:val="32"/>
          <w:lang w:val="en-US" w:eastAsia="zh-CN"/>
        </w:rPr>
        <w:t>件，占比86.6</w:t>
      </w: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强化审判监督管理，“四类案件”全流程监管，“三评查”全覆盖员额法官，平均审理天数、人均结案数、服判息诉率等核心质效指标稳步提升。深挖改革潜力，有序推进法院审级职能定位改革试点，有力推进财物统管改革。</w:t>
      </w:r>
    </w:p>
    <w:p>
      <w:pPr>
        <w:ind w:firstLine="320" w:firstLineChars="1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智慧法院”提效率。推进诉讼服务机制转型升级，添置自助服务和自助缴费终端2台、“云上法庭”设备2套，上线移动微法院、跨域立案、互联网远程庭审及电子送达等多种网络诉讼模式。全年网上立案161件，跨域立案20件、电子送达1113次，在线审理160件，在线调解149件，为人民群众参与诉讼提供多种选择和全方位便利。启用政法系统跨部门办案平台，实现立案侦查、批捕起诉、审判执行及刑罚执行全流程闭环互联互通、业务协同、信息共享。</w:t>
      </w:r>
    </w:p>
    <w:p>
      <w:pPr>
        <w:ind w:firstLine="320" w:firstLineChars="1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诉事速办”强服务。落实民诉法在线调解新规，通过在线司法确认和在线调解，快速调处253起民事纠纷，司法确认30件，实现案件一次性受理，纠纷一次性化解，结果一次性确认。按下程序切换“快捷键”，对适用简易程序审理的152起小额合同纠纷案转为督促程序。灵活运用实现担保物权特别程序审结金融借款合同纠纷，案涉标的3900万元，节约诉讼成本。推动“案件审理期间”和“纠纷在院时间”双向考评机制试点工作落实落细，案件平均审理天数由65天降至30天。</w:t>
      </w:r>
    </w:p>
    <w:p>
      <w:pPr>
        <w:ind w:firstLine="320" w:firstLineChars="1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诉源共治”聚合力。调纷于“根”，止诉于“源”，员额法官进网格，诉源治理进社区。基层法庭与辖区行政、警务、司法及村民组织建立联系机制，警法联合，庭队协作，所庭对接多元联动化纠纷，同题共答诉源治理“民生卷”。巡回审判到乡村，以案释法到院坝，开展巡回审判34场次。开展“开学第一课”“庭审进校园”等活动11场次，护航未成年人健康成长。用好典型案例活教材，通过“两微一端”发布案例16篇，让公正裁判引领社会风尚，发布审判执行工作亮点130条次，总阅读量达5.5万人次，25篇信息被《川观新闻》《四川法治报》等媒体报道，传播法院好声音，弘扬司法正能量。</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五、实施铸魂强基总工程，在自强固本中锻造过硬队伍</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淬炼“信得过”的政治品格。依托九寨沟县“红色铸魂”工程，紧紧围绕“讲政治、重公道、业务精、作风好”要求，举办“知行合一·党建课堂”，训育并举筑基塑魂。规范执行“三会一课”制度，严格党内组织生活，支部结对共建聚合力，服务群众办实事30件次，纾困解难暖人心。打造“初心向党·初心在党”党建品牌，组织开展喜迎二十大系列党建文化活动。强基固本筑堡垒，推荐5名干警参加入党积极分子培训，提升支部组织力。</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历练“靠得住”的过硬本领。聚焦提质强能，打造“三高六质”法院队伍。充分发挥学术委员会的作用，抓调研促审判，5篇学术论文获省级表彰。青蓝相继，携手共进，成立首届青年工作委员会，开展读书分享、朗诵比赛等文体活动，队伍建设激活力。线上线下齐推进，组织全员参加各类业务培训500余人次，培训赋能取成效。发挥“六专四室”作用，推动司法警务新发展，开展司法警察“一月一训”活动，提升法警及警务辅助人员业务技能及应急处突能力。</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锤炼“能放心”的优良作风。</w:t>
      </w:r>
      <w:r>
        <w:rPr>
          <w:rFonts w:hint="default" w:ascii="仿宋_GB2312" w:hAnsi="仿宋_GB2312" w:eastAsia="仿宋_GB2312" w:cs="仿宋_GB2312"/>
          <w:sz w:val="32"/>
          <w:szCs w:val="32"/>
          <w:lang w:val="en-US" w:eastAsia="zh-CN"/>
        </w:rPr>
        <w:t>持续正风肃纪，落实“紧严细实廉”，开展常态化警示教育活动，树牢底线思维。狠抓“三个规定”实质化运行，月月督察促落实，筑牢防止干预司法防火墙。认真贯彻执行新时代政法干警“十个严禁”，开展审务督察28次，发出督察通报4期，以岗位为点、程序为线、制度为面，梳理廉政风险关键节点57个，压实廉政责任。</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直以来，县法院始终把接受监督作为服务大局、司法为民、公正司法的重要保障。自觉接受人大监督和政协民主监督，主动向县人大及其常委会、县政协报告、通报重点工作和依法履职情况。持续加强代表委员联络工作，主动上门走访以及邀请视察座谈、旁听庭审、见证执行7次，认真听取代表委员意见建议，5项意见建议转化为公正司法具体举措。自觉接受纪检监察机关法纪监督，促进公正廉洁司法。依法接受检察监督，共同推进职务犯罪案件刑事裁判涉财产部分执行工作。广泛接受社会监督，人民陪审员参审案件113件，公开裁判文书572份，直播庭审131场，审判流程、执行信息全面公开，让群众参与司法、监督司法，以公开促公正。</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年来，县法院各项工作取得进步与发展，4个集体，3名个人受到州级以上表彰，涌现出全省法院环境资源审判先进集体、全省法院民事审判先进个人等一批先进典型。这些成绩的取得，得益于县委的坚强领导，人大的有力监督，政府的大力支持，政协的民主监督，得益于人大代表、政协委员的关心帮助，得益于全县人民的理解信任。在此，我代表县人民法院表示衷心的感谢并致以崇高的敬意！</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64" w:firstLineChars="200"/>
        <w:jc w:val="both"/>
        <w:textAlignment w:val="auto"/>
        <w:outlineLvl w:val="9"/>
        <w:rPr>
          <w:rFonts w:hint="default" w:ascii="Times New Roman" w:hAnsi="Times New Roman" w:eastAsia="方正仿宋_GBK" w:cs="Times New Roman"/>
          <w:b w:val="0"/>
          <w:bCs w:val="0"/>
          <w:spacing w:val="6"/>
          <w:kern w:val="2"/>
          <w:sz w:val="32"/>
          <w:szCs w:val="32"/>
          <w:lang w:val="en-US" w:eastAsia="zh-CN" w:bidi="ar-SA"/>
        </w:rPr>
      </w:pPr>
    </w:p>
    <w:p>
      <w:pPr>
        <w:widowControl/>
        <w:adjustRightInd w:val="0"/>
        <w:snapToGrid w:val="0"/>
        <w:spacing w:line="48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pPr>
        <w:tabs>
          <w:tab w:val="left" w:pos="550"/>
        </w:tabs>
        <w:ind w:firstLine="480" w:firstLineChars="15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（一）评价结论</w:t>
      </w:r>
    </w:p>
    <w:p>
      <w:pPr>
        <w:tabs>
          <w:tab w:val="left" w:pos="550"/>
        </w:tabs>
        <w:rPr>
          <w:rFonts w:hint="eastAsia" w:ascii="仿宋_GB2312" w:hAnsi="仿宋_GB2312" w:eastAsia="仿宋_GB2312" w:cs="仿宋_GB2312"/>
          <w:sz w:val="32"/>
          <w:szCs w:val="32"/>
          <w:lang w:val="en-US" w:eastAsia="zh-CN"/>
        </w:rPr>
      </w:pPr>
      <w:r>
        <w:rPr>
          <w:rFonts w:ascii="仿宋_GB2312" w:eastAsia="仿宋_GB2312"/>
          <w:sz w:val="32"/>
          <w:szCs w:val="32"/>
        </w:rPr>
        <w:tab/>
      </w:r>
      <w:r>
        <w:rPr>
          <w:rFonts w:hint="eastAsia" w:ascii="仿宋_GB2312" w:hAnsi="仿宋_GB2312" w:eastAsia="仿宋_GB2312" w:cs="仿宋_GB2312"/>
          <w:sz w:val="32"/>
          <w:szCs w:val="32"/>
          <w:lang w:val="en-US" w:eastAsia="zh-CN"/>
        </w:rPr>
        <w:t xml:space="preserve"> 2022年全年部门预算和专项预算使用管理绩效情况良好。</w:t>
      </w:r>
    </w:p>
    <w:p>
      <w:pPr>
        <w:tabs>
          <w:tab w:val="left" w:pos="550"/>
        </w:tabs>
        <w:rPr>
          <w:rFonts w:ascii="仿宋_GB2312" w:eastAsia="仿宋_GB2312"/>
          <w:b/>
          <w:sz w:val="32"/>
          <w:szCs w:val="32"/>
        </w:rPr>
      </w:pPr>
      <w:r>
        <w:rPr>
          <w:rFonts w:hint="eastAsia" w:ascii="仿宋_GB2312" w:eastAsia="仿宋_GB2312"/>
          <w:sz w:val="32"/>
          <w:szCs w:val="32"/>
        </w:rPr>
        <w:t xml:space="preserve">  </w:t>
      </w:r>
      <w:r>
        <w:rPr>
          <w:rFonts w:hint="eastAsia" w:ascii="楷体_GB2312" w:hAnsi="楷体_GB2312" w:eastAsia="楷体_GB2312" w:cs="楷体_GB2312"/>
          <w:b w:val="0"/>
          <w:bCs/>
          <w:sz w:val="32"/>
          <w:szCs w:val="32"/>
        </w:rPr>
        <w:t xml:space="preserve">  （二）存在的问题</w:t>
      </w:r>
    </w:p>
    <w:p>
      <w:pPr>
        <w:tabs>
          <w:tab w:val="left" w:pos="880"/>
        </w:tabs>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预算</w:t>
      </w:r>
      <w:r>
        <w:rPr>
          <w:rFonts w:hint="eastAsia" w:ascii="仿宋_GB2312" w:eastAsia="仿宋_GB2312"/>
          <w:sz w:val="32"/>
          <w:szCs w:val="32"/>
          <w:lang w:val="en-US" w:eastAsia="zh-CN"/>
        </w:rPr>
        <w:t>编制</w:t>
      </w:r>
      <w:r>
        <w:rPr>
          <w:rFonts w:hint="eastAsia" w:ascii="仿宋_GB2312" w:eastAsia="仿宋_GB2312"/>
          <w:sz w:val="32"/>
          <w:szCs w:val="32"/>
        </w:rPr>
        <w:t>工作需</w:t>
      </w:r>
      <w:r>
        <w:rPr>
          <w:rFonts w:hint="eastAsia" w:ascii="仿宋_GB2312" w:eastAsia="仿宋_GB2312"/>
          <w:sz w:val="32"/>
          <w:szCs w:val="32"/>
          <w:lang w:val="en-US" w:eastAsia="zh-CN"/>
        </w:rPr>
        <w:t>进一步</w:t>
      </w:r>
      <w:r>
        <w:rPr>
          <w:rFonts w:hint="eastAsia" w:ascii="仿宋_GB2312" w:eastAsia="仿宋_GB2312"/>
          <w:sz w:val="32"/>
          <w:szCs w:val="32"/>
        </w:rPr>
        <w:t>加强，预算编制要尽可能</w:t>
      </w:r>
      <w:r>
        <w:rPr>
          <w:rFonts w:hint="eastAsia" w:ascii="仿宋_GB2312" w:eastAsia="仿宋_GB2312"/>
          <w:sz w:val="32"/>
          <w:szCs w:val="32"/>
          <w:lang w:val="en-US" w:eastAsia="zh-CN"/>
        </w:rPr>
        <w:t>全面、精细</w:t>
      </w:r>
      <w:r>
        <w:rPr>
          <w:rFonts w:hint="eastAsia" w:ascii="仿宋_GB2312" w:eastAsia="仿宋_GB2312"/>
          <w:sz w:val="32"/>
          <w:szCs w:val="32"/>
        </w:rPr>
        <w:t>。</w:t>
      </w:r>
    </w:p>
    <w:p>
      <w:pPr>
        <w:tabs>
          <w:tab w:val="left" w:pos="880"/>
        </w:tabs>
        <w:ind w:firstLine="640" w:firstLineChars="200"/>
        <w:rPr>
          <w:rFonts w:hint="eastAsia" w:ascii="仿宋_GB2312" w:eastAsia="仿宋_GB2312"/>
          <w:sz w:val="32"/>
          <w:szCs w:val="32"/>
          <w:lang w:val="en-US" w:eastAsia="zh-CN"/>
        </w:rPr>
      </w:pPr>
      <w:r>
        <w:rPr>
          <w:rFonts w:hint="eastAsia" w:ascii="仿宋_GB2312"/>
          <w:sz w:val="32"/>
          <w:szCs w:val="32"/>
          <w:lang w:val="en-US" w:eastAsia="zh-CN"/>
        </w:rPr>
        <w:t>2.</w:t>
      </w:r>
      <w:r>
        <w:rPr>
          <w:rFonts w:hint="eastAsia" w:ascii="仿宋_GB2312" w:eastAsia="仿宋_GB2312"/>
          <w:sz w:val="32"/>
          <w:szCs w:val="32"/>
          <w:lang w:val="en-US" w:eastAsia="zh-CN"/>
        </w:rPr>
        <w:t>是信息化建设水平不高。目前信息化建设虽能基本保障审判执行及日常办公，但离智慧化法院3.0版建设标准还存在较大差距。</w:t>
      </w:r>
    </w:p>
    <w:p>
      <w:pPr>
        <w:tabs>
          <w:tab w:val="left" w:pos="880"/>
        </w:tabs>
        <w:ind w:firstLine="640" w:firstLineChars="200"/>
        <w:rPr>
          <w:rFonts w:hint="eastAsia" w:ascii="仿宋_GB2312" w:eastAsia="仿宋_GB2312"/>
          <w:b/>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内部控制</w:t>
      </w:r>
      <w:r>
        <w:rPr>
          <w:rFonts w:hint="eastAsia" w:ascii="仿宋_GB2312" w:eastAsia="仿宋_GB2312"/>
          <w:sz w:val="32"/>
          <w:szCs w:val="32"/>
          <w:lang w:val="en-US" w:eastAsia="zh-CN"/>
        </w:rPr>
        <w:t>制度执行力有待加强。</w:t>
      </w:r>
      <w:r>
        <w:rPr>
          <w:rFonts w:hint="eastAsia" w:ascii="仿宋_GB2312" w:eastAsia="仿宋_GB2312"/>
          <w:sz w:val="32"/>
          <w:szCs w:val="32"/>
        </w:rPr>
        <w:t xml:space="preserve"> </w:t>
      </w:r>
      <w:r>
        <w:rPr>
          <w:rFonts w:hint="eastAsia" w:ascii="仿宋_GB2312" w:eastAsia="仿宋_GB2312"/>
          <w:b/>
          <w:sz w:val="32"/>
          <w:szCs w:val="32"/>
        </w:rPr>
        <w:t xml:space="preserve"> </w:t>
      </w:r>
    </w:p>
    <w:p>
      <w:pPr>
        <w:tabs>
          <w:tab w:val="left" w:pos="550"/>
        </w:tabs>
        <w:ind w:firstLine="480" w:firstLineChars="15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（三）改进意见</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加强预算的控制力，细化预算编制工作。进一步加强部门预算管理意识，严格遵守预算编制的相关制度和要求，公用经费根据单位的年度工作重点和项目专项工作规划，本着“厉行节约、保障运转”的原则进行单位预算编制。杜绝一切超预算开支的情况发生，进一步提高预算编制的科学性、有效性、可行性和可控性。</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推进现代科技和司法审判工作深度融合，秉持信息化建设服务各族群众、服务审判执行、服务司法管理、服务廉洁司法、服务社会治理理念，大力推进智慧法院特别是网上诉讼平台建设，推动网络系统兼容对接、数据共享，助推审判执行工作提质增效。</w:t>
      </w:r>
    </w:p>
    <w:p>
      <w:pPr>
        <w:ind w:firstLine="640" w:firstLineChars="200"/>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进一步完善内部控制制度，增强制度的实际操作性，规范管理，加强对职工宣传培训，切实增加制度的执行力，在制度的制约下运行。</w:t>
      </w:r>
    </w:p>
    <w:p>
      <w:pPr>
        <w:rPr>
          <w:rFonts w:ascii="Times New Roman" w:hAnsi="Times New Roman" w:eastAsia="仿宋_GB2312" w:cs="Times New Roman"/>
          <w:kern w:val="2"/>
          <w:sz w:val="32"/>
          <w:szCs w:val="32"/>
          <w:lang w:val="en-US" w:eastAsia="zh-CN" w:bidi="ar-SA"/>
        </w:rPr>
      </w:pPr>
    </w:p>
    <w:p>
      <w:pPr>
        <w:rPr>
          <w:rFonts w:ascii="Times New Roman" w:hAnsi="Times New Roman" w:eastAsia="仿宋_GB2312" w:cs="Times New Roman"/>
          <w:kern w:val="2"/>
          <w:sz w:val="32"/>
          <w:szCs w:val="32"/>
          <w:lang w:val="en-US" w:eastAsia="zh-CN" w:bidi="ar-SA"/>
        </w:rPr>
      </w:pPr>
    </w:p>
    <w:p>
      <w:pPr>
        <w:tabs>
          <w:tab w:val="left" w:pos="5323"/>
        </w:tabs>
        <w:ind w:firstLine="960" w:firstLineChars="300"/>
        <w:jc w:val="right"/>
        <w:rPr>
          <w:rFonts w:hint="default" w:cs="Times New Roman"/>
          <w:kern w:val="2"/>
          <w:sz w:val="32"/>
          <w:szCs w:val="32"/>
          <w:lang w:val="en-US" w:eastAsia="zh-CN" w:bidi="ar-SA"/>
        </w:rPr>
      </w:pPr>
      <w:r>
        <w:rPr>
          <w:rFonts w:hint="eastAsia" w:cs="Times New Roman"/>
          <w:kern w:val="2"/>
          <w:sz w:val="32"/>
          <w:szCs w:val="32"/>
          <w:lang w:val="en-US" w:eastAsia="zh-CN" w:bidi="ar-SA"/>
        </w:rPr>
        <w:t>九寨沟县人民法院</w:t>
      </w:r>
    </w:p>
    <w:p>
      <w:pPr>
        <w:tabs>
          <w:tab w:val="left" w:pos="5788"/>
        </w:tabs>
        <w:jc w:val="right"/>
        <w:rPr>
          <w:rFonts w:hint="eastAsia" w:ascii="Times New Roman" w:hAnsi="Times New Roman" w:eastAsia="仿宋_GB2312" w:cs="Times New Roman"/>
          <w:kern w:val="2"/>
          <w:sz w:val="32"/>
          <w:szCs w:val="32"/>
          <w:lang w:val="en-US" w:eastAsia="zh-CN" w:bidi="ar-SA"/>
        </w:rPr>
      </w:pPr>
      <w:r>
        <w:rPr>
          <w:rFonts w:hint="eastAsia" w:cs="Times New Roman"/>
          <w:kern w:val="2"/>
          <w:sz w:val="32"/>
          <w:szCs w:val="32"/>
          <w:lang w:val="en-US" w:eastAsia="zh-CN" w:bidi="ar-SA"/>
        </w:rPr>
        <w:tab/>
      </w:r>
      <w:r>
        <w:rPr>
          <w:rFonts w:hint="eastAsia" w:cs="Times New Roman"/>
          <w:kern w:val="2"/>
          <w:sz w:val="32"/>
          <w:szCs w:val="32"/>
          <w:lang w:val="en-US" w:eastAsia="zh-CN" w:bidi="ar-SA"/>
        </w:rPr>
        <w:t>2023年4月7日</w:t>
      </w:r>
    </w:p>
    <w:p>
      <w:pPr>
        <w:rPr>
          <w:rFonts w:ascii="Times New Roman" w:hAnsi="Times New Roman" w:eastAsia="仿宋_GB2312" w:cs="Times New Roman"/>
          <w:kern w:val="2"/>
          <w:sz w:val="32"/>
          <w:szCs w:val="32"/>
          <w:lang w:val="en-US" w:eastAsia="zh-CN" w:bidi="ar-SA"/>
        </w:rPr>
      </w:pPr>
    </w:p>
    <w:p>
      <w:pPr>
        <w:pStyle w:val="8"/>
        <w:rPr>
          <w:rFonts w:hint="eastAsia" w:cs="Times New Roman"/>
          <w:kern w:val="2"/>
          <w:sz w:val="32"/>
          <w:szCs w:val="32"/>
          <w:lang w:val="en-US" w:eastAsia="zh-CN" w:bidi="ar-SA"/>
        </w:rPr>
      </w:pPr>
    </w:p>
    <w:p>
      <w:pPr>
        <w:rPr>
          <w:rFonts w:hint="eastAsia" w:cs="Times New Roman"/>
          <w:kern w:val="2"/>
          <w:sz w:val="32"/>
          <w:szCs w:val="32"/>
          <w:lang w:val="en-US" w:eastAsia="zh-CN" w:bidi="ar-SA"/>
        </w:rPr>
      </w:pPr>
    </w:p>
    <w:p>
      <w:pPr>
        <w:pStyle w:val="8"/>
        <w:rPr>
          <w:rFonts w:hint="eastAsia" w:cs="Times New Roman"/>
          <w:kern w:val="2"/>
          <w:sz w:val="32"/>
          <w:szCs w:val="32"/>
          <w:lang w:val="en-US" w:eastAsia="zh-CN" w:bidi="ar-SA"/>
        </w:rPr>
      </w:pPr>
    </w:p>
    <w:p>
      <w:pPr>
        <w:rPr>
          <w:rFonts w:hint="eastAsia" w:cs="Times New Roman"/>
          <w:kern w:val="2"/>
          <w:sz w:val="32"/>
          <w:szCs w:val="32"/>
          <w:lang w:val="en-US" w:eastAsia="zh-CN" w:bidi="ar-SA"/>
        </w:rPr>
      </w:pPr>
    </w:p>
    <w:p>
      <w:pPr>
        <w:pStyle w:val="8"/>
        <w:rPr>
          <w:rFonts w:hint="eastAsia" w:cs="Times New Roman"/>
          <w:kern w:val="2"/>
          <w:sz w:val="32"/>
          <w:szCs w:val="32"/>
          <w:lang w:val="en-US" w:eastAsia="zh-CN" w:bidi="ar-SA"/>
        </w:rPr>
      </w:pPr>
    </w:p>
    <w:p>
      <w:pPr>
        <w:rPr>
          <w:rFonts w:hint="eastAsia" w:cs="Times New Roman"/>
          <w:kern w:val="2"/>
          <w:sz w:val="32"/>
          <w:szCs w:val="32"/>
          <w:lang w:val="en-US" w:eastAsia="zh-CN" w:bidi="ar-SA"/>
        </w:rPr>
      </w:pPr>
    </w:p>
    <w:p>
      <w:pPr>
        <w:pStyle w:val="8"/>
        <w:rPr>
          <w:rFonts w:hint="eastAsia" w:cs="Times New Roman"/>
          <w:kern w:val="2"/>
          <w:sz w:val="32"/>
          <w:szCs w:val="32"/>
          <w:lang w:val="en-US" w:eastAsia="zh-CN" w:bidi="ar-SA"/>
        </w:rPr>
      </w:pPr>
    </w:p>
    <w:p>
      <w:pPr>
        <w:rPr>
          <w:rFonts w:hint="eastAsia" w:cs="Times New Roman"/>
          <w:kern w:val="2"/>
          <w:sz w:val="32"/>
          <w:szCs w:val="32"/>
          <w:lang w:val="en-US" w:eastAsia="zh-CN" w:bidi="ar-SA"/>
        </w:rPr>
      </w:pPr>
    </w:p>
    <w:p>
      <w:pPr>
        <w:pStyle w:val="8"/>
        <w:rPr>
          <w:rFonts w:hint="eastAsia" w:cs="Times New Roman"/>
          <w:kern w:val="2"/>
          <w:sz w:val="32"/>
          <w:szCs w:val="32"/>
          <w:lang w:val="en-US" w:eastAsia="zh-CN" w:bidi="ar-SA"/>
        </w:rPr>
      </w:pPr>
    </w:p>
    <w:p>
      <w:pPr>
        <w:rPr>
          <w:rFonts w:hint="eastAsia" w:cs="Times New Roman"/>
          <w:kern w:val="2"/>
          <w:sz w:val="32"/>
          <w:szCs w:val="32"/>
          <w:lang w:val="en-US" w:eastAsia="zh-CN" w:bidi="ar-SA"/>
        </w:rPr>
      </w:pPr>
    </w:p>
    <w:p>
      <w:pPr>
        <w:spacing w:line="600" w:lineRule="exact"/>
        <w:jc w:val="left"/>
        <w:outlineLvl w:val="0"/>
        <w:rPr>
          <w:rFonts w:ascii="黑体" w:hAnsi="黑体" w:eastAsia="黑体" w:cs="黑体"/>
          <w:sz w:val="32"/>
          <w:szCs w:val="32"/>
        </w:rPr>
      </w:pPr>
      <w:bookmarkStart w:id="105" w:name="_Toc79163633"/>
      <w:bookmarkStart w:id="106" w:name="_Toc79163883"/>
      <w:r>
        <w:rPr>
          <w:rFonts w:hint="eastAsia" w:ascii="黑体" w:hAnsi="黑体" w:eastAsia="黑体" w:cs="黑体"/>
          <w:sz w:val="32"/>
          <w:szCs w:val="32"/>
        </w:rPr>
        <w:t>附件</w:t>
      </w:r>
      <w:r>
        <w:rPr>
          <w:rFonts w:ascii="黑体" w:hAnsi="黑体" w:eastAsia="黑体" w:cs="黑体"/>
          <w:sz w:val="32"/>
          <w:szCs w:val="32"/>
        </w:rPr>
        <w:t>2</w:t>
      </w:r>
      <w:bookmarkEnd w:id="105"/>
      <w:bookmarkEnd w:id="106"/>
    </w:p>
    <w:p>
      <w:pPr>
        <w:spacing w:line="58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九寨沟县人民法院</w:t>
      </w:r>
      <w:r>
        <w:rPr>
          <w:rFonts w:hint="eastAsia" w:ascii="方正小标宋简体" w:hAnsi="方正小标宋简体" w:eastAsia="方正小标宋简体" w:cs="方正小标宋简体"/>
          <w:b w:val="0"/>
          <w:bCs/>
          <w:sz w:val="44"/>
          <w:szCs w:val="44"/>
        </w:rPr>
        <w:t>转移支付20</w:t>
      </w:r>
      <w:r>
        <w:rPr>
          <w:rFonts w:hint="eastAsia" w:ascii="方正小标宋简体" w:hAnsi="方正小标宋简体" w:eastAsia="方正小标宋简体" w:cs="方正小标宋简体"/>
          <w:b w:val="0"/>
          <w:bCs/>
          <w:sz w:val="44"/>
          <w:szCs w:val="44"/>
          <w:lang w:val="en-US" w:eastAsia="zh-CN"/>
        </w:rPr>
        <w:t>22</w:t>
      </w:r>
      <w:r>
        <w:rPr>
          <w:rFonts w:hint="eastAsia" w:ascii="方正小标宋简体" w:hAnsi="方正小标宋简体" w:eastAsia="方正小标宋简体" w:cs="方正小标宋简体"/>
          <w:b w:val="0"/>
          <w:bCs/>
          <w:sz w:val="44"/>
          <w:szCs w:val="44"/>
        </w:rPr>
        <w:t>年度</w:t>
      </w:r>
    </w:p>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绩效自评报告</w:t>
      </w:r>
    </w:p>
    <w:p>
      <w:pPr>
        <w:ind w:firstLine="640" w:firstLineChars="200"/>
        <w:rPr>
          <w:rFonts w:hint="eastAsia" w:ascii="Times New Roman" w:hAnsi="Times New Roman" w:eastAsia="仿宋_GB2312" w:cs="Times New Roman"/>
          <w:kern w:val="2"/>
          <w:sz w:val="32"/>
          <w:szCs w:val="32"/>
          <w:lang w:val="en-US" w:eastAsia="zh-CN" w:bidi="ar-SA"/>
        </w:rPr>
      </w:pPr>
    </w:p>
    <w:p>
      <w:pPr>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一、绩效目标分解下达情况</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2022年阿州财行</w:t>
      </w:r>
      <w:r>
        <w:rPr>
          <w:rFonts w:hint="eastAsia" w:ascii="微软雅黑" w:hAnsi="微软雅黑" w:eastAsia="微软雅黑" w:cs="微软雅黑"/>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2022</w:t>
      </w:r>
      <w:r>
        <w:rPr>
          <w:rFonts w:hint="eastAsia" w:ascii="微软雅黑" w:hAnsi="微软雅黑" w:eastAsia="微软雅黑" w:cs="微软雅黑"/>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13号，下达2022年中央政法纪检监察转移支付资金353万元，其中装备费195万元，办案业务费158万元；阿州财行</w:t>
      </w:r>
      <w:r>
        <w:rPr>
          <w:rFonts w:hint="eastAsia" w:ascii="微软雅黑" w:hAnsi="微软雅黑" w:eastAsia="微软雅黑" w:cs="微软雅黑"/>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2022</w:t>
      </w:r>
      <w:r>
        <w:rPr>
          <w:rFonts w:hint="eastAsia" w:ascii="微软雅黑" w:hAnsi="微软雅黑" w:eastAsia="微软雅黑" w:cs="微软雅黑"/>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58号，下达2022年特定转移支付资金142万元，其中装备费100万元，办案业务费42万元。主要用于保障法院审判工作的顺利开展，保证当年案件审判优质高效完成;提高法官队伍素质，加强法制宣传，提高办案质量，提升群众满意度。</w:t>
      </w:r>
    </w:p>
    <w:p>
      <w:pPr>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二、绩效情况分析</w:t>
      </w:r>
    </w:p>
    <w:p>
      <w:pPr>
        <w:ind w:firstLine="640" w:firstLineChars="200"/>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（一）资金投入情况分析。</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1.项目资金到位情况分析。</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中央政法转移支付资金足额到位，时效性不足。2022年7月18日下达2022年中央政法纪检监察转移支付资金353万元，2022年12月7日下达2022年特定转移支付资金142万元。</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2.项目资金执行情况分析。                   </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2022年下达我院中央和省级政法转移支付资金共495万，我院共使用中央和省级政法转移支付资金495万元，预算执行率达100%。</w:t>
      </w:r>
    </w:p>
    <w:p>
      <w:pPr>
        <w:ind w:firstLine="640" w:firstLineChars="200"/>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（二）资金管理情况分析。</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按照综合预算的原则，我院收入和支出均纳入部门预算管理。按照预算确定的资金支出用途使用，做到专款专用。资金支付依据合规合法，资金支付与项目预算相符。</w:t>
      </w:r>
    </w:p>
    <w:p>
      <w:pPr>
        <w:ind w:firstLine="640" w:firstLineChars="200"/>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（三）总体绩效目标完成情况分析。</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1.努力推动高水平司法，提速助跑高效能治理。</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2.牢记人民法院初心使命，践行司法为民宗旨。</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3.坚持政治引领党建先行，锤炼过硬法院队伍。</w:t>
      </w:r>
    </w:p>
    <w:p>
      <w:pPr>
        <w:ind w:firstLine="640" w:firstLineChars="200"/>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（四）绩效指标完成情况分析。</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1.产出指标完成情况分析。</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数量指标。①2022年全年共受理案件1345件，审执结1321件，审执结率为98.22%。②全年年受理执行案件437件，执结433件，执结率为99.08%。③法官人均诉讼案件结案数70件，长期未结案件化解率达到100%。（2）质量指标。①均衡结案度≥65%，达到67%。②一审案件改发率≤3%，达到2.08%。③生效案件改发率≤3%，达到0%。④保障聘用制书记员17人，法官助理人数15人，共计32人。⑤全年培训65人次。⑥办案及业务用房维修面积200平方米。⑦使用业务装备经费购买设备97台/套。</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（3）时效指标。①全年业务于2021年12月31日完成。②接收比≥85%，达到98.8%。③法定审限内结案率≥85%，达到100%。④提升案件审判时效，平均在院审理天数≤60天，为31.78天。</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（4）服务对象满意度指标。服判息诉率≥85%，达到97.45%。社会满意度测评-总体满意度≥90%，达到98%。</w:t>
      </w:r>
    </w:p>
    <w:p>
      <w:pPr>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三、偏离绩效目标的原因和下一步改进措施</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2022年较好完成绩效目标任务。在今后的工作中进一步加强部门预算管理意识，加强预算的控制力，细化预算编制工作，严格遵守预算编制的相关制度和要求。根据单位的年度工作重点和项目专项工作规划，本着“厉行节约、保障运转”的原则进行单位预算编制。更加合理安排计划使用好资金。</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绩效自评结果拟应用和公开情况</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按要求报送州大数据中心，按时公开。</w:t>
      </w:r>
    </w:p>
    <w:p>
      <w:pPr>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五、其他需要说明的问题</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无。</w:t>
      </w:r>
    </w:p>
    <w:p>
      <w:pPr>
        <w:ind w:firstLine="640" w:firstLineChars="200"/>
        <w:rPr>
          <w:rFonts w:hint="eastAsia" w:ascii="Times New Roman" w:hAnsi="Times New Roman" w:eastAsia="仿宋_GB2312" w:cs="Times New Roman"/>
          <w:kern w:val="2"/>
          <w:sz w:val="32"/>
          <w:szCs w:val="32"/>
          <w:lang w:val="en-US" w:eastAsia="zh-CN" w:bidi="ar-SA"/>
        </w:rPr>
      </w:pPr>
    </w:p>
    <w:p>
      <w:pPr>
        <w:ind w:firstLine="420" w:firstLineChars="200"/>
        <w:jc w:val="right"/>
        <w:rPr>
          <w:rFonts w:hint="eastAsia"/>
          <w:lang w:val="en-US" w:eastAsia="zh-CN"/>
        </w:rPr>
      </w:pPr>
    </w:p>
    <w:p>
      <w:pPr>
        <w:ind w:firstLine="420" w:firstLineChars="200"/>
        <w:jc w:val="right"/>
        <w:rPr>
          <w:rFonts w:hint="eastAsia"/>
          <w:lang w:val="en-US" w:eastAsia="zh-CN"/>
        </w:rPr>
      </w:pPr>
    </w:p>
    <w:p>
      <w:pPr>
        <w:numPr>
          <w:ilvl w:val="0"/>
          <w:numId w:val="3"/>
        </w:numPr>
        <w:spacing w:line="600" w:lineRule="exact"/>
        <w:ind w:left="0" w:leftChars="0" w:firstLine="660" w:firstLineChars="150"/>
        <w:jc w:val="center"/>
        <w:outlineLvl w:val="0"/>
        <w:rPr>
          <w:rStyle w:val="25"/>
          <w:rFonts w:hint="eastAsia" w:ascii="黑体" w:hAnsi="黑体" w:eastAsia="黑体"/>
          <w:b w:val="0"/>
        </w:rPr>
      </w:pPr>
      <w:bookmarkStart w:id="107" w:name="_Toc15396618"/>
      <w:bookmarkStart w:id="108" w:name="_Toc79163885"/>
      <w:bookmarkStart w:id="109" w:name="_Toc79163635"/>
      <w:r>
        <w:rPr>
          <w:rStyle w:val="25"/>
          <w:rFonts w:hint="eastAsia" w:ascii="黑体" w:hAnsi="黑体" w:eastAsia="黑体"/>
          <w:b w:val="0"/>
        </w:rPr>
        <w:t>附表</w:t>
      </w:r>
      <w:bookmarkEnd w:id="99"/>
      <w:bookmarkEnd w:id="107"/>
      <w:bookmarkEnd w:id="108"/>
      <w:bookmarkEnd w:id="109"/>
      <w:bookmarkStart w:id="110" w:name="_Toc79163886"/>
      <w:bookmarkStart w:id="111" w:name="_Toc79163636"/>
      <w:bookmarkStart w:id="112" w:name="_Toc15396619"/>
    </w:p>
    <w:p>
      <w:pPr>
        <w:numPr>
          <w:numId w:val="0"/>
        </w:numPr>
        <w:spacing w:line="600" w:lineRule="exact"/>
        <w:jc w:val="both"/>
        <w:outlineLvl w:val="0"/>
        <w:rPr>
          <w:rStyle w:val="26"/>
          <w:rFonts w:hint="eastAsia" w:ascii="仿宋" w:hAnsi="仿宋" w:eastAsia="仿宋"/>
          <w:b w:val="0"/>
          <w:bCs w:val="0"/>
          <w:lang w:val="en-US" w:eastAsia="zh-CN" w:bidi="ar-SA"/>
        </w:rPr>
      </w:pPr>
      <w:r>
        <w:rPr>
          <w:rStyle w:val="26"/>
          <w:rFonts w:hint="eastAsia" w:ascii="仿宋" w:hAnsi="仿宋" w:eastAsia="仿宋"/>
          <w:b w:val="0"/>
          <w:bCs w:val="0"/>
          <w:lang w:val="en-US" w:eastAsia="zh-CN" w:bidi="ar-SA"/>
        </w:rPr>
        <w:t>一、收入支出决算总表</w:t>
      </w:r>
      <w:bookmarkEnd w:id="110"/>
      <w:bookmarkEnd w:id="111"/>
      <w:bookmarkEnd w:id="112"/>
    </w:p>
    <w:p>
      <w:pPr>
        <w:pStyle w:val="3"/>
        <w:rPr>
          <w:rFonts w:ascii="仿宋" w:hAnsi="仿宋" w:eastAsia="仿宋"/>
          <w:color w:val="000000"/>
        </w:rPr>
      </w:pPr>
      <w:bookmarkStart w:id="113" w:name="_Toc15396620"/>
      <w:bookmarkStart w:id="114" w:name="_Toc79163637"/>
      <w:bookmarkStart w:id="115" w:name="_Toc79163887"/>
      <w:r>
        <w:rPr>
          <w:rFonts w:hint="eastAsia" w:ascii="仿宋" w:hAnsi="仿宋" w:eastAsia="仿宋"/>
          <w:b w:val="0"/>
          <w:color w:val="000000"/>
        </w:rPr>
        <w:t>二、收</w:t>
      </w:r>
      <w:r>
        <w:rPr>
          <w:rStyle w:val="26"/>
          <w:rFonts w:hint="eastAsia" w:ascii="仿宋" w:hAnsi="仿宋" w:eastAsia="仿宋"/>
          <w:b w:val="0"/>
          <w:bCs w:val="0"/>
        </w:rPr>
        <w:t>入决算表</w:t>
      </w:r>
      <w:bookmarkEnd w:id="113"/>
      <w:bookmarkEnd w:id="114"/>
      <w:bookmarkEnd w:id="115"/>
      <w:bookmarkStart w:id="151" w:name="_GoBack"/>
      <w:bookmarkEnd w:id="151"/>
    </w:p>
    <w:p>
      <w:pPr>
        <w:pStyle w:val="3"/>
        <w:rPr>
          <w:rFonts w:ascii="仿宋" w:hAnsi="仿宋" w:eastAsia="仿宋"/>
          <w:color w:val="000000"/>
        </w:rPr>
      </w:pPr>
      <w:bookmarkStart w:id="116" w:name="_Toc79163638"/>
      <w:bookmarkStart w:id="117" w:name="_Toc15396621"/>
      <w:bookmarkStart w:id="118" w:name="_Toc7916388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16"/>
      <w:bookmarkEnd w:id="117"/>
      <w:bookmarkEnd w:id="118"/>
    </w:p>
    <w:p>
      <w:pPr>
        <w:pStyle w:val="3"/>
        <w:rPr>
          <w:rFonts w:ascii="仿宋" w:hAnsi="仿宋" w:eastAsia="仿宋"/>
          <w:b w:val="0"/>
          <w:color w:val="000000"/>
        </w:rPr>
      </w:pPr>
      <w:bookmarkStart w:id="119" w:name="_Toc15396622"/>
      <w:bookmarkStart w:id="120" w:name="_Toc79163639"/>
      <w:bookmarkStart w:id="121" w:name="_Toc7916388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19"/>
      <w:bookmarkEnd w:id="120"/>
      <w:bookmarkEnd w:id="121"/>
    </w:p>
    <w:p>
      <w:pPr>
        <w:pStyle w:val="3"/>
        <w:rPr>
          <w:rStyle w:val="26"/>
          <w:rFonts w:ascii="仿宋" w:hAnsi="仿宋" w:eastAsia="仿宋"/>
          <w:b w:val="0"/>
          <w:bCs w:val="0"/>
        </w:rPr>
      </w:pPr>
      <w:bookmarkStart w:id="122" w:name="_Toc79163640"/>
      <w:bookmarkStart w:id="123" w:name="_Toc79163890"/>
      <w:bookmarkStart w:id="12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22"/>
      <w:bookmarkEnd w:id="123"/>
      <w:bookmarkEnd w:id="124"/>
      <w:bookmarkStart w:id="125" w:name="_Toc15396624"/>
    </w:p>
    <w:p>
      <w:pPr>
        <w:pStyle w:val="3"/>
        <w:rPr>
          <w:rFonts w:ascii="仿宋" w:hAnsi="仿宋" w:eastAsia="仿宋"/>
          <w:color w:val="000000"/>
        </w:rPr>
      </w:pPr>
      <w:bookmarkStart w:id="126" w:name="_Toc79163641"/>
      <w:bookmarkStart w:id="127" w:name="_Toc7916389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25"/>
      <w:bookmarkEnd w:id="126"/>
      <w:bookmarkEnd w:id="127"/>
    </w:p>
    <w:p>
      <w:pPr>
        <w:pStyle w:val="3"/>
        <w:rPr>
          <w:rFonts w:ascii="仿宋" w:hAnsi="仿宋" w:eastAsia="仿宋"/>
          <w:color w:val="000000"/>
        </w:rPr>
      </w:pPr>
      <w:bookmarkStart w:id="128" w:name="_Toc15396625"/>
      <w:bookmarkStart w:id="129" w:name="_Toc79163642"/>
      <w:bookmarkStart w:id="130" w:name="_Toc7916389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28"/>
      <w:bookmarkEnd w:id="129"/>
      <w:bookmarkEnd w:id="130"/>
    </w:p>
    <w:p>
      <w:pPr>
        <w:pStyle w:val="3"/>
        <w:rPr>
          <w:rFonts w:ascii="仿宋" w:hAnsi="仿宋" w:eastAsia="仿宋"/>
          <w:color w:val="000000"/>
        </w:rPr>
      </w:pPr>
      <w:bookmarkStart w:id="131" w:name="_Toc15396626"/>
      <w:bookmarkStart w:id="132" w:name="_Toc79163893"/>
      <w:bookmarkStart w:id="133" w:name="_Toc79163643"/>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31"/>
      <w:bookmarkEnd w:id="132"/>
      <w:bookmarkEnd w:id="133"/>
    </w:p>
    <w:p>
      <w:pPr>
        <w:pStyle w:val="3"/>
        <w:rPr>
          <w:rFonts w:ascii="仿宋" w:hAnsi="仿宋" w:eastAsia="仿宋"/>
          <w:color w:val="000000"/>
        </w:rPr>
      </w:pPr>
      <w:bookmarkStart w:id="134" w:name="_Toc79163894"/>
      <w:bookmarkStart w:id="135" w:name="_Toc15396627"/>
      <w:bookmarkStart w:id="136" w:name="_Toc7916364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34"/>
      <w:bookmarkEnd w:id="135"/>
      <w:bookmarkEnd w:id="136"/>
    </w:p>
    <w:p>
      <w:pPr>
        <w:pStyle w:val="3"/>
        <w:rPr>
          <w:rFonts w:ascii="仿宋" w:hAnsi="仿宋" w:eastAsia="仿宋"/>
          <w:color w:val="000000"/>
        </w:rPr>
      </w:pPr>
      <w:bookmarkStart w:id="137" w:name="_Toc79163895"/>
      <w:bookmarkStart w:id="138" w:name="_Toc79163645"/>
      <w:bookmarkStart w:id="13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37"/>
      <w:bookmarkEnd w:id="138"/>
      <w:bookmarkEnd w:id="139"/>
    </w:p>
    <w:p>
      <w:pPr>
        <w:pStyle w:val="3"/>
        <w:rPr>
          <w:rFonts w:ascii="仿宋" w:hAnsi="仿宋" w:eastAsia="仿宋"/>
          <w:color w:val="000000"/>
        </w:rPr>
      </w:pPr>
      <w:bookmarkStart w:id="140" w:name="_Toc79163896"/>
      <w:bookmarkStart w:id="141" w:name="_Toc15396629"/>
      <w:bookmarkStart w:id="142" w:name="_Toc7916364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40"/>
      <w:bookmarkEnd w:id="141"/>
      <w:bookmarkEnd w:id="142"/>
    </w:p>
    <w:p>
      <w:pPr>
        <w:pStyle w:val="3"/>
        <w:rPr>
          <w:rFonts w:ascii="仿宋" w:hAnsi="仿宋" w:eastAsia="仿宋"/>
          <w:color w:val="000000"/>
        </w:rPr>
      </w:pPr>
      <w:bookmarkStart w:id="143" w:name="_Toc79163647"/>
      <w:bookmarkStart w:id="144" w:name="_Toc15396630"/>
      <w:bookmarkStart w:id="145" w:name="_Toc7916389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43"/>
      <w:bookmarkEnd w:id="144"/>
      <w:bookmarkEnd w:id="145"/>
    </w:p>
    <w:p>
      <w:pPr>
        <w:pStyle w:val="3"/>
        <w:rPr>
          <w:rStyle w:val="26"/>
          <w:rFonts w:ascii="仿宋" w:hAnsi="仿宋" w:eastAsia="仿宋"/>
          <w:b w:val="0"/>
          <w:bCs w:val="0"/>
        </w:rPr>
      </w:pPr>
      <w:bookmarkStart w:id="146" w:name="_Toc79163648"/>
      <w:bookmarkStart w:id="147" w:name="_Toc79163898"/>
      <w:bookmarkStart w:id="148"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46"/>
      <w:bookmarkEnd w:id="147"/>
      <w:bookmarkEnd w:id="148"/>
    </w:p>
    <w:p>
      <w:pPr>
        <w:pStyle w:val="3"/>
        <w:rPr>
          <w:rStyle w:val="26"/>
          <w:rFonts w:ascii="仿宋" w:hAnsi="仿宋" w:eastAsia="仿宋"/>
          <w:b w:val="0"/>
          <w:bCs w:val="0"/>
        </w:rPr>
      </w:pPr>
      <w:bookmarkStart w:id="149" w:name="_Toc79163899"/>
      <w:bookmarkStart w:id="150" w:name="_Toc79163649"/>
      <w:r>
        <w:rPr>
          <w:rStyle w:val="26"/>
          <w:rFonts w:hint="eastAsia" w:ascii="仿宋" w:hAnsi="仿宋" w:eastAsia="仿宋"/>
          <w:b w:val="0"/>
          <w:bCs w:val="0"/>
        </w:rPr>
        <w:t>十四、国有资本经营预算财政拨款支出决算表</w:t>
      </w:r>
      <w:bookmarkEnd w:id="149"/>
      <w:bookmarkEnd w:id="150"/>
    </w:p>
    <w:sectPr>
      <w:headerReference r:id="rId3" w:type="default"/>
      <w:footerReference r:id="rId4" w:type="default"/>
      <w:pgSz w:w="11906" w:h="16838"/>
      <w:pgMar w:top="2098" w:right="1474" w:bottom="1984" w:left="158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24D09A-5666-4E11-89E0-937EFEA7FC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B151FC48-87B1-4D64-B317-27C315A42079}"/>
  </w:font>
  <w:font w:name="等线">
    <w:panose1 w:val="02010600030101010101"/>
    <w:charset w:val="86"/>
    <w:family w:val="auto"/>
    <w:pitch w:val="default"/>
    <w:sig w:usb0="A00002BF" w:usb1="38CF7CFA" w:usb2="00000016" w:usb3="00000000" w:csb0="0004000F" w:csb1="00000000"/>
    <w:embedRegular r:id="rId3" w:fontKey="{667A2810-701C-4451-98B8-1172B322EA0F}"/>
  </w:font>
  <w:font w:name="仿宋_GB2312">
    <w:panose1 w:val="02010609030101010101"/>
    <w:charset w:val="86"/>
    <w:family w:val="modern"/>
    <w:pitch w:val="default"/>
    <w:sig w:usb0="00000001" w:usb1="080E0000" w:usb2="00000000" w:usb3="00000000" w:csb0="00040000" w:csb1="00000000"/>
    <w:embedRegular r:id="rId4" w:fontKey="{6CFCBB3A-9EC3-45B4-BBCF-6F67B2897A86}"/>
  </w:font>
  <w:font w:name="仿宋">
    <w:panose1 w:val="02010609060101010101"/>
    <w:charset w:val="86"/>
    <w:family w:val="auto"/>
    <w:pitch w:val="default"/>
    <w:sig w:usb0="800002BF" w:usb1="38CF7CFA" w:usb2="00000016" w:usb3="00000000" w:csb0="00040001" w:csb1="00000000"/>
    <w:embedRegular r:id="rId5" w:fontKey="{9582BCDA-DBED-4C3E-8831-3C4BD681125E}"/>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6" w:fontKey="{BCE55061-1AD5-4BE6-BFEA-D8EA08E6E609}"/>
  </w:font>
  <w:font w:name="方正黑体_GBK">
    <w:panose1 w:val="03000509000000000000"/>
    <w:charset w:val="86"/>
    <w:family w:val="auto"/>
    <w:pitch w:val="default"/>
    <w:sig w:usb0="00000001" w:usb1="080E0000" w:usb2="00000000" w:usb3="00000000" w:csb0="00040000" w:csb1="00000000"/>
    <w:embedRegular r:id="rId7" w:fontKey="{6A6BD792-2E3D-41A4-88F8-1A915D3541F6}"/>
  </w:font>
  <w:font w:name="方正楷体_GBK">
    <w:panose1 w:val="03000509000000000000"/>
    <w:charset w:val="86"/>
    <w:family w:val="auto"/>
    <w:pitch w:val="default"/>
    <w:sig w:usb0="00000001" w:usb1="080E0000" w:usb2="00000000" w:usb3="00000000" w:csb0="00040000" w:csb1="00000000"/>
    <w:embedRegular r:id="rId8" w:fontKey="{CA171675-FB44-43FD-BB02-BBEE32F3718B}"/>
  </w:font>
  <w:font w:name="方正仿宋_GBK">
    <w:panose1 w:val="02000000000000000000"/>
    <w:charset w:val="86"/>
    <w:family w:val="script"/>
    <w:pitch w:val="default"/>
    <w:sig w:usb0="A00002BF" w:usb1="38CF7CFA" w:usb2="00082016" w:usb3="00000000" w:csb0="00040001" w:csb1="00000000"/>
    <w:embedRegular r:id="rId9" w:fontKey="{59F6B9A4-9CCC-4C04-A0FE-02945690FEA3}"/>
  </w:font>
  <w:font w:name="楷体_GB2312">
    <w:panose1 w:val="02010609030101010101"/>
    <w:charset w:val="86"/>
    <w:family w:val="modern"/>
    <w:pitch w:val="default"/>
    <w:sig w:usb0="00000001" w:usb1="080E0000" w:usb2="00000000" w:usb3="00000000" w:csb0="00040000" w:csb1="00000000"/>
    <w:embedRegular r:id="rId10" w:fontKey="{F7E01E19-C013-4508-95FC-1587EE72FAF3}"/>
  </w:font>
  <w:font w:name="楷体">
    <w:panose1 w:val="02010609060101010101"/>
    <w:charset w:val="86"/>
    <w:family w:val="auto"/>
    <w:pitch w:val="default"/>
    <w:sig w:usb0="800002BF" w:usb1="38CF7CFA" w:usb2="00000016" w:usb3="00000000" w:csb0="00040001" w:csb1="00000000"/>
    <w:embedRegular r:id="rId11" w:fontKey="{6300D034-5EF0-458E-BB7E-DB8B9B9F5E7A}"/>
  </w:font>
  <w:font w:name="新宋体">
    <w:panose1 w:val="02010609030101010101"/>
    <w:charset w:val="86"/>
    <w:family w:val="auto"/>
    <w:pitch w:val="default"/>
    <w:sig w:usb0="0000028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embedRegular r:id="rId12" w:fontKey="{BE8468EC-FBD3-4C90-9BAE-747DE37D03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QxMTVhMzA0ZmI5MzE0ZTQ4Njg5NWUwM2ZhMTJkY2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7182832"/>
    <w:rsid w:val="07B25AB5"/>
    <w:rsid w:val="0A2032A3"/>
    <w:rsid w:val="0DCD1FF8"/>
    <w:rsid w:val="10C055FF"/>
    <w:rsid w:val="1165571B"/>
    <w:rsid w:val="118107EC"/>
    <w:rsid w:val="14D72009"/>
    <w:rsid w:val="16BB723D"/>
    <w:rsid w:val="1B71205C"/>
    <w:rsid w:val="1D155CEE"/>
    <w:rsid w:val="227A7719"/>
    <w:rsid w:val="240371BF"/>
    <w:rsid w:val="29FD04D3"/>
    <w:rsid w:val="319F7F4E"/>
    <w:rsid w:val="33E416A1"/>
    <w:rsid w:val="39615167"/>
    <w:rsid w:val="429056FC"/>
    <w:rsid w:val="46BD080D"/>
    <w:rsid w:val="4D6F10DE"/>
    <w:rsid w:val="4ECE2238"/>
    <w:rsid w:val="50047BC4"/>
    <w:rsid w:val="51BF1FF4"/>
    <w:rsid w:val="532D11DF"/>
    <w:rsid w:val="621364C8"/>
    <w:rsid w:val="674D5D7B"/>
    <w:rsid w:val="6C4A05C8"/>
    <w:rsid w:val="721B6926"/>
    <w:rsid w:val="722120BB"/>
    <w:rsid w:val="72734D90"/>
    <w:rsid w:val="79C901BC"/>
    <w:rsid w:val="79E55631"/>
    <w:rsid w:val="7A3031E0"/>
    <w:rsid w:val="7BB25888"/>
    <w:rsid w:val="7FE37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4"/>
    <w:qFormat/>
    <w:uiPriority w:val="99"/>
    <w:pPr>
      <w:spacing w:beforeLines="30"/>
    </w:pPr>
    <w:rPr>
      <w:rFonts w:ascii="仿宋_GB2312" w:eastAsia="仿宋_GB2312"/>
      <w:kern w:val="0"/>
      <w:sz w:val="24"/>
      <w:szCs w:val="20"/>
      <w:lang w:val="zh-CN" w:eastAsia="zh-CN"/>
    </w:rPr>
  </w:style>
  <w:style w:type="paragraph" w:styleId="7">
    <w:name w:val="Body Text Indent"/>
    <w:basedOn w:val="1"/>
    <w:next w:val="8"/>
    <w:qFormat/>
    <w:uiPriority w:val="99"/>
    <w:pPr>
      <w:spacing w:after="120"/>
      <w:ind w:left="420" w:leftChars="200"/>
    </w:pPr>
  </w:style>
  <w:style w:type="paragraph" w:styleId="8">
    <w:name w:val="Body Text First Indent 2"/>
    <w:basedOn w:val="7"/>
    <w:next w:val="1"/>
    <w:qFormat/>
    <w:uiPriority w:val="99"/>
    <w:pPr>
      <w:widowControl/>
      <w:spacing w:after="0"/>
      <w:ind w:left="0" w:leftChars="0" w:firstLine="420" w:firstLineChars="200"/>
    </w:pPr>
    <w:rPr>
      <w:kern w:val="0"/>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2"/>
    <w:qFormat/>
    <w:locked/>
    <w:uiPriority w:val="9"/>
    <w:rPr>
      <w:rFonts w:ascii="Times New Roman" w:hAnsi="Times New Roman" w:cs="Times New Roman"/>
      <w:b/>
      <w:bCs/>
      <w:kern w:val="44"/>
      <w:sz w:val="44"/>
      <w:szCs w:val="44"/>
    </w:rPr>
  </w:style>
  <w:style w:type="character" w:customStyle="1" w:styleId="26">
    <w:name w:val="标题 2 字符"/>
    <w:basedOn w:val="22"/>
    <w:link w:val="3"/>
    <w:qFormat/>
    <w:locked/>
    <w:uiPriority w:val="9"/>
    <w:rPr>
      <w:rFonts w:ascii="Cambria" w:hAnsi="Cambria" w:eastAsia="宋体" w:cs="Times New Roman"/>
      <w:b/>
      <w:bCs/>
      <w:kern w:val="2"/>
      <w:sz w:val="32"/>
      <w:szCs w:val="32"/>
    </w:rPr>
  </w:style>
  <w:style w:type="character" w:customStyle="1" w:styleId="27">
    <w:name w:val="标题 3 字符"/>
    <w:basedOn w:val="22"/>
    <w:link w:val="4"/>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6"/>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0"/>
    <w:basedOn w:val="1"/>
    <w:qFormat/>
    <w:uiPriority w:val="0"/>
    <w:pPr>
      <w:widowControl/>
      <w:snapToGrid w:val="0"/>
    </w:pPr>
    <w:rPr>
      <w:kern w:val="0"/>
      <w:szCs w:val="20"/>
    </w:rPr>
  </w:style>
  <w:style w:type="paragraph" w:customStyle="1" w:styleId="41">
    <w:name w:val="NOTE_Normal"/>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13675</Words>
  <Characters>14730</Characters>
  <Lines>74</Lines>
  <Paragraphs>21</Paragraphs>
  <TotalTime>11</TotalTime>
  <ScaleCrop>false</ScaleCrop>
  <LinksUpToDate>false</LinksUpToDate>
  <CharactersWithSpaces>14878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2023-09-15T09:14:00Z</cp:lastPrinted>
  <dcterms:modified xsi:type="dcterms:W3CDTF">2023-09-19T04:00:17Z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8AF9FD1F5A5A4EE5936D232D40C2E47C_13</vt:lpwstr>
  </property>
</Properties>
</file>