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A16E1">
      <w:bookmarkStart w:id="0" w:name="_Toc15396597"/>
      <w:bookmarkStart w:id="1" w:name="_Toc15378441"/>
      <w:bookmarkStart w:id="2" w:name="_Toc15377425"/>
      <w:bookmarkStart w:id="3" w:name="_Toc15396475"/>
      <w:bookmarkStart w:id="4" w:name="_Toc15377193"/>
      <w:bookmarkStart w:id="5" w:name="_Toc15306267"/>
    </w:p>
    <w:p w14:paraId="70C2F11A">
      <w:pPr>
        <w:pStyle w:val="9"/>
        <w:spacing w:before="93"/>
        <w:jc w:val="center"/>
        <w:rPr>
          <w:rFonts w:ascii="Times New Roman" w:eastAsia="方正小标宋简体"/>
          <w:kern w:val="2"/>
          <w:sz w:val="44"/>
          <w:szCs w:val="44"/>
        </w:rPr>
      </w:pPr>
    </w:p>
    <w:p w14:paraId="4CAB0E74">
      <w:pPr>
        <w:pStyle w:val="9"/>
        <w:spacing w:before="93"/>
        <w:jc w:val="center"/>
        <w:rPr>
          <w:rFonts w:ascii="Times New Roman" w:eastAsia="方正小标宋简体"/>
          <w:kern w:val="2"/>
          <w:sz w:val="44"/>
          <w:szCs w:val="44"/>
        </w:rPr>
      </w:pPr>
    </w:p>
    <w:p w14:paraId="7F2F052A">
      <w:pPr>
        <w:pStyle w:val="9"/>
        <w:spacing w:before="93"/>
        <w:jc w:val="center"/>
        <w:rPr>
          <w:rFonts w:ascii="Times New Roman" w:eastAsia="方正小标宋简体"/>
          <w:kern w:val="2"/>
          <w:sz w:val="44"/>
          <w:szCs w:val="44"/>
        </w:rPr>
      </w:pPr>
    </w:p>
    <w:p w14:paraId="3B4B581B">
      <w:pPr>
        <w:pStyle w:val="9"/>
        <w:spacing w:before="93"/>
        <w:jc w:val="center"/>
        <w:rPr>
          <w:rFonts w:ascii="Times New Roman" w:eastAsia="方正小标宋简体"/>
          <w:kern w:val="2"/>
          <w:sz w:val="44"/>
          <w:szCs w:val="44"/>
        </w:rPr>
      </w:pPr>
    </w:p>
    <w:bookmarkEnd w:id="0"/>
    <w:bookmarkEnd w:id="1"/>
    <w:bookmarkEnd w:id="2"/>
    <w:bookmarkEnd w:id="3"/>
    <w:bookmarkEnd w:id="4"/>
    <w:p w14:paraId="0ECF7300">
      <w:pPr>
        <w:pStyle w:val="9"/>
        <w:spacing w:before="93"/>
        <w:jc w:val="center"/>
        <w:rPr>
          <w:rFonts w:ascii="Times New Roman" w:eastAsia="方正小标宋简体"/>
          <w:kern w:val="2"/>
          <w:sz w:val="44"/>
          <w:szCs w:val="44"/>
        </w:rPr>
      </w:pPr>
      <w:bookmarkStart w:id="6" w:name="_Toc15377194"/>
      <w:bookmarkStart w:id="7" w:name="_Toc15396598"/>
      <w:bookmarkStart w:id="8" w:name="_Toc15396476"/>
      <w:bookmarkStart w:id="9" w:name="_Toc15378442"/>
      <w:bookmarkStart w:id="10" w:name="_Toc15377426"/>
      <w:r>
        <w:rPr>
          <w:rFonts w:hint="eastAsia" w:ascii="Times New Roman" w:eastAsia="方正小标宋简体"/>
          <w:kern w:val="2"/>
          <w:sz w:val="44"/>
          <w:szCs w:val="44"/>
        </w:rPr>
        <w:t>2025年度</w:t>
      </w:r>
    </w:p>
    <w:p w14:paraId="4ED1E434">
      <w:pPr>
        <w:pStyle w:val="9"/>
        <w:spacing w:before="93"/>
        <w:jc w:val="center"/>
        <w:rPr>
          <w:rFonts w:ascii="Times New Roman" w:eastAsia="方正小标宋简体"/>
          <w:kern w:val="2"/>
          <w:sz w:val="44"/>
          <w:szCs w:val="44"/>
        </w:rPr>
      </w:pPr>
      <w:r>
        <w:rPr>
          <w:rFonts w:hint="eastAsia" w:ascii="Times New Roman" w:eastAsia="方正小标宋简体"/>
          <w:kern w:val="2"/>
          <w:sz w:val="44"/>
          <w:szCs w:val="44"/>
        </w:rPr>
        <w:t>四川省</w:t>
      </w:r>
      <w:bookmarkEnd w:id="5"/>
      <w:bookmarkStart w:id="11" w:name="_Toc15306268"/>
      <w:r>
        <w:rPr>
          <w:rFonts w:ascii="Times New Roman" w:eastAsia="方正小标宋简体"/>
          <w:kern w:val="2"/>
          <w:sz w:val="44"/>
          <w:szCs w:val="44"/>
        </w:rPr>
        <w:t>阿坝州九寨沟县人民检察院</w:t>
      </w:r>
    </w:p>
    <w:p w14:paraId="0F332182">
      <w:pPr>
        <w:pStyle w:val="9"/>
        <w:spacing w:before="93"/>
        <w:jc w:val="center"/>
        <w:rPr>
          <w:rFonts w:ascii="Times New Roman" w:eastAsia="方正小标宋简体"/>
          <w:kern w:val="2"/>
          <w:sz w:val="44"/>
          <w:szCs w:val="44"/>
        </w:rPr>
      </w:pPr>
      <w:r>
        <w:rPr>
          <w:rFonts w:hint="eastAsia" w:ascii="Times New Roman" w:eastAsia="方正小标宋简体"/>
          <w:kern w:val="2"/>
          <w:sz w:val="44"/>
          <w:szCs w:val="44"/>
        </w:rPr>
        <w:t>部门决算</w:t>
      </w:r>
      <w:bookmarkEnd w:id="6"/>
      <w:bookmarkEnd w:id="7"/>
      <w:bookmarkEnd w:id="8"/>
      <w:bookmarkEnd w:id="9"/>
      <w:bookmarkEnd w:id="10"/>
      <w:bookmarkEnd w:id="11"/>
    </w:p>
    <w:p w14:paraId="1E30B25B">
      <w:pPr>
        <w:widowControl/>
        <w:jc w:val="center"/>
        <w:rPr>
          <w:rFonts w:eastAsia="方正小标宋简体"/>
          <w:sz w:val="36"/>
          <w:szCs w:val="36"/>
        </w:rPr>
      </w:pPr>
    </w:p>
    <w:p w14:paraId="2CE07756">
      <w:pPr>
        <w:pStyle w:val="9"/>
        <w:spacing w:before="93"/>
        <w:rPr>
          <w:rFonts w:ascii="Times New Roman" w:eastAsia="方正小标宋简体"/>
          <w:sz w:val="36"/>
          <w:szCs w:val="36"/>
        </w:rPr>
      </w:pPr>
    </w:p>
    <w:p w14:paraId="3D85476A">
      <w:pPr>
        <w:rPr>
          <w:rFonts w:eastAsia="方正小标宋简体"/>
          <w:sz w:val="36"/>
          <w:szCs w:val="36"/>
        </w:rPr>
      </w:pPr>
    </w:p>
    <w:p w14:paraId="171F8C91">
      <w:pPr>
        <w:pStyle w:val="9"/>
        <w:spacing w:before="93"/>
        <w:rPr>
          <w:rFonts w:ascii="Times New Roman" w:eastAsia="方正小标宋简体"/>
          <w:sz w:val="36"/>
          <w:szCs w:val="36"/>
        </w:rPr>
      </w:pPr>
    </w:p>
    <w:p w14:paraId="5A82E5CB">
      <w:pPr>
        <w:rPr>
          <w:rFonts w:eastAsia="方正小标宋简体"/>
          <w:sz w:val="36"/>
          <w:szCs w:val="36"/>
        </w:rPr>
      </w:pPr>
    </w:p>
    <w:p w14:paraId="5A7EED04">
      <w:pPr>
        <w:pStyle w:val="9"/>
        <w:spacing w:before="93"/>
        <w:rPr>
          <w:rFonts w:ascii="Times New Roman" w:eastAsia="方正小标宋简体"/>
          <w:sz w:val="36"/>
          <w:szCs w:val="36"/>
        </w:rPr>
      </w:pPr>
    </w:p>
    <w:p w14:paraId="0FC036EA">
      <w:pPr>
        <w:rPr>
          <w:rFonts w:eastAsia="方正小标宋简体"/>
          <w:sz w:val="36"/>
          <w:szCs w:val="36"/>
        </w:rPr>
      </w:pPr>
    </w:p>
    <w:p w14:paraId="26490989">
      <w:pPr>
        <w:pStyle w:val="9"/>
        <w:spacing w:before="93"/>
        <w:rPr>
          <w:rFonts w:ascii="Times New Roman" w:eastAsia="方正小标宋简体"/>
          <w:sz w:val="36"/>
          <w:szCs w:val="36"/>
        </w:rPr>
      </w:pPr>
    </w:p>
    <w:p w14:paraId="7C2D2C27">
      <w:pPr>
        <w:rPr>
          <w:rFonts w:eastAsia="方正小标宋简体"/>
          <w:sz w:val="36"/>
          <w:szCs w:val="36"/>
        </w:rPr>
      </w:pPr>
    </w:p>
    <w:p w14:paraId="0BC34CDB">
      <w:pPr>
        <w:pStyle w:val="9"/>
        <w:spacing w:before="93"/>
        <w:rPr>
          <w:rFonts w:ascii="Times New Roman" w:eastAsia="方正小标宋简体"/>
          <w:sz w:val="36"/>
          <w:szCs w:val="36"/>
        </w:rPr>
      </w:pPr>
    </w:p>
    <w:p w14:paraId="09B0B77B">
      <w:p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start="1"/>
          <w:cols w:space="425" w:num="1"/>
          <w:titlePg/>
          <w:docGrid w:type="lines" w:linePitch="312" w:charSpace="0"/>
        </w:sectPr>
      </w:pPr>
      <w:r>
        <w:rPr>
          <w:sz w:val="32"/>
          <w:szCs w:val="32"/>
        </w:rPr>
        <w:t>已经保密审查、内容审定，同意对外公开</w:t>
      </w:r>
    </w:p>
    <w:p w14:paraId="5C278202">
      <w:pPr>
        <w:widowControl/>
        <w:jc w:val="center"/>
        <w:rPr>
          <w:rFonts w:eastAsia="黑体"/>
          <w:sz w:val="48"/>
          <w:szCs w:val="48"/>
        </w:rPr>
      </w:pPr>
      <w:r>
        <w:rPr>
          <w:rFonts w:hint="eastAsia" w:eastAsia="黑体"/>
          <w:sz w:val="48"/>
          <w:szCs w:val="48"/>
        </w:rPr>
        <w:t>目录</w:t>
      </w:r>
    </w:p>
    <w:p w14:paraId="2847E74F">
      <w:pPr>
        <w:widowControl/>
        <w:jc w:val="center"/>
        <w:rPr>
          <w:rFonts w:eastAsia="黑体" w:cstheme="minorBidi"/>
          <w:sz w:val="28"/>
          <w:szCs w:val="28"/>
        </w:rPr>
      </w:pPr>
    </w:p>
    <w:p w14:paraId="6B7F1309">
      <w:pPr>
        <w:pStyle w:val="16"/>
        <w:tabs>
          <w:tab w:val="right" w:leader="dot" w:pos="8296"/>
        </w:tabs>
        <w:jc w:val="center"/>
        <w:rPr>
          <w:rFonts w:eastAsia="仿宋_GB2312" w:cs="仿宋_GB2312"/>
          <w:sz w:val="32"/>
          <w:szCs w:val="32"/>
        </w:rPr>
      </w:pPr>
      <w:r>
        <w:rPr>
          <w:rFonts w:hint="eastAsia" w:eastAsia="仿宋_GB2312" w:cs="仿宋_GB2312"/>
          <w:sz w:val="32"/>
          <w:szCs w:val="32"/>
        </w:rPr>
        <w:t>公开时间：2026年9月10日</w:t>
      </w:r>
    </w:p>
    <w:p w14:paraId="48608E3A"/>
    <w:p w14:paraId="7397A93E">
      <w:pPr>
        <w:pStyle w:val="16"/>
        <w:tabs>
          <w:tab w:val="right" w:leader="dot" w:pos="8306"/>
        </w:tabs>
      </w:pPr>
      <w:r>
        <w:rPr>
          <w:rFonts w:hint="eastAsia"/>
        </w:rPr>
        <w:fldChar w:fldCharType="begin"/>
      </w:r>
      <w:r>
        <w:rPr>
          <w:rFonts w:hint="eastAsia"/>
        </w:rPr>
        <w:instrText xml:space="preserve">TOC \o "1-3" \h \u </w:instrText>
      </w:r>
      <w:r>
        <w:rPr>
          <w:rFonts w:hint="eastAsia"/>
        </w:rPr>
        <w:fldChar w:fldCharType="separate"/>
      </w:r>
      <w:r>
        <w:fldChar w:fldCharType="begin"/>
      </w:r>
      <w:r>
        <w:instrText xml:space="preserve"> HYPERLINK \l "_Toc20120" </w:instrText>
      </w:r>
      <w:r>
        <w:fldChar w:fldCharType="separate"/>
      </w:r>
      <w:r>
        <w:rPr>
          <w:rFonts w:hint="eastAsia" w:eastAsia="方正小标宋简体" w:cs="方正小标宋简体"/>
        </w:rPr>
        <w:t>第一部分  部门概况</w:t>
      </w:r>
      <w:r>
        <w:tab/>
      </w:r>
      <w:r>
        <w:fldChar w:fldCharType="begin"/>
      </w:r>
      <w:r>
        <w:instrText xml:space="preserve"> PAGEREF _Toc20120 </w:instrText>
      </w:r>
      <w:r>
        <w:fldChar w:fldCharType="separate"/>
      </w:r>
      <w:r>
        <w:t>1</w:t>
      </w:r>
      <w:r>
        <w:fldChar w:fldCharType="end"/>
      </w:r>
      <w:r>
        <w:fldChar w:fldCharType="end"/>
      </w:r>
    </w:p>
    <w:p w14:paraId="1AEB46BF">
      <w:pPr>
        <w:pStyle w:val="19"/>
        <w:tabs>
          <w:tab w:val="right" w:leader="dot" w:pos="8306"/>
        </w:tabs>
      </w:pPr>
      <w:r>
        <w:fldChar w:fldCharType="begin"/>
      </w:r>
      <w:r>
        <w:instrText xml:space="preserve"> HYPERLINK \l "_Toc7057" </w:instrText>
      </w:r>
      <w:r>
        <w:fldChar w:fldCharType="separate"/>
      </w:r>
      <w:r>
        <w:rPr>
          <w:rFonts w:hint="eastAsia" w:eastAsia="黑体"/>
        </w:rPr>
        <w:t>一、部门职责</w:t>
      </w:r>
      <w:r>
        <w:tab/>
      </w:r>
      <w:r>
        <w:fldChar w:fldCharType="begin"/>
      </w:r>
      <w:r>
        <w:instrText xml:space="preserve"> PAGEREF _Toc7057 </w:instrText>
      </w:r>
      <w:r>
        <w:fldChar w:fldCharType="separate"/>
      </w:r>
      <w:r>
        <w:t>1</w:t>
      </w:r>
      <w:r>
        <w:fldChar w:fldCharType="end"/>
      </w:r>
      <w:r>
        <w:fldChar w:fldCharType="end"/>
      </w:r>
    </w:p>
    <w:p w14:paraId="424D1E5E">
      <w:pPr>
        <w:pStyle w:val="19"/>
        <w:tabs>
          <w:tab w:val="right" w:leader="dot" w:pos="8306"/>
        </w:tabs>
      </w:pPr>
      <w:r>
        <w:fldChar w:fldCharType="begin"/>
      </w:r>
      <w:r>
        <w:instrText xml:space="preserve"> HYPERLINK \l "_Toc8284" </w:instrText>
      </w:r>
      <w:r>
        <w:fldChar w:fldCharType="separate"/>
      </w:r>
      <w:r>
        <w:rPr>
          <w:rFonts w:hint="eastAsia" w:eastAsia="黑体"/>
        </w:rPr>
        <w:t>二、机构设置</w:t>
      </w:r>
      <w:r>
        <w:tab/>
      </w:r>
      <w:r>
        <w:fldChar w:fldCharType="begin"/>
      </w:r>
      <w:r>
        <w:instrText xml:space="preserve"> PAGEREF _Toc8284 </w:instrText>
      </w:r>
      <w:r>
        <w:fldChar w:fldCharType="separate"/>
      </w:r>
      <w:r>
        <w:t>1</w:t>
      </w:r>
      <w:r>
        <w:fldChar w:fldCharType="end"/>
      </w:r>
      <w:r>
        <w:fldChar w:fldCharType="end"/>
      </w:r>
    </w:p>
    <w:p w14:paraId="7A6EEB2C">
      <w:pPr>
        <w:pStyle w:val="16"/>
        <w:tabs>
          <w:tab w:val="right" w:leader="dot" w:pos="8306"/>
        </w:tabs>
      </w:pPr>
      <w:r>
        <w:fldChar w:fldCharType="begin"/>
      </w:r>
      <w:r>
        <w:instrText xml:space="preserve"> HYPERLINK \l "_Toc20677" </w:instrText>
      </w:r>
      <w:r>
        <w:fldChar w:fldCharType="separate"/>
      </w:r>
      <w:r>
        <w:rPr>
          <w:rFonts w:hint="eastAsia" w:eastAsia="方正小标宋简体" w:cs="方正小标宋简体"/>
        </w:rPr>
        <w:t>第二部分  2025年度部门决算情况说明</w:t>
      </w:r>
      <w:r>
        <w:tab/>
      </w:r>
      <w:r>
        <w:rPr>
          <w:rFonts w:hint="eastAsia"/>
          <w:lang w:val="en-US" w:eastAsia="zh-CN"/>
        </w:rPr>
        <w:t>2</w:t>
      </w:r>
      <w:r>
        <w:fldChar w:fldCharType="end"/>
      </w:r>
    </w:p>
    <w:p w14:paraId="40BFE0CE">
      <w:pPr>
        <w:pStyle w:val="19"/>
        <w:tabs>
          <w:tab w:val="right" w:leader="dot" w:pos="8306"/>
        </w:tabs>
      </w:pPr>
      <w:r>
        <w:fldChar w:fldCharType="begin"/>
      </w:r>
      <w:r>
        <w:instrText xml:space="preserve"> HYPERLINK \l "_Toc15712" </w:instrText>
      </w:r>
      <w:r>
        <w:fldChar w:fldCharType="separate"/>
      </w:r>
      <w:r>
        <w:rPr>
          <w:rFonts w:hint="eastAsia" w:ascii="黑体" w:hAnsi="黑体" w:eastAsia="黑体" w:cs="黑体"/>
        </w:rPr>
        <w:t>一、收入支出决算总体情况说明</w:t>
      </w:r>
      <w:r>
        <w:tab/>
      </w:r>
      <w:r>
        <w:rPr>
          <w:rFonts w:hint="eastAsia"/>
          <w:lang w:val="en-US" w:eastAsia="zh-CN"/>
        </w:rPr>
        <w:t>2</w:t>
      </w:r>
      <w:r>
        <w:fldChar w:fldCharType="end"/>
      </w:r>
    </w:p>
    <w:p w14:paraId="68D5E132">
      <w:pPr>
        <w:pStyle w:val="19"/>
        <w:tabs>
          <w:tab w:val="right" w:leader="dot" w:pos="8306"/>
        </w:tabs>
      </w:pPr>
      <w:r>
        <w:fldChar w:fldCharType="begin"/>
      </w:r>
      <w:r>
        <w:instrText xml:space="preserve"> HYPERLINK \l "_Toc3966" </w:instrText>
      </w:r>
      <w:r>
        <w:fldChar w:fldCharType="separate"/>
      </w:r>
      <w:r>
        <w:rPr>
          <w:rFonts w:hint="eastAsia" w:ascii="黑体" w:hAnsi="黑体" w:eastAsia="黑体" w:cs="黑体"/>
        </w:rPr>
        <w:t>二、收入决算情况说明</w:t>
      </w:r>
      <w:r>
        <w:tab/>
      </w:r>
      <w:r>
        <w:rPr>
          <w:rFonts w:hint="eastAsia"/>
          <w:lang w:val="en-US" w:eastAsia="zh-CN"/>
        </w:rPr>
        <w:t>2</w:t>
      </w:r>
      <w:r>
        <w:fldChar w:fldCharType="end"/>
      </w:r>
    </w:p>
    <w:p w14:paraId="661F2060">
      <w:pPr>
        <w:pStyle w:val="19"/>
        <w:tabs>
          <w:tab w:val="right" w:leader="dot" w:pos="8306"/>
        </w:tabs>
      </w:pPr>
      <w:r>
        <w:fldChar w:fldCharType="begin"/>
      </w:r>
      <w:r>
        <w:instrText xml:space="preserve"> HYPERLINK \l "_Toc23814" </w:instrText>
      </w:r>
      <w:r>
        <w:fldChar w:fldCharType="separate"/>
      </w:r>
      <w:r>
        <w:rPr>
          <w:rFonts w:hint="eastAsia" w:ascii="黑体" w:hAnsi="黑体" w:eastAsia="黑体" w:cs="黑体"/>
        </w:rPr>
        <w:t>三、支出决算情况说明</w:t>
      </w:r>
      <w:r>
        <w:tab/>
      </w:r>
      <w:r>
        <w:rPr>
          <w:rFonts w:hint="eastAsia"/>
          <w:lang w:val="en-US" w:eastAsia="zh-CN"/>
        </w:rPr>
        <w:t>3</w:t>
      </w:r>
      <w:r>
        <w:fldChar w:fldCharType="end"/>
      </w:r>
    </w:p>
    <w:p w14:paraId="45C687DD">
      <w:pPr>
        <w:pStyle w:val="19"/>
        <w:tabs>
          <w:tab w:val="right" w:leader="dot" w:pos="8306"/>
        </w:tabs>
      </w:pPr>
      <w:r>
        <w:fldChar w:fldCharType="begin"/>
      </w:r>
      <w:r>
        <w:instrText xml:space="preserve"> HYPERLINK \l "_Toc17847" </w:instrText>
      </w:r>
      <w:r>
        <w:fldChar w:fldCharType="separate"/>
      </w:r>
      <w:r>
        <w:rPr>
          <w:rFonts w:hint="eastAsia" w:ascii="黑体" w:hAnsi="黑体" w:eastAsia="黑体" w:cs="黑体"/>
        </w:rPr>
        <w:t>四、财政拨款收入支出决算总体情况说明</w:t>
      </w:r>
      <w:r>
        <w:tab/>
      </w:r>
      <w:r>
        <w:rPr>
          <w:rFonts w:hint="eastAsia"/>
          <w:lang w:val="en-US" w:eastAsia="zh-CN"/>
        </w:rPr>
        <w:t>4</w:t>
      </w:r>
      <w:r>
        <w:fldChar w:fldCharType="end"/>
      </w:r>
    </w:p>
    <w:p w14:paraId="5B9338BC">
      <w:pPr>
        <w:pStyle w:val="19"/>
        <w:tabs>
          <w:tab w:val="right" w:leader="dot" w:pos="8306"/>
        </w:tabs>
      </w:pPr>
      <w:r>
        <w:fldChar w:fldCharType="begin"/>
      </w:r>
      <w:r>
        <w:instrText xml:space="preserve"> HYPERLINK \l "_Toc250" </w:instrText>
      </w:r>
      <w:r>
        <w:fldChar w:fldCharType="separate"/>
      </w:r>
      <w:r>
        <w:rPr>
          <w:rFonts w:hint="eastAsia" w:ascii="黑体" w:hAnsi="黑体" w:eastAsia="黑体" w:cs="黑体"/>
        </w:rPr>
        <w:t>五、一般公共预算财政拨款支出决算情况说明</w:t>
      </w:r>
      <w:r>
        <w:tab/>
      </w:r>
      <w:r>
        <w:rPr>
          <w:rFonts w:hint="eastAsia"/>
          <w:lang w:val="en-US" w:eastAsia="zh-CN"/>
        </w:rPr>
        <w:t>5</w:t>
      </w:r>
      <w:r>
        <w:fldChar w:fldCharType="end"/>
      </w:r>
    </w:p>
    <w:p w14:paraId="4BFDCC79">
      <w:pPr>
        <w:pStyle w:val="11"/>
        <w:tabs>
          <w:tab w:val="right" w:leader="dot" w:pos="8306"/>
        </w:tabs>
      </w:pPr>
      <w:r>
        <w:fldChar w:fldCharType="begin"/>
      </w:r>
      <w:r>
        <w:instrText xml:space="preserve"> HYPERLINK \l "_Toc29599" </w:instrText>
      </w:r>
      <w:r>
        <w:fldChar w:fldCharType="separate"/>
      </w:r>
      <w:r>
        <w:rPr>
          <w:rFonts w:hint="eastAsia" w:eastAsia="楷体_GB2312" w:cs="楷体_GB2312"/>
          <w:szCs w:val="32"/>
        </w:rPr>
        <w:t>（一）一般公共预算财政拨款支出决算总体情况</w:t>
      </w:r>
      <w:r>
        <w:tab/>
      </w:r>
      <w:r>
        <w:rPr>
          <w:rFonts w:hint="eastAsia"/>
          <w:lang w:val="en-US" w:eastAsia="zh-CN"/>
        </w:rPr>
        <w:t>5</w:t>
      </w:r>
      <w:r>
        <w:fldChar w:fldCharType="end"/>
      </w:r>
    </w:p>
    <w:p w14:paraId="7EDB23C7">
      <w:pPr>
        <w:pStyle w:val="11"/>
        <w:tabs>
          <w:tab w:val="right" w:leader="dot" w:pos="8306"/>
        </w:tabs>
      </w:pPr>
      <w:r>
        <w:fldChar w:fldCharType="begin"/>
      </w:r>
      <w:r>
        <w:instrText xml:space="preserve"> HYPERLINK \l "_Toc24856" </w:instrText>
      </w:r>
      <w:r>
        <w:fldChar w:fldCharType="separate"/>
      </w:r>
      <w:r>
        <w:rPr>
          <w:rFonts w:hint="eastAsia" w:eastAsia="楷体_GB2312" w:cs="楷体_GB2312"/>
          <w:szCs w:val="32"/>
        </w:rPr>
        <w:t>（二）一般公共预算财政拨款支出决算结构情况</w:t>
      </w:r>
      <w:r>
        <w:tab/>
      </w:r>
      <w:r>
        <w:rPr>
          <w:rFonts w:hint="eastAsia"/>
          <w:lang w:val="en-US" w:eastAsia="zh-CN"/>
        </w:rPr>
        <w:t>5</w:t>
      </w:r>
      <w:r>
        <w:fldChar w:fldCharType="end"/>
      </w:r>
    </w:p>
    <w:p w14:paraId="4B6F1053">
      <w:pPr>
        <w:pStyle w:val="11"/>
        <w:tabs>
          <w:tab w:val="right" w:leader="dot" w:pos="8306"/>
        </w:tabs>
      </w:pPr>
      <w:r>
        <w:fldChar w:fldCharType="begin"/>
      </w:r>
      <w:r>
        <w:instrText xml:space="preserve"> HYPERLINK \l "_Toc28769" </w:instrText>
      </w:r>
      <w:r>
        <w:fldChar w:fldCharType="separate"/>
      </w:r>
      <w:r>
        <w:rPr>
          <w:rFonts w:hint="eastAsia" w:eastAsia="楷体_GB2312" w:cs="楷体_GB2312"/>
          <w:szCs w:val="32"/>
        </w:rPr>
        <w:t>（三）一般公共预算财政拨款支出决算具体情况</w:t>
      </w:r>
      <w:r>
        <w:tab/>
      </w:r>
      <w:r>
        <w:rPr>
          <w:rFonts w:hint="eastAsia"/>
          <w:lang w:val="en-US" w:eastAsia="zh-CN"/>
        </w:rPr>
        <w:t>6</w:t>
      </w:r>
      <w:r>
        <w:fldChar w:fldCharType="end"/>
      </w:r>
    </w:p>
    <w:p w14:paraId="68383243">
      <w:pPr>
        <w:pStyle w:val="19"/>
        <w:tabs>
          <w:tab w:val="right" w:leader="dot" w:pos="8306"/>
        </w:tabs>
      </w:pPr>
      <w:r>
        <w:fldChar w:fldCharType="begin"/>
      </w:r>
      <w:r>
        <w:instrText xml:space="preserve"> HYPERLINK \l "_Toc920" </w:instrText>
      </w:r>
      <w:r>
        <w:fldChar w:fldCharType="separate"/>
      </w:r>
      <w:r>
        <w:rPr>
          <w:rFonts w:hint="eastAsia" w:ascii="黑体" w:hAnsi="黑体" w:eastAsia="黑体" w:cs="黑体"/>
        </w:rPr>
        <w:t>六、一般公共预算财政拨款基本支出决算情况说明</w:t>
      </w:r>
      <w:r>
        <w:tab/>
      </w:r>
      <w:r>
        <w:rPr>
          <w:rFonts w:hint="eastAsia"/>
          <w:lang w:val="en-US" w:eastAsia="zh-CN"/>
        </w:rPr>
        <w:t>7</w:t>
      </w:r>
      <w:r>
        <w:fldChar w:fldCharType="end"/>
      </w:r>
    </w:p>
    <w:p w14:paraId="5F8F8331">
      <w:pPr>
        <w:pStyle w:val="19"/>
        <w:tabs>
          <w:tab w:val="right" w:leader="dot" w:pos="8306"/>
        </w:tabs>
      </w:pPr>
      <w:r>
        <w:fldChar w:fldCharType="begin"/>
      </w:r>
      <w:r>
        <w:instrText xml:space="preserve"> HYPERLINK \l "_Toc28203" </w:instrText>
      </w:r>
      <w:r>
        <w:fldChar w:fldCharType="separate"/>
      </w:r>
      <w:r>
        <w:rPr>
          <w:rFonts w:hint="eastAsia" w:ascii="黑体" w:hAnsi="黑体" w:eastAsia="黑体" w:cs="黑体"/>
        </w:rPr>
        <w:t>七、财政拨款“三公”经费支出决算情况说明</w:t>
      </w:r>
      <w:r>
        <w:tab/>
      </w:r>
      <w:r>
        <w:rPr>
          <w:rFonts w:hint="eastAsia"/>
          <w:lang w:val="en-US" w:eastAsia="zh-CN"/>
        </w:rPr>
        <w:t>8</w:t>
      </w:r>
      <w:r>
        <w:fldChar w:fldCharType="end"/>
      </w:r>
    </w:p>
    <w:p w14:paraId="4607E028">
      <w:pPr>
        <w:pStyle w:val="11"/>
        <w:tabs>
          <w:tab w:val="right" w:leader="dot" w:pos="8306"/>
        </w:tabs>
      </w:pPr>
      <w:r>
        <w:fldChar w:fldCharType="begin"/>
      </w:r>
      <w:r>
        <w:instrText xml:space="preserve"> HYPERLINK \l "_Toc19325" </w:instrText>
      </w:r>
      <w:r>
        <w:fldChar w:fldCharType="separate"/>
      </w:r>
      <w:r>
        <w:rPr>
          <w:rFonts w:hint="eastAsia" w:eastAsia="楷体_GB2312" w:cs="楷体_GB2312"/>
          <w:szCs w:val="32"/>
        </w:rPr>
        <w:t>（一）“三公”经费财政拨款支出决算总体情况说明</w:t>
      </w:r>
      <w:r>
        <w:tab/>
      </w:r>
      <w:r>
        <w:rPr>
          <w:rFonts w:hint="eastAsia"/>
          <w:lang w:val="en-US" w:eastAsia="zh-CN"/>
        </w:rPr>
        <w:t>8</w:t>
      </w:r>
      <w:r>
        <w:fldChar w:fldCharType="end"/>
      </w:r>
    </w:p>
    <w:p w14:paraId="6F4EA8F8">
      <w:pPr>
        <w:pStyle w:val="11"/>
        <w:tabs>
          <w:tab w:val="right" w:leader="dot" w:pos="8306"/>
        </w:tabs>
      </w:pPr>
      <w:r>
        <w:fldChar w:fldCharType="begin"/>
      </w:r>
      <w:r>
        <w:instrText xml:space="preserve"> HYPERLINK \l "_Toc32596" </w:instrText>
      </w:r>
      <w:r>
        <w:fldChar w:fldCharType="separate"/>
      </w:r>
      <w:r>
        <w:rPr>
          <w:rFonts w:hint="eastAsia" w:eastAsia="楷体_GB2312" w:cs="楷体_GB2312"/>
          <w:szCs w:val="32"/>
        </w:rPr>
        <w:t>（二）“三公”经费财政拨款支出决算具体情况说明</w:t>
      </w:r>
      <w:r>
        <w:tab/>
      </w:r>
      <w:r>
        <w:rPr>
          <w:rFonts w:hint="eastAsia"/>
          <w:lang w:val="en-US" w:eastAsia="zh-CN"/>
        </w:rPr>
        <w:t>8</w:t>
      </w:r>
      <w:r>
        <w:fldChar w:fldCharType="end"/>
      </w:r>
    </w:p>
    <w:p w14:paraId="521B72CF">
      <w:pPr>
        <w:pStyle w:val="19"/>
        <w:tabs>
          <w:tab w:val="right" w:leader="dot" w:pos="8306"/>
        </w:tabs>
        <w:rPr>
          <w:rFonts w:hint="eastAsia" w:eastAsia="宋体"/>
          <w:lang w:val="en-US" w:eastAsia="zh-CN"/>
        </w:rPr>
      </w:pPr>
      <w:r>
        <w:fldChar w:fldCharType="begin"/>
      </w:r>
      <w:r>
        <w:instrText xml:space="preserve"> HYPERLINK \l "_Toc22426" </w:instrText>
      </w:r>
      <w:r>
        <w:fldChar w:fldCharType="separate"/>
      </w:r>
      <w:r>
        <w:rPr>
          <w:rFonts w:hint="eastAsia" w:ascii="黑体" w:hAnsi="黑体" w:eastAsia="黑体" w:cs="黑体"/>
        </w:rPr>
        <w:t>八、政府性基金预算支出决算情况说明</w:t>
      </w:r>
      <w:r>
        <w:tab/>
      </w:r>
      <w:r>
        <w:rPr>
          <w:rFonts w:hint="eastAsia"/>
          <w:lang w:val="en-US" w:eastAsia="zh-CN"/>
        </w:rPr>
        <w:t>1</w:t>
      </w:r>
      <w:r>
        <w:fldChar w:fldCharType="end"/>
      </w:r>
      <w:r>
        <w:rPr>
          <w:rFonts w:hint="eastAsia"/>
          <w:lang w:val="en-US" w:eastAsia="zh-CN"/>
        </w:rPr>
        <w:t>0</w:t>
      </w:r>
    </w:p>
    <w:p w14:paraId="2F49D309">
      <w:pPr>
        <w:pStyle w:val="19"/>
        <w:tabs>
          <w:tab w:val="right" w:leader="dot" w:pos="8306"/>
        </w:tabs>
        <w:rPr>
          <w:rFonts w:hint="eastAsia" w:eastAsia="宋体"/>
          <w:lang w:val="en-US" w:eastAsia="zh-CN"/>
        </w:rPr>
      </w:pPr>
      <w:r>
        <w:fldChar w:fldCharType="begin"/>
      </w:r>
      <w:r>
        <w:instrText xml:space="preserve"> HYPERLINK \l "_Toc11733" </w:instrText>
      </w:r>
      <w:r>
        <w:fldChar w:fldCharType="separate"/>
      </w:r>
      <w:r>
        <w:rPr>
          <w:rFonts w:hint="eastAsia" w:ascii="黑体" w:hAnsi="黑体" w:eastAsia="黑体" w:cs="黑体"/>
        </w:rPr>
        <w:t>九、国有资本经营预算支出决算情况说明</w:t>
      </w:r>
      <w:r>
        <w:tab/>
      </w:r>
      <w:r>
        <w:rPr>
          <w:rFonts w:hint="eastAsia"/>
          <w:lang w:val="en-US" w:eastAsia="zh-CN"/>
        </w:rPr>
        <w:t>1</w:t>
      </w:r>
      <w:r>
        <w:fldChar w:fldCharType="end"/>
      </w:r>
      <w:r>
        <w:rPr>
          <w:rFonts w:hint="eastAsia"/>
          <w:lang w:val="en-US" w:eastAsia="zh-CN"/>
        </w:rPr>
        <w:t>0</w:t>
      </w:r>
    </w:p>
    <w:p w14:paraId="07A8FD1A">
      <w:pPr>
        <w:pStyle w:val="19"/>
        <w:tabs>
          <w:tab w:val="right" w:leader="dot" w:pos="8306"/>
        </w:tabs>
        <w:rPr>
          <w:rFonts w:hint="eastAsia" w:eastAsia="宋体"/>
          <w:lang w:val="en-US" w:eastAsia="zh-CN"/>
        </w:rPr>
      </w:pPr>
      <w:r>
        <w:fldChar w:fldCharType="begin"/>
      </w:r>
      <w:r>
        <w:instrText xml:space="preserve"> HYPERLINK \l "_Toc7854" </w:instrText>
      </w:r>
      <w:r>
        <w:fldChar w:fldCharType="separate"/>
      </w:r>
      <w:r>
        <w:rPr>
          <w:rFonts w:hint="eastAsia" w:ascii="黑体" w:hAnsi="黑体" w:eastAsia="黑体" w:cs="黑体"/>
        </w:rPr>
        <w:t>十、其他重要事项的情况说明</w:t>
      </w:r>
      <w:r>
        <w:tab/>
      </w:r>
      <w:r>
        <w:rPr>
          <w:rFonts w:hint="eastAsia"/>
          <w:lang w:val="en-US" w:eastAsia="zh-CN"/>
        </w:rPr>
        <w:t>1</w:t>
      </w:r>
      <w:r>
        <w:fldChar w:fldCharType="end"/>
      </w:r>
      <w:r>
        <w:rPr>
          <w:rFonts w:hint="eastAsia"/>
          <w:lang w:val="en-US" w:eastAsia="zh-CN"/>
        </w:rPr>
        <w:t>0</w:t>
      </w:r>
    </w:p>
    <w:p w14:paraId="68E706B5">
      <w:pPr>
        <w:pStyle w:val="11"/>
        <w:tabs>
          <w:tab w:val="right" w:leader="dot" w:pos="8306"/>
        </w:tabs>
        <w:rPr>
          <w:rFonts w:hint="eastAsia" w:eastAsia="宋体"/>
          <w:lang w:val="en-US" w:eastAsia="zh-CN"/>
        </w:rPr>
      </w:pPr>
      <w:r>
        <w:fldChar w:fldCharType="begin"/>
      </w:r>
      <w:r>
        <w:instrText xml:space="preserve"> HYPERLINK \l "_Toc32629" </w:instrText>
      </w:r>
      <w:r>
        <w:fldChar w:fldCharType="separate"/>
      </w:r>
      <w:r>
        <w:rPr>
          <w:rFonts w:hint="eastAsia" w:eastAsia="楷体_GB2312" w:cs="楷体_GB2312"/>
          <w:szCs w:val="32"/>
        </w:rPr>
        <w:t>（一）机关运行经费支出情况</w:t>
      </w:r>
      <w:r>
        <w:tab/>
      </w:r>
      <w:r>
        <w:rPr>
          <w:rFonts w:hint="eastAsia"/>
          <w:lang w:val="en-US" w:eastAsia="zh-CN"/>
        </w:rPr>
        <w:t>1</w:t>
      </w:r>
      <w:r>
        <w:fldChar w:fldCharType="end"/>
      </w:r>
      <w:r>
        <w:rPr>
          <w:rFonts w:hint="eastAsia"/>
          <w:lang w:val="en-US" w:eastAsia="zh-CN"/>
        </w:rPr>
        <w:t>0</w:t>
      </w:r>
    </w:p>
    <w:p w14:paraId="2705A127">
      <w:pPr>
        <w:pStyle w:val="11"/>
        <w:tabs>
          <w:tab w:val="right" w:leader="dot" w:pos="8306"/>
        </w:tabs>
        <w:rPr>
          <w:rFonts w:hint="eastAsia" w:eastAsia="宋体"/>
          <w:lang w:val="en-US" w:eastAsia="zh-CN"/>
        </w:rPr>
      </w:pPr>
      <w:r>
        <w:fldChar w:fldCharType="begin"/>
      </w:r>
      <w:r>
        <w:instrText xml:space="preserve"> HYPERLINK \l "_Toc22879" </w:instrText>
      </w:r>
      <w:r>
        <w:fldChar w:fldCharType="separate"/>
      </w:r>
      <w:r>
        <w:rPr>
          <w:rFonts w:hint="eastAsia" w:eastAsia="楷体_GB2312" w:cs="楷体_GB2312"/>
          <w:szCs w:val="32"/>
        </w:rPr>
        <w:t>（二）政府采购支出情况</w:t>
      </w:r>
      <w:r>
        <w:tab/>
      </w:r>
      <w:r>
        <w:rPr>
          <w:rFonts w:hint="eastAsia"/>
          <w:lang w:val="en-US" w:eastAsia="zh-CN"/>
        </w:rPr>
        <w:t>1</w:t>
      </w:r>
      <w:r>
        <w:fldChar w:fldCharType="end"/>
      </w:r>
      <w:r>
        <w:rPr>
          <w:rFonts w:hint="eastAsia"/>
          <w:lang w:val="en-US" w:eastAsia="zh-CN"/>
        </w:rPr>
        <w:t>0</w:t>
      </w:r>
    </w:p>
    <w:p w14:paraId="08569B09">
      <w:pPr>
        <w:pStyle w:val="11"/>
        <w:tabs>
          <w:tab w:val="right" w:leader="dot" w:pos="8306"/>
        </w:tabs>
        <w:rPr>
          <w:rFonts w:hint="eastAsia" w:eastAsia="宋体"/>
          <w:lang w:val="en-US" w:eastAsia="zh-CN"/>
        </w:rPr>
      </w:pPr>
      <w:r>
        <w:fldChar w:fldCharType="begin"/>
      </w:r>
      <w:r>
        <w:instrText xml:space="preserve"> HYPERLINK \l "_Toc21583" </w:instrText>
      </w:r>
      <w:r>
        <w:fldChar w:fldCharType="separate"/>
      </w:r>
      <w:r>
        <w:rPr>
          <w:rFonts w:hint="eastAsia" w:eastAsia="楷体_GB2312" w:cs="楷体_GB2312"/>
          <w:szCs w:val="32"/>
        </w:rPr>
        <w:t>（三）国有资产占有使用情况</w:t>
      </w:r>
      <w:r>
        <w:tab/>
      </w:r>
      <w:r>
        <w:rPr>
          <w:rFonts w:hint="eastAsia"/>
          <w:lang w:val="en-US" w:eastAsia="zh-CN"/>
        </w:rPr>
        <w:t>1</w:t>
      </w:r>
      <w:r>
        <w:fldChar w:fldCharType="end"/>
      </w:r>
      <w:r>
        <w:rPr>
          <w:rFonts w:hint="eastAsia"/>
          <w:lang w:val="en-US" w:eastAsia="zh-CN"/>
        </w:rPr>
        <w:t>0</w:t>
      </w:r>
    </w:p>
    <w:p w14:paraId="54A9469C">
      <w:pPr>
        <w:pStyle w:val="11"/>
        <w:tabs>
          <w:tab w:val="right" w:leader="dot" w:pos="8306"/>
        </w:tabs>
        <w:rPr>
          <w:rFonts w:hint="eastAsia" w:eastAsia="宋体"/>
          <w:lang w:val="en-US" w:eastAsia="zh-CN"/>
        </w:rPr>
      </w:pPr>
      <w:r>
        <w:fldChar w:fldCharType="begin"/>
      </w:r>
      <w:r>
        <w:instrText xml:space="preserve"> HYPERLINK \l "_Toc4389" </w:instrText>
      </w:r>
      <w:r>
        <w:fldChar w:fldCharType="separate"/>
      </w:r>
      <w:r>
        <w:rPr>
          <w:rFonts w:hint="eastAsia" w:eastAsia="楷体_GB2312" w:cs="楷体_GB2312"/>
          <w:szCs w:val="32"/>
        </w:rPr>
        <w:t>（四）预算绩效管理情况</w:t>
      </w:r>
      <w:r>
        <w:tab/>
      </w:r>
      <w:r>
        <w:rPr>
          <w:rFonts w:hint="eastAsia"/>
          <w:lang w:val="en-US" w:eastAsia="zh-CN"/>
        </w:rPr>
        <w:t>1</w:t>
      </w:r>
      <w:r>
        <w:fldChar w:fldCharType="end"/>
      </w:r>
      <w:r>
        <w:rPr>
          <w:rFonts w:hint="eastAsia"/>
          <w:lang w:val="en-US" w:eastAsia="zh-CN"/>
        </w:rPr>
        <w:t>1</w:t>
      </w:r>
    </w:p>
    <w:p w14:paraId="1247D481">
      <w:pPr>
        <w:pStyle w:val="16"/>
        <w:tabs>
          <w:tab w:val="right" w:leader="dot" w:pos="8306"/>
        </w:tabs>
        <w:rPr>
          <w:rFonts w:hint="eastAsia" w:eastAsia="宋体"/>
          <w:lang w:val="en-US" w:eastAsia="zh-CN"/>
        </w:rPr>
      </w:pPr>
      <w:r>
        <w:fldChar w:fldCharType="begin"/>
      </w:r>
      <w:r>
        <w:instrText xml:space="preserve"> HYPERLINK \l "_Toc15011" </w:instrText>
      </w:r>
      <w:r>
        <w:fldChar w:fldCharType="separate"/>
      </w:r>
      <w:r>
        <w:rPr>
          <w:rFonts w:hint="eastAsia" w:ascii="方正小标宋简体" w:hAnsi="方正小标宋简体" w:eastAsia="方正小标宋简体" w:cs="方正小标宋简体"/>
        </w:rPr>
        <w:t>第三部分  名词解释</w:t>
      </w:r>
      <w:r>
        <w:tab/>
      </w:r>
      <w:r>
        <w:rPr>
          <w:rFonts w:hint="eastAsia"/>
          <w:lang w:val="en-US" w:eastAsia="zh-CN"/>
        </w:rPr>
        <w:t>1</w:t>
      </w:r>
      <w:r>
        <w:fldChar w:fldCharType="end"/>
      </w:r>
      <w:r>
        <w:rPr>
          <w:rFonts w:hint="eastAsia"/>
          <w:lang w:val="en-US" w:eastAsia="zh-CN"/>
        </w:rPr>
        <w:t>2</w:t>
      </w:r>
    </w:p>
    <w:p w14:paraId="0EB6EE8E">
      <w:pPr>
        <w:pStyle w:val="16"/>
        <w:tabs>
          <w:tab w:val="right" w:leader="dot" w:pos="8306"/>
        </w:tabs>
        <w:rPr>
          <w:rFonts w:hint="eastAsia" w:eastAsia="宋体"/>
          <w:lang w:val="en-US" w:eastAsia="zh-CN"/>
        </w:rPr>
      </w:pPr>
      <w:r>
        <w:fldChar w:fldCharType="begin"/>
      </w:r>
      <w:r>
        <w:instrText xml:space="preserve"> HYPERLINK \l "_Toc9051" </w:instrText>
      </w:r>
      <w:r>
        <w:fldChar w:fldCharType="separate"/>
      </w:r>
      <w:r>
        <w:rPr>
          <w:rFonts w:hint="eastAsia" w:ascii="方正小标宋简体" w:hAnsi="方正小标宋简体" w:eastAsia="方正小标宋简体" w:cs="方正小标宋简体"/>
          <w:szCs w:val="44"/>
        </w:rPr>
        <w:t>第四部分  附件</w:t>
      </w:r>
      <w:r>
        <w:tab/>
      </w:r>
      <w:r>
        <w:rPr>
          <w:rFonts w:hint="eastAsia"/>
          <w:lang w:val="en-US" w:eastAsia="zh-CN"/>
        </w:rPr>
        <w:t>1</w:t>
      </w:r>
      <w:r>
        <w:fldChar w:fldCharType="end"/>
      </w:r>
      <w:r>
        <w:rPr>
          <w:rFonts w:hint="eastAsia"/>
          <w:lang w:val="en-US" w:eastAsia="zh-CN"/>
        </w:rPr>
        <w:t>5</w:t>
      </w:r>
    </w:p>
    <w:p w14:paraId="349487EA">
      <w:pPr>
        <w:pStyle w:val="19"/>
        <w:tabs>
          <w:tab w:val="right" w:leader="dot" w:pos="8306"/>
        </w:tabs>
        <w:rPr>
          <w:rFonts w:hint="eastAsia" w:eastAsia="宋体"/>
          <w:lang w:val="en-US" w:eastAsia="zh-CN"/>
        </w:rPr>
      </w:pPr>
      <w:r>
        <w:fldChar w:fldCharType="begin"/>
      </w:r>
      <w:r>
        <w:instrText xml:space="preserve"> HYPERLINK \l "_Toc27149" </w:instrText>
      </w:r>
      <w:r>
        <w:fldChar w:fldCharType="separate"/>
      </w:r>
      <w:r>
        <w:rPr>
          <w:rFonts w:hint="eastAsia" w:ascii="方正小标宋简体" w:hAnsi="方正小标宋简体" w:eastAsia="方正小标宋简体" w:cs="方正小标宋简体"/>
          <w:szCs w:val="44"/>
        </w:rPr>
        <w:t>九寨沟县人民检察院关于2025年州级部门整体支出绩效评价报告</w:t>
      </w:r>
      <w:r>
        <w:tab/>
      </w:r>
      <w:r>
        <w:rPr>
          <w:rFonts w:hint="eastAsia"/>
          <w:lang w:val="en-US" w:eastAsia="zh-CN"/>
        </w:rPr>
        <w:t>1</w:t>
      </w:r>
      <w:r>
        <w:fldChar w:fldCharType="end"/>
      </w:r>
      <w:r>
        <w:rPr>
          <w:rFonts w:hint="eastAsia"/>
          <w:lang w:val="en-US" w:eastAsia="zh-CN"/>
        </w:rPr>
        <w:t>5</w:t>
      </w:r>
    </w:p>
    <w:p w14:paraId="4CCC23D0">
      <w:pPr>
        <w:pStyle w:val="19"/>
        <w:tabs>
          <w:tab w:val="right" w:leader="dot" w:pos="8306"/>
        </w:tabs>
        <w:rPr>
          <w:rFonts w:hint="eastAsia" w:eastAsia="宋体"/>
          <w:lang w:val="en-US" w:eastAsia="zh-CN"/>
        </w:rPr>
      </w:pPr>
      <w:r>
        <w:fldChar w:fldCharType="begin"/>
      </w:r>
      <w:r>
        <w:instrText xml:space="preserve"> HYPERLINK \l "_Toc16917" </w:instrText>
      </w:r>
      <w:r>
        <w:fldChar w:fldCharType="separate"/>
      </w:r>
      <w:r>
        <w:rPr>
          <w:rFonts w:hint="eastAsia" w:ascii="黑体" w:hAnsi="黑体" w:eastAsia="黑体" w:cs="黑体"/>
          <w:lang w:val="zh-CN"/>
        </w:rPr>
        <w:t>一、部门（单位）基本情况</w:t>
      </w:r>
      <w:r>
        <w:tab/>
      </w:r>
      <w:r>
        <w:rPr>
          <w:rFonts w:hint="eastAsia"/>
          <w:lang w:val="en-US" w:eastAsia="zh-CN"/>
        </w:rPr>
        <w:t>1</w:t>
      </w:r>
      <w:r>
        <w:fldChar w:fldCharType="end"/>
      </w:r>
      <w:r>
        <w:rPr>
          <w:rFonts w:hint="eastAsia"/>
          <w:lang w:val="en-US" w:eastAsia="zh-CN"/>
        </w:rPr>
        <w:t>5</w:t>
      </w:r>
    </w:p>
    <w:p w14:paraId="6F68DC80">
      <w:pPr>
        <w:pStyle w:val="19"/>
        <w:tabs>
          <w:tab w:val="right" w:leader="dot" w:pos="8306"/>
        </w:tabs>
        <w:rPr>
          <w:rFonts w:hint="eastAsia" w:eastAsia="宋体"/>
          <w:lang w:val="en-US" w:eastAsia="zh-CN"/>
        </w:rPr>
      </w:pPr>
      <w:r>
        <w:fldChar w:fldCharType="begin"/>
      </w:r>
      <w:r>
        <w:instrText xml:space="preserve"> HYPERLINK \l "_Toc27033" </w:instrText>
      </w:r>
      <w:r>
        <w:fldChar w:fldCharType="separate"/>
      </w:r>
      <w:r>
        <w:rPr>
          <w:rFonts w:hint="eastAsia" w:ascii="黑体" w:hAnsi="黑体" w:eastAsia="黑体" w:cs="黑体"/>
        </w:rPr>
        <w:t>二、部门资金收支情况</w:t>
      </w:r>
      <w:r>
        <w:tab/>
      </w:r>
      <w:r>
        <w:rPr>
          <w:rFonts w:hint="eastAsia"/>
          <w:lang w:val="en-US" w:eastAsia="zh-CN"/>
        </w:rPr>
        <w:t>1</w:t>
      </w:r>
      <w:r>
        <w:fldChar w:fldCharType="end"/>
      </w:r>
      <w:r>
        <w:rPr>
          <w:rFonts w:hint="eastAsia"/>
          <w:lang w:val="en-US" w:eastAsia="zh-CN"/>
        </w:rPr>
        <w:t>6</w:t>
      </w:r>
    </w:p>
    <w:p w14:paraId="63B78633">
      <w:pPr>
        <w:pStyle w:val="19"/>
        <w:tabs>
          <w:tab w:val="right" w:leader="dot" w:pos="8306"/>
        </w:tabs>
        <w:rPr>
          <w:rFonts w:hint="eastAsia" w:eastAsia="宋体"/>
          <w:lang w:val="en-US" w:eastAsia="zh-CN"/>
        </w:rPr>
      </w:pPr>
      <w:r>
        <w:fldChar w:fldCharType="begin"/>
      </w:r>
      <w:r>
        <w:instrText xml:space="preserve"> HYPERLINK \l "_Toc2154" </w:instrText>
      </w:r>
      <w:r>
        <w:fldChar w:fldCharType="separate"/>
      </w:r>
      <w:r>
        <w:rPr>
          <w:rFonts w:hint="eastAsia" w:ascii="黑体" w:hAnsi="黑体" w:eastAsia="黑体" w:cs="黑体"/>
        </w:rPr>
        <w:t>三、部门预算绩效分析</w:t>
      </w:r>
      <w:r>
        <w:tab/>
      </w:r>
      <w:r>
        <w:rPr>
          <w:rFonts w:hint="eastAsia"/>
          <w:lang w:val="en-US" w:eastAsia="zh-CN"/>
        </w:rPr>
        <w:t>1</w:t>
      </w:r>
      <w:r>
        <w:fldChar w:fldCharType="end"/>
      </w:r>
      <w:r>
        <w:rPr>
          <w:rFonts w:hint="eastAsia"/>
          <w:lang w:val="en-US" w:eastAsia="zh-CN"/>
        </w:rPr>
        <w:t>6</w:t>
      </w:r>
    </w:p>
    <w:p w14:paraId="2CE779B1">
      <w:pPr>
        <w:pStyle w:val="19"/>
        <w:tabs>
          <w:tab w:val="right" w:leader="dot" w:pos="8306"/>
        </w:tabs>
        <w:rPr>
          <w:rFonts w:hint="eastAsia" w:eastAsia="宋体"/>
          <w:lang w:val="en-US" w:eastAsia="zh-CN"/>
        </w:rPr>
      </w:pPr>
      <w:r>
        <w:fldChar w:fldCharType="begin"/>
      </w:r>
      <w:r>
        <w:instrText xml:space="preserve"> HYPERLINK \l "_Toc16203" </w:instrText>
      </w:r>
      <w:r>
        <w:fldChar w:fldCharType="separate"/>
      </w:r>
      <w:r>
        <w:rPr>
          <w:rFonts w:hint="eastAsia"/>
        </w:rPr>
        <w:t>四、评价结论及建议</w:t>
      </w:r>
      <w:r>
        <w:tab/>
      </w:r>
      <w:r>
        <w:rPr>
          <w:rFonts w:hint="eastAsia"/>
          <w:lang w:val="en-US" w:eastAsia="zh-CN"/>
        </w:rPr>
        <w:t>1</w:t>
      </w:r>
      <w:r>
        <w:fldChar w:fldCharType="end"/>
      </w:r>
      <w:r>
        <w:rPr>
          <w:rFonts w:hint="eastAsia"/>
          <w:lang w:val="en-US" w:eastAsia="zh-CN"/>
        </w:rPr>
        <w:t>9</w:t>
      </w:r>
    </w:p>
    <w:p w14:paraId="59B32B15">
      <w:pPr>
        <w:pStyle w:val="16"/>
        <w:tabs>
          <w:tab w:val="right" w:leader="dot" w:pos="8306"/>
        </w:tabs>
        <w:rPr>
          <w:rFonts w:hint="eastAsia" w:eastAsia="宋体"/>
          <w:lang w:val="en-US" w:eastAsia="zh-CN"/>
        </w:rPr>
      </w:pPr>
      <w:r>
        <w:fldChar w:fldCharType="begin"/>
      </w:r>
      <w:r>
        <w:instrText xml:space="preserve"> HYPERLINK \l "_Toc9816" </w:instrText>
      </w:r>
      <w:r>
        <w:fldChar w:fldCharType="separate"/>
      </w:r>
      <w:r>
        <w:rPr>
          <w:rFonts w:hint="eastAsia" w:ascii="方正小标宋简体" w:hAnsi="方正小标宋简体" w:eastAsia="方正小标宋简体" w:cs="方正小标宋简体"/>
        </w:rPr>
        <w:t>第五部分  附表</w:t>
      </w:r>
      <w:r>
        <w:tab/>
      </w:r>
      <w:r>
        <w:rPr>
          <w:rFonts w:hint="eastAsia"/>
          <w:lang w:val="en-US" w:eastAsia="zh-CN"/>
        </w:rPr>
        <w:t>2</w:t>
      </w:r>
      <w:r>
        <w:fldChar w:fldCharType="end"/>
      </w:r>
      <w:r>
        <w:rPr>
          <w:rFonts w:hint="eastAsia"/>
          <w:lang w:val="en-US" w:eastAsia="zh-CN"/>
        </w:rPr>
        <w:t>1</w:t>
      </w:r>
    </w:p>
    <w:p w14:paraId="64ABB204">
      <w:pPr>
        <w:rPr>
          <w:rFonts w:eastAsia="仿宋_GB2312" w:cs="仿宋_GB2312"/>
          <w:bCs/>
          <w:kern w:val="44"/>
          <w:sz w:val="32"/>
          <w:szCs w:val="32"/>
        </w:rPr>
        <w:sectPr>
          <w:footerReference r:id="rId10" w:type="first"/>
          <w:footerReference r:id="rId9" w:type="default"/>
          <w:pgSz w:w="11906" w:h="16838"/>
          <w:pgMar w:top="1440" w:right="1800" w:bottom="1440" w:left="1800" w:header="851" w:footer="992" w:gutter="0"/>
          <w:pgNumType w:start="1"/>
          <w:cols w:space="425" w:num="1"/>
          <w:titlePg/>
          <w:docGrid w:type="lines" w:linePitch="312" w:charSpace="0"/>
        </w:sectPr>
      </w:pPr>
      <w:r>
        <w:rPr>
          <w:rFonts w:hint="eastAsia"/>
        </w:rPr>
        <w:fldChar w:fldCharType="end"/>
      </w:r>
      <w:bookmarkStart w:id="12" w:name="_Toc15377196"/>
      <w:bookmarkStart w:id="13" w:name="_Toc15396599"/>
    </w:p>
    <w:p w14:paraId="6277595C">
      <w:pPr>
        <w:pStyle w:val="5"/>
        <w:jc w:val="center"/>
        <w:rPr>
          <w:rStyle w:val="34"/>
          <w:rFonts w:eastAsia="方正小标宋简体" w:cs="方正小标宋简体"/>
          <w:b/>
          <w:bCs w:val="0"/>
        </w:rPr>
      </w:pPr>
      <w:bookmarkStart w:id="14" w:name="_Toc20120"/>
      <w:r>
        <w:rPr>
          <w:rFonts w:hint="eastAsia" w:eastAsia="方正小标宋简体" w:cs="方正小标宋简体"/>
          <w:b w:val="0"/>
        </w:rPr>
        <w:t xml:space="preserve">第一部分  </w:t>
      </w:r>
      <w:r>
        <w:rPr>
          <w:rStyle w:val="34"/>
          <w:rFonts w:hint="eastAsia" w:eastAsia="方正小标宋简体" w:cs="方正小标宋简体"/>
          <w:b w:val="0"/>
          <w:bCs w:val="0"/>
        </w:rPr>
        <w:t>部门概况</w:t>
      </w:r>
      <w:bookmarkEnd w:id="12"/>
      <w:bookmarkEnd w:id="13"/>
      <w:bookmarkEnd w:id="14"/>
    </w:p>
    <w:p w14:paraId="436294CB">
      <w:pPr>
        <w:widowControl/>
        <w:jc w:val="left"/>
        <w:rPr>
          <w:rFonts w:eastAsia="黑体"/>
          <w:sz w:val="32"/>
          <w:szCs w:val="32"/>
        </w:rPr>
      </w:pPr>
    </w:p>
    <w:p w14:paraId="1F79703A">
      <w:pPr>
        <w:pStyle w:val="6"/>
        <w:ind w:firstLine="640"/>
        <w:rPr>
          <w:rFonts w:ascii="Times New Roman" w:hAnsi="Times New Roman" w:eastAsia="黑体"/>
          <w:b w:val="0"/>
        </w:rPr>
      </w:pPr>
      <w:bookmarkStart w:id="15" w:name="_Toc15377197"/>
      <w:bookmarkStart w:id="16" w:name="_Toc15396600"/>
      <w:bookmarkStart w:id="17" w:name="_Toc7057"/>
      <w:r>
        <w:rPr>
          <w:rFonts w:hint="eastAsia" w:ascii="Times New Roman" w:hAnsi="Times New Roman" w:eastAsia="黑体"/>
          <w:b w:val="0"/>
        </w:rPr>
        <w:t>一、</w:t>
      </w:r>
      <w:bookmarkEnd w:id="15"/>
      <w:bookmarkEnd w:id="16"/>
      <w:r>
        <w:rPr>
          <w:rFonts w:hint="eastAsia" w:ascii="Times New Roman" w:hAnsi="Times New Roman" w:eastAsia="黑体"/>
          <w:b w:val="0"/>
        </w:rPr>
        <w:t>部门职责</w:t>
      </w:r>
      <w:bookmarkEnd w:id="17"/>
    </w:p>
    <w:p w14:paraId="0473035C">
      <w:pPr>
        <w:ind w:firstLine="640" w:firstLineChars="200"/>
      </w:pPr>
      <w:r>
        <w:rPr>
          <w:rFonts w:eastAsia="仿宋"/>
          <w:sz w:val="32"/>
          <w:szCs w:val="32"/>
        </w:rPr>
        <w:t>九寨沟县人民检察院是国家的法律监督机关。对九寨沟县人民代表大会及其常委会负责并报告工作。其主要职责是:依法行使检察权,按照上级人民检察院的总体工作部署,安排我院检察工作任务;依法向县人民代表大会及其常务委员会提出议案;开展对刑事犯罪案件的审查批捕、决定逮捕、提起公诉等工作;依法对刑事诉讼、民事诉讼和行政诉讼实行法律监督,依法开展立案监督、侦查监督,向人民法院提起抗诉或再审检察建议;受理单位和个人的控告、申诉、举报;研究检察工作中的具体法律政策应用问题;负责检察机关对外交流和涉外个案协查工作管理;负责检察机关的队伍建设、思想政治等工作;负责其他应当由县人民检察院承办的事项。</w:t>
      </w:r>
    </w:p>
    <w:p w14:paraId="07D37A6F">
      <w:pPr>
        <w:pStyle w:val="6"/>
        <w:ind w:firstLine="640"/>
        <w:rPr>
          <w:rStyle w:val="35"/>
          <w:rFonts w:ascii="Times New Roman" w:hAnsi="Times New Roman"/>
          <w:b w:val="0"/>
          <w:bCs w:val="0"/>
        </w:rPr>
      </w:pPr>
      <w:bookmarkStart w:id="18" w:name="_Toc15396601"/>
      <w:bookmarkStart w:id="19" w:name="_Toc8284"/>
      <w:bookmarkStart w:id="20" w:name="_Toc15377200"/>
      <w:r>
        <w:rPr>
          <w:rFonts w:hint="eastAsia" w:ascii="Times New Roman" w:hAnsi="Times New Roman" w:eastAsia="黑体"/>
          <w:b w:val="0"/>
        </w:rPr>
        <w:t>二、机</w:t>
      </w:r>
      <w:r>
        <w:rPr>
          <w:rStyle w:val="35"/>
          <w:rFonts w:hint="eastAsia" w:ascii="Times New Roman" w:hAnsi="Times New Roman" w:eastAsia="黑体"/>
          <w:b w:val="0"/>
          <w:bCs w:val="0"/>
        </w:rPr>
        <w:t>构设置</w:t>
      </w:r>
      <w:bookmarkEnd w:id="18"/>
      <w:bookmarkEnd w:id="19"/>
      <w:bookmarkEnd w:id="20"/>
    </w:p>
    <w:p w14:paraId="0CB9E89B">
      <w:pPr>
        <w:ind w:firstLine="800" w:firstLineChars="250"/>
        <w:rPr>
          <w:rFonts w:eastAsia="仿宋_GB2312" w:cs="仿宋_GB2312"/>
          <w:sz w:val="32"/>
          <w:szCs w:val="32"/>
        </w:rPr>
      </w:pPr>
      <w:r>
        <w:rPr>
          <w:rFonts w:hint="eastAsia" w:ascii="仿宋_GB2312" w:hAnsi="仿宋_GB2312" w:eastAsia="仿宋_GB2312" w:cs="仿宋_GB2312"/>
          <w:sz w:val="32"/>
          <w:szCs w:val="32"/>
        </w:rPr>
        <w:t>九寨沟县人民检察院无</w:t>
      </w:r>
      <w:r>
        <w:rPr>
          <w:rFonts w:hint="eastAsia" w:eastAsia="仿宋_GB2312" w:cs="仿宋_GB2312"/>
          <w:sz w:val="32"/>
          <w:szCs w:val="32"/>
        </w:rPr>
        <w:t>下属二级预算单位。</w:t>
      </w:r>
    </w:p>
    <w:p w14:paraId="4BDE7414">
      <w:pPr>
        <w:widowControl/>
        <w:jc w:val="left"/>
        <w:rPr>
          <w:rFonts w:eastAsia="仿宋"/>
          <w:kern w:val="0"/>
          <w:sz w:val="32"/>
          <w:szCs w:val="32"/>
        </w:rPr>
      </w:pPr>
      <w:r>
        <w:rPr>
          <w:rFonts w:eastAsia="仿宋"/>
          <w:sz w:val="32"/>
          <w:szCs w:val="32"/>
        </w:rPr>
        <w:br w:type="page"/>
      </w:r>
    </w:p>
    <w:p w14:paraId="546F942E">
      <w:pPr>
        <w:pStyle w:val="5"/>
        <w:jc w:val="center"/>
        <w:rPr>
          <w:rFonts w:eastAsia="方正小标宋简体" w:cs="方正小标宋简体"/>
          <w:b w:val="0"/>
        </w:rPr>
      </w:pPr>
      <w:bookmarkStart w:id="21" w:name="_Toc15396602"/>
      <w:bookmarkStart w:id="22" w:name="_Toc15377204"/>
      <w:bookmarkStart w:id="23" w:name="_Toc20677"/>
      <w:r>
        <w:rPr>
          <w:rFonts w:hint="eastAsia" w:eastAsia="方正小标宋简体" w:cs="方正小标宋简体"/>
          <w:b w:val="0"/>
        </w:rPr>
        <w:t>第二部分  2025年度部门决算情况说明</w:t>
      </w:r>
      <w:bookmarkEnd w:id="21"/>
      <w:bookmarkEnd w:id="22"/>
      <w:bookmarkEnd w:id="23"/>
    </w:p>
    <w:p w14:paraId="3925DA55"/>
    <w:p w14:paraId="08C791FA">
      <w:pPr>
        <w:pStyle w:val="6"/>
        <w:ind w:firstLine="643"/>
        <w:rPr>
          <w:rFonts w:ascii="黑体" w:hAnsi="黑体" w:eastAsia="黑体" w:cs="黑体"/>
        </w:rPr>
      </w:pPr>
      <w:bookmarkStart w:id="24" w:name="_Toc15377205"/>
      <w:bookmarkStart w:id="25" w:name="_Toc15396603"/>
      <w:bookmarkStart w:id="26" w:name="_Toc15712"/>
      <w:r>
        <w:rPr>
          <w:rFonts w:hint="eastAsia" w:ascii="黑体" w:hAnsi="黑体" w:eastAsia="黑体" w:cs="黑体"/>
        </w:rPr>
        <w:t>一、收入支出决算总体情况说明</w:t>
      </w:r>
      <w:bookmarkEnd w:id="24"/>
      <w:bookmarkEnd w:id="25"/>
      <w:bookmarkEnd w:id="26"/>
    </w:p>
    <w:p w14:paraId="343E45DA">
      <w:pPr>
        <w:ind w:firstLine="640" w:firstLineChars="200"/>
        <w:rPr>
          <w:rFonts w:eastAsia="仿宋_GB2312" w:cs="仿宋_GB2312"/>
          <w:szCs w:val="32"/>
        </w:rPr>
      </w:pPr>
      <w:r>
        <w:rPr>
          <w:rFonts w:hint="eastAsia" w:ascii="仿宋_GB2312" w:hAnsi="仿宋_GB2312" w:eastAsia="仿宋_GB2312" w:cs="仿宋_GB2312"/>
          <w:sz w:val="32"/>
          <w:szCs w:val="32"/>
        </w:rPr>
        <w:t>2025年度收入、支出总计均为1064.82万元。与2024年度相比，收入、支出总计各减少445.39万元，下降29.49%。主要变动原因一是退休1人；二是2025年项目较2024年减少。</w:t>
      </w:r>
    </w:p>
    <w:p w14:paraId="16C68611">
      <w:pPr>
        <w:jc w:val="center"/>
      </w:pPr>
      <w:r>
        <w:drawing>
          <wp:inline distT="0" distB="0" distL="114300" distR="114300">
            <wp:extent cx="4942840" cy="3467100"/>
            <wp:effectExtent l="5080" t="4445" r="5080"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9C624D4">
      <w:pPr>
        <w:jc w:val="center"/>
        <w:rPr>
          <w:rFonts w:eastAsia="仿宋_GB2312" w:cs="仿宋_GB2312"/>
          <w:sz w:val="32"/>
          <w:szCs w:val="32"/>
        </w:rPr>
      </w:pPr>
      <w:r>
        <w:rPr>
          <w:rFonts w:hint="eastAsia" w:eastAsia="仿宋_GB2312" w:cs="仿宋_GB2312"/>
          <w:sz w:val="32"/>
          <w:szCs w:val="32"/>
        </w:rPr>
        <w:t>（图1：收入、支出决算总计变动情况图）（柱状图）</w:t>
      </w:r>
    </w:p>
    <w:p w14:paraId="3731A659">
      <w:pPr>
        <w:pStyle w:val="6"/>
        <w:ind w:firstLine="643"/>
      </w:pPr>
      <w:bookmarkStart w:id="27" w:name="_Toc3966"/>
      <w:bookmarkStart w:id="28" w:name="_Toc15377206"/>
      <w:bookmarkStart w:id="29" w:name="_Toc15396604"/>
      <w:r>
        <w:rPr>
          <w:rFonts w:hint="eastAsia" w:ascii="黑体" w:hAnsi="黑体" w:eastAsia="黑体" w:cs="黑体"/>
        </w:rPr>
        <w:t>二、收入决算情况说明</w:t>
      </w:r>
      <w:bookmarkEnd w:id="27"/>
      <w:bookmarkEnd w:id="28"/>
      <w:bookmarkEnd w:id="29"/>
    </w:p>
    <w:p w14:paraId="325387B7">
      <w:pPr>
        <w:ind w:firstLine="640" w:firstLineChars="200"/>
        <w:rPr>
          <w:rFonts w:eastAsia="仿宋_GB2312" w:cs="仿宋_GB2312"/>
          <w:b/>
          <w:bCs/>
          <w:szCs w:val="32"/>
        </w:rPr>
      </w:pPr>
      <w:r>
        <w:rPr>
          <w:rFonts w:hint="eastAsia" w:ascii="仿宋_GB2312" w:hAnsi="仿宋_GB2312" w:eastAsia="仿宋_GB2312" w:cs="仿宋_GB2312"/>
          <w:sz w:val="32"/>
          <w:szCs w:val="32"/>
        </w:rPr>
        <w:t>2025年度本年收入合计1036.08万元，其中：一般公共预算财政拨款收入816.43万元，占78.8%；政府性基金预算财政拨款收入0万元，占0%；国有资本经营预算财政拨款收入0万元，占0%；上级补助收入0万元，占0%；事业收入0万元，占0%；经营收入0万元，占0%；附属单位上缴收入0万元，占0%；其他收入219.65万元，占21.2%。</w:t>
      </w:r>
    </w:p>
    <w:p w14:paraId="2D83613B">
      <w:pPr>
        <w:jc w:val="center"/>
        <w:rPr>
          <w:rFonts w:eastAsia="仿宋_GB2312" w:cs="仿宋_GB2312"/>
          <w:sz w:val="32"/>
          <w:szCs w:val="32"/>
        </w:rPr>
      </w:pPr>
      <w:r>
        <w:drawing>
          <wp:inline distT="0" distB="0" distL="114300" distR="114300">
            <wp:extent cx="4305300" cy="2743200"/>
            <wp:effectExtent l="4445" t="4445" r="1460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BAA1527">
      <w:pPr>
        <w:ind w:firstLine="800" w:firstLineChars="250"/>
        <w:jc w:val="center"/>
        <w:rPr>
          <w:rFonts w:eastAsia="仿宋_GB2312" w:cs="仿宋_GB2312"/>
          <w:sz w:val="32"/>
          <w:szCs w:val="32"/>
        </w:rPr>
      </w:pPr>
      <w:r>
        <w:rPr>
          <w:rFonts w:hint="eastAsia" w:eastAsia="仿宋_GB2312" w:cs="仿宋_GB2312"/>
          <w:sz w:val="32"/>
          <w:szCs w:val="32"/>
        </w:rPr>
        <w:t>（图2：收入决算结构图）（饼状图）</w:t>
      </w:r>
    </w:p>
    <w:p w14:paraId="2EA304F9">
      <w:pPr>
        <w:pStyle w:val="6"/>
        <w:ind w:firstLine="643"/>
      </w:pPr>
      <w:bookmarkStart w:id="30" w:name="_Toc23814"/>
      <w:bookmarkStart w:id="31" w:name="_Toc15377207"/>
      <w:bookmarkStart w:id="32" w:name="_Toc15396605"/>
      <w:r>
        <w:rPr>
          <w:rFonts w:hint="eastAsia" w:ascii="黑体" w:hAnsi="黑体" w:eastAsia="黑体" w:cs="黑体"/>
        </w:rPr>
        <w:t>三、支出决算情况说明</w:t>
      </w:r>
      <w:bookmarkEnd w:id="30"/>
      <w:bookmarkEnd w:id="31"/>
      <w:bookmarkEnd w:id="32"/>
    </w:p>
    <w:p w14:paraId="08F11CC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2025年度本年支出合计1037</w:t>
      </w:r>
      <w:r>
        <w:rPr>
          <w:rFonts w:hint="eastAsia" w:ascii="仿宋_GB2312" w:hAnsi="仿宋_GB2312" w:eastAsia="仿宋_GB2312" w:cs="仿宋_GB2312"/>
          <w:color w:val="auto"/>
          <w:sz w:val="32"/>
          <w:szCs w:val="32"/>
        </w:rPr>
        <w:t>.0</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万</w:t>
      </w:r>
      <w:r>
        <w:rPr>
          <w:rFonts w:hint="eastAsia" w:ascii="仿宋_GB2312" w:hAnsi="仿宋_GB2312" w:eastAsia="仿宋_GB2312" w:cs="仿宋_GB2312"/>
          <w:sz w:val="32"/>
          <w:szCs w:val="32"/>
        </w:rPr>
        <w:t>元，其中：基本支出819.81万元，占79.05%；项目支出217.23万元，占20.95%；上缴上级支出0万元，占0%；经营支出0万元，占0%；对附属单位补助支出0万元，占0%。</w:t>
      </w:r>
    </w:p>
    <w:p w14:paraId="39CFC67C">
      <w:pPr>
        <w:ind w:firstLine="525" w:firstLineChars="250"/>
        <w:jc w:val="center"/>
        <w:rPr>
          <w:rFonts w:eastAsia="仿宋_GB2312" w:cs="仿宋_GB2312"/>
          <w:sz w:val="32"/>
          <w:szCs w:val="32"/>
        </w:rPr>
      </w:pPr>
      <w:r>
        <w:drawing>
          <wp:inline distT="0" distB="0" distL="114300" distR="114300">
            <wp:extent cx="4135120" cy="2686050"/>
            <wp:effectExtent l="4445" t="4445" r="1333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D0EB067">
      <w:pPr>
        <w:ind w:firstLine="800" w:firstLineChars="250"/>
        <w:jc w:val="center"/>
        <w:rPr>
          <w:rFonts w:eastAsia="仿宋_GB2312" w:cs="仿宋_GB2312"/>
          <w:sz w:val="32"/>
          <w:szCs w:val="32"/>
        </w:rPr>
      </w:pPr>
      <w:r>
        <w:rPr>
          <w:rFonts w:hint="eastAsia" w:eastAsia="仿宋_GB2312" w:cs="仿宋_GB2312"/>
          <w:sz w:val="32"/>
          <w:szCs w:val="32"/>
        </w:rPr>
        <w:t>（图3：支出决算结构图）（饼状图）</w:t>
      </w:r>
    </w:p>
    <w:p w14:paraId="4A60C8E6">
      <w:pPr>
        <w:pStyle w:val="6"/>
        <w:ind w:firstLine="643"/>
        <w:rPr>
          <w:rStyle w:val="35"/>
          <w:rFonts w:ascii="黑体" w:hAnsi="黑体" w:eastAsia="黑体" w:cs="黑体"/>
          <w:b w:val="0"/>
          <w:bCs/>
        </w:rPr>
      </w:pPr>
      <w:bookmarkStart w:id="33" w:name="_Toc15396606"/>
      <w:bookmarkStart w:id="34" w:name="_Toc17847"/>
      <w:bookmarkStart w:id="35" w:name="_Toc15377208"/>
      <w:r>
        <w:rPr>
          <w:rFonts w:hint="eastAsia" w:ascii="黑体" w:hAnsi="黑体" w:eastAsia="黑体" w:cs="黑体"/>
        </w:rPr>
        <w:t>四、财政拨款收入支出决算总体情况说明</w:t>
      </w:r>
      <w:bookmarkEnd w:id="33"/>
      <w:bookmarkEnd w:id="34"/>
      <w:bookmarkEnd w:id="35"/>
    </w:p>
    <w:p w14:paraId="614F8A08">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2025年度财政拨款收入支出均为816.43万元，与2024年度相比，财政拨款收入支出总计各下降95.78万元，下降10.83%。主要变动原因是人员减少、项目减少</w:t>
      </w:r>
      <w:r>
        <w:rPr>
          <w:rFonts w:ascii="仿宋_GB2312" w:hAnsi="仿宋_GB2312" w:eastAsia="仿宋_GB2312" w:cs="仿宋_GB2312"/>
          <w:sz w:val="32"/>
          <w:szCs w:val="32"/>
        </w:rPr>
        <w:t>。</w:t>
      </w:r>
    </w:p>
    <w:p w14:paraId="41E694A9">
      <w:pPr>
        <w:spacing w:line="600" w:lineRule="exact"/>
        <w:ind w:firstLine="640" w:firstLineChars="200"/>
        <w:rPr>
          <w:rFonts w:eastAsia="仿宋_GB2312" w:cs="仿宋_GB2312"/>
          <w:sz w:val="32"/>
          <w:szCs w:val="32"/>
        </w:rPr>
      </w:pPr>
    </w:p>
    <w:p w14:paraId="3C9316B8">
      <w:pPr>
        <w:spacing w:line="600" w:lineRule="exact"/>
        <w:ind w:firstLine="640" w:firstLineChars="200"/>
        <w:rPr>
          <w:rFonts w:eastAsia="仿宋_GB2312" w:cs="仿宋_GB2312"/>
          <w:sz w:val="32"/>
          <w:szCs w:val="32"/>
        </w:rPr>
      </w:pPr>
    </w:p>
    <w:p w14:paraId="6CD1692E">
      <w:pPr>
        <w:spacing w:line="600" w:lineRule="exact"/>
        <w:ind w:firstLine="640" w:firstLineChars="200"/>
        <w:rPr>
          <w:rFonts w:eastAsia="仿宋_GB2312" w:cs="仿宋_GB2312"/>
          <w:sz w:val="32"/>
          <w:szCs w:val="32"/>
        </w:rPr>
      </w:pPr>
    </w:p>
    <w:p w14:paraId="17862E26">
      <w:pPr>
        <w:spacing w:line="600" w:lineRule="exact"/>
        <w:ind w:firstLine="640" w:firstLineChars="200"/>
        <w:rPr>
          <w:rFonts w:eastAsia="仿宋_GB2312" w:cs="仿宋_GB2312"/>
          <w:sz w:val="32"/>
          <w:szCs w:val="32"/>
        </w:rPr>
      </w:pPr>
    </w:p>
    <w:p w14:paraId="28DB8CA2">
      <w:pPr>
        <w:spacing w:line="600" w:lineRule="exact"/>
        <w:ind w:firstLine="640" w:firstLineChars="200"/>
        <w:rPr>
          <w:rFonts w:eastAsia="仿宋_GB2312" w:cs="仿宋_GB2312"/>
          <w:sz w:val="32"/>
          <w:szCs w:val="32"/>
        </w:rPr>
      </w:pPr>
    </w:p>
    <w:p w14:paraId="34C39D83">
      <w:pPr>
        <w:spacing w:line="600" w:lineRule="exact"/>
        <w:ind w:firstLine="640" w:firstLineChars="200"/>
        <w:rPr>
          <w:rFonts w:eastAsia="仿宋_GB2312" w:cs="仿宋_GB2312"/>
          <w:sz w:val="32"/>
          <w:szCs w:val="32"/>
        </w:rPr>
      </w:pPr>
    </w:p>
    <w:p w14:paraId="7B19FD53">
      <w:pPr>
        <w:spacing w:line="600" w:lineRule="exact"/>
        <w:ind w:firstLine="640" w:firstLineChars="200"/>
        <w:rPr>
          <w:rFonts w:eastAsia="仿宋_GB2312" w:cs="仿宋_GB2312"/>
          <w:sz w:val="32"/>
          <w:szCs w:val="32"/>
        </w:rPr>
      </w:pPr>
    </w:p>
    <w:p w14:paraId="58BAF2B7">
      <w:pPr>
        <w:spacing w:line="600" w:lineRule="exact"/>
        <w:ind w:firstLine="420" w:firstLineChars="200"/>
        <w:rPr>
          <w:rFonts w:eastAsia="仿宋_GB2312" w:cs="仿宋_GB2312"/>
          <w:sz w:val="32"/>
          <w:szCs w:val="32"/>
        </w:rPr>
      </w:pPr>
      <w:r>
        <w:drawing>
          <wp:anchor distT="0" distB="0" distL="114300" distR="114300" simplePos="0" relativeHeight="251659264" behindDoc="0" locked="0" layoutInCell="1" allowOverlap="1">
            <wp:simplePos x="0" y="0"/>
            <wp:positionH relativeFrom="column">
              <wp:posOffset>271145</wp:posOffset>
            </wp:positionH>
            <wp:positionV relativeFrom="paragraph">
              <wp:posOffset>-2453005</wp:posOffset>
            </wp:positionV>
            <wp:extent cx="4572000" cy="2743200"/>
            <wp:effectExtent l="4445" t="4445" r="14605" b="14605"/>
            <wp:wrapSquare wrapText="bothSides"/>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09DCE121">
      <w:pPr>
        <w:spacing w:line="600" w:lineRule="exact"/>
        <w:jc w:val="center"/>
        <w:rPr>
          <w:rFonts w:eastAsia="仿宋_GB2312" w:cs="仿宋_GB2312"/>
          <w:sz w:val="32"/>
          <w:szCs w:val="32"/>
        </w:rPr>
      </w:pPr>
      <w:r>
        <w:rPr>
          <w:rFonts w:hint="eastAsia" w:eastAsia="仿宋_GB2312" w:cs="仿宋_GB2312"/>
          <w:sz w:val="32"/>
          <w:szCs w:val="32"/>
        </w:rPr>
        <w:t>（图4：财政拨款收、支决算总计变动情况）（柱状图）</w:t>
      </w:r>
    </w:p>
    <w:p w14:paraId="46C8BB99">
      <w:pPr>
        <w:pStyle w:val="6"/>
        <w:ind w:firstLine="643"/>
      </w:pPr>
      <w:bookmarkStart w:id="36" w:name="_Toc15396607"/>
      <w:bookmarkStart w:id="37" w:name="_Toc250"/>
      <w:bookmarkStart w:id="38" w:name="_Toc15377209"/>
      <w:r>
        <w:rPr>
          <w:rFonts w:hint="eastAsia" w:ascii="黑体" w:hAnsi="黑体" w:eastAsia="黑体" w:cs="黑体"/>
        </w:rPr>
        <w:t>五、一般公共预算财政拨款支出决算情况说明</w:t>
      </w:r>
      <w:bookmarkEnd w:id="36"/>
      <w:bookmarkEnd w:id="37"/>
      <w:bookmarkEnd w:id="38"/>
    </w:p>
    <w:p w14:paraId="23986FAD">
      <w:pPr>
        <w:spacing w:line="600" w:lineRule="exact"/>
        <w:ind w:firstLine="643" w:firstLineChars="200"/>
        <w:outlineLvl w:val="2"/>
        <w:rPr>
          <w:rFonts w:eastAsia="楷体_GB2312" w:cs="楷体_GB2312"/>
          <w:b/>
          <w:sz w:val="32"/>
          <w:szCs w:val="32"/>
        </w:rPr>
      </w:pPr>
      <w:bookmarkStart w:id="39" w:name="_Toc15377210"/>
      <w:bookmarkStart w:id="40" w:name="_Toc29599"/>
      <w:r>
        <w:rPr>
          <w:rFonts w:hint="eastAsia" w:eastAsia="楷体_GB2312" w:cs="楷体_GB2312"/>
          <w:b/>
          <w:sz w:val="32"/>
          <w:szCs w:val="32"/>
        </w:rPr>
        <w:t>（一）一般公共预算财政拨款支出决算总体情况</w:t>
      </w:r>
      <w:bookmarkEnd w:id="39"/>
      <w:bookmarkEnd w:id="40"/>
    </w:p>
    <w:p w14:paraId="3F6A1FD1">
      <w:pPr>
        <w:spacing w:line="600" w:lineRule="exact"/>
        <w:ind w:firstLine="640"/>
      </w:pPr>
      <w:r>
        <w:rPr>
          <w:rFonts w:hint="eastAsia" w:ascii="仿宋_GB2312" w:hAnsi="仿宋_GB2312" w:eastAsia="仿宋_GB2312" w:cs="仿宋_GB2312"/>
          <w:sz w:val="32"/>
          <w:szCs w:val="32"/>
        </w:rPr>
        <w:t>2025年度一般公共预算财政拨款支出816.43万元，占本年支出合计的76.67%。与2024年度相比，一般公共预算财政拨款支出减少99.46万元，下降10.86%。主要变动原因是人员减少、项目减少</w:t>
      </w:r>
      <w:r>
        <w:rPr>
          <w:rFonts w:ascii="仿宋_GB2312" w:hAnsi="仿宋_GB2312" w:eastAsia="仿宋_GB2312" w:cs="仿宋_GB2312"/>
          <w:sz w:val="32"/>
          <w:szCs w:val="32"/>
        </w:rPr>
        <w:t>。</w:t>
      </w:r>
    </w:p>
    <w:p w14:paraId="70795F49">
      <w:pPr>
        <w:spacing w:line="600" w:lineRule="exact"/>
      </w:pPr>
    </w:p>
    <w:p w14:paraId="78E42BC3">
      <w:pPr>
        <w:spacing w:line="600" w:lineRule="exact"/>
        <w:rPr>
          <w:rFonts w:eastAsia="仿宋_GB2312" w:cs="仿宋_GB2312"/>
          <w:sz w:val="32"/>
          <w:szCs w:val="32"/>
        </w:rPr>
      </w:pPr>
      <w:r>
        <w:drawing>
          <wp:anchor distT="0" distB="0" distL="114300" distR="114300" simplePos="0" relativeHeight="251661312" behindDoc="1" locked="0" layoutInCell="1" allowOverlap="1">
            <wp:simplePos x="0" y="0"/>
            <wp:positionH relativeFrom="column">
              <wp:posOffset>-7620</wp:posOffset>
            </wp:positionH>
            <wp:positionV relativeFrom="paragraph">
              <wp:posOffset>149225</wp:posOffset>
            </wp:positionV>
            <wp:extent cx="5108575" cy="3075940"/>
            <wp:effectExtent l="4445" t="4445" r="11430" b="5715"/>
            <wp:wrapTight wrapText="bothSides">
              <wp:wrapPolygon>
                <wp:start x="-19" y="-31"/>
                <wp:lineTo x="-19" y="21506"/>
                <wp:lineTo x="21568" y="21506"/>
                <wp:lineTo x="21568" y="-31"/>
                <wp:lineTo x="-19" y="-31"/>
              </wp:wrapPolygon>
            </wp:wrapTight>
            <wp:docPr id="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eastAsia" w:eastAsia="仿宋_GB2312" w:cs="仿宋_GB2312"/>
          <w:sz w:val="32"/>
          <w:szCs w:val="32"/>
        </w:rPr>
        <w:t>（图5：一般公共预算财政拨款支出决算变动情况）（柱状图）</w:t>
      </w:r>
    </w:p>
    <w:p w14:paraId="669CFE8A">
      <w:pPr>
        <w:spacing w:line="600" w:lineRule="exact"/>
        <w:ind w:firstLine="643" w:firstLineChars="200"/>
        <w:outlineLvl w:val="2"/>
        <w:rPr>
          <w:rFonts w:eastAsia="楷体_GB2312" w:cs="楷体_GB2312"/>
          <w:b/>
          <w:sz w:val="32"/>
          <w:szCs w:val="32"/>
        </w:rPr>
      </w:pPr>
      <w:bookmarkStart w:id="41" w:name="_Toc24856"/>
      <w:bookmarkStart w:id="42" w:name="_Toc15377211"/>
      <w:r>
        <w:rPr>
          <w:rFonts w:hint="eastAsia" w:eastAsia="楷体_GB2312" w:cs="楷体_GB2312"/>
          <w:b/>
          <w:sz w:val="32"/>
          <w:szCs w:val="32"/>
        </w:rPr>
        <w:t>（二）一般公共预算财政拨款支出决算结构情况</w:t>
      </w:r>
      <w:bookmarkEnd w:id="41"/>
      <w:bookmarkEnd w:id="42"/>
    </w:p>
    <w:p w14:paraId="32F5EBF1">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2025年度一般公共预算财政拨款支出816.43万元，主要用于以下方面：公共安全支出644.18万元，占78.9%；</w:t>
      </w:r>
      <w:r>
        <w:rPr>
          <w:rFonts w:ascii="仿宋_GB2312" w:hAnsi="仿宋_GB2312" w:eastAsia="仿宋_GB2312" w:cs="仿宋_GB2312"/>
          <w:sz w:val="32"/>
          <w:szCs w:val="32"/>
        </w:rPr>
        <w:t>社会保障和就业支出</w:t>
      </w:r>
      <w:r>
        <w:rPr>
          <w:rFonts w:hint="eastAsia" w:ascii="仿宋_GB2312" w:hAnsi="仿宋_GB2312" w:eastAsia="仿宋_GB2312" w:cs="仿宋_GB2312"/>
          <w:sz w:val="32"/>
          <w:szCs w:val="32"/>
        </w:rPr>
        <w:t>84.27</w:t>
      </w:r>
      <w:r>
        <w:rPr>
          <w:rFonts w:ascii="仿宋_GB2312" w:hAnsi="仿宋_GB2312" w:eastAsia="仿宋_GB2312" w:cs="仿宋_GB2312"/>
          <w:sz w:val="32"/>
          <w:szCs w:val="32"/>
        </w:rPr>
        <w:t>万元，占</w:t>
      </w:r>
      <w:r>
        <w:rPr>
          <w:rFonts w:hint="eastAsia" w:ascii="仿宋_GB2312" w:hAnsi="仿宋_GB2312" w:eastAsia="仿宋_GB2312" w:cs="仿宋_GB2312"/>
          <w:sz w:val="32"/>
          <w:szCs w:val="32"/>
        </w:rPr>
        <w:t>10.32</w:t>
      </w:r>
      <w:r>
        <w:rPr>
          <w:rFonts w:ascii="仿宋_GB2312" w:hAnsi="仿宋_GB2312" w:eastAsia="仿宋_GB2312" w:cs="仿宋_GB2312"/>
          <w:sz w:val="32"/>
          <w:szCs w:val="32"/>
        </w:rPr>
        <w:t>%；卫生健康支出</w:t>
      </w:r>
      <w:r>
        <w:rPr>
          <w:rFonts w:hint="eastAsia" w:ascii="仿宋_GB2312" w:hAnsi="仿宋_GB2312" w:eastAsia="仿宋_GB2312" w:cs="仿宋_GB2312"/>
          <w:sz w:val="32"/>
          <w:szCs w:val="32"/>
        </w:rPr>
        <w:t>37.68</w:t>
      </w:r>
      <w:r>
        <w:rPr>
          <w:rFonts w:ascii="仿宋_GB2312" w:hAnsi="仿宋_GB2312" w:eastAsia="仿宋_GB2312" w:cs="仿宋_GB2312"/>
          <w:sz w:val="32"/>
          <w:szCs w:val="32"/>
        </w:rPr>
        <w:t>万元，占</w:t>
      </w:r>
      <w:r>
        <w:rPr>
          <w:rFonts w:hint="eastAsia" w:ascii="仿宋_GB2312" w:hAnsi="仿宋_GB2312" w:eastAsia="仿宋_GB2312" w:cs="仿宋_GB2312"/>
          <w:sz w:val="32"/>
          <w:szCs w:val="32"/>
        </w:rPr>
        <w:t>4.61</w:t>
      </w:r>
      <w:r>
        <w:rPr>
          <w:rFonts w:ascii="仿宋_GB2312" w:hAnsi="仿宋_GB2312" w:eastAsia="仿宋_GB2312" w:cs="仿宋_GB2312"/>
          <w:sz w:val="32"/>
          <w:szCs w:val="32"/>
        </w:rPr>
        <w:t>%；住房保障支出</w:t>
      </w:r>
      <w:r>
        <w:rPr>
          <w:rFonts w:hint="eastAsia" w:ascii="仿宋_GB2312" w:hAnsi="仿宋_GB2312" w:eastAsia="仿宋_GB2312" w:cs="仿宋_GB2312"/>
          <w:sz w:val="32"/>
          <w:szCs w:val="32"/>
        </w:rPr>
        <w:t>50.3</w:t>
      </w:r>
      <w:r>
        <w:rPr>
          <w:rFonts w:ascii="仿宋_GB2312" w:hAnsi="仿宋_GB2312" w:eastAsia="仿宋_GB2312" w:cs="仿宋_GB2312"/>
          <w:sz w:val="32"/>
          <w:szCs w:val="32"/>
        </w:rPr>
        <w:t>万元，占</w:t>
      </w:r>
      <w:r>
        <w:rPr>
          <w:rFonts w:hint="eastAsia" w:ascii="仿宋_GB2312" w:hAnsi="仿宋_GB2312" w:eastAsia="仿宋_GB2312" w:cs="仿宋_GB2312"/>
          <w:sz w:val="32"/>
          <w:szCs w:val="32"/>
        </w:rPr>
        <w:t>6.17</w:t>
      </w:r>
      <w:r>
        <w:rPr>
          <w:rFonts w:ascii="仿宋_GB2312" w:hAnsi="仿宋_GB2312" w:eastAsia="仿宋_GB2312" w:cs="仿宋_GB2312"/>
          <w:sz w:val="32"/>
          <w:szCs w:val="32"/>
        </w:rPr>
        <w:t>%。</w:t>
      </w:r>
    </w:p>
    <w:p w14:paraId="3D2B083F">
      <w:pPr>
        <w:rPr>
          <w:rFonts w:eastAsia="仿宋_GB2312" w:cs="仿宋_GB2312"/>
          <w:sz w:val="32"/>
          <w:szCs w:val="32"/>
        </w:rPr>
      </w:pPr>
      <w:r>
        <w:drawing>
          <wp:anchor distT="0" distB="0" distL="114300" distR="114300" simplePos="0" relativeHeight="251660288" behindDoc="0" locked="0" layoutInCell="1" allowOverlap="1">
            <wp:simplePos x="0" y="0"/>
            <wp:positionH relativeFrom="column">
              <wp:posOffset>42545</wp:posOffset>
            </wp:positionH>
            <wp:positionV relativeFrom="paragraph">
              <wp:posOffset>65405</wp:posOffset>
            </wp:positionV>
            <wp:extent cx="5206365" cy="2806065"/>
            <wp:effectExtent l="4445" t="4445" r="8890" b="8890"/>
            <wp:wrapSquare wrapText="bothSides"/>
            <wp:docPr id="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Pr>
          <w:rFonts w:hint="eastAsia" w:eastAsia="仿宋_GB2312" w:cs="仿宋_GB2312"/>
          <w:sz w:val="32"/>
          <w:szCs w:val="32"/>
        </w:rPr>
        <w:t>（图6：一般公共预算财政拨款支出决算结构）（饼状图）</w:t>
      </w:r>
    </w:p>
    <w:p w14:paraId="52666AA7">
      <w:pPr>
        <w:spacing w:line="600" w:lineRule="exact"/>
        <w:ind w:firstLine="643" w:firstLineChars="200"/>
        <w:outlineLvl w:val="2"/>
        <w:rPr>
          <w:rFonts w:eastAsia="楷体_GB2312" w:cs="楷体_GB2312"/>
          <w:b/>
          <w:sz w:val="32"/>
          <w:szCs w:val="32"/>
        </w:rPr>
      </w:pPr>
      <w:bookmarkStart w:id="43" w:name="_Toc28769"/>
      <w:bookmarkStart w:id="44" w:name="_Toc15377212"/>
      <w:r>
        <w:rPr>
          <w:rFonts w:hint="eastAsia" w:eastAsia="楷体_GB2312" w:cs="楷体_GB2312"/>
          <w:b/>
          <w:sz w:val="32"/>
          <w:szCs w:val="32"/>
        </w:rPr>
        <w:t>（三）一般公共预算财政拨款支出决算具体情况</w:t>
      </w:r>
      <w:bookmarkEnd w:id="43"/>
      <w:bookmarkEnd w:id="44"/>
    </w:p>
    <w:p w14:paraId="2904D504">
      <w:pPr>
        <w:ind w:firstLine="640" w:firstLineChars="200"/>
        <w:rPr>
          <w:rFonts w:ascii="仿宋_GB2312" w:hAnsi="仿宋_GB2312" w:eastAsia="仿宋_GB2312" w:cs="仿宋_GB2312"/>
          <w:sz w:val="32"/>
          <w:szCs w:val="32"/>
        </w:rPr>
      </w:pPr>
      <w:bookmarkStart w:id="45" w:name="_Toc15378460"/>
      <w:bookmarkStart w:id="46" w:name="_Toc15377444"/>
      <w:bookmarkStart w:id="47" w:name="_Toc15377213"/>
      <w:r>
        <w:rPr>
          <w:rFonts w:hint="eastAsia" w:ascii="仿宋_GB2312" w:hAnsi="仿宋_GB2312" w:eastAsia="仿宋_GB2312" w:cs="仿宋_GB2312"/>
          <w:sz w:val="32"/>
          <w:szCs w:val="32"/>
        </w:rPr>
        <w:t>2025年度一般公共预算财政拨款支出决算数为816.43万元，完成预算100%。其中：</w:t>
      </w:r>
      <w:bookmarkEnd w:id="45"/>
      <w:bookmarkEnd w:id="46"/>
      <w:bookmarkEnd w:id="47"/>
    </w:p>
    <w:p w14:paraId="4A2940A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1.公共安全支出（类）检察（款）行政运行（项）:支出决算为426.86万元，完成预算100%。</w:t>
      </w:r>
    </w:p>
    <w:p w14:paraId="1A1A3CC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2.公共安全支出（类）检察（款）一般行政管理事务（项）:支出决算为217.23万元，完成预算100%。</w:t>
      </w:r>
    </w:p>
    <w:p w14:paraId="006DDEF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3.社会保障和就业支出（类）行政事业单位养老支出（款）机关事业单位基本养老保险缴费支出（项）:支出决算为51.08万元，完成预算100%。</w:t>
      </w:r>
    </w:p>
    <w:p w14:paraId="308A611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4.社会保障和就业支出（类）行政事业单位养老支出（款）机关事业单位职业年金缴费支出（项）:支出决算为33.19万元，完成预算100%。</w:t>
      </w:r>
    </w:p>
    <w:p w14:paraId="2D363DE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5.卫生健康支出（类）行政事业单位医疗（款）行政单位医疗（项）:支出决算为30.77万元，完成预算100%。</w:t>
      </w:r>
    </w:p>
    <w:p w14:paraId="5F49A3C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6.卫生健康支出（类）行政事业单位医疗（款）公务员医疗补助（项）:支出决算为6.91万元，完成预算100%。</w:t>
      </w:r>
    </w:p>
    <w:p w14:paraId="6E78B8A9">
      <w:pPr>
        <w:ind w:firstLine="640" w:firstLineChars="200"/>
        <w:rPr>
          <w:rFonts w:eastAsia="仿宋_GB2312" w:cs="仿宋_GB2312"/>
          <w:sz w:val="32"/>
          <w:szCs w:val="32"/>
        </w:rPr>
      </w:pPr>
      <w:r>
        <w:rPr>
          <w:rFonts w:hint="eastAsia" w:ascii="仿宋_GB2312" w:hAnsi="仿宋_GB2312" w:eastAsia="仿宋_GB2312" w:cs="仿宋_GB2312"/>
          <w:sz w:val="32"/>
          <w:szCs w:val="32"/>
        </w:rPr>
        <w:t>7.住房保障支出（类）住房改革支出（款）住房公积金（项）:支出决算为50.3万元，完成预算100%。</w:t>
      </w:r>
    </w:p>
    <w:p w14:paraId="75C5BD96">
      <w:pPr>
        <w:pStyle w:val="6"/>
        <w:ind w:firstLine="643"/>
      </w:pPr>
      <w:bookmarkStart w:id="48" w:name="_Toc920"/>
      <w:bookmarkStart w:id="49" w:name="_Toc15377214"/>
      <w:bookmarkStart w:id="50" w:name="_Toc15396608"/>
      <w:r>
        <w:rPr>
          <w:rFonts w:hint="eastAsia" w:ascii="黑体" w:hAnsi="黑体" w:eastAsia="黑体" w:cs="黑体"/>
        </w:rPr>
        <w:t>六、一般公共预算财政拨款基本支出决算情况说明</w:t>
      </w:r>
      <w:bookmarkEnd w:id="48"/>
      <w:bookmarkEnd w:id="49"/>
      <w:bookmarkEnd w:id="50"/>
      <w:r>
        <w:tab/>
      </w:r>
    </w:p>
    <w:p w14:paraId="3C267A2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2025年度一般公共预算财政拨款基本支出599.2万元，其中：</w:t>
      </w:r>
    </w:p>
    <w:p w14:paraId="31D30EE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人员经费536万元，主要包括：基本工资146.37万元、</w:t>
      </w:r>
      <w:r>
        <w:rPr>
          <w:rFonts w:ascii="仿宋_GB2312" w:hAnsi="仿宋_GB2312" w:eastAsia="仿宋_GB2312" w:cs="仿宋_GB2312"/>
          <w:sz w:val="32"/>
          <w:szCs w:val="32"/>
        </w:rPr>
        <w:t>津贴补贴</w:t>
      </w:r>
      <w:r>
        <w:rPr>
          <w:rFonts w:hint="eastAsia" w:ascii="仿宋_GB2312" w:hAnsi="仿宋_GB2312" w:eastAsia="仿宋_GB2312" w:cs="仿宋_GB2312"/>
          <w:sz w:val="32"/>
          <w:szCs w:val="32"/>
        </w:rPr>
        <w:t>118.19</w:t>
      </w:r>
      <w:r>
        <w:rPr>
          <w:rFonts w:ascii="仿宋_GB2312" w:hAnsi="仿宋_GB2312" w:eastAsia="仿宋_GB2312" w:cs="仿宋_GB2312"/>
          <w:sz w:val="32"/>
          <w:szCs w:val="32"/>
        </w:rPr>
        <w:t>万元、奖金10.85万元、伙食补助费13.63万元、机关事业单位基本养老保险缴费51.08万元、职业年金缴费33.19万元、职工基本医疗保险30.77万元、公务员医疗补助缴费6.91万元、其他社会保障缴费</w:t>
      </w:r>
      <w:r>
        <w:rPr>
          <w:rFonts w:hint="eastAsia" w:ascii="仿宋_GB2312" w:hAnsi="仿宋_GB2312" w:eastAsia="仿宋_GB2312" w:cs="仿宋_GB2312"/>
          <w:sz w:val="32"/>
          <w:szCs w:val="32"/>
        </w:rPr>
        <w:t>1.19</w:t>
      </w:r>
      <w:r>
        <w:rPr>
          <w:rFonts w:ascii="仿宋_GB2312" w:hAnsi="仿宋_GB2312" w:eastAsia="仿宋_GB2312" w:cs="仿宋_GB2312"/>
          <w:sz w:val="32"/>
          <w:szCs w:val="32"/>
        </w:rPr>
        <w:t>万元、住房公积金50.3万元、其他工资福利支出</w:t>
      </w:r>
      <w:r>
        <w:rPr>
          <w:rFonts w:hint="eastAsia" w:ascii="仿宋_GB2312" w:hAnsi="仿宋_GB2312" w:eastAsia="仿宋_GB2312" w:cs="仿宋_GB2312"/>
          <w:sz w:val="32"/>
          <w:szCs w:val="32"/>
        </w:rPr>
        <w:t>73.52</w:t>
      </w:r>
      <w:r>
        <w:rPr>
          <w:rFonts w:ascii="仿宋_GB2312" w:hAnsi="仿宋_GB2312" w:eastAsia="仿宋_GB2312" w:cs="仿宋_GB2312"/>
          <w:sz w:val="32"/>
          <w:szCs w:val="32"/>
        </w:rPr>
        <w:t>万元、生活补助0.85万元。</w:t>
      </w:r>
    </w:p>
    <w:p w14:paraId="0415024C">
      <w:pPr>
        <w:ind w:firstLine="640" w:firstLineChars="200"/>
        <w:rPr>
          <w:rFonts w:eastAsia="仿宋_GB2312" w:cs="仿宋_GB2312"/>
          <w:sz w:val="32"/>
          <w:szCs w:val="32"/>
        </w:rPr>
      </w:pPr>
      <w:r>
        <w:rPr>
          <w:rFonts w:hint="eastAsia" w:ascii="仿宋_GB2312" w:hAnsi="仿宋_GB2312" w:eastAsia="仿宋_GB2312" w:cs="仿宋_GB2312"/>
          <w:sz w:val="32"/>
          <w:szCs w:val="32"/>
        </w:rPr>
        <w:t>公用经费62.35万元，</w:t>
      </w:r>
      <w:r>
        <w:rPr>
          <w:rFonts w:ascii="仿宋_GB2312" w:hAnsi="仿宋_GB2312" w:eastAsia="仿宋_GB2312" w:cs="仿宋_GB2312"/>
          <w:sz w:val="32"/>
          <w:szCs w:val="32"/>
        </w:rPr>
        <w:t>办公费</w:t>
      </w:r>
      <w:r>
        <w:rPr>
          <w:rFonts w:hint="eastAsia" w:ascii="仿宋_GB2312" w:hAnsi="仿宋_GB2312" w:eastAsia="仿宋_GB2312" w:cs="仿宋_GB2312"/>
          <w:sz w:val="32"/>
          <w:szCs w:val="32"/>
        </w:rPr>
        <w:t>13.56</w:t>
      </w:r>
      <w:r>
        <w:rPr>
          <w:rFonts w:ascii="仿宋_GB2312" w:hAnsi="仿宋_GB2312" w:eastAsia="仿宋_GB2312" w:cs="仿宋_GB2312"/>
          <w:sz w:val="32"/>
          <w:szCs w:val="32"/>
        </w:rPr>
        <w:t>万元、水费</w:t>
      </w:r>
      <w:r>
        <w:rPr>
          <w:rFonts w:hint="eastAsia" w:ascii="仿宋_GB2312" w:hAnsi="仿宋_GB2312" w:eastAsia="仿宋_GB2312" w:cs="仿宋_GB2312"/>
          <w:sz w:val="32"/>
          <w:szCs w:val="32"/>
        </w:rPr>
        <w:t>0.92</w:t>
      </w:r>
      <w:r>
        <w:rPr>
          <w:rFonts w:ascii="仿宋_GB2312" w:hAnsi="仿宋_GB2312" w:eastAsia="仿宋_GB2312" w:cs="仿宋_GB2312"/>
          <w:sz w:val="32"/>
          <w:szCs w:val="32"/>
        </w:rPr>
        <w:t>万元、</w:t>
      </w:r>
      <w:r>
        <w:rPr>
          <w:rFonts w:hint="eastAsia" w:ascii="仿宋_GB2312" w:hAnsi="仿宋_GB2312" w:eastAsia="仿宋_GB2312" w:cs="仿宋_GB2312"/>
          <w:sz w:val="32"/>
          <w:szCs w:val="32"/>
        </w:rPr>
        <w:t>邮电费0.86万元、</w:t>
      </w:r>
      <w:r>
        <w:rPr>
          <w:rFonts w:ascii="仿宋_GB2312" w:hAnsi="仿宋_GB2312" w:eastAsia="仿宋_GB2312" w:cs="仿宋_GB2312"/>
          <w:sz w:val="32"/>
          <w:szCs w:val="32"/>
        </w:rPr>
        <w:t>差旅费</w:t>
      </w:r>
      <w:r>
        <w:rPr>
          <w:rFonts w:hint="eastAsia" w:ascii="仿宋_GB2312" w:hAnsi="仿宋_GB2312" w:eastAsia="仿宋_GB2312" w:cs="仿宋_GB2312"/>
          <w:sz w:val="32"/>
          <w:szCs w:val="32"/>
        </w:rPr>
        <w:t>8.36</w:t>
      </w:r>
      <w:r>
        <w:rPr>
          <w:rFonts w:ascii="仿宋_GB2312" w:hAnsi="仿宋_GB2312" w:eastAsia="仿宋_GB2312" w:cs="仿宋_GB2312"/>
          <w:sz w:val="32"/>
          <w:szCs w:val="32"/>
        </w:rPr>
        <w:t>万元、维修（护）费</w:t>
      </w:r>
      <w:r>
        <w:rPr>
          <w:rFonts w:hint="eastAsia" w:ascii="仿宋_GB2312" w:hAnsi="仿宋_GB2312" w:eastAsia="仿宋_GB2312" w:cs="仿宋_GB2312"/>
          <w:sz w:val="32"/>
          <w:szCs w:val="32"/>
        </w:rPr>
        <w:t>5.02</w:t>
      </w:r>
      <w:r>
        <w:rPr>
          <w:rFonts w:ascii="仿宋_GB2312" w:hAnsi="仿宋_GB2312" w:eastAsia="仿宋_GB2312" w:cs="仿宋_GB2312"/>
          <w:sz w:val="32"/>
          <w:szCs w:val="32"/>
        </w:rPr>
        <w:t>万元、租赁费</w:t>
      </w:r>
      <w:r>
        <w:rPr>
          <w:rFonts w:hint="eastAsia" w:ascii="仿宋_GB2312" w:hAnsi="仿宋_GB2312" w:eastAsia="仿宋_GB2312" w:cs="仿宋_GB2312"/>
          <w:sz w:val="32"/>
          <w:szCs w:val="32"/>
        </w:rPr>
        <w:t>4.83</w:t>
      </w:r>
      <w:r>
        <w:rPr>
          <w:rFonts w:ascii="仿宋_GB2312" w:hAnsi="仿宋_GB2312" w:eastAsia="仿宋_GB2312" w:cs="仿宋_GB2312"/>
          <w:sz w:val="32"/>
          <w:szCs w:val="32"/>
        </w:rPr>
        <w:t>万元、公务接待费</w:t>
      </w:r>
      <w:r>
        <w:rPr>
          <w:rFonts w:hint="eastAsia" w:ascii="仿宋_GB2312" w:hAnsi="仿宋_GB2312" w:eastAsia="仿宋_GB2312" w:cs="仿宋_GB2312"/>
          <w:sz w:val="32"/>
          <w:szCs w:val="32"/>
        </w:rPr>
        <w:t>1.02</w:t>
      </w:r>
      <w:r>
        <w:rPr>
          <w:rFonts w:ascii="仿宋_GB2312" w:hAnsi="仿宋_GB2312" w:eastAsia="仿宋_GB2312" w:cs="仿宋_GB2312"/>
          <w:sz w:val="32"/>
          <w:szCs w:val="32"/>
        </w:rPr>
        <w:t>万元、劳务费</w:t>
      </w:r>
      <w:r>
        <w:rPr>
          <w:rFonts w:hint="eastAsia" w:ascii="仿宋_GB2312" w:hAnsi="仿宋_GB2312" w:eastAsia="仿宋_GB2312" w:cs="仿宋_GB2312"/>
          <w:sz w:val="32"/>
          <w:szCs w:val="32"/>
        </w:rPr>
        <w:t>0.65</w:t>
      </w:r>
      <w:r>
        <w:rPr>
          <w:rFonts w:ascii="仿宋_GB2312" w:hAnsi="仿宋_GB2312" w:eastAsia="仿宋_GB2312" w:cs="仿宋_GB2312"/>
          <w:sz w:val="32"/>
          <w:szCs w:val="32"/>
        </w:rPr>
        <w:t>万元、</w:t>
      </w:r>
      <w:r>
        <w:rPr>
          <w:rFonts w:hint="eastAsia" w:ascii="仿宋_GB2312" w:hAnsi="仿宋_GB2312" w:eastAsia="仿宋_GB2312" w:cs="仿宋_GB2312"/>
          <w:sz w:val="32"/>
          <w:szCs w:val="32"/>
        </w:rPr>
        <w:t>委托业务费</w:t>
      </w:r>
      <w:r>
        <w:rPr>
          <w:rFonts w:ascii="仿宋_GB2312" w:hAnsi="仿宋_GB2312" w:eastAsia="仿宋_GB2312" w:cs="仿宋_GB2312"/>
          <w:sz w:val="32"/>
          <w:szCs w:val="32"/>
        </w:rPr>
        <w:t>3.36</w:t>
      </w:r>
      <w:r>
        <w:rPr>
          <w:rFonts w:hint="eastAsia" w:ascii="仿宋_GB2312" w:hAnsi="仿宋_GB2312" w:eastAsia="仿宋_GB2312" w:cs="仿宋_GB2312"/>
          <w:sz w:val="32"/>
          <w:szCs w:val="32"/>
        </w:rPr>
        <w:t>万元、</w:t>
      </w:r>
      <w:r>
        <w:rPr>
          <w:rFonts w:ascii="仿宋_GB2312" w:hAnsi="仿宋_GB2312" w:eastAsia="仿宋_GB2312" w:cs="仿宋_GB2312"/>
          <w:sz w:val="32"/>
          <w:szCs w:val="32"/>
        </w:rPr>
        <w:t>工会经费</w:t>
      </w:r>
      <w:r>
        <w:rPr>
          <w:rFonts w:hint="eastAsia" w:ascii="仿宋_GB2312" w:hAnsi="仿宋_GB2312" w:eastAsia="仿宋_GB2312" w:cs="仿宋_GB2312"/>
          <w:sz w:val="32"/>
          <w:szCs w:val="32"/>
        </w:rPr>
        <w:t>6.47</w:t>
      </w:r>
      <w:r>
        <w:rPr>
          <w:rFonts w:ascii="仿宋_GB2312" w:hAnsi="仿宋_GB2312" w:eastAsia="仿宋_GB2312" w:cs="仿宋_GB2312"/>
          <w:sz w:val="32"/>
          <w:szCs w:val="32"/>
        </w:rPr>
        <w:t>万元、福利费</w:t>
      </w:r>
      <w:r>
        <w:rPr>
          <w:rFonts w:hint="eastAsia" w:ascii="仿宋_GB2312" w:hAnsi="仿宋_GB2312" w:eastAsia="仿宋_GB2312" w:cs="仿宋_GB2312"/>
          <w:sz w:val="32"/>
          <w:szCs w:val="32"/>
        </w:rPr>
        <w:t>6.7</w:t>
      </w:r>
      <w:r>
        <w:rPr>
          <w:rFonts w:ascii="仿宋_GB2312" w:hAnsi="仿宋_GB2312" w:eastAsia="仿宋_GB2312" w:cs="仿宋_GB2312"/>
          <w:sz w:val="32"/>
          <w:szCs w:val="32"/>
        </w:rPr>
        <w:t>万元、公务用车运行维护费6.78万元、其他交通费用</w:t>
      </w:r>
      <w:r>
        <w:rPr>
          <w:rFonts w:hint="eastAsia" w:ascii="仿宋_GB2312" w:hAnsi="仿宋_GB2312" w:eastAsia="仿宋_GB2312" w:cs="仿宋_GB2312"/>
          <w:sz w:val="32"/>
          <w:szCs w:val="32"/>
        </w:rPr>
        <w:t>0.21</w:t>
      </w:r>
      <w:r>
        <w:rPr>
          <w:rFonts w:ascii="仿宋_GB2312" w:hAnsi="仿宋_GB2312" w:eastAsia="仿宋_GB2312" w:cs="仿宋_GB2312"/>
          <w:sz w:val="32"/>
          <w:szCs w:val="32"/>
        </w:rPr>
        <w:t>万元、其他商品和服务支出</w:t>
      </w:r>
      <w:r>
        <w:rPr>
          <w:rFonts w:hint="eastAsia" w:ascii="仿宋_GB2312" w:hAnsi="仿宋_GB2312" w:eastAsia="仿宋_GB2312" w:cs="仿宋_GB2312"/>
          <w:sz w:val="32"/>
          <w:szCs w:val="32"/>
        </w:rPr>
        <w:t>3.63</w:t>
      </w:r>
      <w:r>
        <w:rPr>
          <w:rFonts w:ascii="仿宋_GB2312" w:hAnsi="仿宋_GB2312" w:eastAsia="仿宋_GB2312" w:cs="仿宋_GB2312"/>
          <w:sz w:val="32"/>
          <w:szCs w:val="32"/>
        </w:rPr>
        <w:t>万元。</w:t>
      </w:r>
    </w:p>
    <w:p w14:paraId="60A0F88A">
      <w:pPr>
        <w:pStyle w:val="6"/>
        <w:ind w:firstLine="643"/>
      </w:pPr>
      <w:bookmarkStart w:id="51" w:name="_Toc28203"/>
      <w:bookmarkStart w:id="52" w:name="_Toc15396609"/>
      <w:bookmarkStart w:id="53" w:name="_Toc15377215"/>
      <w:r>
        <w:rPr>
          <w:rFonts w:hint="eastAsia" w:ascii="黑体" w:hAnsi="黑体" w:eastAsia="黑体" w:cs="黑体"/>
        </w:rPr>
        <w:t>七、财政拨款“三公”经费支出决算情况说明</w:t>
      </w:r>
      <w:bookmarkEnd w:id="51"/>
      <w:bookmarkEnd w:id="52"/>
      <w:bookmarkEnd w:id="53"/>
    </w:p>
    <w:p w14:paraId="3BDE5568">
      <w:pPr>
        <w:spacing w:line="600" w:lineRule="exact"/>
        <w:ind w:firstLine="643" w:firstLineChars="200"/>
        <w:outlineLvl w:val="2"/>
        <w:rPr>
          <w:rFonts w:eastAsia="楷体_GB2312" w:cs="楷体_GB2312"/>
          <w:b/>
          <w:sz w:val="32"/>
          <w:szCs w:val="32"/>
        </w:rPr>
      </w:pPr>
      <w:bookmarkStart w:id="54" w:name="_Toc19325"/>
      <w:bookmarkStart w:id="55" w:name="_Toc15377216"/>
      <w:r>
        <w:rPr>
          <w:rFonts w:hint="eastAsia" w:eastAsia="楷体_GB2312" w:cs="楷体_GB2312"/>
          <w:b/>
          <w:sz w:val="32"/>
          <w:szCs w:val="32"/>
        </w:rPr>
        <w:t>（一）“三公”经费财政拨款支出决算总体情况说明</w:t>
      </w:r>
      <w:bookmarkEnd w:id="54"/>
      <w:bookmarkEnd w:id="55"/>
    </w:p>
    <w:p w14:paraId="6F93B92F">
      <w:pPr>
        <w:spacing w:line="600" w:lineRule="exact"/>
        <w:ind w:firstLine="640"/>
        <w:rPr>
          <w:rFonts w:eastAsia="仿宋_GB2312" w:cs="仿宋_GB2312"/>
          <w:b/>
          <w:bCs/>
          <w:sz w:val="32"/>
          <w:szCs w:val="32"/>
        </w:rPr>
      </w:pPr>
      <w:r>
        <w:rPr>
          <w:rFonts w:hint="eastAsia" w:eastAsia="仿宋_GB2312" w:cs="仿宋_GB2312"/>
          <w:sz w:val="32"/>
          <w:szCs w:val="32"/>
        </w:rPr>
        <w:t>2025年度“三公”经费财政拨款支出决算为</w:t>
      </w:r>
      <w:r>
        <w:rPr>
          <w:rFonts w:hint="eastAsia" w:ascii="仿宋_GB2312" w:hAnsi="仿宋_GB2312" w:eastAsia="仿宋_GB2312" w:cs="仿宋_GB2312"/>
          <w:sz w:val="32"/>
          <w:szCs w:val="32"/>
        </w:rPr>
        <w:t>7.8万元，完成预算100%，</w:t>
      </w:r>
      <w:r>
        <w:rPr>
          <w:rFonts w:hint="eastAsia" w:eastAsia="仿宋_GB2312" w:cs="仿宋_GB2312"/>
          <w:sz w:val="32"/>
          <w:szCs w:val="32"/>
        </w:rPr>
        <w:t>较上年度减少1.04万元，下降11.76%。</w:t>
      </w:r>
    </w:p>
    <w:p w14:paraId="550FB079">
      <w:pPr>
        <w:spacing w:line="600" w:lineRule="exact"/>
        <w:ind w:firstLine="643" w:firstLineChars="200"/>
        <w:outlineLvl w:val="2"/>
        <w:rPr>
          <w:rFonts w:eastAsia="楷体_GB2312" w:cs="楷体_GB2312"/>
          <w:b/>
          <w:sz w:val="32"/>
          <w:szCs w:val="32"/>
        </w:rPr>
      </w:pPr>
      <w:bookmarkStart w:id="56" w:name="_Toc32596"/>
      <w:bookmarkStart w:id="57" w:name="_Toc15377217"/>
      <w:r>
        <w:rPr>
          <w:rFonts w:hint="eastAsia" w:eastAsia="楷体_GB2312" w:cs="楷体_GB2312"/>
          <w:b/>
          <w:sz w:val="32"/>
          <w:szCs w:val="32"/>
        </w:rPr>
        <w:t>（二）“三公”经费财政拨款支出决算具体情况说明</w:t>
      </w:r>
      <w:bookmarkEnd w:id="56"/>
      <w:bookmarkEnd w:id="57"/>
    </w:p>
    <w:p w14:paraId="6DAB054D">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2025年度“三公”经费财政拨款支出决算中，因公出国（境）费支出决算0万元，占0%；公务用车购置及运行维护费支出决算6.78万元，占86.92%；公务接待费支出决算1.02万元，占13.08%。具体情况如下：</w:t>
      </w:r>
    </w:p>
    <w:p w14:paraId="53667AA8">
      <w:pPr>
        <w:spacing w:line="600" w:lineRule="exact"/>
        <w:ind w:firstLine="640"/>
        <w:rPr>
          <w:rFonts w:eastAsia="仿宋_GB2312" w:cs="仿宋_GB2312"/>
          <w:sz w:val="32"/>
          <w:szCs w:val="32"/>
        </w:rPr>
      </w:pPr>
    </w:p>
    <w:p w14:paraId="71C18416">
      <w:pPr>
        <w:spacing w:line="600" w:lineRule="exact"/>
        <w:ind w:firstLine="640"/>
        <w:rPr>
          <w:rFonts w:eastAsia="仿宋_GB2312" w:cs="仿宋_GB2312"/>
          <w:sz w:val="32"/>
          <w:szCs w:val="32"/>
        </w:rPr>
      </w:pPr>
    </w:p>
    <w:p w14:paraId="42038FEB">
      <w:pPr>
        <w:spacing w:line="600" w:lineRule="exact"/>
        <w:ind w:firstLine="640"/>
        <w:rPr>
          <w:rFonts w:eastAsia="仿宋_GB2312" w:cs="仿宋_GB2312"/>
          <w:sz w:val="32"/>
          <w:szCs w:val="32"/>
        </w:rPr>
      </w:pPr>
    </w:p>
    <w:p w14:paraId="309E0D91">
      <w:pPr>
        <w:spacing w:line="600" w:lineRule="exact"/>
        <w:ind w:firstLine="640"/>
        <w:rPr>
          <w:rFonts w:eastAsia="仿宋_GB2312" w:cs="仿宋_GB2312"/>
          <w:sz w:val="32"/>
          <w:szCs w:val="32"/>
        </w:rPr>
      </w:pPr>
    </w:p>
    <w:p w14:paraId="19FE4E43">
      <w:pPr>
        <w:spacing w:line="600" w:lineRule="exact"/>
        <w:ind w:firstLine="640"/>
        <w:rPr>
          <w:rFonts w:eastAsia="仿宋_GB2312" w:cs="仿宋_GB2312"/>
          <w:sz w:val="32"/>
          <w:szCs w:val="32"/>
        </w:rPr>
      </w:pPr>
    </w:p>
    <w:p w14:paraId="3000B5FB">
      <w:pPr>
        <w:spacing w:line="600" w:lineRule="exact"/>
        <w:ind w:firstLine="640"/>
        <w:rPr>
          <w:rFonts w:eastAsia="仿宋_GB2312" w:cs="仿宋_GB2312"/>
          <w:sz w:val="32"/>
          <w:szCs w:val="32"/>
        </w:rPr>
      </w:pPr>
    </w:p>
    <w:p w14:paraId="5DAD9BB0">
      <w:pPr>
        <w:spacing w:line="600" w:lineRule="exact"/>
        <w:ind w:firstLine="640"/>
        <w:rPr>
          <w:rFonts w:eastAsia="仿宋_GB2312" w:cs="仿宋_GB2312"/>
          <w:sz w:val="32"/>
          <w:szCs w:val="32"/>
        </w:rPr>
      </w:pPr>
    </w:p>
    <w:p w14:paraId="4C456832">
      <w:pPr>
        <w:spacing w:line="600" w:lineRule="exact"/>
        <w:ind w:firstLine="640"/>
        <w:rPr>
          <w:rFonts w:eastAsia="仿宋_GB2312" w:cs="仿宋_GB2312"/>
          <w:sz w:val="32"/>
          <w:szCs w:val="32"/>
        </w:rPr>
      </w:pPr>
      <w:r>
        <w:drawing>
          <wp:anchor distT="0" distB="0" distL="114300" distR="114300" simplePos="0" relativeHeight="251662336" behindDoc="0" locked="0" layoutInCell="1" allowOverlap="1">
            <wp:simplePos x="0" y="0"/>
            <wp:positionH relativeFrom="column">
              <wp:posOffset>410845</wp:posOffset>
            </wp:positionH>
            <wp:positionV relativeFrom="paragraph">
              <wp:posOffset>-2472055</wp:posOffset>
            </wp:positionV>
            <wp:extent cx="4743450" cy="2762250"/>
            <wp:effectExtent l="4445" t="4445" r="14605" b="14605"/>
            <wp:wrapSquare wrapText="bothSides"/>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14:paraId="7BF9972B">
      <w:pPr>
        <w:spacing w:line="600" w:lineRule="exact"/>
        <w:ind w:firstLine="640"/>
        <w:rPr>
          <w:rFonts w:eastAsia="仿宋_GB2312" w:cs="仿宋_GB2312"/>
          <w:sz w:val="32"/>
          <w:szCs w:val="32"/>
        </w:rPr>
      </w:pPr>
      <w:r>
        <w:rPr>
          <w:rFonts w:hint="eastAsia" w:eastAsia="仿宋_GB2312" w:cs="仿宋_GB2312"/>
          <w:sz w:val="32"/>
          <w:szCs w:val="32"/>
        </w:rPr>
        <w:t>（图7：“三公”经费财政拨款支出结构）（饼状图）</w:t>
      </w:r>
    </w:p>
    <w:p w14:paraId="64D7B98D">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1.因公出国（境）经费支出0万元。</w:t>
      </w:r>
    </w:p>
    <w:p w14:paraId="5E028985">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rPr>
        <w:t>6.78万</w:t>
      </w:r>
      <w:r>
        <w:rPr>
          <w:rFonts w:hint="eastAsia" w:eastAsia="仿宋_GB2312" w:cs="仿宋_GB2312"/>
          <w:b/>
          <w:bCs/>
          <w:sz w:val="32"/>
          <w:szCs w:val="32"/>
        </w:rPr>
        <w:t>元，完成预算100%。</w:t>
      </w:r>
      <w:r>
        <w:rPr>
          <w:rFonts w:hint="eastAsia" w:eastAsia="仿宋_GB2312" w:cs="仿宋_GB2312"/>
          <w:sz w:val="32"/>
          <w:szCs w:val="32"/>
        </w:rPr>
        <w:t>公务用车购置及运行维护费支出决算比2024年度增减少1.08万元，下降13.74%。主要原因是</w:t>
      </w:r>
      <w:r>
        <w:rPr>
          <w:rFonts w:hint="eastAsia" w:eastAsia="仿宋_GB2312"/>
          <w:sz w:val="32"/>
          <w:szCs w:val="32"/>
        </w:rPr>
        <w:t>2025</w:t>
      </w:r>
      <w:r>
        <w:rPr>
          <w:rFonts w:eastAsia="仿宋_GB2312"/>
          <w:sz w:val="32"/>
          <w:szCs w:val="32"/>
        </w:rPr>
        <w:t>年</w:t>
      </w:r>
      <w:r>
        <w:rPr>
          <w:rFonts w:hint="eastAsia" w:eastAsia="仿宋_GB2312"/>
          <w:sz w:val="32"/>
          <w:szCs w:val="32"/>
        </w:rPr>
        <w:t>度节约开支</w:t>
      </w:r>
      <w:r>
        <w:rPr>
          <w:rFonts w:eastAsia="仿宋_GB2312"/>
          <w:sz w:val="32"/>
          <w:szCs w:val="32"/>
        </w:rPr>
        <w:t>，</w:t>
      </w:r>
      <w:r>
        <w:rPr>
          <w:rFonts w:hint="eastAsia" w:eastAsia="仿宋_GB2312"/>
          <w:sz w:val="32"/>
          <w:szCs w:val="32"/>
        </w:rPr>
        <w:t>并压减公务用车运行维护费，</w:t>
      </w:r>
      <w:r>
        <w:rPr>
          <w:rFonts w:eastAsia="仿宋_GB2312"/>
          <w:sz w:val="32"/>
          <w:szCs w:val="32"/>
        </w:rPr>
        <w:t>整体支出减少。</w:t>
      </w:r>
    </w:p>
    <w:p w14:paraId="41B111A1">
      <w:pPr>
        <w:spacing w:line="600" w:lineRule="exact"/>
        <w:ind w:firstLine="640"/>
        <w:rPr>
          <w:rFonts w:eastAsia="仿宋_GB2312" w:cs="仿宋_GB2312"/>
          <w:sz w:val="32"/>
          <w:szCs w:val="32"/>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出0</w:t>
      </w:r>
      <w:r>
        <w:rPr>
          <w:rFonts w:hint="eastAsia" w:eastAsia="仿宋_GB2312" w:cs="仿宋_GB2312"/>
          <w:sz w:val="32"/>
          <w:szCs w:val="32"/>
        </w:rPr>
        <w:t>万元。全年按规定更新购置公务用车0辆，其中：轿车0辆、金额0万元，越野车0辆、金额0万元，载客汽车0辆、金额0万元。截至2025年12月31日，单位共有执法执勤车辆5辆，其中：轿车1辆、越野车4辆。</w:t>
      </w:r>
    </w:p>
    <w:p w14:paraId="5B41BA12">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出6.78</w:t>
      </w:r>
      <w:r>
        <w:rPr>
          <w:rFonts w:hint="eastAsia" w:eastAsia="仿宋_GB2312" w:cs="仿宋_GB2312"/>
          <w:sz w:val="32"/>
          <w:szCs w:val="32"/>
        </w:rPr>
        <w:t>万元。主要用于</w:t>
      </w:r>
      <w:r>
        <w:rPr>
          <w:rFonts w:eastAsia="仿宋_GB2312"/>
          <w:sz w:val="32"/>
          <w:szCs w:val="32"/>
        </w:rPr>
        <w:t>开展检察业务办案、法治宣传教育、</w:t>
      </w:r>
      <w:r>
        <w:rPr>
          <w:rFonts w:hint="eastAsia" w:eastAsia="仿宋_GB2312"/>
          <w:sz w:val="32"/>
          <w:szCs w:val="32"/>
        </w:rPr>
        <w:t>防汛减灾等重点工作</w:t>
      </w:r>
      <w:r>
        <w:rPr>
          <w:rFonts w:hint="eastAsia" w:eastAsia="仿宋_GB2312" w:cs="仿宋_GB2312"/>
          <w:sz w:val="32"/>
          <w:szCs w:val="32"/>
        </w:rPr>
        <w:t>所需的公务用车燃料费、维修费、过路过桥费、保险费等支出。</w:t>
      </w:r>
    </w:p>
    <w:p w14:paraId="7FF0C9CA">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1.02万</w:t>
      </w:r>
      <w:r>
        <w:rPr>
          <w:rFonts w:hint="eastAsia" w:eastAsia="仿宋_GB2312" w:cs="仿宋_GB2312"/>
          <w:b/>
          <w:bCs/>
          <w:sz w:val="32"/>
          <w:szCs w:val="32"/>
        </w:rPr>
        <w:t>元，完成预算100%。</w:t>
      </w:r>
      <w:r>
        <w:rPr>
          <w:rFonts w:hint="eastAsia" w:eastAsia="仿宋_GB2312" w:cs="仿宋_GB2312"/>
          <w:sz w:val="32"/>
          <w:szCs w:val="32"/>
        </w:rPr>
        <w:t>公务接待费支出决算比2024年度增加0.04万元，增长4.08%。主要原因是接待次数增加。</w:t>
      </w:r>
    </w:p>
    <w:p w14:paraId="3D6D50AD">
      <w:pPr>
        <w:spacing w:line="600" w:lineRule="exact"/>
        <w:ind w:firstLine="640"/>
        <w:rPr>
          <w:rFonts w:eastAsia="仿宋_GB2312" w:cs="仿宋_GB2312"/>
          <w:sz w:val="32"/>
          <w:szCs w:val="32"/>
        </w:rPr>
      </w:pPr>
      <w:r>
        <w:rPr>
          <w:rFonts w:hint="eastAsia" w:eastAsia="仿宋_GB2312" w:cs="仿宋_GB2312"/>
          <w:sz w:val="32"/>
          <w:szCs w:val="32"/>
        </w:rPr>
        <w:t>国内公务接待支</w:t>
      </w:r>
      <w:r>
        <w:rPr>
          <w:rFonts w:hint="eastAsia" w:ascii="仿宋_GB2312" w:hAnsi="仿宋_GB2312" w:eastAsia="仿宋_GB2312" w:cs="仿宋_GB2312"/>
          <w:sz w:val="32"/>
          <w:szCs w:val="32"/>
        </w:rPr>
        <w:t>出1.02万</w:t>
      </w:r>
      <w:r>
        <w:rPr>
          <w:rFonts w:hint="eastAsia" w:eastAsia="仿宋_GB2312" w:cs="仿宋_GB2312"/>
          <w:sz w:val="32"/>
          <w:szCs w:val="32"/>
        </w:rPr>
        <w:t>元，主要用于</w:t>
      </w:r>
      <w:r>
        <w:rPr>
          <w:rFonts w:eastAsia="仿宋_GB2312"/>
          <w:sz w:val="32"/>
          <w:szCs w:val="32"/>
        </w:rPr>
        <w:t>主要用于执行公务、开展业务活动开支的交通费、住宿费、用餐费等。</w:t>
      </w:r>
      <w:r>
        <w:rPr>
          <w:rFonts w:hint="eastAsia" w:eastAsia="仿宋_GB2312" w:cs="仿宋_GB2312"/>
          <w:sz w:val="32"/>
          <w:szCs w:val="32"/>
        </w:rPr>
        <w:t>国内公务接</w:t>
      </w:r>
      <w:r>
        <w:rPr>
          <w:rFonts w:hint="eastAsia" w:ascii="仿宋_GB2312" w:hAnsi="仿宋_GB2312" w:eastAsia="仿宋_GB2312" w:cs="仿宋_GB2312"/>
          <w:sz w:val="32"/>
          <w:szCs w:val="32"/>
        </w:rPr>
        <w:t>待10批次，74</w:t>
      </w:r>
      <w:r>
        <w:rPr>
          <w:rFonts w:hint="eastAsia" w:eastAsia="仿宋_GB2312" w:cs="仿宋_GB2312"/>
          <w:sz w:val="32"/>
          <w:szCs w:val="32"/>
        </w:rPr>
        <w:t>人次（不包括陪同人员），共计支出1.02万元，具体内容包括：接待绵阳市游仙区检察机关到我院开展业务工作支出700元，接待嘉善县人民检察院到我院调研学习支出900元，接待绵阳市三台县人民检察院开展检查业务支出800元，接待四川省人民检察院办理案件支出560元，接待达州市人民检察院援建工作支出2100元，接待阿坝州人民检察院办理案件支出500元，接待绵阳市三台县人民检察院开展业务工作支出1200元，接待绵阳市高新区人民检察院开展刑事检察工作支出1080元，接待绵阳市游仙区人民检察院开展检察业务工作支出1300元，接待茂县人民检察院办理案件支出1100元。</w:t>
      </w:r>
    </w:p>
    <w:p w14:paraId="0E572091">
      <w:pPr>
        <w:spacing w:line="600" w:lineRule="exact"/>
        <w:ind w:firstLine="640"/>
        <w:rPr>
          <w:rFonts w:eastAsia="仿宋_GB2312" w:cs="仿宋_GB2312"/>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出0万元</w:t>
      </w:r>
      <w:r>
        <w:rPr>
          <w:rFonts w:hint="eastAsia" w:eastAsia="仿宋_GB2312" w:cs="仿宋_GB2312"/>
          <w:sz w:val="32"/>
          <w:szCs w:val="32"/>
        </w:rPr>
        <w:t>。</w:t>
      </w:r>
      <w:bookmarkStart w:id="58" w:name="_Toc15396610"/>
      <w:bookmarkStart w:id="59" w:name="_Toc15377218"/>
    </w:p>
    <w:p w14:paraId="53057728">
      <w:pPr>
        <w:pStyle w:val="6"/>
        <w:ind w:firstLine="643"/>
      </w:pPr>
      <w:bookmarkStart w:id="60" w:name="_Toc22426"/>
      <w:r>
        <w:rPr>
          <w:rFonts w:hint="eastAsia" w:ascii="黑体" w:hAnsi="黑体" w:eastAsia="黑体" w:cs="黑体"/>
        </w:rPr>
        <w:t>八、政府性基金预算支出决算情况说明</w:t>
      </w:r>
      <w:bookmarkEnd w:id="58"/>
      <w:bookmarkEnd w:id="59"/>
      <w:bookmarkEnd w:id="60"/>
    </w:p>
    <w:p w14:paraId="7DBDC472">
      <w:pPr>
        <w:spacing w:line="600" w:lineRule="exact"/>
        <w:ind w:firstLine="640"/>
        <w:rPr>
          <w:rFonts w:eastAsia="仿宋_GB2312" w:cs="仿宋_GB2312"/>
          <w:sz w:val="32"/>
          <w:szCs w:val="32"/>
        </w:rPr>
      </w:pPr>
      <w:r>
        <w:rPr>
          <w:rFonts w:hint="eastAsia" w:eastAsia="仿宋_GB2312"/>
          <w:sz w:val="32"/>
          <w:szCs w:val="32"/>
        </w:rPr>
        <w:t>2025</w:t>
      </w:r>
      <w:r>
        <w:rPr>
          <w:rFonts w:eastAsia="仿宋_GB2312"/>
          <w:sz w:val="32"/>
          <w:szCs w:val="32"/>
        </w:rPr>
        <w:t>年度政府性基金预算财政拨款支出</w:t>
      </w:r>
      <w:r>
        <w:rPr>
          <w:rFonts w:hint="eastAsia" w:eastAsia="仿宋_GB2312"/>
          <w:sz w:val="32"/>
          <w:szCs w:val="32"/>
        </w:rPr>
        <w:t>0</w:t>
      </w:r>
      <w:r>
        <w:rPr>
          <w:rFonts w:eastAsia="仿宋_GB2312"/>
          <w:sz w:val="32"/>
          <w:szCs w:val="32"/>
        </w:rPr>
        <w:t>万元。</w:t>
      </w:r>
    </w:p>
    <w:p w14:paraId="4414791A">
      <w:pPr>
        <w:pStyle w:val="6"/>
        <w:ind w:firstLine="643"/>
      </w:pPr>
      <w:bookmarkStart w:id="61" w:name="_Toc15377219"/>
      <w:bookmarkStart w:id="62" w:name="_Toc11733"/>
      <w:bookmarkStart w:id="63" w:name="_Toc15396611"/>
      <w:r>
        <w:rPr>
          <w:rFonts w:hint="eastAsia" w:ascii="黑体" w:hAnsi="黑体" w:eastAsia="黑体" w:cs="黑体"/>
        </w:rPr>
        <w:t>九、国有资本经营预算支出决算情况说明</w:t>
      </w:r>
      <w:bookmarkEnd w:id="61"/>
      <w:bookmarkEnd w:id="62"/>
      <w:bookmarkEnd w:id="63"/>
    </w:p>
    <w:p w14:paraId="6188018E">
      <w:pPr>
        <w:spacing w:line="600" w:lineRule="exact"/>
        <w:ind w:firstLine="640"/>
        <w:rPr>
          <w:rFonts w:eastAsia="仿宋_GB2312" w:cs="仿宋_GB2312"/>
          <w:sz w:val="32"/>
          <w:szCs w:val="32"/>
        </w:rPr>
      </w:pPr>
      <w:r>
        <w:rPr>
          <w:rFonts w:hint="eastAsia" w:eastAsia="仿宋_GB2312"/>
          <w:sz w:val="32"/>
          <w:szCs w:val="32"/>
        </w:rPr>
        <w:t>2025</w:t>
      </w:r>
      <w:r>
        <w:rPr>
          <w:rFonts w:eastAsia="仿宋_GB2312"/>
          <w:sz w:val="32"/>
          <w:szCs w:val="32"/>
        </w:rPr>
        <w:t>年度国有资本经营预算财政拨款支出</w:t>
      </w:r>
      <w:r>
        <w:rPr>
          <w:rFonts w:hint="eastAsia" w:eastAsia="仿宋_GB2312"/>
          <w:sz w:val="32"/>
          <w:szCs w:val="32"/>
        </w:rPr>
        <w:t>0</w:t>
      </w:r>
      <w:r>
        <w:rPr>
          <w:rFonts w:eastAsia="仿宋_GB2312"/>
          <w:sz w:val="32"/>
          <w:szCs w:val="32"/>
        </w:rPr>
        <w:t>万元。</w:t>
      </w:r>
    </w:p>
    <w:p w14:paraId="416BF794">
      <w:pPr>
        <w:pStyle w:val="6"/>
        <w:ind w:firstLine="643"/>
        <w:rPr>
          <w:rStyle w:val="35"/>
          <w:rFonts w:ascii="Times New Roman" w:hAnsi="Times New Roman" w:eastAsia="黑体"/>
          <w:b w:val="0"/>
          <w:bCs/>
        </w:rPr>
      </w:pPr>
      <w:bookmarkStart w:id="64" w:name="_Toc15396612"/>
      <w:bookmarkStart w:id="65" w:name="_Toc7854"/>
      <w:bookmarkStart w:id="66" w:name="_Toc15377221"/>
      <w:r>
        <w:rPr>
          <w:rFonts w:hint="eastAsia" w:ascii="黑体" w:hAnsi="黑体" w:eastAsia="黑体" w:cs="黑体"/>
        </w:rPr>
        <w:t>十、其他重要事项的情况说明</w:t>
      </w:r>
      <w:bookmarkEnd w:id="64"/>
      <w:bookmarkEnd w:id="65"/>
      <w:bookmarkEnd w:id="66"/>
    </w:p>
    <w:p w14:paraId="033FC029">
      <w:pPr>
        <w:spacing w:line="600" w:lineRule="exact"/>
        <w:ind w:firstLine="643" w:firstLineChars="200"/>
        <w:outlineLvl w:val="2"/>
        <w:rPr>
          <w:rFonts w:eastAsia="楷体_GB2312" w:cs="楷体_GB2312"/>
          <w:b/>
          <w:sz w:val="32"/>
          <w:szCs w:val="32"/>
        </w:rPr>
      </w:pPr>
      <w:bookmarkStart w:id="67" w:name="_Toc32629"/>
      <w:bookmarkStart w:id="68" w:name="_Toc15377222"/>
      <w:r>
        <w:rPr>
          <w:rFonts w:hint="eastAsia" w:eastAsia="楷体_GB2312" w:cs="楷体_GB2312"/>
          <w:b/>
          <w:sz w:val="32"/>
          <w:szCs w:val="32"/>
        </w:rPr>
        <w:t>（一）机关运行经费支出情况</w:t>
      </w:r>
      <w:bookmarkEnd w:id="67"/>
      <w:bookmarkEnd w:id="68"/>
    </w:p>
    <w:p w14:paraId="2592F4E7">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，九寨沟县人民检察院机关运行经费支出62.35万</w:t>
      </w:r>
      <w:r>
        <w:rPr>
          <w:rFonts w:hint="eastAsia" w:eastAsia="仿宋_GB2312" w:cs="仿宋_GB2312"/>
          <w:sz w:val="32"/>
          <w:szCs w:val="32"/>
        </w:rPr>
        <w:t>元，比2024年度增加6.81万元，增长12.26%.主要原因是业务量增加，机关运行费也随之增长。</w:t>
      </w:r>
    </w:p>
    <w:p w14:paraId="5E22049C">
      <w:pPr>
        <w:spacing w:line="600" w:lineRule="exact"/>
        <w:ind w:firstLine="643" w:firstLineChars="200"/>
        <w:outlineLvl w:val="2"/>
        <w:rPr>
          <w:rFonts w:eastAsia="楷体_GB2312" w:cs="楷体_GB2312"/>
          <w:b/>
          <w:sz w:val="32"/>
          <w:szCs w:val="32"/>
        </w:rPr>
      </w:pPr>
      <w:bookmarkStart w:id="69" w:name="_Toc15377223"/>
      <w:bookmarkStart w:id="70" w:name="_Toc22879"/>
      <w:r>
        <w:rPr>
          <w:rFonts w:hint="eastAsia" w:eastAsia="楷体_GB2312" w:cs="楷体_GB2312"/>
          <w:b/>
          <w:sz w:val="32"/>
          <w:szCs w:val="32"/>
        </w:rPr>
        <w:t>（二）政府采购支出情况</w:t>
      </w:r>
      <w:bookmarkEnd w:id="69"/>
      <w:bookmarkEnd w:id="70"/>
    </w:p>
    <w:p w14:paraId="311B8287">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2025年度，九寨沟县人民检察院政府采购支出总额66.36万元，其中：政府采购货物支出52.64万元、政府采购工程支出0万元、政府采购服务支出13.72万元。主要用于采购检察业务相关装备设备执法执勤车辆的维修维护及保险。授予中小企业合同金额0万元，占政府采购支出总额的0%，其中：授予小微企业合同金额0万元，占政府采购支出总额的0%。</w:t>
      </w:r>
    </w:p>
    <w:p w14:paraId="763A68C5">
      <w:pPr>
        <w:spacing w:line="600" w:lineRule="exact"/>
        <w:ind w:firstLine="643" w:firstLineChars="200"/>
        <w:outlineLvl w:val="2"/>
        <w:rPr>
          <w:rFonts w:eastAsia="楷体_GB2312" w:cs="楷体_GB2312"/>
          <w:b/>
          <w:sz w:val="32"/>
          <w:szCs w:val="32"/>
        </w:rPr>
      </w:pPr>
      <w:bookmarkStart w:id="71" w:name="_Toc15377224"/>
      <w:bookmarkStart w:id="72" w:name="_Toc21583"/>
      <w:r>
        <w:rPr>
          <w:rFonts w:hint="eastAsia" w:eastAsia="楷体_GB2312" w:cs="楷体_GB2312"/>
          <w:b/>
          <w:sz w:val="32"/>
          <w:szCs w:val="32"/>
        </w:rPr>
        <w:t>（三）国有资产占有使用情况</w:t>
      </w:r>
      <w:bookmarkEnd w:id="71"/>
      <w:bookmarkEnd w:id="72"/>
    </w:p>
    <w:p w14:paraId="20701B6E">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截至2025年12月31日，九寨沟县人民检察院共有车辆5辆，其中：主要负责人用车0辆、机要通信用车0辆、应急保障用车0辆、</w:t>
      </w:r>
      <w:r>
        <w:rPr>
          <w:rFonts w:eastAsia="仿宋_GB2312"/>
          <w:color w:val="000000"/>
          <w:spacing w:val="15"/>
          <w:sz w:val="32"/>
          <w:szCs w:val="32"/>
          <w:shd w:val="clear" w:color="auto" w:fill="FFFFFF"/>
        </w:rPr>
        <w:t>执法执勤用车</w:t>
      </w:r>
      <w:r>
        <w:rPr>
          <w:rFonts w:hint="eastAsia" w:eastAsia="仿宋_GB2312"/>
          <w:color w:val="000000"/>
          <w:spacing w:val="15"/>
          <w:sz w:val="32"/>
          <w:szCs w:val="32"/>
          <w:shd w:val="clear" w:color="auto" w:fill="FFFFFF"/>
        </w:rPr>
        <w:t>4</w:t>
      </w:r>
      <w:r>
        <w:rPr>
          <w:rFonts w:eastAsia="仿宋_GB2312"/>
          <w:color w:val="000000"/>
          <w:spacing w:val="15"/>
          <w:sz w:val="32"/>
          <w:szCs w:val="32"/>
          <w:shd w:val="clear" w:color="auto" w:fill="FFFFFF"/>
        </w:rPr>
        <w:t>辆、特种专业技术用车1辆、离退休干部用车0辆。主要是用于履行检察职能。</w:t>
      </w:r>
      <w:r>
        <w:rPr>
          <w:rFonts w:eastAsia="仿宋_GB2312"/>
          <w:sz w:val="32"/>
          <w:szCs w:val="32"/>
        </w:rPr>
        <w:t>单价100万元以上设备（不含车辆）</w:t>
      </w:r>
      <w:r>
        <w:rPr>
          <w:rFonts w:hint="eastAsia" w:eastAsia="仿宋_GB2312"/>
          <w:sz w:val="32"/>
          <w:szCs w:val="32"/>
        </w:rPr>
        <w:t>0</w:t>
      </w:r>
      <w:r>
        <w:rPr>
          <w:rFonts w:eastAsia="仿宋_GB2312"/>
          <w:sz w:val="32"/>
          <w:szCs w:val="32"/>
        </w:rPr>
        <w:t>台（套）。</w:t>
      </w:r>
    </w:p>
    <w:p w14:paraId="492F734C">
      <w:pPr>
        <w:spacing w:line="600" w:lineRule="exact"/>
        <w:ind w:firstLine="643" w:firstLineChars="200"/>
        <w:outlineLvl w:val="2"/>
        <w:rPr>
          <w:rFonts w:eastAsia="楷体_GB2312" w:cs="楷体_GB2312"/>
          <w:b/>
          <w:sz w:val="32"/>
          <w:szCs w:val="32"/>
        </w:rPr>
      </w:pPr>
      <w:bookmarkStart w:id="73" w:name="_Toc4389"/>
      <w:r>
        <w:rPr>
          <w:rFonts w:hint="eastAsia" w:eastAsia="楷体_GB2312" w:cs="楷体_GB2312"/>
          <w:b/>
          <w:sz w:val="32"/>
          <w:szCs w:val="32"/>
        </w:rPr>
        <w:t>（四）预算绩效管理情况</w:t>
      </w:r>
      <w:bookmarkEnd w:id="73"/>
    </w:p>
    <w:p w14:paraId="2D566226">
      <w:pPr>
        <w:spacing w:line="600" w:lineRule="exact"/>
        <w:ind w:firstLine="640"/>
        <w:rPr>
          <w:rFonts w:eastAsia="仿宋_GB2312" w:cs="仿宋_GB2312"/>
          <w:sz w:val="32"/>
          <w:szCs w:val="32"/>
        </w:rPr>
      </w:pPr>
      <w:r>
        <w:rPr>
          <w:rFonts w:hint="eastAsia" w:eastAsia="仿宋_GB2312" w:cs="仿宋_GB2312"/>
          <w:sz w:val="32"/>
          <w:szCs w:val="32"/>
        </w:rPr>
        <w:t>根据预算绩效管理要求，办部门在2025年度预算编制阶段，组织对-检察业务装备经费等8个项目开展了预算事前绩效评估，对8个项目编制了绩效目标，预算执行过程中，选取8个项目开展绩效监控。</w:t>
      </w:r>
    </w:p>
    <w:p w14:paraId="4671DF74">
      <w:pPr>
        <w:spacing w:line="600" w:lineRule="exact"/>
        <w:ind w:firstLine="640"/>
        <w:rPr>
          <w:rFonts w:eastAsia="仿宋_GB2312" w:cs="仿宋_GB2312"/>
          <w:b/>
          <w:bCs/>
          <w:sz w:val="32"/>
          <w:szCs w:val="32"/>
        </w:rPr>
      </w:pPr>
      <w:r>
        <w:rPr>
          <w:rFonts w:hint="eastAsia" w:eastAsia="仿宋_GB2312" w:cs="仿宋_GB2312"/>
          <w:sz w:val="32"/>
          <w:szCs w:val="32"/>
        </w:rPr>
        <w:t>组织对2025年度一般公共预算、政府性基金预算、国有资本经营预算、社会保险基金预算以及资本资产、债券资金等全面开展绩效自评，形成1部门整体（含部门预算项目）绩效自评报告其中，</w:t>
      </w:r>
      <w:r>
        <w:rPr>
          <w:rFonts w:hint="eastAsia" w:eastAsia="仿宋_GB2312"/>
          <w:sz w:val="32"/>
          <w:szCs w:val="32"/>
        </w:rPr>
        <w:t>九寨沟县人民检察院</w:t>
      </w:r>
      <w:r>
        <w:rPr>
          <w:rFonts w:hint="eastAsia" w:eastAsia="仿宋_GB2312" w:cs="仿宋_GB2312"/>
          <w:sz w:val="32"/>
          <w:szCs w:val="32"/>
        </w:rPr>
        <w:t>部门整体（含部门预算项目）绩效自评得分为92.79分，绩效自评综述：</w:t>
      </w:r>
      <w:r>
        <w:rPr>
          <w:rFonts w:eastAsia="仿宋_GB2312"/>
          <w:sz w:val="32"/>
          <w:szCs w:val="32"/>
        </w:rPr>
        <w:t>我单位积极履职，强化管理，较好的完成了年度工作目标。通过加强预算收支管理，不断建立健全内部管理制度，梳理内部管理流程，部门整体支出管理水平得到提升。根据部门整体支出绩效评价指标体系，我单位</w:t>
      </w:r>
      <w:r>
        <w:rPr>
          <w:rFonts w:hint="eastAsia" w:eastAsia="仿宋_GB2312"/>
          <w:sz w:val="32"/>
          <w:szCs w:val="32"/>
        </w:rPr>
        <w:t>2025</w:t>
      </w:r>
      <w:r>
        <w:rPr>
          <w:rFonts w:eastAsia="仿宋_GB2312"/>
          <w:sz w:val="32"/>
          <w:szCs w:val="32"/>
        </w:rPr>
        <w:t>年度评价得分为</w:t>
      </w:r>
      <w:r>
        <w:rPr>
          <w:rFonts w:hint="eastAsia" w:eastAsia="仿宋_GB2312"/>
          <w:sz w:val="32"/>
          <w:szCs w:val="32"/>
        </w:rPr>
        <w:t>92.79</w:t>
      </w:r>
      <w:r>
        <w:rPr>
          <w:rFonts w:eastAsia="仿宋_GB2312"/>
          <w:sz w:val="32"/>
          <w:szCs w:val="32"/>
        </w:rPr>
        <w:t>分。绩效自评报告详见附件。</w:t>
      </w:r>
    </w:p>
    <w:p w14:paraId="4AC6C43E">
      <w:pPr>
        <w:spacing w:line="600" w:lineRule="exact"/>
        <w:rPr>
          <w:rFonts w:eastAsia="仿宋_GB2312" w:cs="仿宋_GB2312"/>
          <w:sz w:val="32"/>
          <w:szCs w:val="32"/>
        </w:rPr>
      </w:pPr>
      <w:r>
        <w:rPr>
          <w:rFonts w:hint="eastAsia" w:eastAsia="仿宋_GB2312" w:cs="仿宋_GB2312"/>
          <w:sz w:val="32"/>
          <w:szCs w:val="32"/>
        </w:rPr>
        <w:br w:type="page"/>
      </w:r>
    </w:p>
    <w:p w14:paraId="1848F731">
      <w:pPr>
        <w:pStyle w:val="5"/>
        <w:jc w:val="center"/>
      </w:pPr>
      <w:bookmarkStart w:id="74" w:name="_Toc15011"/>
      <w:bookmarkStart w:id="75" w:name="_Toc15377225"/>
      <w:bookmarkStart w:id="76" w:name="_Toc15396613"/>
      <w:r>
        <w:rPr>
          <w:rFonts w:hint="eastAsia" w:ascii="方正小标宋简体" w:hAnsi="方正小标宋简体" w:eastAsia="方正小标宋简体" w:cs="方正小标宋简体"/>
        </w:rPr>
        <w:t>第三部分  名词解释</w:t>
      </w:r>
      <w:bookmarkEnd w:id="74"/>
      <w:bookmarkEnd w:id="75"/>
      <w:bookmarkEnd w:id="76"/>
    </w:p>
    <w:p w14:paraId="62FB66C6">
      <w:pPr>
        <w:spacing w:line="600" w:lineRule="exact"/>
        <w:jc w:val="left"/>
        <w:rPr>
          <w:b/>
          <w:sz w:val="44"/>
          <w:szCs w:val="44"/>
        </w:rPr>
      </w:pPr>
    </w:p>
    <w:p w14:paraId="2120BDA9">
      <w:pPr>
        <w:ind w:firstLine="640" w:firstLineChars="200"/>
        <w:rPr>
          <w:rFonts w:eastAsia="仿宋_GB2312"/>
          <w:sz w:val="32"/>
          <w:szCs w:val="32"/>
        </w:rPr>
      </w:pPr>
      <w:r>
        <w:rPr>
          <w:rFonts w:eastAsia="仿宋_GB2312"/>
          <w:sz w:val="32"/>
          <w:szCs w:val="32"/>
        </w:rPr>
        <w:t>1.财政拨款收入：指单位从同级财政部门取得的财政预算资金。</w:t>
      </w:r>
    </w:p>
    <w:p w14:paraId="6E9E0CD0">
      <w:pPr>
        <w:ind w:firstLine="640" w:firstLineChars="200"/>
        <w:rPr>
          <w:rFonts w:eastAsia="仿宋_GB2312"/>
          <w:sz w:val="32"/>
          <w:szCs w:val="32"/>
        </w:rPr>
      </w:pPr>
      <w:r>
        <w:rPr>
          <w:rFonts w:eastAsia="仿宋_GB2312"/>
          <w:sz w:val="32"/>
          <w:szCs w:val="32"/>
        </w:rPr>
        <w:t>2.其他收入：指单位取得的除上述收入以外的各项收入。</w:t>
      </w:r>
    </w:p>
    <w:p w14:paraId="5263318D">
      <w:pPr>
        <w:ind w:firstLine="640" w:firstLineChars="200"/>
        <w:rPr>
          <w:rFonts w:eastAsia="仿宋_GB2312"/>
          <w:sz w:val="32"/>
          <w:szCs w:val="32"/>
        </w:rPr>
      </w:pPr>
      <w:r>
        <w:rPr>
          <w:rFonts w:eastAsia="仿宋_GB2312"/>
          <w:sz w:val="32"/>
          <w:szCs w:val="32"/>
        </w:rPr>
        <w:t>3.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4B4F9894">
      <w:pPr>
        <w:ind w:firstLine="640" w:firstLineChars="200"/>
        <w:rPr>
          <w:rFonts w:eastAsia="仿宋_GB2312"/>
          <w:sz w:val="32"/>
          <w:szCs w:val="32"/>
        </w:rPr>
      </w:pPr>
      <w:r>
        <w:rPr>
          <w:rFonts w:eastAsia="仿宋_GB2312"/>
          <w:sz w:val="32"/>
          <w:szCs w:val="32"/>
        </w:rPr>
        <w:t>4.年初结转和结余：指以前年度尚未完成、结转到本年按有关规定继续使用的资金。</w:t>
      </w:r>
    </w:p>
    <w:p w14:paraId="1D8B4428">
      <w:pPr>
        <w:ind w:firstLine="640" w:firstLineChars="200"/>
        <w:rPr>
          <w:rFonts w:eastAsia="仿宋_GB2312"/>
          <w:sz w:val="32"/>
          <w:szCs w:val="32"/>
        </w:rPr>
      </w:pPr>
      <w:r>
        <w:rPr>
          <w:rFonts w:eastAsia="仿宋_GB2312"/>
          <w:sz w:val="32"/>
          <w:szCs w:val="32"/>
        </w:rPr>
        <w:t>5.结余分配：指事业单位按照事业单位会计制度的规定从非财政补助结余中分配的事业基金和职工福利基金等。</w:t>
      </w:r>
    </w:p>
    <w:p w14:paraId="751F2614">
      <w:pPr>
        <w:ind w:firstLine="640" w:firstLineChars="200"/>
        <w:rPr>
          <w:rFonts w:eastAsia="仿宋_GB2312"/>
          <w:sz w:val="32"/>
          <w:szCs w:val="32"/>
        </w:rPr>
      </w:pPr>
      <w:r>
        <w:rPr>
          <w:rFonts w:eastAsia="仿宋_GB2312"/>
          <w:sz w:val="32"/>
          <w:szCs w:val="32"/>
        </w:rPr>
        <w:t>6、年末结转和结余：指单位按有关规定结转到下年或以后年度继续使用的资金。</w:t>
      </w:r>
    </w:p>
    <w:p w14:paraId="129F9F85">
      <w:pPr>
        <w:ind w:firstLine="640" w:firstLineChars="200"/>
        <w:rPr>
          <w:rFonts w:eastAsia="仿宋_GB2312"/>
          <w:sz w:val="32"/>
          <w:szCs w:val="32"/>
        </w:rPr>
      </w:pPr>
      <w:r>
        <w:rPr>
          <w:rFonts w:eastAsia="仿宋_GB2312"/>
          <w:sz w:val="32"/>
          <w:szCs w:val="32"/>
        </w:rPr>
        <w:t>7.一般公共服务（类）其他一般公共服务（款）其他一般公共服务（项）：指副县级领导干部绩效。</w:t>
      </w:r>
    </w:p>
    <w:p w14:paraId="3AA696B0">
      <w:pPr>
        <w:ind w:firstLine="640" w:firstLineChars="200"/>
        <w:rPr>
          <w:rFonts w:eastAsia="仿宋_GB2312"/>
          <w:sz w:val="32"/>
          <w:szCs w:val="32"/>
        </w:rPr>
      </w:pPr>
      <w:r>
        <w:rPr>
          <w:rFonts w:eastAsia="仿宋_GB2312"/>
          <w:sz w:val="32"/>
          <w:szCs w:val="32"/>
        </w:rPr>
        <w:t>8.公共安全（类）检察（款）行政运行（项）：指公职人员基本工资、津贴补贴、公用经费等。</w:t>
      </w:r>
    </w:p>
    <w:p w14:paraId="6345B421">
      <w:pPr>
        <w:ind w:firstLine="640" w:firstLineChars="200"/>
        <w:rPr>
          <w:rFonts w:eastAsia="仿宋_GB2312"/>
          <w:sz w:val="32"/>
          <w:szCs w:val="32"/>
        </w:rPr>
      </w:pPr>
      <w:r>
        <w:rPr>
          <w:rFonts w:eastAsia="仿宋_GB2312"/>
          <w:sz w:val="32"/>
          <w:szCs w:val="32"/>
        </w:rPr>
        <w:t>9.公共安全（类）检察（款）一般行政管理事务（项）：指检察业务办案经费及设备经费。</w:t>
      </w:r>
    </w:p>
    <w:p w14:paraId="17C34E53">
      <w:pPr>
        <w:ind w:firstLine="640" w:firstLineChars="200"/>
        <w:rPr>
          <w:rFonts w:eastAsia="仿宋_GB2312"/>
          <w:sz w:val="32"/>
          <w:szCs w:val="32"/>
        </w:rPr>
      </w:pPr>
      <w:r>
        <w:rPr>
          <w:rFonts w:eastAsia="仿宋_GB2312"/>
          <w:sz w:val="32"/>
          <w:szCs w:val="32"/>
        </w:rPr>
        <w:t>10.公共安全（类）检察（款）“两房”建设（项）：指人民检察院办案用房和专业技术用房检察相关支出。</w:t>
      </w:r>
    </w:p>
    <w:p w14:paraId="7BB5733E">
      <w:pPr>
        <w:ind w:firstLine="640" w:firstLineChars="200"/>
        <w:rPr>
          <w:rFonts w:eastAsia="仿宋_GB2312"/>
          <w:sz w:val="32"/>
          <w:szCs w:val="32"/>
        </w:rPr>
      </w:pPr>
      <w:r>
        <w:rPr>
          <w:rFonts w:eastAsia="仿宋_GB2312"/>
          <w:sz w:val="32"/>
          <w:szCs w:val="32"/>
        </w:rPr>
        <w:t>11.公共安全（类）检察（款）其他检察支出（项）：指检察业务办案经费及设备经费。</w:t>
      </w:r>
    </w:p>
    <w:p w14:paraId="1BD137EB">
      <w:pPr>
        <w:ind w:firstLine="640" w:firstLineChars="200"/>
        <w:rPr>
          <w:rFonts w:eastAsia="仿宋_GB2312"/>
          <w:sz w:val="32"/>
          <w:szCs w:val="32"/>
        </w:rPr>
      </w:pPr>
      <w:r>
        <w:rPr>
          <w:rFonts w:eastAsia="仿宋_GB2312"/>
          <w:sz w:val="32"/>
          <w:szCs w:val="32"/>
        </w:rPr>
        <w:t>12.社会保障和就业（类）行政事业单位离退休（款）机关事业外单位基本养老保险缴费支出（项）：指基本养老保险的支出。</w:t>
      </w:r>
    </w:p>
    <w:p w14:paraId="72841E58">
      <w:pPr>
        <w:ind w:firstLine="640" w:firstLineChars="200"/>
        <w:rPr>
          <w:rFonts w:eastAsia="仿宋_GB2312"/>
          <w:sz w:val="32"/>
          <w:szCs w:val="32"/>
        </w:rPr>
      </w:pPr>
      <w:r>
        <w:rPr>
          <w:rFonts w:eastAsia="仿宋_GB2312"/>
          <w:sz w:val="32"/>
          <w:szCs w:val="32"/>
        </w:rPr>
        <w:t>13.社会保障和就业（类）行政事业单位离退休（款）机关事业外单位职业年金缴费支出（项）：指职业年金的缴费支出。</w:t>
      </w:r>
    </w:p>
    <w:p w14:paraId="20271530">
      <w:pPr>
        <w:ind w:firstLine="640" w:firstLineChars="200"/>
        <w:rPr>
          <w:rFonts w:eastAsia="仿宋_GB2312"/>
          <w:sz w:val="32"/>
          <w:szCs w:val="32"/>
        </w:rPr>
      </w:pPr>
      <w:r>
        <w:rPr>
          <w:rFonts w:eastAsia="仿宋_GB2312"/>
          <w:sz w:val="32"/>
          <w:szCs w:val="32"/>
        </w:rPr>
        <w:t>14.医疗卫生与计划生育（类）行政事业单位医疗（款）行政单位医疗（项）：指单位缴费基本医疗保险支出。</w:t>
      </w:r>
    </w:p>
    <w:p w14:paraId="6A72AE98">
      <w:pPr>
        <w:ind w:firstLine="640" w:firstLineChars="200"/>
        <w:rPr>
          <w:rFonts w:eastAsia="仿宋_GB2312"/>
          <w:sz w:val="32"/>
          <w:szCs w:val="32"/>
        </w:rPr>
      </w:pPr>
      <w:r>
        <w:rPr>
          <w:rFonts w:eastAsia="仿宋_GB2312"/>
          <w:sz w:val="32"/>
          <w:szCs w:val="32"/>
        </w:rPr>
        <w:t>15.医疗卫生与计划生育（类）行政事业单位医疗（款）公务员医疗（项）：指单位缴费公务员补充医疗保险支出。</w:t>
      </w:r>
    </w:p>
    <w:p w14:paraId="071BA656">
      <w:pPr>
        <w:ind w:firstLine="640" w:firstLineChars="200"/>
        <w:rPr>
          <w:rFonts w:eastAsia="仿宋_GB2312"/>
          <w:sz w:val="32"/>
          <w:szCs w:val="32"/>
        </w:rPr>
      </w:pPr>
      <w:r>
        <w:rPr>
          <w:rFonts w:eastAsia="仿宋_GB2312"/>
          <w:sz w:val="32"/>
          <w:szCs w:val="32"/>
        </w:rPr>
        <w:t>16.住房保障（类）住房改革支出（款）公积金（项）：指单位缴纳公积金支出。</w:t>
      </w:r>
    </w:p>
    <w:p w14:paraId="6D058C7C">
      <w:pPr>
        <w:ind w:firstLine="640" w:firstLineChars="200"/>
        <w:rPr>
          <w:rFonts w:eastAsia="仿宋_GB2312"/>
          <w:sz w:val="32"/>
          <w:szCs w:val="32"/>
        </w:rPr>
      </w:pPr>
      <w:r>
        <w:rPr>
          <w:rFonts w:eastAsia="仿宋_GB2312"/>
          <w:sz w:val="32"/>
          <w:szCs w:val="32"/>
        </w:rPr>
        <w:t>17.基本支出：指为保障机构正常运转、完成日常工作任务而发生的人员支出和公用支出。</w:t>
      </w:r>
    </w:p>
    <w:p w14:paraId="30EBA046">
      <w:pPr>
        <w:ind w:firstLine="640" w:firstLineChars="200"/>
        <w:rPr>
          <w:rFonts w:eastAsia="仿宋_GB2312"/>
          <w:sz w:val="32"/>
          <w:szCs w:val="32"/>
        </w:rPr>
      </w:pPr>
      <w:r>
        <w:rPr>
          <w:rFonts w:eastAsia="仿宋_GB2312"/>
          <w:sz w:val="32"/>
          <w:szCs w:val="32"/>
        </w:rPr>
        <w:t>18.项目支出：指在基本支出之外为完成特定行政任务和事业发展目标所发生的支出。</w:t>
      </w:r>
    </w:p>
    <w:p w14:paraId="0C2DEF81">
      <w:pPr>
        <w:ind w:firstLine="640" w:firstLineChars="200"/>
        <w:rPr>
          <w:rFonts w:eastAsia="仿宋_GB2312"/>
          <w:sz w:val="32"/>
          <w:szCs w:val="32"/>
        </w:rPr>
      </w:pPr>
      <w:r>
        <w:rPr>
          <w:rFonts w:eastAsia="仿宋_GB2312"/>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83D27F8">
      <w:pPr>
        <w:ind w:firstLine="640" w:firstLineChars="200"/>
        <w:rPr>
          <w:rFonts w:eastAsia="仿宋_GB2312" w:cs="仿宋_GB2312"/>
          <w:b/>
          <w:bCs/>
          <w:sz w:val="32"/>
          <w:szCs w:val="32"/>
        </w:rPr>
      </w:pPr>
      <w:r>
        <w:rPr>
          <w:rFonts w:eastAsia="仿宋_GB2312"/>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2C06308">
      <w:pPr>
        <w:pStyle w:val="5"/>
        <w:jc w:val="center"/>
        <w:rPr>
          <w:rFonts w:ascii="方正小标宋简体" w:hAnsi="方正小标宋简体" w:eastAsia="方正小标宋简体" w:cs="方正小标宋简体"/>
          <w:color w:val="FF0000"/>
        </w:rPr>
      </w:pPr>
      <w:bookmarkStart w:id="77" w:name="_Toc15377226"/>
      <w:r>
        <w:rPr>
          <w:rFonts w:hint="eastAsia" w:eastAsia="仿宋_GB2312" w:cs="仿宋_GB2312"/>
          <w:kern w:val="2"/>
          <w:sz w:val="32"/>
          <w:szCs w:val="32"/>
        </w:rPr>
        <w:br w:type="page"/>
      </w:r>
      <w:bookmarkStart w:id="78" w:name="_Toc9051"/>
      <w:bookmarkStart w:id="79" w:name="_Toc15396614"/>
      <w:r>
        <w:rPr>
          <w:rFonts w:hint="eastAsia" w:ascii="方正小标宋简体" w:hAnsi="方正小标宋简体" w:eastAsia="方正小标宋简体" w:cs="方正小标宋简体"/>
        </w:rPr>
        <w:t>第四部分  附件</w:t>
      </w:r>
      <w:bookmarkEnd w:id="78"/>
      <w:bookmarkEnd w:id="79"/>
    </w:p>
    <w:p w14:paraId="3D756688">
      <w:pPr>
        <w:rPr>
          <w:rFonts w:ascii="黑体" w:hAnsi="黑体" w:eastAsia="黑体" w:cs="黑体"/>
          <w:sz w:val="32"/>
          <w:szCs w:val="32"/>
        </w:rPr>
      </w:pPr>
      <w:r>
        <w:rPr>
          <w:rFonts w:hint="eastAsia" w:ascii="黑体" w:hAnsi="黑体" w:eastAsia="黑体" w:cs="黑体"/>
          <w:sz w:val="32"/>
          <w:szCs w:val="32"/>
        </w:rPr>
        <w:t>附件1</w:t>
      </w:r>
    </w:p>
    <w:p w14:paraId="24BA03AD">
      <w:pPr>
        <w:pStyle w:val="9"/>
        <w:spacing w:before="93"/>
      </w:pPr>
    </w:p>
    <w:p w14:paraId="511B2A73">
      <w:pPr>
        <w:pStyle w:val="6"/>
        <w:ind w:firstLine="0" w:firstLineChars="0"/>
        <w:jc w:val="center"/>
        <w:rPr>
          <w:rFonts w:ascii="方正小标宋简体" w:hAnsi="方正小标宋简体" w:eastAsia="方正小标宋简体" w:cs="方正小标宋简体"/>
          <w:sz w:val="44"/>
          <w:szCs w:val="44"/>
        </w:rPr>
      </w:pPr>
      <w:bookmarkStart w:id="80" w:name="_Toc27149"/>
      <w:r>
        <w:rPr>
          <w:rFonts w:hint="eastAsia" w:ascii="方正小标宋简体" w:hAnsi="方正小标宋简体" w:eastAsia="方正小标宋简体" w:cs="方正小标宋简体"/>
          <w:sz w:val="44"/>
          <w:szCs w:val="44"/>
        </w:rPr>
        <w:t>九寨沟县人民检察院关于2025年州级部门整体支出绩效评价报告</w:t>
      </w:r>
      <w:bookmarkEnd w:id="80"/>
    </w:p>
    <w:p w14:paraId="7A3A3BFA">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78000852">
      <w:pPr>
        <w:pStyle w:val="6"/>
        <w:ind w:firstLine="643"/>
        <w:rPr>
          <w:rFonts w:ascii="仿宋_GB2312" w:hAnsi="仿宋_GB2312" w:eastAsia="仿宋_GB2312" w:cs="仿宋_GB2312"/>
        </w:rPr>
      </w:pPr>
      <w:bookmarkStart w:id="81" w:name="_Toc16917"/>
      <w:r>
        <w:rPr>
          <w:rFonts w:hint="eastAsia" w:ascii="黑体" w:hAnsi="黑体" w:eastAsia="黑体" w:cs="黑体"/>
          <w:lang w:val="zh-CN"/>
        </w:rPr>
        <w:t>一、部门（单位）基本情况</w:t>
      </w:r>
      <w:bookmarkEnd w:id="81"/>
    </w:p>
    <w:p w14:paraId="3575AE7B">
      <w:pPr>
        <w:widowControl/>
        <w:adjustRightInd w:val="0"/>
        <w:snapToGrid w:val="0"/>
        <w:spacing w:line="578" w:lineRule="exact"/>
        <w:ind w:firstLine="643"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b/>
          <w:bCs/>
          <w:color w:val="000000"/>
          <w:kern w:val="0"/>
          <w:sz w:val="32"/>
          <w:szCs w:val="32"/>
          <w:shd w:val="clear" w:color="auto" w:fill="FFFFFF"/>
          <w:lang w:val="zh-CN"/>
        </w:rPr>
        <w:t>（一）机构组成。</w:t>
      </w:r>
      <w:r>
        <w:rPr>
          <w:rFonts w:hint="eastAsia" w:ascii="仿宋_GB2312" w:hAnsi="仿宋_GB2312" w:eastAsia="仿宋_GB2312" w:cs="仿宋_GB2312"/>
          <w:color w:val="000000"/>
          <w:sz w:val="32"/>
          <w:szCs w:val="32"/>
        </w:rPr>
        <w:t>九寨沟县人民检察院独立核算机构1个，内设机构8个，即：办公室、政治部、第一检察部、第二检察部、第三检察部、2个派驻乡镇检察室及1个派驻看守所检察室。</w:t>
      </w:r>
    </w:p>
    <w:p w14:paraId="35968BF8">
      <w:pPr>
        <w:spacing w:line="576"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kern w:val="0"/>
          <w:sz w:val="32"/>
          <w:szCs w:val="32"/>
          <w:shd w:val="clear" w:color="auto" w:fill="FFFFFF"/>
          <w:lang w:val="zh-CN"/>
        </w:rPr>
        <w:t>（二）机构职能。</w:t>
      </w:r>
      <w:bookmarkStart w:id="82" w:name="OLE_LINK2"/>
      <w:r>
        <w:rPr>
          <w:rFonts w:hint="eastAsia" w:ascii="仿宋_GB2312" w:hAnsi="仿宋_GB2312" w:eastAsia="仿宋_GB2312" w:cs="仿宋_GB2312"/>
          <w:color w:val="000000"/>
          <w:sz w:val="32"/>
          <w:szCs w:val="32"/>
        </w:rPr>
        <w:t>九寨沟县人民检察院</w:t>
      </w:r>
      <w:bookmarkEnd w:id="82"/>
      <w:r>
        <w:rPr>
          <w:rFonts w:hint="eastAsia" w:ascii="仿宋_GB2312" w:hAnsi="仿宋_GB2312" w:eastAsia="仿宋_GB2312" w:cs="仿宋_GB2312"/>
          <w:color w:val="000000"/>
          <w:sz w:val="32"/>
          <w:szCs w:val="32"/>
        </w:rPr>
        <w:t>是国家的法律监督机关。对九寨沟县人民代表大会及其常委会负责并报告工作。其主要职责是:依法行使检察权,按照上级人民检察院的总体工作部署,安排我院检察工作任务;依法向县人民代表大会及其常务委员会提出议案;开展对刑事犯罪案件的审查批捕、决定逮捕、提起公诉等工作;依法对刑事诉讼、民事诉讼和行政诉讼实行法律监督,依法开展立案监督、侦查监督,向人民法院提起抗诉或再审检察建议;受理单位和个人的控告、申诉、举报;研究检察工作中的具体法律政策应用问题;负责检察机关对外交流和涉外个案协查工作管理;负责检察机关的队伍建设、思想政治等工作;负责其他应当由县人民检察院承办的事项。</w:t>
      </w:r>
    </w:p>
    <w:p w14:paraId="5E240913">
      <w:pPr>
        <w:widowControl/>
        <w:spacing w:line="578" w:lineRule="exact"/>
        <w:ind w:firstLine="643" w:firstLineChars="200"/>
        <w:contextualSpacing/>
        <w:rPr>
          <w:rFonts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bCs/>
          <w:sz w:val="32"/>
          <w:szCs w:val="32"/>
        </w:rPr>
        <w:t>（三）人员概况。</w:t>
      </w:r>
      <w:r>
        <w:rPr>
          <w:rFonts w:hint="eastAsia" w:ascii="仿宋_GB2312" w:hAnsi="仿宋_GB2312" w:eastAsia="仿宋_GB2312" w:cs="仿宋_GB2312"/>
          <w:color w:val="000000"/>
          <w:sz w:val="32"/>
          <w:szCs w:val="32"/>
        </w:rPr>
        <w:t>九寨沟县人民检察院共有编制27个，政法专项编制25个，机关工勤编制2个。截止2025年末，行政单位在职人员实有24人，其中政法专项人员22人，机关工勤人员2个，本年退休人员0人。聘用制书记员编制9人，实有聘用制书记员9人。</w:t>
      </w:r>
    </w:p>
    <w:p w14:paraId="5BC137C4">
      <w:pPr>
        <w:pStyle w:val="6"/>
        <w:ind w:firstLine="643"/>
      </w:pPr>
      <w:bookmarkStart w:id="83" w:name="_Toc27033"/>
      <w:r>
        <w:rPr>
          <w:rFonts w:hint="eastAsia" w:ascii="黑体" w:hAnsi="黑体" w:eastAsia="黑体" w:cs="黑体"/>
        </w:rPr>
        <w:t>二、部门资金收支情况</w:t>
      </w:r>
      <w:bookmarkEnd w:id="83"/>
    </w:p>
    <w:p w14:paraId="331B1BB9">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zh-CN"/>
        </w:rPr>
        <w:t>（一）收入情况。</w:t>
      </w:r>
      <w:r>
        <w:rPr>
          <w:rFonts w:hint="eastAsia" w:ascii="仿宋_GB2312" w:hAnsi="仿宋_GB2312" w:eastAsia="仿宋_GB2312" w:cs="仿宋_GB2312"/>
          <w:sz w:val="32"/>
          <w:szCs w:val="32"/>
        </w:rPr>
        <w:t>九寨沟县人民检察院2025年年初预算收入为1036.08万元。决算报表收入1064.82万元。其中：上年结转28.74万元，占2.7%；一般公共预算拨款收入816.43万元，占76.67%；其他收入219.65万元，占2025年决算收入20.63%。</w:t>
      </w:r>
    </w:p>
    <w:p w14:paraId="02CB9596">
      <w:pPr>
        <w:ind w:firstLine="643" w:firstLineChars="200"/>
        <w:rPr>
          <w:rFonts w:ascii="仿宋_GB2312" w:hAnsi="仿宋_GB2312" w:eastAsia="仿宋_GB2312" w:cs="仿宋_GB2312"/>
          <w:sz w:val="32"/>
          <w:szCs w:val="32"/>
          <w:lang w:val="zh-CN"/>
        </w:rPr>
      </w:pPr>
      <w:r>
        <w:rPr>
          <w:rFonts w:hint="eastAsia" w:ascii="仿宋_GB2312" w:hAnsi="仿宋_GB2312" w:eastAsia="仿宋_GB2312" w:cs="仿宋_GB2312"/>
          <w:b/>
          <w:bCs/>
          <w:sz w:val="32"/>
          <w:szCs w:val="32"/>
          <w:lang w:val="zh-CN"/>
        </w:rPr>
        <w:t>（二）支出情况。</w:t>
      </w:r>
      <w:r>
        <w:rPr>
          <w:rFonts w:hint="eastAsia" w:ascii="仿宋_GB2312" w:hAnsi="仿宋_GB2312" w:eastAsia="仿宋_GB2312" w:cs="仿宋_GB2312"/>
          <w:sz w:val="32"/>
          <w:szCs w:val="32"/>
        </w:rPr>
        <w:t>九寨沟县人民检察院2025年年初预算支出1037.03万元，决算报表支出1037.03万元。其中：基本支出819.81万元，占79.05%；项目支出217.23万元，占20.95%。</w:t>
      </w:r>
    </w:p>
    <w:p w14:paraId="5C09F2A7">
      <w:pPr>
        <w:widowControl/>
        <w:spacing w:line="578" w:lineRule="exact"/>
        <w:ind w:firstLine="643" w:firstLineChars="200"/>
        <w:contextualSpacing/>
        <w:rPr>
          <w:rFonts w:ascii="仿宋_GB2312" w:hAnsi="仿宋_GB2312" w:eastAsia="仿宋_GB2312" w:cs="仿宋_GB2312"/>
          <w:color w:val="000000"/>
          <w:sz w:val="32"/>
          <w:szCs w:val="32"/>
          <w:lang w:val="zh-CN"/>
        </w:rPr>
      </w:pPr>
      <w:r>
        <w:rPr>
          <w:rFonts w:hint="eastAsia" w:ascii="仿宋_GB2312" w:hAnsi="仿宋_GB2312" w:eastAsia="仿宋_GB2312" w:cs="仿宋_GB2312"/>
          <w:b/>
          <w:bCs/>
          <w:color w:val="000000"/>
          <w:kern w:val="0"/>
          <w:sz w:val="32"/>
          <w:szCs w:val="32"/>
          <w:shd w:val="clear" w:color="auto" w:fill="FFFFFF"/>
          <w:lang w:val="zh-CN"/>
        </w:rPr>
        <w:t>（三）</w:t>
      </w:r>
      <w:r>
        <w:rPr>
          <w:rFonts w:hint="eastAsia" w:ascii="仿宋_GB2312" w:hAnsi="仿宋_GB2312" w:eastAsia="仿宋_GB2312" w:cs="仿宋_GB2312"/>
          <w:b/>
          <w:sz w:val="32"/>
          <w:szCs w:val="32"/>
        </w:rPr>
        <w:t>结余分配和结转结余情况。</w:t>
      </w:r>
      <w:r>
        <w:rPr>
          <w:rFonts w:hint="eastAsia" w:ascii="仿宋_GB2312" w:hAnsi="仿宋_GB2312" w:eastAsia="仿宋_GB2312" w:cs="仿宋_GB2312"/>
          <w:color w:val="000000"/>
          <w:sz w:val="32"/>
          <w:szCs w:val="32"/>
        </w:rPr>
        <w:t>九寨沟县人民检察院2025年决算报表年末结转结余27.79万元。</w:t>
      </w:r>
    </w:p>
    <w:p w14:paraId="0DB5CC6F">
      <w:pPr>
        <w:pStyle w:val="6"/>
        <w:ind w:firstLine="643"/>
        <w:rPr>
          <w:rFonts w:ascii="黑体" w:hAnsi="黑体" w:eastAsia="黑体" w:cs="黑体"/>
          <w:color w:val="000000" w:themeColor="text1"/>
          <w:kern w:val="0"/>
          <w:shd w:val="clear" w:color="auto" w:fill="FFFFFF"/>
          <w14:textFill>
            <w14:solidFill>
              <w14:schemeClr w14:val="tx1"/>
            </w14:solidFill>
          </w14:textFill>
        </w:rPr>
      </w:pPr>
      <w:bookmarkStart w:id="84" w:name="_Toc2154"/>
      <w:r>
        <w:rPr>
          <w:rFonts w:hint="eastAsia" w:ascii="黑体" w:hAnsi="黑体" w:eastAsia="黑体" w:cs="黑体"/>
        </w:rPr>
        <w:t>三、部门预算绩效分析</w:t>
      </w:r>
      <w:bookmarkEnd w:id="84"/>
    </w:p>
    <w:p w14:paraId="3F8D5173">
      <w:pPr>
        <w:spacing w:line="560" w:lineRule="exact"/>
        <w:ind w:firstLine="643" w:firstLineChars="200"/>
        <w:rPr>
          <w:rFonts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（一）部门预算总体绩效分析。</w:t>
      </w:r>
    </w:p>
    <w:p w14:paraId="25ACF546">
      <w:pPr>
        <w:ind w:firstLine="640" w:firstLineChars="200"/>
        <w:rPr>
          <w:rFonts w:ascii="仿宋_GB2312" w:hAnsi="仿宋_GB2312" w:eastAsia="仿宋_GB2312" w:cs="仿宋_GB2312"/>
          <w:color w:val="000000"/>
          <w:szCs w:val="32"/>
          <w:lang w:val="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CN"/>
        </w:rPr>
        <w:t>履职效能。全面保障我院履行法律监督、司法办案、社会治理等法定职责时的效率、效果和公信力，确保案件办理的数量、质量、效率符合司法规律。提升法律监督实效和刑事、民事、行政、公益诉讼检察监督的精准性和权威性。回应群众诉求、维护公平正义的社会认可度，使案件审结率、审限合规率</w:t>
      </w:r>
      <w:r>
        <w:rPr>
          <w:rFonts w:hint="eastAsia" w:ascii="仿宋_GB2312" w:hAnsi="仿宋_GB2312" w:eastAsia="仿宋_GB2312" w:cs="仿宋_GB2312"/>
          <w:sz w:val="32"/>
          <w:szCs w:val="32"/>
        </w:rPr>
        <w:t>达95%</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信访案件办结率达95%，认罪认罚适用率达94%，纠正违法意见书采纳率</w:t>
      </w:r>
      <w:r>
        <w:rPr>
          <w:rFonts w:hint="eastAsia" w:ascii="仿宋_GB2312" w:hAnsi="仿宋_GB2312" w:eastAsia="仿宋_GB2312" w:cs="仿宋_GB2312"/>
          <w:sz w:val="32"/>
          <w:szCs w:val="32"/>
          <w:lang w:val="zh-CN"/>
        </w:rPr>
        <w:t>达</w:t>
      </w:r>
      <w:r>
        <w:rPr>
          <w:rFonts w:hint="eastAsia" w:ascii="仿宋_GB2312" w:hAnsi="仿宋_GB2312" w:eastAsia="仿宋_GB2312" w:cs="仿宋_GB2312"/>
          <w:sz w:val="32"/>
          <w:szCs w:val="32"/>
        </w:rPr>
        <w:t>100%，公益诉讼诉前整改率达100%，</w:t>
      </w:r>
      <w:r>
        <w:rPr>
          <w:rFonts w:hint="eastAsia" w:ascii="仿宋_GB2312" w:hAnsi="仿宋_GB2312" w:eastAsia="仿宋_GB2312" w:cs="仿宋_GB2312"/>
          <w:sz w:val="32"/>
          <w:szCs w:val="32"/>
          <w:lang w:val="zh-CN"/>
        </w:rPr>
        <w:t>检察官满意度达到</w:t>
      </w:r>
      <w:r>
        <w:rPr>
          <w:rFonts w:hint="eastAsia" w:ascii="仿宋_GB2312" w:hAnsi="仿宋_GB2312" w:eastAsia="仿宋_GB2312" w:cs="仿宋_GB2312"/>
          <w:sz w:val="32"/>
          <w:szCs w:val="32"/>
        </w:rPr>
        <w:t>98%，</w:t>
      </w:r>
      <w:r>
        <w:rPr>
          <w:rFonts w:hint="eastAsia" w:ascii="仿宋_GB2312" w:hAnsi="仿宋_GB2312" w:eastAsia="仿宋_GB2312" w:cs="仿宋_GB2312"/>
          <w:sz w:val="32"/>
          <w:szCs w:val="32"/>
          <w:lang w:val="zh-CN"/>
        </w:rPr>
        <w:t>实现法律效果、政治效果、社会效果“三个效果”统一，绩效</w:t>
      </w:r>
      <w:r>
        <w:rPr>
          <w:rFonts w:hint="eastAsia" w:ascii="仿宋_GB2312" w:hAnsi="仿宋_GB2312" w:eastAsia="仿宋_GB2312" w:cs="仿宋_GB2312"/>
          <w:sz w:val="32"/>
          <w:szCs w:val="32"/>
        </w:rPr>
        <w:t>目标基本实现，部门履职效能较好。</w:t>
      </w:r>
    </w:p>
    <w:p w14:paraId="73849B4C">
      <w:pPr>
        <w:spacing w:line="576" w:lineRule="exact"/>
        <w:ind w:firstLine="640" w:firstLineChars="200"/>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lang w:val="zh-CN"/>
        </w:rPr>
        <w:t>预算管理。</w:t>
      </w:r>
      <w:r>
        <w:rPr>
          <w:rFonts w:hint="eastAsia" w:ascii="仿宋_GB2312" w:hAnsi="仿宋_GB2312" w:eastAsia="仿宋_GB2312" w:cs="仿宋_GB2312"/>
          <w:color w:val="000000"/>
          <w:kern w:val="0"/>
          <w:sz w:val="32"/>
          <w:szCs w:val="32"/>
          <w:shd w:val="clear" w:color="auto" w:fill="FFFFFF"/>
        </w:rPr>
        <w:t>一是</w:t>
      </w:r>
      <w:r>
        <w:rPr>
          <w:rFonts w:hint="eastAsia" w:ascii="仿宋_GB2312" w:hAnsi="仿宋_GB2312" w:eastAsia="仿宋_GB2312" w:cs="仿宋_GB2312"/>
          <w:color w:val="000000"/>
          <w:kern w:val="0"/>
          <w:sz w:val="32"/>
          <w:szCs w:val="32"/>
          <w:shd w:val="clear" w:color="auto" w:fill="FFFFFF"/>
          <w:lang w:val="zh-CN"/>
        </w:rPr>
        <w:t>预算编制质量，严格按要求编制年初部门预算，年初预算编制科学、准确。</w:t>
      </w:r>
      <w:r>
        <w:rPr>
          <w:rFonts w:hint="eastAsia" w:ascii="仿宋_GB2312" w:hAnsi="仿宋_GB2312" w:eastAsia="仿宋_GB2312" w:cs="仿宋_GB2312"/>
          <w:color w:val="000000"/>
          <w:kern w:val="0"/>
          <w:sz w:val="32"/>
          <w:szCs w:val="32"/>
          <w:shd w:val="clear" w:color="auto" w:fill="FFFFFF"/>
        </w:rPr>
        <w:t>二是</w:t>
      </w:r>
      <w:r>
        <w:rPr>
          <w:rFonts w:hint="eastAsia" w:ascii="仿宋_GB2312" w:hAnsi="仿宋_GB2312" w:eastAsia="仿宋_GB2312" w:cs="仿宋_GB2312"/>
          <w:color w:val="000000"/>
          <w:kern w:val="0"/>
          <w:sz w:val="32"/>
          <w:szCs w:val="32"/>
          <w:shd w:val="clear" w:color="auto" w:fill="FFFFFF"/>
          <w:lang w:val="zh-CN"/>
        </w:rPr>
        <w:t>单位收入统筹。</w:t>
      </w:r>
      <w:r>
        <w:rPr>
          <w:rFonts w:hint="eastAsia" w:ascii="仿宋_GB2312" w:hAnsi="仿宋_GB2312" w:eastAsia="仿宋_GB2312" w:cs="仿宋_GB2312"/>
          <w:color w:val="000000"/>
          <w:kern w:val="0"/>
          <w:sz w:val="32"/>
          <w:szCs w:val="32"/>
          <w:shd w:val="clear" w:color="auto" w:fill="FFFFFF"/>
        </w:rPr>
        <w:t>九寨沟县人民检察院收入全部为财政拨款，按规定规范使用资金。三是按照</w:t>
      </w:r>
      <w:r>
        <w:rPr>
          <w:rFonts w:hint="eastAsia" w:ascii="仿宋_GB2312" w:hAnsi="仿宋_GB2312" w:eastAsia="仿宋_GB2312" w:cs="仿宋_GB2312"/>
          <w:color w:val="000000"/>
          <w:kern w:val="0"/>
          <w:sz w:val="32"/>
          <w:szCs w:val="32"/>
          <w:shd w:val="clear" w:color="auto" w:fill="FFFFFF"/>
          <w:lang w:val="zh-CN"/>
        </w:rPr>
        <w:t>支出执行进度及时支付款项。</w:t>
      </w:r>
      <w:r>
        <w:rPr>
          <w:rFonts w:hint="eastAsia" w:ascii="仿宋_GB2312" w:hAnsi="仿宋_GB2312" w:eastAsia="仿宋_GB2312" w:cs="仿宋_GB2312"/>
          <w:color w:val="000000"/>
          <w:kern w:val="0"/>
          <w:sz w:val="32"/>
          <w:szCs w:val="32"/>
          <w:shd w:val="clear" w:color="auto" w:fill="FFFFFF"/>
        </w:rPr>
        <w:t>四是</w:t>
      </w:r>
      <w:r>
        <w:rPr>
          <w:rFonts w:hint="eastAsia" w:ascii="仿宋_GB2312" w:hAnsi="仿宋_GB2312" w:eastAsia="仿宋_GB2312" w:cs="仿宋_GB2312"/>
          <w:color w:val="000000"/>
          <w:kern w:val="0"/>
          <w:sz w:val="32"/>
          <w:szCs w:val="32"/>
          <w:shd w:val="clear" w:color="auto" w:fill="FFFFFF"/>
          <w:lang w:val="zh-CN"/>
        </w:rPr>
        <w:t>预算年终结余</w:t>
      </w:r>
      <w:r>
        <w:rPr>
          <w:rFonts w:hint="eastAsia" w:ascii="仿宋_GB2312" w:hAnsi="仿宋_GB2312" w:eastAsia="仿宋_GB2312" w:cs="仿宋_GB2312"/>
          <w:color w:val="000000"/>
          <w:kern w:val="0"/>
          <w:sz w:val="32"/>
          <w:szCs w:val="32"/>
          <w:shd w:val="clear" w:color="auto" w:fill="FFFFFF"/>
        </w:rPr>
        <w:t>为0。五是</w:t>
      </w:r>
      <w:r>
        <w:rPr>
          <w:rFonts w:hint="eastAsia" w:ascii="仿宋_GB2312" w:hAnsi="仿宋_GB2312" w:eastAsia="仿宋_GB2312" w:cs="仿宋_GB2312"/>
          <w:color w:val="000000"/>
          <w:kern w:val="0"/>
          <w:sz w:val="32"/>
          <w:szCs w:val="32"/>
          <w:shd w:val="clear" w:color="auto" w:fill="FFFFFF"/>
          <w:lang w:val="zh-CN"/>
        </w:rPr>
        <w:t>严控一般性支出进行绩效分析。部门严控“三公”经费、会议、培训、差旅、办节办展、办公设备购置、信息网络及软件购置更新、课题经费等8项一般性支出情况。</w:t>
      </w:r>
      <w:r>
        <w:rPr>
          <w:rFonts w:hint="eastAsia" w:ascii="仿宋_GB2312" w:hAnsi="仿宋_GB2312" w:eastAsia="仿宋_GB2312" w:cs="仿宋_GB2312"/>
          <w:color w:val="000000"/>
          <w:sz w:val="32"/>
          <w:szCs w:val="32"/>
        </w:rPr>
        <w:t>对“三公”经费实施更加严格的限额管理。对公务用车严格实行派遣审核制度，务必达到派车人数标准，降低公务用车运行维护费用；公务接待中持续把严人数审核、陪同人数限制等制度，减少公务接待费开支。扎实清理往来款项。进一步加强财务往来款项管理，全面清理并严控往来款项，压缩往来款项规模，提高资金使用效率。加快“格桑梅朵”法治教育基地项目资金支付进度，持续提升我院资金基础管理水平。严格控制一般性支出。以更高标准、更严要求，构建完善我院习惯过紧日子的制度体系，进一步健全长效机制、提升管理效能。压缩节庆、展会等活动，承办会议、培训等公务活动严格控制经费使用，采取视频、电话、网络等线上方式开展公务活动，把好办公费、差旅费等经费开支审核关口。</w:t>
      </w:r>
    </w:p>
    <w:p w14:paraId="1721CF38">
      <w:pPr>
        <w:adjustRightInd w:val="0"/>
        <w:snapToGrid w:val="0"/>
        <w:spacing w:line="576" w:lineRule="exact"/>
        <w:ind w:firstLine="640" w:firstLineChars="200"/>
        <w:contextualSpacing/>
        <w:jc w:val="left"/>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3.</w:t>
      </w:r>
      <w:r>
        <w:rPr>
          <w:rFonts w:hint="eastAsia" w:ascii="仿宋_GB2312" w:hAnsi="仿宋_GB2312" w:eastAsia="仿宋_GB2312" w:cs="仿宋_GB2312"/>
          <w:color w:val="000000"/>
          <w:kern w:val="0"/>
          <w:sz w:val="32"/>
          <w:szCs w:val="32"/>
          <w:shd w:val="clear" w:color="auto" w:fill="FFFFFF"/>
          <w:lang w:val="zh-CN"/>
        </w:rPr>
        <w:t>财务管理。</w:t>
      </w:r>
      <w:r>
        <w:rPr>
          <w:rFonts w:hint="eastAsia" w:ascii="仿宋_GB2312" w:hAnsi="仿宋_GB2312" w:eastAsia="仿宋_GB2312" w:cs="仿宋_GB2312"/>
          <w:color w:val="000000"/>
          <w:kern w:val="0"/>
          <w:sz w:val="32"/>
          <w:szCs w:val="32"/>
          <w:shd w:val="clear" w:color="auto" w:fill="FFFFFF"/>
        </w:rPr>
        <w:t>一是</w:t>
      </w:r>
      <w:r>
        <w:rPr>
          <w:rFonts w:hint="eastAsia" w:ascii="仿宋_GB2312" w:hAnsi="仿宋_GB2312" w:eastAsia="仿宋_GB2312" w:cs="仿宋_GB2312"/>
          <w:color w:val="000000"/>
          <w:kern w:val="0"/>
          <w:sz w:val="32"/>
          <w:szCs w:val="32"/>
          <w:shd w:val="clear" w:color="auto" w:fill="FFFFFF"/>
          <w:lang w:val="zh-CN"/>
        </w:rPr>
        <w:t>财务管理制度，部门已制定内部财务管理制度</w:t>
      </w:r>
      <w:r>
        <w:rPr>
          <w:rFonts w:hint="eastAsia" w:ascii="仿宋_GB2312" w:hAnsi="仿宋_GB2312" w:eastAsia="仿宋_GB2312" w:cs="仿宋_GB2312"/>
          <w:color w:val="000000"/>
          <w:kern w:val="0"/>
          <w:sz w:val="32"/>
          <w:szCs w:val="32"/>
          <w:shd w:val="clear" w:color="auto" w:fill="FFFFFF"/>
        </w:rPr>
        <w:t>并按照执行</w:t>
      </w:r>
      <w:r>
        <w:rPr>
          <w:rFonts w:hint="eastAsia" w:ascii="仿宋_GB2312" w:hAnsi="仿宋_GB2312" w:eastAsia="仿宋_GB2312" w:cs="仿宋_GB2312"/>
          <w:color w:val="000000"/>
          <w:kern w:val="0"/>
          <w:sz w:val="32"/>
          <w:szCs w:val="32"/>
          <w:shd w:val="clear" w:color="auto" w:fill="FFFFFF"/>
          <w:lang w:val="zh-CN"/>
        </w:rPr>
        <w:t>落实。</w:t>
      </w:r>
      <w:r>
        <w:rPr>
          <w:rFonts w:hint="eastAsia" w:ascii="仿宋_GB2312" w:hAnsi="仿宋_GB2312" w:eastAsia="仿宋_GB2312" w:cs="仿宋_GB2312"/>
          <w:color w:val="000000"/>
          <w:kern w:val="0"/>
          <w:sz w:val="32"/>
          <w:szCs w:val="32"/>
          <w:shd w:val="clear" w:color="auto" w:fill="FFFFFF"/>
        </w:rPr>
        <w:t>二是</w:t>
      </w:r>
      <w:r>
        <w:rPr>
          <w:rFonts w:hint="eastAsia" w:ascii="仿宋_GB2312" w:hAnsi="仿宋_GB2312" w:eastAsia="仿宋_GB2312" w:cs="仿宋_GB2312"/>
          <w:color w:val="000000"/>
          <w:kern w:val="0"/>
          <w:sz w:val="32"/>
          <w:szCs w:val="32"/>
          <w:shd w:val="clear" w:color="auto" w:fill="FFFFFF"/>
          <w:lang w:val="zh-CN"/>
        </w:rPr>
        <w:t>财务岗位设置，部门合理设置财务工作岗位，明确职责权限，并严格实行不相容岗位分离的。</w:t>
      </w:r>
      <w:r>
        <w:rPr>
          <w:rFonts w:hint="eastAsia" w:ascii="仿宋_GB2312" w:hAnsi="仿宋_GB2312" w:eastAsia="仿宋_GB2312" w:cs="仿宋_GB2312"/>
          <w:color w:val="000000"/>
          <w:kern w:val="0"/>
          <w:sz w:val="32"/>
          <w:szCs w:val="32"/>
          <w:shd w:val="clear" w:color="auto" w:fill="FFFFFF"/>
        </w:rPr>
        <w:t>三是</w:t>
      </w:r>
      <w:r>
        <w:rPr>
          <w:rFonts w:hint="eastAsia" w:ascii="仿宋_GB2312" w:hAnsi="仿宋_GB2312" w:eastAsia="仿宋_GB2312" w:cs="仿宋_GB2312"/>
          <w:color w:val="000000"/>
          <w:kern w:val="0"/>
          <w:sz w:val="32"/>
          <w:szCs w:val="32"/>
          <w:shd w:val="clear" w:color="auto" w:fill="FFFFFF"/>
          <w:lang w:val="zh-CN"/>
        </w:rPr>
        <w:t>规范资金使用，符合相关财务管理制度</w:t>
      </w:r>
      <w:r>
        <w:rPr>
          <w:rFonts w:hint="eastAsia" w:ascii="仿宋_GB2312" w:hAnsi="仿宋_GB2312" w:eastAsia="仿宋_GB2312" w:cs="仿宋_GB2312"/>
          <w:color w:val="000000"/>
          <w:kern w:val="0"/>
          <w:sz w:val="32"/>
          <w:szCs w:val="32"/>
          <w:shd w:val="clear" w:color="auto" w:fill="FFFFFF"/>
        </w:rPr>
        <w:t>的</w:t>
      </w:r>
      <w:r>
        <w:rPr>
          <w:rFonts w:hint="eastAsia" w:ascii="仿宋_GB2312" w:hAnsi="仿宋_GB2312" w:eastAsia="仿宋_GB2312" w:cs="仿宋_GB2312"/>
          <w:color w:val="000000"/>
          <w:kern w:val="0"/>
          <w:sz w:val="32"/>
          <w:szCs w:val="32"/>
          <w:shd w:val="clear" w:color="auto" w:fill="FFFFFF"/>
          <w:lang w:val="zh-CN"/>
        </w:rPr>
        <w:t>规定。</w:t>
      </w:r>
    </w:p>
    <w:p w14:paraId="132DC401">
      <w:pPr>
        <w:adjustRightInd w:val="0"/>
        <w:snapToGrid w:val="0"/>
        <w:spacing w:line="600" w:lineRule="exact"/>
        <w:ind w:firstLine="640" w:firstLineChars="200"/>
        <w:contextualSpacing/>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4.</w:t>
      </w:r>
      <w:r>
        <w:rPr>
          <w:rFonts w:hint="eastAsia" w:ascii="仿宋_GB2312" w:hAnsi="仿宋_GB2312" w:eastAsia="仿宋_GB2312" w:cs="仿宋_GB2312"/>
          <w:color w:val="000000"/>
          <w:kern w:val="0"/>
          <w:sz w:val="32"/>
          <w:szCs w:val="32"/>
          <w:shd w:val="clear" w:color="auto" w:fill="FFFFFF"/>
          <w:lang w:val="zh-CN"/>
        </w:rPr>
        <w:t>采购管理。</w:t>
      </w:r>
      <w:r>
        <w:rPr>
          <w:rFonts w:hint="eastAsia" w:ascii="仿宋_GB2312" w:hAnsi="仿宋_GB2312" w:eastAsia="仿宋_GB2312" w:cs="仿宋_GB2312"/>
          <w:color w:val="000000"/>
          <w:kern w:val="0"/>
          <w:sz w:val="32"/>
          <w:szCs w:val="32"/>
          <w:shd w:val="clear" w:color="auto" w:fill="FFFFFF"/>
        </w:rPr>
        <w:t>我单位2025年严格按照已制定的采购流程图、采购制度等，执行所有政府采购项目</w:t>
      </w:r>
      <w:r>
        <w:rPr>
          <w:rFonts w:hint="eastAsia" w:ascii="仿宋_GB2312" w:hAnsi="仿宋_GB2312" w:eastAsia="仿宋_GB2312" w:cs="仿宋_GB2312"/>
          <w:color w:val="000000"/>
          <w:kern w:val="0"/>
          <w:sz w:val="32"/>
          <w:szCs w:val="32"/>
          <w:shd w:val="clear" w:color="auto" w:fill="FFFFFF"/>
          <w:lang w:val="zh-CN"/>
        </w:rPr>
        <w:t>。</w:t>
      </w:r>
    </w:p>
    <w:p w14:paraId="72871AC2">
      <w:pPr>
        <w:widowControl/>
        <w:adjustRightInd w:val="0"/>
        <w:snapToGrid w:val="0"/>
        <w:spacing w:line="578" w:lineRule="exact"/>
        <w:ind w:firstLine="643" w:firstLineChars="200"/>
        <w:contextualSpacing/>
        <w:jc w:val="left"/>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b/>
          <w:bCs/>
          <w:color w:val="000000"/>
          <w:kern w:val="0"/>
          <w:sz w:val="32"/>
          <w:szCs w:val="32"/>
          <w:shd w:val="clear" w:color="auto" w:fill="FFFFFF"/>
          <w:lang w:val="zh-CN"/>
        </w:rPr>
        <w:t>（二）部门预算项目绩效分析。</w:t>
      </w:r>
    </w:p>
    <w:p w14:paraId="40971349">
      <w:pPr>
        <w:adjustRightInd w:val="0"/>
        <w:snapToGrid w:val="0"/>
        <w:spacing w:line="578" w:lineRule="exact"/>
        <w:ind w:firstLine="640" w:firstLineChars="200"/>
        <w:contextualSpacing/>
        <w:jc w:val="left"/>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常年项目绩效分析。</w:t>
      </w:r>
      <w:r>
        <w:rPr>
          <w:rFonts w:hint="eastAsia" w:ascii="仿宋_GB2312" w:hAnsi="仿宋_GB2312" w:eastAsia="仿宋_GB2312" w:cs="仿宋_GB2312"/>
          <w:color w:val="000000"/>
          <w:kern w:val="0"/>
          <w:sz w:val="32"/>
          <w:szCs w:val="32"/>
          <w:shd w:val="clear" w:color="auto" w:fill="FFFFFF"/>
          <w:lang w:val="zh-CN"/>
        </w:rPr>
        <w:t>该类项目总数</w:t>
      </w:r>
      <w:r>
        <w:rPr>
          <w:rFonts w:hint="eastAsia" w:ascii="仿宋_GB2312" w:hAnsi="仿宋_GB2312" w:eastAsia="仿宋_GB2312" w:cs="仿宋_GB2312"/>
          <w:color w:val="000000"/>
          <w:kern w:val="0"/>
          <w:sz w:val="32"/>
          <w:szCs w:val="32"/>
          <w:shd w:val="clear" w:color="auto" w:fill="FFFFFF"/>
        </w:rPr>
        <w:t>6</w:t>
      </w:r>
      <w:r>
        <w:rPr>
          <w:rFonts w:hint="eastAsia" w:ascii="仿宋_GB2312" w:hAnsi="仿宋_GB2312" w:eastAsia="仿宋_GB2312" w:cs="仿宋_GB2312"/>
          <w:color w:val="000000"/>
          <w:kern w:val="0"/>
          <w:sz w:val="32"/>
          <w:szCs w:val="32"/>
          <w:shd w:val="clear" w:color="auto" w:fill="FFFFFF"/>
          <w:lang w:val="zh-CN"/>
        </w:rPr>
        <w:t>个，涉及预算总金额</w:t>
      </w:r>
      <w:r>
        <w:rPr>
          <w:rFonts w:hint="eastAsia" w:ascii="仿宋_GB2312" w:hAnsi="仿宋_GB2312" w:eastAsia="仿宋_GB2312" w:cs="仿宋_GB2312"/>
          <w:color w:val="000000"/>
          <w:kern w:val="0"/>
          <w:sz w:val="32"/>
          <w:szCs w:val="32"/>
          <w:shd w:val="clear" w:color="auto" w:fill="FFFFFF"/>
        </w:rPr>
        <w:t>573.6</w:t>
      </w:r>
      <w:r>
        <w:rPr>
          <w:rFonts w:hint="eastAsia" w:ascii="仿宋_GB2312" w:hAnsi="仿宋_GB2312" w:eastAsia="仿宋_GB2312" w:cs="仿宋_GB2312"/>
          <w:color w:val="000000"/>
          <w:kern w:val="0"/>
          <w:sz w:val="32"/>
          <w:szCs w:val="32"/>
          <w:shd w:val="clear" w:color="auto" w:fill="FFFFFF"/>
          <w:lang w:val="zh-CN"/>
        </w:rPr>
        <w:t>万元，1—1</w:t>
      </w:r>
      <w:r>
        <w:rPr>
          <w:rFonts w:hint="eastAsia"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lang w:val="zh-CN"/>
        </w:rPr>
        <w:t>月预算执行总体进度为</w:t>
      </w:r>
      <w:r>
        <w:rPr>
          <w:rFonts w:hint="eastAsia" w:ascii="仿宋_GB2312" w:hAnsi="仿宋_GB2312" w:eastAsia="仿宋_GB2312" w:cs="仿宋_GB2312"/>
          <w:color w:val="000000"/>
          <w:kern w:val="0"/>
          <w:sz w:val="32"/>
          <w:szCs w:val="32"/>
          <w:shd w:val="clear" w:color="auto" w:fill="FFFFFF"/>
        </w:rPr>
        <w:t>100</w:t>
      </w:r>
      <w:r>
        <w:rPr>
          <w:rFonts w:hint="eastAsia" w:ascii="仿宋_GB2312" w:hAnsi="仿宋_GB2312" w:eastAsia="仿宋_GB2312" w:cs="仿宋_GB2312"/>
          <w:color w:val="000000"/>
          <w:kern w:val="0"/>
          <w:sz w:val="32"/>
          <w:szCs w:val="32"/>
          <w:shd w:val="clear" w:color="auto" w:fill="FFFFFF"/>
          <w:lang w:val="zh-CN"/>
        </w:rPr>
        <w:t>%，其中：预算结余率大于</w:t>
      </w:r>
      <w:r>
        <w:rPr>
          <w:rFonts w:hint="eastAsia" w:ascii="仿宋_GB2312" w:hAnsi="仿宋_GB2312" w:eastAsia="仿宋_GB2312" w:cs="仿宋_GB2312"/>
          <w:color w:val="000000"/>
          <w:kern w:val="0"/>
          <w:sz w:val="32"/>
          <w:szCs w:val="32"/>
          <w:shd w:val="clear" w:color="auto" w:fill="FFFFFF"/>
        </w:rPr>
        <w:t>10%</w:t>
      </w:r>
      <w:r>
        <w:rPr>
          <w:rFonts w:hint="eastAsia" w:ascii="仿宋_GB2312" w:hAnsi="仿宋_GB2312" w:eastAsia="仿宋_GB2312" w:cs="仿宋_GB2312"/>
          <w:color w:val="000000"/>
          <w:kern w:val="0"/>
          <w:sz w:val="32"/>
          <w:szCs w:val="32"/>
          <w:shd w:val="clear" w:color="auto" w:fill="FFFFFF"/>
          <w:lang w:val="zh-CN"/>
        </w:rPr>
        <w:t>的项目共计</w:t>
      </w:r>
      <w:r>
        <w:rPr>
          <w:rFonts w:hint="eastAsia" w:ascii="仿宋_GB2312" w:hAnsi="仿宋_GB2312" w:eastAsia="仿宋_GB2312" w:cs="仿宋_GB2312"/>
          <w:color w:val="000000"/>
          <w:kern w:val="0"/>
          <w:sz w:val="32"/>
          <w:szCs w:val="32"/>
          <w:shd w:val="clear" w:color="auto" w:fill="FFFFFF"/>
        </w:rPr>
        <w:t>0</w:t>
      </w:r>
      <w:r>
        <w:rPr>
          <w:rFonts w:hint="eastAsia" w:ascii="仿宋_GB2312" w:hAnsi="仿宋_GB2312" w:eastAsia="仿宋_GB2312" w:cs="仿宋_GB2312"/>
          <w:color w:val="000000"/>
          <w:kern w:val="0"/>
          <w:sz w:val="32"/>
          <w:szCs w:val="32"/>
          <w:shd w:val="clear" w:color="auto" w:fill="FFFFFF"/>
          <w:lang w:val="zh-CN"/>
        </w:rPr>
        <w:t>个。</w:t>
      </w:r>
    </w:p>
    <w:p w14:paraId="2B8D544A">
      <w:pPr>
        <w:adjustRightInd w:val="0"/>
        <w:snapToGrid w:val="0"/>
        <w:spacing w:line="578" w:lineRule="exact"/>
        <w:ind w:firstLine="640" w:firstLineChars="200"/>
        <w:contextualSpacing/>
        <w:jc w:val="left"/>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1.</w:t>
      </w:r>
      <w:r>
        <w:rPr>
          <w:rFonts w:hint="eastAsia" w:ascii="仿宋_GB2312" w:hAnsi="仿宋_GB2312" w:eastAsia="仿宋_GB2312" w:cs="仿宋_GB2312"/>
          <w:color w:val="000000"/>
          <w:kern w:val="0"/>
          <w:sz w:val="32"/>
          <w:szCs w:val="32"/>
          <w:shd w:val="clear" w:color="auto" w:fill="FFFFFF"/>
          <w:lang w:val="zh-CN"/>
        </w:rPr>
        <w:t>项目决策。九寨沟县人民检察院</w:t>
      </w:r>
      <w:r>
        <w:rPr>
          <w:rFonts w:hint="eastAsia" w:ascii="仿宋_GB2312" w:hAnsi="仿宋_GB2312" w:eastAsia="仿宋_GB2312" w:cs="仿宋_GB2312"/>
          <w:color w:val="000000"/>
          <w:kern w:val="0"/>
          <w:sz w:val="32"/>
          <w:szCs w:val="32"/>
          <w:shd w:val="clear" w:color="auto" w:fill="FFFFFF"/>
        </w:rPr>
        <w:t>项目</w:t>
      </w:r>
      <w:r>
        <w:rPr>
          <w:rFonts w:hint="eastAsia" w:ascii="仿宋_GB2312" w:hAnsi="仿宋_GB2312" w:eastAsia="仿宋_GB2312" w:cs="仿宋_GB2312"/>
          <w:color w:val="000000"/>
          <w:kern w:val="0"/>
          <w:sz w:val="32"/>
          <w:szCs w:val="32"/>
          <w:shd w:val="clear" w:color="auto" w:fill="FFFFFF"/>
          <w:lang w:val="zh-CN"/>
        </w:rPr>
        <w:t>设立按规定履行申报程序，</w:t>
      </w:r>
      <w:r>
        <w:rPr>
          <w:rFonts w:hint="eastAsia" w:ascii="仿宋_GB2312" w:hAnsi="仿宋_GB2312" w:eastAsia="仿宋_GB2312" w:cs="仿宋_GB2312"/>
          <w:color w:val="000000"/>
          <w:kern w:val="0"/>
          <w:sz w:val="32"/>
          <w:szCs w:val="32"/>
          <w:shd w:val="clear" w:color="auto" w:fill="FFFFFF"/>
        </w:rPr>
        <w:t>填写事前评估报告</w:t>
      </w:r>
      <w:r>
        <w:rPr>
          <w:rFonts w:hint="eastAsia" w:ascii="仿宋_GB2312" w:hAnsi="仿宋_GB2312" w:eastAsia="仿宋_GB2312" w:cs="仿宋_GB2312"/>
          <w:color w:val="000000"/>
          <w:kern w:val="0"/>
          <w:sz w:val="32"/>
          <w:szCs w:val="32"/>
          <w:shd w:val="clear" w:color="auto" w:fill="FFFFFF"/>
          <w:lang w:val="zh-CN"/>
        </w:rPr>
        <w:t>。所有</w:t>
      </w:r>
      <w:r>
        <w:rPr>
          <w:rFonts w:hint="eastAsia" w:ascii="仿宋_GB2312" w:hAnsi="仿宋_GB2312" w:eastAsia="仿宋_GB2312" w:cs="仿宋_GB2312"/>
          <w:color w:val="000000"/>
          <w:kern w:val="0"/>
          <w:sz w:val="32"/>
          <w:szCs w:val="32"/>
          <w:shd w:val="clear" w:color="auto" w:fill="FFFFFF"/>
        </w:rPr>
        <w:t>项目</w:t>
      </w:r>
      <w:r>
        <w:rPr>
          <w:rFonts w:hint="eastAsia" w:ascii="仿宋_GB2312" w:hAnsi="仿宋_GB2312" w:eastAsia="仿宋_GB2312" w:cs="仿宋_GB2312"/>
          <w:color w:val="000000"/>
          <w:kern w:val="0"/>
          <w:sz w:val="32"/>
          <w:szCs w:val="32"/>
          <w:shd w:val="clear" w:color="auto" w:fill="FFFFFF"/>
          <w:lang w:val="zh-CN"/>
        </w:rPr>
        <w:t>预算安排的资金量</w:t>
      </w:r>
      <w:r>
        <w:rPr>
          <w:rFonts w:hint="eastAsia" w:ascii="仿宋_GB2312" w:hAnsi="仿宋_GB2312" w:eastAsia="仿宋_GB2312" w:cs="仿宋_GB2312"/>
          <w:color w:val="000000"/>
          <w:kern w:val="0"/>
          <w:sz w:val="32"/>
          <w:szCs w:val="32"/>
          <w:shd w:val="clear" w:color="auto" w:fill="FFFFFF"/>
        </w:rPr>
        <w:t>使用合理</w:t>
      </w:r>
      <w:r>
        <w:rPr>
          <w:rFonts w:hint="eastAsia" w:ascii="仿宋_GB2312" w:hAnsi="仿宋_GB2312" w:eastAsia="仿宋_GB2312" w:cs="仿宋_GB2312"/>
          <w:color w:val="000000"/>
          <w:kern w:val="0"/>
          <w:sz w:val="32"/>
          <w:szCs w:val="32"/>
          <w:shd w:val="clear" w:color="auto" w:fill="FFFFFF"/>
          <w:lang w:val="zh-CN"/>
        </w:rPr>
        <w:t>，绩效目标设置科学合理、规范完整，在规定时间完成项目入库。</w:t>
      </w:r>
    </w:p>
    <w:p w14:paraId="611C57AA">
      <w:pPr>
        <w:adjustRightInd w:val="0"/>
        <w:snapToGrid w:val="0"/>
        <w:spacing w:line="578" w:lineRule="exact"/>
        <w:ind w:firstLine="640" w:firstLineChars="200"/>
        <w:contextualSpacing/>
        <w:jc w:val="left"/>
        <w:rPr>
          <w:rFonts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2.项目执行</w:t>
      </w:r>
      <w:r>
        <w:rPr>
          <w:rFonts w:hint="eastAsia" w:ascii="仿宋_GB2312" w:hAnsi="仿宋_GB2312" w:eastAsia="仿宋_GB2312" w:cs="仿宋_GB2312"/>
          <w:color w:val="000000"/>
          <w:kern w:val="0"/>
          <w:sz w:val="32"/>
          <w:szCs w:val="32"/>
          <w:shd w:val="clear" w:color="auto" w:fill="FFFFFF"/>
          <w:lang w:val="zh-CN"/>
        </w:rPr>
        <w:t>。</w:t>
      </w:r>
      <w:r>
        <w:rPr>
          <w:rFonts w:hint="eastAsia" w:ascii="仿宋_GB2312" w:hAnsi="仿宋_GB2312" w:eastAsia="仿宋_GB2312" w:cs="仿宋_GB2312"/>
          <w:color w:val="000000"/>
          <w:kern w:val="0"/>
          <w:sz w:val="32"/>
          <w:szCs w:val="32"/>
          <w:shd w:val="clear" w:color="auto" w:fill="FFFFFF"/>
        </w:rPr>
        <w:t>所有项目</w:t>
      </w:r>
      <w:r>
        <w:rPr>
          <w:rFonts w:hint="eastAsia" w:ascii="仿宋_GB2312" w:hAnsi="仿宋_GB2312" w:eastAsia="仿宋_GB2312" w:cs="仿宋_GB2312"/>
          <w:color w:val="000000"/>
          <w:kern w:val="0"/>
          <w:sz w:val="32"/>
          <w:szCs w:val="32"/>
          <w:shd w:val="clear" w:color="auto" w:fill="FFFFFF"/>
          <w:lang w:val="zh-CN"/>
        </w:rPr>
        <w:t>实际列支内容与绩效目标设置方向相符。</w:t>
      </w:r>
      <w:r>
        <w:rPr>
          <w:rFonts w:hint="eastAsia" w:ascii="仿宋_GB2312" w:hAnsi="仿宋_GB2312" w:eastAsia="仿宋_GB2312" w:cs="仿宋_GB2312"/>
          <w:color w:val="000000"/>
          <w:kern w:val="0"/>
          <w:sz w:val="32"/>
          <w:szCs w:val="32"/>
          <w:shd w:val="clear" w:color="auto" w:fill="FFFFFF"/>
        </w:rPr>
        <w:t>用于各项办案相关经费的支出和购置办案需要装备支出，保障有效履行检察职能，提升办案效率和准确性。</w:t>
      </w:r>
    </w:p>
    <w:p w14:paraId="5152694D">
      <w:pPr>
        <w:adjustRightInd w:val="0"/>
        <w:snapToGrid w:val="0"/>
        <w:spacing w:line="578" w:lineRule="exact"/>
        <w:ind w:firstLine="640" w:firstLineChars="200"/>
        <w:contextualSpacing/>
        <w:jc w:val="left"/>
        <w:rPr>
          <w:rFonts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shd w:val="clear" w:color="auto" w:fill="FFFFFF"/>
        </w:rPr>
        <w:t>3.</w:t>
      </w:r>
      <w:r>
        <w:rPr>
          <w:rFonts w:hint="eastAsia" w:ascii="仿宋_GB2312" w:hAnsi="仿宋_GB2312" w:eastAsia="仿宋_GB2312" w:cs="仿宋_GB2312"/>
          <w:color w:val="000000"/>
          <w:kern w:val="0"/>
          <w:sz w:val="32"/>
          <w:szCs w:val="32"/>
          <w:shd w:val="clear" w:color="auto" w:fill="FFFFFF"/>
          <w:lang w:val="zh-CN"/>
        </w:rPr>
        <w:t>目标实现。部门预算项目绩效目标数量指标、质量指标、满意度指标、社会效益指标</w:t>
      </w:r>
      <w:r>
        <w:rPr>
          <w:rFonts w:hint="eastAsia" w:ascii="仿宋_GB2312" w:hAnsi="仿宋_GB2312" w:eastAsia="仿宋_GB2312" w:cs="仿宋_GB2312"/>
          <w:color w:val="000000"/>
          <w:kern w:val="0"/>
          <w:sz w:val="32"/>
          <w:szCs w:val="32"/>
          <w:shd w:val="clear" w:color="auto" w:fill="FFFFFF"/>
        </w:rPr>
        <w:t>已</w:t>
      </w:r>
      <w:r>
        <w:rPr>
          <w:rFonts w:hint="eastAsia" w:ascii="仿宋_GB2312" w:hAnsi="仿宋_GB2312" w:eastAsia="仿宋_GB2312" w:cs="仿宋_GB2312"/>
          <w:color w:val="000000"/>
          <w:kern w:val="0"/>
          <w:sz w:val="32"/>
          <w:szCs w:val="32"/>
          <w:shd w:val="clear" w:color="auto" w:fill="FFFFFF"/>
          <w:lang w:val="zh-CN"/>
        </w:rPr>
        <w:t>完成。部门预算项目绩效目标数量指标实现程度与预期目标的</w:t>
      </w:r>
      <w:r>
        <w:rPr>
          <w:rFonts w:hint="eastAsia" w:ascii="仿宋_GB2312" w:hAnsi="仿宋_GB2312" w:eastAsia="仿宋_GB2312" w:cs="仿宋_GB2312"/>
          <w:color w:val="000000"/>
          <w:kern w:val="0"/>
          <w:sz w:val="32"/>
          <w:szCs w:val="32"/>
          <w:shd w:val="clear" w:color="auto" w:fill="FFFFFF"/>
        </w:rPr>
        <w:t>没有</w:t>
      </w:r>
      <w:r>
        <w:rPr>
          <w:rFonts w:hint="eastAsia" w:ascii="仿宋_GB2312" w:hAnsi="仿宋_GB2312" w:eastAsia="仿宋_GB2312" w:cs="仿宋_GB2312"/>
          <w:color w:val="000000"/>
          <w:kern w:val="0"/>
          <w:sz w:val="32"/>
          <w:szCs w:val="32"/>
          <w:shd w:val="clear" w:color="auto" w:fill="FFFFFF"/>
          <w:lang w:val="zh-CN"/>
        </w:rPr>
        <w:t>偏离。</w:t>
      </w:r>
      <w:r>
        <w:rPr>
          <w:rFonts w:hint="eastAsia" w:ascii="仿宋_GB2312" w:hAnsi="仿宋_GB2312" w:eastAsia="仿宋_GB2312" w:cs="仿宋_GB2312"/>
          <w:sz w:val="32"/>
          <w:szCs w:val="32"/>
        </w:rPr>
        <w:t>所有项目执行后基本完成了部门职能职责、州级主管部门和县委县政府安排的各项专项工作任务及其他年度重点工作任务等；重点项目绩效评价基本实现了经济与社会效益的统一；力求不断提高服务对象的满意度，耐心听取服务对象的意见和建议，增加群众认可度。</w:t>
      </w:r>
    </w:p>
    <w:p w14:paraId="19803B85">
      <w:pPr>
        <w:adjustRightInd w:val="0"/>
        <w:snapToGrid w:val="0"/>
        <w:spacing w:line="600" w:lineRule="exact"/>
        <w:ind w:firstLine="643" w:firstLineChars="200"/>
        <w:contextualSpacing/>
        <w:rPr>
          <w:rFonts w:ascii="仿宋_GB2312" w:hAnsi="仿宋_GB2312" w:eastAsia="仿宋_GB2312" w:cs="仿宋_GB2312"/>
          <w:b/>
          <w:bCs/>
          <w:sz w:val="32"/>
          <w:szCs w:val="32"/>
          <w:lang w:val="zh-CN"/>
        </w:rPr>
      </w:pPr>
      <w:r>
        <w:rPr>
          <w:rFonts w:hint="eastAsia" w:ascii="仿宋_GB2312" w:hAnsi="仿宋_GB2312" w:eastAsia="仿宋_GB2312" w:cs="仿宋_GB2312"/>
          <w:b/>
          <w:bCs/>
          <w:color w:val="000000"/>
          <w:kern w:val="0"/>
          <w:sz w:val="32"/>
          <w:szCs w:val="32"/>
          <w:shd w:val="clear" w:color="auto" w:fill="FFFFFF"/>
          <w:lang w:val="zh-CN"/>
        </w:rPr>
        <w:t>（三）</w:t>
      </w:r>
      <w:r>
        <w:rPr>
          <w:rFonts w:hint="eastAsia" w:ascii="仿宋_GB2312" w:hAnsi="仿宋_GB2312" w:eastAsia="仿宋_GB2312" w:cs="仿宋_GB2312"/>
          <w:b/>
          <w:bCs/>
          <w:sz w:val="32"/>
          <w:szCs w:val="32"/>
          <w:lang w:val="zh-CN"/>
        </w:rPr>
        <w:t>绩效结果应用情况。</w:t>
      </w:r>
    </w:p>
    <w:p w14:paraId="3705BAE2">
      <w:pPr>
        <w:adjustRightInd w:val="0"/>
        <w:snapToGrid w:val="0"/>
        <w:spacing w:line="600" w:lineRule="exact"/>
        <w:ind w:firstLine="640" w:firstLineChars="200"/>
        <w:contextualSpacing/>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1.行政事业性国有资产绩效分析</w:t>
      </w:r>
    </w:p>
    <w:p w14:paraId="0FAA02E0">
      <w:pPr>
        <w:adjustRightInd w:val="0"/>
        <w:snapToGrid w:val="0"/>
        <w:spacing w:line="600" w:lineRule="exact"/>
        <w:ind w:firstLine="640" w:firstLineChars="200"/>
        <w:contextualSpacing/>
        <w:rPr>
          <w:rFonts w:ascii="仿宋_GB2312" w:hAnsi="仿宋_GB2312" w:eastAsia="仿宋_GB2312" w:cs="仿宋_GB2312"/>
          <w:sz w:val="32"/>
          <w:szCs w:val="32"/>
        </w:rPr>
      </w:pPr>
      <w:r>
        <w:rPr>
          <w:rFonts w:hint="eastAsia" w:ascii="仿宋_GB2312" w:hAnsi="仿宋_GB2312" w:eastAsia="仿宋_GB2312" w:cs="仿宋_GB2312"/>
          <w:sz w:val="32"/>
          <w:szCs w:val="32"/>
        </w:rPr>
        <w:t>我院严格按照相关工作要求，在四川省行政事业性国有资产管理信息系统中对国有资产进行管理，按时将新购、满足固定资产登记条件的资产进行资产卡片新增。每月初按时填报资产月报，严格审核，确保数据准确、及时、完整性，有效夯实了行政事业性国有资产管理基础工作。</w:t>
      </w:r>
    </w:p>
    <w:p w14:paraId="073A2BF7">
      <w:pPr>
        <w:adjustRightInd w:val="0"/>
        <w:snapToGrid w:val="0"/>
        <w:spacing w:line="578" w:lineRule="exact"/>
        <w:ind w:firstLine="640" w:firstLineChars="200"/>
        <w:contextualSpacing/>
        <w:jc w:val="left"/>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sz w:val="32"/>
          <w:szCs w:val="32"/>
        </w:rPr>
        <w:t>2.</w:t>
      </w:r>
      <w:r>
        <w:rPr>
          <w:rFonts w:hint="eastAsia" w:ascii="仿宋_GB2312" w:hAnsi="仿宋_GB2312" w:eastAsia="仿宋_GB2312" w:cs="仿宋_GB2312"/>
          <w:color w:val="000000"/>
          <w:kern w:val="0"/>
          <w:sz w:val="32"/>
          <w:szCs w:val="32"/>
          <w:shd w:val="clear" w:color="auto" w:fill="FFFFFF"/>
        </w:rPr>
        <w:t>政府采购绩效分析</w:t>
      </w:r>
    </w:p>
    <w:p w14:paraId="32F92F30">
      <w:pPr>
        <w:adjustRightInd w:val="0"/>
        <w:snapToGrid w:val="0"/>
        <w:spacing w:line="600" w:lineRule="exact"/>
        <w:ind w:firstLine="640" w:firstLineChars="200"/>
        <w:contextualSpacing/>
        <w:rPr>
          <w:rFonts w:ascii="仿宋_GB2312" w:hAnsi="仿宋_GB2312" w:eastAsia="仿宋_GB2312" w:cs="仿宋_GB2312"/>
          <w:b/>
          <w:sz w:val="32"/>
          <w:szCs w:val="32"/>
        </w:rPr>
      </w:pPr>
      <w:r>
        <w:rPr>
          <w:rFonts w:hint="eastAsia" w:ascii="仿宋_GB2312" w:hAnsi="仿宋_GB2312" w:eastAsia="仿宋_GB2312" w:cs="仿宋_GB2312"/>
          <w:sz w:val="32"/>
          <w:szCs w:val="32"/>
          <w:lang w:val="zh-CN"/>
        </w:rPr>
        <w:t>我院在采购过程中，秉持高度的规范性和透明度，严格遵循国家政府采购的法律法规与程序。我们建立了完善的采购管理体系，力求严谨细致、合法合规。</w:t>
      </w:r>
    </w:p>
    <w:p w14:paraId="426626A8">
      <w:pPr>
        <w:pStyle w:val="6"/>
        <w:ind w:firstLine="643"/>
      </w:pPr>
      <w:bookmarkStart w:id="85" w:name="_Toc16203"/>
      <w:r>
        <w:rPr>
          <w:rFonts w:hint="eastAsia"/>
        </w:rPr>
        <w:t>四、评价结论及建议</w:t>
      </w:r>
      <w:bookmarkEnd w:id="85"/>
    </w:p>
    <w:p w14:paraId="37E0AF5D">
      <w:pPr>
        <w:widowControl/>
        <w:adjustRightInd w:val="0"/>
        <w:snapToGrid w:val="0"/>
        <w:spacing w:line="578" w:lineRule="exact"/>
        <w:ind w:firstLine="643" w:firstLineChars="200"/>
        <w:contextualSpacing/>
        <w:jc w:val="left"/>
        <w:rPr>
          <w:rFonts w:ascii="仿宋_GB2312" w:hAnsi="仿宋_GB2312" w:eastAsia="仿宋_GB2312" w:cs="仿宋_GB2312"/>
          <w:b/>
          <w:bCs/>
          <w:color w:val="000000"/>
          <w:kern w:val="0"/>
          <w:sz w:val="32"/>
          <w:szCs w:val="32"/>
          <w:shd w:val="clear" w:color="auto" w:fill="FFFFFF"/>
        </w:rPr>
      </w:pPr>
      <w:r>
        <w:rPr>
          <w:rFonts w:hint="eastAsia" w:ascii="仿宋_GB2312" w:hAnsi="仿宋_GB2312" w:eastAsia="仿宋_GB2312" w:cs="仿宋_GB2312"/>
          <w:b/>
          <w:bCs/>
          <w:color w:val="000000"/>
          <w:kern w:val="0"/>
          <w:sz w:val="32"/>
          <w:szCs w:val="32"/>
          <w:shd w:val="clear" w:color="auto" w:fill="FFFFFF"/>
          <w:lang w:val="zh-CN"/>
        </w:rPr>
        <w:t>（一）评价结论。</w:t>
      </w:r>
      <w:r>
        <w:rPr>
          <w:rFonts w:hint="eastAsia" w:ascii="仿宋_GB2312" w:hAnsi="仿宋_GB2312" w:eastAsia="仿宋_GB2312" w:cs="仿宋_GB2312"/>
          <w:color w:val="000000"/>
          <w:sz w:val="32"/>
          <w:szCs w:val="32"/>
        </w:rPr>
        <w:t>我单位积极履职，强化管理，较好的完成了年度工作目标。通过加强预算收支管理，不断建立健全内部管理制度，梳理内部管理流程，部门整体支出管理水平得到提升。根据部门整体支出绩效评价指标体系，</w:t>
      </w:r>
    </w:p>
    <w:p w14:paraId="305EE53F">
      <w:pPr>
        <w:spacing w:line="560" w:lineRule="exact"/>
        <w:ind w:firstLine="643" w:firstLineChars="200"/>
        <w:rPr>
          <w:rFonts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（二）存在问题。</w:t>
      </w:r>
    </w:p>
    <w:p w14:paraId="6D73BF39">
      <w:pPr>
        <w:spacing w:line="560"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1.预算编制工作有待细化。</w:t>
      </w:r>
      <w:r>
        <w:rPr>
          <w:rFonts w:hint="eastAsia" w:ascii="仿宋_GB2312" w:hAnsi="仿宋_GB2312" w:eastAsia="仿宋_GB2312" w:cs="仿宋_GB2312"/>
          <w:color w:val="000000"/>
          <w:sz w:val="32"/>
          <w:szCs w:val="32"/>
        </w:rPr>
        <w:t>预算编制不够明确和细化，预算编制的合理性及执行力有待进一步提高，维持预算的严肃性和权威性有待进一步加强。个别项目资金管理和使用有待进一步细化和加强。</w:t>
      </w:r>
    </w:p>
    <w:p w14:paraId="01CC5F67">
      <w:pPr>
        <w:spacing w:line="560"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2.绩效考核指标有待标准化。</w:t>
      </w:r>
      <w:r>
        <w:rPr>
          <w:rFonts w:hint="eastAsia" w:ascii="仿宋_GB2312" w:hAnsi="仿宋_GB2312" w:eastAsia="仿宋_GB2312" w:cs="仿宋_GB2312"/>
          <w:color w:val="000000"/>
          <w:sz w:val="32"/>
          <w:szCs w:val="32"/>
        </w:rPr>
        <w:t>缺乏完善的绩效评价体系，预算绩效问责与激励制度还没完全建立，绩效评价对于优化、促进预算管理的作用还没有得到充分体现。</w:t>
      </w:r>
    </w:p>
    <w:p w14:paraId="682BF63F">
      <w:pPr>
        <w:widowControl/>
        <w:adjustRightInd w:val="0"/>
        <w:snapToGrid w:val="0"/>
        <w:spacing w:line="578" w:lineRule="exact"/>
        <w:ind w:firstLine="643" w:firstLineChars="200"/>
        <w:contextualSpacing/>
        <w:jc w:val="left"/>
        <w:rPr>
          <w:rFonts w:ascii="仿宋_GB2312" w:hAnsi="仿宋_GB2312" w:eastAsia="仿宋_GB2312" w:cs="仿宋_GB2312"/>
          <w:b/>
          <w:bCs/>
          <w:color w:val="000000"/>
          <w:kern w:val="0"/>
          <w:sz w:val="32"/>
          <w:szCs w:val="32"/>
          <w:shd w:val="clear" w:color="auto" w:fill="FFFFFF"/>
        </w:rPr>
      </w:pPr>
      <w:r>
        <w:rPr>
          <w:rFonts w:hint="eastAsia" w:ascii="仿宋_GB2312" w:hAnsi="仿宋_GB2312" w:eastAsia="仿宋_GB2312" w:cs="仿宋_GB2312"/>
          <w:b/>
          <w:bCs/>
          <w:color w:val="000000"/>
          <w:sz w:val="32"/>
          <w:szCs w:val="32"/>
        </w:rPr>
        <w:t>3.制度建设有待进一步完善。</w:t>
      </w:r>
      <w:r>
        <w:rPr>
          <w:rFonts w:hint="eastAsia" w:ascii="仿宋_GB2312" w:hAnsi="仿宋_GB2312" w:eastAsia="仿宋_GB2312" w:cs="仿宋_GB2312"/>
          <w:color w:val="000000"/>
          <w:sz w:val="32"/>
          <w:szCs w:val="32"/>
        </w:rPr>
        <w:t>为保证单位的正常运转，还需进一步完善财务制度体系和绩效评价体系，使财务工作有章可循，为提升财务服务质量提供制度保障。</w:t>
      </w:r>
    </w:p>
    <w:p w14:paraId="5A2D44B8">
      <w:pPr>
        <w:spacing w:line="560" w:lineRule="exact"/>
        <w:ind w:firstLine="643" w:firstLineChars="200"/>
        <w:rPr>
          <w:rFonts w:ascii="仿宋_GB2312" w:hAnsi="仿宋_GB2312" w:eastAsia="仿宋_GB2312" w:cs="仿宋_GB2312"/>
          <w:b/>
          <w:bCs/>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（三）改进建议。</w:t>
      </w:r>
      <w:bookmarkStart w:id="86" w:name="_Hlk110546638"/>
    </w:p>
    <w:p w14:paraId="3D8D856F">
      <w:pPr>
        <w:spacing w:line="560"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1.加强学习，提高思想认识。</w:t>
      </w:r>
      <w:r>
        <w:rPr>
          <w:rFonts w:hint="eastAsia" w:ascii="仿宋_GB2312" w:hAnsi="仿宋_GB2312" w:eastAsia="仿宋_GB2312" w:cs="仿宋_GB2312"/>
          <w:color w:val="000000"/>
          <w:sz w:val="32"/>
          <w:szCs w:val="32"/>
        </w:rPr>
        <w:t>组织单位人员认真学习《预算法》等相关法规、制度，提高单位领导对前面预算管理的重视程度，增强财务人员的预算意识，坚持先有预算、后有支出，没有预算不得支出。</w:t>
      </w:r>
    </w:p>
    <w:p w14:paraId="0BB2A75B">
      <w:pPr>
        <w:spacing w:line="560"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2.细化指标，提高预算科学性。</w:t>
      </w:r>
      <w:r>
        <w:rPr>
          <w:rFonts w:hint="eastAsia" w:ascii="仿宋_GB2312" w:hAnsi="仿宋_GB2312" w:eastAsia="仿宋_GB2312" w:cs="仿宋_GB2312"/>
          <w:color w:val="000000"/>
          <w:sz w:val="32"/>
          <w:szCs w:val="32"/>
        </w:rPr>
        <w:t>科学合理编制预算，推进预算编制科学化、准确化。年度预算编制后，根据实际情况，定期做好预算分析，掌握预算执行力度，及时找出预算实际执行情况与预算目标之间存在的差距，纠正偏差，为下一次科学、准确地编制部门预算积累经验。</w:t>
      </w:r>
    </w:p>
    <w:p w14:paraId="4E0965DD">
      <w:pPr>
        <w:spacing w:line="560" w:lineRule="exact"/>
        <w:ind w:firstLine="643" w:firstLineChars="200"/>
        <w:rPr>
          <w:rFonts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3.严格管理，控制“三公”经费和公用经费支出。</w:t>
      </w:r>
      <w:r>
        <w:rPr>
          <w:rFonts w:hint="eastAsia" w:ascii="仿宋_GB2312" w:hAnsi="仿宋_GB2312" w:eastAsia="仿宋_GB2312" w:cs="仿宋_GB2312"/>
          <w:color w:val="000000"/>
          <w:sz w:val="32"/>
          <w:szCs w:val="32"/>
        </w:rPr>
        <w:t>严格落实中央</w:t>
      </w:r>
      <w:bookmarkStart w:id="87" w:name="_GoBack"/>
      <w:bookmarkEnd w:id="87"/>
      <w:r>
        <w:rPr>
          <w:rFonts w:hint="eastAsia" w:ascii="仿宋_GB2312" w:hAnsi="仿宋_GB2312" w:eastAsia="仿宋_GB2312" w:cs="仿宋_GB2312"/>
          <w:color w:val="000000"/>
          <w:sz w:val="32"/>
          <w:szCs w:val="32"/>
        </w:rPr>
        <w:t>八项规定和州压缩“压缩一般性支出” 要求，切实加强三公”经费和会议费、培训费的管理，严格按照规定开支有关经费，确保三公”经费只减不增。</w:t>
      </w:r>
    </w:p>
    <w:p w14:paraId="30E8441A">
      <w:pPr>
        <w:widowControl/>
        <w:adjustRightInd w:val="0"/>
        <w:snapToGrid w:val="0"/>
        <w:spacing w:line="578" w:lineRule="exact"/>
        <w:ind w:firstLine="643" w:firstLineChars="200"/>
        <w:contextualSpacing/>
        <w:jc w:val="left"/>
        <w:rPr>
          <w:rFonts w:ascii="仿宋_GB2312" w:hAnsi="仿宋_GB2312" w:eastAsia="仿宋_GB2312" w:cs="仿宋_GB2312"/>
          <w:kern w:val="0"/>
          <w:sz w:val="32"/>
          <w:szCs w:val="32"/>
        </w:rPr>
      </w:pPr>
      <w:r>
        <w:rPr>
          <w:rFonts w:hint="eastAsia" w:ascii="仿宋_GB2312" w:hAnsi="仿宋_GB2312" w:eastAsia="仿宋_GB2312" w:cs="仿宋_GB2312"/>
          <w:b/>
          <w:bCs/>
          <w:color w:val="000000"/>
          <w:sz w:val="32"/>
          <w:szCs w:val="32"/>
        </w:rPr>
        <w:t>4.规范财务运行，加强预算支出管理。</w:t>
      </w:r>
      <w:r>
        <w:rPr>
          <w:rFonts w:hint="eastAsia" w:ascii="仿宋_GB2312" w:hAnsi="仿宋_GB2312" w:eastAsia="仿宋_GB2312" w:cs="仿宋_GB2312"/>
          <w:color w:val="000000"/>
          <w:sz w:val="32"/>
          <w:szCs w:val="32"/>
        </w:rPr>
        <w:t>严格遵循先有预算、后有支出的原则，在资金支付管理方面，严格按照规定程序向财政部门申请用款，在财政部门批复的支出预算资金范围内申请使用一般预算支出经费。建立健全并认真执行各项资金使用管理制度，建立内部控制制度，资金使用严格履行审批程序，确保资金支出合法、真实。</w:t>
      </w:r>
    </w:p>
    <w:bookmarkEnd w:id="86"/>
    <w:p w14:paraId="2795E0F5">
      <w:pPr>
        <w:spacing w:line="578" w:lineRule="exact"/>
        <w:contextualSpacing/>
        <w:rPr>
          <w:rFonts w:eastAsia="黑体"/>
          <w:szCs w:val="32"/>
        </w:rPr>
      </w:pPr>
    </w:p>
    <w:p w14:paraId="129A4B00">
      <w:pPr>
        <w:pStyle w:val="19"/>
        <w:tabs>
          <w:tab w:val="right" w:leader="dot" w:pos="8296"/>
        </w:tabs>
        <w:adjustRightInd w:val="0"/>
        <w:snapToGrid w:val="0"/>
        <w:spacing w:line="560" w:lineRule="exact"/>
        <w:ind w:left="0" w:leftChars="0" w:firstLine="640" w:firstLineChars="200"/>
        <w:jc w:val="left"/>
        <w:rPr>
          <w:rFonts w:eastAsia="仿宋_GB2312" w:cs="仿宋_GB2312"/>
          <w:sz w:val="32"/>
          <w:szCs w:val="32"/>
        </w:rPr>
      </w:pPr>
      <w:r>
        <w:rPr>
          <w:rFonts w:ascii="仿宋_GB2312" w:hAnsi="仿宋_GB2312" w:eastAsia="仿宋_GB2312" w:cs="仿宋_GB2312"/>
          <w:color w:val="000000"/>
          <w:sz w:val="32"/>
          <w:szCs w:val="32"/>
        </w:rPr>
        <w:t>附表：</w:t>
      </w:r>
      <w:r>
        <w:rPr>
          <w:rFonts w:hint="eastAsia" w:eastAsia="仿宋_GB2312" w:cs="仿宋_GB2312"/>
          <w:sz w:val="32"/>
          <w:szCs w:val="32"/>
        </w:rPr>
        <w:t>1、收入支出决算总表</w:t>
      </w:r>
    </w:p>
    <w:p w14:paraId="6E2A9CB7">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2、收入决算表</w:t>
      </w:r>
    </w:p>
    <w:p w14:paraId="177C42B3">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3、支出决算表</w:t>
      </w:r>
    </w:p>
    <w:p w14:paraId="2D7D53DC">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4、财政拨款收入支出决算总表</w:t>
      </w:r>
    </w:p>
    <w:p w14:paraId="58756747">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5、财政拨款支出决算明细表</w:t>
      </w:r>
    </w:p>
    <w:p w14:paraId="73368F01">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6、一般公共预算财政拨款支出决算表</w:t>
      </w:r>
    </w:p>
    <w:p w14:paraId="6888DDE8">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7、一般公共预算财政拨款支出决算明细表</w:t>
      </w:r>
    </w:p>
    <w:p w14:paraId="5ECC8360">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8、一般公共预算财政拨款基本支出决算明细表</w:t>
      </w:r>
    </w:p>
    <w:p w14:paraId="03B6F831">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9、一般公共预算财政拨款项目支出决算表</w:t>
      </w:r>
    </w:p>
    <w:p w14:paraId="0C95D3F1">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10、政府性基金预算财政拨款收入支出决算表</w:t>
      </w:r>
    </w:p>
    <w:p w14:paraId="1C36D94D">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11、国有资本经营预算财政拨款收入支出决算表</w:t>
      </w:r>
    </w:p>
    <w:p w14:paraId="6E558F4D">
      <w:pPr>
        <w:pStyle w:val="19"/>
        <w:tabs>
          <w:tab w:val="right" w:leader="dot" w:pos="8296"/>
        </w:tabs>
        <w:adjustRightInd w:val="0"/>
        <w:snapToGrid w:val="0"/>
        <w:spacing w:line="560" w:lineRule="exact"/>
        <w:ind w:left="0" w:leftChars="0" w:firstLine="1600" w:firstLineChars="500"/>
        <w:jc w:val="left"/>
        <w:rPr>
          <w:rFonts w:eastAsia="仿宋_GB2312" w:cs="仿宋_GB2312"/>
          <w:sz w:val="32"/>
          <w:szCs w:val="32"/>
        </w:rPr>
      </w:pPr>
      <w:r>
        <w:rPr>
          <w:rFonts w:hint="eastAsia" w:eastAsia="仿宋_GB2312" w:cs="仿宋_GB2312"/>
          <w:sz w:val="32"/>
          <w:szCs w:val="32"/>
        </w:rPr>
        <w:t>12、国有资本经营预算财政拨款支出决算表</w:t>
      </w:r>
    </w:p>
    <w:p w14:paraId="3A2669D0">
      <w:pPr>
        <w:widowControl/>
        <w:adjustRightInd w:val="0"/>
        <w:snapToGrid w:val="0"/>
        <w:spacing w:line="578" w:lineRule="exact"/>
        <w:ind w:firstLine="1600" w:firstLineChars="500"/>
        <w:contextualSpacing/>
        <w:jc w:val="left"/>
        <w:rPr>
          <w:rFonts w:ascii="仿宋_GB2312" w:hAnsi="仿宋_GB2312" w:eastAsia="仿宋_GB2312" w:cs="仿宋_GB2312"/>
          <w:color w:val="000000"/>
          <w:sz w:val="32"/>
          <w:szCs w:val="32"/>
        </w:rPr>
      </w:pPr>
      <w:r>
        <w:rPr>
          <w:rFonts w:hint="eastAsia" w:eastAsia="仿宋_GB2312" w:cs="仿宋_GB2312"/>
          <w:sz w:val="32"/>
          <w:szCs w:val="32"/>
        </w:rPr>
        <w:t>13、财政拨款“三公”经费支出决算表</w:t>
      </w:r>
    </w:p>
    <w:bookmarkEnd w:id="77"/>
    <w:p w14:paraId="1750D447"/>
    <w:sectPr>
      <w:footerReference r:id="rId12" w:type="first"/>
      <w:footerReference r:id="rId11"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decorative"/>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2B855">
    <w:pPr>
      <w:pStyle w:val="14"/>
      <w:jc w:val="center"/>
    </w:pPr>
  </w:p>
  <w:p w14:paraId="3F0853C6">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17117">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CEC40">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05878">
    <w:pPr>
      <w:pStyle w:val="14"/>
      <w:jc w:val="center"/>
    </w:pPr>
  </w:p>
  <w:p w14:paraId="538015D7">
    <w:pPr>
      <w:pStyle w:val="1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BE8E4">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68DF7">
    <w:pPr>
      <w:snapToGrid w:val="0"/>
      <w:jc w:val="cente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2DDE8634">
    <w:pPr>
      <w:pStyle w:val="1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8FCEA">
    <w:pPr>
      <w:snapToGrid w:val="0"/>
      <w:jc w:val="cente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49F36">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A9D9D">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A9F82">
    <w:pPr>
      <w:pStyle w:val="1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1010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C6A1B"/>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75D6A"/>
    <w:rsid w:val="00885AF4"/>
    <w:rsid w:val="008939CD"/>
    <w:rsid w:val="008B768C"/>
    <w:rsid w:val="008C4DB1"/>
    <w:rsid w:val="008C4EAF"/>
    <w:rsid w:val="008C5176"/>
    <w:rsid w:val="008C7FD0"/>
    <w:rsid w:val="008D76C4"/>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4B49"/>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21CB"/>
    <w:rsid w:val="00A237D8"/>
    <w:rsid w:val="00A268C4"/>
    <w:rsid w:val="00A307CD"/>
    <w:rsid w:val="00A331C8"/>
    <w:rsid w:val="00A40A00"/>
    <w:rsid w:val="00A4142F"/>
    <w:rsid w:val="00A422EB"/>
    <w:rsid w:val="00A45BB7"/>
    <w:rsid w:val="00A56DF2"/>
    <w:rsid w:val="00A56E6E"/>
    <w:rsid w:val="00A61B77"/>
    <w:rsid w:val="00A64AFF"/>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2B08"/>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A0782"/>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A63D3A"/>
    <w:rsid w:val="07A70FFA"/>
    <w:rsid w:val="07D804EA"/>
    <w:rsid w:val="07DFD8BA"/>
    <w:rsid w:val="09867E8F"/>
    <w:rsid w:val="0A2032A3"/>
    <w:rsid w:val="0A217DC5"/>
    <w:rsid w:val="0AE5396F"/>
    <w:rsid w:val="0B8D0D51"/>
    <w:rsid w:val="0C941B8C"/>
    <w:rsid w:val="0CA8290A"/>
    <w:rsid w:val="0D35B1ED"/>
    <w:rsid w:val="0D570A77"/>
    <w:rsid w:val="0E254B6B"/>
    <w:rsid w:val="0E617CFE"/>
    <w:rsid w:val="0F98263C"/>
    <w:rsid w:val="101860EC"/>
    <w:rsid w:val="101F47CC"/>
    <w:rsid w:val="10C055FF"/>
    <w:rsid w:val="11694EBD"/>
    <w:rsid w:val="11772AA4"/>
    <w:rsid w:val="118107EC"/>
    <w:rsid w:val="12E24EE2"/>
    <w:rsid w:val="13D50BC4"/>
    <w:rsid w:val="141A626F"/>
    <w:rsid w:val="14B17F78"/>
    <w:rsid w:val="14B6282C"/>
    <w:rsid w:val="165E0673"/>
    <w:rsid w:val="16B831D5"/>
    <w:rsid w:val="16BB723D"/>
    <w:rsid w:val="17720F4B"/>
    <w:rsid w:val="17E50567"/>
    <w:rsid w:val="18351C5F"/>
    <w:rsid w:val="186504BB"/>
    <w:rsid w:val="19A445FC"/>
    <w:rsid w:val="1A0C3383"/>
    <w:rsid w:val="1AE87F80"/>
    <w:rsid w:val="1BE8440E"/>
    <w:rsid w:val="1C132DF2"/>
    <w:rsid w:val="1C2F7EB9"/>
    <w:rsid w:val="1CB172FB"/>
    <w:rsid w:val="1CF935E5"/>
    <w:rsid w:val="1D155CEE"/>
    <w:rsid w:val="1D1638FE"/>
    <w:rsid w:val="1E312DEB"/>
    <w:rsid w:val="1E740ACF"/>
    <w:rsid w:val="1F14549A"/>
    <w:rsid w:val="1F196DB1"/>
    <w:rsid w:val="1FBC1034"/>
    <w:rsid w:val="1FF35744"/>
    <w:rsid w:val="1FF6BC77"/>
    <w:rsid w:val="2186353C"/>
    <w:rsid w:val="236B0C61"/>
    <w:rsid w:val="23860B96"/>
    <w:rsid w:val="23BC6145"/>
    <w:rsid w:val="240371BF"/>
    <w:rsid w:val="244F3473"/>
    <w:rsid w:val="24C97D99"/>
    <w:rsid w:val="25A718F0"/>
    <w:rsid w:val="25BB59F6"/>
    <w:rsid w:val="25DC2E25"/>
    <w:rsid w:val="260F557C"/>
    <w:rsid w:val="26970054"/>
    <w:rsid w:val="274F7F21"/>
    <w:rsid w:val="281408E2"/>
    <w:rsid w:val="298643CD"/>
    <w:rsid w:val="29FD04D3"/>
    <w:rsid w:val="2AEF3F25"/>
    <w:rsid w:val="2B0B413D"/>
    <w:rsid w:val="2BFF7BC6"/>
    <w:rsid w:val="2C8A61B5"/>
    <w:rsid w:val="2CD666A3"/>
    <w:rsid w:val="2CEB4E62"/>
    <w:rsid w:val="2DF04E50"/>
    <w:rsid w:val="2E586DFA"/>
    <w:rsid w:val="2F040D46"/>
    <w:rsid w:val="2F6B035B"/>
    <w:rsid w:val="2FAE5751"/>
    <w:rsid w:val="2FB1A395"/>
    <w:rsid w:val="2FD9A7D8"/>
    <w:rsid w:val="2FDBF714"/>
    <w:rsid w:val="30AB6865"/>
    <w:rsid w:val="31332E63"/>
    <w:rsid w:val="319F7F4E"/>
    <w:rsid w:val="329C0CE1"/>
    <w:rsid w:val="32BD1EF1"/>
    <w:rsid w:val="3304709D"/>
    <w:rsid w:val="33910AAB"/>
    <w:rsid w:val="33A773CB"/>
    <w:rsid w:val="349D6851"/>
    <w:rsid w:val="35040111"/>
    <w:rsid w:val="35186BE9"/>
    <w:rsid w:val="35F97328"/>
    <w:rsid w:val="36AA5135"/>
    <w:rsid w:val="36BE0DA7"/>
    <w:rsid w:val="376B6AA6"/>
    <w:rsid w:val="376D39B2"/>
    <w:rsid w:val="37E16F03"/>
    <w:rsid w:val="37F53A3B"/>
    <w:rsid w:val="386D0218"/>
    <w:rsid w:val="389B6C89"/>
    <w:rsid w:val="38D469F0"/>
    <w:rsid w:val="39627CCD"/>
    <w:rsid w:val="397BAF1F"/>
    <w:rsid w:val="399638C3"/>
    <w:rsid w:val="39D74050"/>
    <w:rsid w:val="39F471D3"/>
    <w:rsid w:val="3A785F36"/>
    <w:rsid w:val="3AB79AF3"/>
    <w:rsid w:val="3AE834C0"/>
    <w:rsid w:val="3B7EF35A"/>
    <w:rsid w:val="3B9FDB6C"/>
    <w:rsid w:val="3BA51AFF"/>
    <w:rsid w:val="3BF5BC2F"/>
    <w:rsid w:val="3CE0797F"/>
    <w:rsid w:val="3CEBA265"/>
    <w:rsid w:val="3D4F74B5"/>
    <w:rsid w:val="3D98207C"/>
    <w:rsid w:val="3DBD3274"/>
    <w:rsid w:val="3DEE7CF3"/>
    <w:rsid w:val="3E740A63"/>
    <w:rsid w:val="3E78745D"/>
    <w:rsid w:val="3EE17838"/>
    <w:rsid w:val="3F55381A"/>
    <w:rsid w:val="3F7F7599"/>
    <w:rsid w:val="3FF4CAE0"/>
    <w:rsid w:val="3FF7B227"/>
    <w:rsid w:val="41A75785"/>
    <w:rsid w:val="446573CA"/>
    <w:rsid w:val="44E268DA"/>
    <w:rsid w:val="450D13D7"/>
    <w:rsid w:val="45506656"/>
    <w:rsid w:val="46416C95"/>
    <w:rsid w:val="486A6C7A"/>
    <w:rsid w:val="4A627F82"/>
    <w:rsid w:val="4B0E749A"/>
    <w:rsid w:val="4B2477C4"/>
    <w:rsid w:val="4B4F25DA"/>
    <w:rsid w:val="4BE068DB"/>
    <w:rsid w:val="4C3C17C1"/>
    <w:rsid w:val="4D577224"/>
    <w:rsid w:val="4DBF1CEB"/>
    <w:rsid w:val="4DC914B6"/>
    <w:rsid w:val="4DF0007C"/>
    <w:rsid w:val="4EAB630A"/>
    <w:rsid w:val="4ECE2238"/>
    <w:rsid w:val="4F342CF9"/>
    <w:rsid w:val="4F833267"/>
    <w:rsid w:val="4FE9BD67"/>
    <w:rsid w:val="4FFB052F"/>
    <w:rsid w:val="537E6D0A"/>
    <w:rsid w:val="53F74C96"/>
    <w:rsid w:val="55085444"/>
    <w:rsid w:val="55170BA8"/>
    <w:rsid w:val="553218C9"/>
    <w:rsid w:val="55F2477D"/>
    <w:rsid w:val="567E1AA5"/>
    <w:rsid w:val="56E47B74"/>
    <w:rsid w:val="57175D52"/>
    <w:rsid w:val="57BD3DD4"/>
    <w:rsid w:val="585F6AE0"/>
    <w:rsid w:val="5AF92295"/>
    <w:rsid w:val="5B250254"/>
    <w:rsid w:val="5BDD79E6"/>
    <w:rsid w:val="5BF561CA"/>
    <w:rsid w:val="5BFF5DFC"/>
    <w:rsid w:val="5C9154BE"/>
    <w:rsid w:val="5CD71FC4"/>
    <w:rsid w:val="5D1F11B5"/>
    <w:rsid w:val="5D695134"/>
    <w:rsid w:val="5DAE1B18"/>
    <w:rsid w:val="5DE7D9E5"/>
    <w:rsid w:val="5ECEC941"/>
    <w:rsid w:val="5F6078E3"/>
    <w:rsid w:val="5FBB02F8"/>
    <w:rsid w:val="5FBF9FF3"/>
    <w:rsid w:val="5FCD4E2C"/>
    <w:rsid w:val="5FEF394A"/>
    <w:rsid w:val="5FF67715"/>
    <w:rsid w:val="61DC4B90"/>
    <w:rsid w:val="62BF3928"/>
    <w:rsid w:val="62D44AE1"/>
    <w:rsid w:val="63B3701E"/>
    <w:rsid w:val="647F5392"/>
    <w:rsid w:val="65E66580"/>
    <w:rsid w:val="664B1D71"/>
    <w:rsid w:val="664B4E8E"/>
    <w:rsid w:val="67277B67"/>
    <w:rsid w:val="67AA3209"/>
    <w:rsid w:val="698D0931"/>
    <w:rsid w:val="6A7FE5F3"/>
    <w:rsid w:val="6B053271"/>
    <w:rsid w:val="6BDD78B3"/>
    <w:rsid w:val="6BFB258F"/>
    <w:rsid w:val="6C4A05C8"/>
    <w:rsid w:val="6C8742B8"/>
    <w:rsid w:val="6DBF5E93"/>
    <w:rsid w:val="6DFF077E"/>
    <w:rsid w:val="6E714EF0"/>
    <w:rsid w:val="6E7E3605"/>
    <w:rsid w:val="6E7FDCC7"/>
    <w:rsid w:val="6ED6A62E"/>
    <w:rsid w:val="6EE00B15"/>
    <w:rsid w:val="6F6FB3EB"/>
    <w:rsid w:val="6F8731EA"/>
    <w:rsid w:val="6FCE6052"/>
    <w:rsid w:val="6FD36100"/>
    <w:rsid w:val="6FD57C00"/>
    <w:rsid w:val="6FEFFFD8"/>
    <w:rsid w:val="6FF5CC65"/>
    <w:rsid w:val="6FFB47EC"/>
    <w:rsid w:val="6FFF034A"/>
    <w:rsid w:val="70484440"/>
    <w:rsid w:val="712A28F1"/>
    <w:rsid w:val="715C0E4B"/>
    <w:rsid w:val="71992E7C"/>
    <w:rsid w:val="71EC6F8A"/>
    <w:rsid w:val="72233669"/>
    <w:rsid w:val="72734D90"/>
    <w:rsid w:val="73160E6D"/>
    <w:rsid w:val="7332FE48"/>
    <w:rsid w:val="73AB61DA"/>
    <w:rsid w:val="73AD73D5"/>
    <w:rsid w:val="73B6EB34"/>
    <w:rsid w:val="73FA497D"/>
    <w:rsid w:val="744731E5"/>
    <w:rsid w:val="74BBD01D"/>
    <w:rsid w:val="74ED5379"/>
    <w:rsid w:val="750E70CD"/>
    <w:rsid w:val="75DEEEC2"/>
    <w:rsid w:val="75E32345"/>
    <w:rsid w:val="75F1792A"/>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5335DA"/>
    <w:rsid w:val="7B6C7DFB"/>
    <w:rsid w:val="7B904AEA"/>
    <w:rsid w:val="7BBFBED0"/>
    <w:rsid w:val="7BC3E394"/>
    <w:rsid w:val="7C1F3737"/>
    <w:rsid w:val="7CBFC87B"/>
    <w:rsid w:val="7CFE0F48"/>
    <w:rsid w:val="7D272ABC"/>
    <w:rsid w:val="7D7EC23E"/>
    <w:rsid w:val="7DB01FBD"/>
    <w:rsid w:val="7E8ADEBF"/>
    <w:rsid w:val="7EEF11D3"/>
    <w:rsid w:val="7EFE4840"/>
    <w:rsid w:val="7F0971A6"/>
    <w:rsid w:val="7F122D08"/>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4"/>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5"/>
    <w:unhideWhenUsed/>
    <w:qFormat/>
    <w:uiPriority w:val="9"/>
    <w:pPr>
      <w:keepNext/>
      <w:keepLines/>
      <w:spacing w:line="576" w:lineRule="exact"/>
      <w:ind w:firstLine="420" w:firstLineChars="200"/>
      <w:outlineLvl w:val="1"/>
    </w:pPr>
    <w:rPr>
      <w:rFonts w:asciiTheme="majorHAnsi" w:hAnsiTheme="majorHAnsi" w:eastAsiaTheme="majorEastAsia" w:cstheme="majorBidi"/>
      <w:b/>
      <w:bCs/>
      <w:sz w:val="32"/>
      <w:szCs w:val="32"/>
    </w:rPr>
  </w:style>
  <w:style w:type="paragraph" w:styleId="7">
    <w:name w:val="heading 3"/>
    <w:basedOn w:val="1"/>
    <w:next w:val="1"/>
    <w:link w:val="38"/>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toc 7"/>
    <w:basedOn w:val="1"/>
    <w:next w:val="1"/>
    <w:unhideWhenUsed/>
    <w:qFormat/>
    <w:uiPriority w:val="39"/>
    <w:pPr>
      <w:ind w:left="2520" w:leftChars="1200"/>
    </w:pPr>
  </w:style>
  <w:style w:type="paragraph" w:styleId="9">
    <w:name w:val="Body Text"/>
    <w:basedOn w:val="1"/>
    <w:next w:val="1"/>
    <w:link w:val="31"/>
    <w:qFormat/>
    <w:uiPriority w:val="99"/>
    <w:pPr>
      <w:spacing w:beforeLines="30"/>
    </w:pPr>
    <w:rPr>
      <w:rFonts w:ascii="仿宋_GB2312" w:eastAsia="仿宋_GB2312"/>
      <w:kern w:val="0"/>
      <w:sz w:val="30"/>
    </w:rPr>
  </w:style>
  <w:style w:type="paragraph" w:styleId="10">
    <w:name w:val="toc 5"/>
    <w:basedOn w:val="1"/>
    <w:next w:val="1"/>
    <w:unhideWhenUsed/>
    <w:qFormat/>
    <w:uiPriority w:val="39"/>
    <w:pPr>
      <w:ind w:left="1680" w:leftChars="800"/>
    </w:pPr>
  </w:style>
  <w:style w:type="paragraph" w:styleId="11">
    <w:name w:val="toc 3"/>
    <w:basedOn w:val="1"/>
    <w:next w:val="1"/>
    <w:unhideWhenUsed/>
    <w:qFormat/>
    <w:uiPriority w:val="39"/>
    <w:pPr>
      <w:ind w:left="840" w:leftChars="400"/>
    </w:pPr>
  </w:style>
  <w:style w:type="paragraph" w:styleId="12">
    <w:name w:val="toc 8"/>
    <w:basedOn w:val="1"/>
    <w:next w:val="1"/>
    <w:unhideWhenUsed/>
    <w:qFormat/>
    <w:uiPriority w:val="39"/>
    <w:pPr>
      <w:ind w:left="2940" w:leftChars="1400"/>
    </w:pPr>
  </w:style>
  <w:style w:type="paragraph" w:styleId="13">
    <w:name w:val="Balloon Text"/>
    <w:basedOn w:val="1"/>
    <w:link w:val="37"/>
    <w:unhideWhenUsed/>
    <w:qFormat/>
    <w:uiPriority w:val="99"/>
    <w:rPr>
      <w:sz w:val="18"/>
      <w:szCs w:val="18"/>
    </w:rPr>
  </w:style>
  <w:style w:type="paragraph" w:styleId="14">
    <w:name w:val="footer"/>
    <w:basedOn w:val="1"/>
    <w:link w:val="29"/>
    <w:qFormat/>
    <w:uiPriority w:val="99"/>
    <w:pPr>
      <w:tabs>
        <w:tab w:val="center" w:pos="4153"/>
        <w:tab w:val="right" w:pos="8306"/>
      </w:tabs>
      <w:snapToGrid w:val="0"/>
      <w:jc w:val="left"/>
    </w:pPr>
    <w:rPr>
      <w:rFonts w:ascii="Calibri" w:hAnsi="Calibri"/>
      <w:kern w:val="0"/>
      <w:sz w:val="18"/>
      <w:szCs w:val="18"/>
    </w:rPr>
  </w:style>
  <w:style w:type="paragraph" w:styleId="15">
    <w:name w:val="header"/>
    <w:basedOn w:val="1"/>
    <w:link w:val="27"/>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6">
    <w:name w:val="toc 1"/>
    <w:basedOn w:val="1"/>
    <w:next w:val="1"/>
    <w:unhideWhenUsed/>
    <w:qFormat/>
    <w:uiPriority w:val="39"/>
  </w:style>
  <w:style w:type="paragraph" w:styleId="17">
    <w:name w:val="toc 4"/>
    <w:basedOn w:val="1"/>
    <w:next w:val="1"/>
    <w:unhideWhenUsed/>
    <w:qFormat/>
    <w:uiPriority w:val="39"/>
    <w:pPr>
      <w:ind w:left="1260" w:leftChars="600"/>
    </w:pPr>
  </w:style>
  <w:style w:type="paragraph" w:styleId="18">
    <w:name w:val="toc 6"/>
    <w:basedOn w:val="1"/>
    <w:next w:val="1"/>
    <w:unhideWhenUsed/>
    <w:qFormat/>
    <w:uiPriority w:val="39"/>
    <w:pPr>
      <w:ind w:left="2100" w:leftChars="1000"/>
    </w:pPr>
  </w:style>
  <w:style w:type="paragraph" w:styleId="19">
    <w:name w:val="toc 2"/>
    <w:basedOn w:val="1"/>
    <w:next w:val="1"/>
    <w:unhideWhenUsed/>
    <w:qFormat/>
    <w:uiPriority w:val="39"/>
    <w:pPr>
      <w:ind w:left="420" w:leftChars="200"/>
    </w:pPr>
  </w:style>
  <w:style w:type="paragraph" w:styleId="20">
    <w:name w:val="toc 9"/>
    <w:basedOn w:val="1"/>
    <w:next w:val="1"/>
    <w:unhideWhenUsed/>
    <w:qFormat/>
    <w:uiPriority w:val="39"/>
    <w:pPr>
      <w:ind w:left="3360" w:leftChars="1600"/>
    </w:pPr>
  </w:style>
  <w:style w:type="character" w:styleId="23">
    <w:name w:val="Strong"/>
    <w:basedOn w:val="22"/>
    <w:qFormat/>
    <w:uiPriority w:val="99"/>
    <w:rPr>
      <w:b/>
    </w:rPr>
  </w:style>
  <w:style w:type="character" w:styleId="24">
    <w:name w:val="Hyperlink"/>
    <w:basedOn w:val="22"/>
    <w:unhideWhenUsed/>
    <w:qFormat/>
    <w:uiPriority w:val="99"/>
    <w:rPr>
      <w:color w:val="0000FF" w:themeColor="hyperlink"/>
      <w:u w:val="single"/>
      <w14:textFill>
        <w14:solidFill>
          <w14:schemeClr w14:val="hlink"/>
        </w14:solidFill>
      </w14:textFill>
    </w:rPr>
  </w:style>
  <w:style w:type="paragraph" w:customStyle="1" w:styleId="2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6">
    <w:name w:val="Header Char"/>
    <w:basedOn w:val="22"/>
    <w:semiHidden/>
    <w:qFormat/>
    <w:uiPriority w:val="99"/>
    <w:rPr>
      <w:rFonts w:ascii="Times New Roman" w:hAnsi="Times New Roman"/>
      <w:sz w:val="18"/>
      <w:szCs w:val="18"/>
    </w:rPr>
  </w:style>
  <w:style w:type="character" w:customStyle="1" w:styleId="27">
    <w:name w:val="页眉 Char"/>
    <w:link w:val="15"/>
    <w:semiHidden/>
    <w:qFormat/>
    <w:locked/>
    <w:uiPriority w:val="99"/>
    <w:rPr>
      <w:sz w:val="18"/>
    </w:rPr>
  </w:style>
  <w:style w:type="character" w:customStyle="1" w:styleId="28">
    <w:name w:val="Footer Char"/>
    <w:basedOn w:val="22"/>
    <w:semiHidden/>
    <w:qFormat/>
    <w:uiPriority w:val="99"/>
    <w:rPr>
      <w:rFonts w:ascii="Times New Roman" w:hAnsi="Times New Roman"/>
      <w:sz w:val="18"/>
      <w:szCs w:val="18"/>
    </w:rPr>
  </w:style>
  <w:style w:type="character" w:customStyle="1" w:styleId="29">
    <w:name w:val="页脚 Char"/>
    <w:link w:val="14"/>
    <w:qFormat/>
    <w:locked/>
    <w:uiPriority w:val="99"/>
    <w:rPr>
      <w:sz w:val="18"/>
    </w:rPr>
  </w:style>
  <w:style w:type="character" w:customStyle="1" w:styleId="30">
    <w:name w:val="Body Text Char"/>
    <w:basedOn w:val="22"/>
    <w:semiHidden/>
    <w:qFormat/>
    <w:uiPriority w:val="99"/>
    <w:rPr>
      <w:rFonts w:ascii="Times New Roman" w:hAnsi="Times New Roman"/>
      <w:szCs w:val="24"/>
    </w:rPr>
  </w:style>
  <w:style w:type="character" w:customStyle="1" w:styleId="31">
    <w:name w:val="正文文本 Char"/>
    <w:link w:val="9"/>
    <w:qFormat/>
    <w:locked/>
    <w:uiPriority w:val="99"/>
    <w:rPr>
      <w:rFonts w:ascii="仿宋_GB2312" w:hAnsi="Times New Roman" w:eastAsia="仿宋_GB2312"/>
      <w:sz w:val="24"/>
    </w:rPr>
  </w:style>
  <w:style w:type="paragraph" w:customStyle="1" w:styleId="3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3">
    <w:name w:val="列出段落1"/>
    <w:basedOn w:val="1"/>
    <w:qFormat/>
    <w:uiPriority w:val="34"/>
    <w:pPr>
      <w:ind w:firstLine="420" w:firstLineChars="200"/>
    </w:pPr>
  </w:style>
  <w:style w:type="character" w:customStyle="1" w:styleId="34">
    <w:name w:val="标题 1 Char"/>
    <w:basedOn w:val="22"/>
    <w:link w:val="5"/>
    <w:qFormat/>
    <w:uiPriority w:val="9"/>
    <w:rPr>
      <w:rFonts w:ascii="Times New Roman" w:hAnsi="Times New Roman"/>
      <w:b/>
      <w:bCs/>
      <w:kern w:val="44"/>
      <w:sz w:val="44"/>
      <w:szCs w:val="44"/>
    </w:rPr>
  </w:style>
  <w:style w:type="character" w:customStyle="1" w:styleId="35">
    <w:name w:val="标题 2 Char"/>
    <w:basedOn w:val="22"/>
    <w:link w:val="6"/>
    <w:qFormat/>
    <w:uiPriority w:val="9"/>
    <w:rPr>
      <w:rFonts w:asciiTheme="majorHAnsi" w:hAnsiTheme="majorHAnsi" w:eastAsiaTheme="majorEastAsia" w:cstheme="majorBidi"/>
      <w:b/>
      <w:bCs/>
      <w:kern w:val="2"/>
      <w:sz w:val="32"/>
      <w:szCs w:val="32"/>
    </w:rPr>
  </w:style>
  <w:style w:type="paragraph" w:customStyle="1" w:styleId="36">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7">
    <w:name w:val="批注框文本 Char"/>
    <w:basedOn w:val="22"/>
    <w:link w:val="13"/>
    <w:semiHidden/>
    <w:qFormat/>
    <w:uiPriority w:val="99"/>
    <w:rPr>
      <w:rFonts w:ascii="Times New Roman" w:hAnsi="Times New Roman"/>
      <w:kern w:val="2"/>
      <w:sz w:val="18"/>
      <w:szCs w:val="18"/>
    </w:rPr>
  </w:style>
  <w:style w:type="character" w:customStyle="1" w:styleId="38">
    <w:name w:val="标题 3 Char"/>
    <w:basedOn w:val="22"/>
    <w:link w:val="7"/>
    <w:qFormat/>
    <w:uiPriority w:val="9"/>
    <w:rPr>
      <w:rFonts w:ascii="Times New Roman" w:hAnsi="Times New Roman"/>
      <w:b/>
      <w:bCs/>
      <w:kern w:val="2"/>
      <w:sz w:val="32"/>
      <w:szCs w:val="32"/>
    </w:rPr>
  </w:style>
  <w:style w:type="paragraph" w:customStyle="1" w:styleId="39">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0">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hart" Target="charts/chart7.xml"/><Relationship Id="rId2" Type="http://schemas.openxmlformats.org/officeDocument/2006/relationships/settings" Target="settings.xml"/><Relationship Id="rId19" Type="http://schemas.openxmlformats.org/officeDocument/2006/relationships/chart" Target="charts/chart6.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F:\1.&#36130;&#21153;\6.&#39044;&#31639;&#20915;&#31639;\&#20915;&#31639;\2024&#24180;&#20915;&#31639;\2024&#24180;&#20915;&#31639;&#20844;&#24320;\2023&#24180;&#20915;&#31639;&#34920;&#2668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1.&#36130;&#21153;\6.&#39044;&#31639;&#20915;&#31639;\&#20915;&#31639;\2024&#24180;&#20915;&#31639;\2024&#24180;&#20915;&#31639;&#20844;&#24320;\2023&#24180;&#20915;&#31639;&#34920;&#2668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1.&#36130;&#21153;\6.&#39044;&#31639;&#20915;&#31639;\&#20915;&#31639;\2024&#24180;&#20915;&#31639;\2024&#24180;&#20915;&#31639;&#20844;&#24320;\2023&#24180;&#20915;&#31639;&#34920;&#2668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1.&#36130;&#21153;\6.&#39044;&#31639;&#20915;&#31639;\&#20915;&#31639;\2024&#24180;&#20915;&#31639;\2024&#24180;&#20915;&#31639;&#20844;&#24320;\2023&#24180;&#20915;&#31639;&#34920;&#2668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1.&#36130;&#21153;\6.&#39044;&#31639;&#20915;&#31639;\&#20915;&#31639;\2024&#24180;&#20915;&#31639;\2024&#24180;&#20915;&#31639;&#20844;&#24320;\2023&#24180;&#20915;&#31639;&#34920;&#26684;.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1.&#36130;&#21153;\6.&#39044;&#31639;&#20915;&#31639;\&#20915;&#31639;\2024&#24180;&#20915;&#31639;\2024&#24180;&#20915;&#31639;&#20844;&#24320;\2023&#24180;&#20915;&#31639;&#34920;&#26684;.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1.&#36130;&#21153;\6.&#39044;&#31639;&#20915;&#31639;\&#20915;&#31639;\2024&#24180;&#20915;&#31639;\2024&#24180;&#20915;&#31639;&#20844;&#24320;\2023&#24180;&#20915;&#31639;&#34920;&#2668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chemeClr val="tx1"/>
                </a:solidFill>
                <a:latin typeface="+mn-lt"/>
                <a:ea typeface="+mn-ea"/>
                <a:cs typeface="+mn-cs"/>
              </a:defRPr>
            </a:pPr>
            <a:r>
              <a:rPr lang="zh-CN"/>
              <a:t>收、支决算总计变动情况图</a:t>
            </a:r>
            <a:endParaRPr lang="zh-CN"/>
          </a:p>
        </c:rich>
      </c:tx>
      <c:layout/>
      <c:overlay val="0"/>
      <c:spPr>
        <a:noFill/>
        <a:ln>
          <a:noFill/>
        </a:ln>
        <a:effectLst/>
      </c:spPr>
    </c:title>
    <c:autoTitleDeleted val="0"/>
    <c:plotArea>
      <c:layout/>
      <c:barChart>
        <c:barDir val="col"/>
        <c:grouping val="clustered"/>
        <c:varyColors val="0"/>
        <c:ser>
          <c:idx val="0"/>
          <c:order val="0"/>
          <c:tx>
            <c:strRef>
              <c:f>2024年</c:f>
              <c:strCache>
                <c:ptCount val="1"/>
                <c:pt idx="0">
                  <c:v>2024年</c:v>
                </c:pt>
              </c:strCache>
            </c:strRef>
          </c:tx>
          <c:spPr>
            <a:solidFill>
              <a:schemeClr val="accent1"/>
            </a:solidFill>
            <a:ln>
              <a:noFill/>
            </a:ln>
            <a:effectLst/>
          </c:spPr>
          <c:invertIfNegative val="0"/>
          <c:dLbls>
            <c:numFmt formatCode="0.00&quot;万&quot;&quot;元&quot;" sourceLinked="0"/>
            <c:spPr>
              <a:noFill/>
              <a:ln>
                <a:noFill/>
              </a:ln>
              <a:effectLst/>
            </c:spPr>
            <c:txPr>
              <a:bodyPr rot="0" spcFirstLastPara="0" vertOverflow="ellipsis" horzOverflow="overflow"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olidFill>
                      <a:prstDash val="solid"/>
                      <a:round/>
                    </a:ln>
                    <a:effectLst/>
                  </c:spPr>
                </c15:leaderLines>
              </c:ext>
            </c:extLst>
          </c:dLbls>
          <c:cat>
            <c:strRef>
              <c:f>Sheet1!$B$1:$C$1</c:f>
              <c:strCache>
                <c:ptCount val="2"/>
                <c:pt idx="0">
                  <c:v>收入</c:v>
                </c:pt>
                <c:pt idx="1">
                  <c:v>支出</c:v>
                </c:pt>
              </c:strCache>
            </c:strRef>
          </c:cat>
          <c:val>
            <c:numRef>
              <c:f>Sheet1!$B$2:$C$2</c:f>
              <c:numCache>
                <c:formatCode>General</c:formatCode>
                <c:ptCount val="2"/>
                <c:pt idx="0">
                  <c:v>1510.21</c:v>
                </c:pt>
                <c:pt idx="1">
                  <c:v>1510.21</c:v>
                </c:pt>
              </c:numCache>
            </c:numRef>
          </c:val>
        </c:ser>
        <c:ser>
          <c:idx val="1"/>
          <c:order val="1"/>
          <c:tx>
            <c:strRef>
              <c:f>2025年</c:f>
              <c:strCache>
                <c:ptCount val="1"/>
                <c:pt idx="0">
                  <c:v>2025年</c:v>
                </c:pt>
              </c:strCache>
            </c:strRef>
          </c:tx>
          <c:spPr>
            <a:solidFill>
              <a:schemeClr val="accent2"/>
            </a:solidFill>
            <a:ln>
              <a:noFill/>
            </a:ln>
            <a:effectLst/>
          </c:spPr>
          <c:invertIfNegative val="0"/>
          <c:dLbls>
            <c:dLbl>
              <c:idx val="0"/>
              <c:layout/>
              <c:numFmt formatCode="0.00&quot;万&quot;&quot;元&quot;"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0.00&quot;万&quot;&quot;元&quot;"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olidFill>
                      <a:prstDash val="solid"/>
                      <a:round/>
                    </a:ln>
                    <a:effectLst/>
                  </c:spPr>
                </c15:leaderLines>
              </c:ext>
            </c:extLst>
          </c:dLbls>
          <c:cat>
            <c:strRef>
              <c:f>Sheet1!$B$1:$C$1</c:f>
              <c:strCache>
                <c:ptCount val="2"/>
                <c:pt idx="0">
                  <c:v>收入</c:v>
                </c:pt>
                <c:pt idx="1">
                  <c:v>支出</c:v>
                </c:pt>
              </c:strCache>
            </c:strRef>
          </c:cat>
          <c:val>
            <c:numRef>
              <c:f>Sheet1!$B$3:$C$3</c:f>
              <c:numCache>
                <c:formatCode>General</c:formatCode>
                <c:ptCount val="2"/>
                <c:pt idx="0">
                  <c:v>1064.82</c:v>
                </c:pt>
                <c:pt idx="1">
                  <c:v>1064.82</c:v>
                </c:pt>
              </c:numCache>
            </c:numRef>
          </c:val>
        </c:ser>
        <c:dLbls>
          <c:showLegendKey val="0"/>
          <c:showVal val="0"/>
          <c:showCatName val="0"/>
          <c:showSerName val="0"/>
          <c:showPercent val="0"/>
          <c:showBubbleSize val="0"/>
        </c:dLbls>
        <c:gapWidth val="75"/>
        <c:overlap val="-25"/>
        <c:axId val="294612352"/>
        <c:axId val="106333312"/>
      </c:barChart>
      <c:catAx>
        <c:axId val="294612352"/>
        <c:scaling>
          <c:orientation val="minMax"/>
        </c:scaling>
        <c:delete val="0"/>
        <c:axPos val="b"/>
        <c:numFmt formatCode="General" sourceLinked="1"/>
        <c:majorTickMark val="none"/>
        <c:minorTickMark val="none"/>
        <c:tickLblPos val="nextTo"/>
        <c:spPr>
          <a:noFill/>
          <a:ln w="9525" cap="flat" cmpd="sng" algn="ctr">
            <a:solidFill>
              <a:schemeClr val="tx1">
                <a:lumMod val="50000"/>
                <a:lumOff val="50000"/>
              </a:schemeClr>
            </a:solidFill>
            <a:prstDash val="solid"/>
            <a:round/>
          </a:ln>
          <a:effectLst/>
        </c:spPr>
        <c:txPr>
          <a:bodyPr rot="-6000000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crossAx val="106333312"/>
        <c:crosses val="autoZero"/>
        <c:auto val="1"/>
        <c:lblAlgn val="ctr"/>
        <c:lblOffset val="100"/>
        <c:noMultiLvlLbl val="0"/>
      </c:catAx>
      <c:valAx>
        <c:axId val="106333312"/>
        <c:scaling>
          <c:orientation val="minMax"/>
          <c:max val="1600"/>
        </c:scaling>
        <c:delete val="0"/>
        <c:axPos val="l"/>
        <c:majorGridlines>
          <c:spPr>
            <a:ln w="9525" cap="flat" cmpd="sng" algn="ctr">
              <a:solidFill>
                <a:schemeClr val="tx1">
                  <a:lumMod val="50000"/>
                  <a:lumOff val="50000"/>
                </a:schemeClr>
              </a:solidFill>
              <a:prstDash val="solid"/>
              <a:round/>
            </a:ln>
            <a:effectLst/>
          </c:spPr>
        </c:majorGridlines>
        <c:numFmt formatCode="General" sourceLinked="1"/>
        <c:majorTickMark val="none"/>
        <c:minorTickMark val="none"/>
        <c:tickLblPos val="nextTo"/>
        <c:spPr>
          <a:noFill/>
          <a:ln w="9525" cap="flat" cmpd="sng" algn="ctr">
            <a:solidFill>
              <a:schemeClr val="tx1">
                <a:lumMod val="50000"/>
                <a:lumOff val="50000"/>
              </a:schemeClr>
            </a:solidFill>
            <a:prstDash val="solid"/>
            <a:round/>
          </a:ln>
          <a:effectLst/>
        </c:spPr>
        <c:txPr>
          <a:bodyPr rot="-6000000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crossAx val="294612352"/>
        <c:crosses val="autoZero"/>
        <c:crossBetween val="between"/>
      </c:valAx>
      <c:spPr>
        <a:solidFill>
          <a:schemeClr val="bg1"/>
        </a:solidFill>
        <a:ln>
          <a:noFill/>
        </a:ln>
        <a:effectLst/>
      </c:spPr>
    </c:plotArea>
    <c:legend>
      <c:legendPos val="b"/>
      <c:layout>
        <c:manualLayout>
          <c:xMode val="edge"/>
          <c:yMode val="edge"/>
          <c:x val="0.374947807933194"/>
          <c:y val="0.872481827622015"/>
          <c:w val="0.282811412665275"/>
          <c:h val="0.102596053997923"/>
        </c:manualLayout>
      </c:layout>
      <c:overlay val="0"/>
      <c:spPr>
        <a:noFill/>
        <a:ln>
          <a:noFill/>
        </a:ln>
        <a:effectLst/>
      </c:spPr>
      <c:txPr>
        <a:bodyPr rot="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04a3015-7a45-415a-96e6-2ec9a2f66124}"/>
      </c:ext>
    </c:extLst>
  </c:chart>
  <c:spPr>
    <a:solidFill>
      <a:schemeClr val="bg1"/>
    </a:solidFill>
    <a:ln w="9525" cap="flat" cmpd="sng" algn="ctr">
      <a:solidFill>
        <a:schemeClr val="tx1">
          <a:tint val="7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chemeClr val="tx1"/>
                </a:solidFill>
                <a:latin typeface="+mn-lt"/>
                <a:ea typeface="+mn-ea"/>
                <a:cs typeface="+mn-cs"/>
              </a:defRPr>
            </a:pPr>
            <a:r>
              <a:rPr lang="zh-CN" altLang="en-US" sz="1800" b="1" i="0" u="none" strike="noStrike" baseline="0"/>
              <a:t>收入决算结构图</a:t>
            </a:r>
            <a:endParaRPr lang="zh-CN" altLang="en-US"/>
          </a:p>
        </c:rich>
      </c:tx>
      <c:layout/>
      <c:overlay val="0"/>
      <c:spPr>
        <a:noFill/>
        <a:ln>
          <a:noFill/>
        </a:ln>
        <a:effectLst/>
      </c:spPr>
    </c:title>
    <c:autoTitleDeleted val="0"/>
    <c:plotArea>
      <c:layout/>
      <c:pieChart>
        <c:varyColors val="1"/>
        <c:ser>
          <c:idx val="0"/>
          <c:order val="0"/>
          <c:spPr>
            <a:effectLst/>
          </c:spPr>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numFmt formatCode="0.00&quot;万&quot;&quot;元&quot;"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1"/>
              <c:layout/>
              <c:numFmt formatCode="0.00&quot;万&quot;&quot;元&quot;"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Sheet2!$A$2:$A$3</c:f>
              <c:strCache>
                <c:ptCount val="2"/>
                <c:pt idx="0">
                  <c:v>一般公共预算财政拨款收入</c:v>
                </c:pt>
                <c:pt idx="1">
                  <c:v>其他收入</c:v>
                </c:pt>
              </c:strCache>
            </c:strRef>
          </c:cat>
          <c:val>
            <c:numRef>
              <c:f>Sheet2!$B$2:$B$3</c:f>
              <c:numCache>
                <c:formatCode>General</c:formatCode>
                <c:ptCount val="2"/>
                <c:pt idx="0">
                  <c:v>816.43</c:v>
                </c:pt>
                <c:pt idx="1">
                  <c:v>219.65</c:v>
                </c:pt>
              </c:numCache>
            </c:numRef>
          </c:val>
        </c:ser>
        <c:dLbls>
          <c:showLegendKey val="0"/>
          <c:showVal val="0"/>
          <c:showCatName val="0"/>
          <c:showSerName val="0"/>
          <c:showPercent val="0"/>
          <c:showBubbleSize val="0"/>
          <c:showLeaderLines val="1"/>
        </c:dLbls>
        <c:firstSliceAng val="0"/>
      </c:pieChart>
      <c:spPr>
        <a:solidFill>
          <a:schemeClr val="bg1"/>
        </a:solid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83bcba2c-00ef-48d9-837c-5aa1fbd074f1}"/>
      </c:ext>
    </c:extLst>
  </c:chart>
  <c:spPr>
    <a:solidFill>
      <a:schemeClr val="bg1"/>
    </a:solidFill>
    <a:ln w="9525" cap="flat" cmpd="sng" algn="ctr">
      <a:solidFill>
        <a:schemeClr val="tx1">
          <a:tint val="7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chemeClr val="tx1"/>
                </a:solidFill>
                <a:latin typeface="+mn-lt"/>
                <a:ea typeface="+mn-ea"/>
                <a:cs typeface="+mn-cs"/>
              </a:defRPr>
            </a:pPr>
            <a:r>
              <a:rPr lang="zh-CN" altLang="en-US" sz="1800" b="1" i="0" u="none" strike="noStrike" baseline="0"/>
              <a:t>支出决算结构图</a:t>
            </a:r>
            <a:endParaRPr lang="zh-CN" altLang="en-US"/>
          </a:p>
        </c:rich>
      </c:tx>
      <c:layout/>
      <c:overlay val="0"/>
      <c:spPr>
        <a:noFill/>
        <a:ln>
          <a:noFill/>
        </a:ln>
        <a:effectLst/>
      </c:spPr>
    </c:title>
    <c:autoTitleDeleted val="0"/>
    <c:plotArea>
      <c:layout/>
      <c:pieChart>
        <c:varyColors val="1"/>
        <c:ser>
          <c:idx val="0"/>
          <c:order val="0"/>
          <c:spPr>
            <a:effectLst/>
          </c:spPr>
          <c:explosion val="0"/>
          <c:dPt>
            <c:idx val="0"/>
            <c:bubble3D val="0"/>
            <c:spPr>
              <a:solidFill>
                <a:schemeClr val="accent1"/>
              </a:solidFill>
              <a:ln>
                <a:noFill/>
              </a:ln>
              <a:effectLst/>
            </c:spPr>
          </c:dPt>
          <c:dPt>
            <c:idx val="1"/>
            <c:bubble3D val="0"/>
            <c:spPr>
              <a:solidFill>
                <a:schemeClr val="accent2"/>
              </a:solidFill>
              <a:ln>
                <a:noFill/>
              </a:ln>
              <a:effectLst/>
            </c:spPr>
          </c:dPt>
          <c:dLbls>
            <c:dLbl>
              <c:idx val="0"/>
              <c:layout/>
              <c:numFmt formatCode="0.00&quot;万&quot;&quot;元&quot;"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1"/>
              <c:layout/>
              <c:numFmt formatCode="0.00&quot;万&quot;&quot;元&quot;"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Sheet3!$A$2:$A$3</c:f>
              <c:strCache>
                <c:ptCount val="2"/>
                <c:pt idx="0">
                  <c:v>基本支出</c:v>
                </c:pt>
                <c:pt idx="1">
                  <c:v>项目支出</c:v>
                </c:pt>
              </c:strCache>
            </c:strRef>
          </c:cat>
          <c:val>
            <c:numRef>
              <c:f>Sheet3!$B$2:$B$3</c:f>
              <c:numCache>
                <c:formatCode>General</c:formatCode>
                <c:ptCount val="2"/>
                <c:pt idx="0">
                  <c:v>819.81</c:v>
                </c:pt>
                <c:pt idx="1">
                  <c:v>217.23</c:v>
                </c:pt>
              </c:numCache>
            </c:numRef>
          </c:val>
        </c:ser>
        <c:dLbls>
          <c:showLegendKey val="0"/>
          <c:showVal val="0"/>
          <c:showCatName val="0"/>
          <c:showSerName val="0"/>
          <c:showPercent val="0"/>
          <c:showBubbleSize val="0"/>
          <c:showLeaderLines val="1"/>
        </c:dLbls>
        <c:firstSliceAng val="0"/>
      </c:pieChart>
      <c:spPr>
        <a:solidFill>
          <a:schemeClr val="bg1"/>
        </a:solid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7f861739-0aab-4198-bffc-311fb68c7a55}"/>
      </c:ext>
    </c:extLst>
  </c:chart>
  <c:spPr>
    <a:solidFill>
      <a:schemeClr val="bg1"/>
    </a:solidFill>
    <a:ln w="9525" cap="flat" cmpd="sng" algn="ctr">
      <a:solidFill>
        <a:schemeClr val="tx1">
          <a:tint val="7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chemeClr val="tx1"/>
                </a:solidFill>
                <a:latin typeface="+mn-lt"/>
                <a:ea typeface="+mn-ea"/>
                <a:cs typeface="+mn-cs"/>
              </a:defRPr>
            </a:pPr>
            <a:r>
              <a:rPr lang="zh-CN" altLang="en-US" sz="1800" b="1" i="0" u="none" strike="noStrike" cap="none" normalizeH="0" baseline="0">
                <a:solidFill>
                  <a:schemeClr val="tx1"/>
                </a:solidFill>
                <a:effectLst/>
                <a:latin typeface="+mn-lt"/>
                <a:ea typeface="+mn-ea"/>
                <a:cs typeface="+mn-cs"/>
              </a:rPr>
              <a:t>财政拨款收、支决算总计变动情况</a:t>
            </a:r>
            <a:endParaRPr lang="zh-CN" altLang="en-US" sz="1800" b="1" i="0" u="none" strike="noStrike" cap="none" normalizeH="0" baseline="0">
              <a:solidFill>
                <a:schemeClr val="tx1"/>
              </a:solidFill>
              <a:effectLst/>
              <a:latin typeface="+mn-lt"/>
              <a:ea typeface="+mn-ea"/>
              <a:cs typeface="+mn-cs"/>
            </a:endParaRPr>
          </a:p>
        </c:rich>
      </c:tx>
      <c:layout/>
      <c:overlay val="0"/>
      <c:spPr>
        <a:noFill/>
        <a:ln>
          <a:noFill/>
        </a:ln>
        <a:effectLst/>
      </c:spPr>
    </c:title>
    <c:autoTitleDeleted val="0"/>
    <c:plotArea>
      <c:layout/>
      <c:barChart>
        <c:barDir val="col"/>
        <c:grouping val="clustered"/>
        <c:varyColors val="0"/>
        <c:ser>
          <c:idx val="0"/>
          <c:order val="0"/>
          <c:tx>
            <c:strRef>
              <c:f>2024年</c:f>
              <c:strCache>
                <c:ptCount val="1"/>
                <c:pt idx="0">
                  <c:v>2024年</c:v>
                </c:pt>
              </c:strCache>
            </c:strRef>
          </c:tx>
          <c:spPr>
            <a:solidFill>
              <a:schemeClr val="accent1"/>
            </a:solidFill>
            <a:ln>
              <a:noFill/>
            </a:ln>
            <a:effectLst/>
          </c:spPr>
          <c:invertIfNegative val="0"/>
          <c:dLbls>
            <c:numFmt formatCode="0.00&quot;万&quot;&quot;元&quot;" sourceLinked="0"/>
            <c:spPr>
              <a:noFill/>
              <a:ln>
                <a:noFill/>
              </a:ln>
              <a:effectLst/>
            </c:spPr>
            <c:txPr>
              <a:bodyPr rot="0" spcFirstLastPara="0" vertOverflow="ellipsis" horzOverflow="overflow"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olidFill>
                      <a:prstDash val="solid"/>
                      <a:round/>
                    </a:ln>
                    <a:effectLst/>
                  </c:spPr>
                </c15:leaderLines>
              </c:ext>
            </c:extLst>
          </c:dLbls>
          <c:cat>
            <c:strRef>
              <c:f>Sheet4!$B$1:$C$1</c:f>
              <c:strCache>
                <c:ptCount val="2"/>
                <c:pt idx="0">
                  <c:v>财政拨款收入</c:v>
                </c:pt>
                <c:pt idx="1">
                  <c:v>财政拨款支出</c:v>
                </c:pt>
              </c:strCache>
            </c:strRef>
          </c:cat>
          <c:val>
            <c:numRef>
              <c:f>Sheet4!$B$2:$C$2</c:f>
              <c:numCache>
                <c:formatCode>General</c:formatCode>
                <c:ptCount val="2"/>
                <c:pt idx="0">
                  <c:v>912.21</c:v>
                </c:pt>
                <c:pt idx="1">
                  <c:v>912.21</c:v>
                </c:pt>
              </c:numCache>
            </c:numRef>
          </c:val>
        </c:ser>
        <c:ser>
          <c:idx val="1"/>
          <c:order val="1"/>
          <c:tx>
            <c:strRef>
              <c:f>2025年</c:f>
              <c:strCache>
                <c:ptCount val="1"/>
                <c:pt idx="0">
                  <c:v>2025年</c:v>
                </c:pt>
              </c:strCache>
            </c:strRef>
          </c:tx>
          <c:spPr>
            <a:solidFill>
              <a:schemeClr val="accent2"/>
            </a:solidFill>
            <a:ln>
              <a:noFill/>
            </a:ln>
            <a:effectLst/>
          </c:spPr>
          <c:invertIfNegative val="0"/>
          <c:dLbls>
            <c:numFmt formatCode="0.00&quot;万&quot;&quot;元&quot;" sourceLinked="0"/>
            <c:spPr>
              <a:noFill/>
              <a:ln>
                <a:noFill/>
              </a:ln>
              <a:effectLst/>
            </c:spPr>
            <c:txPr>
              <a:bodyPr rot="0" spcFirstLastPara="0" vertOverflow="ellipsis" horzOverflow="overflow"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olidFill>
                      <a:prstDash val="solid"/>
                      <a:round/>
                    </a:ln>
                    <a:effectLst/>
                  </c:spPr>
                </c15:leaderLines>
              </c:ext>
            </c:extLst>
          </c:dLbls>
          <c:cat>
            <c:strRef>
              <c:f>Sheet4!$B$1:$C$1</c:f>
              <c:strCache>
                <c:ptCount val="2"/>
                <c:pt idx="0">
                  <c:v>财政拨款收入</c:v>
                </c:pt>
                <c:pt idx="1">
                  <c:v>财政拨款支出</c:v>
                </c:pt>
              </c:strCache>
            </c:strRef>
          </c:cat>
          <c:val>
            <c:numRef>
              <c:f>Sheet4!$B$3:$C$3</c:f>
              <c:numCache>
                <c:formatCode>General</c:formatCode>
                <c:ptCount val="2"/>
                <c:pt idx="0">
                  <c:v>816.43</c:v>
                </c:pt>
                <c:pt idx="1">
                  <c:v>816.43</c:v>
                </c:pt>
              </c:numCache>
            </c:numRef>
          </c:val>
        </c:ser>
        <c:dLbls>
          <c:showLegendKey val="0"/>
          <c:showVal val="1"/>
          <c:showCatName val="0"/>
          <c:showSerName val="0"/>
          <c:showPercent val="0"/>
          <c:showBubbleSize val="0"/>
        </c:dLbls>
        <c:gapWidth val="75"/>
        <c:overlap val="-25"/>
        <c:axId val="106493824"/>
        <c:axId val="106495360"/>
      </c:barChart>
      <c:catAx>
        <c:axId val="106493824"/>
        <c:scaling>
          <c:orientation val="minMax"/>
        </c:scaling>
        <c:delete val="0"/>
        <c:axPos val="b"/>
        <c:numFmt formatCode="General" sourceLinked="1"/>
        <c:majorTickMark val="none"/>
        <c:minorTickMark val="none"/>
        <c:tickLblPos val="nextTo"/>
        <c:spPr>
          <a:noFill/>
          <a:ln w="9525" cap="flat" cmpd="sng" algn="ctr">
            <a:solidFill>
              <a:schemeClr val="tx1">
                <a:lumMod val="50000"/>
                <a:lumOff val="50000"/>
              </a:schemeClr>
            </a:solidFill>
            <a:prstDash val="solid"/>
            <a:round/>
          </a:ln>
          <a:effectLst/>
        </c:spPr>
        <c:txPr>
          <a:bodyPr rot="-6000000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crossAx val="106495360"/>
        <c:crosses val="autoZero"/>
        <c:auto val="1"/>
        <c:lblAlgn val="ctr"/>
        <c:lblOffset val="100"/>
        <c:noMultiLvlLbl val="0"/>
      </c:catAx>
      <c:valAx>
        <c:axId val="106495360"/>
        <c:scaling>
          <c:orientation val="minMax"/>
        </c:scaling>
        <c:delete val="0"/>
        <c:axPos val="l"/>
        <c:majorGridlines>
          <c:spPr>
            <a:ln w="9525" cap="flat" cmpd="sng" algn="ctr">
              <a:solidFill>
                <a:schemeClr val="tx1">
                  <a:lumMod val="50000"/>
                  <a:lumOff val="50000"/>
                </a:schemeClr>
              </a:solidFill>
              <a:prstDash val="solid"/>
              <a:round/>
            </a:ln>
            <a:effectLst/>
          </c:spPr>
        </c:majorGridlines>
        <c:numFmt formatCode="General" sourceLinked="1"/>
        <c:majorTickMark val="none"/>
        <c:minorTickMark val="none"/>
        <c:tickLblPos val="nextTo"/>
        <c:spPr>
          <a:noFill/>
          <a:ln w="9525" cap="flat" cmpd="sng" algn="ctr">
            <a:solidFill>
              <a:schemeClr val="tx1">
                <a:lumMod val="50000"/>
                <a:lumOff val="50000"/>
              </a:schemeClr>
            </a:solidFill>
            <a:prstDash val="solid"/>
            <a:round/>
          </a:ln>
          <a:effectLst/>
        </c:spPr>
        <c:txPr>
          <a:bodyPr rot="-6000000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crossAx val="106493824"/>
        <c:crosses val="autoZero"/>
        <c:crossBetween val="between"/>
      </c:valAx>
      <c:spPr>
        <a:solidFill>
          <a:schemeClr val="bg1"/>
        </a:solidFill>
        <a:ln>
          <a:noFill/>
        </a:ln>
        <a:effectLst/>
      </c:spPr>
    </c:plotArea>
    <c:legend>
      <c:legendPos val="b"/>
      <c:layout>
        <c:manualLayout>
          <c:xMode val="edge"/>
          <c:yMode val="edge"/>
          <c:x val="0.362638888888889"/>
          <c:y val="0.868055555555557"/>
          <c:w val="0.270694444444444"/>
          <c:h val="0.104166666666667"/>
        </c:manualLayout>
      </c:layout>
      <c:overlay val="0"/>
      <c:spPr>
        <a:noFill/>
        <a:ln>
          <a:noFill/>
        </a:ln>
        <a:effectLst/>
      </c:spPr>
      <c:txPr>
        <a:bodyPr rot="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4f072108-c979-4197-bf94-efc796557072}"/>
      </c:ext>
    </c:extLst>
  </c:chart>
  <c:spPr>
    <a:solidFill>
      <a:schemeClr val="bg1"/>
    </a:solidFill>
    <a:ln w="9525" cap="flat" cmpd="sng" algn="ctr">
      <a:solidFill>
        <a:schemeClr val="tx1">
          <a:tint val="75000"/>
        </a:schemeClr>
      </a:solidFill>
      <a:prstDash val="solid"/>
      <a:round/>
    </a:ln>
    <a:effectLst/>
  </c:spPr>
  <c:txPr>
    <a:bodyPr rot="0" spcFirstLastPara="0" vertOverflow="ellipsis" horzOverflow="overflow" vert="horz" wrap="square" anchor="ctr" anchorCtr="1"/>
    <a:lstStyle/>
    <a:p>
      <a:pPr>
        <a:defRPr lang="zh-CN" sz="1000" b="0">
          <a:solidFill>
            <a:schemeClr val="tx1"/>
          </a:solidFill>
          <a:latin typeface="+mn-lt"/>
          <a:ea typeface="+mn-ea"/>
          <a:cs typeface="+mn-c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chemeClr val="tx1"/>
                </a:solidFill>
                <a:latin typeface="+mn-lt"/>
                <a:ea typeface="+mn-ea"/>
                <a:cs typeface="+mn-cs"/>
              </a:defRPr>
            </a:pPr>
            <a:r>
              <a:rPr lang="zh-CN" altLang="en-US" sz="1400"/>
              <a:t>一般公共预算财政拨款支出决算变动情况</a:t>
            </a:r>
            <a:endParaRPr lang="zh-CN" altLang="en-US" sz="1400"/>
          </a:p>
        </c:rich>
      </c:tx>
      <c:layout/>
      <c:overlay val="0"/>
      <c:spPr>
        <a:noFill/>
        <a:ln>
          <a:noFill/>
        </a:ln>
        <a:effectLst/>
      </c:spPr>
    </c:title>
    <c:autoTitleDeleted val="0"/>
    <c:plotArea>
      <c:layout/>
      <c:barChart>
        <c:barDir val="col"/>
        <c:grouping val="clustered"/>
        <c:varyColors val="0"/>
        <c:ser>
          <c:idx val="0"/>
          <c:order val="0"/>
          <c:tx>
            <c:strRef>
              <c:f>一般公共预算财政拨款支出</c:f>
              <c:strCache>
                <c:ptCount val="1"/>
                <c:pt idx="0">
                  <c:v>一般公共预算财政拨款支出</c:v>
                </c:pt>
              </c:strCache>
            </c:strRef>
          </c:tx>
          <c:spPr>
            <a:solidFill>
              <a:schemeClr val="accent1"/>
            </a:solidFill>
            <a:ln>
              <a:noFill/>
            </a:ln>
            <a:effectLst/>
          </c:spPr>
          <c:invertIfNegative val="0"/>
          <c:dLbls>
            <c:numFmt formatCode="0.00&quot;万&quot;&quot;元&quot;" sourceLinked="0"/>
            <c:spPr>
              <a:noFill/>
              <a:ln>
                <a:noFill/>
              </a:ln>
              <a:effectLst/>
            </c:spPr>
            <c:txPr>
              <a:bodyPr rot="0" spcFirstLastPara="0" vertOverflow="ellipsis" horzOverflow="overflow"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olidFill>
                      <a:prstDash val="solid"/>
                      <a:round/>
                    </a:ln>
                    <a:effectLst/>
                  </c:spPr>
                </c15:leaderLines>
              </c:ext>
            </c:extLst>
          </c:dLbls>
          <c:cat>
            <c:numRef>
              <c:f>Sheet5!$A$1:$A$2</c:f>
              <c:numCache>
                <c:formatCode>General</c:formatCode>
                <c:ptCount val="2"/>
                <c:pt idx="0">
                  <c:v>2024</c:v>
                </c:pt>
                <c:pt idx="1">
                  <c:v>2024</c:v>
                </c:pt>
              </c:numCache>
            </c:numRef>
          </c:cat>
          <c:val>
            <c:numRef>
              <c:f>Sheet5!$B$1:$B$2</c:f>
              <c:numCache>
                <c:formatCode>0.00_ </c:formatCode>
                <c:ptCount val="2"/>
                <c:pt idx="0">
                  <c:v>915.89</c:v>
                </c:pt>
                <c:pt idx="1">
                  <c:v>816.43</c:v>
                </c:pt>
              </c:numCache>
            </c:numRef>
          </c:val>
        </c:ser>
        <c:dLbls>
          <c:showLegendKey val="0"/>
          <c:showVal val="1"/>
          <c:showCatName val="0"/>
          <c:showSerName val="0"/>
          <c:showPercent val="0"/>
          <c:showBubbleSize val="0"/>
        </c:dLbls>
        <c:gapWidth val="75"/>
        <c:overlap val="-25"/>
        <c:axId val="108473728"/>
        <c:axId val="108483712"/>
      </c:barChart>
      <c:catAx>
        <c:axId val="108473728"/>
        <c:scaling>
          <c:orientation val="minMax"/>
        </c:scaling>
        <c:delete val="0"/>
        <c:axPos val="b"/>
        <c:numFmt formatCode="General" sourceLinked="1"/>
        <c:majorTickMark val="none"/>
        <c:minorTickMark val="none"/>
        <c:tickLblPos val="nextTo"/>
        <c:spPr>
          <a:noFill/>
          <a:ln w="9525" cap="flat" cmpd="sng" algn="ctr">
            <a:solidFill>
              <a:schemeClr val="tx1">
                <a:lumMod val="50000"/>
                <a:lumOff val="50000"/>
              </a:schemeClr>
            </a:solidFill>
            <a:prstDash val="solid"/>
            <a:round/>
          </a:ln>
          <a:effectLst/>
        </c:spPr>
        <c:txPr>
          <a:bodyPr rot="-6000000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crossAx val="108483712"/>
        <c:crosses val="autoZero"/>
        <c:auto val="1"/>
        <c:lblAlgn val="ctr"/>
        <c:lblOffset val="100"/>
        <c:noMultiLvlLbl val="0"/>
      </c:catAx>
      <c:valAx>
        <c:axId val="108483712"/>
        <c:scaling>
          <c:orientation val="minMax"/>
          <c:max val="1000"/>
          <c:min val="500"/>
        </c:scaling>
        <c:delete val="0"/>
        <c:axPos val="l"/>
        <c:majorGridlines>
          <c:spPr>
            <a:ln w="9525" cap="flat" cmpd="sng" algn="ctr">
              <a:solidFill>
                <a:schemeClr val="tx1">
                  <a:lumMod val="50000"/>
                  <a:lumOff val="50000"/>
                </a:schemeClr>
              </a:solidFill>
              <a:prstDash val="solid"/>
              <a:round/>
            </a:ln>
            <a:effectLst/>
          </c:spPr>
        </c:majorGridlines>
        <c:numFmt formatCode="0.00_ " sourceLinked="1"/>
        <c:majorTickMark val="none"/>
        <c:minorTickMark val="none"/>
        <c:tickLblPos val="nextTo"/>
        <c:spPr>
          <a:noFill/>
          <a:ln w="9525" cap="flat" cmpd="sng" algn="ctr">
            <a:noFill/>
            <a:prstDash val="solid"/>
            <a:round/>
          </a:ln>
          <a:effectLst/>
        </c:spPr>
        <c:txPr>
          <a:bodyPr rot="-6000000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crossAx val="108473728"/>
        <c:crosses val="autoZero"/>
        <c:crossBetween val="between"/>
        <c:majorUnit val="40"/>
      </c:valAx>
      <c:spPr>
        <a:solidFill>
          <a:schemeClr val="bg1"/>
        </a:solid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d14c582f-fbe3-4746-8d76-80c2aef144b9}"/>
      </c:ext>
    </c:extLst>
  </c:chart>
  <c:spPr>
    <a:solidFill>
      <a:schemeClr val="bg1"/>
    </a:solidFill>
    <a:ln w="9525" cap="flat" cmpd="sng" algn="ctr">
      <a:solidFill>
        <a:schemeClr val="tx1">
          <a:tint val="7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chemeClr val="tx1"/>
                </a:solidFill>
                <a:latin typeface="+mn-lt"/>
                <a:ea typeface="+mn-ea"/>
                <a:cs typeface="+mn-cs"/>
              </a:defRPr>
            </a:pPr>
            <a:r>
              <a:rPr lang="zh-CN" altLang="en-US" sz="1600" b="1" i="0" u="none" strike="noStrike" baseline="0"/>
              <a:t>一般公共预算财政拨款支出决算结构</a:t>
            </a:r>
            <a:endParaRPr lang="zh-CN" altLang="en-US" sz="1600"/>
          </a:p>
        </c:rich>
      </c:tx>
      <c:layout>
        <c:manualLayout>
          <c:xMode val="edge"/>
          <c:yMode val="edge"/>
          <c:x val="0.258912910340083"/>
          <c:y val="0.0198980829895656"/>
        </c:manualLayout>
      </c:layout>
      <c:overlay val="0"/>
      <c:spPr>
        <a:noFill/>
        <a:ln>
          <a:noFill/>
        </a:ln>
        <a:effectLst/>
      </c:spPr>
    </c:title>
    <c:autoTitleDeleted val="0"/>
    <c:plotArea>
      <c:layout/>
      <c:pieChart>
        <c:varyColors val="1"/>
        <c:ser>
          <c:idx val="0"/>
          <c:order val="0"/>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Lbls>
            <c:numFmt formatCode="0.00&quot;万&quot;&quot;元&quot;" sourceLinked="0"/>
            <c:spPr>
              <a:noFill/>
              <a:ln>
                <a:noFill/>
              </a:ln>
              <a:effectLst/>
            </c:spPr>
            <c:txPr>
              <a:bodyPr rot="0" spcFirstLastPara="0" vertOverflow="ellipsis" horzOverflow="overflow"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solidFill>
                      <a:prstDash val="solid"/>
                      <a:round/>
                    </a:ln>
                    <a:effectLst/>
                  </c:spPr>
                </c15:leaderLines>
              </c:ext>
            </c:extLst>
          </c:dLbls>
          <c:cat>
            <c:strRef>
              <c:f>Sheet6!$A$1:$A$4</c:f>
              <c:strCache>
                <c:ptCount val="4"/>
                <c:pt idx="0">
                  <c:v>公共安全支出</c:v>
                </c:pt>
                <c:pt idx="1">
                  <c:v>社会保障和就业支出</c:v>
                </c:pt>
                <c:pt idx="2">
                  <c:v>卫生健康支出</c:v>
                </c:pt>
                <c:pt idx="3">
                  <c:v>住房保障支出</c:v>
                </c:pt>
              </c:strCache>
            </c:strRef>
          </c:cat>
          <c:val>
            <c:numRef>
              <c:f>Sheet6!$B$1:$B$4</c:f>
              <c:numCache>
                <c:formatCode>0.00_ </c:formatCode>
                <c:ptCount val="4"/>
                <c:pt idx="0">
                  <c:v>644.18</c:v>
                </c:pt>
                <c:pt idx="1">
                  <c:v>84.27</c:v>
                </c:pt>
                <c:pt idx="2">
                  <c:v>37.68</c:v>
                </c:pt>
                <c:pt idx="3">
                  <c:v>50.3</c:v>
                </c:pt>
              </c:numCache>
            </c:numRef>
          </c:val>
        </c:ser>
        <c:dLbls>
          <c:showLegendKey val="0"/>
          <c:showVal val="1"/>
          <c:showCatName val="0"/>
          <c:showSerName val="0"/>
          <c:showPercent val="0"/>
          <c:showBubbleSize val="0"/>
          <c:showLeaderLines val="1"/>
        </c:dLbls>
        <c:firstSliceAng val="0"/>
      </c:pieChart>
      <c:spPr>
        <a:solidFill>
          <a:schemeClr val="bg1"/>
        </a:solidFill>
        <a:ln>
          <a:noFill/>
        </a:ln>
        <a:effectLst/>
      </c:spPr>
    </c:plotArea>
    <c:legend>
      <c:legendPos val="b"/>
      <c:layout>
        <c:manualLayout>
          <c:xMode val="edge"/>
          <c:yMode val="edge"/>
          <c:x val="0.155789341060854"/>
          <c:y val="0.926252063841497"/>
        </c:manualLayout>
      </c:layout>
      <c:overlay val="0"/>
      <c:spPr>
        <a:noFill/>
        <a:ln>
          <a:noFill/>
        </a:ln>
        <a:effectLst/>
      </c:spPr>
      <c:txPr>
        <a:bodyPr rot="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89326a7d-1c66-4af7-be9b-be0a8b92c244}"/>
      </c:ext>
    </c:extLst>
  </c:chart>
  <c:spPr>
    <a:solidFill>
      <a:schemeClr val="bg1"/>
    </a:solidFill>
    <a:ln w="9525" cap="flat" cmpd="sng" algn="ctr">
      <a:solidFill>
        <a:schemeClr val="tx1">
          <a:tint val="7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a:defRPr lang="zh-CN" sz="1800" b="1" i="0" u="none" strike="noStrike" kern="1200" baseline="0">
                <a:solidFill>
                  <a:schemeClr val="tx1"/>
                </a:solidFill>
                <a:latin typeface="+mn-lt"/>
                <a:ea typeface="+mn-ea"/>
                <a:cs typeface="+mn-cs"/>
              </a:defRPr>
            </a:pPr>
            <a:r>
              <a:rPr lang="zh-CN" altLang="en-US" sz="1800" b="1" i="0" u="none" strike="noStrike" baseline="0"/>
              <a:t>“三公”经费财政拨款支出结构</a:t>
            </a:r>
            <a:endParaRPr lang="zh-CN" altLang="en-US"/>
          </a:p>
        </c:rich>
      </c:tx>
      <c:layout/>
      <c:overlay val="0"/>
      <c:spPr>
        <a:noFill/>
        <a:ln>
          <a:noFill/>
        </a:ln>
        <a:effectLst/>
      </c:spPr>
    </c:title>
    <c:autoTitleDeleted val="0"/>
    <c:plotArea>
      <c:layout/>
      <c:pieChart>
        <c:varyColors val="1"/>
        <c:ser>
          <c:idx val="0"/>
          <c:order val="0"/>
          <c:spPr>
            <a:effectLst/>
          </c:spPr>
          <c:explosion val="0"/>
          <c:dPt>
            <c:idx val="0"/>
            <c:bubble3D val="0"/>
            <c:spPr>
              <a:solidFill>
                <a:schemeClr val="accent1"/>
              </a:solidFill>
              <a:ln>
                <a:noFill/>
              </a:ln>
              <a:effectLst/>
            </c:spPr>
          </c:dPt>
          <c:dPt>
            <c:idx val="1"/>
            <c:bubble3D val="0"/>
            <c:spPr>
              <a:solidFill>
                <a:schemeClr val="accent2"/>
              </a:solidFill>
              <a:ln>
                <a:noFill/>
              </a:ln>
              <a:effectLst/>
            </c:spPr>
          </c:dPt>
          <c:dLbls>
            <c:numFmt formatCode="0.00&quot;万&quot;&quot;元&quot;" sourceLinked="0"/>
            <c:spPr>
              <a:noFill/>
              <a:ln>
                <a:noFill/>
              </a:ln>
              <a:effectLst/>
            </c:spPr>
            <c:txPr>
              <a:bodyPr rot="0" spcFirstLastPara="0" vertOverflow="ellipsis" horzOverflow="overflow"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solidFill>
                      <a:prstDash val="solid"/>
                      <a:round/>
                    </a:ln>
                    <a:effectLst/>
                  </c:spPr>
                </c15:leaderLines>
              </c:ext>
            </c:extLst>
          </c:dLbls>
          <c:cat>
            <c:strRef>
              <c:f>Sheet7!$A$1:$A$2</c:f>
              <c:strCache>
                <c:ptCount val="2"/>
                <c:pt idx="0">
                  <c:v>公务用车购置及运行维护费支出</c:v>
                </c:pt>
                <c:pt idx="1">
                  <c:v>公务接待费支出</c:v>
                </c:pt>
              </c:strCache>
            </c:strRef>
          </c:cat>
          <c:val>
            <c:numRef>
              <c:f>Sheet7!$B$1:$B$2</c:f>
              <c:numCache>
                <c:formatCode>0.00_ </c:formatCode>
                <c:ptCount val="2"/>
                <c:pt idx="0">
                  <c:v>6.78</c:v>
                </c:pt>
                <c:pt idx="1">
                  <c:v>1.02</c:v>
                </c:pt>
              </c:numCache>
            </c:numRef>
          </c:val>
        </c:ser>
        <c:dLbls>
          <c:showLegendKey val="0"/>
          <c:showVal val="1"/>
          <c:showCatName val="0"/>
          <c:showSerName val="0"/>
          <c:showPercent val="0"/>
          <c:showBubbleSize val="0"/>
          <c:showLeaderLines val="1"/>
        </c:dLbls>
        <c:firstSliceAng val="0"/>
      </c:pieChart>
      <c:spPr>
        <a:solidFill>
          <a:schemeClr val="bg1"/>
        </a:solid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f3a01c1d-da9f-451d-8e15-cc4c8f414f74}"/>
      </c:ext>
    </c:extLst>
  </c:chart>
  <c:spPr>
    <a:solidFill>
      <a:schemeClr val="bg1"/>
    </a:solidFill>
    <a:ln w="9525" cap="flat" cmpd="sng" algn="ctr">
      <a:solidFill>
        <a:schemeClr val="tx1">
          <a:tint val="7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四川省财政厅</Company>
  <Pages>23</Pages>
  <Words>6633</Words>
  <Characters>7337</Characters>
  <Lines>77</Lines>
  <Paragraphs>21</Paragraphs>
  <TotalTime>17</TotalTime>
  <ScaleCrop>false</ScaleCrop>
  <LinksUpToDate>false</LinksUpToDate>
  <CharactersWithSpaces>7387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2026-09-15T03:09:00Z</dcterms:created>
  <dc:creator>曹颖</dc:creator>
  <cp:lastModifiedBy>一个笨蛋</cp:lastModifiedBy>
  <cp:lastPrinted>2025-08-06T17:34:00Z</cp:lastPrinted>
  <dcterms:modified xsi:type="dcterms:W3CDTF">2026-10-20T07:49:54Z</dcterms:modified>
  <dc:title>四川省***</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2C750CEECAF2483A8E66C594099F9714_13</vt:lpwstr>
  </property>
  <property fmtid="{D5CDD505-2E9C-101B-9397-08002B2CF9AE}" pid="4" name="KSOTemplateDocerSaveRecord">
    <vt:lpwstr>eyJoZGlkIjoiYjllZGNkZWEzYjg0NDNmNTQ5MjkzNjk0ODlhNmVkYzAiLCJ1c2VySWQiOiI0MTAxMDQ4MDkifQ==</vt:lpwstr>
  </property>
</Properties>
</file>