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方正小标宋简体" w:eastAsia="方正小标宋简体" w:cs="方正小标宋简体"/>
          <w:sz w:val="72"/>
          <w:szCs w:val="72"/>
        </w:rPr>
      </w:pPr>
      <w:bookmarkStart w:id="0" w:name="_Toc23924"/>
      <w:bookmarkStart w:id="1" w:name="_Toc3060"/>
      <w:r>
        <w:rPr>
          <w:rFonts w:hint="eastAsia" w:ascii="方正小标宋简体" w:eastAsia="方正小标宋简体" w:cs="方正小标宋简体"/>
          <w:sz w:val="72"/>
          <w:szCs w:val="72"/>
        </w:rPr>
        <w:t>2022年度</w:t>
      </w:r>
      <w:bookmarkEnd w:id="0"/>
      <w:bookmarkEnd w:id="1"/>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2" w:name="_Toc5817"/>
      <w:bookmarkStart w:id="3" w:name="_Toc19888"/>
      <w:bookmarkStart w:id="4" w:name="_Toc15396598"/>
      <w:bookmarkStart w:id="5" w:name="_Toc15377194"/>
      <w:bookmarkStart w:id="6" w:name="_Toc15378442"/>
      <w:bookmarkStart w:id="7" w:name="_Toc15396476"/>
      <w:bookmarkStart w:id="8" w:name="_Toc15377426"/>
      <w:r>
        <w:rPr>
          <w:rFonts w:ascii="方正小标宋简体" w:eastAsia="方正小标宋简体" w:cs="方正小标宋简体"/>
          <w:sz w:val="72"/>
          <w:szCs w:val="72"/>
        </w:rPr>
        <w:t>阿坝州</w:t>
      </w:r>
      <w:bookmarkStart w:id="9" w:name="_Toc15306268"/>
      <w:r>
        <w:rPr>
          <w:rFonts w:hint="eastAsia" w:ascii="方正小标宋简体" w:eastAsia="方正小标宋简体" w:cs="方正小标宋简体"/>
          <w:sz w:val="72"/>
          <w:szCs w:val="72"/>
          <w:lang w:val="en-US" w:eastAsia="zh-CN"/>
        </w:rPr>
        <w:t>理县人民法院</w:t>
      </w:r>
      <w:bookmarkEnd w:id="2"/>
      <w:bookmarkEnd w:id="3"/>
    </w:p>
    <w:p>
      <w:pPr>
        <w:adjustRightInd w:val="0"/>
        <w:snapToGrid w:val="0"/>
        <w:spacing w:line="360" w:lineRule="auto"/>
        <w:jc w:val="center"/>
        <w:outlineLvl w:val="0"/>
        <w:rPr>
          <w:rFonts w:ascii="方正小标宋简体" w:eastAsia="方正小标宋简体" w:cs="方正小标宋简体"/>
          <w:sz w:val="72"/>
          <w:szCs w:val="72"/>
        </w:rPr>
      </w:pPr>
      <w:bookmarkStart w:id="10" w:name="_Toc19392"/>
      <w:bookmarkStart w:id="11" w:name="_Toc26548"/>
      <w:r>
        <w:rPr>
          <w:rFonts w:hint="eastAsia" w:ascii="方正小标宋简体" w:eastAsia="方正小标宋简体" w:cs="方正小标宋简体"/>
          <w:sz w:val="72"/>
          <w:szCs w:val="72"/>
        </w:rPr>
        <w:t>部门决算</w:t>
      </w:r>
      <w:bookmarkEnd w:id="4"/>
      <w:bookmarkEnd w:id="5"/>
      <w:bookmarkEnd w:id="6"/>
      <w:bookmarkEnd w:id="7"/>
      <w:bookmarkEnd w:id="8"/>
      <w:bookmarkEnd w:id="9"/>
      <w:bookmarkEnd w:id="10"/>
      <w:bookmarkEnd w:id="11"/>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 </w:t>
      </w:r>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已经保密审查、内容审定，同意对外公开</w:t>
      </w:r>
    </w:p>
    <w:p>
      <w:pPr>
        <w:widowControl/>
        <w:jc w:val="center"/>
        <w:rPr>
          <w:rFonts w:ascii="黑体" w:eastAsia="黑体" w:cs="Arial"/>
          <w:sz w:val="28"/>
          <w:szCs w:val="28"/>
        </w:rPr>
      </w:pPr>
      <w:r>
        <w:rPr>
          <w:rFonts w:ascii="方正小标宋简体" w:eastAsia="方正小标宋简体"/>
          <w:sz w:val="36"/>
          <w:szCs w:val="36"/>
        </w:rPr>
        <w:br w:type="page"/>
      </w:r>
      <w:r>
        <w:rPr>
          <w:rFonts w:hint="eastAsia" w:ascii="黑体" w:eastAsia="黑体"/>
          <w:sz w:val="48"/>
          <w:szCs w:val="48"/>
        </w:rPr>
        <w:t>目录</w:t>
      </w:r>
    </w:p>
    <w:p>
      <w:pPr>
        <w:pStyle w:val="9"/>
      </w:pPr>
      <w:r>
        <w:rPr>
          <w:rFonts w:hint="eastAsia" w:ascii="华文仿宋" w:hAnsi="华文仿宋" w:eastAsia="华文仿宋" w:cs="华文仿宋"/>
          <w:b w:val="0"/>
          <w:bCs w:val="0"/>
          <w:kern w:val="0"/>
          <w:sz w:val="30"/>
          <w:szCs w:val="30"/>
          <w:lang w:val="en-US" w:eastAsia="zh-CN" w:bidi="ar-SA"/>
        </w:rPr>
        <w:t>公开时间：2023年9月19日</w:t>
      </w:r>
      <w:bookmarkStart w:id="12" w:name="_Toc15396599"/>
      <w:bookmarkStart w:id="13" w:name="_Toc15377196"/>
      <w:r>
        <w:fldChar w:fldCharType="begin"/>
      </w:r>
      <w:r>
        <w:instrText xml:space="preserve">TOC \o "1-3" \f \h \u </w:instrText>
      </w:r>
      <w:r>
        <w:fldChar w:fldCharType="separate"/>
      </w:r>
    </w:p>
    <w:p>
      <w:pPr>
        <w:pStyle w:val="10"/>
        <w:tabs>
          <w:tab w:val="right" w:leader="dot" w:pos="8306"/>
          <w:tab w:val="clear" w:pos="8296"/>
        </w:tabs>
        <w:rPr>
          <w:lang w:val="en-US" w:eastAsia="zh-CN"/>
        </w:rPr>
      </w:pPr>
      <w:r>
        <w:fldChar w:fldCharType="end"/>
      </w:r>
      <w:r>
        <w:fldChar w:fldCharType="begin"/>
      </w:r>
      <w:r>
        <w:instrText xml:space="preserve">TOC \o "1-3" \f \h \u </w:instrText>
      </w:r>
      <w:r>
        <w:fldChar w:fldCharType="separate"/>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_Toc13362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第一部分 部门概况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3</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_Toc12038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 部门职责</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3</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_Toc19920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二、机构设置</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4</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_Toc29457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第二部分 2022年度部门决算情况说明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5</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_Toc12317 </w:instrText>
      </w:r>
      <w:r>
        <w:rPr>
          <w:rFonts w:hint="eastAsia" w:ascii="黑体" w:hAnsi="Cambria" w:eastAsia="黑体" w:cs="Times New Roman"/>
          <w:bCs/>
          <w:kern w:val="2"/>
          <w:szCs w:val="32"/>
          <w:lang w:val="en-US" w:eastAsia="zh-CN" w:bidi="ar-SA"/>
        </w:rPr>
        <w:fldChar w:fldCharType="separate"/>
      </w:r>
      <w:r>
        <w:rPr>
          <w:rFonts w:hint="default" w:ascii="黑体" w:hAnsi="Cambria" w:eastAsia="黑体" w:cs="Times New Roman"/>
          <w:bCs/>
          <w:kern w:val="2"/>
          <w:szCs w:val="32"/>
          <w:lang w:val="en-US" w:eastAsia="zh-CN" w:bidi="ar-SA"/>
        </w:rPr>
        <w:t xml:space="preserve">一、 </w:t>
      </w:r>
      <w:r>
        <w:rPr>
          <w:rFonts w:hint="eastAsia" w:ascii="黑体" w:hAnsi="Cambria" w:eastAsia="黑体" w:cs="Times New Roman"/>
          <w:bCs/>
          <w:kern w:val="2"/>
          <w:szCs w:val="32"/>
          <w:lang w:val="en-US" w:eastAsia="zh-CN" w:bidi="ar-SA"/>
        </w:rPr>
        <w:t>收入支出决算总体情况说明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5</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_Toc7550 </w:instrText>
      </w:r>
      <w:r>
        <w:rPr>
          <w:rFonts w:hint="eastAsia" w:ascii="黑体" w:hAnsi="Cambria" w:eastAsia="黑体" w:cs="Times New Roman"/>
          <w:bCs/>
          <w:kern w:val="2"/>
          <w:szCs w:val="32"/>
          <w:lang w:val="en-US" w:eastAsia="zh-CN" w:bidi="ar-SA"/>
        </w:rPr>
        <w:fldChar w:fldCharType="separate"/>
      </w:r>
      <w:r>
        <w:rPr>
          <w:rFonts w:hint="default" w:ascii="黑体" w:hAnsi="Cambria" w:eastAsia="黑体" w:cs="Times New Roman"/>
          <w:bCs/>
          <w:kern w:val="2"/>
          <w:szCs w:val="32"/>
          <w:lang w:val="en-US" w:eastAsia="zh-CN" w:bidi="ar-SA"/>
        </w:rPr>
        <w:t xml:space="preserve">二、 </w:t>
      </w:r>
      <w:r>
        <w:rPr>
          <w:rFonts w:hint="eastAsia" w:ascii="黑体" w:hAnsi="Cambria" w:eastAsia="黑体" w:cs="Times New Roman"/>
          <w:bCs/>
          <w:kern w:val="2"/>
          <w:szCs w:val="32"/>
          <w:lang w:val="en-US" w:eastAsia="zh-CN" w:bidi="ar-SA"/>
        </w:rPr>
        <w:t>收入决算情况说明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5</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_Toc6173 </w:instrText>
      </w:r>
      <w:r>
        <w:rPr>
          <w:rFonts w:hint="eastAsia" w:ascii="黑体" w:hAnsi="Cambria" w:eastAsia="黑体" w:cs="Times New Roman"/>
          <w:bCs/>
          <w:kern w:val="2"/>
          <w:szCs w:val="32"/>
          <w:lang w:val="en-US" w:eastAsia="zh-CN" w:bidi="ar-SA"/>
        </w:rPr>
        <w:fldChar w:fldCharType="separate"/>
      </w:r>
      <w:r>
        <w:rPr>
          <w:rFonts w:hint="default" w:ascii="黑体" w:hAnsi="Cambria" w:eastAsia="黑体" w:cs="Times New Roman"/>
          <w:bCs/>
          <w:kern w:val="2"/>
          <w:szCs w:val="32"/>
          <w:lang w:val="en-US" w:eastAsia="zh-CN" w:bidi="ar-SA"/>
        </w:rPr>
        <w:t xml:space="preserve">三、 </w:t>
      </w:r>
      <w:r>
        <w:rPr>
          <w:rFonts w:hint="eastAsia" w:ascii="黑体" w:hAnsi="Cambria" w:eastAsia="黑体" w:cs="Times New Roman"/>
          <w:bCs/>
          <w:kern w:val="2"/>
          <w:szCs w:val="32"/>
          <w:lang w:val="en-US" w:eastAsia="zh-CN" w:bidi="ar-SA"/>
        </w:rPr>
        <w:t>支出决算情况说明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6</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_Toc16145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四、财政拨款收入支出决算总体情况说明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7</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_Toc29688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五、一般公共预算财政拨款支出决算情况说明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7</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_Toc7659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（一）一般公共预算财政拨款支出决算总体情况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7</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_Toc14091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（二）一般公共预算财政拨款支出决算结构情况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8</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_Toc5105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（三）一般公共预算财政拨款支出决算具体情况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9</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_Toc31973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六、一般公共预算财政拨款基本支出决算情况说明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9</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_Toc6599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七、财政拨款“三公”经费支出决算情况说明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9</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_Toc30677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（一）“三公”经费财政拨款支出决算总体情况说明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9</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_Toc19386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（二）“三公”经费财政拨款支出决算具体情况说明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0</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_Toc8525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八、政府性基金预算支出决算情况说明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1</w:t>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_Toc6788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九、 国有资本经营预算支出决算情况说明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_Toc6788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_Toc14333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 其他重要事项的情况说明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_Toc14333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_Toc8042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（一）机关运行经费支出情况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_Toc8042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_Toc22535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（三）国有资产占有使用情况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_Toc22535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_Toc5682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（四）预算绩效管理情况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2</w:t>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_Toc17825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第三部分 名词解释</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_Toc17825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14</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_Toc21426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第四部分 附件</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_Toc21426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15</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_Toc1494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附件</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_Toc1494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15</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_Toc1556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第五部分 附表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_Toc32331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一、收入支出决算总表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_Toc13314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二、收入决算表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_Toc13314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23</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_Toc23603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三、支出决算表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_Toc23121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四、财政拨款收入支出决算总表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_Toc17364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五、财政拨款支出决算明细表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_Toc17383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六、一般公共预算财政拨款支出决算表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_Toc5453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七、一般公共预算财政拨款支出决算明细表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_Toc21997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八、一般公共预算财政拨款基本支出决算表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_Toc14466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九、一般公共预算财政拨款项目支出决算表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_Toc6806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十、政府性基金预算财政拨款收入支出决算表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23</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_Toc12623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十一、国有资本经营预算财政拨款收入支出决算表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_Toc26360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十二、国有资本经营预算财政拨款支出决算表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lang w:val="en-US"/>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_Toc1652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十三、财政拨款“三公”经费支出决算表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jc w:val="center"/>
        <w:rPr>
          <w:rStyle w:val="16"/>
          <w:rFonts w:ascii="黑体" w:eastAsia="黑体"/>
          <w:b/>
          <w:bCs w:val="0"/>
          <w:sz w:val="44"/>
          <w:szCs w:val="44"/>
        </w:rPr>
      </w:pPr>
      <w:r>
        <w:fldChar w:fldCharType="end"/>
      </w:r>
      <w:bookmarkStart w:id="14" w:name="_Toc5209"/>
      <w:bookmarkStart w:id="15" w:name="_Toc13362"/>
      <w:r>
        <w:rPr>
          <w:rFonts w:hint="eastAsia" w:ascii="黑体" w:eastAsia="黑体"/>
          <w:b w:val="0"/>
          <w:sz w:val="44"/>
          <w:szCs w:val="44"/>
        </w:rPr>
        <w:t xml:space="preserve">第一部分 </w:t>
      </w:r>
      <w:r>
        <w:rPr>
          <w:rStyle w:val="16"/>
          <w:rFonts w:hint="eastAsia" w:ascii="黑体" w:eastAsia="黑体"/>
          <w:b w:val="0"/>
          <w:bCs w:val="0"/>
          <w:sz w:val="44"/>
          <w:szCs w:val="44"/>
        </w:rPr>
        <w:t>部门概况</w:t>
      </w:r>
      <w:bookmarkEnd w:id="12"/>
      <w:bookmarkEnd w:id="13"/>
      <w:bookmarkEnd w:id="14"/>
      <w:bookmarkEnd w:id="15"/>
    </w:p>
    <w:p>
      <w:pPr>
        <w:widowControl/>
        <w:jc w:val="left"/>
        <w:rPr>
          <w:rFonts w:ascii="黑体" w:eastAsia="黑体"/>
          <w:sz w:val="32"/>
          <w:szCs w:val="32"/>
        </w:rPr>
      </w:pPr>
    </w:p>
    <w:p>
      <w:pPr>
        <w:pStyle w:val="5"/>
        <w:numPr>
          <w:ilvl w:val="0"/>
          <w:numId w:val="1"/>
        </w:numPr>
        <w:rPr>
          <w:rFonts w:hint="eastAsia" w:ascii="黑体" w:eastAsia="黑体"/>
          <w:b w:val="0"/>
        </w:rPr>
      </w:pPr>
      <w:bookmarkStart w:id="16" w:name="_Toc3188"/>
      <w:bookmarkStart w:id="17" w:name="_Toc12038"/>
      <w:r>
        <w:rPr>
          <w:rFonts w:hint="eastAsia" w:ascii="黑体" w:eastAsia="黑体"/>
          <w:b w:val="0"/>
        </w:rPr>
        <w:t>部门职责</w:t>
      </w:r>
      <w:bookmarkEnd w:id="16"/>
      <w:bookmarkEnd w:id="17"/>
    </w:p>
    <w:p>
      <w:pPr>
        <w:pStyle w:val="17"/>
        <w:shd w:val="clear" w:fill="FFFFFF"/>
        <w:rPr>
          <w:rFonts w:hint="default" w:ascii="华文仿宋" w:hAnsi="华文仿宋" w:eastAsia="华文仿宋" w:cs="华文仿宋"/>
          <w:b w:val="0"/>
          <w:bCs w:val="0"/>
          <w:kern w:val="0"/>
          <w:sz w:val="30"/>
          <w:szCs w:val="30"/>
          <w:shd w:val="clear" w:fill="FFFFFF"/>
        </w:rPr>
      </w:pPr>
      <w:r>
        <w:rPr>
          <w:rStyle w:val="18"/>
          <w:rFonts w:hint="default" w:ascii="华文仿宋" w:hAnsi="华文仿宋" w:eastAsia="华文仿宋" w:cs="华文仿宋"/>
          <w:b w:val="0"/>
          <w:bCs w:val="0"/>
          <w:sz w:val="30"/>
          <w:szCs w:val="30"/>
          <w:shd w:val="clear" w:fill="FFFFFF"/>
        </w:rPr>
        <w:t>（一）基本情况。</w:t>
      </w:r>
    </w:p>
    <w:p>
      <w:pPr>
        <w:ind w:left="0" w:firstLine="600" w:firstLineChars="200"/>
        <w:rPr>
          <w:rFonts w:hint="default" w:ascii="华文仿宋" w:hAnsi="华文仿宋" w:eastAsia="华文仿宋" w:cs="华文仿宋"/>
          <w:b w:val="0"/>
          <w:bCs w:val="0"/>
          <w:kern w:val="0"/>
          <w:sz w:val="30"/>
          <w:szCs w:val="30"/>
        </w:rPr>
      </w:pPr>
      <w:r>
        <w:rPr>
          <w:rFonts w:hint="default" w:ascii="华文仿宋" w:hAnsi="华文仿宋" w:eastAsia="华文仿宋" w:cs="华文仿宋"/>
          <w:b w:val="0"/>
          <w:bCs w:val="0"/>
          <w:kern w:val="0"/>
          <w:sz w:val="30"/>
          <w:szCs w:val="30"/>
        </w:rPr>
        <w:t>1．主要职能。</w:t>
      </w:r>
    </w:p>
    <w:p>
      <w:pPr>
        <w:ind w:left="0" w:firstLine="600" w:firstLineChars="200"/>
        <w:rPr>
          <w:rFonts w:hint="default" w:ascii="华文仿宋" w:hAnsi="华文仿宋" w:eastAsia="华文仿宋" w:cs="华文仿宋"/>
          <w:b w:val="0"/>
          <w:bCs w:val="0"/>
          <w:kern w:val="0"/>
          <w:sz w:val="30"/>
          <w:szCs w:val="30"/>
        </w:rPr>
      </w:pPr>
      <w:r>
        <w:rPr>
          <w:rFonts w:hint="eastAsia" w:ascii="华文仿宋" w:hAnsi="华文仿宋" w:eastAsia="华文仿宋" w:cs="华文仿宋"/>
          <w:b w:val="0"/>
          <w:bCs w:val="0"/>
          <w:kern w:val="0"/>
          <w:sz w:val="30"/>
          <w:szCs w:val="30"/>
          <w:lang w:eastAsia="zh-CN"/>
        </w:rPr>
        <w:t>理县</w:t>
      </w:r>
      <w:bookmarkStart w:id="140" w:name="_GoBack"/>
      <w:bookmarkEnd w:id="140"/>
      <w:r>
        <w:rPr>
          <w:rFonts w:hint="default" w:ascii="华文仿宋" w:hAnsi="华文仿宋" w:eastAsia="华文仿宋" w:cs="华文仿宋"/>
          <w:b w:val="0"/>
          <w:bCs w:val="0"/>
          <w:kern w:val="0"/>
          <w:sz w:val="30"/>
          <w:szCs w:val="30"/>
        </w:rPr>
        <w:t>法院作为国家审判机关，在县委的领导和中级人民法院的指导下依法独立行使审判权，对县人民代表大会及其常务委员会负责并报告工作。认真贯彻党的方针政策，忠于法律、忠于事实、忠于人民，严肃执法，公正司法。</w:t>
      </w:r>
    </w:p>
    <w:p>
      <w:pPr>
        <w:pStyle w:val="17"/>
        <w:shd w:val="clear" w:fill="FFFFFF"/>
        <w:ind w:left="0" w:firstLine="600" w:firstLineChars="200"/>
        <w:rPr>
          <w:rFonts w:hint="default" w:ascii="华文仿宋" w:hAnsi="华文仿宋" w:eastAsia="华文仿宋" w:cs="华文仿宋"/>
          <w:b w:val="0"/>
          <w:bCs w:val="0"/>
          <w:kern w:val="0"/>
          <w:sz w:val="30"/>
          <w:szCs w:val="30"/>
          <w:shd w:val="clear" w:fill="FFFFFF"/>
        </w:rPr>
      </w:pPr>
      <w:r>
        <w:rPr>
          <w:rFonts w:hint="default" w:ascii="华文仿宋" w:hAnsi="华文仿宋" w:eastAsia="华文仿宋" w:cs="华文仿宋"/>
          <w:b w:val="0"/>
          <w:bCs w:val="0"/>
          <w:kern w:val="0"/>
          <w:sz w:val="30"/>
          <w:szCs w:val="30"/>
          <w:shd w:val="clear" w:fill="FFFFFF"/>
        </w:rPr>
        <w:t>2．本单位本年度纳入本套决算编制范围的独立编制机构数共1个，比上年增加0个；独立核算机构数共1个，比上年增加0个。</w:t>
      </w:r>
    </w:p>
    <w:p>
      <w:pPr>
        <w:pStyle w:val="17"/>
        <w:shd w:val="clear" w:fill="FFFFFF"/>
        <w:ind w:left="0" w:firstLine="600" w:firstLineChars="200"/>
        <w:rPr>
          <w:rFonts w:hint="default" w:ascii="华文仿宋" w:hAnsi="华文仿宋" w:eastAsia="华文仿宋" w:cs="华文仿宋"/>
          <w:b w:val="0"/>
          <w:bCs w:val="0"/>
          <w:kern w:val="0"/>
          <w:sz w:val="30"/>
          <w:szCs w:val="30"/>
          <w:shd w:val="clear" w:fill="FFFFFF"/>
        </w:rPr>
      </w:pPr>
      <w:r>
        <w:rPr>
          <w:rFonts w:hint="default" w:ascii="华文仿宋" w:hAnsi="华文仿宋" w:eastAsia="华文仿宋" w:cs="华文仿宋"/>
          <w:b w:val="0"/>
          <w:bCs w:val="0"/>
          <w:kern w:val="0"/>
          <w:sz w:val="30"/>
          <w:szCs w:val="30"/>
          <w:shd w:val="clear" w:fill="FFFFFF"/>
        </w:rPr>
        <w:t>3． 本单位本年度年末实有人数为</w:t>
      </w:r>
      <w:r>
        <w:rPr>
          <w:rFonts w:hint="eastAsia" w:ascii="华文仿宋" w:hAnsi="华文仿宋" w:eastAsia="华文仿宋" w:cs="华文仿宋"/>
          <w:b w:val="0"/>
          <w:bCs w:val="0"/>
          <w:kern w:val="0"/>
          <w:sz w:val="30"/>
          <w:szCs w:val="30"/>
          <w:shd w:val="clear" w:fill="FFFFFF"/>
          <w:lang w:val="en-US" w:eastAsia="zh-CN"/>
        </w:rPr>
        <w:t>46</w:t>
      </w:r>
      <w:r>
        <w:rPr>
          <w:rFonts w:hint="default" w:ascii="华文仿宋" w:hAnsi="华文仿宋" w:eastAsia="华文仿宋" w:cs="华文仿宋"/>
          <w:b w:val="0"/>
          <w:bCs w:val="0"/>
          <w:kern w:val="0"/>
          <w:sz w:val="30"/>
          <w:szCs w:val="30"/>
          <w:shd w:val="clear" w:fill="FFFFFF"/>
        </w:rPr>
        <w:t>人，比上年增加-</w:t>
      </w:r>
      <w:r>
        <w:rPr>
          <w:rFonts w:hint="eastAsia" w:ascii="华文仿宋" w:hAnsi="华文仿宋" w:eastAsia="华文仿宋" w:cs="华文仿宋"/>
          <w:b w:val="0"/>
          <w:bCs w:val="0"/>
          <w:kern w:val="0"/>
          <w:sz w:val="30"/>
          <w:szCs w:val="30"/>
          <w:shd w:val="clear" w:fill="FFFFFF"/>
          <w:lang w:val="en-US" w:eastAsia="zh-CN"/>
        </w:rPr>
        <w:t>5</w:t>
      </w:r>
      <w:r>
        <w:rPr>
          <w:rFonts w:hint="default" w:ascii="华文仿宋" w:hAnsi="华文仿宋" w:eastAsia="华文仿宋" w:cs="华文仿宋"/>
          <w:b w:val="0"/>
          <w:bCs w:val="0"/>
          <w:kern w:val="0"/>
          <w:sz w:val="30"/>
          <w:szCs w:val="30"/>
          <w:shd w:val="clear" w:fill="FFFFFF"/>
        </w:rPr>
        <w:t>人；年末实有离退休人数为</w:t>
      </w:r>
      <w:r>
        <w:rPr>
          <w:rFonts w:hint="eastAsia" w:ascii="华文仿宋" w:hAnsi="华文仿宋" w:eastAsia="华文仿宋" w:cs="华文仿宋"/>
          <w:b w:val="0"/>
          <w:bCs w:val="0"/>
          <w:kern w:val="0"/>
          <w:sz w:val="30"/>
          <w:szCs w:val="30"/>
          <w:shd w:val="clear" w:fill="FFFFFF"/>
          <w:lang w:val="en-US" w:eastAsia="zh-CN"/>
        </w:rPr>
        <w:t>13</w:t>
      </w:r>
      <w:r>
        <w:rPr>
          <w:rFonts w:hint="default" w:ascii="华文仿宋" w:hAnsi="华文仿宋" w:eastAsia="华文仿宋" w:cs="华文仿宋"/>
          <w:b w:val="0"/>
          <w:bCs w:val="0"/>
          <w:kern w:val="0"/>
          <w:sz w:val="30"/>
          <w:szCs w:val="30"/>
          <w:shd w:val="clear" w:fill="FFFFFF"/>
        </w:rPr>
        <w:t>人，比上年增加</w:t>
      </w:r>
      <w:r>
        <w:rPr>
          <w:rFonts w:hint="eastAsia" w:ascii="华文仿宋" w:hAnsi="华文仿宋" w:eastAsia="华文仿宋" w:cs="华文仿宋"/>
          <w:b w:val="0"/>
          <w:bCs w:val="0"/>
          <w:kern w:val="0"/>
          <w:sz w:val="30"/>
          <w:szCs w:val="30"/>
          <w:shd w:val="clear" w:fill="FFFFFF"/>
          <w:lang w:val="en-US" w:eastAsia="zh-CN"/>
        </w:rPr>
        <w:t>0</w:t>
      </w:r>
      <w:r>
        <w:rPr>
          <w:rFonts w:hint="default" w:ascii="华文仿宋" w:hAnsi="华文仿宋" w:eastAsia="华文仿宋" w:cs="华文仿宋"/>
          <w:b w:val="0"/>
          <w:bCs w:val="0"/>
          <w:kern w:val="0"/>
          <w:sz w:val="30"/>
          <w:szCs w:val="30"/>
          <w:shd w:val="clear" w:fill="FFFFFF"/>
        </w:rPr>
        <w:t>人；</w:t>
      </w:r>
      <w:r>
        <w:rPr>
          <w:rStyle w:val="18"/>
          <w:rFonts w:hint="default" w:ascii="华文仿宋" w:hAnsi="华文仿宋" w:eastAsia="华文仿宋" w:cs="华文仿宋"/>
          <w:b w:val="0"/>
          <w:bCs w:val="0"/>
          <w:sz w:val="30"/>
          <w:szCs w:val="30"/>
          <w:shd w:val="clear" w:fill="FFFFFF"/>
        </w:rPr>
        <w:t>按规定上报人数。</w:t>
      </w:r>
      <w:r>
        <w:rPr>
          <w:rFonts w:hint="default" w:ascii="华文仿宋" w:hAnsi="华文仿宋" w:eastAsia="华文仿宋" w:cs="华文仿宋"/>
          <w:b w:val="0"/>
          <w:bCs w:val="0"/>
          <w:kern w:val="0"/>
          <w:sz w:val="30"/>
          <w:szCs w:val="30"/>
          <w:shd w:val="clear" w:fill="FFFFFF"/>
        </w:rPr>
        <w:t>年末实有其他人数为</w:t>
      </w:r>
      <w:r>
        <w:rPr>
          <w:rFonts w:hint="eastAsia" w:ascii="华文仿宋" w:hAnsi="华文仿宋" w:eastAsia="华文仿宋" w:cs="华文仿宋"/>
          <w:b w:val="0"/>
          <w:bCs w:val="0"/>
          <w:kern w:val="0"/>
          <w:sz w:val="30"/>
          <w:szCs w:val="30"/>
          <w:shd w:val="clear" w:fill="FFFFFF"/>
          <w:lang w:val="en-US" w:eastAsia="zh-CN"/>
        </w:rPr>
        <w:t>26</w:t>
      </w:r>
      <w:r>
        <w:rPr>
          <w:rFonts w:hint="default" w:ascii="华文仿宋" w:hAnsi="华文仿宋" w:eastAsia="华文仿宋" w:cs="华文仿宋"/>
          <w:b w:val="0"/>
          <w:bCs w:val="0"/>
          <w:kern w:val="0"/>
          <w:sz w:val="30"/>
          <w:szCs w:val="30"/>
          <w:shd w:val="clear" w:fill="FFFFFF"/>
        </w:rPr>
        <w:t>人，比上年增加</w:t>
      </w:r>
      <w:r>
        <w:rPr>
          <w:rFonts w:hint="eastAsia" w:ascii="华文仿宋" w:hAnsi="华文仿宋" w:eastAsia="华文仿宋" w:cs="华文仿宋"/>
          <w:b w:val="0"/>
          <w:bCs w:val="0"/>
          <w:kern w:val="0"/>
          <w:sz w:val="30"/>
          <w:szCs w:val="30"/>
          <w:shd w:val="clear" w:fill="FFFFFF"/>
          <w:lang w:val="en-US" w:eastAsia="zh-CN"/>
        </w:rPr>
        <w:t>0</w:t>
      </w:r>
      <w:r>
        <w:rPr>
          <w:rFonts w:hint="default" w:ascii="华文仿宋" w:hAnsi="华文仿宋" w:eastAsia="华文仿宋" w:cs="华文仿宋"/>
          <w:b w:val="0"/>
          <w:bCs w:val="0"/>
          <w:kern w:val="0"/>
          <w:sz w:val="30"/>
          <w:szCs w:val="30"/>
          <w:shd w:val="clear" w:fill="FFFFFF"/>
        </w:rPr>
        <w:t>人</w:t>
      </w:r>
      <w:r>
        <w:rPr>
          <w:rStyle w:val="18"/>
          <w:rFonts w:hint="default" w:ascii="华文仿宋" w:hAnsi="华文仿宋" w:eastAsia="华文仿宋" w:cs="华文仿宋"/>
          <w:b w:val="0"/>
          <w:bCs w:val="0"/>
          <w:sz w:val="30"/>
          <w:szCs w:val="30"/>
          <w:shd w:val="clear" w:fill="FFFFFF"/>
        </w:rPr>
        <w:t>。</w:t>
      </w:r>
    </w:p>
    <w:p>
      <w:pPr>
        <w:pStyle w:val="17"/>
        <w:shd w:val="clear" w:fill="FFFFFF"/>
        <w:rPr>
          <w:rFonts w:hint="default" w:ascii="华文仿宋" w:hAnsi="华文仿宋" w:eastAsia="华文仿宋" w:cs="华文仿宋"/>
          <w:b w:val="0"/>
          <w:bCs w:val="0"/>
          <w:kern w:val="0"/>
          <w:sz w:val="30"/>
          <w:szCs w:val="30"/>
          <w:shd w:val="clear" w:fill="FFFFFF"/>
        </w:rPr>
      </w:pPr>
      <w:r>
        <w:rPr>
          <w:rStyle w:val="18"/>
          <w:rFonts w:hint="default" w:ascii="华文仿宋" w:hAnsi="华文仿宋" w:eastAsia="华文仿宋" w:cs="华文仿宋"/>
          <w:b w:val="0"/>
          <w:bCs w:val="0"/>
          <w:sz w:val="30"/>
          <w:szCs w:val="30"/>
          <w:shd w:val="clear" w:fill="FFFFFF"/>
        </w:rPr>
        <w:t>（二）当年取得的主要事业成效。</w:t>
      </w:r>
    </w:p>
    <w:p>
      <w:pPr>
        <w:spacing w:line="576" w:lineRule="exact"/>
        <w:ind w:firstLine="640" w:firstLineChars="200"/>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2022年，理县人民法院在县委坚强领导下，在县人大及其常委会有力监督和上级法院精心指导下，在县政府、县政协及社会各界关心支持下，始终坚持以习近平新时代中国特色社会主义思想为指导，坚定践行习近平法治思想，认真学习贯彻党的二十大精神和习近平总书记来川视察重要指示精神，坚决落实省委、州委各项决策部署和县委工作安排，紧扣“努力让人民群众在每一个司法案件中感受到公平正义”目标，立足司法职能，服务大局，促进平安理县、法治理县建设，各项工作取得新突破</w:t>
      </w:r>
      <w:r>
        <w:rPr>
          <w:rFonts w:hint="eastAsia" w:ascii="Times New Roman" w:hAnsi="Times New Roman" w:eastAsia="方正仿宋_GBK" w:cs="Times New Roman"/>
          <w:sz w:val="32"/>
          <w:szCs w:val="32"/>
          <w:lang w:eastAsia="zh-CN"/>
        </w:rPr>
        <w:t>。</w:t>
      </w:r>
    </w:p>
    <w:p>
      <w:pPr>
        <w:spacing w:line="576" w:lineRule="exact"/>
        <w:ind w:firstLine="640" w:firstLineChars="200"/>
      </w:pPr>
      <w:r>
        <w:rPr>
          <w:rFonts w:ascii="Times New Roman" w:hAnsi="Times New Roman" w:eastAsia="方正仿宋_GBK" w:cs="Times New Roman"/>
          <w:sz w:val="32"/>
          <w:szCs w:val="32"/>
        </w:rPr>
        <w:t>2022年受理各类案件389件，审（执）结389件，结收比100%</w:t>
      </w:r>
      <w:r>
        <w:rPr>
          <w:rFonts w:hint="eastAsia" w:ascii="Times New Roman" w:hAnsi="Times New Roman" w:eastAsia="方正仿宋_GBK" w:cs="Times New Roman"/>
          <w:sz w:val="32"/>
          <w:szCs w:val="32"/>
          <w:lang w:eastAsia="zh-CN"/>
        </w:rPr>
        <w:t>，</w:t>
      </w:r>
      <w:r>
        <w:rPr>
          <w:rFonts w:hint="default" w:ascii="华文仿宋" w:hAnsi="华文仿宋" w:eastAsia="华文仿宋" w:cs="华文仿宋"/>
          <w:b w:val="0"/>
          <w:bCs w:val="0"/>
          <w:spacing w:val="4"/>
          <w:kern w:val="0"/>
          <w:sz w:val="30"/>
          <w:szCs w:val="30"/>
        </w:rPr>
        <w:t>圆满完成全年各项目标任务。</w:t>
      </w:r>
    </w:p>
    <w:p>
      <w:pPr>
        <w:pStyle w:val="5"/>
        <w:rPr>
          <w:rStyle w:val="19"/>
          <w:b w:val="0"/>
          <w:bCs w:val="0"/>
        </w:rPr>
      </w:pPr>
      <w:bookmarkStart w:id="18" w:name="_Toc19920"/>
      <w:bookmarkStart w:id="19" w:name="_Toc21403"/>
      <w:bookmarkStart w:id="20" w:name="_Toc15377200"/>
      <w:bookmarkStart w:id="21" w:name="_Toc15396601"/>
      <w:r>
        <w:rPr>
          <w:rFonts w:hint="eastAsia" w:ascii="黑体" w:eastAsia="黑体"/>
          <w:b w:val="0"/>
        </w:rPr>
        <w:t>二、机</w:t>
      </w:r>
      <w:r>
        <w:rPr>
          <w:rStyle w:val="19"/>
          <w:rFonts w:hint="eastAsia" w:ascii="黑体" w:eastAsia="黑体"/>
          <w:b w:val="0"/>
          <w:bCs w:val="0"/>
        </w:rPr>
        <w:t>构设置</w:t>
      </w:r>
      <w:bookmarkEnd w:id="18"/>
      <w:bookmarkEnd w:id="19"/>
      <w:bookmarkEnd w:id="20"/>
      <w:bookmarkEnd w:id="21"/>
    </w:p>
    <w:p>
      <w:pPr>
        <w:pStyle w:val="11"/>
        <w:shd w:val="clear" w:color="auto" w:fill="FFFFFF"/>
        <w:ind w:firstLine="616" w:firstLineChars="200"/>
        <w:rPr>
          <w:rFonts w:hint="eastAsia" w:ascii="华文仿宋" w:hAnsi="华文仿宋" w:eastAsia="华文仿宋" w:cs="华文仿宋"/>
          <w:b w:val="0"/>
          <w:bCs w:val="0"/>
          <w:spacing w:val="4"/>
          <w:kern w:val="0"/>
          <w:sz w:val="30"/>
          <w:szCs w:val="30"/>
          <w:lang w:val="en-US" w:eastAsia="zh-CN" w:bidi="ar-SA"/>
        </w:rPr>
      </w:pPr>
      <w:r>
        <w:rPr>
          <w:rFonts w:hint="eastAsia" w:ascii="华文仿宋" w:hAnsi="华文仿宋" w:eastAsia="华文仿宋" w:cs="华文仿宋"/>
          <w:b w:val="0"/>
          <w:bCs w:val="0"/>
          <w:spacing w:val="4"/>
          <w:kern w:val="0"/>
          <w:sz w:val="30"/>
          <w:szCs w:val="30"/>
          <w:lang w:val="en-US" w:eastAsia="zh-CN" w:bidi="ar-SA"/>
        </w:rPr>
        <w:t>本单位为一级预算单位，所属市级预算单位，单位类型为 行政单位，按照政府会计准则制度填报决算数据。</w:t>
      </w:r>
    </w:p>
    <w:p>
      <w:pPr>
        <w:pStyle w:val="11"/>
        <w:shd w:val="clear" w:color="auto" w:fill="FFFFFF"/>
        <w:rPr>
          <w:rFonts w:hint="eastAsia" w:ascii="华文仿宋" w:hAnsi="华文仿宋" w:eastAsia="华文仿宋" w:cs="华文仿宋"/>
          <w:b w:val="0"/>
          <w:bCs w:val="0"/>
          <w:spacing w:val="4"/>
          <w:kern w:val="0"/>
          <w:sz w:val="30"/>
          <w:szCs w:val="30"/>
          <w:lang w:val="en-US" w:eastAsia="zh-CN" w:bidi="ar-SA"/>
        </w:rPr>
      </w:pPr>
      <w:r>
        <w:rPr>
          <w:rFonts w:hint="eastAsia" w:ascii="华文仿宋" w:hAnsi="华文仿宋" w:eastAsia="华文仿宋" w:cs="华文仿宋"/>
          <w:b w:val="0"/>
          <w:bCs w:val="0"/>
          <w:spacing w:val="4"/>
          <w:kern w:val="0"/>
          <w:sz w:val="30"/>
          <w:szCs w:val="30"/>
          <w:lang w:val="en-US" w:eastAsia="zh-CN" w:bidi="ar-SA"/>
        </w:rPr>
        <w:t>   纳入本套决算编制范围的独立编制机构数1个，比上年增加0个，独立核算机构数共1个，比上年增加 0个。</w:t>
      </w:r>
    </w:p>
    <w:p>
      <w:pPr>
        <w:widowControl/>
        <w:jc w:val="left"/>
        <w:rPr>
          <w:rFonts w:ascii="仿宋" w:eastAsia="仿宋"/>
          <w:kern w:val="0"/>
          <w:sz w:val="32"/>
          <w:szCs w:val="32"/>
        </w:rPr>
      </w:pPr>
      <w:r>
        <w:rPr>
          <w:rFonts w:ascii="仿宋" w:eastAsia="仿宋"/>
          <w:sz w:val="32"/>
          <w:szCs w:val="32"/>
        </w:rPr>
        <w:br w:type="page"/>
      </w:r>
    </w:p>
    <w:p>
      <w:pPr>
        <w:pStyle w:val="4"/>
        <w:ind w:right="440"/>
        <w:jc w:val="center"/>
        <w:rPr>
          <w:rStyle w:val="16"/>
          <w:rFonts w:ascii="黑体" w:eastAsia="黑体"/>
          <w:b w:val="0"/>
          <w:bCs/>
        </w:rPr>
      </w:pPr>
      <w:bookmarkStart w:id="22" w:name="_Toc15396602"/>
      <w:bookmarkStart w:id="23" w:name="_Toc15377204"/>
      <w:bookmarkStart w:id="24" w:name="_Toc16426"/>
      <w:bookmarkStart w:id="25" w:name="_Toc29457"/>
      <w:r>
        <w:rPr>
          <w:rFonts w:hint="eastAsia" w:ascii="黑体" w:eastAsia="黑体"/>
          <w:b w:val="0"/>
        </w:rPr>
        <w:t>第二部分 2022年度</w:t>
      </w:r>
      <w:r>
        <w:rPr>
          <w:rStyle w:val="16"/>
          <w:rFonts w:hint="eastAsia" w:ascii="黑体" w:eastAsia="黑体"/>
          <w:b w:val="0"/>
          <w:bCs/>
        </w:rPr>
        <w:t>部门决算情况说明</w:t>
      </w:r>
      <w:bookmarkEnd w:id="22"/>
      <w:bookmarkEnd w:id="23"/>
      <w:bookmarkEnd w:id="24"/>
      <w:bookmarkEnd w:id="25"/>
    </w:p>
    <w:p/>
    <w:p>
      <w:pPr>
        <w:pStyle w:val="20"/>
        <w:numPr>
          <w:ilvl w:val="0"/>
          <w:numId w:val="2"/>
        </w:numPr>
        <w:spacing w:line="600" w:lineRule="exact"/>
        <w:ind w:firstLineChars="0"/>
        <w:outlineLvl w:val="1"/>
        <w:rPr>
          <w:rStyle w:val="19"/>
          <w:rFonts w:ascii="黑体" w:eastAsia="黑体"/>
          <w:b w:val="0"/>
        </w:rPr>
      </w:pPr>
      <w:bookmarkStart w:id="26" w:name="_Toc802"/>
      <w:bookmarkStart w:id="27" w:name="_Toc15396603"/>
      <w:bookmarkStart w:id="28" w:name="_Toc15377205"/>
      <w:bookmarkStart w:id="29" w:name="_Toc12317"/>
      <w:r>
        <w:rPr>
          <w:rFonts w:hint="eastAsia" w:ascii="黑体" w:eastAsia="黑体"/>
          <w:sz w:val="32"/>
          <w:szCs w:val="32"/>
        </w:rPr>
        <w:t>收</w:t>
      </w:r>
      <w:r>
        <w:rPr>
          <w:rStyle w:val="19"/>
          <w:rFonts w:hint="eastAsia" w:ascii="黑体" w:eastAsia="黑体"/>
          <w:b w:val="0"/>
        </w:rPr>
        <w:t>入支出决算总体情况说明</w:t>
      </w:r>
      <w:bookmarkEnd w:id="26"/>
      <w:bookmarkEnd w:id="27"/>
      <w:bookmarkEnd w:id="28"/>
      <w:bookmarkEnd w:id="29"/>
    </w:p>
    <w:p>
      <w:pPr>
        <w:pStyle w:val="11"/>
        <w:shd w:val="clear" w:color="auto" w:fill="FFFFFF"/>
        <w:spacing w:before="0" w:beforeAutospacing="0"/>
        <w:ind w:left="0" w:firstLine="640" w:firstLineChars="200"/>
        <w:jc w:val="left"/>
        <w:rPr>
          <w:rFonts w:hint="eastAsia" w:ascii="仿宋" w:eastAsia="仿宋"/>
          <w:sz w:val="32"/>
          <w:szCs w:val="32"/>
        </w:rPr>
      </w:pPr>
      <w:r>
        <w:rPr>
          <w:rFonts w:hint="eastAsia" w:ascii="仿宋" w:eastAsia="仿宋"/>
          <w:sz w:val="32"/>
          <w:szCs w:val="32"/>
        </w:rPr>
        <w:t>2022年度收、支总计3585.20万元。收、支总计各增加43.93万元，增加1.25%。主要变动原因是本年度人员收入增加。</w:t>
      </w:r>
    </w:p>
    <w:p>
      <w:pPr>
        <w:pStyle w:val="11"/>
        <w:shd w:val="clear" w:color="auto" w:fill="FFFFFF"/>
        <w:spacing w:before="0" w:beforeAutospacing="0"/>
        <w:ind w:left="0" w:firstLine="1600" w:firstLineChars="500"/>
        <w:jc w:val="left"/>
        <w:rPr>
          <w:rFonts w:hint="eastAsia"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jc w:val="center"/>
        <w:rPr>
          <w:shd w:val="clear" w:fill="FFFFFF"/>
        </w:rPr>
      </w:pPr>
      <w:r>
        <w:rPr>
          <w:rFonts w:hint="eastAsia" w:eastAsia="宋体"/>
          <w:shd w:val="clear" w:fill="FFFFFF"/>
          <w:lang w:eastAsia="zh-CN"/>
        </w:rPr>
        <w:drawing>
          <wp:inline distT="0" distB="0" distL="114300" distR="114300">
            <wp:extent cx="4562475" cy="3139440"/>
            <wp:effectExtent l="4445" t="4445" r="5080" b="1841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0"/>
        <w:numPr>
          <w:ilvl w:val="0"/>
          <w:numId w:val="2"/>
        </w:numPr>
        <w:spacing w:line="600" w:lineRule="exact"/>
        <w:ind w:firstLineChars="0"/>
        <w:outlineLvl w:val="1"/>
        <w:rPr>
          <w:rStyle w:val="19"/>
          <w:rFonts w:ascii="黑体" w:eastAsia="黑体"/>
          <w:b w:val="0"/>
        </w:rPr>
      </w:pPr>
      <w:bookmarkStart w:id="30" w:name="_Toc15377206"/>
      <w:bookmarkStart w:id="31" w:name="_Toc15396604"/>
      <w:bookmarkStart w:id="32" w:name="_Toc29759"/>
      <w:bookmarkStart w:id="33" w:name="_Toc7550"/>
      <w:r>
        <w:rPr>
          <w:rFonts w:hint="eastAsia" w:ascii="黑体" w:eastAsia="黑体"/>
          <w:sz w:val="32"/>
          <w:szCs w:val="32"/>
        </w:rPr>
        <w:t>收</w:t>
      </w:r>
      <w:r>
        <w:rPr>
          <w:rStyle w:val="19"/>
          <w:rFonts w:hint="eastAsia" w:ascii="黑体" w:eastAsia="黑体"/>
          <w:b w:val="0"/>
        </w:rPr>
        <w:t>入决算情况说明</w:t>
      </w:r>
      <w:bookmarkEnd w:id="30"/>
      <w:bookmarkEnd w:id="31"/>
      <w:bookmarkEnd w:id="32"/>
      <w:bookmarkEnd w:id="33"/>
    </w:p>
    <w:p>
      <w:pPr>
        <w:spacing w:line="600" w:lineRule="exact"/>
        <w:ind w:firstLine="640" w:firstLineChars="200"/>
        <w:outlineLvl w:val="1"/>
        <w:rPr>
          <w:rFonts w:ascii="仿宋" w:eastAsia="仿宋"/>
          <w:sz w:val="32"/>
          <w:szCs w:val="32"/>
        </w:rPr>
      </w:pPr>
      <w:bookmarkStart w:id="34" w:name="_Toc14092"/>
      <w:bookmarkStart w:id="35" w:name="_Toc9978"/>
      <w:r>
        <w:rPr>
          <w:rFonts w:ascii="仿宋" w:eastAsia="仿宋"/>
          <w:sz w:val="32"/>
          <w:szCs w:val="32"/>
        </w:rPr>
        <w:t>20</w:t>
      </w:r>
      <w:r>
        <w:rPr>
          <w:rFonts w:hint="eastAsia" w:ascii="仿宋" w:eastAsia="仿宋"/>
          <w:sz w:val="32"/>
          <w:szCs w:val="32"/>
        </w:rPr>
        <w:t>22年本年收入合计</w:t>
      </w:r>
      <w:r>
        <w:rPr>
          <w:rFonts w:hint="eastAsia" w:ascii="华文仿宋" w:hAnsi="华文仿宋" w:eastAsia="华文仿宋" w:cs="华文仿宋"/>
          <w:b w:val="0"/>
          <w:bCs w:val="0"/>
          <w:kern w:val="0"/>
          <w:sz w:val="30"/>
          <w:szCs w:val="30"/>
          <w:shd w:val="clear" w:fill="FFFFFF"/>
          <w:lang w:val="en-US" w:eastAsia="zh-CN"/>
        </w:rPr>
        <w:t>1792.6</w:t>
      </w:r>
      <w:r>
        <w:rPr>
          <w:rFonts w:hint="eastAsia" w:ascii="仿宋" w:eastAsia="仿宋"/>
          <w:sz w:val="32"/>
          <w:szCs w:val="32"/>
        </w:rPr>
        <w:t>万元，其中：一般公共预算财政拨款收入</w:t>
      </w:r>
      <w:r>
        <w:rPr>
          <w:rFonts w:hint="eastAsia" w:ascii="仿宋" w:eastAsia="仿宋"/>
          <w:sz w:val="32"/>
          <w:szCs w:val="32"/>
          <w:lang w:val="en-US" w:eastAsia="zh-CN"/>
        </w:rPr>
        <w:t>1319.71</w:t>
      </w:r>
      <w:r>
        <w:rPr>
          <w:rFonts w:hint="eastAsia" w:ascii="仿宋" w:eastAsia="仿宋"/>
          <w:sz w:val="32"/>
          <w:szCs w:val="32"/>
        </w:rPr>
        <w:t>万元，占</w:t>
      </w:r>
      <w:r>
        <w:rPr>
          <w:rFonts w:hint="eastAsia" w:ascii="仿宋" w:eastAsia="仿宋"/>
          <w:sz w:val="32"/>
          <w:szCs w:val="32"/>
          <w:lang w:val="en-US" w:eastAsia="zh-CN"/>
        </w:rPr>
        <w:t>73.61%</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472.89</w:t>
      </w:r>
      <w:r>
        <w:rPr>
          <w:rFonts w:hint="eastAsia" w:ascii="仿宋" w:eastAsia="仿宋"/>
          <w:sz w:val="32"/>
          <w:szCs w:val="32"/>
        </w:rPr>
        <w:t>万元，占</w:t>
      </w:r>
      <w:r>
        <w:rPr>
          <w:rFonts w:hint="eastAsia" w:ascii="仿宋" w:eastAsia="仿宋"/>
          <w:sz w:val="32"/>
          <w:szCs w:val="32"/>
          <w:lang w:val="en-US" w:eastAsia="zh-CN"/>
        </w:rPr>
        <w:t>26.39</w:t>
      </w:r>
      <w:r>
        <w:rPr>
          <w:rFonts w:ascii="仿宋" w:eastAsia="仿宋"/>
          <w:sz w:val="32"/>
          <w:szCs w:val="32"/>
        </w:rPr>
        <w:t>%</w:t>
      </w:r>
      <w:r>
        <w:rPr>
          <w:rFonts w:hint="eastAsia" w:ascii="仿宋" w:eastAsia="仿宋"/>
          <w:sz w:val="32"/>
          <w:szCs w:val="32"/>
        </w:rPr>
        <w:t>。</w:t>
      </w:r>
      <w:bookmarkEnd w:id="34"/>
      <w:bookmarkEnd w:id="35"/>
    </w:p>
    <w:p>
      <w:pPr>
        <w:spacing w:line="600" w:lineRule="exact"/>
        <w:jc w:val="center"/>
        <w:rPr>
          <w:rFonts w:hint="eastAsia" w:ascii="仿宋_GB2312" w:eastAsia="仿宋_GB2312"/>
          <w:sz w:val="32"/>
          <w:szCs w:val="32"/>
          <w:lang w:eastAsia="zh-CN"/>
        </w:rPr>
      </w:pPr>
      <w:r>
        <w:rPr>
          <w:rFonts w:hint="eastAsia" w:ascii="仿宋" w:eastAsia="仿宋"/>
          <w:sz w:val="32"/>
          <w:szCs w:val="32"/>
        </w:rPr>
        <w:t>图2：收入决算结构图</w:t>
      </w:r>
    </w:p>
    <w:p>
      <w:pPr>
        <w:jc w:val="left"/>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275580" cy="3074670"/>
            <wp:effectExtent l="4445" t="4445" r="15875" b="698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0"/>
        <w:numPr>
          <w:ilvl w:val="0"/>
          <w:numId w:val="2"/>
        </w:numPr>
        <w:spacing w:line="600" w:lineRule="exact"/>
        <w:ind w:firstLineChars="0"/>
        <w:outlineLvl w:val="1"/>
        <w:rPr>
          <w:rStyle w:val="19"/>
          <w:rFonts w:ascii="黑体" w:eastAsia="黑体"/>
          <w:b w:val="0"/>
        </w:rPr>
      </w:pPr>
      <w:bookmarkStart w:id="36" w:name="_Toc8099"/>
      <w:bookmarkStart w:id="37" w:name="_Toc6173"/>
      <w:bookmarkStart w:id="38" w:name="_Toc15396605"/>
      <w:bookmarkStart w:id="39" w:name="_Toc15377207"/>
      <w:r>
        <w:rPr>
          <w:rFonts w:hint="eastAsia" w:ascii="黑体" w:eastAsia="黑体"/>
          <w:sz w:val="32"/>
          <w:szCs w:val="32"/>
        </w:rPr>
        <w:t>支</w:t>
      </w:r>
      <w:r>
        <w:rPr>
          <w:rStyle w:val="19"/>
          <w:rFonts w:hint="eastAsia" w:ascii="黑体" w:eastAsia="黑体"/>
          <w:b w:val="0"/>
        </w:rPr>
        <w:t>出决算情况说明</w:t>
      </w:r>
      <w:bookmarkEnd w:id="36"/>
      <w:bookmarkEnd w:id="37"/>
      <w:bookmarkEnd w:id="38"/>
      <w:bookmarkEnd w:id="39"/>
    </w:p>
    <w:p>
      <w:pPr>
        <w:spacing w:line="600" w:lineRule="exact"/>
        <w:ind w:firstLine="640" w:firstLineChars="200"/>
        <w:outlineLvl w:val="1"/>
        <w:rPr>
          <w:rFonts w:hint="eastAsia" w:ascii="仿宋" w:eastAsia="仿宋"/>
          <w:sz w:val="32"/>
          <w:szCs w:val="32"/>
        </w:rPr>
      </w:pPr>
      <w:bookmarkStart w:id="40" w:name="_Toc14485"/>
      <w:bookmarkStart w:id="41" w:name="_Toc21664"/>
      <w:r>
        <w:rPr>
          <w:rFonts w:hint="eastAsia" w:ascii="仿宋" w:eastAsia="仿宋"/>
          <w:sz w:val="32"/>
          <w:szCs w:val="32"/>
        </w:rPr>
        <w:t>2022年本年支出合计</w:t>
      </w:r>
      <w:r>
        <w:rPr>
          <w:rFonts w:hint="eastAsia" w:ascii="华文仿宋" w:hAnsi="华文仿宋" w:eastAsia="华文仿宋" w:cs="华文仿宋"/>
          <w:b w:val="0"/>
          <w:bCs w:val="0"/>
          <w:kern w:val="0"/>
          <w:sz w:val="30"/>
          <w:szCs w:val="30"/>
          <w:shd w:val="clear" w:fill="FFFFFF"/>
          <w:lang w:val="en-US" w:eastAsia="zh-CN"/>
        </w:rPr>
        <w:t>1792.6</w:t>
      </w:r>
      <w:r>
        <w:rPr>
          <w:rFonts w:hint="eastAsia" w:ascii="仿宋" w:eastAsia="仿宋"/>
          <w:sz w:val="32"/>
          <w:szCs w:val="32"/>
        </w:rPr>
        <w:t>万元，其中：基本</w:t>
      </w:r>
      <w:r>
        <w:rPr>
          <w:rFonts w:hint="eastAsia" w:ascii="华文仿宋" w:hAnsi="华文仿宋" w:eastAsia="华文仿宋" w:cs="华文仿宋"/>
          <w:b w:val="0"/>
          <w:bCs w:val="0"/>
          <w:kern w:val="0"/>
          <w:sz w:val="30"/>
          <w:szCs w:val="30"/>
          <w:shd w:val="clear" w:fill="FFFFFF"/>
          <w:lang w:val="en-US" w:eastAsia="zh-CN"/>
        </w:rPr>
        <w:t>支出1375.47万元，占76.73%；项目支出417.13万元，占23.27%</w:t>
      </w:r>
      <w:r>
        <w:rPr>
          <w:rFonts w:hint="eastAsia" w:ascii="仿宋" w:eastAsia="仿宋"/>
          <w:sz w:val="32"/>
          <w:szCs w:val="32"/>
        </w:rPr>
        <w:t>；上缴上级支出0.00万元，占0.00%；经营支出0.00万元，占经营支出0.00万元，占 0.00%；对附属单位补助支出0.00万元，占0.00%。</w:t>
      </w:r>
      <w:bookmarkEnd w:id="40"/>
      <w:bookmarkEnd w:id="41"/>
    </w:p>
    <w:p>
      <w:pPr>
        <w:spacing w:line="600" w:lineRule="exact"/>
        <w:jc w:val="center"/>
        <w:outlineLvl w:val="1"/>
        <w:rPr>
          <w:rFonts w:hint="eastAsia" w:ascii="仿宋" w:eastAsia="仿宋"/>
          <w:sz w:val="32"/>
          <w:szCs w:val="32"/>
          <w:lang w:eastAsia="zh-CN"/>
        </w:rPr>
      </w:pPr>
      <w:bookmarkStart w:id="42" w:name="_Toc1162"/>
      <w:bookmarkStart w:id="43" w:name="_Toc1345"/>
      <w:r>
        <w:rPr>
          <w:rFonts w:hint="eastAsia" w:ascii="仿宋" w:eastAsia="仿宋"/>
          <w:sz w:val="32"/>
          <w:szCs w:val="32"/>
        </w:rPr>
        <w:t>图3：支出决算结构图</w:t>
      </w:r>
      <w:bookmarkEnd w:id="42"/>
      <w:bookmarkEnd w:id="43"/>
    </w:p>
    <w:p>
      <w:pPr>
        <w:jc w:val="center"/>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4704080" cy="2035175"/>
            <wp:effectExtent l="4445" t="5080" r="15875"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outlineLvl w:val="1"/>
        <w:rPr>
          <w:rStyle w:val="19"/>
          <w:rFonts w:ascii="黑体" w:eastAsia="黑体"/>
          <w:b w:val="0"/>
        </w:rPr>
      </w:pPr>
      <w:bookmarkStart w:id="44" w:name="_Toc15377208"/>
      <w:bookmarkStart w:id="45" w:name="_Toc16145"/>
      <w:bookmarkStart w:id="46" w:name="_Toc28540"/>
      <w:bookmarkStart w:id="47" w:name="_Toc15396606"/>
      <w:r>
        <w:rPr>
          <w:rFonts w:hint="eastAsia" w:ascii="黑体" w:eastAsia="黑体"/>
          <w:sz w:val="32"/>
          <w:szCs w:val="32"/>
        </w:rPr>
        <w:t>四、财</w:t>
      </w:r>
      <w:r>
        <w:rPr>
          <w:rStyle w:val="19"/>
          <w:rFonts w:hint="eastAsia" w:ascii="黑体" w:eastAsia="黑体"/>
          <w:b w:val="0"/>
        </w:rPr>
        <w:t>政拨款收入支出决算总体情况说明</w:t>
      </w:r>
      <w:bookmarkEnd w:id="44"/>
      <w:bookmarkEnd w:id="45"/>
      <w:bookmarkEnd w:id="46"/>
      <w:bookmarkEnd w:id="47"/>
    </w:p>
    <w:p>
      <w:pPr>
        <w:spacing w:line="600" w:lineRule="exact"/>
        <w:ind w:firstLine="640" w:firstLineChars="200"/>
        <w:rPr>
          <w:rFonts w:hint="eastAsia" w:ascii="仿宋" w:eastAsia="仿宋"/>
          <w:sz w:val="32"/>
          <w:szCs w:val="32"/>
          <w:lang w:eastAsia="zh-CN"/>
        </w:rPr>
      </w:pPr>
      <w:r>
        <w:rPr>
          <w:rFonts w:hint="eastAsia" w:ascii="仿宋" w:eastAsia="仿宋"/>
          <w:sz w:val="32"/>
          <w:szCs w:val="32"/>
        </w:rPr>
        <w:t>2022年财政拨款收、支总计</w:t>
      </w:r>
      <w:r>
        <w:rPr>
          <w:rFonts w:hint="eastAsia" w:ascii="仿宋" w:eastAsia="仿宋"/>
          <w:sz w:val="32"/>
          <w:szCs w:val="32"/>
          <w:lang w:val="en-US" w:eastAsia="zh-CN"/>
        </w:rPr>
        <w:t>2639.42</w:t>
      </w:r>
      <w:r>
        <w:rPr>
          <w:rFonts w:hint="eastAsia" w:ascii="仿宋" w:eastAsia="仿宋"/>
          <w:sz w:val="32"/>
          <w:szCs w:val="32"/>
        </w:rPr>
        <w:t>万元。与2021年相比，财政拨款收、支总计各</w:t>
      </w:r>
      <w:r>
        <w:rPr>
          <w:rFonts w:hint="eastAsia" w:ascii="仿宋" w:eastAsia="仿宋"/>
          <w:sz w:val="32"/>
          <w:szCs w:val="32"/>
          <w:lang w:eastAsia="zh-CN"/>
        </w:rPr>
        <w:t>减少</w:t>
      </w:r>
      <w:r>
        <w:rPr>
          <w:rFonts w:hint="eastAsia" w:ascii="仿宋" w:eastAsia="仿宋"/>
          <w:sz w:val="32"/>
          <w:szCs w:val="32"/>
          <w:lang w:val="en-US" w:eastAsia="zh-CN"/>
        </w:rPr>
        <w:t>428.96万元，下降12.26%。主</w:t>
      </w:r>
      <w:r>
        <w:rPr>
          <w:rFonts w:hint="eastAsia" w:ascii="仿宋" w:eastAsia="仿宋"/>
          <w:sz w:val="32"/>
          <w:szCs w:val="32"/>
        </w:rPr>
        <w:t>要变动原因是原因由县级财政拨付</w:t>
      </w:r>
      <w:r>
        <w:rPr>
          <w:rFonts w:hint="eastAsia" w:ascii="仿宋" w:eastAsia="仿宋"/>
          <w:sz w:val="32"/>
          <w:szCs w:val="32"/>
          <w:lang w:val="en-US" w:eastAsia="zh-CN"/>
        </w:rPr>
        <w:t>472.89</w:t>
      </w:r>
      <w:r>
        <w:rPr>
          <w:rFonts w:hint="eastAsia" w:ascii="仿宋" w:eastAsia="仿宋"/>
          <w:sz w:val="32"/>
          <w:szCs w:val="32"/>
        </w:rPr>
        <w:t>万元</w:t>
      </w:r>
      <w:r>
        <w:rPr>
          <w:rFonts w:hint="eastAsia" w:ascii="仿宋" w:eastAsia="仿宋"/>
          <w:sz w:val="32"/>
          <w:szCs w:val="32"/>
          <w:lang w:eastAsia="zh-CN"/>
        </w:rPr>
        <w:t>。</w:t>
      </w:r>
    </w:p>
    <w:p>
      <w:pPr>
        <w:spacing w:line="600" w:lineRule="exact"/>
        <w:jc w:val="center"/>
        <w:rPr>
          <w:rFonts w:hint="eastAsia" w:ascii="仿宋" w:eastAsia="仿宋"/>
          <w:sz w:val="32"/>
          <w:szCs w:val="32"/>
          <w:lang w:eastAsia="zh-CN"/>
        </w:rPr>
      </w:pPr>
      <w:r>
        <w:rPr>
          <w:rFonts w:hint="eastAsia" w:ascii="仿宋" w:eastAsia="仿宋"/>
          <w:sz w:val="32"/>
          <w:szCs w:val="32"/>
        </w:rPr>
        <w:t>图4：财政拨款收、支决算总计变动情况</w:t>
      </w:r>
    </w:p>
    <w:p>
      <w:pPr>
        <w:jc w:val="both"/>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788025" cy="3605530"/>
            <wp:effectExtent l="4445" t="4445" r="1778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19"/>
          <w:rFonts w:ascii="黑体" w:eastAsia="黑体"/>
          <w:b w:val="0"/>
        </w:rPr>
      </w:pPr>
      <w:bookmarkStart w:id="48" w:name="_Toc18601"/>
      <w:bookmarkStart w:id="49" w:name="_Toc15396607"/>
      <w:bookmarkStart w:id="50" w:name="_Toc15377209"/>
      <w:bookmarkStart w:id="51" w:name="_Toc29688"/>
      <w:r>
        <w:rPr>
          <w:rFonts w:hint="eastAsia" w:ascii="黑体" w:eastAsia="黑体"/>
          <w:sz w:val="32"/>
          <w:szCs w:val="32"/>
        </w:rPr>
        <w:t>五、</w:t>
      </w:r>
      <w:r>
        <w:rPr>
          <w:rFonts w:hint="eastAsia" w:ascii="黑体" w:eastAsia="黑体"/>
          <w:b/>
          <w:sz w:val="32"/>
          <w:szCs w:val="32"/>
        </w:rPr>
        <w:t>一</w:t>
      </w:r>
      <w:r>
        <w:rPr>
          <w:rStyle w:val="19"/>
          <w:rFonts w:hint="eastAsia" w:ascii="黑体" w:eastAsia="黑体"/>
          <w:b w:val="0"/>
        </w:rPr>
        <w:t>般公共预算财政拨款支出决算情况说明</w:t>
      </w:r>
      <w:bookmarkEnd w:id="48"/>
      <w:bookmarkEnd w:id="49"/>
      <w:bookmarkEnd w:id="50"/>
      <w:bookmarkEnd w:id="51"/>
    </w:p>
    <w:p>
      <w:pPr>
        <w:spacing w:line="600" w:lineRule="exact"/>
        <w:ind w:firstLine="643" w:firstLineChars="200"/>
        <w:outlineLvl w:val="2"/>
        <w:rPr>
          <w:rFonts w:ascii="仿宋" w:eastAsia="仿宋"/>
          <w:b/>
          <w:sz w:val="32"/>
          <w:szCs w:val="32"/>
        </w:rPr>
      </w:pPr>
      <w:bookmarkStart w:id="52" w:name="_Toc7659"/>
      <w:bookmarkStart w:id="53" w:name="_Toc15377210"/>
      <w:bookmarkStart w:id="54" w:name="_Toc7110"/>
      <w:r>
        <w:rPr>
          <w:rFonts w:hint="eastAsia" w:ascii="仿宋" w:eastAsia="仿宋"/>
          <w:b/>
          <w:sz w:val="32"/>
          <w:szCs w:val="32"/>
        </w:rPr>
        <w:t>（一）一般公共预算财政拨款支出决算总体情况</w:t>
      </w:r>
      <w:bookmarkEnd w:id="52"/>
      <w:bookmarkEnd w:id="53"/>
      <w:bookmarkEnd w:id="54"/>
    </w:p>
    <w:p>
      <w:pPr>
        <w:spacing w:line="600" w:lineRule="exact"/>
        <w:ind w:firstLine="640" w:firstLineChars="200"/>
        <w:rPr>
          <w:rFonts w:hint="eastAsia" w:ascii="仿宋" w:eastAsia="仿宋"/>
          <w:sz w:val="32"/>
          <w:szCs w:val="32"/>
          <w:lang w:eastAsia="zh-CN"/>
        </w:rPr>
      </w:pPr>
      <w:r>
        <w:rPr>
          <w:rFonts w:hint="eastAsia" w:ascii="仿宋" w:eastAsia="仿宋"/>
          <w:sz w:val="32"/>
          <w:szCs w:val="32"/>
        </w:rPr>
        <w:t>2022年一般公共预算财政拨款支出</w:t>
      </w:r>
      <w:r>
        <w:rPr>
          <w:rFonts w:hint="eastAsia" w:ascii="仿宋" w:eastAsia="仿宋"/>
          <w:sz w:val="32"/>
          <w:szCs w:val="32"/>
          <w:lang w:val="en-US" w:eastAsia="zh-CN"/>
        </w:rPr>
        <w:t>1319.71</w:t>
      </w:r>
      <w:r>
        <w:rPr>
          <w:rFonts w:hint="eastAsia" w:ascii="仿宋" w:eastAsia="仿宋"/>
          <w:sz w:val="32"/>
          <w:szCs w:val="32"/>
        </w:rPr>
        <w:t>万元，占本年支出合计的</w:t>
      </w:r>
      <w:r>
        <w:rPr>
          <w:rFonts w:hint="eastAsia" w:ascii="仿宋" w:eastAsia="仿宋"/>
          <w:sz w:val="32"/>
          <w:szCs w:val="32"/>
          <w:lang w:val="en-US" w:eastAsia="zh-CN"/>
        </w:rPr>
        <w:t>73.61</w:t>
      </w:r>
      <w:r>
        <w:rPr>
          <w:rFonts w:hint="eastAsia" w:ascii="仿宋" w:eastAsia="仿宋"/>
          <w:sz w:val="32"/>
          <w:szCs w:val="32"/>
        </w:rPr>
        <w:t>%。与2021年相比，一般公共预算财政拨款支出</w:t>
      </w:r>
      <w:r>
        <w:rPr>
          <w:rFonts w:hint="eastAsia" w:ascii="仿宋" w:eastAsia="仿宋"/>
          <w:sz w:val="32"/>
          <w:szCs w:val="32"/>
          <w:lang w:eastAsia="zh-CN"/>
        </w:rPr>
        <w:t>减少</w:t>
      </w:r>
      <w:r>
        <w:rPr>
          <w:rFonts w:hint="eastAsia" w:ascii="仿宋" w:eastAsia="仿宋"/>
          <w:sz w:val="32"/>
          <w:szCs w:val="32"/>
          <w:lang w:val="en-US" w:eastAsia="zh-CN"/>
        </w:rPr>
        <w:t>428.96万元，下降12.26%</w:t>
      </w:r>
      <w:r>
        <w:rPr>
          <w:rFonts w:hint="eastAsia" w:ascii="仿宋" w:eastAsia="仿宋"/>
          <w:sz w:val="32"/>
          <w:szCs w:val="32"/>
        </w:rPr>
        <w:t>。主要变动原因是由县级财政拨付</w:t>
      </w:r>
      <w:r>
        <w:rPr>
          <w:rFonts w:hint="eastAsia" w:ascii="仿宋" w:eastAsia="仿宋"/>
          <w:sz w:val="32"/>
          <w:szCs w:val="32"/>
          <w:lang w:val="en-US" w:eastAsia="zh-CN"/>
        </w:rPr>
        <w:t>472.89</w:t>
      </w:r>
      <w:r>
        <w:rPr>
          <w:rFonts w:hint="eastAsia" w:ascii="仿宋" w:eastAsia="仿宋"/>
          <w:sz w:val="32"/>
          <w:szCs w:val="32"/>
        </w:rPr>
        <w:t>万元</w:t>
      </w:r>
      <w:r>
        <w:rPr>
          <w:rFonts w:hint="eastAsia" w:ascii="仿宋" w:eastAsia="仿宋"/>
          <w:sz w:val="32"/>
          <w:szCs w:val="32"/>
          <w:lang w:eastAsia="zh-CN"/>
        </w:rPr>
        <w:t>。</w:t>
      </w:r>
    </w:p>
    <w:p>
      <w:pPr>
        <w:spacing w:line="600" w:lineRule="exact"/>
        <w:ind w:firstLine="640" w:firstLineChars="200"/>
        <w:rPr>
          <w:rFonts w:ascii="仿宋" w:eastAsia="仿宋"/>
          <w:sz w:val="32"/>
          <w:szCs w:val="32"/>
        </w:rPr>
      </w:pPr>
    </w:p>
    <w:p>
      <w:pPr>
        <w:spacing w:line="600" w:lineRule="exact"/>
        <w:jc w:val="center"/>
        <w:rPr>
          <w:rFonts w:ascii="仿宋" w:eastAsia="仿宋"/>
          <w:sz w:val="32"/>
          <w:szCs w:val="32"/>
        </w:rPr>
      </w:pPr>
      <w:r>
        <w:rPr>
          <w:rFonts w:hint="eastAsia" w:ascii="仿宋" w:eastAsia="仿宋"/>
          <w:sz w:val="32"/>
          <w:szCs w:val="32"/>
        </w:rPr>
        <w:t>图5：一般公共预算财政拨款支出决算变动情况</w:t>
      </w:r>
    </w:p>
    <w:p>
      <w:pPr>
        <w:jc w:val="both"/>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265420" cy="2122170"/>
            <wp:effectExtent l="4445" t="4445" r="6985" b="698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3" w:firstLineChars="200"/>
        <w:outlineLvl w:val="2"/>
        <w:rPr>
          <w:rFonts w:ascii="仿宋" w:eastAsia="仿宋"/>
          <w:b/>
          <w:sz w:val="32"/>
          <w:szCs w:val="32"/>
        </w:rPr>
      </w:pPr>
      <w:bookmarkStart w:id="55" w:name="_Toc16494"/>
      <w:bookmarkStart w:id="56" w:name="_Toc15377211"/>
      <w:bookmarkStart w:id="57" w:name="_Toc14091"/>
      <w:r>
        <w:rPr>
          <w:rFonts w:hint="eastAsia" w:ascii="仿宋" w:eastAsia="仿宋"/>
          <w:b/>
          <w:sz w:val="32"/>
          <w:szCs w:val="32"/>
        </w:rPr>
        <w:t>（二）一般公共预算财政拨款支出决算结构情况</w:t>
      </w:r>
      <w:bookmarkEnd w:id="55"/>
      <w:bookmarkEnd w:id="56"/>
      <w:bookmarkEnd w:id="57"/>
    </w:p>
    <w:p>
      <w:pPr>
        <w:spacing w:line="600" w:lineRule="exact"/>
        <w:ind w:firstLine="640"/>
        <w:rPr>
          <w:rFonts w:hint="eastAsia" w:ascii="仿宋" w:eastAsia="仿宋"/>
          <w:sz w:val="32"/>
          <w:szCs w:val="32"/>
        </w:rPr>
      </w:pPr>
      <w:r>
        <w:rPr>
          <w:rFonts w:hint="eastAsia" w:ascii="仿宋" w:eastAsia="仿宋"/>
          <w:sz w:val="32"/>
          <w:szCs w:val="32"/>
        </w:rPr>
        <w:t>2022年一般公共预算财政拨款支出</w:t>
      </w:r>
      <w:r>
        <w:rPr>
          <w:rFonts w:hint="eastAsia" w:ascii="仿宋" w:eastAsia="仿宋"/>
          <w:sz w:val="32"/>
          <w:szCs w:val="32"/>
          <w:lang w:val="en-US" w:eastAsia="zh-CN"/>
        </w:rPr>
        <w:t>1319.71</w:t>
      </w:r>
      <w:r>
        <w:rPr>
          <w:rFonts w:hint="eastAsia" w:ascii="仿宋" w:eastAsia="仿宋"/>
          <w:sz w:val="32"/>
          <w:szCs w:val="32"/>
        </w:rPr>
        <w:t>万元，主要用于以下方面:其中：公共安全支出为</w:t>
      </w:r>
      <w:r>
        <w:rPr>
          <w:rFonts w:hint="eastAsia" w:ascii="仿宋" w:eastAsia="仿宋"/>
          <w:sz w:val="32"/>
          <w:szCs w:val="32"/>
          <w:lang w:val="en-US" w:eastAsia="zh-CN"/>
        </w:rPr>
        <w:t>1054.35</w:t>
      </w:r>
      <w:r>
        <w:rPr>
          <w:rFonts w:hint="eastAsia" w:ascii="仿宋" w:eastAsia="仿宋"/>
          <w:sz w:val="32"/>
          <w:szCs w:val="32"/>
        </w:rPr>
        <w:t>万元，占比</w:t>
      </w:r>
      <w:r>
        <w:rPr>
          <w:rFonts w:hint="eastAsia" w:ascii="仿宋" w:eastAsia="仿宋"/>
          <w:sz w:val="32"/>
          <w:szCs w:val="32"/>
          <w:lang w:val="en-US" w:eastAsia="zh-CN"/>
        </w:rPr>
        <w:t>79.89</w:t>
      </w:r>
      <w:r>
        <w:rPr>
          <w:rFonts w:hint="eastAsia" w:ascii="仿宋" w:eastAsia="仿宋"/>
          <w:sz w:val="32"/>
          <w:szCs w:val="32"/>
        </w:rPr>
        <w:t>%；社会保障和就业支出为</w:t>
      </w:r>
      <w:r>
        <w:rPr>
          <w:rFonts w:hint="eastAsia" w:ascii="仿宋" w:eastAsia="仿宋"/>
          <w:sz w:val="32"/>
          <w:szCs w:val="32"/>
          <w:lang w:val="en-US" w:eastAsia="zh-CN"/>
        </w:rPr>
        <w:t>123.41</w:t>
      </w:r>
      <w:r>
        <w:rPr>
          <w:rFonts w:hint="eastAsia" w:ascii="仿宋" w:eastAsia="仿宋"/>
          <w:sz w:val="32"/>
          <w:szCs w:val="32"/>
        </w:rPr>
        <w:t>万元，占比</w:t>
      </w:r>
      <w:r>
        <w:rPr>
          <w:rFonts w:hint="eastAsia" w:ascii="仿宋" w:eastAsia="仿宋"/>
          <w:sz w:val="32"/>
          <w:szCs w:val="32"/>
          <w:lang w:val="en-US" w:eastAsia="zh-CN"/>
        </w:rPr>
        <w:t>9.35</w:t>
      </w:r>
      <w:r>
        <w:rPr>
          <w:rFonts w:hint="eastAsia" w:ascii="仿宋" w:eastAsia="仿宋"/>
          <w:sz w:val="32"/>
          <w:szCs w:val="32"/>
        </w:rPr>
        <w:t>%；卫生健康支出为</w:t>
      </w:r>
      <w:r>
        <w:rPr>
          <w:rFonts w:hint="eastAsia" w:ascii="仿宋" w:eastAsia="仿宋"/>
          <w:sz w:val="32"/>
          <w:szCs w:val="32"/>
          <w:lang w:val="en-US" w:eastAsia="zh-CN"/>
        </w:rPr>
        <w:t>52.34</w:t>
      </w:r>
      <w:r>
        <w:rPr>
          <w:rFonts w:hint="eastAsia" w:ascii="仿宋" w:eastAsia="仿宋"/>
          <w:sz w:val="32"/>
          <w:szCs w:val="32"/>
        </w:rPr>
        <w:t>万元，占比</w:t>
      </w:r>
      <w:r>
        <w:rPr>
          <w:rFonts w:hint="eastAsia" w:ascii="仿宋" w:eastAsia="仿宋"/>
          <w:sz w:val="32"/>
          <w:szCs w:val="32"/>
          <w:lang w:val="en-US" w:eastAsia="zh-CN"/>
        </w:rPr>
        <w:t>3.96</w:t>
      </w:r>
      <w:r>
        <w:rPr>
          <w:rFonts w:hint="eastAsia" w:ascii="仿宋" w:eastAsia="仿宋"/>
          <w:sz w:val="32"/>
          <w:szCs w:val="32"/>
        </w:rPr>
        <w:t>%；住房保障支出为</w:t>
      </w:r>
      <w:r>
        <w:rPr>
          <w:rFonts w:hint="eastAsia" w:ascii="仿宋" w:eastAsia="仿宋"/>
          <w:sz w:val="32"/>
          <w:szCs w:val="32"/>
          <w:lang w:val="en-US" w:eastAsia="zh-CN"/>
        </w:rPr>
        <w:t>89.61</w:t>
      </w:r>
      <w:r>
        <w:rPr>
          <w:rFonts w:hint="eastAsia" w:ascii="仿宋" w:eastAsia="仿宋"/>
          <w:sz w:val="32"/>
          <w:szCs w:val="32"/>
        </w:rPr>
        <w:t>万元，占比</w:t>
      </w:r>
      <w:r>
        <w:rPr>
          <w:rFonts w:hint="eastAsia" w:ascii="仿宋" w:eastAsia="仿宋"/>
          <w:sz w:val="32"/>
          <w:szCs w:val="32"/>
          <w:lang w:val="en-US" w:eastAsia="zh-CN"/>
        </w:rPr>
        <w:t>6.8</w:t>
      </w:r>
      <w:r>
        <w:rPr>
          <w:rFonts w:hint="eastAsia" w:ascii="仿宋" w:eastAsia="仿宋"/>
          <w:sz w:val="32"/>
          <w:szCs w:val="32"/>
        </w:rPr>
        <w:t>%。</w:t>
      </w:r>
    </w:p>
    <w:p>
      <w:pPr>
        <w:spacing w:line="600" w:lineRule="exact"/>
        <w:jc w:val="center"/>
        <w:rPr>
          <w:rFonts w:ascii="仿宋" w:eastAsia="仿宋"/>
          <w:sz w:val="32"/>
          <w:szCs w:val="32"/>
        </w:rPr>
      </w:pPr>
      <w:r>
        <w:rPr>
          <w:rFonts w:hint="eastAsia" w:ascii="仿宋" w:eastAsia="仿宋"/>
          <w:sz w:val="32"/>
          <w:szCs w:val="32"/>
        </w:rPr>
        <w:t>图6：一般公共预算财政拨款支出决算结构</w:t>
      </w:r>
      <w:r>
        <w:rPr>
          <w:rFonts w:hint="eastAsia" w:ascii="仿宋" w:eastAsia="仿宋"/>
          <w:sz w:val="32"/>
          <w:szCs w:val="32"/>
          <w:lang w:val="en-US" w:eastAsia="zh-CN"/>
        </w:rPr>
        <w:t>图</w:t>
      </w:r>
    </w:p>
    <w:p>
      <w:pPr>
        <w:jc w:val="both"/>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4990465" cy="3169920"/>
            <wp:effectExtent l="4445" t="4445" r="15240" b="698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eastAsia="仿宋"/>
          <w:b/>
          <w:sz w:val="32"/>
          <w:szCs w:val="32"/>
        </w:rPr>
      </w:pPr>
      <w:bookmarkStart w:id="58" w:name="_Toc2730"/>
      <w:bookmarkStart w:id="59" w:name="_Toc15377212"/>
      <w:bookmarkStart w:id="60" w:name="_Toc5105"/>
      <w:r>
        <w:rPr>
          <w:rFonts w:hint="eastAsia" w:ascii="仿宋" w:eastAsia="仿宋"/>
          <w:b/>
          <w:sz w:val="32"/>
          <w:szCs w:val="32"/>
        </w:rPr>
        <w:t>（三）一般公共预算财政拨款支出决算具体情况</w:t>
      </w:r>
      <w:bookmarkEnd w:id="58"/>
      <w:bookmarkEnd w:id="59"/>
      <w:bookmarkEnd w:id="60"/>
    </w:p>
    <w:p>
      <w:pPr>
        <w:spacing w:line="600" w:lineRule="exact"/>
        <w:ind w:firstLine="640"/>
        <w:rPr>
          <w:rFonts w:hint="eastAsia" w:ascii="仿宋" w:eastAsia="仿宋"/>
          <w:sz w:val="32"/>
          <w:szCs w:val="32"/>
        </w:rPr>
      </w:pPr>
      <w:r>
        <w:rPr>
          <w:rFonts w:hint="eastAsia" w:ascii="仿宋" w:eastAsia="仿宋"/>
          <w:sz w:val="32"/>
          <w:szCs w:val="32"/>
        </w:rPr>
        <w:t>2022年一般公共预算支出决算数为</w:t>
      </w:r>
      <w:r>
        <w:rPr>
          <w:rFonts w:hint="eastAsia" w:ascii="仿宋" w:eastAsia="仿宋"/>
          <w:sz w:val="32"/>
          <w:szCs w:val="32"/>
          <w:lang w:val="en-US" w:eastAsia="zh-CN"/>
        </w:rPr>
        <w:t>1319.71万元</w:t>
      </w:r>
      <w:r>
        <w:rPr>
          <w:rFonts w:hint="eastAsia" w:ascii="仿宋" w:eastAsia="仿宋"/>
          <w:sz w:val="32"/>
          <w:szCs w:val="32"/>
        </w:rPr>
        <w:t>，完成预算100.00%。其中：</w:t>
      </w:r>
    </w:p>
    <w:p>
      <w:pPr>
        <w:spacing w:line="600" w:lineRule="exact"/>
        <w:ind w:firstLine="640"/>
        <w:rPr>
          <w:rFonts w:hint="eastAsia" w:ascii="仿宋" w:eastAsia="仿宋"/>
          <w:sz w:val="32"/>
          <w:szCs w:val="32"/>
          <w:lang w:eastAsia="zh-CN"/>
        </w:rPr>
      </w:pPr>
      <w:r>
        <w:rPr>
          <w:rFonts w:hint="eastAsia" w:ascii="仿宋" w:eastAsia="仿宋"/>
          <w:sz w:val="32"/>
          <w:szCs w:val="32"/>
        </w:rPr>
        <w:t>1.</w:t>
      </w:r>
      <w:r>
        <w:rPr>
          <w:rFonts w:hint="eastAsia" w:ascii="仿宋" w:eastAsia="仿宋"/>
          <w:sz w:val="32"/>
          <w:szCs w:val="32"/>
          <w:lang w:val="en-US" w:eastAsia="zh-CN"/>
        </w:rPr>
        <w:t>公共安全</w:t>
      </w:r>
      <w:r>
        <w:rPr>
          <w:rFonts w:hint="eastAsia" w:ascii="仿宋" w:eastAsia="仿宋"/>
          <w:sz w:val="32"/>
          <w:szCs w:val="32"/>
        </w:rPr>
        <w:t>: 支出决算为</w:t>
      </w:r>
      <w:r>
        <w:rPr>
          <w:rFonts w:hint="eastAsia" w:ascii="仿宋" w:eastAsia="仿宋"/>
          <w:sz w:val="32"/>
          <w:szCs w:val="32"/>
          <w:lang w:val="en-US" w:eastAsia="zh-CN"/>
        </w:rPr>
        <w:t>1054.35</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r>
        <w:rPr>
          <w:rFonts w:hint="eastAsia" w:ascii="仿宋" w:eastAsia="仿宋"/>
          <w:sz w:val="32"/>
          <w:szCs w:val="32"/>
          <w:lang w:eastAsia="zh-CN"/>
        </w:rPr>
        <w:t>；</w:t>
      </w:r>
    </w:p>
    <w:p>
      <w:pPr>
        <w:spacing w:line="600" w:lineRule="exact"/>
        <w:ind w:firstLine="640"/>
        <w:rPr>
          <w:rFonts w:hint="eastAsia" w:ascii="仿宋" w:eastAsia="仿宋"/>
          <w:sz w:val="32"/>
          <w:szCs w:val="32"/>
          <w:lang w:eastAsia="zh-CN"/>
        </w:rPr>
      </w:pPr>
      <w:r>
        <w:rPr>
          <w:rFonts w:hint="eastAsia" w:ascii="仿宋" w:eastAsia="仿宋"/>
          <w:sz w:val="32"/>
          <w:szCs w:val="32"/>
          <w:lang w:val="en-US" w:eastAsia="zh-CN"/>
        </w:rPr>
        <w:t>2</w:t>
      </w:r>
      <w:r>
        <w:rPr>
          <w:rFonts w:hint="eastAsia" w:ascii="仿宋" w:eastAsia="仿宋"/>
          <w:sz w:val="32"/>
          <w:szCs w:val="32"/>
        </w:rPr>
        <w:t>.社会保障和就业: 支出决算为</w:t>
      </w:r>
      <w:r>
        <w:rPr>
          <w:rFonts w:hint="eastAsia" w:ascii="仿宋" w:eastAsia="仿宋"/>
          <w:sz w:val="32"/>
          <w:szCs w:val="32"/>
          <w:lang w:val="en-US" w:eastAsia="zh-CN"/>
        </w:rPr>
        <w:t>123.41</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r>
        <w:rPr>
          <w:rFonts w:hint="eastAsia" w:ascii="仿宋" w:eastAsia="仿宋"/>
          <w:sz w:val="32"/>
          <w:szCs w:val="32"/>
          <w:lang w:eastAsia="zh-CN"/>
        </w:rPr>
        <w:t>；</w:t>
      </w:r>
    </w:p>
    <w:p>
      <w:pPr>
        <w:spacing w:line="600" w:lineRule="exact"/>
        <w:ind w:firstLine="640"/>
        <w:rPr>
          <w:rFonts w:hint="eastAsia" w:ascii="仿宋" w:eastAsia="仿宋"/>
          <w:sz w:val="32"/>
          <w:szCs w:val="32"/>
          <w:lang w:eastAsia="zh-CN"/>
        </w:rPr>
      </w:pPr>
      <w:r>
        <w:rPr>
          <w:rFonts w:hint="eastAsia" w:ascii="仿宋" w:eastAsia="仿宋"/>
          <w:sz w:val="32"/>
          <w:szCs w:val="32"/>
          <w:lang w:val="en-US" w:eastAsia="zh-CN"/>
        </w:rPr>
        <w:t>3</w:t>
      </w:r>
      <w:r>
        <w:rPr>
          <w:rFonts w:hint="eastAsia" w:ascii="仿宋" w:eastAsia="仿宋"/>
          <w:sz w:val="32"/>
          <w:szCs w:val="32"/>
        </w:rPr>
        <w:t>.卫生健康:支出决算为</w:t>
      </w:r>
      <w:r>
        <w:rPr>
          <w:rFonts w:hint="eastAsia" w:ascii="仿宋" w:eastAsia="仿宋"/>
          <w:sz w:val="32"/>
          <w:szCs w:val="32"/>
          <w:lang w:val="en-US" w:eastAsia="zh-CN"/>
        </w:rPr>
        <w:t>52.34</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r>
        <w:rPr>
          <w:rFonts w:hint="eastAsia" w:ascii="仿宋" w:eastAsia="仿宋"/>
          <w:sz w:val="32"/>
          <w:szCs w:val="32"/>
          <w:lang w:eastAsia="zh-CN"/>
        </w:rPr>
        <w:t>；</w:t>
      </w:r>
    </w:p>
    <w:p>
      <w:pPr>
        <w:spacing w:line="600" w:lineRule="exact"/>
        <w:ind w:firstLine="640"/>
        <w:rPr>
          <w:rFonts w:hint="eastAsia" w:ascii="仿宋" w:eastAsia="仿宋"/>
          <w:sz w:val="32"/>
          <w:szCs w:val="32"/>
          <w:lang w:eastAsia="zh-CN"/>
        </w:rPr>
      </w:pPr>
      <w:r>
        <w:rPr>
          <w:rFonts w:hint="eastAsia" w:ascii="仿宋" w:eastAsia="仿宋"/>
          <w:sz w:val="32"/>
          <w:szCs w:val="32"/>
          <w:lang w:val="en-US" w:eastAsia="zh-CN"/>
        </w:rPr>
        <w:t>4.住房保障：</w:t>
      </w:r>
      <w:r>
        <w:rPr>
          <w:rFonts w:hint="eastAsia" w:ascii="仿宋" w:eastAsia="仿宋"/>
          <w:sz w:val="32"/>
          <w:szCs w:val="32"/>
        </w:rPr>
        <w:t>支出决算为</w:t>
      </w:r>
      <w:r>
        <w:rPr>
          <w:rFonts w:hint="eastAsia" w:ascii="仿宋" w:eastAsia="仿宋"/>
          <w:sz w:val="32"/>
          <w:szCs w:val="32"/>
          <w:lang w:val="en-US" w:eastAsia="zh-CN"/>
        </w:rPr>
        <w:t>89.61</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r>
        <w:rPr>
          <w:rFonts w:hint="eastAsia" w:ascii="仿宋" w:eastAsia="仿宋"/>
          <w:sz w:val="32"/>
          <w:szCs w:val="32"/>
          <w:lang w:eastAsia="zh-CN"/>
        </w:rPr>
        <w:t>。</w:t>
      </w:r>
    </w:p>
    <w:p>
      <w:pPr>
        <w:tabs>
          <w:tab w:val="right" w:pos="8306"/>
        </w:tabs>
        <w:spacing w:line="600" w:lineRule="exact"/>
        <w:ind w:firstLine="640"/>
        <w:outlineLvl w:val="1"/>
        <w:rPr>
          <w:rStyle w:val="19"/>
        </w:rPr>
      </w:pPr>
      <w:bookmarkStart w:id="61" w:name="_Toc15377214"/>
      <w:bookmarkStart w:id="62" w:name="_Toc31973"/>
      <w:bookmarkStart w:id="63" w:name="_Toc3275"/>
      <w:bookmarkStart w:id="64" w:name="_Toc15396608"/>
      <w:r>
        <w:rPr>
          <w:rFonts w:hint="eastAsia" w:ascii="黑体" w:eastAsia="黑体"/>
          <w:sz w:val="32"/>
          <w:szCs w:val="32"/>
        </w:rPr>
        <w:t>六</w:t>
      </w:r>
      <w:r>
        <w:rPr>
          <w:rFonts w:hint="eastAsia" w:ascii="黑体" w:eastAsia="黑体"/>
          <w:b/>
          <w:sz w:val="32"/>
          <w:szCs w:val="32"/>
        </w:rPr>
        <w:t>、一</w:t>
      </w:r>
      <w:r>
        <w:rPr>
          <w:rStyle w:val="19"/>
          <w:rFonts w:hint="eastAsia" w:ascii="黑体" w:eastAsia="黑体"/>
          <w:b w:val="0"/>
        </w:rPr>
        <w:t>般公共预算财政拨款基本支出决算情况说明</w:t>
      </w:r>
      <w:bookmarkEnd w:id="61"/>
      <w:bookmarkEnd w:id="62"/>
      <w:bookmarkEnd w:id="63"/>
      <w:bookmarkEnd w:id="64"/>
      <w:r>
        <w:rPr>
          <w:rStyle w:val="19"/>
          <w:rFonts w:ascii="黑体" w:eastAsia="黑体"/>
          <w:b w:val="0"/>
        </w:rPr>
        <w:tab/>
      </w:r>
    </w:p>
    <w:p>
      <w:pPr>
        <w:spacing w:line="600" w:lineRule="exact"/>
        <w:ind w:firstLine="645"/>
        <w:rPr>
          <w:rFonts w:hint="eastAsia" w:ascii="仿宋" w:eastAsia="仿宋"/>
          <w:sz w:val="32"/>
          <w:szCs w:val="32"/>
        </w:rPr>
      </w:pPr>
      <w:r>
        <w:rPr>
          <w:rFonts w:hint="eastAsia" w:ascii="仿宋" w:eastAsia="仿宋"/>
          <w:sz w:val="32"/>
          <w:szCs w:val="32"/>
        </w:rPr>
        <w:t>2022年一般公共预算财政拨款基本支出</w:t>
      </w:r>
      <w:r>
        <w:rPr>
          <w:rFonts w:hint="eastAsia" w:ascii="仿宋" w:eastAsia="仿宋"/>
          <w:sz w:val="32"/>
          <w:szCs w:val="32"/>
          <w:lang w:val="en-US" w:eastAsia="zh-CN"/>
        </w:rPr>
        <w:t>1005.05</w:t>
      </w:r>
      <w:r>
        <w:rPr>
          <w:rFonts w:hint="eastAsia" w:ascii="仿宋" w:eastAsia="仿宋"/>
          <w:sz w:val="32"/>
          <w:szCs w:val="32"/>
        </w:rPr>
        <w:t>万元，其中：</w:t>
      </w:r>
    </w:p>
    <w:p>
      <w:pPr>
        <w:spacing w:line="600" w:lineRule="exact"/>
        <w:ind w:firstLine="645"/>
        <w:rPr>
          <w:rFonts w:hint="eastAsia" w:ascii="仿宋" w:eastAsia="仿宋"/>
          <w:sz w:val="32"/>
          <w:szCs w:val="32"/>
        </w:rPr>
      </w:pPr>
      <w:r>
        <w:rPr>
          <w:rFonts w:hint="eastAsia" w:ascii="仿宋" w:eastAsia="仿宋"/>
          <w:sz w:val="32"/>
          <w:szCs w:val="32"/>
        </w:rPr>
        <w:t>人员经费</w:t>
      </w:r>
      <w:r>
        <w:rPr>
          <w:rFonts w:hint="eastAsia" w:ascii="仿宋" w:eastAsia="仿宋"/>
          <w:sz w:val="32"/>
          <w:szCs w:val="32"/>
          <w:lang w:val="en-US" w:eastAsia="zh-CN"/>
        </w:rPr>
        <w:t>776.11</w:t>
      </w:r>
      <w:r>
        <w:rPr>
          <w:rFonts w:hint="eastAsia" w:ascii="仿宋" w:eastAsia="仿宋"/>
          <w:sz w:val="32"/>
          <w:szCs w:val="32"/>
        </w:rPr>
        <w:t>万元，主要包括：基本工资、津贴补贴、奖金、伙食补助费、机关事业单位基本养老保险缴费、职业年金缴费、其他社会保障缴费、其他工资福利支出、职工基本医疗保险缴费</w:t>
      </w:r>
      <w:r>
        <w:rPr>
          <w:rFonts w:hint="eastAsia" w:ascii="仿宋" w:eastAsia="仿宋"/>
          <w:sz w:val="32"/>
          <w:szCs w:val="32"/>
          <w:lang w:eastAsia="zh-CN"/>
        </w:rPr>
        <w:t>、公务员医疗补助缴费</w:t>
      </w:r>
      <w:r>
        <w:rPr>
          <w:rFonts w:hint="eastAsia" w:ascii="仿宋" w:eastAsia="仿宋"/>
          <w:sz w:val="32"/>
          <w:szCs w:val="32"/>
        </w:rPr>
        <w:t>、奖励金、住房公积金</w:t>
      </w:r>
      <w:r>
        <w:rPr>
          <w:rFonts w:hint="eastAsia" w:ascii="仿宋" w:eastAsia="仿宋"/>
          <w:sz w:val="32"/>
          <w:szCs w:val="32"/>
          <w:lang w:val="en-US" w:eastAsia="zh-CN"/>
        </w:rPr>
        <w:t>等</w:t>
      </w:r>
      <w:r>
        <w:rPr>
          <w:rFonts w:hint="eastAsia" w:ascii="仿宋" w:eastAsia="仿宋"/>
          <w:sz w:val="32"/>
          <w:szCs w:val="32"/>
        </w:rPr>
        <w:t>。</w:t>
      </w:r>
    </w:p>
    <w:p>
      <w:pPr>
        <w:ind w:firstLine="640"/>
        <w:jc w:val="both"/>
        <w:rPr>
          <w:rFonts w:hint="eastAsia" w:ascii="仿宋" w:eastAsia="仿宋"/>
          <w:sz w:val="32"/>
          <w:szCs w:val="32"/>
        </w:rPr>
      </w:pPr>
      <w:r>
        <w:rPr>
          <w:rFonts w:hint="eastAsia" w:ascii="仿宋" w:eastAsia="仿宋"/>
          <w:sz w:val="32"/>
          <w:szCs w:val="32"/>
        </w:rPr>
        <w:t>公用经费</w:t>
      </w:r>
      <w:r>
        <w:rPr>
          <w:rFonts w:hint="eastAsia" w:ascii="仿宋" w:eastAsia="仿宋"/>
          <w:sz w:val="32"/>
          <w:szCs w:val="32"/>
          <w:lang w:val="en-US" w:eastAsia="zh-CN"/>
        </w:rPr>
        <w:t>228.94</w:t>
      </w:r>
      <w:r>
        <w:rPr>
          <w:rFonts w:hint="eastAsia" w:ascii="仿宋" w:eastAsia="仿宋"/>
          <w:sz w:val="32"/>
          <w:szCs w:val="32"/>
        </w:rPr>
        <w:t>万元，主要包括：办公费、印刷费、水费、邮电费、取暖费、差旅费、维修（护）费、培训费、公务接待费、工会经费、福利费、公务用车运行维护费、其他商品和服务支出等。</w:t>
      </w:r>
    </w:p>
    <w:p>
      <w:pPr>
        <w:spacing w:line="600" w:lineRule="exact"/>
        <w:ind w:firstLine="640"/>
        <w:outlineLvl w:val="1"/>
        <w:rPr>
          <w:rStyle w:val="19"/>
          <w:rFonts w:ascii="黑体" w:eastAsia="黑体"/>
          <w:b w:val="0"/>
        </w:rPr>
      </w:pPr>
      <w:bookmarkStart w:id="65" w:name="_Toc1944"/>
      <w:bookmarkStart w:id="66" w:name="_Toc15396609"/>
      <w:bookmarkStart w:id="67" w:name="_Toc15377215"/>
      <w:bookmarkStart w:id="68" w:name="_Toc6599"/>
      <w:r>
        <w:rPr>
          <w:rFonts w:hint="eastAsia" w:ascii="黑体" w:eastAsia="黑体"/>
          <w:sz w:val="32"/>
          <w:szCs w:val="32"/>
        </w:rPr>
        <w:t>七、</w:t>
      </w:r>
      <w:r>
        <w:rPr>
          <w:rStyle w:val="19"/>
          <w:rFonts w:hint="eastAsia" w:ascii="黑体" w:eastAsia="黑体"/>
          <w:b w:val="0"/>
        </w:rPr>
        <w:t>财政拨款</w:t>
      </w:r>
      <w:r>
        <w:rPr>
          <w:rStyle w:val="19"/>
          <w:rFonts w:hint="eastAsia" w:ascii="黑体" w:eastAsia="黑体"/>
        </w:rPr>
        <w:t>“</w:t>
      </w:r>
      <w:r>
        <w:rPr>
          <w:rStyle w:val="19"/>
          <w:rFonts w:hint="eastAsia" w:ascii="黑体" w:eastAsia="黑体"/>
          <w:b w:val="0"/>
        </w:rPr>
        <w:t>三公”经费支出决算情况说明</w:t>
      </w:r>
      <w:bookmarkEnd w:id="65"/>
      <w:bookmarkEnd w:id="66"/>
      <w:bookmarkEnd w:id="67"/>
      <w:bookmarkEnd w:id="68"/>
    </w:p>
    <w:p>
      <w:pPr>
        <w:spacing w:line="600" w:lineRule="exact"/>
        <w:ind w:firstLine="640"/>
        <w:outlineLvl w:val="2"/>
        <w:rPr>
          <w:rFonts w:ascii="仿宋" w:eastAsia="仿宋"/>
          <w:b/>
          <w:sz w:val="32"/>
          <w:szCs w:val="32"/>
        </w:rPr>
      </w:pPr>
      <w:bookmarkStart w:id="69" w:name="_Toc15377216"/>
      <w:bookmarkStart w:id="70" w:name="_Toc26768"/>
      <w:bookmarkStart w:id="71" w:name="_Toc30677"/>
      <w:r>
        <w:rPr>
          <w:rFonts w:hint="eastAsia" w:ascii="仿宋" w:eastAsia="仿宋"/>
          <w:b/>
          <w:sz w:val="32"/>
          <w:szCs w:val="32"/>
        </w:rPr>
        <w:t>（一）“三公”经费财政拨款支出决算总体情况说明</w:t>
      </w:r>
      <w:bookmarkEnd w:id="69"/>
      <w:bookmarkEnd w:id="70"/>
      <w:bookmarkEnd w:id="71"/>
    </w:p>
    <w:p>
      <w:pPr>
        <w:spacing w:line="600" w:lineRule="exact"/>
        <w:ind w:firstLine="640"/>
        <w:rPr>
          <w:rFonts w:ascii="仿宋" w:eastAsia="仿宋"/>
          <w:b/>
          <w:sz w:val="32"/>
          <w:szCs w:val="32"/>
        </w:rPr>
      </w:pPr>
      <w:r>
        <w:rPr>
          <w:rFonts w:hint="eastAsia" w:ascii="仿宋" w:eastAsia="仿宋"/>
          <w:sz w:val="32"/>
          <w:szCs w:val="32"/>
        </w:rPr>
        <w:t>2022年“三公”经费财政拨款支出决算为</w:t>
      </w:r>
      <w:r>
        <w:rPr>
          <w:rFonts w:hint="eastAsia" w:ascii="仿宋" w:eastAsia="仿宋"/>
          <w:sz w:val="32"/>
          <w:szCs w:val="32"/>
          <w:lang w:val="en-US" w:eastAsia="zh-CN"/>
        </w:rPr>
        <w:t>6.36</w:t>
      </w:r>
      <w:r>
        <w:rPr>
          <w:rFonts w:hint="eastAsia" w:ascii="仿宋" w:eastAsia="仿宋"/>
          <w:sz w:val="32"/>
          <w:szCs w:val="32"/>
        </w:rPr>
        <w:t>万元，完成预算100.00%，决算数与预算数持平</w:t>
      </w:r>
      <w:r>
        <w:rPr>
          <w:rFonts w:hint="eastAsia" w:ascii="仿宋" w:eastAsia="仿宋"/>
          <w:sz w:val="32"/>
          <w:szCs w:val="32"/>
          <w:lang w:eastAsia="zh-CN"/>
        </w:rPr>
        <w:t>，</w:t>
      </w:r>
      <w:r>
        <w:rPr>
          <w:rFonts w:hint="eastAsia" w:ascii="仿宋" w:eastAsia="仿宋"/>
          <w:sz w:val="32"/>
          <w:szCs w:val="32"/>
          <w:lang w:val="en-US" w:eastAsia="zh-CN"/>
        </w:rPr>
        <w:t>主要原因为精准计划，严格执行预算绩效</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72" w:name="_Toc4796"/>
      <w:bookmarkStart w:id="73" w:name="_Toc15377217"/>
      <w:bookmarkStart w:id="74" w:name="_Toc19386"/>
      <w:r>
        <w:rPr>
          <w:rFonts w:hint="eastAsia" w:ascii="仿宋" w:eastAsia="仿宋"/>
          <w:b/>
          <w:sz w:val="32"/>
          <w:szCs w:val="32"/>
        </w:rPr>
        <w:t>（二）“三公”经费财政拨款支出决算具体情况说明</w:t>
      </w:r>
      <w:bookmarkEnd w:id="72"/>
      <w:bookmarkEnd w:id="73"/>
      <w:bookmarkEnd w:id="74"/>
    </w:p>
    <w:p>
      <w:pPr>
        <w:pStyle w:val="17"/>
        <w:shd w:val="clear" w:fill="FFFFFF"/>
        <w:ind w:left="0" w:firstLine="600" w:firstLineChars="200"/>
        <w:rPr>
          <w:rFonts w:hint="eastAsia" w:ascii="华文仿宋" w:hAnsi="华文仿宋" w:eastAsia="华文仿宋" w:cs="华文仿宋"/>
          <w:b w:val="0"/>
          <w:bCs w:val="0"/>
          <w:kern w:val="0"/>
          <w:sz w:val="30"/>
          <w:szCs w:val="30"/>
          <w:shd w:val="clear" w:fill="FFFFFF"/>
        </w:rPr>
      </w:pPr>
      <w:r>
        <w:rPr>
          <w:rFonts w:hint="eastAsia" w:ascii="华文仿宋" w:hAnsi="华文仿宋" w:eastAsia="华文仿宋" w:cs="华文仿宋"/>
          <w:b w:val="0"/>
          <w:bCs w:val="0"/>
          <w:kern w:val="0"/>
          <w:sz w:val="30"/>
          <w:szCs w:val="30"/>
          <w:shd w:val="clear" w:fill="FFFFFF"/>
        </w:rPr>
        <w:t>2022年“三公”经费财政拨款支出决算中，因公出国（境）费支出决算0.00万元，占0.00%；公务用车购置及运行维护费支出决算</w:t>
      </w:r>
      <w:r>
        <w:rPr>
          <w:rFonts w:hint="eastAsia" w:ascii="华文仿宋" w:hAnsi="华文仿宋" w:eastAsia="华文仿宋" w:cs="华文仿宋"/>
          <w:b w:val="0"/>
          <w:bCs w:val="0"/>
          <w:kern w:val="0"/>
          <w:sz w:val="30"/>
          <w:szCs w:val="30"/>
          <w:shd w:val="clear" w:fill="FFFFFF"/>
          <w:lang w:val="en-US" w:eastAsia="zh-CN"/>
        </w:rPr>
        <w:t>5</w:t>
      </w:r>
      <w:r>
        <w:rPr>
          <w:rFonts w:hint="eastAsia" w:ascii="华文仿宋" w:hAnsi="华文仿宋" w:eastAsia="华文仿宋" w:cs="华文仿宋"/>
          <w:b w:val="0"/>
          <w:bCs w:val="0"/>
          <w:kern w:val="0"/>
          <w:sz w:val="30"/>
          <w:szCs w:val="30"/>
          <w:shd w:val="clear" w:fill="FFFFFF"/>
        </w:rPr>
        <w:t>.00万元，占</w:t>
      </w:r>
      <w:r>
        <w:rPr>
          <w:rFonts w:hint="eastAsia" w:ascii="华文仿宋" w:hAnsi="华文仿宋" w:eastAsia="华文仿宋" w:cs="华文仿宋"/>
          <w:b w:val="0"/>
          <w:bCs w:val="0"/>
          <w:kern w:val="0"/>
          <w:sz w:val="30"/>
          <w:szCs w:val="30"/>
          <w:shd w:val="clear" w:fill="FFFFFF"/>
          <w:lang w:val="en-US" w:eastAsia="zh-CN"/>
        </w:rPr>
        <w:t>78.61</w:t>
      </w:r>
      <w:r>
        <w:rPr>
          <w:rFonts w:hint="eastAsia" w:ascii="华文仿宋" w:hAnsi="华文仿宋" w:eastAsia="华文仿宋" w:cs="华文仿宋"/>
          <w:b w:val="0"/>
          <w:bCs w:val="0"/>
          <w:kern w:val="0"/>
          <w:sz w:val="30"/>
          <w:szCs w:val="30"/>
          <w:shd w:val="clear" w:fill="FFFFFF"/>
        </w:rPr>
        <w:t>%；公务接待费支出决算</w:t>
      </w:r>
      <w:r>
        <w:rPr>
          <w:rFonts w:hint="eastAsia" w:ascii="华文仿宋" w:hAnsi="华文仿宋" w:eastAsia="华文仿宋" w:cs="华文仿宋"/>
          <w:b w:val="0"/>
          <w:bCs w:val="0"/>
          <w:kern w:val="0"/>
          <w:sz w:val="30"/>
          <w:szCs w:val="30"/>
          <w:shd w:val="clear" w:fill="FFFFFF"/>
          <w:lang w:val="en-US" w:eastAsia="zh-CN"/>
        </w:rPr>
        <w:t>1.36</w:t>
      </w:r>
      <w:r>
        <w:rPr>
          <w:rFonts w:hint="eastAsia" w:ascii="华文仿宋" w:hAnsi="华文仿宋" w:eastAsia="华文仿宋" w:cs="华文仿宋"/>
          <w:b w:val="0"/>
          <w:bCs w:val="0"/>
          <w:kern w:val="0"/>
          <w:sz w:val="30"/>
          <w:szCs w:val="30"/>
          <w:shd w:val="clear" w:fill="FFFFFF"/>
        </w:rPr>
        <w:t>万元，占</w:t>
      </w:r>
      <w:r>
        <w:rPr>
          <w:rFonts w:hint="eastAsia" w:ascii="华文仿宋" w:hAnsi="华文仿宋" w:eastAsia="华文仿宋" w:cs="华文仿宋"/>
          <w:b w:val="0"/>
          <w:bCs w:val="0"/>
          <w:kern w:val="0"/>
          <w:sz w:val="30"/>
          <w:szCs w:val="30"/>
          <w:shd w:val="clear" w:fill="FFFFFF"/>
          <w:lang w:val="en-US" w:eastAsia="zh-CN"/>
        </w:rPr>
        <w:t>21.28</w:t>
      </w:r>
      <w:r>
        <w:rPr>
          <w:rFonts w:hint="eastAsia" w:ascii="华文仿宋" w:hAnsi="华文仿宋" w:eastAsia="华文仿宋" w:cs="华文仿宋"/>
          <w:b w:val="0"/>
          <w:bCs w:val="0"/>
          <w:kern w:val="0"/>
          <w:sz w:val="30"/>
          <w:szCs w:val="30"/>
          <w:shd w:val="clear" w:fill="FFFFFF"/>
        </w:rPr>
        <w:t>%。具体情况如下：</w:t>
      </w:r>
    </w:p>
    <w:p>
      <w:pPr>
        <w:pStyle w:val="17"/>
        <w:shd w:val="clear" w:fill="FFFFFF"/>
        <w:ind w:left="0" w:firstLine="600" w:firstLineChars="200"/>
        <w:jc w:val="center"/>
        <w:rPr>
          <w:rFonts w:hint="eastAsia" w:ascii="华文仿宋" w:hAnsi="华文仿宋" w:eastAsia="华文仿宋" w:cs="华文仿宋"/>
          <w:b w:val="0"/>
          <w:bCs w:val="0"/>
          <w:kern w:val="0"/>
          <w:sz w:val="30"/>
          <w:szCs w:val="30"/>
          <w:shd w:val="clear" w:fill="FFFFFF"/>
          <w:lang w:val="en-US" w:eastAsia="zh-CN"/>
        </w:rPr>
      </w:pPr>
      <w:r>
        <w:rPr>
          <w:rFonts w:hint="eastAsia" w:ascii="华文仿宋" w:hAnsi="华文仿宋" w:eastAsia="华文仿宋" w:cs="华文仿宋"/>
          <w:b w:val="0"/>
          <w:bCs w:val="0"/>
          <w:kern w:val="0"/>
          <w:sz w:val="30"/>
          <w:szCs w:val="30"/>
          <w:shd w:val="clear" w:fill="FFFFFF"/>
        </w:rPr>
        <w:t>图7：“三公”经费财政拨款支出结构</w:t>
      </w:r>
      <w:r>
        <w:rPr>
          <w:rFonts w:hint="eastAsia" w:ascii="华文仿宋" w:hAnsi="华文仿宋" w:eastAsia="华文仿宋" w:cs="华文仿宋"/>
          <w:b w:val="0"/>
          <w:bCs w:val="0"/>
          <w:kern w:val="0"/>
          <w:sz w:val="30"/>
          <w:szCs w:val="30"/>
          <w:shd w:val="clear" w:fill="FFFFFF"/>
          <w:lang w:val="en-US" w:eastAsia="zh-CN"/>
        </w:rPr>
        <w:t>图</w:t>
      </w:r>
    </w:p>
    <w:p>
      <w:pPr>
        <w:pStyle w:val="17"/>
        <w:shd w:val="clear" w:fill="FFFFFF"/>
        <w:ind w:left="0" w:firstLine="600" w:firstLineChars="200"/>
        <w:jc w:val="center"/>
        <w:rPr>
          <w:rFonts w:hint="eastAsia" w:ascii="华文仿宋" w:hAnsi="华文仿宋" w:eastAsia="华文仿宋" w:cs="华文仿宋"/>
          <w:b w:val="0"/>
          <w:bCs w:val="0"/>
          <w:kern w:val="0"/>
          <w:sz w:val="30"/>
          <w:szCs w:val="30"/>
          <w:shd w:val="clear" w:fill="FFFFFF"/>
          <w:lang w:val="en-US" w:eastAsia="zh-CN"/>
        </w:rPr>
      </w:pPr>
      <w:r>
        <w:rPr>
          <w:rFonts w:hint="eastAsia" w:ascii="华文仿宋" w:hAnsi="华文仿宋" w:eastAsia="华文仿宋" w:cs="华文仿宋"/>
          <w:b w:val="0"/>
          <w:bCs w:val="0"/>
          <w:kern w:val="0"/>
          <w:sz w:val="30"/>
          <w:szCs w:val="30"/>
          <w:shd w:val="clear" w:fill="FFFFFF"/>
          <w:lang w:val="en-US" w:eastAsia="zh-CN"/>
        </w:rPr>
        <w:drawing>
          <wp:inline distT="0" distB="0" distL="114300" distR="114300">
            <wp:extent cx="4780915" cy="2912745"/>
            <wp:effectExtent l="4445" t="4445" r="15240" b="1651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numPr>
          <w:ilvl w:val="0"/>
          <w:numId w:val="3"/>
        </w:numPr>
        <w:spacing w:line="600" w:lineRule="exact"/>
        <w:ind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因公出国（境）经费支出0.00万元，完成预算0.00%。全年安排因公出国（境）团组0次，出国（境）0人。因公出国（境）支出决算比2021年增加0.00万元，增长0.00%。</w:t>
      </w:r>
    </w:p>
    <w:p>
      <w:pPr>
        <w:spacing w:line="600" w:lineRule="exact"/>
        <w:ind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2.公务用车购置及运行维护费支出5.00万元,完成预算100.00%。公务用车购置及运行维护费支出决算比2021年减少131.04万元，降低2620.8%。主要原因是本年度其他公务用车运行费未列入此支出中及今年未购置公车。</w:t>
      </w:r>
    </w:p>
    <w:p>
      <w:pPr>
        <w:spacing w:line="600" w:lineRule="exact"/>
        <w:ind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其中：公务用车购置支出0.00万元。截至2021年12月底，单位共有公车12辆，其中：轿车3辆、越野车7辆、特种专业用车2辆，公务用车运行维护费支出5.00万元。主要用于开展审判办案工作出差、两联一进工作下乡、异地培训等所需的公务用车燃料费、维修费、过路过桥费、保险费等支出。</w:t>
      </w:r>
    </w:p>
    <w:p>
      <w:pPr>
        <w:numPr>
          <w:ilvl w:val="0"/>
          <w:numId w:val="3"/>
        </w:numPr>
        <w:spacing w:line="600" w:lineRule="exact"/>
        <w:ind w:left="0" w:leftChars="0"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公务接待费支出1.36万元，完成预算100%。公务接待费支出决算比2021年增加0.42万元，增长44.68%。主要原因是因上年度疫情原因人员流动减少部分工作未开展，导致本年度工作量加大。其中：国内公务接待支出1.36万元，主要用于执行公务、开展业务活动开支的交通费、住宿费、用餐费等。国内公务接待15批次，8人次（不包括陪同人员），共计支出1.36万元，具体内容包括：汶川法院开展审判工作，金额600元、阿坝州中级人民法院开展工作调研，金额960元、阿坝州中级人民法院开展纠纷在院时间检察工作，金额600元、绵阳中级人民法院开展援助工作，金额1440元、四川省高级人民法院开展勘验工作，金额840元、阿坝州中级人民法院开展对口帮扶工作，金额3000元、四川省高级人民法院开展司法巡察及政治督察工作，金额720元、阿坝州中级人民法院开展立案信访工作，金额530元、小金法院开展工作，金额500元、泸县人民法院来我院考察文化建设，金额800元、叙永县人民法院调研工作，金额600元、红原县人民法院开展调研工作，金额550元、遂宁市安居区人民法院援藏调研工作，金额1000元、壤塘县人民法院开展调研工作，金额500元、阿坝州中级人民法院开展案件协调工作，金额960元（接待具体项目、金额）。</w:t>
      </w:r>
    </w:p>
    <w:p>
      <w:pPr>
        <w:spacing w:line="600" w:lineRule="exact"/>
        <w:ind w:firstLine="640"/>
        <w:outlineLvl w:val="1"/>
        <w:rPr>
          <w:rStyle w:val="19"/>
          <w:rFonts w:ascii="黑体" w:eastAsia="黑体"/>
        </w:rPr>
      </w:pPr>
      <w:bookmarkStart w:id="75" w:name="_Toc10603"/>
      <w:bookmarkStart w:id="76" w:name="_Toc8525"/>
      <w:r>
        <w:rPr>
          <w:rFonts w:hint="eastAsia" w:ascii="黑体" w:eastAsia="黑体"/>
          <w:sz w:val="32"/>
          <w:szCs w:val="32"/>
        </w:rPr>
        <w:t>八、</w:t>
      </w:r>
      <w:r>
        <w:rPr>
          <w:rStyle w:val="19"/>
          <w:rFonts w:hint="eastAsia" w:ascii="黑体" w:eastAsia="黑体"/>
          <w:b w:val="0"/>
        </w:rPr>
        <w:t>政府性基金预算支出决算情况说明</w:t>
      </w:r>
      <w:bookmarkEnd w:id="75"/>
      <w:bookmarkEnd w:id="76"/>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4"/>
        </w:numPr>
        <w:spacing w:line="600" w:lineRule="exact"/>
        <w:ind w:firstLine="640"/>
        <w:outlineLvl w:val="1"/>
        <w:rPr>
          <w:rStyle w:val="19"/>
          <w:rFonts w:ascii="黑体" w:eastAsia="黑体"/>
          <w:b w:val="0"/>
        </w:rPr>
      </w:pPr>
      <w:bookmarkStart w:id="77" w:name="_Toc28789"/>
      <w:bookmarkStart w:id="78" w:name="_Toc6788"/>
      <w:bookmarkStart w:id="79" w:name="_Toc15377219"/>
      <w:bookmarkStart w:id="80" w:name="_Toc15396611"/>
      <w:r>
        <w:rPr>
          <w:rStyle w:val="19"/>
          <w:rFonts w:hint="eastAsia" w:ascii="黑体" w:eastAsia="黑体"/>
          <w:b w:val="0"/>
        </w:rPr>
        <w:t>国有资本经营预算支出决算情况说明</w:t>
      </w:r>
      <w:bookmarkEnd w:id="77"/>
      <w:bookmarkEnd w:id="78"/>
      <w:bookmarkEnd w:id="79"/>
      <w:bookmarkEnd w:id="80"/>
    </w:p>
    <w:p>
      <w:pPr>
        <w:spacing w:line="600" w:lineRule="exact"/>
        <w:ind w:firstLine="640"/>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4"/>
        </w:numPr>
        <w:spacing w:line="600" w:lineRule="exact"/>
        <w:ind w:firstLine="640"/>
        <w:outlineLvl w:val="1"/>
        <w:rPr>
          <w:rStyle w:val="19"/>
          <w:rFonts w:ascii="黑体" w:eastAsia="黑体"/>
          <w:b w:val="0"/>
        </w:rPr>
      </w:pPr>
      <w:bookmarkStart w:id="81" w:name="_Toc23041"/>
      <w:bookmarkStart w:id="82" w:name="_Toc15377221"/>
      <w:bookmarkStart w:id="83" w:name="_Toc15396612"/>
      <w:bookmarkStart w:id="84" w:name="_Toc14333"/>
      <w:r>
        <w:rPr>
          <w:rStyle w:val="19"/>
          <w:rFonts w:hint="eastAsia" w:ascii="黑体" w:eastAsia="黑体"/>
          <w:b w:val="0"/>
        </w:rPr>
        <w:t>其他重要事项的情况说明</w:t>
      </w:r>
      <w:bookmarkEnd w:id="81"/>
      <w:bookmarkEnd w:id="82"/>
      <w:bookmarkEnd w:id="83"/>
      <w:bookmarkEnd w:id="84"/>
    </w:p>
    <w:p>
      <w:pPr>
        <w:spacing w:line="600" w:lineRule="exact"/>
        <w:ind w:firstLine="643" w:firstLineChars="200"/>
        <w:outlineLvl w:val="2"/>
        <w:rPr>
          <w:rFonts w:ascii="仿宋" w:eastAsia="仿宋"/>
          <w:sz w:val="32"/>
          <w:szCs w:val="32"/>
        </w:rPr>
      </w:pPr>
      <w:bookmarkStart w:id="85" w:name="_Toc15377222"/>
      <w:bookmarkStart w:id="86" w:name="_Toc8042"/>
      <w:bookmarkStart w:id="87" w:name="_Toc399"/>
      <w:r>
        <w:rPr>
          <w:rFonts w:hint="eastAsia" w:ascii="仿宋" w:eastAsia="仿宋"/>
          <w:b/>
          <w:sz w:val="32"/>
          <w:szCs w:val="32"/>
        </w:rPr>
        <w:t>（一）机关运行经费支出情况</w:t>
      </w:r>
      <w:bookmarkEnd w:id="85"/>
      <w:bookmarkEnd w:id="86"/>
      <w:bookmarkEnd w:id="87"/>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2022年，阿坝州</w:t>
      </w:r>
      <w:r>
        <w:rPr>
          <w:rFonts w:hint="eastAsia" w:ascii="仿宋_GB2312" w:eastAsia="仿宋_GB2312"/>
          <w:sz w:val="32"/>
          <w:szCs w:val="32"/>
          <w:lang w:eastAsia="zh-CN"/>
        </w:rPr>
        <w:t>理</w:t>
      </w:r>
      <w:r>
        <w:rPr>
          <w:rFonts w:hint="eastAsia" w:ascii="仿宋_GB2312" w:eastAsia="仿宋_GB2312"/>
          <w:sz w:val="32"/>
          <w:szCs w:val="32"/>
        </w:rPr>
        <w:t>县人民法院机关运行经费支出</w:t>
      </w:r>
      <w:r>
        <w:rPr>
          <w:rFonts w:hint="eastAsia" w:ascii="仿宋_GB2312" w:eastAsia="仿宋_GB2312"/>
          <w:sz w:val="32"/>
          <w:szCs w:val="32"/>
          <w:lang w:val="en-US" w:eastAsia="zh-CN"/>
        </w:rPr>
        <w:t>228.94</w:t>
      </w:r>
      <w:r>
        <w:rPr>
          <w:rFonts w:hint="eastAsia" w:ascii="仿宋_GB2312" w:eastAsia="仿宋_GB2312"/>
          <w:sz w:val="32"/>
          <w:szCs w:val="32"/>
        </w:rPr>
        <w:t>万元，比2021年增加</w:t>
      </w:r>
      <w:r>
        <w:rPr>
          <w:rFonts w:hint="eastAsia" w:ascii="仿宋_GB2312" w:eastAsia="仿宋_GB2312"/>
          <w:sz w:val="32"/>
          <w:szCs w:val="32"/>
          <w:lang w:val="en-US" w:eastAsia="zh-CN"/>
        </w:rPr>
        <w:t>101.48</w:t>
      </w:r>
      <w:r>
        <w:rPr>
          <w:rFonts w:hint="eastAsia" w:ascii="仿宋_GB2312" w:eastAsia="仿宋_GB2312"/>
          <w:sz w:val="32"/>
          <w:szCs w:val="32"/>
        </w:rPr>
        <w:t>万元，增长</w:t>
      </w:r>
      <w:r>
        <w:rPr>
          <w:rFonts w:hint="eastAsia" w:ascii="仿宋_GB2312" w:eastAsia="仿宋_GB2312"/>
          <w:sz w:val="32"/>
          <w:szCs w:val="32"/>
          <w:lang w:val="en-US" w:eastAsia="zh-CN"/>
        </w:rPr>
        <w:t>79.61</w:t>
      </w:r>
      <w:r>
        <w:rPr>
          <w:rFonts w:hint="eastAsia" w:ascii="仿宋_GB2312" w:eastAsia="仿宋_GB2312"/>
          <w:sz w:val="32"/>
          <w:szCs w:val="32"/>
        </w:rPr>
        <w:t>%。主要原因是</w:t>
      </w:r>
      <w:r>
        <w:rPr>
          <w:rFonts w:hint="eastAsia" w:ascii="仿宋_GB2312" w:eastAsia="仿宋_GB2312"/>
          <w:sz w:val="32"/>
          <w:szCs w:val="32"/>
          <w:lang w:val="en-US" w:eastAsia="zh-CN"/>
        </w:rPr>
        <w:t>人员增加，上划州级预算单位后，标准提高；及财政保障临聘人员工资及社会保险，金额达80余万元在此经费中。</w:t>
      </w:r>
    </w:p>
    <w:p>
      <w:pPr>
        <w:spacing w:line="600" w:lineRule="exact"/>
        <w:ind w:firstLine="643" w:firstLineChars="200"/>
        <w:outlineLvl w:val="2"/>
        <w:rPr>
          <w:rFonts w:hint="default" w:ascii="仿宋" w:eastAsia="仿宋"/>
          <w:b/>
          <w:sz w:val="32"/>
          <w:szCs w:val="32"/>
          <w:lang w:val="en-US" w:eastAsia="zh-CN"/>
        </w:rPr>
      </w:pPr>
      <w:r>
        <w:rPr>
          <w:rFonts w:hint="default" w:ascii="仿宋" w:eastAsia="仿宋"/>
          <w:b/>
          <w:sz w:val="32"/>
          <w:szCs w:val="32"/>
          <w:lang w:val="en-US" w:eastAsia="zh-CN"/>
        </w:rPr>
        <w:t>（二）政府采购支出情况</w:t>
      </w:r>
    </w:p>
    <w:p>
      <w:pPr>
        <w:autoSpaceDE w:val="0"/>
        <w:autoSpaceDN w:val="0"/>
        <w:adjustRightInd w:val="0"/>
        <w:spacing w:line="600" w:lineRule="exact"/>
        <w:ind w:firstLine="640" w:firstLineChars="200"/>
        <w:jc w:val="left"/>
        <w:outlineLvl w:val="2"/>
        <w:rPr>
          <w:rFonts w:hint="eastAsia" w:ascii="仿宋_GB2312" w:eastAsia="仿宋_GB2312"/>
          <w:sz w:val="32"/>
          <w:szCs w:val="32"/>
          <w:lang w:val="en-US" w:eastAsia="zh-CN"/>
        </w:rPr>
      </w:pPr>
      <w:bookmarkStart w:id="88" w:name="_Toc15377224"/>
      <w:bookmarkStart w:id="89" w:name="_Toc22535"/>
      <w:bookmarkStart w:id="90" w:name="_Toc15810"/>
      <w:r>
        <w:rPr>
          <w:rFonts w:hint="eastAsia" w:ascii="仿宋_GB2312" w:eastAsia="仿宋_GB2312"/>
          <w:sz w:val="32"/>
          <w:szCs w:val="32"/>
          <w:lang w:val="en-US" w:eastAsia="zh-CN"/>
        </w:rPr>
        <w:t>2022年，我院政府采购支出总额115.39万元，其中：政府采购货物支出38.48万元、政府采购工程支出56.91万元、政府采购服务支出0万元，信息网络购置支出20万元。主要用于办案用装备购置及基层法庭大修。授予中小企业合同金额0万元，占政府采购支出总额的0%，其中：授予小微企业合同金额0万元，占政府采购支出总额的0%。</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（三）国有资产占有使用情况</w:t>
      </w:r>
      <w:bookmarkEnd w:id="88"/>
      <w:bookmarkEnd w:id="89"/>
      <w:bookmarkEnd w:id="90"/>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截至2022年12月31日，阿坝州</w:t>
      </w:r>
      <w:r>
        <w:rPr>
          <w:rFonts w:hint="eastAsia" w:ascii="仿宋_GB2312" w:eastAsia="仿宋_GB2312"/>
          <w:sz w:val="32"/>
          <w:szCs w:val="32"/>
          <w:lang w:eastAsia="zh-CN"/>
        </w:rPr>
        <w:t>理</w:t>
      </w:r>
      <w:r>
        <w:rPr>
          <w:rFonts w:hint="eastAsia" w:ascii="仿宋_GB2312" w:eastAsia="仿宋_GB2312"/>
          <w:sz w:val="32"/>
          <w:szCs w:val="32"/>
        </w:rPr>
        <w:t>县人民法院共有车辆</w:t>
      </w:r>
      <w:r>
        <w:rPr>
          <w:rFonts w:hint="eastAsia" w:ascii="仿宋_GB2312" w:eastAsia="仿宋_GB2312"/>
          <w:sz w:val="32"/>
          <w:szCs w:val="32"/>
          <w:lang w:val="en-US" w:eastAsia="zh-CN"/>
        </w:rPr>
        <w:t>12</w:t>
      </w:r>
      <w:r>
        <w:rPr>
          <w:rFonts w:hint="eastAsia" w:ascii="仿宋_GB2312" w:eastAsia="仿宋_GB2312"/>
          <w:sz w:val="32"/>
          <w:szCs w:val="32"/>
        </w:rPr>
        <w:t>辆，其中：主要领导干部用车0辆、机要通信用车0辆、应急保障用车0辆、其他用车</w:t>
      </w:r>
      <w:r>
        <w:rPr>
          <w:rFonts w:hint="eastAsia" w:ascii="仿宋_GB2312" w:eastAsia="仿宋_GB2312"/>
          <w:sz w:val="32"/>
          <w:szCs w:val="32"/>
          <w:lang w:val="en-US" w:eastAsia="zh-CN"/>
        </w:rPr>
        <w:t>12</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其他用车主要是用于</w:t>
      </w:r>
      <w:r>
        <w:rPr>
          <w:rFonts w:hint="eastAsia" w:ascii="仿宋_GB2312" w:eastAsia="仿宋_GB2312"/>
          <w:sz w:val="32"/>
          <w:szCs w:val="32"/>
          <w:lang w:val="en-US" w:eastAsia="zh-CN"/>
        </w:rPr>
        <w:t>执法办案。</w:t>
      </w:r>
      <w:r>
        <w:rPr>
          <w:rFonts w:hint="eastAsia" w:ascii="仿宋_GB2312" w:eastAsia="仿宋_GB2312"/>
          <w:sz w:val="32"/>
          <w:szCs w:val="32"/>
        </w:rPr>
        <w:t>单价100万元（含）以上设备（不含车辆）0台（套）</w:t>
      </w:r>
      <w:r>
        <w:rPr>
          <w:rFonts w:hint="eastAsia" w:ascii="仿宋_GB2312" w:eastAsia="仿宋_GB2312"/>
          <w:sz w:val="32"/>
          <w:szCs w:val="32"/>
          <w:lang w:eastAsia="zh-CN"/>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91" w:name="_Toc5682"/>
      <w:bookmarkStart w:id="92" w:name="_Toc4675"/>
      <w:r>
        <w:rPr>
          <w:rFonts w:hint="eastAsia" w:ascii="仿宋" w:eastAsia="仿宋"/>
          <w:b/>
          <w:sz w:val="32"/>
          <w:szCs w:val="32"/>
        </w:rPr>
        <w:t>（四）预算绩效管理情况</w:t>
      </w:r>
      <w:bookmarkEnd w:id="91"/>
      <w:bookmarkEnd w:id="92"/>
    </w:p>
    <w:p>
      <w:pPr>
        <w:widowControl/>
        <w:ind w:firstLine="640" w:firstLineChars="200"/>
        <w:jc w:val="left"/>
        <w:rPr>
          <w:rFonts w:ascii="仿宋_GB2312" w:eastAsia="仿宋_GB2312"/>
          <w:b/>
          <w:sz w:val="32"/>
          <w:szCs w:val="32"/>
        </w:rPr>
      </w:pPr>
      <w:r>
        <w:rPr>
          <w:rFonts w:hint="eastAsia" w:ascii="仿宋_GB2312" w:eastAsia="仿宋_GB2312" w:cs="仿宋_GB2312"/>
          <w:sz w:val="32"/>
          <w:szCs w:val="32"/>
        </w:rPr>
        <w:t>根据预算绩效管理要求，本部门在2022年度预算编制阶段，对</w:t>
      </w:r>
      <w:r>
        <w:rPr>
          <w:rFonts w:hint="eastAsia" w:ascii="仿宋_GB2312" w:eastAsia="仿宋_GB2312" w:cs="仿宋_GB2312"/>
          <w:sz w:val="32"/>
          <w:szCs w:val="32"/>
          <w:lang w:val="en-US" w:eastAsia="zh-CN"/>
        </w:rPr>
        <w:t>每个</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每个</w:t>
      </w:r>
      <w:r>
        <w:rPr>
          <w:rFonts w:hint="eastAsia" w:ascii="仿宋_GB2312" w:eastAsia="仿宋_GB2312" w:cs="仿宋_GB2312"/>
          <w:sz w:val="32"/>
          <w:szCs w:val="32"/>
        </w:rPr>
        <w:t>项目编制了绩效目标</w:t>
      </w:r>
      <w:r>
        <w:rPr>
          <w:rFonts w:hint="eastAsia" w:ascii="仿宋_GB2312" w:eastAsia="仿宋_GB2312" w:cs="仿宋_GB2312"/>
          <w:sz w:val="32"/>
          <w:szCs w:val="32"/>
          <w:lang w:eastAsia="zh-CN"/>
        </w:rPr>
        <w:t>。</w:t>
      </w:r>
      <w:r>
        <w:rPr>
          <w:rFonts w:hint="eastAsia" w:ascii="仿宋_GB2312" w:eastAsia="仿宋_GB2312" w:cs="仿宋_GB2312"/>
          <w:sz w:val="32"/>
          <w:szCs w:val="32"/>
        </w:rPr>
        <w:t>对2022年度一般公共预算等全面开展绩效自评，形成部门整体（含部门预算项目）绩效自评报告，自评得分为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w:t>
      </w:r>
      <w:r>
        <w:rPr>
          <w:rFonts w:hint="eastAsia" w:ascii="仿宋_GB2312" w:eastAsia="仿宋_GB2312" w:cs="仿宋_GB2312"/>
          <w:sz w:val="32"/>
          <w:szCs w:val="32"/>
          <w:lang w:eastAsia="zh-CN"/>
        </w:rPr>
        <w:t>。 按照保密相关规定，</w:t>
      </w:r>
      <w:r>
        <w:rPr>
          <w:rFonts w:hint="eastAsia" w:ascii="仿宋_GB2312" w:eastAsia="仿宋_GB2312" w:cs="仿宋_GB2312"/>
          <w:sz w:val="32"/>
          <w:szCs w:val="32"/>
          <w:lang w:val="en-US" w:eastAsia="zh-CN"/>
        </w:rPr>
        <w:t>我院项目</w:t>
      </w:r>
      <w:r>
        <w:rPr>
          <w:rFonts w:hint="eastAsia" w:ascii="仿宋_GB2312" w:eastAsia="仿宋_GB2312" w:cs="仿宋_GB2312"/>
          <w:sz w:val="32"/>
          <w:szCs w:val="32"/>
          <w:lang w:eastAsia="zh-CN"/>
        </w:rPr>
        <w:t>绩效自评不予公开。</w:t>
      </w:r>
      <w:r>
        <w:rPr>
          <w:rFonts w:ascii="仿宋_GB2312" w:eastAsia="仿宋_GB2312"/>
          <w:b/>
          <w:sz w:val="32"/>
          <w:szCs w:val="32"/>
        </w:rPr>
        <w:br w:type="page"/>
      </w:r>
    </w:p>
    <w:p>
      <w:pPr>
        <w:numPr>
          <w:ilvl w:val="0"/>
          <w:numId w:val="5"/>
        </w:numPr>
        <w:spacing w:line="600" w:lineRule="exact"/>
        <w:ind w:firstLine="660" w:firstLineChars="150"/>
        <w:jc w:val="center"/>
        <w:outlineLvl w:val="0"/>
        <w:rPr>
          <w:rStyle w:val="16"/>
          <w:rFonts w:ascii="黑体" w:eastAsia="黑体"/>
          <w:b w:val="0"/>
        </w:rPr>
      </w:pPr>
      <w:bookmarkStart w:id="93" w:name="_Toc15377225"/>
      <w:bookmarkStart w:id="94" w:name="_Toc21603"/>
      <w:bookmarkStart w:id="95" w:name="_Toc15396613"/>
      <w:bookmarkStart w:id="96" w:name="_Toc17825"/>
      <w:r>
        <w:rPr>
          <w:rFonts w:hint="eastAsia" w:ascii="黑体" w:eastAsia="黑体"/>
          <w:sz w:val="44"/>
          <w:szCs w:val="44"/>
        </w:rPr>
        <w:t>名</w:t>
      </w:r>
      <w:r>
        <w:rPr>
          <w:rStyle w:val="16"/>
          <w:rFonts w:hint="eastAsia" w:ascii="黑体" w:eastAsia="黑体"/>
          <w:b w:val="0"/>
        </w:rPr>
        <w:t>词解释</w:t>
      </w:r>
      <w:bookmarkEnd w:id="93"/>
      <w:bookmarkEnd w:id="94"/>
      <w:bookmarkEnd w:id="95"/>
      <w:bookmarkEnd w:id="96"/>
    </w:p>
    <w:p>
      <w:pPr>
        <w:spacing w:line="600" w:lineRule="exact"/>
        <w:jc w:val="left"/>
        <w:rPr>
          <w:rFonts w:ascii="宋体"/>
          <w:b/>
          <w:sz w:val="44"/>
          <w:szCs w:val="44"/>
        </w:rPr>
      </w:pP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pStyle w:val="21"/>
        <w:spacing w:line="560" w:lineRule="exact"/>
        <w:ind w:firstLine="640" w:firstLineChars="200"/>
        <w:rPr>
          <w:rFonts w:ascii="仿宋_GB2312" w:eastAsia="仿宋_GB2312"/>
          <w:sz w:val="32"/>
          <w:szCs w:val="32"/>
        </w:rPr>
      </w:pPr>
      <w:r>
        <w:rPr>
          <w:rFonts w:hint="eastAsia" w:ascii="仿宋_GB2312" w:eastAsia="仿宋_GB2312"/>
          <w:color w:val="auto"/>
          <w:sz w:val="32"/>
          <w:szCs w:val="32"/>
          <w:lang w:val="en-US" w:eastAsia="zh-CN"/>
        </w:rPr>
        <w:t>9.</w:t>
      </w:r>
      <w:r>
        <w:rPr>
          <w:rFonts w:hint="eastAsia" w:ascii="仿宋_GB2312" w:eastAsia="仿宋_GB2312"/>
          <w:sz w:val="32"/>
          <w:szCs w:val="32"/>
        </w:rPr>
        <w:t>公共安全：</w:t>
      </w:r>
      <w:r>
        <w:rPr>
          <w:rFonts w:hint="eastAsia" w:ascii="仿宋_GB2312" w:eastAsia="仿宋_GB2312"/>
          <w:sz w:val="32"/>
          <w:szCs w:val="32"/>
          <w:lang w:val="en-US" w:eastAsia="zh-CN"/>
        </w:rPr>
        <w:t>反映政府维护社会公共安全方面的支出</w:t>
      </w:r>
      <w:r>
        <w:rPr>
          <w:rFonts w:hint="eastAsia" w:ascii="仿宋_GB2312" w:eastAsia="仿宋_GB2312"/>
          <w:sz w:val="32"/>
          <w:szCs w:val="32"/>
        </w:rPr>
        <w:t>。</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社会保障和就业：</w:t>
      </w:r>
      <w:r>
        <w:rPr>
          <w:rFonts w:hint="eastAsia" w:ascii="仿宋_GB2312" w:eastAsia="仿宋_GB2312"/>
          <w:sz w:val="32"/>
          <w:szCs w:val="32"/>
          <w:lang w:val="en-US" w:eastAsia="zh-CN"/>
        </w:rPr>
        <w:t>反映政府在社会保障与就业方面的支出</w:t>
      </w:r>
      <w:r>
        <w:rPr>
          <w:rFonts w:hint="eastAsia" w:ascii="仿宋_GB2312" w:eastAsia="仿宋_GB2312"/>
          <w:sz w:val="32"/>
          <w:szCs w:val="32"/>
        </w:rPr>
        <w:t>。</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1</w:t>
      </w:r>
      <w:r>
        <w:rPr>
          <w:rFonts w:ascii="仿宋_GB2312" w:eastAsia="仿宋_GB2312"/>
          <w:sz w:val="32"/>
          <w:szCs w:val="32"/>
        </w:rPr>
        <w:t>.</w:t>
      </w:r>
      <w:r>
        <w:rPr>
          <w:rFonts w:hint="eastAsia" w:ascii="仿宋_GB2312" w:eastAsia="仿宋_GB2312"/>
          <w:sz w:val="32"/>
          <w:szCs w:val="32"/>
        </w:rPr>
        <w:t>卫生健康：</w:t>
      </w:r>
      <w:r>
        <w:rPr>
          <w:rFonts w:hint="eastAsia" w:ascii="仿宋_GB2312" w:eastAsia="仿宋_GB2312"/>
          <w:sz w:val="32"/>
          <w:szCs w:val="32"/>
          <w:lang w:val="en-US" w:eastAsia="zh-CN"/>
        </w:rPr>
        <w:t>反映政府卫生健康方面的支出</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住房保障：</w:t>
      </w:r>
      <w:r>
        <w:rPr>
          <w:rFonts w:hint="eastAsia" w:ascii="仿宋_GB2312" w:eastAsia="仿宋_GB2312"/>
          <w:sz w:val="32"/>
          <w:szCs w:val="32"/>
          <w:lang w:val="en-US" w:eastAsia="zh-CN"/>
        </w:rPr>
        <w:t>集中反映政府用于住房方面的支出</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hint="default" w:ascii="仿宋_GB2312" w:eastAsia="仿宋_GB2312"/>
          <w:sz w:val="32"/>
          <w:szCs w:val="32"/>
          <w:lang w:val="en-US" w:eastAsia="zh-CN"/>
        </w:rPr>
      </w:pPr>
    </w:p>
    <w:p>
      <w:pPr>
        <w:spacing w:line="600" w:lineRule="exact"/>
        <w:ind w:firstLine="640" w:firstLineChars="200"/>
        <w:rPr>
          <w:rFonts w:hint="default" w:ascii="仿宋_GB2312" w:eastAsia="仿宋_GB2312"/>
          <w:sz w:val="32"/>
          <w:szCs w:val="32"/>
          <w:lang w:val="en-US" w:eastAsia="zh-CN"/>
        </w:rPr>
      </w:pPr>
    </w:p>
    <w:p>
      <w:pPr>
        <w:spacing w:line="600" w:lineRule="exact"/>
        <w:ind w:firstLine="640" w:firstLineChars="200"/>
        <w:rPr>
          <w:rFonts w:hint="default" w:ascii="仿宋_GB2312" w:eastAsia="仿宋_GB2312"/>
          <w:sz w:val="32"/>
          <w:szCs w:val="32"/>
          <w:lang w:val="en-US" w:eastAsia="zh-CN"/>
        </w:rPr>
      </w:pPr>
    </w:p>
    <w:p>
      <w:pPr>
        <w:spacing w:line="600" w:lineRule="exact"/>
        <w:ind w:firstLine="640" w:firstLineChars="200"/>
        <w:rPr>
          <w:rFonts w:hint="default" w:ascii="仿宋_GB2312" w:eastAsia="仿宋_GB2312"/>
          <w:sz w:val="32"/>
          <w:szCs w:val="32"/>
          <w:lang w:val="en-US" w:eastAsia="zh-CN"/>
        </w:rPr>
      </w:pPr>
    </w:p>
    <w:p>
      <w:pPr>
        <w:spacing w:line="600" w:lineRule="exact"/>
        <w:ind w:firstLine="640" w:firstLineChars="200"/>
        <w:rPr>
          <w:rFonts w:hint="default" w:ascii="仿宋_GB2312" w:eastAsia="仿宋_GB2312"/>
          <w:sz w:val="32"/>
          <w:szCs w:val="32"/>
          <w:lang w:val="en-US" w:eastAsia="zh-CN"/>
        </w:rPr>
      </w:pPr>
    </w:p>
    <w:p>
      <w:pPr>
        <w:spacing w:line="600" w:lineRule="exact"/>
        <w:rPr>
          <w:rFonts w:hint="default" w:ascii="华文仿宋" w:hAnsi="华文仿宋" w:eastAsia="华文仿宋" w:cs="华文仿宋"/>
          <w:b w:val="0"/>
          <w:bCs w:val="0"/>
          <w:kern w:val="0"/>
          <w:sz w:val="30"/>
          <w:szCs w:val="30"/>
          <w:shd w:val="clear" w:fill="FFFFFF"/>
          <w:lang w:val="en-US" w:eastAsia="zh-CN" w:bidi="ar"/>
        </w:rPr>
      </w:pPr>
    </w:p>
    <w:p>
      <w:pPr>
        <w:spacing w:line="600" w:lineRule="exact"/>
        <w:jc w:val="center"/>
        <w:outlineLvl w:val="0"/>
        <w:rPr>
          <w:rStyle w:val="16"/>
          <w:rFonts w:ascii="黑体" w:eastAsia="黑体"/>
          <w:b w:val="0"/>
        </w:rPr>
      </w:pPr>
      <w:bookmarkStart w:id="97" w:name="_Toc32332"/>
      <w:bookmarkStart w:id="98" w:name="_Toc15396614"/>
      <w:bookmarkStart w:id="99" w:name="_Toc21426"/>
      <w:r>
        <w:rPr>
          <w:rFonts w:hint="eastAsia" w:ascii="黑体" w:eastAsia="黑体"/>
          <w:sz w:val="44"/>
          <w:szCs w:val="44"/>
        </w:rPr>
        <w:t>第</w:t>
      </w:r>
      <w:r>
        <w:rPr>
          <w:rStyle w:val="16"/>
          <w:rFonts w:hint="eastAsia" w:ascii="黑体" w:eastAsia="黑体"/>
          <w:b w:val="0"/>
        </w:rPr>
        <w:t>四部分 附件</w:t>
      </w:r>
      <w:bookmarkEnd w:id="97"/>
      <w:bookmarkEnd w:id="98"/>
      <w:bookmarkEnd w:id="99"/>
    </w:p>
    <w:p>
      <w:pPr>
        <w:spacing w:line="572" w:lineRule="exact"/>
        <w:jc w:val="left"/>
        <w:outlineLvl w:val="0"/>
        <w:rPr>
          <w:rFonts w:ascii="方正小标宋简体" w:eastAsia="方正小标宋简体" w:cs="方正小标宋简体"/>
          <w:sz w:val="44"/>
          <w:szCs w:val="44"/>
        </w:rPr>
      </w:pPr>
      <w:bookmarkStart w:id="100" w:name="_Toc25125"/>
      <w:bookmarkStart w:id="101" w:name="_Toc1494"/>
      <w:r>
        <w:rPr>
          <w:rFonts w:hint="eastAsia" w:ascii="黑体" w:eastAsia="黑体" w:cs="黑体"/>
          <w:sz w:val="32"/>
          <w:szCs w:val="32"/>
        </w:rPr>
        <w:t>附件</w:t>
      </w:r>
      <w:bookmarkEnd w:id="100"/>
      <w:bookmarkEnd w:id="101"/>
    </w:p>
    <w:p>
      <w:pPr>
        <w:widowControl/>
        <w:spacing w:line="560" w:lineRule="exact"/>
        <w:contextualSpacing/>
        <w:jc w:val="center"/>
        <w:rPr>
          <w:rFonts w:ascii="宋体"/>
          <w:b/>
          <w:sz w:val="32"/>
          <w:szCs w:val="32"/>
          <w:shd w:val="clear" w:color="auto" w:fill="FFFFFF"/>
        </w:rPr>
      </w:pPr>
      <w:r>
        <w:rPr>
          <w:rFonts w:hint="eastAsia" w:ascii="宋体"/>
          <w:b/>
          <w:sz w:val="32"/>
          <w:szCs w:val="32"/>
          <w:shd w:val="clear" w:color="auto" w:fill="FFFFFF"/>
        </w:rPr>
        <w:t>2023年</w:t>
      </w:r>
      <w:r>
        <w:rPr>
          <w:rFonts w:ascii="宋体"/>
          <w:b/>
          <w:sz w:val="32"/>
          <w:szCs w:val="32"/>
          <w:shd w:val="clear" w:color="auto" w:fill="FFFFFF"/>
        </w:rPr>
        <w:t>州</w:t>
      </w:r>
      <w:r>
        <w:rPr>
          <w:rFonts w:hint="eastAsia" w:ascii="宋体"/>
          <w:b/>
          <w:sz w:val="32"/>
          <w:szCs w:val="32"/>
          <w:shd w:val="clear" w:color="auto" w:fill="FFFFFF"/>
        </w:rPr>
        <w:t>级部门整体绩效评价报告</w:t>
      </w:r>
    </w:p>
    <w:p>
      <w:pPr>
        <w:widowControl/>
        <w:adjustRightInd w:val="0"/>
        <w:snapToGrid w:val="0"/>
        <w:spacing w:line="560" w:lineRule="exact"/>
        <w:ind w:firstLine="640" w:firstLineChars="200"/>
        <w:contextualSpacing/>
        <w:jc w:val="left"/>
        <w:rPr>
          <w:rFonts w:ascii="黑体" w:eastAsia="黑体" w:cs="宋体"/>
          <w:kern w:val="0"/>
          <w:sz w:val="32"/>
          <w:szCs w:val="32"/>
          <w:shd w:val="clear" w:color="auto" w:fill="FFFFFF"/>
        </w:rPr>
      </w:pP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（一）机构组成</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理县人民法院</w:t>
      </w:r>
      <w:r>
        <w:rPr>
          <w:rFonts w:hint="eastAsia" w:ascii="仿宋_GB2312" w:hAnsi="仿宋_GB2312" w:eastAsia="仿宋_GB2312" w:cs="仿宋_GB2312"/>
          <w:color w:val="000000"/>
          <w:kern w:val="0"/>
          <w:sz w:val="32"/>
          <w:szCs w:val="32"/>
          <w:shd w:val="clear" w:color="auto" w:fill="FFFFFF"/>
          <w:lang w:val="zh-CN"/>
        </w:rPr>
        <w:t>现有内设机构</w:t>
      </w:r>
      <w:r>
        <w:rPr>
          <w:rFonts w:hint="eastAsia" w:ascii="仿宋_GB2312" w:hAnsi="仿宋_GB2312" w:eastAsia="仿宋_GB2312" w:cs="仿宋_GB2312"/>
          <w:color w:val="000000"/>
          <w:kern w:val="0"/>
          <w:sz w:val="32"/>
          <w:szCs w:val="32"/>
          <w:shd w:val="clear" w:color="auto" w:fill="FFFFFF"/>
          <w:lang w:val="en-US" w:eastAsia="zh-CN"/>
        </w:rPr>
        <w:t>6</w:t>
      </w:r>
      <w:r>
        <w:rPr>
          <w:rFonts w:hint="eastAsia" w:ascii="仿宋_GB2312" w:hAnsi="仿宋_GB2312" w:eastAsia="仿宋_GB2312" w:cs="仿宋_GB2312"/>
          <w:color w:val="000000"/>
          <w:kern w:val="0"/>
          <w:sz w:val="32"/>
          <w:szCs w:val="32"/>
          <w:shd w:val="clear" w:color="auto" w:fill="FFFFFF"/>
          <w:lang w:val="zh-CN"/>
        </w:rPr>
        <w:t>个，涉及综合办公室、政治部（督察室）、综合审判庭（环境资源审判庭）、立案庭（诉讼服务中心）、执行局、法警大队；</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rPr>
        <w:t>个派出法庭：米亚罗法庭、薛城法庭、桃坪法庭、下孟法庭。</w:t>
      </w:r>
    </w:p>
    <w:p>
      <w:pPr>
        <w:widowControl/>
        <w:numPr>
          <w:ilvl w:val="0"/>
          <w:numId w:val="6"/>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机构职能</w:t>
      </w:r>
    </w:p>
    <w:p>
      <w:pPr>
        <w:widowControl/>
        <w:numPr>
          <w:ilvl w:val="0"/>
          <w:numId w:val="0"/>
        </w:numPr>
        <w:adjustRightInd w:val="0"/>
        <w:snapToGrid w:val="0"/>
        <w:spacing w:line="560" w:lineRule="exact"/>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 xml:space="preserve">    （1）综合办公室。主要职责：负责协助院领导组织协调处理司法政务，负责综合性办文办会、文秘、信息、宣传、保密、档案、代表委员联络、决议事项督办、社会综合治理；负责本院财务管理、诉讼费监督管理，后勤物资装备配置及管理，办公用房和法庭建设维护，信息系统建设、运行、维护和管理保障；负责案件评查、司法公开等审判管理工作，负责审判委员会、调研、案例等工作；以及其他与审判管理、司法事务、后勤保障相关的工作。</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政治部（督察室）。主要职责：负责法院干警思想政治建设、队伍建设、机构编制管理、干部人事管理、教育培训、表彰奖励、党建、文化建设、人民陪审员管理、内部监督管理，以及其他与组织人事管理相关的工作。</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立案庭（诉讼服务中心）。主要职责：负责本院诉讼服务大厅等窗口的管理工作；负责本院的各类案件登记立案及立案审查工作；负责诉前调解、立案调解、信访接待、诉非衔接、诉讼辅导、案件繁简分流、案件速裁、多元化解矛盾纠纷等工作；依法实施诉前保全、起诉时提起的证据保全措施；依法审理支付令、督促等程序性案件并作出裁决；对应由本院受理的申诉、申请再审案件进行审查，并决定是否再审立案；负责办理减、免、缓诉讼费的审批手续；负责本院各类案件的材料收转、案件查询、法律咨询、12368诉讼服务热线，以及其他与立案、信访有关的工作事宜。</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4）综合审判庭（环境资源审判庭）。主要职责：依法审理本院受理的各类民事、刑事、行政案件及国家赔偿案件；依法审查行政机关申请强制执行其具体行政行为的案件；依法审理申诉、申请再审及审判监督案件；依法审理污染环境、破坏资源、环境资源监管失职渎职等与环境资源保护相关的刑事案件；依法审理与环境资源保护相关的物权、合同和侵权案件、行政案件等；总结审判工作经验，指导人民法庭，办理其他与审判有关的工作。</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（5）执行局。主要职责：负责执行本院发生法律效力的判决、裁定以及调解协议中有关财产的规定；执行法律规定的由本院执行的其他法律文书；办理委托移送执行和协助执行事宜；司法评估、拍卖、鉴定。</w:t>
      </w:r>
    </w:p>
    <w:p>
      <w:pPr>
        <w:widowControl/>
        <w:numPr>
          <w:ilvl w:val="0"/>
          <w:numId w:val="0"/>
        </w:numPr>
        <w:adjustRightInd w:val="0"/>
        <w:snapToGrid w:val="0"/>
        <w:spacing w:line="560" w:lineRule="exact"/>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人民法庭不纳入内设机构改革范围，改革期间冻结对人民法庭的设置审批工作。司法警察大队暂维持不变，待最高人民法院另行明确后再统一规范。</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纪检监察机构，按党的纪律检查体制和国家监察体制改革要求设置。应当明确专职人员履行内部监督职责。</w:t>
      </w:r>
    </w:p>
    <w:p>
      <w:pPr>
        <w:widowControl/>
        <w:numPr>
          <w:ilvl w:val="0"/>
          <w:numId w:val="6"/>
        </w:numPr>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人员概况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本单位</w:t>
      </w:r>
      <w:r>
        <w:rPr>
          <w:rFonts w:hint="eastAsia" w:ascii="仿宋_GB2312" w:hAnsi="仿宋_GB2312" w:eastAsia="仿宋_GB2312" w:cs="仿宋_GB2312"/>
          <w:color w:val="000000"/>
          <w:kern w:val="0"/>
          <w:sz w:val="32"/>
          <w:szCs w:val="32"/>
          <w:shd w:val="clear" w:color="auto" w:fill="FFFFFF"/>
          <w:lang w:val="en-US" w:eastAsia="zh-CN"/>
        </w:rPr>
        <w:t>2022</w:t>
      </w:r>
      <w:r>
        <w:rPr>
          <w:rFonts w:hint="eastAsia" w:ascii="仿宋_GB2312" w:hAnsi="仿宋_GB2312" w:eastAsia="仿宋_GB2312" w:cs="仿宋_GB2312"/>
          <w:color w:val="000000"/>
          <w:kern w:val="0"/>
          <w:sz w:val="32"/>
          <w:szCs w:val="32"/>
          <w:shd w:val="clear" w:color="auto" w:fill="FFFFFF"/>
          <w:lang w:val="zh-CN"/>
        </w:rPr>
        <w:t>年度年末实有人数为4</w:t>
      </w:r>
      <w:r>
        <w:rPr>
          <w:rFonts w:hint="eastAsia" w:ascii="仿宋_GB2312" w:hAnsi="仿宋_GB2312" w:eastAsia="仿宋_GB2312" w:cs="仿宋_GB2312"/>
          <w:color w:val="000000"/>
          <w:kern w:val="0"/>
          <w:sz w:val="32"/>
          <w:szCs w:val="32"/>
          <w:shd w:val="clear" w:color="auto" w:fill="FFFFFF"/>
          <w:lang w:val="en-US" w:eastAsia="zh-CN"/>
        </w:rPr>
        <w:t>6</w:t>
      </w:r>
      <w:r>
        <w:rPr>
          <w:rFonts w:hint="eastAsia" w:ascii="仿宋_GB2312" w:hAnsi="仿宋_GB2312" w:eastAsia="仿宋_GB2312" w:cs="仿宋_GB2312"/>
          <w:color w:val="000000"/>
          <w:kern w:val="0"/>
          <w:sz w:val="32"/>
          <w:szCs w:val="32"/>
          <w:shd w:val="clear" w:color="auto" w:fill="FFFFFF"/>
          <w:lang w:val="zh-CN"/>
        </w:rPr>
        <w:t>人，比上年</w:t>
      </w:r>
      <w:r>
        <w:rPr>
          <w:rFonts w:hint="eastAsia" w:ascii="仿宋_GB2312" w:hAnsi="仿宋_GB2312" w:eastAsia="仿宋_GB2312" w:cs="仿宋_GB2312"/>
          <w:color w:val="000000"/>
          <w:kern w:val="0"/>
          <w:sz w:val="32"/>
          <w:szCs w:val="32"/>
          <w:shd w:val="clear" w:color="auto" w:fill="FFFFFF"/>
          <w:lang w:val="en-US" w:eastAsia="zh-CN"/>
        </w:rPr>
        <w:t>减少5</w:t>
      </w:r>
      <w:r>
        <w:rPr>
          <w:rFonts w:hint="eastAsia" w:ascii="仿宋_GB2312" w:hAnsi="仿宋_GB2312" w:eastAsia="仿宋_GB2312" w:cs="仿宋_GB2312"/>
          <w:color w:val="000000"/>
          <w:kern w:val="0"/>
          <w:sz w:val="32"/>
          <w:szCs w:val="32"/>
          <w:shd w:val="clear" w:color="auto" w:fill="FFFFFF"/>
          <w:lang w:val="zh-CN"/>
        </w:rPr>
        <w:t>人；年末实有离退休人数为1</w:t>
      </w: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lang w:val="zh-CN"/>
        </w:rPr>
        <w:t>人，比上年增加</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人。年末实有其他人数为</w:t>
      </w:r>
      <w:r>
        <w:rPr>
          <w:rFonts w:hint="eastAsia" w:ascii="仿宋_GB2312" w:hAnsi="仿宋_GB2312" w:eastAsia="仿宋_GB2312" w:cs="仿宋_GB2312"/>
          <w:color w:val="000000"/>
          <w:kern w:val="0"/>
          <w:sz w:val="32"/>
          <w:szCs w:val="32"/>
          <w:shd w:val="clear" w:color="auto" w:fill="FFFFFF"/>
          <w:lang w:val="en-US" w:eastAsia="zh-CN"/>
        </w:rPr>
        <w:t>26</w:t>
      </w:r>
      <w:r>
        <w:rPr>
          <w:rFonts w:hint="eastAsia" w:ascii="仿宋_GB2312" w:hAnsi="仿宋_GB2312" w:eastAsia="仿宋_GB2312" w:cs="仿宋_GB2312"/>
          <w:color w:val="000000"/>
          <w:kern w:val="0"/>
          <w:sz w:val="32"/>
          <w:szCs w:val="32"/>
          <w:shd w:val="clear" w:color="auto" w:fill="FFFFFF"/>
          <w:lang w:val="zh-CN"/>
        </w:rPr>
        <w:t>人，比上年增加</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人。</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二、部门财政资金收支情况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本单位本年度收入调整预算数为</w:t>
      </w:r>
      <w:r>
        <w:rPr>
          <w:rFonts w:hint="eastAsia" w:ascii="仿宋_GB2312" w:hAnsi="仿宋_GB2312" w:eastAsia="仿宋_GB2312" w:cs="仿宋_GB2312"/>
          <w:color w:val="000000"/>
          <w:kern w:val="0"/>
          <w:sz w:val="32"/>
          <w:szCs w:val="32"/>
          <w:shd w:val="clear" w:color="auto" w:fill="FFFFFF"/>
          <w:lang w:val="en-US" w:eastAsia="zh-CN"/>
        </w:rPr>
        <w:t>1792.6</w:t>
      </w:r>
      <w:r>
        <w:rPr>
          <w:rFonts w:hint="eastAsia" w:ascii="仿宋_GB2312" w:hAnsi="仿宋_GB2312" w:eastAsia="仿宋_GB2312" w:cs="仿宋_GB2312"/>
          <w:color w:val="000000"/>
          <w:kern w:val="0"/>
          <w:sz w:val="32"/>
          <w:szCs w:val="32"/>
          <w:shd w:val="clear" w:color="auto" w:fill="FFFFFF"/>
          <w:lang w:val="zh-CN"/>
        </w:rPr>
        <w:t>万元，收入决算数为</w:t>
      </w:r>
      <w:r>
        <w:rPr>
          <w:rFonts w:hint="eastAsia" w:ascii="仿宋_GB2312" w:hAnsi="仿宋_GB2312" w:eastAsia="仿宋_GB2312" w:cs="仿宋_GB2312"/>
          <w:color w:val="000000"/>
          <w:kern w:val="0"/>
          <w:sz w:val="32"/>
          <w:szCs w:val="32"/>
          <w:shd w:val="clear" w:color="auto" w:fill="FFFFFF"/>
          <w:lang w:val="en-US" w:eastAsia="zh-CN"/>
        </w:rPr>
        <w:t>1792.6</w:t>
      </w:r>
      <w:r>
        <w:rPr>
          <w:rFonts w:hint="eastAsia" w:ascii="仿宋_GB2312" w:hAnsi="仿宋_GB2312" w:eastAsia="仿宋_GB2312" w:cs="仿宋_GB2312"/>
          <w:color w:val="000000"/>
          <w:kern w:val="0"/>
          <w:sz w:val="32"/>
          <w:szCs w:val="32"/>
          <w:shd w:val="clear" w:color="auto" w:fill="FFFFFF"/>
          <w:lang w:val="zh-CN"/>
        </w:rPr>
        <w:t>万元，预算完成度为100.00%，上年度预算完成度为100.00%。</w:t>
      </w:r>
    </w:p>
    <w:p>
      <w:pPr>
        <w:widowControl/>
        <w:numPr>
          <w:ilvl w:val="0"/>
          <w:numId w:val="7"/>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本年度支出调整预算数为</w:t>
      </w:r>
      <w:r>
        <w:rPr>
          <w:rFonts w:hint="eastAsia" w:ascii="仿宋_GB2312" w:hAnsi="仿宋_GB2312" w:eastAsia="仿宋_GB2312" w:cs="仿宋_GB2312"/>
          <w:color w:val="000000"/>
          <w:kern w:val="0"/>
          <w:sz w:val="32"/>
          <w:szCs w:val="32"/>
          <w:shd w:val="clear" w:color="auto" w:fill="FFFFFF"/>
          <w:lang w:val="en-US" w:eastAsia="zh-CN"/>
        </w:rPr>
        <w:t>1792.6</w:t>
      </w:r>
      <w:r>
        <w:rPr>
          <w:rFonts w:hint="eastAsia" w:ascii="仿宋_GB2312" w:hAnsi="仿宋_GB2312" w:eastAsia="仿宋_GB2312" w:cs="仿宋_GB2312"/>
          <w:color w:val="000000"/>
          <w:kern w:val="0"/>
          <w:sz w:val="32"/>
          <w:szCs w:val="32"/>
          <w:shd w:val="clear" w:color="auto" w:fill="FFFFFF"/>
          <w:lang w:val="zh-CN"/>
        </w:rPr>
        <w:t>万元，支出决算数为</w:t>
      </w:r>
      <w:r>
        <w:rPr>
          <w:rFonts w:hint="eastAsia" w:ascii="仿宋_GB2312" w:hAnsi="仿宋_GB2312" w:eastAsia="仿宋_GB2312" w:cs="仿宋_GB2312"/>
          <w:color w:val="000000"/>
          <w:kern w:val="0"/>
          <w:sz w:val="32"/>
          <w:szCs w:val="32"/>
          <w:shd w:val="clear" w:color="auto" w:fill="FFFFFF"/>
          <w:lang w:val="en-US" w:eastAsia="zh-CN"/>
        </w:rPr>
        <w:t>1792.6</w:t>
      </w:r>
      <w:r>
        <w:rPr>
          <w:rFonts w:hint="eastAsia" w:ascii="仿宋_GB2312" w:hAnsi="仿宋_GB2312" w:eastAsia="仿宋_GB2312" w:cs="仿宋_GB2312"/>
          <w:color w:val="000000"/>
          <w:kern w:val="0"/>
          <w:sz w:val="32"/>
          <w:szCs w:val="32"/>
          <w:shd w:val="clear" w:color="auto" w:fill="FFFFFF"/>
          <w:lang w:val="zh-CN"/>
        </w:rPr>
        <w:t>万元，预算完成度为100.00%，上年度预算完成度为</w:t>
      </w:r>
      <w:r>
        <w:rPr>
          <w:rFonts w:hint="eastAsia" w:ascii="仿宋_GB2312" w:hAnsi="仿宋_GB2312" w:eastAsia="仿宋_GB2312" w:cs="仿宋_GB2312"/>
          <w:color w:val="000000"/>
          <w:kern w:val="0"/>
          <w:sz w:val="32"/>
          <w:szCs w:val="32"/>
          <w:shd w:val="clear" w:color="auto" w:fill="FFFFFF"/>
          <w:lang w:val="en-US" w:eastAsia="zh-CN"/>
        </w:rPr>
        <w:t>100.00</w:t>
      </w:r>
      <w:r>
        <w:rPr>
          <w:rFonts w:hint="eastAsia" w:ascii="仿宋_GB2312" w:hAnsi="仿宋_GB2312" w:eastAsia="仿宋_GB2312" w:cs="仿宋_GB2312"/>
          <w:color w:val="000000"/>
          <w:kern w:val="0"/>
          <w:sz w:val="32"/>
          <w:szCs w:val="32"/>
          <w:shd w:val="clear" w:color="auto" w:fill="FFFFFF"/>
          <w:lang w:val="zh-CN"/>
        </w:rPr>
        <w:t>%。</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三、部门整体预算绩效管理情况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（一）部门预算管理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是严格按照《政府会计制度》和《政府会计准则》的规定设置会计科目，建立了科学有效的会计核算方式，真实、合法、准确的反映各项收支活动，部门预算执行到位，按照预算管理进行支付并做到节能降耗，经费严格按照年初预算执行。</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是建立健全内控制度，我院进一步规范内部控制工作，成立了以党组书记、院长为组长的工作小组，从全面加强审判监督、重点加强执行监督、狠抓队伍监管、强化制度建设、梳理不相容职务分离控制、规范财务行为等方面全面完善本单位内部控制工作。</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三是在账务报销过程中贯彻执行国家颁布的有关财务制度，严格按照《会计法》规定以完整、合法的原始凭证及财务报销手续进行报账、核算，做到了手续齐备、内容真实、数据准确、账目清晰。</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四是在采购中，对于达到政府采购标准的项目及服务类经费支出，须经财政评审后方可实施，涉及经费支出的所有合同须经相关人员及分管财务的院领导签字。</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五是加强对国有资产的管理，要求单位财务人员及时登记资产账务，建立资产明细卡片，注明购入时间，使用时间和价值等，并由单位专人负责对资产的领用、入库进行管理，对于报废资产，首先进行登记，并报县财政局进行审核，根据批复进行账务核销，同时由财务人员每年对使用的资产进行核对。</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1.产出指标完成情况分析</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2022年受理各类案件389件，审（执）结389件，结收比100%。受理刑事案件34件，审结34件，判处罪犯69人，罚没215万元。受理民事案件195件，审结195件，涉案金额6743万元。受理执行案件201件，执行到位金额3574.64万元。</w:t>
      </w:r>
    </w:p>
    <w:p>
      <w:pPr>
        <w:widowControl/>
        <w:numPr>
          <w:ilvl w:val="0"/>
          <w:numId w:val="8"/>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质量指标。全年利用转移支付资金实施的项目验收合格率达到100%，案件办结率达到9</w:t>
      </w:r>
      <w:r>
        <w:rPr>
          <w:rFonts w:hint="eastAsia" w:ascii="仿宋_GB2312" w:hAnsi="仿宋_GB2312" w:eastAsia="仿宋_GB2312" w:cs="仿宋_GB2312"/>
          <w:color w:val="000000"/>
          <w:kern w:val="0"/>
          <w:sz w:val="32"/>
          <w:szCs w:val="32"/>
          <w:shd w:val="clear" w:color="auto" w:fill="FFFFFF"/>
          <w:lang w:val="en-US" w:eastAsia="zh-CN"/>
        </w:rPr>
        <w:t>8</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%，执行案件执结率9</w:t>
      </w:r>
      <w:r>
        <w:rPr>
          <w:rFonts w:hint="eastAsia" w:ascii="仿宋_GB2312" w:hAnsi="仿宋_GB2312" w:eastAsia="仿宋_GB2312" w:cs="仿宋_GB2312"/>
          <w:color w:val="000000"/>
          <w:kern w:val="0"/>
          <w:sz w:val="32"/>
          <w:szCs w:val="32"/>
          <w:shd w:val="clear" w:color="auto" w:fill="FFFFFF"/>
          <w:lang w:val="en-US" w:eastAsia="zh-CN"/>
        </w:rPr>
        <w:t>8.92</w:t>
      </w:r>
      <w:r>
        <w:rPr>
          <w:rFonts w:hint="eastAsia" w:ascii="仿宋_GB2312" w:hAnsi="仿宋_GB2312" w:eastAsia="仿宋_GB2312" w:cs="仿宋_GB2312"/>
          <w:color w:val="000000"/>
          <w:kern w:val="0"/>
          <w:sz w:val="32"/>
          <w:szCs w:val="32"/>
          <w:shd w:val="clear" w:color="auto" w:fill="FFFFFF"/>
          <w:lang w:val="zh-CN"/>
        </w:rPr>
        <w:t>%。</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（3）时效指标。</w:t>
      </w:r>
      <w:r>
        <w:rPr>
          <w:rFonts w:ascii="Times New Roman" w:hAnsi="Times New Roman" w:eastAsia="方正仿宋_GBK" w:cs="Times New Roman"/>
          <w:sz w:val="32"/>
          <w:szCs w:val="32"/>
        </w:rPr>
        <w:t>严格落实在线诉讼规则、在线调解规则和人民法院在线运行规则要求，保障当事人知情权和选择权，更好释放“数字红利”。线上立案117件、线上缴退费115件、线上送达128件、线上选择鉴定机构16件、线上调解126件、线上开庭115件，既降低了诉讼成本，减轻了当事人诉累，又提高了审判效率。</w:t>
      </w:r>
    </w:p>
    <w:p>
      <w:pPr>
        <w:spacing w:line="576" w:lineRule="exact"/>
        <w:ind w:firstLine="640" w:firstLineChars="200"/>
        <w:rPr>
          <w:rFonts w:ascii="Times New Roman" w:hAnsi="Times New Roman" w:eastAsia="方正仿宋_GBK" w:cs="Times New Roman"/>
          <w:sz w:val="32"/>
          <w:szCs w:val="32"/>
        </w:rPr>
      </w:pPr>
      <w:r>
        <w:rPr>
          <w:rFonts w:hint="eastAsia" w:ascii="仿宋_GB2312" w:hAnsi="仿宋_GB2312" w:eastAsia="仿宋_GB2312" w:cs="仿宋_GB2312"/>
          <w:color w:val="000000"/>
          <w:kern w:val="0"/>
          <w:sz w:val="32"/>
          <w:szCs w:val="32"/>
          <w:shd w:val="clear" w:color="auto" w:fill="FFFFFF"/>
          <w:lang w:val="zh-CN"/>
        </w:rPr>
        <w:t>（4）服务对象满意度指标。</w:t>
      </w:r>
      <w:r>
        <w:rPr>
          <w:rFonts w:ascii="Times New Roman" w:hAnsi="Times New Roman" w:eastAsia="方正仿宋_GBK" w:cs="Times New Roman"/>
          <w:sz w:val="32"/>
          <w:szCs w:val="32"/>
        </w:rPr>
        <w:t>为关心关爱妇女儿童，专门设置了母婴室。主动“对外协作”，推动与全国总工会、理县总工会诉调对接</w:t>
      </w:r>
      <w:r>
        <w:rPr>
          <w:rFonts w:ascii="Times New Roman" w:hAnsi="Times New Roman" w:eastAsia="仿宋_GB2312" w:cs="Times New Roman"/>
          <w:snapToGrid w:val="0"/>
          <w:sz w:val="32"/>
          <w:szCs w:val="32"/>
          <w:vertAlign w:val="superscript"/>
        </w:rPr>
        <w:t>【2】</w:t>
      </w:r>
      <w:r>
        <w:rPr>
          <w:rFonts w:ascii="Times New Roman" w:hAnsi="Times New Roman" w:eastAsia="方正仿宋_GBK" w:cs="Times New Roman"/>
          <w:sz w:val="32"/>
          <w:szCs w:val="32"/>
        </w:rPr>
        <w:t>机制，在线推广完成6件“总对总”</w:t>
      </w:r>
      <w:r>
        <w:rPr>
          <w:rFonts w:ascii="Times New Roman" w:hAnsi="Times New Roman" w:eastAsia="仿宋_GB2312" w:cs="Times New Roman"/>
          <w:snapToGrid w:val="0"/>
          <w:sz w:val="32"/>
          <w:szCs w:val="32"/>
          <w:vertAlign w:val="superscript"/>
        </w:rPr>
        <w:t>【3】</w:t>
      </w:r>
      <w:r>
        <w:rPr>
          <w:rFonts w:ascii="Times New Roman" w:hAnsi="Times New Roman" w:eastAsia="方正仿宋_GBK" w:cs="Times New Roman"/>
          <w:sz w:val="32"/>
          <w:szCs w:val="32"/>
        </w:rPr>
        <w:t>案件。调解相对于判决更考验法官的素质与能力，成功的调解既减轻了群众诉累，也达到了案结事了、构建和谐社会的目的。</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（一）评价结论</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本次我单位绩效自评分为91分。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（二）存在问题</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未将</w:t>
      </w:r>
      <w:r>
        <w:rPr>
          <w:rFonts w:hint="eastAsia" w:ascii="仿宋_GB2312" w:hAnsi="仿宋_GB2312" w:eastAsia="仿宋_GB2312" w:cs="仿宋_GB2312"/>
          <w:color w:val="000000"/>
          <w:kern w:val="0"/>
          <w:sz w:val="32"/>
          <w:szCs w:val="32"/>
          <w:shd w:val="clear" w:color="auto" w:fill="FFFFFF"/>
          <w:lang w:val="en-US" w:eastAsia="zh-CN"/>
        </w:rPr>
        <w:t>司法绩效工资</w:t>
      </w:r>
      <w:r>
        <w:rPr>
          <w:rFonts w:hint="eastAsia" w:ascii="仿宋_GB2312" w:hAnsi="仿宋_GB2312" w:eastAsia="仿宋_GB2312" w:cs="仿宋_GB2312"/>
          <w:color w:val="000000"/>
          <w:kern w:val="0"/>
          <w:sz w:val="32"/>
          <w:szCs w:val="32"/>
          <w:shd w:val="clear" w:color="auto" w:fill="FFFFFF"/>
          <w:lang w:val="zh-CN"/>
        </w:rPr>
        <w:t>纳入年初预算，以致需要申请预算追加；改进建议：1.加强组织领导，增强预算编制的准确性，提高对预算编制与执行的认识，为绩效评价工作开展创造更好的条件；2.建立长效机制，加强管理提高部门支出的绩效成果，为更好的服务审判工作发挥最大效益；</w:t>
      </w:r>
      <w:r>
        <w:rPr>
          <w:rFonts w:hint="eastAsia" w:ascii="仿宋_GB2312" w:hAnsi="仿宋_GB2312" w:eastAsia="仿宋_GB2312" w:cs="仿宋_GB2312"/>
          <w:color w:val="000000"/>
          <w:kern w:val="0"/>
          <w:sz w:val="32"/>
          <w:szCs w:val="32"/>
          <w:shd w:val="clear" w:color="auto" w:fill="FFFFFF"/>
          <w:lang w:val="en-US" w:eastAsia="zh-CN"/>
        </w:rPr>
        <w:t>3加大资金投入力度，对资金不足法院尽量多加考虑。</w:t>
      </w:r>
    </w:p>
    <w:p>
      <w:pPr>
        <w:widowControl/>
        <w:numPr>
          <w:ilvl w:val="0"/>
          <w:numId w:val="7"/>
        </w:numPr>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改进建议</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一是制定合理的年度工作计划和年度经费支出预算，及时调整不合理的支出，确保全年经费支出均衡。二是将经费使用情况及时向分管领导报告，并强化与业务部门的沟通衔接，切实提高资金使用效益。</w:t>
      </w:r>
    </w:p>
    <w:p>
      <w:pPr>
        <w:pStyle w:val="2"/>
        <w:spacing w:line="560" w:lineRule="exact"/>
        <w:ind w:left="0" w:leftChars="0" w:firstLine="640"/>
        <w:rPr>
          <w:rFonts w:hint="eastAsia" w:eastAsia="仿宋_GB2312" w:cs="仿宋_GB2312"/>
          <w:sz w:val="32"/>
        </w:rPr>
      </w:pPr>
      <w:r>
        <w:rPr>
          <w:rFonts w:hint="eastAsia" w:eastAsia="仿宋_GB2312" w:cs="仿宋_GB2312"/>
          <w:sz w:val="32"/>
          <w:lang w:val="zh-CN"/>
        </w:rPr>
        <w:t>附表：</w:t>
      </w:r>
      <w:r>
        <w:rPr>
          <w:rFonts w:hint="eastAsia" w:eastAsia="仿宋_GB2312" w:cs="仿宋_GB2312"/>
          <w:sz w:val="32"/>
        </w:rPr>
        <w:t>部门预算项目支出绩效自评表（2022年度）</w:t>
      </w:r>
    </w:p>
    <w:p>
      <w:pPr>
        <w:rPr>
          <w:rFonts w:hint="eastAsia"/>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lang w:val="en-US" w:eastAsia="zh-CN"/>
        </w:rPr>
        <w:t xml:space="preserve">                                                                              </w:t>
      </w:r>
    </w:p>
    <w:p>
      <w:pPr>
        <w:jc w:val="center"/>
        <w:rPr>
          <w:rFonts w:hint="eastAsia" w:eastAsia="仿宋_GB2312" w:cs="仿宋_GB2312"/>
          <w:sz w:val="32"/>
        </w:rPr>
      </w:pPr>
      <w:r>
        <w:rPr>
          <w:rFonts w:hint="eastAsia" w:eastAsia="仿宋_GB2312" w:cs="仿宋_GB2312"/>
          <w:sz w:val="32"/>
        </w:rPr>
        <w:t>部门预算项目支出绩效自评表（2022年度）</w:t>
      </w:r>
    </w:p>
    <w:tbl>
      <w:tblPr>
        <w:tblStyle w:val="12"/>
        <w:tblW w:w="477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6"/>
        <w:gridCol w:w="1199"/>
        <w:gridCol w:w="1379"/>
        <w:gridCol w:w="1028"/>
        <w:gridCol w:w="4607"/>
        <w:gridCol w:w="1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1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w:t>
            </w:r>
          </w:p>
        </w:tc>
        <w:tc>
          <w:tcPr>
            <w:tcW w:w="5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指标分值</w:t>
            </w:r>
          </w:p>
        </w:tc>
        <w:tc>
          <w:tcPr>
            <w:tcW w:w="22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指标解释</w:t>
            </w:r>
          </w:p>
        </w:tc>
        <w:tc>
          <w:tcPr>
            <w:tcW w:w="4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5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2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部门预算总体绩效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（30分）</w:t>
            </w:r>
          </w:p>
        </w:tc>
        <w:tc>
          <w:tcPr>
            <w:tcW w:w="5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目标管理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（15分）</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目标制定</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部门年初绩效目标编制质量。</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预算编制阶段人大反馈绩效目标质量审查情况。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部门绩效目标制定是否纳入本部门集体决策范围。</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目标实现</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部门整体绩效目标中数量指标、成本指标的完成情况。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部门整体绩效目标实现程度与预期目标的偏离情况。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过程控制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执行进度</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部门在6、9、11月的预算执行情况。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同步调整</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部门预算执行中，预算调整和绩效目标调整同步实现情况。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及时处置</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部门绩效运行监控处置情况。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完成效率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预算结余率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（低效无效率）</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部门预算项目年终预算结余情况。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项目绩效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（20分）</w:t>
            </w:r>
          </w:p>
        </w:tc>
        <w:tc>
          <w:tcPr>
            <w:tcW w:w="40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财政重点绩效评价组结合部门管理的特定目标类部门预算项目数量，选取部分特定目标类部门预算项目实施评价并打分，将形成的项目评价分数的平均分（百分制）按20%的比例换算得分。</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专项预算绩效（30分）</w:t>
            </w:r>
          </w:p>
        </w:tc>
        <w:tc>
          <w:tcPr>
            <w:tcW w:w="40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根据财政厅组织开展对专项预算项目自评报告质量会审结果换算得分。 （有两个以上专项预算项目的，以平均分换算得分）。</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绩效结果应用（14分）</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内部应用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预算挂钩</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部门内部绩效结果与预算挂钩情况。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信息公开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自评公开</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部门是否按要求将部门整体绩效自评情况和自行组织的评价情况向社会公开。</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整改反馈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问题整改</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部门根据绩效管理结果整改问题、完善政策、改进管理的情况。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应用反馈</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部门按要求及时向财政部门反馈问题整改及结果应用情况。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自评质量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（6分）</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自评质量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自评质量</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部门整体支出自评准确率。</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73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扣分项（5分）</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根据审计监督、财会监督和决算审查结果反映部门上一年度部门预算管理是否符合相关财政财务管理规定。</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73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被评价单位配合评价工作情况。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合计得分</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r>
              <w:rPr>
                <w:rFonts w:hint="eastAsia" w:ascii="宋体" w:hAnsi="宋体" w:cs="宋体"/>
                <w:i w:val="0"/>
                <w:iCs w:val="0"/>
                <w:color w:val="000000"/>
                <w:kern w:val="0"/>
                <w:sz w:val="18"/>
                <w:szCs w:val="18"/>
                <w:u w:val="none"/>
                <w:lang w:val="en-US" w:eastAsia="zh-CN" w:bidi="ar"/>
              </w:rPr>
              <w:t>1</w:t>
            </w:r>
          </w:p>
        </w:tc>
      </w:tr>
    </w:tbl>
    <w:p>
      <w:r>
        <w:rPr>
          <w:rFonts w:hint="eastAsia"/>
          <w:lang w:val="en-US" w:eastAsia="zh-CN"/>
        </w:rPr>
        <w:t xml:space="preserve"> </w:t>
      </w:r>
    </w:p>
    <w:p>
      <w:pPr>
        <w:spacing w:line="600" w:lineRule="exact"/>
        <w:jc w:val="center"/>
        <w:outlineLvl w:val="0"/>
        <w:rPr>
          <w:rFonts w:hint="eastAsia" w:ascii="黑体" w:eastAsia="黑体"/>
          <w:sz w:val="44"/>
          <w:szCs w:val="44"/>
        </w:rPr>
      </w:pPr>
      <w:bookmarkStart w:id="102" w:name="_Toc15396618"/>
      <w:bookmarkStart w:id="103" w:name="_Toc14995"/>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ascii="仿宋" w:eastAsia="仿宋"/>
        </w:rPr>
      </w:pPr>
      <w:bookmarkStart w:id="104" w:name="_Toc1556"/>
      <w:r>
        <w:rPr>
          <w:rFonts w:hint="eastAsia" w:ascii="黑体" w:eastAsia="黑体"/>
          <w:sz w:val="44"/>
          <w:szCs w:val="44"/>
        </w:rPr>
        <w:t>第</w:t>
      </w:r>
      <w:r>
        <w:rPr>
          <w:rStyle w:val="16"/>
          <w:rFonts w:hint="eastAsia" w:ascii="黑体" w:eastAsia="黑体"/>
          <w:b w:val="0"/>
        </w:rPr>
        <w:t>五部分 附表</w:t>
      </w:r>
      <w:bookmarkEnd w:id="102"/>
      <w:bookmarkEnd w:id="103"/>
      <w:bookmarkEnd w:id="104"/>
      <w:bookmarkStart w:id="105" w:name="_Toc15396619"/>
    </w:p>
    <w:p>
      <w:pPr>
        <w:pStyle w:val="5"/>
        <w:rPr>
          <w:rFonts w:ascii="仿宋" w:eastAsia="仿宋"/>
        </w:rPr>
      </w:pPr>
      <w:bookmarkStart w:id="106" w:name="_Toc27470"/>
      <w:bookmarkStart w:id="107" w:name="_Toc32331"/>
      <w:r>
        <w:rPr>
          <w:rFonts w:hint="eastAsia" w:ascii="仿宋" w:eastAsia="仿宋"/>
          <w:b w:val="0"/>
        </w:rPr>
        <w:t>一、收</w:t>
      </w:r>
      <w:r>
        <w:rPr>
          <w:rStyle w:val="19"/>
          <w:rFonts w:hint="eastAsia" w:ascii="仿宋" w:eastAsia="仿宋"/>
          <w:b w:val="0"/>
          <w:bCs w:val="0"/>
        </w:rPr>
        <w:t>入支出决算总表</w:t>
      </w:r>
      <w:bookmarkEnd w:id="105"/>
      <w:bookmarkEnd w:id="106"/>
      <w:bookmarkEnd w:id="107"/>
    </w:p>
    <w:p>
      <w:pPr>
        <w:pStyle w:val="5"/>
        <w:rPr>
          <w:rFonts w:ascii="仿宋" w:eastAsia="仿宋"/>
        </w:rPr>
      </w:pPr>
      <w:bookmarkStart w:id="108" w:name="_Toc15396620"/>
      <w:bookmarkStart w:id="109" w:name="_Toc6460"/>
      <w:bookmarkStart w:id="110" w:name="_Toc13314"/>
      <w:r>
        <w:rPr>
          <w:rFonts w:hint="eastAsia" w:ascii="仿宋" w:eastAsia="仿宋"/>
          <w:b w:val="0"/>
        </w:rPr>
        <w:t>二、收</w:t>
      </w:r>
      <w:r>
        <w:rPr>
          <w:rStyle w:val="19"/>
          <w:rFonts w:hint="eastAsia" w:ascii="仿宋" w:eastAsia="仿宋"/>
          <w:b w:val="0"/>
          <w:bCs w:val="0"/>
        </w:rPr>
        <w:t>入决算表</w:t>
      </w:r>
      <w:bookmarkEnd w:id="108"/>
      <w:bookmarkEnd w:id="109"/>
      <w:bookmarkEnd w:id="110"/>
    </w:p>
    <w:p>
      <w:pPr>
        <w:pStyle w:val="5"/>
        <w:rPr>
          <w:rFonts w:ascii="仿宋" w:eastAsia="仿宋"/>
        </w:rPr>
      </w:pPr>
      <w:bookmarkStart w:id="111" w:name="_Toc17542"/>
      <w:bookmarkStart w:id="112" w:name="_Toc15396621"/>
      <w:bookmarkStart w:id="113" w:name="_Toc23603"/>
      <w:r>
        <w:rPr>
          <w:rStyle w:val="19"/>
          <w:rFonts w:hint="eastAsia" w:ascii="仿宋" w:eastAsia="仿宋"/>
          <w:b w:val="0"/>
          <w:bCs w:val="0"/>
        </w:rPr>
        <w:t>三、</w:t>
      </w:r>
      <w:r>
        <w:rPr>
          <w:rFonts w:hint="eastAsia" w:ascii="仿宋" w:eastAsia="仿宋"/>
          <w:b w:val="0"/>
        </w:rPr>
        <w:t>支</w:t>
      </w:r>
      <w:r>
        <w:rPr>
          <w:rStyle w:val="19"/>
          <w:rFonts w:hint="eastAsia" w:ascii="仿宋" w:eastAsia="仿宋"/>
          <w:b w:val="0"/>
          <w:bCs w:val="0"/>
        </w:rPr>
        <w:t>出决算表</w:t>
      </w:r>
      <w:bookmarkEnd w:id="111"/>
      <w:bookmarkEnd w:id="112"/>
      <w:bookmarkEnd w:id="113"/>
    </w:p>
    <w:p>
      <w:pPr>
        <w:pStyle w:val="5"/>
        <w:rPr>
          <w:rFonts w:ascii="仿宋" w:eastAsia="仿宋"/>
          <w:b w:val="0"/>
        </w:rPr>
      </w:pPr>
      <w:bookmarkStart w:id="114" w:name="_Toc795"/>
      <w:bookmarkStart w:id="115" w:name="_Toc15396622"/>
      <w:bookmarkStart w:id="116" w:name="_Toc23121"/>
      <w:r>
        <w:rPr>
          <w:rStyle w:val="19"/>
          <w:rFonts w:hint="eastAsia" w:ascii="仿宋" w:eastAsia="仿宋"/>
          <w:b w:val="0"/>
          <w:bCs w:val="0"/>
        </w:rPr>
        <w:t>四、</w:t>
      </w:r>
      <w:r>
        <w:rPr>
          <w:rFonts w:hint="eastAsia" w:ascii="仿宋" w:eastAsia="仿宋"/>
          <w:b w:val="0"/>
        </w:rPr>
        <w:t>财</w:t>
      </w:r>
      <w:r>
        <w:rPr>
          <w:rStyle w:val="19"/>
          <w:rFonts w:hint="eastAsia" w:ascii="仿宋" w:eastAsia="仿宋"/>
          <w:b w:val="0"/>
          <w:bCs w:val="0"/>
        </w:rPr>
        <w:t>政拨款收入支出决算总表</w:t>
      </w:r>
      <w:bookmarkEnd w:id="114"/>
      <w:bookmarkEnd w:id="115"/>
      <w:bookmarkEnd w:id="116"/>
    </w:p>
    <w:p>
      <w:pPr>
        <w:pStyle w:val="5"/>
        <w:rPr>
          <w:rStyle w:val="19"/>
          <w:rFonts w:ascii="仿宋" w:eastAsia="仿宋"/>
          <w:b w:val="0"/>
          <w:bCs w:val="0"/>
        </w:rPr>
      </w:pPr>
      <w:bookmarkStart w:id="117" w:name="_Toc15396623"/>
      <w:bookmarkStart w:id="118" w:name="_Toc9970"/>
      <w:bookmarkStart w:id="119" w:name="_Toc17364"/>
      <w:r>
        <w:rPr>
          <w:rStyle w:val="19"/>
          <w:rFonts w:hint="eastAsia" w:ascii="仿宋" w:eastAsia="仿宋"/>
          <w:b w:val="0"/>
          <w:bCs w:val="0"/>
        </w:rPr>
        <w:t>五、</w:t>
      </w:r>
      <w:r>
        <w:rPr>
          <w:rFonts w:hint="eastAsia" w:ascii="仿宋" w:eastAsia="仿宋"/>
          <w:b w:val="0"/>
        </w:rPr>
        <w:t>财</w:t>
      </w:r>
      <w:r>
        <w:rPr>
          <w:rStyle w:val="19"/>
          <w:rFonts w:hint="eastAsia" w:ascii="仿宋" w:eastAsia="仿宋"/>
          <w:b w:val="0"/>
          <w:bCs w:val="0"/>
        </w:rPr>
        <w:t>政拨款支出决算明细表</w:t>
      </w:r>
      <w:bookmarkEnd w:id="117"/>
      <w:bookmarkEnd w:id="118"/>
      <w:bookmarkEnd w:id="119"/>
      <w:bookmarkStart w:id="120" w:name="_Toc15396624"/>
    </w:p>
    <w:p>
      <w:pPr>
        <w:pStyle w:val="5"/>
        <w:rPr>
          <w:rFonts w:ascii="仿宋" w:eastAsia="仿宋"/>
        </w:rPr>
      </w:pPr>
      <w:bookmarkStart w:id="121" w:name="_Toc31197"/>
      <w:bookmarkStart w:id="122" w:name="_Toc17383"/>
      <w:r>
        <w:rPr>
          <w:rStyle w:val="19"/>
          <w:rFonts w:hint="eastAsia" w:ascii="仿宋" w:eastAsia="仿宋"/>
          <w:b w:val="0"/>
          <w:bCs w:val="0"/>
        </w:rPr>
        <w:t>六、</w:t>
      </w:r>
      <w:r>
        <w:rPr>
          <w:rFonts w:hint="eastAsia" w:ascii="仿宋" w:eastAsia="仿宋"/>
          <w:b w:val="0"/>
        </w:rPr>
        <w:t>一</w:t>
      </w:r>
      <w:r>
        <w:rPr>
          <w:rStyle w:val="19"/>
          <w:rFonts w:hint="eastAsia" w:ascii="仿宋" w:eastAsia="仿宋"/>
          <w:b w:val="0"/>
          <w:bCs w:val="0"/>
        </w:rPr>
        <w:t>般公共预算财政拨款支出决算表</w:t>
      </w:r>
      <w:bookmarkEnd w:id="120"/>
      <w:bookmarkEnd w:id="121"/>
      <w:bookmarkEnd w:id="122"/>
    </w:p>
    <w:p>
      <w:pPr>
        <w:pStyle w:val="5"/>
        <w:rPr>
          <w:rFonts w:ascii="仿宋" w:eastAsia="仿宋"/>
        </w:rPr>
      </w:pPr>
      <w:bookmarkStart w:id="123" w:name="_Toc15396625"/>
      <w:bookmarkStart w:id="124" w:name="_Toc28221"/>
      <w:bookmarkStart w:id="125" w:name="_Toc5453"/>
      <w:r>
        <w:rPr>
          <w:rStyle w:val="19"/>
          <w:rFonts w:hint="eastAsia" w:ascii="仿宋" w:eastAsia="仿宋"/>
          <w:b w:val="0"/>
          <w:bCs w:val="0"/>
        </w:rPr>
        <w:t>七、</w:t>
      </w:r>
      <w:r>
        <w:rPr>
          <w:rFonts w:hint="eastAsia" w:ascii="仿宋" w:eastAsia="仿宋"/>
          <w:b w:val="0"/>
        </w:rPr>
        <w:t>一</w:t>
      </w:r>
      <w:r>
        <w:rPr>
          <w:rStyle w:val="19"/>
          <w:rFonts w:hint="eastAsia" w:ascii="仿宋" w:eastAsia="仿宋"/>
          <w:b w:val="0"/>
          <w:bCs w:val="0"/>
        </w:rPr>
        <w:t>般公共预算财政拨款支出决算明细表</w:t>
      </w:r>
      <w:bookmarkEnd w:id="123"/>
      <w:bookmarkEnd w:id="124"/>
      <w:bookmarkEnd w:id="125"/>
    </w:p>
    <w:p>
      <w:pPr>
        <w:pStyle w:val="5"/>
        <w:rPr>
          <w:rFonts w:ascii="仿宋" w:eastAsia="仿宋"/>
        </w:rPr>
      </w:pPr>
      <w:bookmarkStart w:id="126" w:name="_Toc4198"/>
      <w:bookmarkStart w:id="127" w:name="_Toc15396626"/>
      <w:bookmarkStart w:id="128" w:name="_Toc21997"/>
      <w:r>
        <w:rPr>
          <w:rStyle w:val="19"/>
          <w:rFonts w:hint="eastAsia" w:ascii="仿宋" w:eastAsia="仿宋"/>
          <w:b w:val="0"/>
          <w:bCs w:val="0"/>
        </w:rPr>
        <w:t>八、</w:t>
      </w:r>
      <w:r>
        <w:rPr>
          <w:rFonts w:hint="eastAsia" w:ascii="仿宋" w:eastAsia="仿宋"/>
          <w:b w:val="0"/>
        </w:rPr>
        <w:t>一</w:t>
      </w:r>
      <w:r>
        <w:rPr>
          <w:rStyle w:val="19"/>
          <w:rFonts w:hint="eastAsia" w:ascii="仿宋" w:eastAsia="仿宋"/>
          <w:b w:val="0"/>
          <w:bCs w:val="0"/>
        </w:rPr>
        <w:t>般公共预算财政拨款基本支出决算表</w:t>
      </w:r>
      <w:bookmarkEnd w:id="126"/>
      <w:bookmarkEnd w:id="127"/>
      <w:bookmarkEnd w:id="128"/>
    </w:p>
    <w:p>
      <w:pPr>
        <w:pStyle w:val="5"/>
        <w:rPr>
          <w:rFonts w:ascii="仿宋" w:eastAsia="仿宋"/>
        </w:rPr>
      </w:pPr>
      <w:bookmarkStart w:id="129" w:name="_Toc15396627"/>
      <w:bookmarkStart w:id="130" w:name="_Toc6141"/>
      <w:bookmarkStart w:id="131" w:name="_Toc14466"/>
      <w:r>
        <w:rPr>
          <w:rStyle w:val="19"/>
          <w:rFonts w:hint="eastAsia" w:ascii="仿宋" w:eastAsia="仿宋"/>
          <w:b w:val="0"/>
          <w:bCs w:val="0"/>
        </w:rPr>
        <w:t>九、</w:t>
      </w:r>
      <w:r>
        <w:rPr>
          <w:rFonts w:hint="eastAsia" w:ascii="仿宋" w:eastAsia="仿宋"/>
          <w:b w:val="0"/>
        </w:rPr>
        <w:t>一</w:t>
      </w:r>
      <w:r>
        <w:rPr>
          <w:rStyle w:val="19"/>
          <w:rFonts w:hint="eastAsia" w:ascii="仿宋" w:eastAsia="仿宋"/>
          <w:b w:val="0"/>
          <w:bCs w:val="0"/>
        </w:rPr>
        <w:t>般公共预算财政拨款项目支出决算表</w:t>
      </w:r>
      <w:bookmarkEnd w:id="129"/>
      <w:bookmarkEnd w:id="130"/>
      <w:bookmarkEnd w:id="131"/>
    </w:p>
    <w:p>
      <w:pPr>
        <w:pStyle w:val="5"/>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2" w:name="_Toc23880"/>
      <w:bookmarkStart w:id="133" w:name="_Toc6806"/>
      <w:r>
        <w:rPr>
          <w:rFonts w:hint="eastAsia" w:ascii="仿宋" w:hAnsi="Cambria" w:eastAsia="仿宋" w:cs="Times New Roman"/>
          <w:b w:val="0"/>
          <w:color w:val="000000"/>
          <w:kern w:val="2"/>
          <w:sz w:val="32"/>
          <w:szCs w:val="32"/>
          <w:lang w:bidi="ar-SA"/>
        </w:rPr>
        <w:t>十、政府性基金预算财政拨款收入支出决算表</w:t>
      </w:r>
      <w:bookmarkEnd w:id="132"/>
      <w:bookmarkEnd w:id="133"/>
    </w:p>
    <w:p>
      <w:pPr>
        <w:pStyle w:val="5"/>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4" w:name="_Toc16903"/>
      <w:bookmarkStart w:id="135" w:name="_Toc12623"/>
      <w:r>
        <w:rPr>
          <w:rFonts w:hint="eastAsia" w:ascii="仿宋" w:hAnsi="Cambria" w:eastAsia="仿宋" w:cs="Times New Roman"/>
          <w:b w:val="0"/>
          <w:color w:val="000000"/>
          <w:kern w:val="2"/>
          <w:sz w:val="32"/>
          <w:szCs w:val="32"/>
          <w:lang w:bidi="ar-SA"/>
        </w:rPr>
        <w:t>十一、国有资本经营预算财政拨款收入支出决算表</w:t>
      </w:r>
      <w:bookmarkEnd w:id="134"/>
      <w:bookmarkEnd w:id="135"/>
    </w:p>
    <w:p>
      <w:pPr>
        <w:pStyle w:val="5"/>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6" w:name="_Toc26519"/>
      <w:bookmarkStart w:id="137" w:name="_Toc26360"/>
      <w:r>
        <w:rPr>
          <w:rFonts w:hint="eastAsia" w:ascii="仿宋" w:hAnsi="Cambria" w:eastAsia="仿宋" w:cs="Times New Roman"/>
          <w:b w:val="0"/>
          <w:color w:val="000000"/>
          <w:kern w:val="2"/>
          <w:sz w:val="32"/>
          <w:szCs w:val="32"/>
          <w:lang w:bidi="ar-SA"/>
        </w:rPr>
        <w:t>十二、国有资本经营预算财政拨款支出决算表</w:t>
      </w:r>
      <w:bookmarkEnd w:id="136"/>
      <w:bookmarkEnd w:id="137"/>
    </w:p>
    <w:p>
      <w:pPr>
        <w:pStyle w:val="5"/>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8" w:name="_Toc29871"/>
      <w:bookmarkStart w:id="139" w:name="_Toc1652"/>
      <w:r>
        <w:rPr>
          <w:rFonts w:hint="eastAsia" w:ascii="仿宋" w:hAnsi="Cambria" w:eastAsia="仿宋" w:cs="Times New Roman"/>
          <w:b w:val="0"/>
          <w:color w:val="000000"/>
          <w:kern w:val="2"/>
          <w:sz w:val="32"/>
          <w:szCs w:val="32"/>
          <w:lang w:bidi="ar-SA"/>
        </w:rPr>
        <w:t>十三、财政拨款“三公”经费支出决算表</w:t>
      </w:r>
      <w:bookmarkEnd w:id="138"/>
      <w:bookmarkEnd w:id="139"/>
    </w:p>
    <w:p>
      <w:pPr>
        <w:rPr>
          <w:rFonts w:hint="default"/>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汉仪细圆B5">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华文仿宋">
    <w:altName w:val="仿宋"/>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FC3B9"/>
    <w:multiLevelType w:val="singleLevel"/>
    <w:tmpl w:val="C82FC3B9"/>
    <w:lvl w:ilvl="0" w:tentative="0">
      <w:start w:val="1"/>
      <w:numFmt w:val="chineseCounting"/>
      <w:suff w:val="nothing"/>
      <w:lvlText w:val="%1、"/>
      <w:lvlJc w:val="left"/>
      <w:rPr>
        <w:rFonts w:hint="eastAsia"/>
      </w:rPr>
    </w:lvl>
  </w:abstractNum>
  <w:abstractNum w:abstractNumId="1">
    <w:nsid w:val="CE1193C7"/>
    <w:multiLevelType w:val="singleLevel"/>
    <w:tmpl w:val="CE1193C7"/>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D3F706"/>
    <w:multiLevelType w:val="singleLevel"/>
    <w:tmpl w:val="17D3F706"/>
    <w:lvl w:ilvl="0" w:tentative="0">
      <w:start w:val="2"/>
      <w:numFmt w:val="decimal"/>
      <w:suff w:val="nothing"/>
      <w:lvlText w:val="（%1）"/>
      <w:lvlJc w:val="left"/>
    </w:lvl>
  </w:abstractNum>
  <w:abstractNum w:abstractNumId="6">
    <w:nsid w:val="32F7B662"/>
    <w:multiLevelType w:val="singleLevel"/>
    <w:tmpl w:val="32F7B662"/>
    <w:lvl w:ilvl="0" w:tentative="0">
      <w:start w:val="2"/>
      <w:numFmt w:val="chineseCounting"/>
      <w:suff w:val="nothing"/>
      <w:lvlText w:val="（%1）"/>
      <w:lvlJc w:val="left"/>
      <w:rPr>
        <w:rFonts w:hint="eastAsia"/>
      </w:rPr>
    </w:lvl>
  </w:abstractNum>
  <w:abstractNum w:abstractNumId="7">
    <w:nsid w:val="572B8214"/>
    <w:multiLevelType w:val="singleLevel"/>
    <w:tmpl w:val="572B8214"/>
    <w:lvl w:ilvl="0" w:tentative="0">
      <w:start w:val="2"/>
      <w:numFmt w:val="chineseCounting"/>
      <w:suff w:val="nothing"/>
      <w:lvlText w:val="（%1）"/>
      <w:lvlJc w:val="left"/>
      <w:rPr>
        <w:rFonts w:hint="eastAsia"/>
      </w:r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xZDQxODI1NTc3NmU5NGQ5NzQ3MmYyMjE0YjVlOWEifQ=="/>
  </w:docVars>
  <w:rsids>
    <w:rsidRoot w:val="2D460727"/>
    <w:rsid w:val="010D5A7A"/>
    <w:rsid w:val="04ED064B"/>
    <w:rsid w:val="052B4CCF"/>
    <w:rsid w:val="0898267C"/>
    <w:rsid w:val="09F64E50"/>
    <w:rsid w:val="0B040FBD"/>
    <w:rsid w:val="0D3D5183"/>
    <w:rsid w:val="0F7617DF"/>
    <w:rsid w:val="12E73676"/>
    <w:rsid w:val="18770500"/>
    <w:rsid w:val="1A044015"/>
    <w:rsid w:val="1A901E02"/>
    <w:rsid w:val="1BE43F09"/>
    <w:rsid w:val="1EA304E6"/>
    <w:rsid w:val="1F0A5D4D"/>
    <w:rsid w:val="2369138D"/>
    <w:rsid w:val="2A666F29"/>
    <w:rsid w:val="2C842D93"/>
    <w:rsid w:val="2D00218E"/>
    <w:rsid w:val="2D460727"/>
    <w:rsid w:val="327D3308"/>
    <w:rsid w:val="35CA1203"/>
    <w:rsid w:val="39A84565"/>
    <w:rsid w:val="3AE13161"/>
    <w:rsid w:val="3B9552AF"/>
    <w:rsid w:val="3DC85112"/>
    <w:rsid w:val="3E5B52FD"/>
    <w:rsid w:val="3F4B4E6B"/>
    <w:rsid w:val="42AF126D"/>
    <w:rsid w:val="44DA57EF"/>
    <w:rsid w:val="45F914F9"/>
    <w:rsid w:val="4723153F"/>
    <w:rsid w:val="4DF168C3"/>
    <w:rsid w:val="514126AF"/>
    <w:rsid w:val="52323C88"/>
    <w:rsid w:val="53130EE7"/>
    <w:rsid w:val="534171B0"/>
    <w:rsid w:val="556B6FD9"/>
    <w:rsid w:val="56727B89"/>
    <w:rsid w:val="57BB7966"/>
    <w:rsid w:val="58DF4D2A"/>
    <w:rsid w:val="593212FE"/>
    <w:rsid w:val="59E32624"/>
    <w:rsid w:val="5A864A66"/>
    <w:rsid w:val="5D854E85"/>
    <w:rsid w:val="5FC670DF"/>
    <w:rsid w:val="64BB41D3"/>
    <w:rsid w:val="66E32558"/>
    <w:rsid w:val="69A927F7"/>
    <w:rsid w:val="6B851761"/>
    <w:rsid w:val="6CB87914"/>
    <w:rsid w:val="6DEB2503"/>
    <w:rsid w:val="6EE018DC"/>
    <w:rsid w:val="6EF70BC7"/>
    <w:rsid w:val="6F181266"/>
    <w:rsid w:val="6F2C42E2"/>
    <w:rsid w:val="6FAB0DD8"/>
    <w:rsid w:val="704D67AA"/>
    <w:rsid w:val="711E6125"/>
    <w:rsid w:val="71E73175"/>
    <w:rsid w:val="742B23C3"/>
    <w:rsid w:val="78F9553C"/>
    <w:rsid w:val="796845B2"/>
    <w:rsid w:val="7CCE3046"/>
    <w:rsid w:val="7D450D50"/>
    <w:rsid w:val="7F817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9"/>
    <w:qFormat/>
    <w:uiPriority w:val="0"/>
    <w:pPr>
      <w:keepNext/>
      <w:keepLines/>
      <w:spacing w:before="260" w:after="260" w:line="415" w:lineRule="auto"/>
      <w:outlineLvl w:val="1"/>
    </w:pPr>
    <w:rPr>
      <w:rFonts w:ascii="Cambria" w:hAnsi="Cambria"/>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2"/>
    <w:basedOn w:val="1"/>
    <w:next w:val="1"/>
    <w:qFormat/>
    <w:uiPriority w:val="0"/>
    <w:pPr>
      <w:tabs>
        <w:tab w:val="right" w:leader="dot" w:pos="8296"/>
      </w:tabs>
      <w:ind w:left="200" w:leftChars="200"/>
    </w:pPr>
  </w:style>
  <w:style w:type="paragraph" w:styleId="11">
    <w:name w:val="Normal (Web)"/>
    <w:basedOn w:val="1"/>
    <w:unhideWhenUsed/>
    <w:qFormat/>
    <w:uiPriority w:val="99"/>
    <w:pPr>
      <w:spacing w:before="100" w:beforeAutospacing="1" w:after="100" w:afterAutospacing="1"/>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4"/>
    <w:qFormat/>
    <w:uiPriority w:val="0"/>
    <w:rPr>
      <w:b/>
      <w:bCs/>
      <w:kern w:val="44"/>
      <w:sz w:val="44"/>
      <w:szCs w:val="44"/>
    </w:rPr>
  </w:style>
  <w:style w:type="paragraph" w:customStyle="1" w:styleId="17">
    <w:name w:val="普通(网站) Char"/>
    <w:basedOn w:val="1"/>
    <w:hidden/>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8">
    <w:name w:val="15"/>
    <w:basedOn w:val="13"/>
    <w:qFormat/>
    <w:uiPriority w:val="0"/>
    <w:rPr>
      <w:rFonts w:hint="default" w:ascii="Times New Roman" w:hAnsi="Times New Roman" w:cs="Times New Roman"/>
      <w:b/>
      <w:bCs/>
    </w:rPr>
  </w:style>
  <w:style w:type="character" w:customStyle="1" w:styleId="19">
    <w:name w:val="标题 2 Char"/>
    <w:basedOn w:val="13"/>
    <w:link w:val="5"/>
    <w:qFormat/>
    <w:uiPriority w:val="0"/>
    <w:rPr>
      <w:rFonts w:ascii="Cambria" w:hAnsi="Cambria"/>
      <w:b/>
      <w:bCs/>
      <w:sz w:val="32"/>
      <w:szCs w:val="32"/>
    </w:rPr>
  </w:style>
  <w:style w:type="paragraph" w:styleId="20">
    <w:name w:val="List Paragraph"/>
    <w:basedOn w:val="1"/>
    <w:qFormat/>
    <w:uiPriority w:val="0"/>
    <w:pPr>
      <w:ind w:firstLine="200" w:firstLineChars="200"/>
    </w:p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2">
    <w:name w:val="font91"/>
    <w:basedOn w:val="13"/>
    <w:uiPriority w:val="0"/>
    <w:rPr>
      <w:rFonts w:hint="eastAsia" w:ascii="宋体" w:hAnsi="宋体" w:eastAsia="宋体" w:cs="宋体"/>
      <w:color w:val="000000"/>
      <w:sz w:val="24"/>
      <w:szCs w:val="24"/>
      <w:u w:val="none"/>
    </w:rPr>
  </w:style>
  <w:style w:type="character" w:customStyle="1" w:styleId="23">
    <w:name w:val="font101"/>
    <w:basedOn w:val="13"/>
    <w:uiPriority w:val="0"/>
    <w:rPr>
      <w:rFonts w:ascii="汉仪细圆B5" w:hAnsi="汉仪细圆B5" w:eastAsia="汉仪细圆B5" w:cs="汉仪细圆B5"/>
      <w:color w:val="000000"/>
      <w:sz w:val="24"/>
      <w:szCs w:val="24"/>
      <w:u w:val="none"/>
    </w:rPr>
  </w:style>
  <w:style w:type="character" w:customStyle="1" w:styleId="24">
    <w:name w:val="font71"/>
    <w:basedOn w:val="13"/>
    <w:uiPriority w:val="0"/>
    <w:rPr>
      <w:rFonts w:hint="eastAsia" w:ascii="宋体" w:hAnsi="宋体" w:eastAsia="宋体" w:cs="宋体"/>
      <w:color w:val="000000"/>
      <w:sz w:val="24"/>
      <w:szCs w:val="24"/>
      <w:u w:val="none"/>
    </w:rPr>
  </w:style>
  <w:style w:type="character" w:customStyle="1" w:styleId="25">
    <w:name w:val="font81"/>
    <w:basedOn w:val="13"/>
    <w:uiPriority w:val="0"/>
    <w:rPr>
      <w:rFonts w:ascii="汉仪细圆B5" w:hAnsi="汉仪细圆B5" w:eastAsia="汉仪细圆B5" w:cs="汉仪细圆B5"/>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收入数</c:v>
                </c:pt>
                <c:pt idx="1">
                  <c:v>支出数</c:v>
                </c:pt>
              </c:strCache>
            </c:strRef>
          </c:cat>
          <c:val>
            <c:numRef>
              <c:f>Sheet1!$B$2:$C$2</c:f>
              <c:numCache>
                <c:formatCode>General</c:formatCode>
                <c:ptCount val="2"/>
                <c:pt idx="0">
                  <c:v>1792.6</c:v>
                </c:pt>
                <c:pt idx="1">
                  <c:v>1792.6</c:v>
                </c:pt>
              </c:numCache>
            </c:numRef>
          </c:val>
        </c:ser>
        <c:ser>
          <c:idx val="1"/>
          <c:order val="1"/>
          <c:tx>
            <c:strRef>
              <c:f>Sheet1!$A$3</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收入数</c:v>
                </c:pt>
                <c:pt idx="1">
                  <c:v>支出数</c:v>
                </c:pt>
              </c:strCache>
            </c:strRef>
          </c:cat>
          <c:val>
            <c:numRef>
              <c:f>Sheet1!$B$3:$C$3</c:f>
              <c:numCache>
                <c:formatCode>General</c:formatCode>
                <c:ptCount val="2"/>
                <c:pt idx="0">
                  <c:v>1748.67</c:v>
                </c:pt>
                <c:pt idx="1">
                  <c:v>1748.67</c:v>
                </c:pt>
              </c:numCache>
            </c:numRef>
          </c:val>
        </c:ser>
        <c:dLbls>
          <c:showLegendKey val="0"/>
          <c:showVal val="0"/>
          <c:showCatName val="0"/>
          <c:showSerName val="0"/>
          <c:showPercent val="0"/>
          <c:showBubbleSize val="0"/>
        </c:dLbls>
        <c:gapWidth val="246"/>
        <c:overlap val="-28"/>
        <c:axId val="898440666"/>
        <c:axId val="939174036"/>
      </c:barChart>
      <c:catAx>
        <c:axId val="8984406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9174036"/>
        <c:crosses val="autoZero"/>
        <c:auto val="1"/>
        <c:lblAlgn val="ctr"/>
        <c:lblOffset val="100"/>
        <c:noMultiLvlLbl val="0"/>
      </c:catAx>
      <c:valAx>
        <c:axId val="939174036"/>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844066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#,##0.00</c:formatCode>
                <c:ptCount val="8"/>
                <c:pt idx="0">
                  <c:v>1319.71</c:v>
                </c:pt>
                <c:pt idx="1" c:formatCode="General">
                  <c:v>0</c:v>
                </c:pt>
                <c:pt idx="2" c:formatCode="General">
                  <c:v>0</c:v>
                </c:pt>
                <c:pt idx="3" c:formatCode="General">
                  <c:v>0</c:v>
                </c:pt>
                <c:pt idx="4" c:formatCode="General">
                  <c:v>0</c:v>
                </c:pt>
                <c:pt idx="5" c:formatCode="General">
                  <c:v>0</c:v>
                </c:pt>
                <c:pt idx="6" c:formatCode="General">
                  <c:v>0</c:v>
                </c:pt>
                <c:pt idx="7" c:formatCode="General">
                  <c:v>472.89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1375.47</c:v>
                </c:pt>
                <c:pt idx="1">
                  <c:v>417.13</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财政拨款收入</c:v>
                </c:pt>
                <c:pt idx="1">
                  <c:v>财政拨款支出</c:v>
                </c:pt>
              </c:strCache>
            </c:strRef>
          </c:cat>
          <c:val>
            <c:numRef>
              <c:f>Sheet1!$B$2:$C$2</c:f>
              <c:numCache>
                <c:formatCode>General</c:formatCode>
                <c:ptCount val="2"/>
                <c:pt idx="0">
                  <c:v>1748.67</c:v>
                </c:pt>
                <c:pt idx="1">
                  <c:v>1748.67</c:v>
                </c:pt>
              </c:numCache>
            </c:numRef>
          </c:val>
        </c:ser>
        <c:ser>
          <c:idx val="1"/>
          <c:order val="1"/>
          <c:tx>
            <c:strRef>
              <c:f>Sheet1!$A$3</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财政拨款收入</c:v>
                </c:pt>
                <c:pt idx="1">
                  <c:v>财政拨款支出</c:v>
                </c:pt>
              </c:strCache>
            </c:strRef>
          </c:cat>
          <c:val>
            <c:numRef>
              <c:f>Sheet1!$B$3:$C$3</c:f>
              <c:numCache>
                <c:formatCode>General</c:formatCode>
                <c:ptCount val="2"/>
                <c:pt idx="0">
                  <c:v>1319.71</c:v>
                </c:pt>
                <c:pt idx="1">
                  <c:v>1319.71</c:v>
                </c:pt>
              </c:numCache>
            </c:numRef>
          </c:val>
        </c:ser>
        <c:dLbls>
          <c:showLegendKey val="0"/>
          <c:showVal val="0"/>
          <c:showCatName val="0"/>
          <c:showSerName val="0"/>
          <c:showPercent val="0"/>
          <c:showBubbleSize val="0"/>
        </c:dLbls>
        <c:gapWidth val="246"/>
        <c:overlap val="-28"/>
        <c:axId val="877067900"/>
        <c:axId val="276842623"/>
      </c:barChart>
      <c:catAx>
        <c:axId val="8770679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6842623"/>
        <c:crosses val="autoZero"/>
        <c:auto val="1"/>
        <c:lblAlgn val="ctr"/>
        <c:lblOffset val="100"/>
        <c:noMultiLvlLbl val="0"/>
      </c:catAx>
      <c:valAx>
        <c:axId val="27684262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7067900"/>
        <c:crosses val="autoZero"/>
        <c:crossBetween val="between"/>
      </c:valAx>
      <c:spPr>
        <a:noFill/>
        <a:ln>
          <a:noFill/>
        </a:ln>
        <a:effectLst/>
      </c:spPr>
    </c:plotArea>
    <c:legend>
      <c:legendPos val="b"/>
      <c:layout>
        <c:manualLayout>
          <c:xMode val="edge"/>
          <c:yMode val="edge"/>
          <c:x val="0.378165139311517"/>
          <c:y val="0.90249453855039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1748.67</c:v>
                </c:pt>
                <c:pt idx="1" c:formatCode="#,##0.00">
                  <c:v>1319.71</c:v>
                </c:pt>
              </c:numCache>
            </c:numRef>
          </c:val>
        </c:ser>
        <c:dLbls>
          <c:showLegendKey val="0"/>
          <c:showVal val="0"/>
          <c:showCatName val="0"/>
          <c:showSerName val="0"/>
          <c:showPercent val="0"/>
          <c:showBubbleSize val="0"/>
        </c:dLbls>
        <c:gapWidth val="246"/>
        <c:overlap val="-28"/>
        <c:axId val="191853506"/>
        <c:axId val="459851789"/>
      </c:barChart>
      <c:catAx>
        <c:axId val="1918535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9851789"/>
        <c:crosses val="autoZero"/>
        <c:auto val="1"/>
        <c:lblAlgn val="ctr"/>
        <c:lblOffset val="100"/>
        <c:noMultiLvlLbl val="0"/>
      </c:catAx>
      <c:valAx>
        <c:axId val="459851789"/>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185350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公共安全支出</c:v>
                </c:pt>
                <c:pt idx="1">
                  <c:v>社会保障和就业支出</c:v>
                </c:pt>
                <c:pt idx="2">
                  <c:v>卫生健康支出</c:v>
                </c:pt>
                <c:pt idx="3">
                  <c:v>住房保障支出</c:v>
                </c:pt>
              </c:strCache>
            </c:strRef>
          </c:cat>
          <c:val>
            <c:numRef>
              <c:f>Sheet1!$B$1:$B$4</c:f>
              <c:numCache>
                <c:formatCode>#,##0.00</c:formatCode>
                <c:ptCount val="4"/>
                <c:pt idx="0">
                  <c:v>1054.35</c:v>
                </c:pt>
                <c:pt idx="1">
                  <c:v>123.41</c:v>
                </c:pt>
                <c:pt idx="2">
                  <c:v>52.34</c:v>
                </c:pt>
                <c:pt idx="3">
                  <c:v>89.61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6127083836676"/>
          <c:y val="0.183595410114747"/>
          <c:w val="0.460497704759604"/>
          <c:h val="0.810029749256269"/>
        </c:manualLayout>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delete val="1"/>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因公出国（境）费</c:v>
                </c:pt>
                <c:pt idx="1">
                  <c:v>公务用车购置及运行维护费</c:v>
                </c:pt>
                <c:pt idx="2">
                  <c:v>公务接待费</c:v>
                </c:pt>
              </c:strCache>
            </c:strRef>
          </c:cat>
          <c:val>
            <c:numRef>
              <c:f>Sheet1!$B$1:$B$3</c:f>
              <c:numCache>
                <c:formatCode>General</c:formatCode>
                <c:ptCount val="3"/>
                <c:pt idx="0">
                  <c:v>0</c:v>
                </c:pt>
                <c:pt idx="1">
                  <c:v>5</c:v>
                </c:pt>
                <c:pt idx="2">
                  <c:v>1.36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0" cap="flat" cmpd="sng" algn="ctr">
      <a:solidFill>
        <a:schemeClr val="tx1"/>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2023-09-17T08:10:00Z</dcterms:created>
  <dc:creator>苜</dc:creator>
  <cp:lastModifiedBy>余红英</cp:lastModifiedBy>
  <cp:lastPrinted>2023-09-19T10:35:00Z</cp:lastPrinted>
  <dcterms:modified xsi:type="dcterms:W3CDTF">2023-12-21T05:13:48Z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29606326012D4813B2476DE19CC98C9C_13</vt:lpwstr>
  </property>
</Properties>
</file>