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FCDA8">
      <w:pPr>
        <w:spacing w:line="600" w:lineRule="exact"/>
        <w:jc w:val="center"/>
        <w:outlineLvl w:val="9"/>
        <w:rPr>
          <w:rFonts w:ascii="方正小标宋简体" w:hAnsi="宋体" w:eastAsia="方正小标宋简体"/>
          <w:sz w:val="72"/>
          <w:szCs w:val="72"/>
        </w:rPr>
      </w:pPr>
      <w:bookmarkStart w:id="0" w:name="_Toc15396475"/>
      <w:bookmarkStart w:id="1" w:name="_Toc15378441"/>
      <w:bookmarkStart w:id="2" w:name="_Toc15396597"/>
      <w:bookmarkStart w:id="3" w:name="_Toc15306267"/>
      <w:bookmarkStart w:id="4" w:name="_Toc15377193"/>
      <w:bookmarkStart w:id="5" w:name="_Toc15377425"/>
    </w:p>
    <w:p w14:paraId="0561229C">
      <w:pPr>
        <w:pStyle w:val="5"/>
        <w:spacing w:before="93"/>
      </w:pPr>
    </w:p>
    <w:p w14:paraId="71A891D1">
      <w:pPr>
        <w:spacing w:line="600" w:lineRule="exact"/>
        <w:jc w:val="center"/>
        <w:outlineLvl w:val="9"/>
        <w:rPr>
          <w:rFonts w:ascii="方正小标宋简体" w:hAnsi="宋体" w:eastAsia="方正小标宋简体"/>
          <w:sz w:val="72"/>
          <w:szCs w:val="72"/>
        </w:rPr>
      </w:pPr>
    </w:p>
    <w:p w14:paraId="1C13F918">
      <w:pPr>
        <w:spacing w:line="600" w:lineRule="exact"/>
        <w:jc w:val="center"/>
        <w:outlineLvl w:val="9"/>
        <w:rPr>
          <w:rFonts w:ascii="方正小标宋简体" w:hAnsi="宋体" w:eastAsia="方正小标宋简体"/>
          <w:sz w:val="72"/>
          <w:szCs w:val="72"/>
        </w:rPr>
      </w:pPr>
    </w:p>
    <w:bookmarkEnd w:id="0"/>
    <w:bookmarkEnd w:id="1"/>
    <w:bookmarkEnd w:id="2"/>
    <w:bookmarkEnd w:id="3"/>
    <w:bookmarkEnd w:id="4"/>
    <w:bookmarkEnd w:id="5"/>
    <w:p w14:paraId="7184C6E8">
      <w:pPr>
        <w:pStyle w:val="5"/>
        <w:spacing w:before="93"/>
        <w:jc w:val="center"/>
        <w:rPr>
          <w:rFonts w:hint="eastAsia" w:ascii="Times New Roman" w:eastAsia="方正小标宋简体"/>
          <w:kern w:val="2"/>
          <w:sz w:val="44"/>
          <w:szCs w:val="44"/>
          <w:lang w:val="en-US" w:eastAsia="zh-CN"/>
        </w:rPr>
      </w:pPr>
      <w:r>
        <w:rPr>
          <w:rFonts w:hint="eastAsia" w:ascii="Times New Roman" w:eastAsia="方正小标宋简体"/>
          <w:kern w:val="2"/>
          <w:sz w:val="44"/>
          <w:szCs w:val="44"/>
        </w:rPr>
        <w:t>2024年度</w:t>
      </w:r>
      <w:bookmarkStart w:id="6" w:name="_Toc15306268"/>
      <w:r>
        <w:rPr>
          <w:rFonts w:hint="eastAsia" w:ascii="Times New Roman" w:eastAsia="方正小标宋简体"/>
          <w:kern w:val="2"/>
          <w:sz w:val="44"/>
          <w:szCs w:val="44"/>
        </w:rPr>
        <w:t>阿坝州</w:t>
      </w:r>
      <w:r>
        <w:rPr>
          <w:rFonts w:hint="eastAsia" w:ascii="Times New Roman" w:eastAsia="方正小标宋简体"/>
          <w:kern w:val="2"/>
          <w:sz w:val="44"/>
          <w:szCs w:val="44"/>
          <w:lang w:val="en-US" w:eastAsia="zh-CN"/>
        </w:rPr>
        <w:t>理县人民检察院</w:t>
      </w:r>
    </w:p>
    <w:p w14:paraId="47AEF975">
      <w:pPr>
        <w:pStyle w:val="5"/>
        <w:spacing w:before="93"/>
        <w:jc w:val="center"/>
        <w:rPr>
          <w:rFonts w:ascii="Times New Roman" w:eastAsia="方正小标宋简体"/>
          <w:kern w:val="2"/>
          <w:sz w:val="44"/>
          <w:szCs w:val="44"/>
        </w:rPr>
      </w:pPr>
      <w:r>
        <w:rPr>
          <w:rFonts w:hint="eastAsia" w:ascii="Times New Roman" w:eastAsia="方正小标宋简体"/>
          <w:kern w:val="2"/>
          <w:sz w:val="44"/>
          <w:szCs w:val="44"/>
        </w:rPr>
        <w:t>部门决算</w:t>
      </w:r>
      <w:bookmarkEnd w:id="6"/>
    </w:p>
    <w:p w14:paraId="78493439">
      <w:pPr>
        <w:adjustRightInd w:val="0"/>
        <w:snapToGrid w:val="0"/>
        <w:spacing w:line="360" w:lineRule="auto"/>
        <w:jc w:val="center"/>
        <w:outlineLvl w:val="9"/>
        <w:rPr>
          <w:rFonts w:ascii="方正小标宋简体" w:hAnsi="宋体" w:eastAsia="方正小标宋简体"/>
          <w:sz w:val="52"/>
          <w:szCs w:val="52"/>
        </w:rPr>
      </w:pPr>
    </w:p>
    <w:p w14:paraId="2BFF7AF9">
      <w:pPr>
        <w:widowControl/>
        <w:jc w:val="center"/>
        <w:rPr>
          <w:rFonts w:ascii="黑体" w:hAnsi="黑体" w:eastAsia="黑体" w:cstheme="minorBidi"/>
          <w:sz w:val="28"/>
          <w:szCs w:val="28"/>
        </w:rPr>
      </w:pPr>
      <w:r>
        <w:rPr>
          <w:rFonts w:ascii="方正小标宋简体" w:hAnsi="宋体" w:eastAsia="方正小标宋简体"/>
          <w:sz w:val="36"/>
          <w:szCs w:val="36"/>
        </w:rPr>
        <w:br w:type="page"/>
      </w:r>
      <w:r>
        <w:rPr>
          <w:rFonts w:hint="eastAsia" w:ascii="黑体" w:hAnsi="黑体" w:eastAsia="黑体"/>
          <w:sz w:val="48"/>
          <w:szCs w:val="48"/>
        </w:rPr>
        <w:t>目</w:t>
      </w:r>
      <w:r>
        <w:rPr>
          <w:rFonts w:hint="eastAsia" w:ascii="黑体" w:hAnsi="黑体" w:eastAsia="黑体"/>
          <w:sz w:val="48"/>
          <w:szCs w:val="48"/>
          <w:lang w:val="en-US" w:eastAsia="zh-CN"/>
        </w:rPr>
        <w:t xml:space="preserve">  </w:t>
      </w:r>
      <w:r>
        <w:rPr>
          <w:rFonts w:hint="eastAsia" w:ascii="黑体" w:hAnsi="黑体" w:eastAsia="黑体"/>
          <w:sz w:val="48"/>
          <w:szCs w:val="48"/>
        </w:rPr>
        <w:t>录</w:t>
      </w:r>
    </w:p>
    <w:p w14:paraId="3B7C17F4">
      <w:pPr>
        <w:pStyle w:val="12"/>
        <w:rPr>
          <w:rFonts w:hint="eastAsia" w:ascii="方正仿宋_GBK" w:hAnsi="方正仿宋_GBK" w:eastAsia="方正仿宋_GBK" w:cs="方正仿宋_GBK"/>
          <w:sz w:val="32"/>
          <w:szCs w:val="32"/>
        </w:rPr>
      </w:pPr>
      <w:r>
        <w:rPr>
          <w:rFonts w:hint="default" w:ascii="Times New Roman" w:hAnsi="Times New Roman" w:cs="Times New Roman"/>
        </w:rPr>
        <w:t>公开时间：202</w:t>
      </w:r>
      <w:r>
        <w:rPr>
          <w:rFonts w:hint="default" w:ascii="Times New Roman" w:hAnsi="Times New Roman" w:cs="Times New Roman"/>
          <w:lang w:val="en-US" w:eastAsia="zh-CN"/>
        </w:rPr>
        <w:t>4</w:t>
      </w:r>
      <w:r>
        <w:rPr>
          <w:rFonts w:hint="default" w:ascii="Times New Roman" w:hAnsi="Times New Roman" w:cs="Times New Roman"/>
        </w:rPr>
        <w:t>年</w:t>
      </w:r>
      <w:r>
        <w:rPr>
          <w:rFonts w:hint="default" w:ascii="Times New Roman" w:hAnsi="Times New Roman" w:cs="Times New Roman"/>
          <w:lang w:val="en-US" w:eastAsia="zh-CN"/>
        </w:rPr>
        <w:t>9</w:t>
      </w:r>
      <w:r>
        <w:rPr>
          <w:rFonts w:hint="default" w:ascii="Times New Roman" w:hAnsi="Times New Roman" w:cs="Times New Roman"/>
        </w:rPr>
        <w:t>月</w:t>
      </w:r>
      <w:r>
        <w:rPr>
          <w:rFonts w:hint="eastAsia" w:ascii="Times New Roman" w:hAnsi="Times New Roman" w:cs="Times New Roman"/>
          <w:lang w:val="en-US" w:eastAsia="zh-CN"/>
        </w:rPr>
        <w:t>16</w:t>
      </w:r>
      <w:r>
        <w:rPr>
          <w:rFonts w:hint="default" w:ascii="Times New Roman" w:hAnsi="Times New Roman" w:cs="Times New Roman"/>
        </w:rPr>
        <w:t>日</w:t>
      </w:r>
      <w:r>
        <w:rPr>
          <w:rFonts w:hint="eastAsia" w:ascii="方正仿宋_GBK" w:hAnsi="方正仿宋_GBK" w:eastAsia="方正仿宋_GBK" w:cs="方正仿宋_GBK"/>
          <w:b w:val="0"/>
          <w:sz w:val="32"/>
          <w:szCs w:val="32"/>
        </w:rPr>
        <w:fldChar w:fldCharType="begin"/>
      </w:r>
      <w:r>
        <w:rPr>
          <w:rFonts w:hint="eastAsia" w:ascii="方正仿宋_GBK" w:hAnsi="方正仿宋_GBK" w:eastAsia="方正仿宋_GBK" w:cs="方正仿宋_GBK"/>
          <w:b w:val="0"/>
          <w:sz w:val="32"/>
          <w:szCs w:val="32"/>
        </w:rPr>
        <w:instrText xml:space="preserve">TOC \o "1-3" \h \u </w:instrText>
      </w:r>
      <w:r>
        <w:rPr>
          <w:rFonts w:hint="eastAsia" w:ascii="方正仿宋_GBK" w:hAnsi="方正仿宋_GBK" w:eastAsia="方正仿宋_GBK" w:cs="方正仿宋_GBK"/>
          <w:b w:val="0"/>
          <w:sz w:val="32"/>
          <w:szCs w:val="32"/>
        </w:rPr>
        <w:fldChar w:fldCharType="separate"/>
      </w:r>
    </w:p>
    <w:p w14:paraId="7FFAD771">
      <w:pPr>
        <w:pStyle w:val="36"/>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_Toc3495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 xml:space="preserve">第一部分 </w:t>
      </w:r>
      <w:r>
        <w:rPr>
          <w:rFonts w:hint="default" w:ascii="Times New Roman" w:hAnsi="Times New Roman" w:eastAsia="方正仿宋_GBK" w:cs="Times New Roman"/>
          <w:bCs w:val="0"/>
          <w:sz w:val="32"/>
          <w:szCs w:val="32"/>
        </w:rPr>
        <w:t>部门概况</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_Toc3495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7214D084">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_Toc24897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一、部门职责</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_Toc24897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54EB0892">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_Toc11848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二、机构设置</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_Toc11848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7B8433E9">
      <w:pPr>
        <w:pStyle w:val="36"/>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_Toc16221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第二部分 20</w:t>
      </w:r>
      <w:r>
        <w:rPr>
          <w:rFonts w:hint="eastAsia"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年度</w:t>
      </w:r>
      <w:r>
        <w:rPr>
          <w:rFonts w:hint="default" w:ascii="Times New Roman" w:hAnsi="Times New Roman" w:eastAsia="方正仿宋_GBK" w:cs="Times New Roman"/>
          <w:bCs/>
          <w:sz w:val="32"/>
          <w:szCs w:val="32"/>
        </w:rPr>
        <w:t>部门决算情况说明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_Toc16221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5AB90C63">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_Toc21020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一、 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_Toc21020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5CD5F980">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_Toc13014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二、 收入决算情况说明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_Toc13014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7EA75534">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_Toc17655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三、 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_Toc17655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1EF12911">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_Toc13338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四、财政拨款收入支出决算总体情况说明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_Toc13338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21557A2D">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_Toc28364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五、一般公共预算财政拨款支出决算情况说明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_Toc28364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503228BF">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_Toc4634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六、一般公共预算财政拨款基本支出决算情况说明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_Toc4634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4B748712">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_Toc1863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七、财政拨款“三公”经费支出决算情况说明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_Toc1863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3EDA2D7C">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_Toc16382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八、政府性基金预算支出决算情况说明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_Toc16382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073E16AF">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_Toc8452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九、 国有资本经营预算支出决算情况说明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_Toc8452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55D122F1">
      <w:pPr>
        <w:pStyle w:val="37"/>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_Toc10275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十、 其他重要事项的情况说明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_Toc10275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7455FC7D">
      <w:pPr>
        <w:pStyle w:val="36"/>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_Toc30998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第三部分 名词解释</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_Toc30998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12</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2F0571EC">
      <w:pPr>
        <w:pStyle w:val="36"/>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_Toc22083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第四部分 附件</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_Toc22083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57C85EB4">
      <w:pPr>
        <w:pStyle w:val="36"/>
        <w:tabs>
          <w:tab w:val="right" w:leader="dot" w:pos="830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_Toc30602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第五部分 附表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_Toc30602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7E9D5EBB">
      <w:pPr>
        <w:pStyle w:val="14"/>
        <w:spacing w:line="576" w:lineRule="exact"/>
        <w:jc w:val="both"/>
        <w:rPr>
          <w:rFonts w:hint="default" w:ascii="Times New Roman" w:hAnsi="Times New Roman" w:eastAsia="方正仿宋_GBK" w:cs="Times New Roman"/>
          <w:b w:val="0"/>
          <w:bCs w:val="0"/>
          <w:smallCaps w:val="0"/>
          <w:sz w:val="32"/>
          <w:szCs w:val="32"/>
        </w:rPr>
      </w:pPr>
      <w:r>
        <w:rPr>
          <w:rFonts w:hint="default" w:ascii="Times New Roman" w:hAnsi="Times New Roman" w:eastAsia="方正仿宋_GBK" w:cs="Times New Roman"/>
          <w:b w:val="0"/>
          <w:bCs w:val="0"/>
          <w:smallCaps w:val="0"/>
          <w:sz w:val="32"/>
          <w:szCs w:val="32"/>
        </w:rPr>
        <w:t>一、收入支出决算总表</w:t>
      </w:r>
    </w:p>
    <w:p w14:paraId="78CE0E65">
      <w:pPr>
        <w:pStyle w:val="14"/>
        <w:spacing w:line="576" w:lineRule="exact"/>
        <w:jc w:val="both"/>
        <w:rPr>
          <w:rFonts w:hint="default" w:ascii="Times New Roman" w:hAnsi="Times New Roman" w:eastAsia="方正仿宋_GBK" w:cs="Times New Roman"/>
          <w:b w:val="0"/>
          <w:bCs w:val="0"/>
          <w:smallCaps w:val="0"/>
          <w:sz w:val="32"/>
          <w:szCs w:val="32"/>
        </w:rPr>
      </w:pPr>
      <w:r>
        <w:rPr>
          <w:rFonts w:hint="default" w:ascii="Times New Roman" w:hAnsi="Times New Roman" w:eastAsia="方正仿宋_GBK" w:cs="Times New Roman"/>
          <w:b w:val="0"/>
          <w:bCs w:val="0"/>
          <w:smallCaps w:val="0"/>
          <w:sz w:val="32"/>
          <w:szCs w:val="32"/>
        </w:rPr>
        <w:t>二、收入决算表</w:t>
      </w:r>
    </w:p>
    <w:p w14:paraId="5DCF9784">
      <w:pPr>
        <w:pStyle w:val="14"/>
        <w:spacing w:line="576" w:lineRule="exact"/>
        <w:jc w:val="both"/>
        <w:rPr>
          <w:rFonts w:hint="default" w:ascii="Times New Roman" w:hAnsi="Times New Roman" w:eastAsia="方正仿宋_GBK" w:cs="Times New Roman"/>
          <w:b w:val="0"/>
          <w:bCs w:val="0"/>
          <w:smallCaps w:val="0"/>
          <w:sz w:val="32"/>
          <w:szCs w:val="32"/>
        </w:rPr>
      </w:pPr>
      <w:r>
        <w:rPr>
          <w:rFonts w:hint="default" w:ascii="Times New Roman" w:hAnsi="Times New Roman" w:eastAsia="方正仿宋_GBK" w:cs="Times New Roman"/>
          <w:b w:val="0"/>
          <w:bCs w:val="0"/>
          <w:smallCaps w:val="0"/>
          <w:sz w:val="32"/>
          <w:szCs w:val="32"/>
        </w:rPr>
        <w:t>三、支出决算表</w:t>
      </w:r>
    </w:p>
    <w:p w14:paraId="61DE6E0B">
      <w:pPr>
        <w:pStyle w:val="14"/>
        <w:spacing w:line="576" w:lineRule="exact"/>
        <w:jc w:val="both"/>
        <w:rPr>
          <w:rFonts w:hint="default" w:ascii="Times New Roman" w:hAnsi="Times New Roman" w:eastAsia="方正仿宋_GBK" w:cs="Times New Roman"/>
          <w:b w:val="0"/>
          <w:bCs w:val="0"/>
          <w:smallCaps w:val="0"/>
          <w:sz w:val="32"/>
          <w:szCs w:val="32"/>
        </w:rPr>
      </w:pPr>
      <w:r>
        <w:rPr>
          <w:rFonts w:hint="default" w:ascii="Times New Roman" w:hAnsi="Times New Roman" w:eastAsia="方正仿宋_GBK" w:cs="Times New Roman"/>
          <w:b w:val="0"/>
          <w:bCs w:val="0"/>
          <w:smallCaps w:val="0"/>
          <w:sz w:val="32"/>
          <w:szCs w:val="32"/>
        </w:rPr>
        <w:t>四、财政拨款收入支出决算总表</w:t>
      </w:r>
    </w:p>
    <w:p w14:paraId="03E924FA">
      <w:pPr>
        <w:pStyle w:val="14"/>
        <w:spacing w:line="576" w:lineRule="exact"/>
        <w:jc w:val="both"/>
        <w:rPr>
          <w:rFonts w:hint="default" w:ascii="Times New Roman" w:hAnsi="Times New Roman" w:eastAsia="方正仿宋_GBK" w:cs="Times New Roman"/>
          <w:b w:val="0"/>
          <w:bCs w:val="0"/>
          <w:smallCaps w:val="0"/>
          <w:sz w:val="32"/>
          <w:szCs w:val="32"/>
        </w:rPr>
      </w:pPr>
      <w:r>
        <w:rPr>
          <w:rFonts w:hint="default" w:ascii="Times New Roman" w:hAnsi="Times New Roman" w:eastAsia="方正仿宋_GBK" w:cs="Times New Roman"/>
          <w:b w:val="0"/>
          <w:bCs w:val="0"/>
          <w:smallCaps w:val="0"/>
          <w:sz w:val="32"/>
          <w:szCs w:val="32"/>
        </w:rPr>
        <w:t>五、财政拨款支出决算明细表</w:t>
      </w:r>
    </w:p>
    <w:p w14:paraId="283F2D78">
      <w:pPr>
        <w:pStyle w:val="14"/>
        <w:spacing w:line="576" w:lineRule="exact"/>
        <w:jc w:val="both"/>
        <w:rPr>
          <w:rFonts w:hint="default" w:ascii="Times New Roman" w:hAnsi="Times New Roman" w:eastAsia="方正仿宋_GBK" w:cs="Times New Roman"/>
          <w:b w:val="0"/>
          <w:bCs w:val="0"/>
          <w:smallCaps w:val="0"/>
          <w:sz w:val="32"/>
          <w:szCs w:val="32"/>
        </w:rPr>
      </w:pPr>
      <w:r>
        <w:rPr>
          <w:rFonts w:hint="default" w:ascii="Times New Roman" w:hAnsi="Times New Roman" w:eastAsia="方正仿宋_GBK" w:cs="Times New Roman"/>
          <w:b w:val="0"/>
          <w:bCs w:val="0"/>
          <w:smallCaps w:val="0"/>
          <w:sz w:val="32"/>
          <w:szCs w:val="32"/>
        </w:rPr>
        <w:t>六、一般公共预算财政拨款支出决算表</w:t>
      </w:r>
    </w:p>
    <w:p w14:paraId="7F707624">
      <w:pPr>
        <w:pStyle w:val="14"/>
        <w:spacing w:line="576" w:lineRule="exact"/>
        <w:jc w:val="both"/>
        <w:rPr>
          <w:rFonts w:hint="default" w:ascii="Times New Roman" w:hAnsi="Times New Roman" w:eastAsia="方正仿宋_GBK" w:cs="Times New Roman"/>
          <w:b w:val="0"/>
          <w:bCs w:val="0"/>
          <w:smallCaps w:val="0"/>
          <w:sz w:val="32"/>
          <w:szCs w:val="32"/>
        </w:rPr>
      </w:pPr>
      <w:r>
        <w:rPr>
          <w:rFonts w:hint="default" w:ascii="Times New Roman" w:hAnsi="Times New Roman" w:eastAsia="方正仿宋_GBK" w:cs="Times New Roman"/>
          <w:b w:val="0"/>
          <w:bCs w:val="0"/>
          <w:smallCaps w:val="0"/>
          <w:sz w:val="32"/>
          <w:szCs w:val="32"/>
        </w:rPr>
        <w:t>七、一般公共预算财政拨款支出决算明细表</w:t>
      </w:r>
    </w:p>
    <w:p w14:paraId="630CB92E">
      <w:pPr>
        <w:pStyle w:val="14"/>
        <w:spacing w:line="576" w:lineRule="exact"/>
        <w:jc w:val="both"/>
        <w:rPr>
          <w:rFonts w:hint="default" w:ascii="Times New Roman" w:hAnsi="Times New Roman" w:eastAsia="方正仿宋_GBK" w:cs="Times New Roman"/>
          <w:b w:val="0"/>
          <w:bCs w:val="0"/>
          <w:smallCaps w:val="0"/>
          <w:sz w:val="32"/>
          <w:szCs w:val="32"/>
        </w:rPr>
      </w:pPr>
      <w:r>
        <w:rPr>
          <w:rFonts w:hint="default" w:ascii="Times New Roman" w:hAnsi="Times New Roman" w:eastAsia="方正仿宋_GBK" w:cs="Times New Roman"/>
          <w:b w:val="0"/>
          <w:bCs w:val="0"/>
          <w:smallCaps w:val="0"/>
          <w:sz w:val="32"/>
          <w:szCs w:val="32"/>
        </w:rPr>
        <w:t>八、一般公共预算财政拨款基本支出决算表</w:t>
      </w:r>
    </w:p>
    <w:p w14:paraId="5492E157">
      <w:pPr>
        <w:pStyle w:val="14"/>
        <w:spacing w:line="576" w:lineRule="exact"/>
        <w:jc w:val="both"/>
        <w:rPr>
          <w:rFonts w:hint="default" w:ascii="Times New Roman" w:hAnsi="Times New Roman" w:eastAsia="方正仿宋_GBK" w:cs="Times New Roman"/>
          <w:b w:val="0"/>
          <w:bCs w:val="0"/>
          <w:smallCaps w:val="0"/>
          <w:sz w:val="32"/>
          <w:szCs w:val="32"/>
        </w:rPr>
      </w:pPr>
      <w:r>
        <w:rPr>
          <w:rFonts w:hint="default" w:ascii="Times New Roman" w:hAnsi="Times New Roman" w:eastAsia="方正仿宋_GBK" w:cs="Times New Roman"/>
          <w:b w:val="0"/>
          <w:bCs w:val="0"/>
          <w:smallCaps w:val="0"/>
          <w:sz w:val="32"/>
          <w:szCs w:val="32"/>
        </w:rPr>
        <w:t>九、一般公共预算财政拨款项目支出决算表</w:t>
      </w:r>
    </w:p>
    <w:p w14:paraId="7B5B314A">
      <w:pPr>
        <w:pStyle w:val="14"/>
        <w:spacing w:line="576" w:lineRule="exact"/>
        <w:jc w:val="both"/>
        <w:rPr>
          <w:rFonts w:hint="default" w:ascii="Times New Roman" w:hAnsi="Times New Roman" w:eastAsia="方正仿宋_GBK" w:cs="Times New Roman"/>
          <w:b w:val="0"/>
          <w:bCs w:val="0"/>
          <w:smallCaps w:val="0"/>
          <w:sz w:val="32"/>
          <w:szCs w:val="32"/>
        </w:rPr>
      </w:pPr>
      <w:r>
        <w:rPr>
          <w:rFonts w:hint="eastAsia" w:ascii="Times New Roman" w:hAnsi="Times New Roman" w:eastAsia="方正仿宋_GBK" w:cs="Times New Roman"/>
          <w:b w:val="0"/>
          <w:bCs w:val="0"/>
          <w:smallCaps w:val="0"/>
          <w:sz w:val="32"/>
          <w:szCs w:val="32"/>
        </w:rPr>
        <w:t>十、政府性基金预算财政拨款收入支出决算表</w:t>
      </w:r>
    </w:p>
    <w:p w14:paraId="4468E681">
      <w:pPr>
        <w:pStyle w:val="14"/>
        <w:spacing w:line="576" w:lineRule="exact"/>
        <w:jc w:val="both"/>
        <w:rPr>
          <w:rFonts w:hint="default" w:ascii="Times New Roman" w:hAnsi="Times New Roman" w:eastAsia="方正仿宋_GBK" w:cs="Times New Roman"/>
          <w:b w:val="0"/>
          <w:bCs w:val="0"/>
          <w:smallCaps w:val="0"/>
          <w:sz w:val="32"/>
          <w:szCs w:val="32"/>
        </w:rPr>
      </w:pPr>
      <w:r>
        <w:rPr>
          <w:rFonts w:hint="eastAsia" w:ascii="Times New Roman" w:hAnsi="Times New Roman" w:eastAsia="方正仿宋_GBK" w:cs="Times New Roman"/>
          <w:b w:val="0"/>
          <w:bCs w:val="0"/>
          <w:smallCaps w:val="0"/>
          <w:sz w:val="32"/>
          <w:szCs w:val="32"/>
        </w:rPr>
        <w:t>十一、国有资本经营预算财政拨款收入支出决算表</w:t>
      </w:r>
    </w:p>
    <w:p w14:paraId="51DA040F">
      <w:pPr>
        <w:pStyle w:val="14"/>
        <w:spacing w:line="576" w:lineRule="exact"/>
        <w:jc w:val="both"/>
        <w:rPr>
          <w:rFonts w:hint="default" w:ascii="Times New Roman" w:hAnsi="Times New Roman" w:eastAsia="方正仿宋_GBK" w:cs="Times New Roman"/>
          <w:b w:val="0"/>
          <w:bCs w:val="0"/>
          <w:smallCaps w:val="0"/>
          <w:sz w:val="32"/>
          <w:szCs w:val="32"/>
        </w:rPr>
      </w:pPr>
      <w:r>
        <w:rPr>
          <w:rFonts w:hint="eastAsia" w:ascii="Times New Roman" w:hAnsi="Times New Roman" w:eastAsia="方正仿宋_GBK" w:cs="Times New Roman"/>
          <w:b w:val="0"/>
          <w:bCs w:val="0"/>
          <w:smallCaps w:val="0"/>
          <w:sz w:val="32"/>
          <w:szCs w:val="32"/>
        </w:rPr>
        <w:t>十二、国有资本经营预算财政拨款支出决算表</w:t>
      </w:r>
    </w:p>
    <w:p w14:paraId="1AD5A15B">
      <w:pPr>
        <w:pStyle w:val="14"/>
        <w:spacing w:line="576" w:lineRule="exact"/>
        <w:jc w:val="both"/>
        <w:rPr>
          <w:rFonts w:hint="default" w:ascii="Times New Roman" w:hAnsi="Times New Roman" w:eastAsia="方正仿宋_GBK" w:cs="Times New Roman"/>
          <w:b w:val="0"/>
          <w:bCs w:val="0"/>
          <w:smallCaps w:val="0"/>
          <w:sz w:val="32"/>
          <w:szCs w:val="32"/>
        </w:rPr>
      </w:pPr>
      <w:r>
        <w:rPr>
          <w:rFonts w:hint="eastAsia" w:ascii="Times New Roman" w:hAnsi="Times New Roman" w:eastAsia="方正仿宋_GBK" w:cs="Times New Roman"/>
          <w:b w:val="0"/>
          <w:bCs w:val="0"/>
          <w:smallCaps w:val="0"/>
          <w:sz w:val="32"/>
          <w:szCs w:val="32"/>
        </w:rPr>
        <w:t>十三、财政拨款“三公”经费支出决算表</w:t>
      </w:r>
    </w:p>
    <w:p w14:paraId="069B47C0">
      <w:pPr>
        <w:pStyle w:val="36"/>
        <w:tabs>
          <w:tab w:val="right" w:leader="dot" w:pos="8306"/>
        </w:tabs>
        <w:rPr>
          <w:rFonts w:hint="eastAsia" w:ascii="方正仿宋_GBK" w:hAnsi="方正仿宋_GBK" w:eastAsia="方正仿宋_GBK" w:cs="方正仿宋_GBK"/>
          <w:sz w:val="32"/>
          <w:szCs w:val="32"/>
        </w:rPr>
      </w:pPr>
    </w:p>
    <w:p w14:paraId="0C54FF2C">
      <w:pPr>
        <w:pStyle w:val="14"/>
        <w:adjustRightInd w:val="0"/>
        <w:snapToGrid w:val="0"/>
        <w:spacing w:line="440" w:lineRule="exact"/>
        <w:ind w:left="0" w:leftChars="0" w:firstLine="0" w:firstLineChars="0"/>
        <w:jc w:val="left"/>
        <w:rPr>
          <w:rFonts w:hint="eastAsia" w:ascii="方正仿宋_GBK" w:hAnsi="方正仿宋_GBK" w:eastAsia="方正仿宋_GBK" w:cs="方正仿宋_GBK"/>
          <w:b/>
          <w:bCs/>
          <w:kern w:val="44"/>
          <w:sz w:val="32"/>
          <w:szCs w:val="32"/>
          <w:lang w:val="en-US" w:eastAsia="zh-CN" w:bidi="ar-SA"/>
        </w:rPr>
      </w:pPr>
      <w:r>
        <w:rPr>
          <w:rFonts w:hint="eastAsia" w:ascii="方正仿宋_GBK" w:hAnsi="方正仿宋_GBK" w:eastAsia="方正仿宋_GBK" w:cs="方正仿宋_GBK"/>
          <w:sz w:val="32"/>
          <w:szCs w:val="32"/>
        </w:rPr>
        <w:fldChar w:fldCharType="end"/>
      </w:r>
      <w:bookmarkStart w:id="7" w:name="_Toc15377196"/>
      <w:bookmarkStart w:id="8" w:name="_Toc15396599"/>
    </w:p>
    <w:p w14:paraId="32CF71A9">
      <w:pPr>
        <w:rPr>
          <w:rFonts w:hint="eastAsia" w:ascii="方正仿宋_GBK" w:hAnsi="方正仿宋_GBK" w:eastAsia="方正仿宋_GBK" w:cs="方正仿宋_GBK"/>
          <w:sz w:val="32"/>
          <w:szCs w:val="32"/>
        </w:rPr>
        <w:sectPr>
          <w:headerReference r:id="rId3" w:type="default"/>
          <w:pgSz w:w="11906" w:h="16838"/>
          <w:pgMar w:top="1440" w:right="1800" w:bottom="1440" w:left="1800" w:header="851" w:footer="992" w:gutter="0"/>
          <w:pgNumType w:start="1"/>
          <w:cols w:space="425" w:num="1"/>
          <w:titlePg/>
          <w:docGrid w:type="lines" w:linePitch="312" w:charSpace="0"/>
        </w:sectPr>
      </w:pPr>
    </w:p>
    <w:p w14:paraId="1C273849">
      <w:pPr>
        <w:pStyle w:val="2"/>
        <w:jc w:val="center"/>
        <w:rPr>
          <w:rFonts w:ascii="黑体" w:eastAsia="黑体"/>
          <w:sz w:val="32"/>
          <w:szCs w:val="32"/>
        </w:rPr>
      </w:pPr>
      <w:bookmarkStart w:id="9" w:name="_Toc3495"/>
      <w:r>
        <w:rPr>
          <w:rFonts w:hint="eastAsia" w:ascii="黑体" w:hAnsi="黑体" w:eastAsia="黑体"/>
          <w:b w:val="0"/>
        </w:rPr>
        <w:t xml:space="preserve">第一部分 </w:t>
      </w:r>
      <w:r>
        <w:rPr>
          <w:rStyle w:val="29"/>
          <w:rFonts w:hint="eastAsia" w:ascii="黑体" w:hAnsi="黑体" w:eastAsia="黑体"/>
          <w:b w:val="0"/>
          <w:bCs w:val="0"/>
        </w:rPr>
        <w:t>部门概况</w:t>
      </w:r>
      <w:bookmarkEnd w:id="7"/>
      <w:bookmarkEnd w:id="8"/>
      <w:bookmarkEnd w:id="9"/>
    </w:p>
    <w:p w14:paraId="0B1A00CA">
      <w:pPr>
        <w:pStyle w:val="3"/>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b w:val="0"/>
        </w:rPr>
      </w:pPr>
      <w:bookmarkStart w:id="10" w:name="_Toc15396600"/>
      <w:bookmarkStart w:id="11" w:name="_Toc15377197"/>
      <w:bookmarkStart w:id="12" w:name="_Toc24897"/>
      <w:r>
        <w:rPr>
          <w:rFonts w:hint="eastAsia" w:ascii="黑体" w:hAnsi="黑体" w:eastAsia="黑体"/>
          <w:b w:val="0"/>
        </w:rPr>
        <w:t>一、</w:t>
      </w:r>
      <w:bookmarkEnd w:id="10"/>
      <w:bookmarkEnd w:id="11"/>
      <w:r>
        <w:rPr>
          <w:rFonts w:hint="eastAsia" w:ascii="黑体" w:hAnsi="黑体" w:eastAsia="黑体"/>
          <w:b w:val="0"/>
        </w:rPr>
        <w:t>部门职责</w:t>
      </w:r>
      <w:bookmarkEnd w:id="12"/>
    </w:p>
    <w:p w14:paraId="60BE4A4A">
      <w:pPr>
        <w:spacing w:line="600" w:lineRule="exact"/>
        <w:ind w:firstLine="643" w:firstLineChars="200"/>
        <w:outlineLvl w:val="2"/>
        <w:rPr>
          <w:rFonts w:hint="eastAsia" w:ascii="Times New Roman" w:hAnsi="Times New Roman" w:eastAsia="方正楷体_GBK" w:cs="Times New Roman"/>
          <w:b/>
          <w:sz w:val="32"/>
          <w:szCs w:val="32"/>
        </w:rPr>
      </w:pPr>
      <w:bookmarkStart w:id="13" w:name="_Toc19592"/>
      <w:bookmarkStart w:id="14" w:name="_Toc79163603"/>
      <w:bookmarkStart w:id="15" w:name="_Toc27440"/>
      <w:bookmarkStart w:id="16" w:name="_Toc15378445"/>
      <w:bookmarkStart w:id="17" w:name="_Toc15377198"/>
      <w:r>
        <w:rPr>
          <w:rFonts w:hint="eastAsia" w:ascii="Times New Roman" w:hAnsi="Times New Roman" w:eastAsia="方正楷体_GBK" w:cs="Times New Roman"/>
          <w:b/>
          <w:sz w:val="32"/>
          <w:szCs w:val="32"/>
        </w:rPr>
        <w:t>（一）主要职能</w:t>
      </w:r>
      <w:bookmarkEnd w:id="13"/>
      <w:bookmarkEnd w:id="14"/>
      <w:bookmarkEnd w:id="15"/>
    </w:p>
    <w:bookmarkEnd w:id="16"/>
    <w:bookmarkEnd w:id="17"/>
    <w:p w14:paraId="1EC538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zh-CN"/>
        </w:rPr>
        <w:t>第一检察部</w:t>
      </w:r>
    </w:p>
    <w:p w14:paraId="59F0BA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主要职责：负责刑事案件的审查逮捕、审查起诉、出庭支持公诉、抗诉及相关案件的补充侦查。负责未成年人犯罪和侵害未成年人犯罪案件的审查逮捕、审查起诉、出庭支持公诉、抗诉及相关案件的补充侦查。开展未成年人司法保护和预防未成年人犯罪工作。</w:t>
      </w:r>
    </w:p>
    <w:p w14:paraId="26A42AC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zh-CN"/>
        </w:rPr>
        <w:t>第二检察部</w:t>
      </w:r>
    </w:p>
    <w:p w14:paraId="6CCD524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主要职责：负责办理向县人民检察院申请监督的民事、行政案件的审查。承办对县人民法院民事诉讼活动的法律监督，对审判监督程序以外的其他民事、行政审判程序中审判人员的违法行为提出检察建议，对民事执行活动、行政案件判决裁定和非诉行政执行活动实行法律监督。开展民事支持起诉工作。</w:t>
      </w:r>
    </w:p>
    <w:p w14:paraId="2AFE620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val="zh-CN"/>
        </w:rPr>
        <w:t>第三检察部</w:t>
      </w:r>
    </w:p>
    <w:p w14:paraId="306762F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主要职责：负责对看守所和社区矫正机构等执法活动的监督，对刑事判决、裁定执行、强制医疗执行、羁押和办案期限的监督。负责受理向县人民检察院的刑事申诉控告，承办县人民检察院管辖的刑事案件方面的国家赔偿案件和国家司法救助案件等。</w:t>
      </w:r>
    </w:p>
    <w:p w14:paraId="0548BA0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val="zh-CN"/>
        </w:rPr>
        <w:t>办公室</w:t>
      </w:r>
    </w:p>
    <w:p w14:paraId="20E034E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主要职责：负责机关文电、会务、机要、档案、保密等工作。协助院领导处理检察政务，组织协调院重要工作部署、重大决策的贯彻实施。编制支出规划和部门预决算。负责财务管理、国有资产管理、政府采购等工作。</w:t>
      </w:r>
    </w:p>
    <w:p w14:paraId="493390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lang w:val="zh-CN"/>
        </w:rPr>
        <w:t>政治部</w:t>
      </w:r>
    </w:p>
    <w:p w14:paraId="6B69D10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主要职责：负责本院思想政治工作和队伍建设。负责院机关干部政治学习、机关党建、人事、工资、教育培训、纪检监察、争先创优，负责司法体制改革综合协调相关工作，负责机关人事制度改革、检察人员分类、管理；负责争优创先活动，承办表彰奖励工作；负责学历教育和岗位培训工作及有关考务工作。</w:t>
      </w:r>
    </w:p>
    <w:p w14:paraId="2E3DD9B1">
      <w:pPr>
        <w:pStyle w:val="3"/>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b w:val="0"/>
        </w:rPr>
      </w:pPr>
      <w:bookmarkStart w:id="18" w:name="_Toc11848"/>
      <w:bookmarkStart w:id="19" w:name="_Toc15377200"/>
      <w:bookmarkStart w:id="20" w:name="_Toc15396601"/>
      <w:r>
        <w:rPr>
          <w:rFonts w:hint="eastAsia" w:ascii="黑体" w:hAnsi="黑体" w:eastAsia="黑体"/>
          <w:b w:val="0"/>
        </w:rPr>
        <w:t>二、机构设置</w:t>
      </w:r>
      <w:bookmarkEnd w:id="18"/>
      <w:bookmarkEnd w:id="19"/>
      <w:bookmarkEnd w:id="20"/>
    </w:p>
    <w:p w14:paraId="49EC6FA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四川省阿坝州理县人民检察院属行政单位，无下属二级预算单位。</w:t>
      </w:r>
    </w:p>
    <w:p w14:paraId="61432A3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p>
    <w:p w14:paraId="00003A5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p>
    <w:p w14:paraId="3731948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p>
    <w:p w14:paraId="112654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p>
    <w:p w14:paraId="5BC18FD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p>
    <w:p w14:paraId="37CF98B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p>
    <w:p w14:paraId="4FC5FAA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p>
    <w:p w14:paraId="74286A1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p>
    <w:p w14:paraId="1B250806">
      <w:pPr>
        <w:pStyle w:val="2"/>
        <w:ind w:right="440"/>
        <w:jc w:val="center"/>
        <w:rPr>
          <w:rStyle w:val="29"/>
          <w:rFonts w:ascii="黑体" w:hAnsi="黑体" w:eastAsia="黑体"/>
          <w:b w:val="0"/>
          <w:bCs/>
        </w:rPr>
      </w:pPr>
      <w:bookmarkStart w:id="21" w:name="_Toc16221"/>
      <w:bookmarkStart w:id="22" w:name="_Toc15396602"/>
      <w:bookmarkStart w:id="23" w:name="_Toc15377204"/>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29"/>
          <w:rFonts w:hint="eastAsia" w:ascii="黑体" w:hAnsi="黑体" w:eastAsia="黑体"/>
          <w:b w:val="0"/>
          <w:bCs/>
        </w:rPr>
        <w:t>部门决算情况说明</w:t>
      </w:r>
      <w:bookmarkEnd w:id="21"/>
      <w:bookmarkEnd w:id="22"/>
      <w:bookmarkEnd w:id="23"/>
    </w:p>
    <w:p w14:paraId="3D817E07"/>
    <w:p w14:paraId="580B8315">
      <w:pPr>
        <w:pStyle w:val="28"/>
        <w:numPr>
          <w:ilvl w:val="0"/>
          <w:numId w:val="1"/>
        </w:numPr>
        <w:spacing w:line="600" w:lineRule="exact"/>
        <w:ind w:firstLineChars="0"/>
        <w:outlineLvl w:val="1"/>
        <w:rPr>
          <w:rStyle w:val="30"/>
          <w:rFonts w:ascii="黑体" w:hAnsi="黑体" w:eastAsia="黑体"/>
          <w:b w:val="0"/>
        </w:rPr>
      </w:pPr>
      <w:bookmarkStart w:id="24" w:name="_Toc15396603"/>
      <w:bookmarkStart w:id="25" w:name="_Toc21020"/>
      <w:bookmarkStart w:id="26" w:name="_Toc15377205"/>
      <w:r>
        <w:rPr>
          <w:rFonts w:hint="eastAsia" w:ascii="黑体" w:hAnsi="黑体" w:eastAsia="黑体"/>
          <w:sz w:val="32"/>
          <w:szCs w:val="32"/>
        </w:rPr>
        <w:t>收</w:t>
      </w:r>
      <w:r>
        <w:rPr>
          <w:rStyle w:val="30"/>
          <w:rFonts w:hint="eastAsia" w:ascii="黑体" w:hAnsi="黑体" w:eastAsia="黑体"/>
          <w:b w:val="0"/>
        </w:rPr>
        <w:t>入支出决算总体情况说明</w:t>
      </w:r>
      <w:bookmarkEnd w:id="24"/>
      <w:bookmarkEnd w:id="25"/>
      <w:bookmarkEnd w:id="26"/>
    </w:p>
    <w:p w14:paraId="2358644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r>
        <w:rPr>
          <w:rFonts w:hint="default" w:ascii="Times New Roman" w:hAnsi="Times New Roman" w:eastAsia="方正仿宋_GBK" w:cs="Times New Roman"/>
          <w:sz w:val="32"/>
          <w:szCs w:val="32"/>
        </w:rPr>
        <w:t>023年度收、支总计均为</w:t>
      </w:r>
      <w:r>
        <w:rPr>
          <w:rFonts w:hint="eastAsia" w:eastAsia="方正仿宋_GBK" w:cs="Times New Roman"/>
          <w:sz w:val="32"/>
          <w:szCs w:val="32"/>
          <w:lang w:val="en-US" w:eastAsia="zh-CN"/>
        </w:rPr>
        <w:t>987.81</w:t>
      </w:r>
      <w:r>
        <w:rPr>
          <w:rFonts w:hint="default" w:ascii="Times New Roman" w:hAnsi="Times New Roman" w:eastAsia="方正仿宋_GBK" w:cs="Times New Roman"/>
          <w:sz w:val="32"/>
          <w:szCs w:val="32"/>
        </w:rPr>
        <w:t>万元。与202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年度955.97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相比，收、支总计各增加</w:t>
      </w:r>
      <w:r>
        <w:rPr>
          <w:rFonts w:hint="eastAsia" w:eastAsia="方正仿宋_GBK" w:cs="Times New Roman"/>
          <w:sz w:val="32"/>
          <w:szCs w:val="32"/>
          <w:lang w:val="en-US" w:eastAsia="zh-CN"/>
        </w:rPr>
        <w:t>31.84</w:t>
      </w:r>
      <w:r>
        <w:rPr>
          <w:rFonts w:hint="default" w:ascii="Times New Roman" w:hAnsi="Times New Roman" w:eastAsia="方正仿宋_GBK" w:cs="Times New Roman"/>
          <w:sz w:val="32"/>
          <w:szCs w:val="32"/>
        </w:rPr>
        <w:t>万元，增长</w:t>
      </w:r>
      <w:r>
        <w:rPr>
          <w:rFonts w:hint="eastAsia" w:eastAsia="方正仿宋_GBK" w:cs="Times New Roman"/>
          <w:sz w:val="32"/>
          <w:szCs w:val="32"/>
          <w:lang w:val="en-US" w:eastAsia="zh-CN"/>
        </w:rPr>
        <w:t>3.3</w:t>
      </w:r>
      <w:r>
        <w:rPr>
          <w:rFonts w:hint="default" w:ascii="Times New Roman" w:hAnsi="Times New Roman" w:eastAsia="方正仿宋_GBK" w:cs="Times New Roman"/>
          <w:sz w:val="32"/>
          <w:szCs w:val="32"/>
        </w:rPr>
        <w:t>%。主要变动原因</w:t>
      </w:r>
      <w:r>
        <w:rPr>
          <w:rFonts w:hint="default" w:ascii="Times New Roman" w:hAnsi="Times New Roman" w:eastAsia="方正仿宋_GBK" w:cs="Times New Roman"/>
          <w:sz w:val="32"/>
          <w:szCs w:val="32"/>
          <w:lang w:val="en-US" w:eastAsia="zh-CN"/>
        </w:rPr>
        <w:t>是</w:t>
      </w:r>
      <w:r>
        <w:rPr>
          <w:rFonts w:hint="default" w:ascii="Times New Roman" w:hAnsi="Times New Roman" w:eastAsia="方正仿宋_GBK" w:cs="Times New Roman"/>
          <w:sz w:val="32"/>
          <w:szCs w:val="32"/>
        </w:rPr>
        <w:t>本年度采购项目完成度高于2023年，采购项目均完成支付。</w:t>
      </w:r>
    </w:p>
    <w:p w14:paraId="0017DA65">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eastAsia" w:ascii="Times New Roman" w:hAnsi="Times New Roman" w:eastAsia="方正仿宋_GBK" w:cs="Times New Roman"/>
          <w:sz w:val="32"/>
          <w:szCs w:val="32"/>
        </w:rPr>
      </w:pPr>
      <w:r>
        <w:drawing>
          <wp:anchor distT="0" distB="0" distL="114300" distR="114300" simplePos="0" relativeHeight="251659264" behindDoc="0" locked="0" layoutInCell="1" allowOverlap="1">
            <wp:simplePos x="0" y="0"/>
            <wp:positionH relativeFrom="column">
              <wp:posOffset>356235</wp:posOffset>
            </wp:positionH>
            <wp:positionV relativeFrom="paragraph">
              <wp:posOffset>114300</wp:posOffset>
            </wp:positionV>
            <wp:extent cx="4572000" cy="2694305"/>
            <wp:effectExtent l="4445" t="4445" r="8255" b="6350"/>
            <wp:wrapNone/>
            <wp:docPr id="9218"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77C5CD9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p>
    <w:p w14:paraId="62421B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p>
    <w:p w14:paraId="76EDF7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p>
    <w:p w14:paraId="7BD2B6C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p>
    <w:p w14:paraId="79836B0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方正仿宋_GBK" w:cs="Times New Roman"/>
          <w:sz w:val="32"/>
          <w:szCs w:val="32"/>
        </w:rPr>
      </w:pPr>
    </w:p>
    <w:p w14:paraId="4CBAA6C6">
      <w:pPr>
        <w:pStyle w:val="13"/>
        <w:rPr>
          <w:rFonts w:hint="eastAsia" w:ascii="Times New Roman" w:hAnsi="Times New Roman" w:eastAsia="方正仿宋_GBK" w:cs="Times New Roman"/>
          <w:sz w:val="32"/>
          <w:szCs w:val="32"/>
        </w:rPr>
      </w:pPr>
    </w:p>
    <w:p w14:paraId="704C73F1">
      <w:pPr>
        <w:pStyle w:val="7"/>
        <w:ind w:left="0" w:leftChars="0" w:firstLine="0" w:firstLineChars="0"/>
        <w:rPr>
          <w:rFonts w:hint="eastAsia" w:ascii="Times New Roman" w:hAnsi="Times New Roman" w:eastAsia="方正仿宋_GBK" w:cs="Times New Roman"/>
          <w:sz w:val="32"/>
          <w:szCs w:val="32"/>
        </w:rPr>
      </w:pPr>
    </w:p>
    <w:p w14:paraId="3C0B916B">
      <w:pPr>
        <w:spacing w:line="600" w:lineRule="exact"/>
        <w:jc w:val="center"/>
        <w:rPr>
          <w:rFonts w:ascii="仿宋_GB2312" w:eastAsia="仿宋_GB2312"/>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w:t>
      </w:r>
    </w:p>
    <w:p w14:paraId="439252E1">
      <w:pPr>
        <w:pStyle w:val="28"/>
        <w:numPr>
          <w:ilvl w:val="0"/>
          <w:numId w:val="1"/>
        </w:numPr>
        <w:spacing w:line="600" w:lineRule="exact"/>
        <w:ind w:firstLineChars="0"/>
        <w:outlineLvl w:val="1"/>
        <w:rPr>
          <w:rStyle w:val="30"/>
          <w:rFonts w:ascii="黑体" w:hAnsi="黑体" w:eastAsia="黑体"/>
          <w:b w:val="0"/>
        </w:rPr>
      </w:pPr>
      <w:bookmarkStart w:id="27" w:name="_Toc15377206"/>
      <w:bookmarkStart w:id="28" w:name="_Toc13014"/>
      <w:bookmarkStart w:id="29" w:name="_Toc15396604"/>
      <w:r>
        <w:rPr>
          <w:rFonts w:hint="eastAsia" w:ascii="黑体" w:hAnsi="黑体" w:eastAsia="黑体"/>
          <w:sz w:val="32"/>
          <w:szCs w:val="32"/>
        </w:rPr>
        <w:t>收</w:t>
      </w:r>
      <w:r>
        <w:rPr>
          <w:rStyle w:val="30"/>
          <w:rFonts w:hint="eastAsia" w:ascii="黑体" w:hAnsi="黑体" w:eastAsia="黑体"/>
          <w:b w:val="0"/>
        </w:rPr>
        <w:t>入决算情况说明</w:t>
      </w:r>
      <w:bookmarkEnd w:id="27"/>
      <w:bookmarkEnd w:id="28"/>
      <w:bookmarkEnd w:id="29"/>
    </w:p>
    <w:p w14:paraId="29C0B46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rPr>
        <w:t>年度本年收入合计</w:t>
      </w:r>
      <w:r>
        <w:rPr>
          <w:rFonts w:hint="eastAsia" w:eastAsia="方正仿宋_GBK" w:cs="Times New Roman"/>
          <w:sz w:val="32"/>
          <w:szCs w:val="32"/>
          <w:lang w:val="en-US" w:eastAsia="zh-CN"/>
        </w:rPr>
        <w:t>975.67</w:t>
      </w:r>
      <w:r>
        <w:rPr>
          <w:rFonts w:hint="eastAsia" w:ascii="Times New Roman" w:hAnsi="Times New Roman" w:eastAsia="方正仿宋_GBK" w:cs="Times New Roman"/>
          <w:sz w:val="32"/>
          <w:szCs w:val="32"/>
        </w:rPr>
        <w:t>万元，其中：一般公共预算财政拨款收入</w:t>
      </w:r>
      <w:r>
        <w:rPr>
          <w:rFonts w:hint="eastAsia" w:eastAsia="方正仿宋_GBK" w:cs="Times New Roman"/>
          <w:sz w:val="32"/>
          <w:szCs w:val="32"/>
          <w:lang w:val="en-US" w:eastAsia="zh-CN"/>
        </w:rPr>
        <w:t>826.28</w:t>
      </w:r>
      <w:r>
        <w:rPr>
          <w:rFonts w:hint="eastAsia" w:ascii="Times New Roman" w:hAnsi="Times New Roman" w:eastAsia="方正仿宋_GBK" w:cs="Times New Roman"/>
          <w:sz w:val="32"/>
          <w:szCs w:val="32"/>
        </w:rPr>
        <w:t>万元，占</w:t>
      </w:r>
      <w:r>
        <w:rPr>
          <w:rFonts w:hint="eastAsia" w:eastAsia="方正仿宋_GBK" w:cs="Times New Roman"/>
          <w:sz w:val="32"/>
          <w:szCs w:val="32"/>
          <w:lang w:val="en-US" w:eastAsia="zh-CN"/>
        </w:rPr>
        <w:t>84.7</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rPr>
        <w:t>；其他收入</w:t>
      </w:r>
      <w:r>
        <w:rPr>
          <w:rFonts w:hint="eastAsia" w:eastAsia="方正仿宋_GBK" w:cs="Times New Roman"/>
          <w:sz w:val="32"/>
          <w:szCs w:val="32"/>
          <w:lang w:val="en-US" w:eastAsia="zh-CN"/>
        </w:rPr>
        <w:t>149.39</w:t>
      </w:r>
      <w:r>
        <w:rPr>
          <w:rFonts w:hint="eastAsia" w:ascii="Times New Roman" w:hAnsi="Times New Roman" w:eastAsia="方正仿宋_GBK" w:cs="Times New Roman"/>
          <w:sz w:val="32"/>
          <w:szCs w:val="32"/>
        </w:rPr>
        <w:t>万元，占</w:t>
      </w:r>
      <w:r>
        <w:rPr>
          <w:rFonts w:hint="eastAsia" w:eastAsia="方正仿宋_GBK" w:cs="Times New Roman"/>
          <w:sz w:val="32"/>
          <w:szCs w:val="32"/>
          <w:lang w:val="en-US" w:eastAsia="zh-CN"/>
        </w:rPr>
        <w:t>15.3</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rPr>
        <w:t>。</w:t>
      </w:r>
    </w:p>
    <w:p w14:paraId="389FDC01">
      <w:pPr>
        <w:pStyle w:val="13"/>
        <w:rPr>
          <w:rFonts w:hint="eastAsia" w:ascii="Times New Roman" w:hAnsi="Times New Roman" w:eastAsia="方正仿宋_GBK" w:cs="Times New Roman"/>
          <w:sz w:val="32"/>
          <w:szCs w:val="32"/>
        </w:rPr>
      </w:pPr>
    </w:p>
    <w:p w14:paraId="18972E33">
      <w:pPr>
        <w:pStyle w:val="7"/>
        <w:rPr>
          <w:rFonts w:hint="eastAsia" w:ascii="Times New Roman" w:hAnsi="Times New Roman" w:eastAsia="方正仿宋_GBK" w:cs="Times New Roman"/>
          <w:sz w:val="32"/>
          <w:szCs w:val="32"/>
        </w:rPr>
      </w:pPr>
    </w:p>
    <w:p w14:paraId="47805AB4">
      <w:pPr>
        <w:pStyle w:val="7"/>
        <w:rPr>
          <w:rFonts w:hint="eastAsia" w:ascii="Times New Roman" w:hAnsi="Times New Roman" w:eastAsia="方正仿宋_GBK" w:cs="Times New Roman"/>
          <w:sz w:val="32"/>
          <w:szCs w:val="32"/>
        </w:rPr>
      </w:pPr>
    </w:p>
    <w:p w14:paraId="44A250BF">
      <w:pPr>
        <w:spacing w:line="600" w:lineRule="exact"/>
        <w:jc w:val="center"/>
        <w:rPr>
          <w:rFonts w:hint="eastAsia" w:ascii="仿宋" w:hAnsi="仿宋" w:eastAsia="仿宋"/>
          <w:sz w:val="32"/>
          <w:szCs w:val="32"/>
        </w:rPr>
      </w:pPr>
      <w:r>
        <w:drawing>
          <wp:anchor distT="0" distB="0" distL="114300" distR="114300" simplePos="0" relativeHeight="251660288" behindDoc="0" locked="0" layoutInCell="1" allowOverlap="1">
            <wp:simplePos x="0" y="0"/>
            <wp:positionH relativeFrom="column">
              <wp:posOffset>191770</wp:posOffset>
            </wp:positionH>
            <wp:positionV relativeFrom="paragraph">
              <wp:posOffset>73025</wp:posOffset>
            </wp:positionV>
            <wp:extent cx="4813300" cy="2743200"/>
            <wp:effectExtent l="4445" t="5080" r="8255" b="7620"/>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5BC84C41">
      <w:pPr>
        <w:spacing w:line="600" w:lineRule="exact"/>
        <w:jc w:val="center"/>
        <w:rPr>
          <w:rFonts w:hint="eastAsia" w:ascii="仿宋" w:hAnsi="仿宋" w:eastAsia="仿宋"/>
          <w:sz w:val="32"/>
          <w:szCs w:val="32"/>
        </w:rPr>
      </w:pPr>
    </w:p>
    <w:p w14:paraId="512B8F36">
      <w:pPr>
        <w:spacing w:line="600" w:lineRule="exact"/>
        <w:jc w:val="center"/>
        <w:rPr>
          <w:rFonts w:hint="eastAsia" w:ascii="仿宋" w:hAnsi="仿宋" w:eastAsia="仿宋"/>
          <w:sz w:val="32"/>
          <w:szCs w:val="32"/>
        </w:rPr>
      </w:pPr>
    </w:p>
    <w:p w14:paraId="4920DB74">
      <w:pPr>
        <w:spacing w:line="600" w:lineRule="exact"/>
        <w:jc w:val="center"/>
        <w:rPr>
          <w:rFonts w:hint="eastAsia" w:ascii="仿宋" w:hAnsi="仿宋" w:eastAsia="仿宋"/>
          <w:sz w:val="32"/>
          <w:szCs w:val="32"/>
        </w:rPr>
      </w:pPr>
    </w:p>
    <w:p w14:paraId="4FA91698">
      <w:pPr>
        <w:pStyle w:val="13"/>
        <w:rPr>
          <w:rFonts w:hint="eastAsia"/>
        </w:rPr>
      </w:pPr>
    </w:p>
    <w:p w14:paraId="4020F19F">
      <w:pPr>
        <w:spacing w:line="600" w:lineRule="exact"/>
        <w:jc w:val="center"/>
        <w:rPr>
          <w:rFonts w:hint="eastAsia" w:ascii="仿宋" w:hAnsi="仿宋" w:eastAsia="仿宋"/>
          <w:sz w:val="32"/>
          <w:szCs w:val="32"/>
        </w:rPr>
      </w:pPr>
    </w:p>
    <w:p w14:paraId="5170620E">
      <w:pPr>
        <w:spacing w:line="600" w:lineRule="exact"/>
        <w:jc w:val="center"/>
        <w:rPr>
          <w:rFonts w:hint="eastAsia" w:ascii="仿宋" w:hAnsi="仿宋" w:eastAsia="仿宋"/>
          <w:sz w:val="32"/>
          <w:szCs w:val="32"/>
        </w:rPr>
      </w:pPr>
    </w:p>
    <w:p w14:paraId="09211768">
      <w:pPr>
        <w:spacing w:line="600" w:lineRule="exact"/>
        <w:jc w:val="both"/>
        <w:rPr>
          <w:rFonts w:hint="eastAsia" w:ascii="仿宋" w:hAnsi="仿宋" w:eastAsia="仿宋"/>
          <w:sz w:val="32"/>
          <w:szCs w:val="32"/>
        </w:rPr>
      </w:pPr>
    </w:p>
    <w:p w14:paraId="235EFF78">
      <w:pPr>
        <w:spacing w:line="600" w:lineRule="exact"/>
        <w:jc w:val="center"/>
        <w:rPr>
          <w:rFonts w:ascii="仿宋_GB2312" w:eastAsia="仿宋_GB2312"/>
          <w:sz w:val="32"/>
          <w:szCs w:val="32"/>
        </w:rPr>
      </w:pPr>
      <w:r>
        <w:rPr>
          <w:rFonts w:hint="eastAsia" w:ascii="仿宋" w:hAnsi="仿宋" w:eastAsia="仿宋"/>
          <w:sz w:val="32"/>
          <w:szCs w:val="32"/>
        </w:rPr>
        <w:t>图2：收入决算结构图</w:t>
      </w:r>
    </w:p>
    <w:p w14:paraId="1594095F">
      <w:pPr>
        <w:pStyle w:val="28"/>
        <w:numPr>
          <w:ilvl w:val="0"/>
          <w:numId w:val="1"/>
        </w:numPr>
        <w:spacing w:line="600" w:lineRule="exact"/>
        <w:ind w:firstLineChars="0"/>
        <w:outlineLvl w:val="1"/>
        <w:rPr>
          <w:rStyle w:val="30"/>
          <w:rFonts w:ascii="黑体" w:hAnsi="黑体" w:eastAsia="黑体"/>
          <w:b w:val="0"/>
        </w:rPr>
      </w:pPr>
      <w:bookmarkStart w:id="30" w:name="_Toc15396605"/>
      <w:bookmarkStart w:id="31" w:name="_Toc15377207"/>
      <w:bookmarkStart w:id="32" w:name="_Toc17655"/>
      <w:r>
        <w:rPr>
          <w:rFonts w:hint="eastAsia" w:ascii="黑体" w:hAnsi="黑体" w:eastAsia="黑体"/>
          <w:sz w:val="32"/>
          <w:szCs w:val="32"/>
        </w:rPr>
        <w:t>支</w:t>
      </w:r>
      <w:r>
        <w:rPr>
          <w:rStyle w:val="30"/>
          <w:rFonts w:hint="eastAsia" w:ascii="黑体" w:hAnsi="黑体" w:eastAsia="黑体"/>
          <w:b w:val="0"/>
        </w:rPr>
        <w:t>出决算情况说明</w:t>
      </w:r>
      <w:bookmarkEnd w:id="30"/>
      <w:bookmarkEnd w:id="31"/>
      <w:bookmarkEnd w:id="32"/>
    </w:p>
    <w:p w14:paraId="3245EEE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rPr>
        <w:t>年度本年支出合计</w:t>
      </w:r>
      <w:r>
        <w:rPr>
          <w:rFonts w:hint="eastAsia" w:eastAsia="方正仿宋_GBK" w:cs="Times New Roman"/>
          <w:sz w:val="32"/>
          <w:szCs w:val="32"/>
          <w:lang w:val="en-US" w:eastAsia="zh-CN"/>
        </w:rPr>
        <w:t>960.69</w:t>
      </w:r>
      <w:r>
        <w:rPr>
          <w:rFonts w:hint="eastAsia" w:ascii="Times New Roman" w:hAnsi="Times New Roman" w:eastAsia="方正仿宋_GBK" w:cs="Times New Roman"/>
          <w:sz w:val="32"/>
          <w:szCs w:val="32"/>
        </w:rPr>
        <w:t>万元，其中：基本支出</w:t>
      </w:r>
      <w:r>
        <w:rPr>
          <w:rFonts w:hint="eastAsia" w:eastAsia="方正仿宋_GBK" w:cs="Times New Roman"/>
          <w:sz w:val="32"/>
          <w:szCs w:val="32"/>
          <w:lang w:val="en-US" w:eastAsia="zh-CN"/>
        </w:rPr>
        <w:t>669.34</w:t>
      </w:r>
      <w:r>
        <w:rPr>
          <w:rFonts w:hint="eastAsia" w:ascii="Times New Roman" w:hAnsi="Times New Roman" w:eastAsia="方正仿宋_GBK" w:cs="Times New Roman"/>
          <w:sz w:val="32"/>
          <w:szCs w:val="32"/>
        </w:rPr>
        <w:t>万元，占</w:t>
      </w:r>
      <w:r>
        <w:rPr>
          <w:rFonts w:hint="eastAsia" w:eastAsia="方正仿宋_GBK" w:cs="Times New Roman"/>
          <w:sz w:val="32"/>
          <w:szCs w:val="32"/>
          <w:lang w:val="en-US" w:eastAsia="zh-CN"/>
        </w:rPr>
        <w:t>69.7</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rPr>
        <w:t>；项目支出</w:t>
      </w:r>
      <w:r>
        <w:rPr>
          <w:rFonts w:hint="eastAsia" w:eastAsia="方正仿宋_GBK" w:cs="Times New Roman"/>
          <w:sz w:val="32"/>
          <w:szCs w:val="32"/>
          <w:lang w:val="en-US" w:eastAsia="zh-CN"/>
        </w:rPr>
        <w:t>291.35</w:t>
      </w:r>
      <w:r>
        <w:rPr>
          <w:rFonts w:hint="eastAsia" w:ascii="Times New Roman" w:hAnsi="Times New Roman" w:eastAsia="方正仿宋_GBK" w:cs="Times New Roman"/>
          <w:sz w:val="32"/>
          <w:szCs w:val="32"/>
        </w:rPr>
        <w:t>万元，占</w:t>
      </w:r>
      <w:r>
        <w:rPr>
          <w:rFonts w:hint="eastAsia" w:eastAsia="方正仿宋_GBK" w:cs="Times New Roman"/>
          <w:sz w:val="32"/>
          <w:szCs w:val="32"/>
          <w:lang w:val="en-US" w:eastAsia="zh-CN"/>
        </w:rPr>
        <w:t>30.3</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rPr>
        <w:t>。</w:t>
      </w:r>
    </w:p>
    <w:p w14:paraId="3C4D3F44">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eastAsia" w:ascii="Times New Roman" w:hAnsi="Times New Roman" w:eastAsia="方正仿宋_GBK" w:cs="Times New Roman"/>
          <w:sz w:val="32"/>
          <w:szCs w:val="32"/>
        </w:rPr>
      </w:pPr>
      <w:r>
        <w:drawing>
          <wp:anchor distT="0" distB="0" distL="114300" distR="114300" simplePos="0" relativeHeight="251661312" behindDoc="0" locked="0" layoutInCell="1" allowOverlap="1">
            <wp:simplePos x="0" y="0"/>
            <wp:positionH relativeFrom="column">
              <wp:posOffset>201930</wp:posOffset>
            </wp:positionH>
            <wp:positionV relativeFrom="paragraph">
              <wp:posOffset>139700</wp:posOffset>
            </wp:positionV>
            <wp:extent cx="4926330" cy="2721610"/>
            <wp:effectExtent l="4445" t="4445" r="9525" b="1714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52FC3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p>
    <w:p w14:paraId="5C7AFA9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p>
    <w:p w14:paraId="117482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p>
    <w:p w14:paraId="612C90E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p>
    <w:p w14:paraId="63139EF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p>
    <w:p w14:paraId="4948CEE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方正仿宋_GBK" w:cs="Times New Roman"/>
          <w:sz w:val="32"/>
          <w:szCs w:val="32"/>
        </w:rPr>
      </w:pPr>
    </w:p>
    <w:p w14:paraId="2A7572F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方正仿宋_GBK" w:cs="Times New Roman"/>
          <w:sz w:val="32"/>
          <w:szCs w:val="32"/>
        </w:rPr>
      </w:pPr>
    </w:p>
    <w:p w14:paraId="629E534B">
      <w:pPr>
        <w:spacing w:line="600" w:lineRule="exact"/>
        <w:jc w:val="center"/>
        <w:rPr>
          <w:rFonts w:ascii="仿宋_GB2312" w:eastAsia="仿宋_GB2312"/>
          <w:sz w:val="32"/>
          <w:szCs w:val="32"/>
        </w:rPr>
      </w:pPr>
      <w:r>
        <w:rPr>
          <w:rFonts w:hint="eastAsia" w:ascii="仿宋" w:hAnsi="仿宋" w:eastAsia="仿宋"/>
          <w:sz w:val="32"/>
          <w:szCs w:val="32"/>
        </w:rPr>
        <w:t>图3：支出决算结构图</w:t>
      </w:r>
    </w:p>
    <w:p w14:paraId="7BFEBADB">
      <w:pPr>
        <w:spacing w:line="600" w:lineRule="exact"/>
        <w:ind w:firstLine="640" w:firstLineChars="200"/>
        <w:outlineLvl w:val="1"/>
        <w:rPr>
          <w:rStyle w:val="30"/>
          <w:rFonts w:ascii="黑体" w:hAnsi="黑体" w:eastAsia="黑体"/>
          <w:b w:val="0"/>
        </w:rPr>
      </w:pPr>
      <w:bookmarkStart w:id="33" w:name="_Toc15396606"/>
      <w:bookmarkStart w:id="34" w:name="_Toc13338"/>
      <w:bookmarkStart w:id="35" w:name="_Toc15377208"/>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33"/>
      <w:bookmarkEnd w:id="34"/>
      <w:bookmarkEnd w:id="35"/>
    </w:p>
    <w:p w14:paraId="64D10B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年度财政拨款收、支总计均为</w:t>
      </w:r>
      <w:r>
        <w:rPr>
          <w:rFonts w:hint="eastAsia" w:eastAsia="方正仿宋_GBK" w:cs="Times New Roman"/>
          <w:sz w:val="32"/>
          <w:szCs w:val="32"/>
          <w:lang w:val="en-US" w:eastAsia="zh-CN"/>
        </w:rPr>
        <w:t>826.28</w:t>
      </w:r>
      <w:r>
        <w:rPr>
          <w:rFonts w:hint="default" w:ascii="Times New Roman" w:hAnsi="Times New Roman" w:eastAsia="方正仿宋_GBK" w:cs="Times New Roman"/>
          <w:sz w:val="32"/>
          <w:szCs w:val="32"/>
        </w:rPr>
        <w:t>万元。与202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年度792.36</w:t>
      </w:r>
      <w:r>
        <w:rPr>
          <w:rFonts w:hint="eastAsia" w:eastAsia="方正仿宋_GBK" w:cs="Times New Roman"/>
          <w:sz w:val="32"/>
          <w:szCs w:val="32"/>
          <w:lang w:val="en-US" w:eastAsia="zh-CN"/>
        </w:rPr>
        <w:t>万元</w:t>
      </w:r>
      <w:r>
        <w:rPr>
          <w:rFonts w:hint="default" w:ascii="Times New Roman" w:hAnsi="Times New Roman" w:eastAsia="方正仿宋_GBK" w:cs="Times New Roman"/>
          <w:sz w:val="32"/>
          <w:szCs w:val="32"/>
        </w:rPr>
        <w:t>相比，财政拨款收、支总计各增加</w:t>
      </w:r>
      <w:r>
        <w:rPr>
          <w:rFonts w:hint="eastAsia" w:eastAsia="方正仿宋_GBK" w:cs="Times New Roman"/>
          <w:sz w:val="32"/>
          <w:szCs w:val="32"/>
          <w:lang w:val="en-US" w:eastAsia="zh-CN"/>
        </w:rPr>
        <w:t>33.92</w:t>
      </w:r>
      <w:r>
        <w:rPr>
          <w:rFonts w:hint="default" w:ascii="Times New Roman" w:hAnsi="Times New Roman" w:eastAsia="方正仿宋_GBK" w:cs="Times New Roman"/>
          <w:sz w:val="32"/>
          <w:szCs w:val="32"/>
        </w:rPr>
        <w:t>万元，增长</w:t>
      </w:r>
      <w:r>
        <w:rPr>
          <w:rFonts w:hint="eastAsia" w:eastAsia="方正仿宋_GBK" w:cs="Times New Roman"/>
          <w:sz w:val="32"/>
          <w:szCs w:val="32"/>
          <w:lang w:val="en-US" w:eastAsia="zh-CN"/>
        </w:rPr>
        <w:t>4.3</w:t>
      </w:r>
      <w:r>
        <w:rPr>
          <w:rFonts w:hint="default" w:ascii="Times New Roman" w:hAnsi="Times New Roman" w:eastAsia="方正仿宋_GBK" w:cs="Times New Roman"/>
          <w:sz w:val="32"/>
          <w:szCs w:val="32"/>
        </w:rPr>
        <w:t>%。主要变动原因是</w:t>
      </w:r>
      <w:r>
        <w:rPr>
          <w:rFonts w:hint="default" w:ascii="Times New Roman" w:hAnsi="Times New Roman" w:eastAsia="方正仿宋_GBK" w:cs="Times New Roman"/>
          <w:sz w:val="32"/>
          <w:szCs w:val="32"/>
          <w:lang w:val="en-US" w:eastAsia="zh-CN"/>
        </w:rPr>
        <w:t>本年度</w:t>
      </w:r>
      <w:r>
        <w:rPr>
          <w:rFonts w:hint="default" w:ascii="Times New Roman" w:hAnsi="Times New Roman" w:eastAsia="方正仿宋_GBK" w:cs="Times New Roman"/>
          <w:sz w:val="32"/>
          <w:szCs w:val="32"/>
        </w:rPr>
        <w:t>本年度采购项目完成度高于2023年，采购项目均完成支付。</w:t>
      </w:r>
    </w:p>
    <w:p w14:paraId="147893BD">
      <w:pPr>
        <w:pStyle w:val="13"/>
        <w:rPr>
          <w:rFonts w:hint="default" w:ascii="Times New Roman" w:hAnsi="Times New Roman" w:eastAsia="方正仿宋_GBK" w:cs="Times New Roman"/>
          <w:sz w:val="32"/>
          <w:szCs w:val="32"/>
        </w:rPr>
      </w:pPr>
      <w:r>
        <w:drawing>
          <wp:anchor distT="0" distB="0" distL="114300" distR="114300" simplePos="0" relativeHeight="251662336" behindDoc="0" locked="0" layoutInCell="1" allowOverlap="1">
            <wp:simplePos x="0" y="0"/>
            <wp:positionH relativeFrom="column">
              <wp:posOffset>315595</wp:posOffset>
            </wp:positionH>
            <wp:positionV relativeFrom="paragraph">
              <wp:posOffset>62865</wp:posOffset>
            </wp:positionV>
            <wp:extent cx="4693920" cy="2593975"/>
            <wp:effectExtent l="4445" t="4445" r="13335" b="5080"/>
            <wp:wrapNone/>
            <wp:docPr id="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8C99174">
      <w:pPr>
        <w:pStyle w:val="7"/>
        <w:rPr>
          <w:rFonts w:hint="default"/>
        </w:rPr>
      </w:pPr>
    </w:p>
    <w:p w14:paraId="3994B9C8">
      <w:pPr>
        <w:spacing w:line="600" w:lineRule="exact"/>
        <w:ind w:firstLine="640"/>
        <w:rPr>
          <w:rFonts w:hint="eastAsia" w:ascii="仿宋" w:hAnsi="仿宋" w:eastAsia="仿宋"/>
          <w:sz w:val="32"/>
          <w:szCs w:val="32"/>
        </w:rPr>
      </w:pPr>
    </w:p>
    <w:p w14:paraId="6A59451B">
      <w:pPr>
        <w:spacing w:line="600" w:lineRule="exact"/>
        <w:ind w:firstLine="640"/>
        <w:rPr>
          <w:rFonts w:hint="eastAsia" w:ascii="仿宋" w:hAnsi="仿宋" w:eastAsia="仿宋"/>
          <w:sz w:val="32"/>
          <w:szCs w:val="32"/>
        </w:rPr>
      </w:pPr>
    </w:p>
    <w:p w14:paraId="469554E2">
      <w:pPr>
        <w:spacing w:line="600" w:lineRule="exact"/>
        <w:rPr>
          <w:rFonts w:ascii="仿宋" w:hAnsi="仿宋" w:eastAsia="仿宋"/>
          <w:sz w:val="32"/>
          <w:szCs w:val="32"/>
        </w:rPr>
      </w:pPr>
    </w:p>
    <w:p w14:paraId="620C5B04">
      <w:pPr>
        <w:spacing w:line="600" w:lineRule="exact"/>
        <w:rPr>
          <w:rFonts w:ascii="仿宋" w:hAnsi="仿宋" w:eastAsia="仿宋"/>
          <w:sz w:val="32"/>
          <w:szCs w:val="32"/>
        </w:rPr>
      </w:pPr>
    </w:p>
    <w:p w14:paraId="3B6189F3">
      <w:pPr>
        <w:spacing w:line="600" w:lineRule="exact"/>
        <w:rPr>
          <w:rFonts w:ascii="仿宋" w:hAnsi="仿宋" w:eastAsia="仿宋"/>
          <w:sz w:val="32"/>
          <w:szCs w:val="32"/>
        </w:rPr>
      </w:pPr>
    </w:p>
    <w:p w14:paraId="412736C9">
      <w:pPr>
        <w:spacing w:line="600" w:lineRule="exact"/>
        <w:rPr>
          <w:rFonts w:ascii="仿宋" w:hAnsi="仿宋" w:eastAsia="仿宋"/>
          <w:sz w:val="32"/>
          <w:szCs w:val="32"/>
        </w:rPr>
      </w:pPr>
    </w:p>
    <w:p w14:paraId="14E07E6A">
      <w:pPr>
        <w:spacing w:line="600" w:lineRule="exact"/>
        <w:jc w:val="center"/>
        <w:rPr>
          <w:rFonts w:ascii="仿宋" w:hAnsi="仿宋" w:eastAsia="仿宋"/>
          <w:b/>
          <w:sz w:val="32"/>
          <w:szCs w:val="32"/>
        </w:rPr>
      </w:pPr>
      <w:r>
        <w:rPr>
          <w:rFonts w:hint="eastAsia" w:ascii="仿宋" w:hAnsi="仿宋" w:eastAsia="仿宋"/>
          <w:sz w:val="32"/>
          <w:szCs w:val="32"/>
        </w:rPr>
        <w:t>图4：财政拨款收、支决算总计变动情况</w:t>
      </w:r>
    </w:p>
    <w:p w14:paraId="45133D15">
      <w:pPr>
        <w:spacing w:line="600" w:lineRule="exact"/>
        <w:ind w:firstLine="640" w:firstLineChars="200"/>
        <w:outlineLvl w:val="1"/>
        <w:rPr>
          <w:rStyle w:val="30"/>
          <w:rFonts w:ascii="黑体" w:hAnsi="黑体" w:eastAsia="黑体"/>
          <w:b w:val="0"/>
        </w:rPr>
      </w:pPr>
      <w:bookmarkStart w:id="36" w:name="_Toc15377209"/>
      <w:bookmarkStart w:id="37" w:name="_Toc28364"/>
      <w:bookmarkStart w:id="38" w:name="_Toc15396607"/>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36"/>
      <w:bookmarkEnd w:id="37"/>
      <w:bookmarkEnd w:id="38"/>
    </w:p>
    <w:p w14:paraId="1EF622ED">
      <w:pPr>
        <w:spacing w:line="600" w:lineRule="exact"/>
        <w:ind w:firstLine="643" w:firstLineChars="200"/>
        <w:outlineLvl w:val="2"/>
        <w:rPr>
          <w:rFonts w:hint="eastAsia" w:ascii="Times New Roman" w:hAnsi="Times New Roman" w:eastAsia="方正楷体_GBK" w:cs="Times New Roman"/>
          <w:b/>
          <w:sz w:val="32"/>
          <w:szCs w:val="32"/>
        </w:rPr>
      </w:pPr>
      <w:bookmarkStart w:id="39" w:name="_Toc31824"/>
      <w:bookmarkStart w:id="40" w:name="_Toc15377210"/>
      <w:r>
        <w:rPr>
          <w:rFonts w:hint="eastAsia" w:ascii="Times New Roman" w:hAnsi="Times New Roman" w:eastAsia="方正楷体_GBK" w:cs="Times New Roman"/>
          <w:b/>
          <w:sz w:val="32"/>
          <w:szCs w:val="32"/>
        </w:rPr>
        <w:t>（一）一般公共预算财政拨款支出决算总体情况</w:t>
      </w:r>
      <w:bookmarkEnd w:id="39"/>
      <w:bookmarkEnd w:id="40"/>
    </w:p>
    <w:p w14:paraId="03B586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rPr>
        <w:t>年度一般公共预算财政拨款支出</w:t>
      </w:r>
      <w:r>
        <w:rPr>
          <w:rFonts w:hint="eastAsia" w:eastAsia="方正仿宋_GBK" w:cs="Times New Roman"/>
          <w:sz w:val="32"/>
          <w:szCs w:val="32"/>
          <w:lang w:val="en-US" w:eastAsia="zh-CN"/>
        </w:rPr>
        <w:t>826.28</w:t>
      </w:r>
      <w:r>
        <w:rPr>
          <w:rFonts w:hint="eastAsia" w:ascii="Times New Roman" w:hAnsi="Times New Roman" w:eastAsia="方正仿宋_GBK" w:cs="Times New Roman"/>
          <w:sz w:val="32"/>
          <w:szCs w:val="32"/>
        </w:rPr>
        <w:t>万元，占本年支出合计的</w:t>
      </w:r>
      <w:r>
        <w:rPr>
          <w:rFonts w:hint="eastAsia" w:eastAsia="方正仿宋_GBK" w:cs="Times New Roman"/>
          <w:sz w:val="32"/>
          <w:szCs w:val="32"/>
          <w:lang w:val="en-US" w:eastAsia="zh-CN"/>
        </w:rPr>
        <w:t>86</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rPr>
        <w:t>。与202</w:t>
      </w:r>
      <w:r>
        <w:rPr>
          <w:rFonts w:hint="eastAsia" w:eastAsia="方正仿宋_GBK" w:cs="Times New Roman"/>
          <w:sz w:val="32"/>
          <w:szCs w:val="32"/>
          <w:lang w:val="en-US" w:eastAsia="zh-CN"/>
        </w:rPr>
        <w:t>3</w:t>
      </w:r>
      <w:r>
        <w:rPr>
          <w:rFonts w:hint="eastAsia" w:ascii="Times New Roman" w:hAnsi="Times New Roman" w:eastAsia="方正仿宋_GBK" w:cs="Times New Roman"/>
          <w:sz w:val="32"/>
          <w:szCs w:val="32"/>
        </w:rPr>
        <w:t>年度相比，一般公共预算财政拨款支出增加</w:t>
      </w:r>
      <w:r>
        <w:rPr>
          <w:rFonts w:hint="eastAsia" w:eastAsia="方正仿宋_GBK" w:cs="Times New Roman"/>
          <w:sz w:val="32"/>
          <w:szCs w:val="32"/>
          <w:lang w:val="en-US" w:eastAsia="zh-CN"/>
        </w:rPr>
        <w:t>33.92</w:t>
      </w:r>
      <w:r>
        <w:rPr>
          <w:rFonts w:hint="eastAsia" w:ascii="Times New Roman" w:hAnsi="Times New Roman" w:eastAsia="方正仿宋_GBK" w:cs="Times New Roman"/>
          <w:sz w:val="32"/>
          <w:szCs w:val="32"/>
        </w:rPr>
        <w:t>万元，增长</w:t>
      </w:r>
      <w:r>
        <w:rPr>
          <w:rFonts w:hint="eastAsia" w:eastAsia="方正仿宋_GBK" w:cs="Times New Roman"/>
          <w:sz w:val="32"/>
          <w:szCs w:val="32"/>
          <w:lang w:val="en-US" w:eastAsia="zh-CN"/>
        </w:rPr>
        <w:t>4.3</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rPr>
        <w:t>。</w:t>
      </w:r>
      <w:r>
        <w:rPr>
          <w:rFonts w:hint="default" w:ascii="Times New Roman" w:hAnsi="Times New Roman" w:eastAsia="方正仿宋_GBK" w:cs="Times New Roman"/>
          <w:sz w:val="32"/>
          <w:szCs w:val="32"/>
        </w:rPr>
        <w:t>主要变动原因是</w:t>
      </w:r>
      <w:r>
        <w:rPr>
          <w:rFonts w:hint="default" w:ascii="Times New Roman" w:hAnsi="Times New Roman" w:eastAsia="方正仿宋_GBK" w:cs="Times New Roman"/>
          <w:sz w:val="32"/>
          <w:szCs w:val="32"/>
          <w:lang w:val="en-US" w:eastAsia="zh-CN"/>
        </w:rPr>
        <w:t>本年度</w:t>
      </w:r>
      <w:r>
        <w:rPr>
          <w:rFonts w:hint="default" w:ascii="Times New Roman" w:hAnsi="Times New Roman" w:eastAsia="方正仿宋_GBK" w:cs="Times New Roman"/>
          <w:sz w:val="32"/>
          <w:szCs w:val="32"/>
        </w:rPr>
        <w:t>本年度采购项目完成度高于2023年，采购项目均完成支付。</w:t>
      </w:r>
    </w:p>
    <w:p w14:paraId="3881976C">
      <w:pPr>
        <w:spacing w:line="600" w:lineRule="exact"/>
        <w:ind w:firstLine="420" w:firstLineChars="200"/>
        <w:rPr>
          <w:rFonts w:hint="eastAsia" w:ascii="仿宋" w:hAnsi="仿宋" w:eastAsia="仿宋"/>
          <w:sz w:val="32"/>
          <w:szCs w:val="32"/>
        </w:rPr>
      </w:pPr>
      <w:r>
        <w:drawing>
          <wp:anchor distT="0" distB="0" distL="114300" distR="114300" simplePos="0" relativeHeight="251663360" behindDoc="0" locked="0" layoutInCell="1" allowOverlap="1">
            <wp:simplePos x="0" y="0"/>
            <wp:positionH relativeFrom="column">
              <wp:posOffset>481330</wp:posOffset>
            </wp:positionH>
            <wp:positionV relativeFrom="paragraph">
              <wp:posOffset>29210</wp:posOffset>
            </wp:positionV>
            <wp:extent cx="4572000" cy="2320290"/>
            <wp:effectExtent l="4445" t="4445" r="8255" b="12065"/>
            <wp:wrapNone/>
            <wp:docPr id="3"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8EC14E8">
      <w:pPr>
        <w:spacing w:line="600" w:lineRule="exact"/>
        <w:ind w:firstLine="640" w:firstLineChars="200"/>
        <w:rPr>
          <w:rFonts w:hint="eastAsia" w:ascii="仿宋" w:hAnsi="仿宋" w:eastAsia="仿宋"/>
          <w:sz w:val="32"/>
          <w:szCs w:val="32"/>
        </w:rPr>
      </w:pPr>
    </w:p>
    <w:p w14:paraId="452C665C">
      <w:pPr>
        <w:spacing w:line="600" w:lineRule="exact"/>
        <w:ind w:firstLine="640" w:firstLineChars="200"/>
        <w:rPr>
          <w:rFonts w:hint="eastAsia" w:ascii="仿宋" w:hAnsi="仿宋" w:eastAsia="仿宋"/>
          <w:sz w:val="32"/>
          <w:szCs w:val="32"/>
        </w:rPr>
      </w:pPr>
    </w:p>
    <w:p w14:paraId="2D218F91">
      <w:pPr>
        <w:spacing w:line="600" w:lineRule="exact"/>
        <w:ind w:firstLine="640" w:firstLineChars="200"/>
        <w:rPr>
          <w:rFonts w:hint="eastAsia" w:ascii="仿宋" w:hAnsi="仿宋" w:eastAsia="仿宋"/>
          <w:sz w:val="32"/>
          <w:szCs w:val="32"/>
        </w:rPr>
      </w:pPr>
    </w:p>
    <w:p w14:paraId="5F8F440F">
      <w:pPr>
        <w:spacing w:line="600" w:lineRule="exact"/>
        <w:rPr>
          <w:rFonts w:hint="eastAsia" w:ascii="仿宋" w:hAnsi="仿宋" w:eastAsia="仿宋"/>
          <w:sz w:val="32"/>
          <w:szCs w:val="32"/>
        </w:rPr>
      </w:pPr>
    </w:p>
    <w:p w14:paraId="5760395C">
      <w:pPr>
        <w:spacing w:line="600" w:lineRule="exact"/>
        <w:jc w:val="center"/>
        <w:rPr>
          <w:rFonts w:hint="eastAsia" w:ascii="仿宋" w:hAnsi="仿宋" w:eastAsia="仿宋"/>
          <w:sz w:val="32"/>
          <w:szCs w:val="32"/>
        </w:rPr>
      </w:pPr>
    </w:p>
    <w:p w14:paraId="501ACD43">
      <w:pPr>
        <w:spacing w:line="600" w:lineRule="exact"/>
        <w:jc w:val="center"/>
        <w:rPr>
          <w:rFonts w:ascii="仿宋" w:hAnsi="仿宋" w:eastAsia="仿宋"/>
          <w:sz w:val="32"/>
          <w:szCs w:val="32"/>
        </w:rPr>
      </w:pPr>
      <w:r>
        <w:rPr>
          <w:rFonts w:hint="eastAsia" w:ascii="仿宋" w:hAnsi="仿宋" w:eastAsia="仿宋"/>
          <w:sz w:val="32"/>
          <w:szCs w:val="32"/>
        </w:rPr>
        <w:t>图5：一般公共预算财政拨款支出决算变动情况</w:t>
      </w:r>
    </w:p>
    <w:p w14:paraId="08C4DFAD">
      <w:pPr>
        <w:spacing w:line="600" w:lineRule="exact"/>
        <w:ind w:firstLine="643" w:firstLineChars="200"/>
        <w:outlineLvl w:val="2"/>
        <w:rPr>
          <w:rFonts w:hint="eastAsia" w:ascii="Times New Roman" w:hAnsi="Times New Roman" w:eastAsia="方正楷体_GBK" w:cs="Times New Roman"/>
          <w:b/>
          <w:sz w:val="32"/>
          <w:szCs w:val="32"/>
        </w:rPr>
      </w:pPr>
      <w:bookmarkStart w:id="41" w:name="_Toc22824"/>
      <w:bookmarkStart w:id="42" w:name="_Toc15377211"/>
      <w:r>
        <w:rPr>
          <w:rFonts w:hint="eastAsia" w:ascii="Times New Roman" w:hAnsi="Times New Roman" w:eastAsia="方正楷体_GBK" w:cs="Times New Roman"/>
          <w:b/>
          <w:sz w:val="32"/>
          <w:szCs w:val="32"/>
        </w:rPr>
        <w:t>（二）一般公共预算财政拨款支出决算结构情况</w:t>
      </w:r>
      <w:bookmarkEnd w:id="41"/>
      <w:bookmarkEnd w:id="42"/>
    </w:p>
    <w:p w14:paraId="34DD17A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年度一般公共预算财政拨款支出</w:t>
      </w:r>
      <w:r>
        <w:rPr>
          <w:rFonts w:hint="eastAsia" w:eastAsia="方正仿宋_GBK" w:cs="Times New Roman"/>
          <w:sz w:val="32"/>
          <w:szCs w:val="32"/>
          <w:lang w:val="en-US" w:eastAsia="zh-CN"/>
        </w:rPr>
        <w:t>826.28</w:t>
      </w:r>
      <w:r>
        <w:rPr>
          <w:rFonts w:hint="default" w:ascii="Times New Roman" w:hAnsi="Times New Roman" w:eastAsia="方正仿宋_GBK" w:cs="Times New Roman"/>
          <w:sz w:val="32"/>
          <w:szCs w:val="32"/>
        </w:rPr>
        <w:t>万元，主要用于以下方面:公共安全支出</w:t>
      </w:r>
      <w:r>
        <w:rPr>
          <w:rFonts w:hint="eastAsia" w:eastAsia="方正仿宋_GBK" w:cs="Times New Roman"/>
          <w:sz w:val="32"/>
          <w:szCs w:val="32"/>
          <w:lang w:val="en-US" w:eastAsia="zh-CN"/>
        </w:rPr>
        <w:t>674.90</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81.7</w:t>
      </w:r>
      <w:r>
        <w:rPr>
          <w:rFonts w:hint="default" w:ascii="Times New Roman" w:hAnsi="Times New Roman" w:eastAsia="方正仿宋_GBK" w:cs="Times New Roman"/>
          <w:sz w:val="32"/>
          <w:szCs w:val="32"/>
        </w:rPr>
        <w:t>%;社会保障和就业支出</w:t>
      </w:r>
      <w:r>
        <w:rPr>
          <w:rFonts w:hint="eastAsia" w:eastAsia="方正仿宋_GBK" w:cs="Times New Roman"/>
          <w:sz w:val="32"/>
          <w:szCs w:val="32"/>
          <w:lang w:val="en-US" w:eastAsia="zh-CN"/>
        </w:rPr>
        <w:t>71.05</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8.6</w:t>
      </w:r>
      <w:r>
        <w:rPr>
          <w:rFonts w:hint="default" w:ascii="Times New Roman" w:hAnsi="Times New Roman" w:eastAsia="方正仿宋_GBK" w:cs="Times New Roman"/>
          <w:sz w:val="32"/>
          <w:szCs w:val="32"/>
        </w:rPr>
        <w:t>%;卫生健康支出</w:t>
      </w:r>
      <w:r>
        <w:rPr>
          <w:rFonts w:hint="eastAsia" w:eastAsia="方正仿宋_GBK" w:cs="Times New Roman"/>
          <w:sz w:val="32"/>
          <w:szCs w:val="32"/>
          <w:lang w:val="en-US" w:eastAsia="zh-CN"/>
        </w:rPr>
        <w:t>34.34</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4.1</w:t>
      </w:r>
      <w:r>
        <w:rPr>
          <w:rFonts w:hint="default" w:ascii="Times New Roman" w:hAnsi="Times New Roman" w:eastAsia="方正仿宋_GBK" w:cs="Times New Roman"/>
          <w:sz w:val="32"/>
          <w:szCs w:val="32"/>
        </w:rPr>
        <w:t>%;住房保障支出</w:t>
      </w:r>
      <w:r>
        <w:rPr>
          <w:rFonts w:hint="eastAsia" w:eastAsia="方正仿宋_GBK" w:cs="Times New Roman"/>
          <w:sz w:val="32"/>
          <w:szCs w:val="32"/>
          <w:lang w:val="en-US" w:eastAsia="zh-CN"/>
        </w:rPr>
        <w:t>45.99</w:t>
      </w:r>
      <w:r>
        <w:rPr>
          <w:rFonts w:hint="default" w:ascii="Times New Roman" w:hAnsi="Times New Roman" w:eastAsia="方正仿宋_GBK" w:cs="Times New Roman"/>
          <w:sz w:val="32"/>
          <w:szCs w:val="32"/>
        </w:rPr>
        <w:t>万元，占</w:t>
      </w:r>
      <w:r>
        <w:rPr>
          <w:rFonts w:hint="eastAsia" w:eastAsia="方正仿宋_GBK" w:cs="Times New Roman"/>
          <w:sz w:val="32"/>
          <w:szCs w:val="32"/>
          <w:lang w:val="en-US" w:eastAsia="zh-CN"/>
        </w:rPr>
        <w:t>5.6</w:t>
      </w:r>
      <w:r>
        <w:rPr>
          <w:rFonts w:hint="default" w:ascii="Times New Roman" w:hAnsi="Times New Roman" w:eastAsia="方正仿宋_GBK" w:cs="Times New Roman"/>
          <w:sz w:val="32"/>
          <w:szCs w:val="32"/>
        </w:rPr>
        <w:t>%。</w:t>
      </w:r>
    </w:p>
    <w:p w14:paraId="76ACAC96">
      <w:pPr>
        <w:pStyle w:val="13"/>
        <w:rPr>
          <w:rFonts w:hint="default"/>
        </w:rPr>
      </w:pPr>
      <w:r>
        <w:drawing>
          <wp:anchor distT="0" distB="0" distL="114300" distR="114300" simplePos="0" relativeHeight="251664384" behindDoc="0" locked="0" layoutInCell="1" allowOverlap="1">
            <wp:simplePos x="0" y="0"/>
            <wp:positionH relativeFrom="column">
              <wp:posOffset>19050</wp:posOffset>
            </wp:positionH>
            <wp:positionV relativeFrom="paragraph">
              <wp:posOffset>118110</wp:posOffset>
            </wp:positionV>
            <wp:extent cx="5189855" cy="2760980"/>
            <wp:effectExtent l="4445" t="4445" r="12700" b="41275"/>
            <wp:wrapNone/>
            <wp:docPr id="5126" name="图表 6" descr="7b0a202020202263686172745265734964223a202232303437323230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466CA81D">
      <w:pPr>
        <w:spacing w:line="600" w:lineRule="exact"/>
        <w:ind w:firstLine="640"/>
        <w:rPr>
          <w:rFonts w:ascii="仿宋" w:hAnsi="仿宋" w:eastAsia="仿宋"/>
          <w:sz w:val="32"/>
          <w:szCs w:val="32"/>
        </w:rPr>
      </w:pPr>
    </w:p>
    <w:p w14:paraId="48C369C4">
      <w:pPr>
        <w:spacing w:line="600" w:lineRule="exact"/>
        <w:ind w:firstLine="640"/>
        <w:rPr>
          <w:rFonts w:ascii="仿宋" w:hAnsi="仿宋" w:eastAsia="仿宋"/>
          <w:sz w:val="32"/>
          <w:szCs w:val="32"/>
        </w:rPr>
      </w:pPr>
    </w:p>
    <w:p w14:paraId="721197D8">
      <w:pPr>
        <w:spacing w:line="600" w:lineRule="exact"/>
        <w:ind w:firstLine="640"/>
        <w:rPr>
          <w:rFonts w:ascii="仿宋" w:hAnsi="仿宋" w:eastAsia="仿宋"/>
          <w:sz w:val="32"/>
          <w:szCs w:val="32"/>
        </w:rPr>
      </w:pPr>
    </w:p>
    <w:p w14:paraId="1B32012E">
      <w:pPr>
        <w:spacing w:line="600" w:lineRule="exact"/>
        <w:ind w:firstLine="640"/>
        <w:rPr>
          <w:rFonts w:ascii="仿宋" w:hAnsi="仿宋" w:eastAsia="仿宋"/>
          <w:sz w:val="32"/>
          <w:szCs w:val="32"/>
        </w:rPr>
      </w:pPr>
    </w:p>
    <w:p w14:paraId="5F7C07E3">
      <w:pPr>
        <w:spacing w:line="600" w:lineRule="exact"/>
        <w:ind w:firstLine="640"/>
        <w:rPr>
          <w:rFonts w:ascii="仿宋" w:hAnsi="仿宋" w:eastAsia="仿宋"/>
          <w:sz w:val="32"/>
          <w:szCs w:val="32"/>
        </w:rPr>
      </w:pPr>
    </w:p>
    <w:p w14:paraId="358D5DAF">
      <w:pPr>
        <w:spacing w:line="600" w:lineRule="exact"/>
        <w:ind w:firstLine="640"/>
        <w:rPr>
          <w:rFonts w:ascii="仿宋" w:hAnsi="仿宋" w:eastAsia="仿宋"/>
          <w:sz w:val="32"/>
          <w:szCs w:val="32"/>
        </w:rPr>
      </w:pPr>
    </w:p>
    <w:p w14:paraId="3E5E20BE">
      <w:pPr>
        <w:spacing w:line="600" w:lineRule="exact"/>
        <w:ind w:firstLine="640"/>
        <w:rPr>
          <w:rFonts w:ascii="仿宋" w:hAnsi="仿宋" w:eastAsia="仿宋"/>
          <w:sz w:val="32"/>
          <w:szCs w:val="32"/>
        </w:rPr>
      </w:pPr>
    </w:p>
    <w:p w14:paraId="32293B02">
      <w:pPr>
        <w:spacing w:line="600" w:lineRule="exact"/>
        <w:jc w:val="center"/>
        <w:rPr>
          <w:rFonts w:ascii="仿宋" w:hAnsi="仿宋" w:eastAsia="仿宋"/>
          <w:sz w:val="32"/>
          <w:szCs w:val="32"/>
        </w:rPr>
      </w:pPr>
      <w:r>
        <w:rPr>
          <w:rFonts w:hint="eastAsia" w:ascii="仿宋" w:hAnsi="仿宋" w:eastAsia="仿宋"/>
          <w:sz w:val="32"/>
          <w:szCs w:val="32"/>
        </w:rPr>
        <w:t>图6：一般公共预算财政拨款支出决算结构</w:t>
      </w:r>
    </w:p>
    <w:p w14:paraId="5DA951AB">
      <w:pPr>
        <w:spacing w:line="600" w:lineRule="exact"/>
        <w:ind w:firstLine="643" w:firstLineChars="200"/>
        <w:outlineLvl w:val="2"/>
        <w:rPr>
          <w:rFonts w:hint="eastAsia" w:ascii="方正楷体_GBK" w:hAnsi="方正楷体_GBK" w:eastAsia="方正楷体_GBK" w:cs="方正楷体_GBK"/>
          <w:b/>
          <w:sz w:val="32"/>
          <w:szCs w:val="32"/>
        </w:rPr>
      </w:pPr>
      <w:bookmarkStart w:id="43" w:name="_Toc14311"/>
      <w:bookmarkStart w:id="44" w:name="_Toc15377212"/>
      <w:r>
        <w:rPr>
          <w:rFonts w:hint="eastAsia" w:ascii="方正楷体_GBK" w:hAnsi="方正楷体_GBK" w:eastAsia="方正楷体_GBK" w:cs="方正楷体_GBK"/>
          <w:b/>
          <w:sz w:val="32"/>
          <w:szCs w:val="32"/>
        </w:rPr>
        <w:t>（三）一般公共预算财政拨款支出决算具体情况</w:t>
      </w:r>
      <w:bookmarkEnd w:id="43"/>
      <w:bookmarkEnd w:id="44"/>
    </w:p>
    <w:p w14:paraId="51AA81D5">
      <w:pPr>
        <w:spacing w:line="600" w:lineRule="exact"/>
        <w:ind w:firstLine="640" w:firstLineChars="200"/>
        <w:outlineLvl w:val="1"/>
        <w:rPr>
          <w:rFonts w:hint="default" w:ascii="Times New Roman" w:hAnsi="Times New Roman" w:eastAsia="方正仿宋_GBK" w:cs="Times New Roman"/>
          <w:sz w:val="32"/>
          <w:szCs w:val="32"/>
        </w:rPr>
      </w:pPr>
      <w:bookmarkStart w:id="45" w:name="_Toc15377213"/>
      <w:bookmarkStart w:id="46" w:name="_Toc15378460"/>
      <w:bookmarkStart w:id="47" w:name="_Toc27522"/>
      <w:bookmarkStart w:id="48" w:name="_Toc15377444"/>
      <w:r>
        <w:rPr>
          <w:rFonts w:hint="default" w:ascii="Times New Roman" w:hAnsi="Times New Roman" w:eastAsia="方正仿宋_GBK" w:cs="Times New Roman"/>
          <w:b w:val="0"/>
          <w:bCs/>
          <w:sz w:val="32"/>
          <w:szCs w:val="32"/>
        </w:rPr>
        <w:t>202</w:t>
      </w:r>
      <w:r>
        <w:rPr>
          <w:rFonts w:hint="eastAsia" w:eastAsia="方正仿宋_GBK" w:cs="Times New Roman"/>
          <w:b w:val="0"/>
          <w:bCs/>
          <w:sz w:val="32"/>
          <w:szCs w:val="32"/>
          <w:lang w:val="en-US" w:eastAsia="zh-CN"/>
        </w:rPr>
        <w:t>4</w:t>
      </w:r>
      <w:r>
        <w:rPr>
          <w:rFonts w:hint="default" w:ascii="Times New Roman" w:hAnsi="Times New Roman" w:eastAsia="方正仿宋_GBK" w:cs="Times New Roman"/>
          <w:b/>
          <w:bCs w:val="0"/>
          <w:sz w:val="32"/>
          <w:szCs w:val="32"/>
        </w:rPr>
        <w:t>年度一般公共预算支出决算数为</w:t>
      </w:r>
      <w:r>
        <w:rPr>
          <w:rFonts w:hint="eastAsia" w:eastAsia="方正仿宋_GBK" w:cs="Times New Roman"/>
          <w:b w:val="0"/>
          <w:bCs/>
          <w:sz w:val="32"/>
          <w:szCs w:val="32"/>
          <w:lang w:val="en-US" w:eastAsia="zh-CN"/>
        </w:rPr>
        <w:t>826.28</w:t>
      </w:r>
      <w:r>
        <w:rPr>
          <w:rFonts w:hint="eastAsia" w:eastAsia="方正仿宋_GBK" w:cs="Times New Roman"/>
          <w:b/>
          <w:bCs w:val="0"/>
          <w:sz w:val="32"/>
          <w:szCs w:val="32"/>
          <w:lang w:val="en-US" w:eastAsia="zh-CN"/>
        </w:rPr>
        <w:t>万元</w:t>
      </w:r>
      <w:r>
        <w:rPr>
          <w:rFonts w:hint="default" w:ascii="Times New Roman" w:hAnsi="Times New Roman" w:eastAsia="方正仿宋_GBK" w:cs="Times New Roman"/>
          <w:b/>
          <w:bCs w:val="0"/>
          <w:sz w:val="32"/>
          <w:szCs w:val="32"/>
        </w:rPr>
        <w:t>，</w:t>
      </w:r>
      <w:r>
        <w:rPr>
          <w:rStyle w:val="18"/>
          <w:rFonts w:hint="default" w:ascii="Times New Roman" w:hAnsi="Times New Roman" w:eastAsia="方正仿宋_GBK" w:cs="Times New Roman"/>
          <w:b/>
          <w:bCs w:val="0"/>
          <w:sz w:val="32"/>
          <w:szCs w:val="32"/>
        </w:rPr>
        <w:t>完成预算</w:t>
      </w:r>
      <w:r>
        <w:rPr>
          <w:rStyle w:val="18"/>
          <w:rFonts w:hint="default" w:ascii="Times New Roman" w:hAnsi="Times New Roman" w:eastAsia="方正仿宋_GBK" w:cs="Times New Roman"/>
          <w:b w:val="0"/>
          <w:bCs/>
          <w:sz w:val="32"/>
          <w:szCs w:val="32"/>
          <w:lang w:val="en-US" w:eastAsia="zh-CN"/>
        </w:rPr>
        <w:t>100</w:t>
      </w:r>
      <w:r>
        <w:rPr>
          <w:rStyle w:val="18"/>
          <w:rFonts w:hint="default" w:ascii="Times New Roman" w:hAnsi="Times New Roman" w:eastAsia="方正仿宋_GBK" w:cs="Times New Roman"/>
          <w:b w:val="0"/>
          <w:bCs/>
          <w:sz w:val="32"/>
          <w:szCs w:val="32"/>
        </w:rPr>
        <w:t>%</w:t>
      </w:r>
      <w:r>
        <w:rPr>
          <w:rStyle w:val="18"/>
          <w:rFonts w:hint="default" w:ascii="Times New Roman" w:hAnsi="Times New Roman" w:eastAsia="方正仿宋_GBK" w:cs="Times New Roman"/>
          <w:b/>
          <w:bCs w:val="0"/>
          <w:sz w:val="32"/>
          <w:szCs w:val="32"/>
        </w:rPr>
        <w:t>。</w:t>
      </w:r>
      <w:r>
        <w:rPr>
          <w:rStyle w:val="18"/>
          <w:rFonts w:hint="default" w:ascii="Times New Roman" w:hAnsi="Times New Roman" w:eastAsia="方正仿宋_GBK" w:cs="Times New Roman"/>
          <w:bCs/>
          <w:sz w:val="32"/>
          <w:szCs w:val="32"/>
        </w:rPr>
        <w:t>其中：</w:t>
      </w:r>
      <w:bookmarkEnd w:id="45"/>
      <w:bookmarkEnd w:id="46"/>
      <w:bookmarkEnd w:id="47"/>
      <w:bookmarkEnd w:id="48"/>
    </w:p>
    <w:p w14:paraId="2971D949">
      <w:pPr>
        <w:spacing w:line="600" w:lineRule="exact"/>
        <w:ind w:firstLine="640" w:firstLineChars="200"/>
        <w:rPr>
          <w:rFonts w:hint="default" w:ascii="Times New Roman" w:hAnsi="Times New Roman" w:eastAsia="方正仿宋_GBK" w:cs="Times New Roman"/>
          <w:sz w:val="32"/>
          <w:szCs w:val="32"/>
        </w:rPr>
      </w:pPr>
      <w:r>
        <w:rPr>
          <w:rStyle w:val="18"/>
          <w:rFonts w:hint="eastAsia" w:eastAsia="方正仿宋_GBK" w:cs="Times New Roman"/>
          <w:b w:val="0"/>
          <w:bCs w:val="0"/>
          <w:sz w:val="32"/>
          <w:szCs w:val="32"/>
          <w:lang w:val="en-US" w:eastAsia="zh-CN"/>
        </w:rPr>
        <w:t>1.</w:t>
      </w:r>
      <w:r>
        <w:rPr>
          <w:rStyle w:val="18"/>
          <w:rFonts w:hint="default" w:ascii="Times New Roman" w:hAnsi="Times New Roman" w:eastAsia="方正仿宋_GBK" w:cs="Times New Roman"/>
          <w:bCs/>
          <w:sz w:val="32"/>
          <w:szCs w:val="32"/>
        </w:rPr>
        <w:t>公共安全支出（类）检察（款）行政运行</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项</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w:t>
      </w:r>
      <w:r>
        <w:rPr>
          <w:rFonts w:hint="default" w:ascii="Times New Roman" w:hAnsi="Times New Roman" w:eastAsia="方正仿宋_GBK" w:cs="Times New Roman"/>
          <w:sz w:val="32"/>
          <w:szCs w:val="32"/>
        </w:rPr>
        <w:t>支出决算</w:t>
      </w:r>
      <w:r>
        <w:rPr>
          <w:rFonts w:hint="eastAsia" w:eastAsia="方正仿宋_GBK" w:cs="Times New Roman"/>
          <w:sz w:val="32"/>
          <w:szCs w:val="32"/>
          <w:lang w:val="en-US" w:eastAsia="zh-CN"/>
        </w:rPr>
        <w:t>383.55</w:t>
      </w:r>
      <w:r>
        <w:rPr>
          <w:rFonts w:hint="default" w:ascii="Times New Roman" w:hAnsi="Times New Roman" w:eastAsia="方正仿宋_GBK" w:cs="Times New Roman"/>
          <w:sz w:val="32"/>
          <w:szCs w:val="32"/>
        </w:rPr>
        <w:t>万元，完成预算100%。</w:t>
      </w:r>
    </w:p>
    <w:p w14:paraId="5EE7E936">
      <w:pPr>
        <w:spacing w:line="600" w:lineRule="exact"/>
        <w:ind w:firstLine="640" w:firstLineChars="200"/>
        <w:rPr>
          <w:rStyle w:val="18"/>
          <w:rFonts w:hint="default" w:ascii="Times New Roman" w:hAnsi="Times New Roman" w:eastAsia="方正仿宋_GBK" w:cs="Times New Roman"/>
          <w:b w:val="0"/>
          <w:bCs/>
          <w:sz w:val="32"/>
          <w:szCs w:val="32"/>
        </w:rPr>
      </w:pPr>
      <w:r>
        <w:rPr>
          <w:rStyle w:val="18"/>
          <w:rFonts w:hint="eastAsia" w:eastAsia="方正仿宋_GBK" w:cs="Times New Roman"/>
          <w:b w:val="0"/>
          <w:bCs w:val="0"/>
          <w:sz w:val="32"/>
          <w:szCs w:val="32"/>
          <w:lang w:val="en-US" w:eastAsia="zh-CN"/>
        </w:rPr>
        <w:t>2.</w:t>
      </w:r>
      <w:r>
        <w:rPr>
          <w:rStyle w:val="18"/>
          <w:rFonts w:hint="default" w:ascii="Times New Roman" w:hAnsi="Times New Roman" w:eastAsia="方正仿宋_GBK" w:cs="Times New Roman"/>
          <w:bCs/>
          <w:sz w:val="32"/>
          <w:szCs w:val="32"/>
        </w:rPr>
        <w:t>公共安全支出（类）检察（款）一般行政管理事务</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项</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w:t>
      </w:r>
      <w:r>
        <w:rPr>
          <w:rStyle w:val="18"/>
          <w:rFonts w:hint="default" w:ascii="Times New Roman" w:hAnsi="Times New Roman" w:eastAsia="方正仿宋_GBK" w:cs="Times New Roman"/>
          <w:b w:val="0"/>
          <w:bCs/>
          <w:sz w:val="32"/>
          <w:szCs w:val="32"/>
        </w:rPr>
        <w:t>支出决算</w:t>
      </w:r>
      <w:r>
        <w:rPr>
          <w:rStyle w:val="18"/>
          <w:rFonts w:hint="eastAsia" w:eastAsia="方正仿宋_GBK" w:cs="Times New Roman"/>
          <w:b w:val="0"/>
          <w:bCs/>
          <w:sz w:val="32"/>
          <w:szCs w:val="32"/>
          <w:lang w:val="en-US" w:eastAsia="zh-CN"/>
        </w:rPr>
        <w:t>291.35</w:t>
      </w:r>
      <w:r>
        <w:rPr>
          <w:rStyle w:val="18"/>
          <w:rFonts w:hint="default" w:ascii="Times New Roman" w:hAnsi="Times New Roman" w:eastAsia="方正仿宋_GBK" w:cs="Times New Roman"/>
          <w:b w:val="0"/>
          <w:bCs/>
          <w:sz w:val="32"/>
          <w:szCs w:val="32"/>
        </w:rPr>
        <w:t>万元，完成预算100%。</w:t>
      </w:r>
    </w:p>
    <w:p w14:paraId="526B0E03">
      <w:pPr>
        <w:spacing w:line="600" w:lineRule="exact"/>
        <w:ind w:firstLine="640" w:firstLineChars="200"/>
        <w:rPr>
          <w:rStyle w:val="18"/>
          <w:rFonts w:hint="default" w:ascii="Times New Roman" w:hAnsi="Times New Roman" w:eastAsia="方正仿宋_GBK" w:cs="Times New Roman"/>
          <w:b w:val="0"/>
          <w:bCs/>
          <w:sz w:val="32"/>
          <w:szCs w:val="32"/>
        </w:rPr>
      </w:pPr>
      <w:r>
        <w:rPr>
          <w:rStyle w:val="18"/>
          <w:rFonts w:hint="default" w:ascii="Times New Roman" w:hAnsi="Times New Roman" w:eastAsia="方正仿宋_GBK" w:cs="Times New Roman"/>
          <w:b w:val="0"/>
          <w:bCs w:val="0"/>
          <w:sz w:val="32"/>
          <w:szCs w:val="32"/>
        </w:rPr>
        <w:t>3.</w:t>
      </w:r>
      <w:r>
        <w:rPr>
          <w:rStyle w:val="18"/>
          <w:rFonts w:hint="default" w:ascii="Times New Roman" w:hAnsi="Times New Roman" w:eastAsia="方正仿宋_GBK" w:cs="Times New Roman"/>
          <w:bCs/>
          <w:sz w:val="32"/>
          <w:szCs w:val="32"/>
        </w:rPr>
        <w:t>社会保障和就业支出（类）行政事业单位养老支出（款）机关事业单位基本养老保险缴费支出</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项</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w:t>
      </w:r>
      <w:r>
        <w:rPr>
          <w:rStyle w:val="18"/>
          <w:rFonts w:hint="default" w:ascii="Times New Roman" w:hAnsi="Times New Roman" w:eastAsia="方正仿宋_GBK" w:cs="Times New Roman"/>
          <w:b w:val="0"/>
          <w:bCs/>
          <w:sz w:val="32"/>
          <w:szCs w:val="32"/>
        </w:rPr>
        <w:t>支出决算</w:t>
      </w:r>
      <w:r>
        <w:rPr>
          <w:rStyle w:val="18"/>
          <w:rFonts w:hint="eastAsia" w:eastAsia="方正仿宋_GBK" w:cs="Times New Roman"/>
          <w:b w:val="0"/>
          <w:bCs/>
          <w:sz w:val="32"/>
          <w:szCs w:val="32"/>
          <w:lang w:val="en-US" w:eastAsia="zh-CN"/>
        </w:rPr>
        <w:t>47.37</w:t>
      </w:r>
      <w:r>
        <w:rPr>
          <w:rStyle w:val="18"/>
          <w:rFonts w:hint="default" w:ascii="Times New Roman" w:hAnsi="Times New Roman" w:eastAsia="方正仿宋_GBK" w:cs="Times New Roman"/>
          <w:b w:val="0"/>
          <w:bCs/>
          <w:sz w:val="32"/>
          <w:szCs w:val="32"/>
        </w:rPr>
        <w:t>万元，完成预算 100%。</w:t>
      </w:r>
    </w:p>
    <w:p w14:paraId="644CEBF8">
      <w:pPr>
        <w:spacing w:line="600" w:lineRule="exact"/>
        <w:ind w:firstLine="640" w:firstLineChars="200"/>
        <w:rPr>
          <w:rFonts w:hint="default" w:ascii="Times New Roman" w:hAnsi="Times New Roman" w:eastAsia="方正仿宋_GBK" w:cs="Times New Roman"/>
          <w:b/>
          <w:sz w:val="32"/>
          <w:szCs w:val="32"/>
        </w:rPr>
      </w:pPr>
      <w:r>
        <w:rPr>
          <w:rStyle w:val="18"/>
          <w:rFonts w:hint="default" w:ascii="Times New Roman" w:hAnsi="Times New Roman" w:eastAsia="方正仿宋_GBK" w:cs="Times New Roman"/>
          <w:b w:val="0"/>
          <w:bCs w:val="0"/>
          <w:sz w:val="32"/>
          <w:szCs w:val="32"/>
        </w:rPr>
        <w:t>4.</w:t>
      </w:r>
      <w:r>
        <w:rPr>
          <w:rStyle w:val="18"/>
          <w:rFonts w:hint="default" w:ascii="Times New Roman" w:hAnsi="Times New Roman" w:eastAsia="方正仿宋_GBK" w:cs="Times New Roman"/>
          <w:bCs/>
          <w:sz w:val="32"/>
          <w:szCs w:val="32"/>
        </w:rPr>
        <w:t>社会保障和就业支出（类）行政事业单位养老支出（款）机关事业单位职业年金缴费支出</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项</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w:t>
      </w:r>
      <w:r>
        <w:rPr>
          <w:rStyle w:val="18"/>
          <w:rFonts w:hint="default" w:ascii="Times New Roman" w:hAnsi="Times New Roman" w:eastAsia="方正仿宋_GBK" w:cs="Times New Roman"/>
          <w:b w:val="0"/>
          <w:bCs/>
          <w:sz w:val="32"/>
          <w:szCs w:val="32"/>
        </w:rPr>
        <w:t>支出决算</w:t>
      </w:r>
      <w:r>
        <w:rPr>
          <w:rStyle w:val="18"/>
          <w:rFonts w:hint="eastAsia" w:eastAsia="方正仿宋_GBK" w:cs="Times New Roman"/>
          <w:b w:val="0"/>
          <w:bCs/>
          <w:sz w:val="32"/>
          <w:szCs w:val="32"/>
          <w:lang w:val="en-US" w:eastAsia="zh-CN"/>
        </w:rPr>
        <w:t>23.68</w:t>
      </w:r>
      <w:r>
        <w:rPr>
          <w:rStyle w:val="18"/>
          <w:rFonts w:hint="default" w:ascii="Times New Roman" w:hAnsi="Times New Roman" w:eastAsia="方正仿宋_GBK" w:cs="Times New Roman"/>
          <w:b w:val="0"/>
          <w:bCs/>
          <w:sz w:val="32"/>
          <w:szCs w:val="32"/>
        </w:rPr>
        <w:t>万元，完成预算 100%。</w:t>
      </w:r>
    </w:p>
    <w:p w14:paraId="194A0094">
      <w:pPr>
        <w:spacing w:line="600" w:lineRule="exact"/>
        <w:ind w:firstLine="640" w:firstLineChars="200"/>
        <w:rPr>
          <w:rStyle w:val="18"/>
          <w:rFonts w:hint="default" w:ascii="Times New Roman" w:hAnsi="Times New Roman" w:eastAsia="方正仿宋_GBK" w:cs="Times New Roman"/>
          <w:bCs/>
          <w:color w:val="auto"/>
          <w:sz w:val="32"/>
          <w:szCs w:val="32"/>
        </w:rPr>
      </w:pPr>
      <w:r>
        <w:rPr>
          <w:rStyle w:val="18"/>
          <w:rFonts w:hint="default" w:ascii="Times New Roman" w:hAnsi="Times New Roman" w:eastAsia="方正仿宋_GBK" w:cs="Times New Roman"/>
          <w:b w:val="0"/>
          <w:bCs w:val="0"/>
          <w:sz w:val="32"/>
          <w:szCs w:val="32"/>
        </w:rPr>
        <w:t>5.</w:t>
      </w:r>
      <w:r>
        <w:rPr>
          <w:rStyle w:val="18"/>
          <w:rFonts w:hint="default" w:ascii="Times New Roman" w:hAnsi="Times New Roman" w:eastAsia="方正仿宋_GBK" w:cs="Times New Roman"/>
          <w:bCs/>
          <w:sz w:val="32"/>
          <w:szCs w:val="32"/>
        </w:rPr>
        <w:t>卫生健康支（类）行政事业单位医疗（款）行政单位医疗</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项</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w:t>
      </w:r>
      <w:r>
        <w:rPr>
          <w:rStyle w:val="18"/>
          <w:rFonts w:hint="default" w:ascii="Times New Roman" w:hAnsi="Times New Roman" w:eastAsia="方正仿宋_GBK" w:cs="Times New Roman"/>
          <w:b w:val="0"/>
          <w:bCs/>
          <w:sz w:val="32"/>
          <w:szCs w:val="32"/>
        </w:rPr>
        <w:t>支出决算</w:t>
      </w:r>
      <w:r>
        <w:rPr>
          <w:rStyle w:val="18"/>
          <w:rFonts w:hint="default" w:ascii="Times New Roman" w:hAnsi="Times New Roman" w:eastAsia="方正仿宋_GBK" w:cs="Times New Roman"/>
          <w:b w:val="0"/>
          <w:bCs/>
          <w:color w:val="auto"/>
          <w:sz w:val="32"/>
          <w:szCs w:val="32"/>
        </w:rPr>
        <w:t xml:space="preserve"> </w:t>
      </w:r>
      <w:r>
        <w:rPr>
          <w:rStyle w:val="18"/>
          <w:rFonts w:hint="eastAsia" w:eastAsia="方正仿宋_GBK" w:cs="Times New Roman"/>
          <w:b w:val="0"/>
          <w:bCs/>
          <w:color w:val="auto"/>
          <w:sz w:val="32"/>
          <w:szCs w:val="32"/>
          <w:lang w:val="en-US" w:eastAsia="zh-CN"/>
        </w:rPr>
        <w:t>26.52</w:t>
      </w:r>
      <w:r>
        <w:rPr>
          <w:rStyle w:val="18"/>
          <w:rFonts w:hint="default" w:ascii="Times New Roman" w:hAnsi="Times New Roman" w:eastAsia="方正仿宋_GBK" w:cs="Times New Roman"/>
          <w:b w:val="0"/>
          <w:bCs/>
          <w:color w:val="auto"/>
          <w:sz w:val="32"/>
          <w:szCs w:val="32"/>
        </w:rPr>
        <w:t>万元，完成预算 100%。</w:t>
      </w:r>
    </w:p>
    <w:p w14:paraId="68A9A87F">
      <w:pPr>
        <w:spacing w:line="600" w:lineRule="exact"/>
        <w:ind w:firstLine="640" w:firstLineChars="200"/>
        <w:rPr>
          <w:rStyle w:val="18"/>
          <w:rFonts w:hint="default" w:ascii="Times New Roman" w:hAnsi="Times New Roman" w:eastAsia="方正仿宋_GBK" w:cs="Times New Roman"/>
          <w:bCs/>
          <w:sz w:val="32"/>
          <w:szCs w:val="32"/>
        </w:rPr>
      </w:pPr>
      <w:r>
        <w:rPr>
          <w:rStyle w:val="18"/>
          <w:rFonts w:hint="default" w:ascii="Times New Roman" w:hAnsi="Times New Roman" w:eastAsia="方正仿宋_GBK" w:cs="Times New Roman"/>
          <w:b w:val="0"/>
          <w:bCs w:val="0"/>
          <w:color w:val="auto"/>
          <w:sz w:val="32"/>
          <w:szCs w:val="32"/>
        </w:rPr>
        <w:t>6.</w:t>
      </w:r>
      <w:r>
        <w:rPr>
          <w:rStyle w:val="18"/>
          <w:rFonts w:hint="default" w:ascii="Times New Roman" w:hAnsi="Times New Roman" w:eastAsia="方正仿宋_GBK" w:cs="Times New Roman"/>
          <w:bCs/>
          <w:color w:val="auto"/>
          <w:sz w:val="32"/>
          <w:szCs w:val="32"/>
        </w:rPr>
        <w:t>卫生健康支出（类）行政事业单位医疗（款）公务员医疗补助</w:t>
      </w:r>
      <w:r>
        <w:rPr>
          <w:rStyle w:val="18"/>
          <w:rFonts w:hint="eastAsia" w:eastAsia="方正仿宋_GBK" w:cs="Times New Roman"/>
          <w:bCs/>
          <w:color w:val="auto"/>
          <w:sz w:val="32"/>
          <w:szCs w:val="32"/>
          <w:lang w:eastAsia="zh-CN"/>
        </w:rPr>
        <w:t>（</w:t>
      </w:r>
      <w:r>
        <w:rPr>
          <w:rStyle w:val="18"/>
          <w:rFonts w:hint="default" w:ascii="Times New Roman" w:hAnsi="Times New Roman" w:eastAsia="方正仿宋_GBK" w:cs="Times New Roman"/>
          <w:bCs/>
          <w:color w:val="auto"/>
          <w:sz w:val="32"/>
          <w:szCs w:val="32"/>
        </w:rPr>
        <w:t>项</w:t>
      </w:r>
      <w:r>
        <w:rPr>
          <w:rStyle w:val="18"/>
          <w:rFonts w:hint="eastAsia" w:eastAsia="方正仿宋_GBK" w:cs="Times New Roman"/>
          <w:bCs/>
          <w:color w:val="auto"/>
          <w:sz w:val="32"/>
          <w:szCs w:val="32"/>
          <w:lang w:eastAsia="zh-CN"/>
        </w:rPr>
        <w:t>）</w:t>
      </w:r>
      <w:r>
        <w:rPr>
          <w:rStyle w:val="18"/>
          <w:rFonts w:hint="default" w:ascii="Times New Roman" w:hAnsi="Times New Roman" w:eastAsia="方正仿宋_GBK" w:cs="Times New Roman"/>
          <w:bCs/>
          <w:color w:val="auto"/>
          <w:sz w:val="32"/>
          <w:szCs w:val="32"/>
        </w:rPr>
        <w:t>:</w:t>
      </w:r>
      <w:r>
        <w:rPr>
          <w:rStyle w:val="18"/>
          <w:rFonts w:hint="default" w:ascii="Times New Roman" w:hAnsi="Times New Roman" w:eastAsia="方正仿宋_GBK" w:cs="Times New Roman"/>
          <w:b w:val="0"/>
          <w:bCs/>
          <w:color w:val="auto"/>
          <w:sz w:val="32"/>
          <w:szCs w:val="32"/>
        </w:rPr>
        <w:t>支出决算</w:t>
      </w:r>
      <w:r>
        <w:rPr>
          <w:rStyle w:val="18"/>
          <w:rFonts w:hint="eastAsia" w:eastAsia="方正仿宋_GBK" w:cs="Times New Roman"/>
          <w:b w:val="0"/>
          <w:bCs/>
          <w:color w:val="auto"/>
          <w:sz w:val="32"/>
          <w:szCs w:val="32"/>
          <w:lang w:val="en-US" w:eastAsia="zh-CN"/>
        </w:rPr>
        <w:t>7.82</w:t>
      </w:r>
      <w:r>
        <w:rPr>
          <w:rStyle w:val="18"/>
          <w:rFonts w:hint="default" w:ascii="Times New Roman" w:hAnsi="Times New Roman" w:eastAsia="方正仿宋_GBK" w:cs="Times New Roman"/>
          <w:b w:val="0"/>
          <w:bCs/>
          <w:color w:val="auto"/>
          <w:sz w:val="32"/>
          <w:szCs w:val="32"/>
        </w:rPr>
        <w:t>万元，</w:t>
      </w:r>
      <w:r>
        <w:rPr>
          <w:rStyle w:val="18"/>
          <w:rFonts w:hint="default" w:ascii="Times New Roman" w:hAnsi="Times New Roman" w:eastAsia="方正仿宋_GBK" w:cs="Times New Roman"/>
          <w:b w:val="0"/>
          <w:bCs/>
          <w:sz w:val="32"/>
          <w:szCs w:val="32"/>
        </w:rPr>
        <w:t>完成预算100%。</w:t>
      </w:r>
    </w:p>
    <w:p w14:paraId="4FF57D2D">
      <w:pPr>
        <w:spacing w:line="600" w:lineRule="exact"/>
        <w:ind w:firstLine="640" w:firstLineChars="200"/>
        <w:rPr>
          <w:rFonts w:ascii="仿宋" w:hAnsi="仿宋" w:eastAsia="仿宋"/>
          <w:b/>
          <w:sz w:val="32"/>
          <w:szCs w:val="32"/>
        </w:rPr>
      </w:pPr>
      <w:r>
        <w:rPr>
          <w:rStyle w:val="18"/>
          <w:rFonts w:hint="default" w:ascii="Times New Roman" w:hAnsi="Times New Roman" w:eastAsia="方正仿宋_GBK" w:cs="Times New Roman"/>
          <w:b w:val="0"/>
          <w:bCs w:val="0"/>
          <w:sz w:val="32"/>
          <w:szCs w:val="32"/>
        </w:rPr>
        <w:t>7.</w:t>
      </w:r>
      <w:r>
        <w:rPr>
          <w:rStyle w:val="18"/>
          <w:rFonts w:hint="default" w:ascii="Times New Roman" w:hAnsi="Times New Roman" w:eastAsia="方正仿宋_GBK" w:cs="Times New Roman"/>
          <w:bCs/>
          <w:sz w:val="32"/>
          <w:szCs w:val="32"/>
        </w:rPr>
        <w:t>住房保障支出（类）住房改革支出（款）住房公积金</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项</w:t>
      </w:r>
      <w:r>
        <w:rPr>
          <w:rStyle w:val="18"/>
          <w:rFonts w:hint="eastAsia" w:eastAsia="方正仿宋_GBK" w:cs="Times New Roman"/>
          <w:bCs/>
          <w:sz w:val="32"/>
          <w:szCs w:val="32"/>
          <w:lang w:eastAsia="zh-CN"/>
        </w:rPr>
        <w:t>）</w:t>
      </w:r>
      <w:r>
        <w:rPr>
          <w:rStyle w:val="18"/>
          <w:rFonts w:hint="default" w:ascii="Times New Roman" w:hAnsi="Times New Roman" w:eastAsia="方正仿宋_GBK" w:cs="Times New Roman"/>
          <w:bCs/>
          <w:sz w:val="32"/>
          <w:szCs w:val="32"/>
        </w:rPr>
        <w:t>:</w:t>
      </w:r>
      <w:r>
        <w:rPr>
          <w:rStyle w:val="18"/>
          <w:rFonts w:hint="default" w:ascii="Times New Roman" w:hAnsi="Times New Roman" w:eastAsia="方正仿宋_GBK" w:cs="Times New Roman"/>
          <w:b w:val="0"/>
          <w:bCs/>
          <w:sz w:val="32"/>
          <w:szCs w:val="32"/>
        </w:rPr>
        <w:t>支出决算</w:t>
      </w:r>
      <w:r>
        <w:rPr>
          <w:rStyle w:val="18"/>
          <w:rFonts w:hint="eastAsia" w:eastAsia="方正仿宋_GBK" w:cs="Times New Roman"/>
          <w:b w:val="0"/>
          <w:bCs/>
          <w:sz w:val="32"/>
          <w:szCs w:val="32"/>
          <w:lang w:val="en-US" w:eastAsia="zh-CN"/>
        </w:rPr>
        <w:t>45.99</w:t>
      </w:r>
      <w:r>
        <w:rPr>
          <w:rStyle w:val="18"/>
          <w:rFonts w:hint="default" w:ascii="Times New Roman" w:hAnsi="Times New Roman" w:eastAsia="方正仿宋_GBK" w:cs="Times New Roman"/>
          <w:b w:val="0"/>
          <w:bCs/>
          <w:sz w:val="32"/>
          <w:szCs w:val="32"/>
        </w:rPr>
        <w:t>万元，完成预算100%。</w:t>
      </w:r>
    </w:p>
    <w:p w14:paraId="5C2942BD">
      <w:pPr>
        <w:tabs>
          <w:tab w:val="right" w:pos="8306"/>
        </w:tabs>
        <w:spacing w:line="600" w:lineRule="exact"/>
        <w:ind w:firstLine="640"/>
        <w:outlineLvl w:val="1"/>
        <w:rPr>
          <w:rStyle w:val="30"/>
        </w:rPr>
      </w:pPr>
      <w:bookmarkStart w:id="49" w:name="_Toc4634"/>
      <w:bookmarkStart w:id="50" w:name="_Toc15377214"/>
      <w:bookmarkStart w:id="51"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49"/>
      <w:bookmarkEnd w:id="50"/>
      <w:bookmarkEnd w:id="51"/>
      <w:r>
        <w:rPr>
          <w:rStyle w:val="30"/>
          <w:rFonts w:ascii="黑体" w:hAnsi="黑体" w:eastAsia="黑体"/>
          <w:b w:val="0"/>
        </w:rPr>
        <w:tab/>
      </w:r>
    </w:p>
    <w:p w14:paraId="1C6F619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rPr>
        <w:t>年度一般公共预算财政拨款基本支出</w:t>
      </w:r>
      <w:r>
        <w:rPr>
          <w:rFonts w:hint="eastAsia" w:eastAsia="方正仿宋_GBK" w:cs="Times New Roman"/>
          <w:sz w:val="32"/>
          <w:szCs w:val="32"/>
          <w:lang w:val="en-US" w:eastAsia="zh-CN"/>
        </w:rPr>
        <w:t>534.93</w:t>
      </w:r>
      <w:r>
        <w:rPr>
          <w:rFonts w:hint="eastAsia" w:ascii="Times New Roman" w:hAnsi="Times New Roman" w:eastAsia="方正仿宋_GBK" w:cs="Times New Roman"/>
          <w:sz w:val="32"/>
          <w:szCs w:val="32"/>
        </w:rPr>
        <w:t>万元，其中：</w:t>
      </w:r>
    </w:p>
    <w:p w14:paraId="60D970C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人员经费</w:t>
      </w:r>
      <w:r>
        <w:rPr>
          <w:rFonts w:hint="eastAsia" w:eastAsia="方正仿宋_GBK" w:cs="Times New Roman"/>
          <w:sz w:val="32"/>
          <w:szCs w:val="32"/>
          <w:lang w:val="en-US" w:eastAsia="zh-CN"/>
        </w:rPr>
        <w:t>464.99</w:t>
      </w:r>
      <w:r>
        <w:rPr>
          <w:rFonts w:hint="eastAsia" w:ascii="Times New Roman" w:hAnsi="Times New Roman" w:eastAsia="方正仿宋_GBK" w:cs="Times New Roman"/>
          <w:sz w:val="32"/>
          <w:szCs w:val="32"/>
        </w:rPr>
        <w:t>万元，主要包括：基本工资、津贴补贴、奖金、伙食补助费</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机关事业单位基本养老保险缴费、职业年金缴费、其他社会保障缴费、</w:t>
      </w:r>
      <w:r>
        <w:rPr>
          <w:rFonts w:hint="eastAsia" w:ascii="Times New Roman" w:hAnsi="Times New Roman" w:eastAsia="方正仿宋_GBK" w:cs="Times New Roman"/>
          <w:sz w:val="32"/>
          <w:szCs w:val="32"/>
          <w:lang w:val="en-US" w:eastAsia="zh-CN"/>
        </w:rPr>
        <w:t>住房公积金、</w:t>
      </w:r>
      <w:r>
        <w:rPr>
          <w:rFonts w:hint="eastAsia" w:ascii="Times New Roman" w:hAnsi="Times New Roman" w:eastAsia="方正仿宋_GBK" w:cs="Times New Roman"/>
          <w:sz w:val="32"/>
          <w:szCs w:val="32"/>
        </w:rPr>
        <w:t>其他工资福利支出、生活补助、奖励金。</w:t>
      </w:r>
    </w:p>
    <w:p w14:paraId="304353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b/>
          <w:sz w:val="32"/>
          <w:szCs w:val="32"/>
        </w:rPr>
      </w:pPr>
      <w:r>
        <w:rPr>
          <w:rFonts w:hint="eastAsia" w:ascii="Times New Roman" w:hAnsi="Times New Roman" w:eastAsia="方正仿宋_GBK" w:cs="Times New Roman"/>
          <w:sz w:val="32"/>
          <w:szCs w:val="32"/>
        </w:rPr>
        <w:t>公用经费</w:t>
      </w:r>
      <w:r>
        <w:rPr>
          <w:rFonts w:hint="eastAsia" w:eastAsia="方正仿宋_GBK" w:cs="Times New Roman"/>
          <w:sz w:val="32"/>
          <w:szCs w:val="32"/>
          <w:lang w:val="en-US" w:eastAsia="zh-CN"/>
        </w:rPr>
        <w:t>69.94</w:t>
      </w:r>
      <w:r>
        <w:rPr>
          <w:rFonts w:hint="eastAsia" w:ascii="Times New Roman" w:hAnsi="Times New Roman" w:eastAsia="方正仿宋_GBK" w:cs="Times New Roman"/>
          <w:sz w:val="32"/>
          <w:szCs w:val="32"/>
        </w:rPr>
        <w:t>万元，主要包括：办公费、印刷费、水费、电费、邮电费、差旅费、维修（护）费、培训费、公务接待费、劳务费、委托业务费、福利费、公务用车运行维护费、其他交通费、其他商品和服务支出、办公设备购置。</w:t>
      </w:r>
    </w:p>
    <w:p w14:paraId="647DC397">
      <w:pPr>
        <w:spacing w:line="600" w:lineRule="exact"/>
        <w:ind w:firstLine="640"/>
        <w:outlineLvl w:val="1"/>
        <w:rPr>
          <w:rStyle w:val="30"/>
          <w:rFonts w:ascii="黑体" w:hAnsi="黑体" w:eastAsia="黑体"/>
          <w:b w:val="0"/>
        </w:rPr>
      </w:pPr>
      <w:bookmarkStart w:id="52" w:name="_Toc15396609"/>
      <w:bookmarkStart w:id="53" w:name="_Toc1863"/>
      <w:bookmarkStart w:id="54" w:name="_Toc15377215"/>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52"/>
      <w:bookmarkEnd w:id="53"/>
      <w:bookmarkEnd w:id="54"/>
    </w:p>
    <w:p w14:paraId="51D1B8DD">
      <w:pPr>
        <w:spacing w:line="600" w:lineRule="exact"/>
        <w:ind w:firstLine="643" w:firstLineChars="200"/>
        <w:outlineLvl w:val="2"/>
        <w:rPr>
          <w:rFonts w:hint="eastAsia" w:ascii="Times New Roman" w:hAnsi="Times New Roman" w:eastAsia="方正楷体_GBK" w:cs="Times New Roman"/>
          <w:b/>
          <w:sz w:val="32"/>
          <w:szCs w:val="32"/>
        </w:rPr>
      </w:pPr>
      <w:bookmarkStart w:id="55" w:name="_Toc9558"/>
      <w:bookmarkStart w:id="56" w:name="_Toc15377216"/>
      <w:r>
        <w:rPr>
          <w:rFonts w:hint="eastAsia" w:ascii="Times New Roman" w:hAnsi="Times New Roman" w:eastAsia="方正楷体_GBK" w:cs="Times New Roman"/>
          <w:b/>
          <w:sz w:val="32"/>
          <w:szCs w:val="32"/>
        </w:rPr>
        <w:t>（一）“三公”经费财政拨款支出决算总体情况说明</w:t>
      </w:r>
      <w:bookmarkEnd w:id="55"/>
      <w:bookmarkEnd w:id="56"/>
    </w:p>
    <w:p w14:paraId="40E7B33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年度“三公”经费财政拨款支出决算为</w:t>
      </w:r>
      <w:r>
        <w:rPr>
          <w:rFonts w:hint="eastAsia" w:eastAsia="方正仿宋_GBK" w:cs="Times New Roman"/>
          <w:sz w:val="32"/>
          <w:szCs w:val="32"/>
          <w:lang w:val="en-US" w:eastAsia="zh-CN"/>
        </w:rPr>
        <w:t>6.56</w:t>
      </w:r>
      <w:r>
        <w:rPr>
          <w:rFonts w:hint="default" w:ascii="Times New Roman" w:hAnsi="Times New Roman" w:eastAsia="方正仿宋_GBK" w:cs="Times New Roman"/>
          <w:sz w:val="32"/>
          <w:szCs w:val="32"/>
        </w:rPr>
        <w:t>万元，完成预算</w:t>
      </w:r>
      <w:r>
        <w:rPr>
          <w:rFonts w:hint="eastAsia" w:eastAsia="方正仿宋_GBK" w:cs="Times New Roman"/>
          <w:sz w:val="32"/>
          <w:szCs w:val="32"/>
          <w:lang w:val="en-US" w:eastAsia="zh-CN"/>
        </w:rPr>
        <w:t>100</w:t>
      </w:r>
      <w:r>
        <w:rPr>
          <w:rFonts w:hint="default" w:ascii="Times New Roman" w:hAnsi="Times New Roman" w:eastAsia="方正仿宋_GBK" w:cs="Times New Roman"/>
          <w:sz w:val="32"/>
          <w:szCs w:val="32"/>
        </w:rPr>
        <w:t>%，较上年度</w:t>
      </w:r>
      <w:r>
        <w:rPr>
          <w:rFonts w:hint="eastAsia" w:eastAsia="方正仿宋_GBK" w:cs="Times New Roman"/>
          <w:sz w:val="32"/>
          <w:szCs w:val="32"/>
          <w:lang w:val="en-US" w:eastAsia="zh-CN"/>
        </w:rPr>
        <w:t>减少5.25</w:t>
      </w:r>
      <w:r>
        <w:rPr>
          <w:rFonts w:hint="default" w:ascii="Times New Roman" w:hAnsi="Times New Roman" w:eastAsia="方正仿宋_GBK" w:cs="Times New Roman"/>
          <w:sz w:val="32"/>
          <w:szCs w:val="32"/>
        </w:rPr>
        <w:t>万元，</w:t>
      </w:r>
      <w:r>
        <w:rPr>
          <w:rFonts w:hint="eastAsia" w:eastAsia="方正仿宋_GBK" w:cs="Times New Roman"/>
          <w:sz w:val="32"/>
          <w:szCs w:val="32"/>
          <w:lang w:val="en-US" w:eastAsia="zh-CN"/>
        </w:rPr>
        <w:t>降低44.4</w:t>
      </w:r>
      <w:r>
        <w:rPr>
          <w:rFonts w:hint="default" w:ascii="Times New Roman" w:hAnsi="Times New Roman" w:eastAsia="方正仿宋_GBK" w:cs="Times New Roman"/>
          <w:sz w:val="32"/>
          <w:szCs w:val="32"/>
        </w:rPr>
        <w:t>%。</w:t>
      </w:r>
      <w:r>
        <w:rPr>
          <w:rFonts w:hint="eastAsia" w:eastAsia="方正仿宋_GBK" w:cs="Times New Roman"/>
          <w:sz w:val="32"/>
          <w:szCs w:val="32"/>
          <w:lang w:val="en-US" w:eastAsia="zh-CN"/>
        </w:rPr>
        <w:t>减少的</w:t>
      </w:r>
      <w:r>
        <w:rPr>
          <w:rFonts w:hint="default" w:ascii="Times New Roman" w:hAnsi="Times New Roman" w:eastAsia="方正仿宋_GBK" w:cs="Times New Roman"/>
          <w:sz w:val="32"/>
          <w:szCs w:val="32"/>
        </w:rPr>
        <w:t>主要原因是</w:t>
      </w:r>
      <w:r>
        <w:rPr>
          <w:rFonts w:hint="default" w:ascii="Times New Roman" w:hAnsi="Times New Roman" w:eastAsia="方正仿宋_GBK" w:cs="Times New Roman"/>
          <w:sz w:val="32"/>
          <w:szCs w:val="32"/>
          <w:lang w:val="en-US" w:eastAsia="zh-CN"/>
        </w:rPr>
        <w:t>例行节约，日常办公出差减少</w:t>
      </w:r>
      <w:r>
        <w:rPr>
          <w:rFonts w:hint="default" w:ascii="Times New Roman" w:hAnsi="Times New Roman" w:eastAsia="方正仿宋_GBK" w:cs="Times New Roman"/>
          <w:sz w:val="32"/>
          <w:szCs w:val="32"/>
        </w:rPr>
        <w:t>。</w:t>
      </w:r>
    </w:p>
    <w:p w14:paraId="250DBD3D">
      <w:pPr>
        <w:spacing w:line="600" w:lineRule="exact"/>
        <w:ind w:firstLine="643" w:firstLineChars="200"/>
        <w:outlineLvl w:val="2"/>
        <w:rPr>
          <w:rFonts w:hint="default" w:ascii="Times New Roman" w:hAnsi="Times New Roman" w:eastAsia="方正楷体_GBK" w:cs="Times New Roman"/>
          <w:b/>
          <w:sz w:val="32"/>
          <w:szCs w:val="32"/>
        </w:rPr>
      </w:pPr>
      <w:bookmarkStart w:id="57" w:name="_Toc26901"/>
      <w:bookmarkStart w:id="58" w:name="_Toc15377217"/>
      <w:r>
        <w:rPr>
          <w:rFonts w:hint="eastAsia" w:ascii="Times New Roman" w:hAnsi="Times New Roman" w:eastAsia="方正楷体_GBK" w:cs="Times New Roman"/>
          <w:b/>
          <w:sz w:val="32"/>
          <w:szCs w:val="32"/>
        </w:rPr>
        <w:t>（二）“三公”经费财政拨款支出决算具体情况说明</w:t>
      </w:r>
      <w:bookmarkEnd w:id="57"/>
      <w:bookmarkEnd w:id="58"/>
    </w:p>
    <w:p w14:paraId="19F7E72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rPr>
        <w:t>年度“三公”经费财政拨款支出决算中，因公出国（境）费支出决算</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万元，占0%；公务用车购置及运行维护费支出决算</w:t>
      </w:r>
      <w:r>
        <w:rPr>
          <w:rFonts w:hint="eastAsia" w:eastAsia="方正仿宋_GBK" w:cs="Times New Roman"/>
          <w:sz w:val="32"/>
          <w:szCs w:val="32"/>
          <w:lang w:val="en-US" w:eastAsia="zh-CN"/>
        </w:rPr>
        <w:t>5.43</w:t>
      </w:r>
      <w:r>
        <w:rPr>
          <w:rFonts w:hint="eastAsia" w:ascii="Times New Roman" w:hAnsi="Times New Roman" w:eastAsia="方正仿宋_GBK" w:cs="Times New Roman"/>
          <w:sz w:val="32"/>
          <w:szCs w:val="32"/>
        </w:rPr>
        <w:t>万元，占</w:t>
      </w:r>
      <w:r>
        <w:rPr>
          <w:rFonts w:hint="eastAsia" w:eastAsia="方正仿宋_GBK" w:cs="Times New Roman"/>
          <w:sz w:val="32"/>
          <w:szCs w:val="32"/>
          <w:lang w:val="en-US" w:eastAsia="zh-CN"/>
        </w:rPr>
        <w:t>82.8</w:t>
      </w:r>
      <w:r>
        <w:rPr>
          <w:rFonts w:hint="eastAsia" w:ascii="Times New Roman" w:hAnsi="Times New Roman" w:eastAsia="方正仿宋_GBK" w:cs="Times New Roman"/>
          <w:sz w:val="32"/>
          <w:szCs w:val="32"/>
        </w:rPr>
        <w:t>%；公务接待费支出决算</w:t>
      </w:r>
      <w:r>
        <w:rPr>
          <w:rFonts w:hint="eastAsia" w:eastAsia="方正仿宋_GBK" w:cs="Times New Roman"/>
          <w:sz w:val="32"/>
          <w:szCs w:val="32"/>
          <w:lang w:val="en-US" w:eastAsia="zh-CN"/>
        </w:rPr>
        <w:t>1.13</w:t>
      </w:r>
      <w:r>
        <w:rPr>
          <w:rFonts w:hint="eastAsia" w:ascii="Times New Roman" w:hAnsi="Times New Roman" w:eastAsia="方正仿宋_GBK" w:cs="Times New Roman"/>
          <w:sz w:val="32"/>
          <w:szCs w:val="32"/>
        </w:rPr>
        <w:t>万元，占</w:t>
      </w:r>
      <w:r>
        <w:rPr>
          <w:rFonts w:hint="eastAsia" w:eastAsia="方正仿宋_GBK" w:cs="Times New Roman"/>
          <w:sz w:val="32"/>
          <w:szCs w:val="32"/>
          <w:lang w:val="en-US" w:eastAsia="zh-CN"/>
        </w:rPr>
        <w:t>17.2</w:t>
      </w:r>
      <w:r>
        <w:rPr>
          <w:rFonts w:hint="eastAsia" w:ascii="Times New Roman" w:hAnsi="Times New Roman" w:eastAsia="方正仿宋_GBK" w:cs="Times New Roman"/>
          <w:sz w:val="32"/>
          <w:szCs w:val="32"/>
        </w:rPr>
        <w:t>%。具体情况如下：</w:t>
      </w:r>
    </w:p>
    <w:p w14:paraId="6229636B">
      <w:pPr>
        <w:spacing w:line="600" w:lineRule="exact"/>
        <w:ind w:firstLine="640"/>
        <w:rPr>
          <w:rFonts w:hint="eastAsia" w:ascii="仿宋" w:hAnsi="仿宋" w:eastAsia="仿宋"/>
          <w:sz w:val="32"/>
          <w:szCs w:val="32"/>
        </w:rPr>
      </w:pPr>
      <w:r>
        <w:drawing>
          <wp:anchor distT="0" distB="0" distL="114300" distR="114300" simplePos="0" relativeHeight="251665408" behindDoc="0" locked="0" layoutInCell="1" allowOverlap="1">
            <wp:simplePos x="0" y="0"/>
            <wp:positionH relativeFrom="column">
              <wp:posOffset>4445</wp:posOffset>
            </wp:positionH>
            <wp:positionV relativeFrom="paragraph">
              <wp:posOffset>81915</wp:posOffset>
            </wp:positionV>
            <wp:extent cx="5274310" cy="2435860"/>
            <wp:effectExtent l="5080" t="4445" r="16510" b="10795"/>
            <wp:wrapNone/>
            <wp:docPr id="7171" name="图表 2" descr="7b0a202020202263686172745265734964223a202232303437323230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A0E65C0">
      <w:pPr>
        <w:spacing w:line="600" w:lineRule="exact"/>
        <w:ind w:firstLine="640"/>
        <w:rPr>
          <w:rFonts w:hint="eastAsia" w:ascii="仿宋" w:hAnsi="仿宋" w:eastAsia="仿宋"/>
          <w:sz w:val="32"/>
          <w:szCs w:val="32"/>
        </w:rPr>
      </w:pPr>
    </w:p>
    <w:p w14:paraId="78EB9D1B">
      <w:pPr>
        <w:spacing w:line="600" w:lineRule="exact"/>
        <w:ind w:firstLine="640"/>
        <w:rPr>
          <w:rFonts w:hint="eastAsia" w:ascii="仿宋" w:hAnsi="仿宋" w:eastAsia="仿宋"/>
          <w:sz w:val="32"/>
          <w:szCs w:val="32"/>
        </w:rPr>
      </w:pPr>
    </w:p>
    <w:p w14:paraId="4DF0E7EA">
      <w:pPr>
        <w:spacing w:line="600" w:lineRule="exact"/>
        <w:ind w:firstLine="640"/>
        <w:rPr>
          <w:rFonts w:hint="eastAsia" w:ascii="仿宋" w:hAnsi="仿宋" w:eastAsia="仿宋"/>
          <w:sz w:val="32"/>
          <w:szCs w:val="32"/>
        </w:rPr>
      </w:pPr>
    </w:p>
    <w:p w14:paraId="0F40BB9F">
      <w:pPr>
        <w:spacing w:line="600" w:lineRule="exact"/>
        <w:ind w:firstLine="640"/>
        <w:rPr>
          <w:rFonts w:hint="eastAsia" w:ascii="仿宋" w:hAnsi="仿宋" w:eastAsia="仿宋"/>
          <w:sz w:val="32"/>
          <w:szCs w:val="32"/>
        </w:rPr>
      </w:pPr>
    </w:p>
    <w:p w14:paraId="7F0274B3">
      <w:pPr>
        <w:spacing w:line="600" w:lineRule="exact"/>
        <w:ind w:firstLine="640"/>
        <w:rPr>
          <w:rFonts w:hint="eastAsia" w:ascii="仿宋" w:hAnsi="仿宋" w:eastAsia="仿宋"/>
          <w:sz w:val="32"/>
          <w:szCs w:val="32"/>
        </w:rPr>
      </w:pPr>
    </w:p>
    <w:p w14:paraId="0FADB712">
      <w:pPr>
        <w:spacing w:line="600" w:lineRule="exact"/>
        <w:ind w:firstLine="640"/>
        <w:rPr>
          <w:rFonts w:hint="eastAsia" w:ascii="仿宋" w:hAnsi="仿宋" w:eastAsia="仿宋"/>
          <w:sz w:val="32"/>
          <w:szCs w:val="32"/>
        </w:rPr>
      </w:pPr>
    </w:p>
    <w:p w14:paraId="3C3D6635">
      <w:pPr>
        <w:spacing w:line="600" w:lineRule="exact"/>
        <w:jc w:val="center"/>
        <w:rPr>
          <w:rFonts w:ascii="仿宋" w:hAnsi="仿宋" w:eastAsia="仿宋"/>
          <w:sz w:val="32"/>
          <w:szCs w:val="32"/>
        </w:rPr>
      </w:pPr>
      <w:r>
        <w:rPr>
          <w:rFonts w:hint="eastAsia" w:ascii="仿宋" w:hAnsi="仿宋" w:eastAsia="仿宋"/>
          <w:sz w:val="32"/>
          <w:szCs w:val="32"/>
        </w:rPr>
        <w:t>图7：“三公”经费财政拨款支出结构</w:t>
      </w:r>
    </w:p>
    <w:p w14:paraId="6B091111">
      <w:pPr>
        <w:spacing w:line="600" w:lineRule="exact"/>
        <w:ind w:firstLine="640"/>
        <w:rPr>
          <w:rFonts w:hint="default" w:ascii="Times New Roman" w:hAnsi="Times New Roman" w:eastAsia="方正仿宋_GBK" w:cs="Times New Roman"/>
          <w:sz w:val="32"/>
          <w:szCs w:val="32"/>
        </w:rPr>
      </w:pPr>
      <w:r>
        <w:rPr>
          <w:rFonts w:hint="default" w:ascii="Times New Roman" w:hAnsi="Times New Roman" w:eastAsia="仿宋" w:cs="Times New Roman"/>
          <w:b/>
          <w:bCs/>
          <w:sz w:val="32"/>
          <w:szCs w:val="32"/>
          <w:lang w:val="en-US" w:eastAsia="zh-CN"/>
        </w:rPr>
        <w:t>1.因公出国（境）经费支出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万元，完成预算0%。全年安排因公出国（境）团组0次，出国（境）0人。因公出国（境）支出决算</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2022年</w:t>
      </w:r>
      <w:r>
        <w:rPr>
          <w:rFonts w:hint="default" w:ascii="Times New Roman" w:hAnsi="Times New Roman" w:eastAsia="方正仿宋_GBK" w:cs="Times New Roman"/>
          <w:sz w:val="32"/>
          <w:szCs w:val="32"/>
          <w:lang w:val="en-US" w:eastAsia="zh-CN"/>
        </w:rPr>
        <w:t>持平</w:t>
      </w:r>
      <w:r>
        <w:rPr>
          <w:rFonts w:hint="default" w:ascii="Times New Roman" w:hAnsi="Times New Roman" w:eastAsia="方正仿宋_GBK" w:cs="Times New Roman"/>
          <w:sz w:val="32"/>
          <w:szCs w:val="32"/>
        </w:rPr>
        <w:t>。</w:t>
      </w:r>
    </w:p>
    <w:p w14:paraId="798B5CF9">
      <w:pPr>
        <w:spacing w:line="600" w:lineRule="exact"/>
        <w:ind w:firstLine="640"/>
        <w:rPr>
          <w:rFonts w:hint="eastAsia" w:ascii="Times New Roman" w:hAnsi="Times New Roman" w:eastAsia="方正仿宋_GBK" w:cs="Times New Roman"/>
          <w:sz w:val="32"/>
          <w:szCs w:val="32"/>
        </w:rPr>
      </w:pPr>
      <w:r>
        <w:rPr>
          <w:rFonts w:hint="default" w:ascii="Times New Roman" w:hAnsi="Times New Roman" w:eastAsia="仿宋" w:cs="Times New Roman"/>
          <w:b/>
          <w:bCs/>
          <w:sz w:val="32"/>
          <w:szCs w:val="32"/>
          <w:lang w:val="en-US" w:eastAsia="zh-CN"/>
        </w:rPr>
        <w:t>2.公务用车购置及运行维护费支</w:t>
      </w:r>
      <w:r>
        <w:rPr>
          <w:rFonts w:hint="eastAsia" w:ascii="仿宋" w:hAnsi="仿宋" w:eastAsia="仿宋" w:cs="Times New Roman"/>
          <w:b/>
          <w:bCs/>
          <w:sz w:val="32"/>
          <w:szCs w:val="32"/>
          <w:lang w:val="en-US" w:eastAsia="zh-CN"/>
        </w:rPr>
        <w:t>出</w:t>
      </w:r>
      <w:r>
        <w:rPr>
          <w:rFonts w:hint="eastAsia" w:eastAsia="方正仿宋_GBK" w:cs="Times New Roman"/>
          <w:sz w:val="32"/>
          <w:szCs w:val="32"/>
          <w:lang w:val="en-US" w:eastAsia="zh-CN"/>
        </w:rPr>
        <w:t>5.43</w:t>
      </w:r>
      <w:r>
        <w:rPr>
          <w:rFonts w:hint="eastAsia" w:ascii="Times New Roman" w:hAnsi="Times New Roman" w:eastAsia="方正仿宋_GBK" w:cs="Times New Roman"/>
          <w:sz w:val="32"/>
          <w:szCs w:val="32"/>
        </w:rPr>
        <w:t>万元,完成预算100%。公务用车购置及运行维护费支出决算比202</w:t>
      </w:r>
      <w:r>
        <w:rPr>
          <w:rFonts w:hint="eastAsia" w:eastAsia="方正仿宋_GBK" w:cs="Times New Roman"/>
          <w:sz w:val="32"/>
          <w:szCs w:val="32"/>
          <w:lang w:val="en-US" w:eastAsia="zh-CN"/>
        </w:rPr>
        <w:t>3</w:t>
      </w:r>
      <w:r>
        <w:rPr>
          <w:rFonts w:hint="eastAsia" w:ascii="Times New Roman" w:hAnsi="Times New Roman" w:eastAsia="方正仿宋_GBK" w:cs="Times New Roman"/>
          <w:sz w:val="32"/>
          <w:szCs w:val="32"/>
        </w:rPr>
        <w:t>年度</w:t>
      </w:r>
      <w:r>
        <w:rPr>
          <w:rFonts w:hint="eastAsia" w:eastAsia="方正仿宋_GBK" w:cs="Times New Roman"/>
          <w:sz w:val="32"/>
          <w:szCs w:val="32"/>
          <w:lang w:val="en-US" w:eastAsia="zh-CN"/>
        </w:rPr>
        <w:t>减少5.07</w:t>
      </w:r>
      <w:r>
        <w:rPr>
          <w:rFonts w:hint="eastAsia" w:ascii="Times New Roman" w:hAnsi="Times New Roman" w:eastAsia="方正仿宋_GBK" w:cs="Times New Roman"/>
          <w:sz w:val="32"/>
          <w:szCs w:val="32"/>
        </w:rPr>
        <w:t>万元，</w:t>
      </w:r>
      <w:r>
        <w:rPr>
          <w:rFonts w:hint="eastAsia" w:eastAsia="方正仿宋_GBK" w:cs="Times New Roman"/>
          <w:sz w:val="32"/>
          <w:szCs w:val="32"/>
          <w:lang w:val="en-US" w:eastAsia="zh-CN"/>
        </w:rPr>
        <w:t>降低48.3</w:t>
      </w:r>
      <w:r>
        <w:rPr>
          <w:rFonts w:hint="eastAsia" w:ascii="Times New Roman" w:hAnsi="Times New Roman" w:eastAsia="方正仿宋_GBK" w:cs="Times New Roman"/>
          <w:sz w:val="32"/>
          <w:szCs w:val="32"/>
        </w:rPr>
        <w:t>%。主要原因</w:t>
      </w:r>
      <w:r>
        <w:rPr>
          <w:rFonts w:hint="eastAsia" w:ascii="Times New Roman" w:hAnsi="Times New Roman" w:eastAsia="方正仿宋_GBK" w:cs="Times New Roman"/>
          <w:sz w:val="32"/>
          <w:szCs w:val="32"/>
          <w:lang w:val="en-US" w:eastAsia="zh-CN"/>
        </w:rPr>
        <w:t>有以下几点：</w:t>
      </w:r>
      <w:r>
        <w:rPr>
          <w:rFonts w:hint="default" w:ascii="Times New Roman" w:hAnsi="Times New Roman" w:eastAsia="方正仿宋_GBK" w:cs="Times New Roman"/>
          <w:sz w:val="32"/>
          <w:szCs w:val="32"/>
          <w:lang w:val="en-US" w:eastAsia="zh-CN"/>
        </w:rPr>
        <w:t>一是2022年个别案件侦查、调查等出差推迟到2023年进行</w:t>
      </w:r>
      <w:r>
        <w:rPr>
          <w:rFonts w:hint="eastAsia" w:eastAsia="方正仿宋_GBK" w:cs="Times New Roman"/>
          <w:sz w:val="32"/>
          <w:szCs w:val="32"/>
          <w:lang w:val="en-US" w:eastAsia="zh-CN"/>
        </w:rPr>
        <w:t>，2024年无此类案件</w:t>
      </w:r>
      <w:r>
        <w:rPr>
          <w:rFonts w:hint="default" w:ascii="Times New Roman" w:hAnsi="Times New Roman" w:eastAsia="方正仿宋_GBK" w:cs="Times New Roman"/>
          <w:sz w:val="32"/>
          <w:szCs w:val="32"/>
          <w:lang w:val="en-US" w:eastAsia="zh-CN"/>
        </w:rPr>
        <w:t>；</w:t>
      </w:r>
      <w:r>
        <w:rPr>
          <w:rFonts w:hint="eastAsia" w:eastAsia="方正仿宋_GBK" w:cs="Times New Roman"/>
          <w:sz w:val="32"/>
          <w:szCs w:val="32"/>
          <w:lang w:val="en-US" w:eastAsia="zh-CN"/>
        </w:rPr>
        <w:t>二</w:t>
      </w:r>
      <w:r>
        <w:rPr>
          <w:rFonts w:hint="default" w:ascii="Times New Roman" w:hAnsi="Times New Roman" w:eastAsia="方正仿宋_GBK" w:cs="Times New Roman"/>
          <w:sz w:val="32"/>
          <w:szCs w:val="32"/>
          <w:lang w:val="en-US" w:eastAsia="zh-CN"/>
        </w:rPr>
        <w:t>是</w:t>
      </w:r>
      <w:r>
        <w:rPr>
          <w:rFonts w:hint="eastAsia" w:ascii="Times New Roman" w:hAnsi="Times New Roman" w:eastAsia="方正仿宋_GBK" w:cs="Times New Roman"/>
          <w:sz w:val="32"/>
          <w:szCs w:val="32"/>
          <w:lang w:val="en-US" w:eastAsia="zh-CN"/>
        </w:rPr>
        <w:t>贯彻落实过紧日子</w:t>
      </w:r>
      <w:r>
        <w:rPr>
          <w:rFonts w:hint="eastAsia" w:eastAsia="方正仿宋_GBK" w:cs="Times New Roman"/>
          <w:sz w:val="32"/>
          <w:szCs w:val="32"/>
          <w:lang w:val="en-US" w:eastAsia="zh-CN"/>
        </w:rPr>
        <w:t>要求，例行节约，加强车辆使用及维修管理</w:t>
      </w:r>
      <w:r>
        <w:rPr>
          <w:rFonts w:hint="eastAsia" w:ascii="Times New Roman" w:hAnsi="Times New Roman" w:eastAsia="方正仿宋_GBK" w:cs="Times New Roman"/>
          <w:sz w:val="32"/>
          <w:szCs w:val="32"/>
          <w:lang w:val="en-US" w:eastAsia="zh-CN"/>
        </w:rPr>
        <w:t>。</w:t>
      </w:r>
    </w:p>
    <w:p w14:paraId="13007105">
      <w:pPr>
        <w:spacing w:line="600" w:lineRule="exact"/>
        <w:ind w:firstLine="640" w:firstLineChars="200"/>
        <w:rPr>
          <w:rFonts w:hint="eastAsia" w:ascii="Times New Roman" w:hAnsi="Times New Roman" w:eastAsia="方正仿宋_GBK" w:cs="Times New Roman"/>
          <w:sz w:val="32"/>
          <w:szCs w:val="32"/>
        </w:rPr>
      </w:pPr>
      <w:r>
        <w:rPr>
          <w:rFonts w:hint="eastAsia" w:ascii="仿宋" w:hAnsi="仿宋" w:eastAsia="仿宋" w:cs="Times New Roman"/>
          <w:sz w:val="32"/>
          <w:szCs w:val="32"/>
        </w:rPr>
        <w:t>其中：</w:t>
      </w:r>
      <w:r>
        <w:rPr>
          <w:rFonts w:hint="eastAsia" w:ascii="仿宋" w:hAnsi="仿宋" w:eastAsia="仿宋" w:cs="Times New Roman"/>
          <w:b/>
          <w:bCs/>
          <w:sz w:val="32"/>
          <w:szCs w:val="32"/>
          <w:lang w:val="en-US" w:eastAsia="zh-CN"/>
        </w:rPr>
        <w:t>公务用车购置支出</w:t>
      </w:r>
      <w:r>
        <w:rPr>
          <w:rFonts w:hint="default" w:ascii="Times New Roman" w:hAnsi="Times New Roman" w:eastAsia="方正仿宋_GBK" w:cs="Times New Roman"/>
          <w:sz w:val="32"/>
          <w:szCs w:val="32"/>
        </w:rPr>
        <w:t>0</w:t>
      </w:r>
      <w:r>
        <w:rPr>
          <w:rFonts w:hint="eastAsia" w:ascii="Times New Roman" w:hAnsi="Times New Roman" w:eastAsia="方正仿宋_GBK" w:cs="Times New Roman"/>
          <w:sz w:val="32"/>
          <w:szCs w:val="32"/>
        </w:rPr>
        <w:t>万元。全年按规定更新购置公务用车</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辆，其中：轿车</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辆、金额</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万元，越野车</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辆、金额</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万元，载客汽车</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辆、金额</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万元。截至2023年12月31日，单位共有公务用车</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辆，其中：轿车</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辆、越野车</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辆、载客汽车</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辆。</w:t>
      </w:r>
    </w:p>
    <w:p w14:paraId="71589A50">
      <w:pPr>
        <w:spacing w:line="600" w:lineRule="exact"/>
        <w:ind w:firstLine="640"/>
        <w:rPr>
          <w:rFonts w:hint="default" w:ascii="Times New Roman" w:hAnsi="Times New Roman" w:eastAsia="方正仿宋_GBK" w:cs="Times New Roman"/>
          <w:sz w:val="32"/>
          <w:szCs w:val="32"/>
        </w:rPr>
      </w:pPr>
      <w:r>
        <w:rPr>
          <w:rFonts w:hint="eastAsia" w:ascii="仿宋" w:hAnsi="仿宋" w:eastAsia="仿宋" w:cs="Times New Roman"/>
          <w:b/>
          <w:bCs/>
          <w:sz w:val="32"/>
          <w:szCs w:val="32"/>
          <w:lang w:val="en-US" w:eastAsia="zh-CN"/>
        </w:rPr>
        <w:t>公务用车运行维护费支出5.43</w:t>
      </w:r>
      <w:r>
        <w:rPr>
          <w:rFonts w:hint="default" w:ascii="Times New Roman" w:hAnsi="Times New Roman" w:eastAsia="方正仿宋_GBK" w:cs="Times New Roman"/>
          <w:sz w:val="32"/>
          <w:szCs w:val="32"/>
          <w:lang w:val="en-US" w:eastAsia="zh-CN"/>
        </w:rPr>
        <w:t>万元。主要用于检察办案、日常办公、“两联一进”、巡山巡林巡河等</w:t>
      </w:r>
      <w:r>
        <w:rPr>
          <w:rFonts w:hint="default" w:ascii="Times New Roman" w:hAnsi="Times New Roman" w:eastAsia="方正仿宋_GBK" w:cs="Times New Roman"/>
          <w:sz w:val="32"/>
          <w:szCs w:val="32"/>
        </w:rPr>
        <w:t>所需的公务用车燃料费、维修费、过路过桥费、保险费等支出。</w:t>
      </w:r>
    </w:p>
    <w:p w14:paraId="2D885299">
      <w:pPr>
        <w:spacing w:line="600" w:lineRule="exact"/>
        <w:ind w:firstLine="640"/>
        <w:rPr>
          <w:rFonts w:hint="eastAsia" w:ascii="Times New Roman" w:hAnsi="Times New Roman" w:eastAsia="方正仿宋_GBK" w:cs="Times New Roman"/>
          <w:sz w:val="32"/>
          <w:szCs w:val="32"/>
          <w:lang w:val="en-US" w:eastAsia="zh-CN"/>
        </w:rPr>
      </w:pPr>
      <w:r>
        <w:rPr>
          <w:rFonts w:hint="eastAsia" w:ascii="仿宋" w:hAnsi="仿宋" w:eastAsia="仿宋" w:cs="Times New Roman"/>
          <w:b/>
          <w:bCs/>
          <w:sz w:val="32"/>
          <w:szCs w:val="32"/>
          <w:lang w:val="en-US" w:eastAsia="zh-CN"/>
        </w:rPr>
        <w:t>3.公务接待费支出</w:t>
      </w:r>
      <w:r>
        <w:rPr>
          <w:rFonts w:hint="eastAsia" w:eastAsia="方正仿宋_GBK" w:cs="Times New Roman"/>
          <w:sz w:val="32"/>
          <w:szCs w:val="32"/>
          <w:lang w:val="en-US" w:eastAsia="zh-CN"/>
        </w:rPr>
        <w:t>1.13</w:t>
      </w:r>
      <w:r>
        <w:rPr>
          <w:rFonts w:hint="eastAsia" w:ascii="Times New Roman" w:hAnsi="Times New Roman" w:eastAsia="方正仿宋_GBK" w:cs="Times New Roman"/>
          <w:sz w:val="32"/>
          <w:szCs w:val="32"/>
          <w:lang w:val="en-US" w:eastAsia="zh-CN"/>
        </w:rPr>
        <w:t>万元，完成预算</w:t>
      </w:r>
      <w:r>
        <w:rPr>
          <w:rFonts w:hint="eastAsia" w:eastAsia="方正仿宋_GBK" w:cs="Times New Roman"/>
          <w:sz w:val="32"/>
          <w:szCs w:val="32"/>
          <w:lang w:val="en-US" w:eastAsia="zh-CN"/>
        </w:rPr>
        <w:t>100</w:t>
      </w:r>
      <w:r>
        <w:rPr>
          <w:rFonts w:hint="eastAsia" w:ascii="Times New Roman" w:hAnsi="Times New Roman" w:eastAsia="方正仿宋_GBK" w:cs="Times New Roman"/>
          <w:sz w:val="32"/>
          <w:szCs w:val="32"/>
          <w:lang w:val="en-US" w:eastAsia="zh-CN"/>
        </w:rPr>
        <w:t>%。公务接待费支出决算比</w:t>
      </w:r>
      <w:r>
        <w:rPr>
          <w:rFonts w:hint="eastAsia" w:eastAsia="方正仿宋_GBK" w:cs="Times New Roman"/>
          <w:sz w:val="32"/>
          <w:szCs w:val="32"/>
          <w:lang w:val="en-US" w:eastAsia="zh-CN"/>
        </w:rPr>
        <w:t>2023</w:t>
      </w:r>
      <w:r>
        <w:rPr>
          <w:rFonts w:hint="eastAsia" w:ascii="Times New Roman" w:hAnsi="Times New Roman" w:eastAsia="方正仿宋_GBK" w:cs="Times New Roman"/>
          <w:sz w:val="32"/>
          <w:szCs w:val="32"/>
          <w:lang w:val="en-US" w:eastAsia="zh-CN"/>
        </w:rPr>
        <w:t>年度</w:t>
      </w:r>
      <w:r>
        <w:rPr>
          <w:rFonts w:hint="eastAsia" w:eastAsia="方正仿宋_GBK" w:cs="Times New Roman"/>
          <w:sz w:val="32"/>
          <w:szCs w:val="32"/>
          <w:lang w:val="en-US" w:eastAsia="zh-CN"/>
        </w:rPr>
        <w:t>减少0.18</w:t>
      </w:r>
      <w:r>
        <w:rPr>
          <w:rFonts w:hint="eastAsia" w:ascii="Times New Roman" w:hAnsi="Times New Roman" w:eastAsia="方正仿宋_GBK" w:cs="Times New Roman"/>
          <w:sz w:val="32"/>
          <w:szCs w:val="32"/>
          <w:lang w:val="en-US" w:eastAsia="zh-CN"/>
        </w:rPr>
        <w:t>万元，</w:t>
      </w:r>
      <w:r>
        <w:rPr>
          <w:rFonts w:hint="eastAsia" w:eastAsia="方正仿宋_GBK" w:cs="Times New Roman"/>
          <w:sz w:val="32"/>
          <w:szCs w:val="32"/>
          <w:lang w:val="en-US" w:eastAsia="zh-CN"/>
        </w:rPr>
        <w:t>降低13.7</w:t>
      </w:r>
      <w:r>
        <w:rPr>
          <w:rFonts w:hint="eastAsia" w:ascii="Times New Roman" w:hAnsi="Times New Roman" w:eastAsia="方正仿宋_GBK" w:cs="Times New Roman"/>
          <w:sz w:val="32"/>
          <w:szCs w:val="32"/>
          <w:lang w:val="en-US" w:eastAsia="zh-CN"/>
        </w:rPr>
        <w:t>%。</w:t>
      </w:r>
      <w:r>
        <w:rPr>
          <w:rFonts w:hint="eastAsia" w:eastAsia="方正仿宋_GBK" w:cs="Times New Roman"/>
          <w:sz w:val="32"/>
          <w:szCs w:val="32"/>
          <w:lang w:val="en-US" w:eastAsia="zh-CN"/>
        </w:rPr>
        <w:t>主要原因是</w:t>
      </w:r>
      <w:r>
        <w:rPr>
          <w:rFonts w:hint="eastAsia" w:ascii="Times New Roman" w:hAnsi="Times New Roman" w:eastAsia="方正仿宋_GBK" w:cs="Times New Roman"/>
          <w:sz w:val="32"/>
          <w:szCs w:val="32"/>
          <w:lang w:val="en-US" w:eastAsia="zh-CN"/>
        </w:rPr>
        <w:t>贯彻落实过紧日子</w:t>
      </w:r>
      <w:r>
        <w:rPr>
          <w:rFonts w:hint="eastAsia" w:eastAsia="方正仿宋_GBK" w:cs="Times New Roman"/>
          <w:sz w:val="32"/>
          <w:szCs w:val="32"/>
          <w:lang w:val="en-US" w:eastAsia="zh-CN"/>
        </w:rPr>
        <w:t>要求，例行节约</w:t>
      </w:r>
      <w:r>
        <w:rPr>
          <w:rFonts w:hint="eastAsia" w:ascii="Times New Roman" w:hAnsi="Times New Roman" w:eastAsia="方正仿宋_GBK" w:cs="Times New Roman"/>
          <w:sz w:val="32"/>
          <w:szCs w:val="32"/>
          <w:lang w:val="en-US" w:eastAsia="zh-CN"/>
        </w:rPr>
        <w:t>。其中：</w:t>
      </w:r>
    </w:p>
    <w:p w14:paraId="037CE2F9">
      <w:pPr>
        <w:spacing w:line="600" w:lineRule="exact"/>
        <w:ind w:firstLine="640"/>
        <w:rPr>
          <w:rFonts w:hint="eastAsia" w:ascii="Times New Roman" w:hAnsi="Times New Roman" w:eastAsia="方正仿宋_GBK" w:cs="Times New Roman"/>
          <w:color w:val="auto"/>
          <w:sz w:val="32"/>
          <w:szCs w:val="32"/>
          <w:lang w:val="en-US" w:eastAsia="zh-CN"/>
        </w:rPr>
      </w:pPr>
      <w:r>
        <w:rPr>
          <w:rFonts w:hint="eastAsia" w:ascii="仿宋" w:hAnsi="仿宋" w:eastAsia="仿宋"/>
          <w:b/>
          <w:sz w:val="32"/>
          <w:szCs w:val="32"/>
        </w:rPr>
        <w:t>国内公务接</w:t>
      </w:r>
      <w:r>
        <w:rPr>
          <w:rFonts w:hint="eastAsia" w:ascii="仿宋" w:hAnsi="仿宋" w:eastAsia="仿宋"/>
          <w:b/>
          <w:color w:val="auto"/>
          <w:sz w:val="32"/>
          <w:szCs w:val="32"/>
        </w:rPr>
        <w:t>待支出</w:t>
      </w:r>
      <w:r>
        <w:rPr>
          <w:rFonts w:hint="eastAsia" w:eastAsia="方正仿宋_GBK" w:cs="Times New Roman"/>
          <w:color w:val="auto"/>
          <w:sz w:val="32"/>
          <w:szCs w:val="32"/>
          <w:lang w:val="en-US" w:eastAsia="zh-CN"/>
        </w:rPr>
        <w:t>1.13</w:t>
      </w:r>
      <w:r>
        <w:rPr>
          <w:rFonts w:hint="eastAsia" w:ascii="Times New Roman" w:hAnsi="Times New Roman" w:eastAsia="方正仿宋_GBK" w:cs="Times New Roman"/>
          <w:color w:val="auto"/>
          <w:sz w:val="32"/>
          <w:szCs w:val="32"/>
          <w:lang w:val="en-US" w:eastAsia="zh-CN"/>
        </w:rPr>
        <w:t>万元，主要用于执行公务、开展业务活动开支的用餐费等。国内公务接待</w:t>
      </w:r>
      <w:r>
        <w:rPr>
          <w:rFonts w:hint="eastAsia" w:eastAsia="方正仿宋_GBK" w:cs="Times New Roman"/>
          <w:color w:val="auto"/>
          <w:sz w:val="32"/>
          <w:szCs w:val="32"/>
          <w:lang w:val="en-US" w:eastAsia="zh-CN"/>
        </w:rPr>
        <w:t>10</w:t>
      </w:r>
      <w:r>
        <w:rPr>
          <w:rFonts w:hint="eastAsia" w:ascii="Times New Roman" w:hAnsi="Times New Roman" w:eastAsia="方正仿宋_GBK" w:cs="Times New Roman"/>
          <w:color w:val="auto"/>
          <w:sz w:val="32"/>
          <w:szCs w:val="32"/>
          <w:lang w:val="en-US" w:eastAsia="zh-CN"/>
        </w:rPr>
        <w:t>批次，</w:t>
      </w:r>
      <w:r>
        <w:rPr>
          <w:rFonts w:hint="eastAsia" w:eastAsia="方正仿宋_GBK" w:cs="Times New Roman"/>
          <w:color w:val="auto"/>
          <w:sz w:val="32"/>
          <w:szCs w:val="32"/>
          <w:lang w:val="en-US" w:eastAsia="zh-CN"/>
        </w:rPr>
        <w:t>93</w:t>
      </w:r>
      <w:r>
        <w:rPr>
          <w:rFonts w:hint="eastAsia" w:ascii="Times New Roman" w:hAnsi="Times New Roman" w:eastAsia="方正仿宋_GBK" w:cs="Times New Roman"/>
          <w:color w:val="auto"/>
          <w:sz w:val="32"/>
          <w:szCs w:val="32"/>
          <w:lang w:val="en-US" w:eastAsia="zh-CN"/>
        </w:rPr>
        <w:t>人次，共计支出</w:t>
      </w:r>
      <w:r>
        <w:rPr>
          <w:rFonts w:hint="eastAsia" w:eastAsia="方正仿宋_GBK" w:cs="Times New Roman"/>
          <w:color w:val="auto"/>
          <w:sz w:val="32"/>
          <w:szCs w:val="32"/>
          <w:lang w:val="en-US" w:eastAsia="zh-CN"/>
        </w:rPr>
        <w:t>1.13</w:t>
      </w:r>
      <w:r>
        <w:rPr>
          <w:rFonts w:hint="eastAsia" w:ascii="Times New Roman" w:hAnsi="Times New Roman" w:eastAsia="方正仿宋_GBK" w:cs="Times New Roman"/>
          <w:color w:val="auto"/>
          <w:sz w:val="32"/>
          <w:szCs w:val="32"/>
          <w:lang w:val="en-US" w:eastAsia="zh-CN"/>
        </w:rPr>
        <w:t>万元，具体内容包括：</w:t>
      </w:r>
      <w:r>
        <w:rPr>
          <w:rFonts w:hint="eastAsia" w:eastAsia="方正仿宋_GBK" w:cs="Times New Roman"/>
          <w:color w:val="auto"/>
          <w:sz w:val="32"/>
          <w:szCs w:val="32"/>
          <w:lang w:val="en-US" w:eastAsia="zh-CN"/>
        </w:rPr>
        <w:t>工作交流学习接待2批次，13人次，金额0.19万元；援助工作接待5批次，69人次，金额0.74万元；调研及授课工作接待3批次，11人次，金额0.2万元</w:t>
      </w:r>
      <w:r>
        <w:rPr>
          <w:rFonts w:hint="eastAsia" w:ascii="Times New Roman" w:hAnsi="Times New Roman" w:eastAsia="方正仿宋_GBK" w:cs="Times New Roman"/>
          <w:color w:val="auto"/>
          <w:sz w:val="32"/>
          <w:szCs w:val="32"/>
          <w:lang w:val="en-US" w:eastAsia="zh-CN"/>
        </w:rPr>
        <w:t>。</w:t>
      </w:r>
    </w:p>
    <w:p w14:paraId="6BEF63D6">
      <w:pPr>
        <w:spacing w:line="600" w:lineRule="exact"/>
        <w:ind w:firstLine="643" w:firstLineChars="200"/>
        <w:rPr>
          <w:rFonts w:hint="eastAsia" w:ascii="Times New Roman" w:hAnsi="Times New Roman" w:eastAsia="方正仿宋_GBK" w:cs="Times New Roman"/>
          <w:sz w:val="32"/>
          <w:szCs w:val="32"/>
          <w:lang w:val="en-US" w:eastAsia="zh-CN"/>
        </w:rPr>
      </w:pPr>
      <w:r>
        <w:rPr>
          <w:rFonts w:hint="eastAsia" w:ascii="仿宋" w:hAnsi="仿宋" w:eastAsia="仿宋"/>
          <w:b/>
          <w:color w:val="auto"/>
          <w:sz w:val="32"/>
          <w:szCs w:val="32"/>
        </w:rPr>
        <w:t>外事接待支出</w:t>
      </w:r>
      <w:r>
        <w:rPr>
          <w:rFonts w:hint="eastAsia" w:ascii="Times New Roman" w:hAnsi="Times New Roman" w:eastAsia="方正仿宋_GBK" w:cs="Times New Roman"/>
          <w:color w:val="auto"/>
          <w:sz w:val="32"/>
          <w:szCs w:val="32"/>
          <w:lang w:val="en-US" w:eastAsia="zh-CN"/>
        </w:rPr>
        <w:t>0</w:t>
      </w:r>
      <w:r>
        <w:rPr>
          <w:rFonts w:hint="eastAsia" w:ascii="Times New Roman" w:hAnsi="Times New Roman" w:eastAsia="方正仿宋_GBK" w:cs="Times New Roman"/>
          <w:color w:val="auto"/>
          <w:sz w:val="32"/>
          <w:szCs w:val="32"/>
        </w:rPr>
        <w:t>万元。</w:t>
      </w:r>
      <w:r>
        <w:rPr>
          <w:rFonts w:hint="eastAsia" w:ascii="Times New Roman" w:hAnsi="Times New Roman" w:eastAsia="方正仿宋_GBK" w:cs="Times New Roman"/>
          <w:color w:val="auto"/>
          <w:sz w:val="32"/>
          <w:szCs w:val="32"/>
          <w:lang w:val="en-US" w:eastAsia="zh-CN"/>
        </w:rPr>
        <w:t>外事接待0批次，0</w:t>
      </w:r>
      <w:r>
        <w:rPr>
          <w:rFonts w:hint="eastAsia" w:ascii="Times New Roman" w:hAnsi="Times New Roman" w:eastAsia="方正仿宋_GBK" w:cs="Times New Roman"/>
          <w:sz w:val="32"/>
          <w:szCs w:val="32"/>
          <w:lang w:val="en-US" w:eastAsia="zh-CN"/>
        </w:rPr>
        <w:t>人次，共计支出0万元。</w:t>
      </w:r>
      <w:bookmarkStart w:id="59" w:name="_Toc15396610"/>
      <w:bookmarkStart w:id="60" w:name="_Toc15377218"/>
    </w:p>
    <w:p w14:paraId="50094621">
      <w:pPr>
        <w:spacing w:line="600" w:lineRule="exact"/>
        <w:ind w:firstLine="640"/>
        <w:outlineLvl w:val="1"/>
        <w:rPr>
          <w:rStyle w:val="30"/>
          <w:rFonts w:ascii="黑体" w:hAnsi="黑体" w:eastAsia="黑体"/>
        </w:rPr>
      </w:pPr>
      <w:bookmarkStart w:id="61" w:name="_Toc16382"/>
      <w:r>
        <w:rPr>
          <w:rFonts w:hint="eastAsia" w:ascii="黑体" w:eastAsia="黑体"/>
          <w:sz w:val="32"/>
          <w:szCs w:val="32"/>
        </w:rPr>
        <w:t>八、</w:t>
      </w:r>
      <w:r>
        <w:rPr>
          <w:rStyle w:val="30"/>
          <w:rFonts w:hint="eastAsia" w:ascii="黑体" w:hAnsi="黑体" w:eastAsia="黑体"/>
          <w:b w:val="0"/>
        </w:rPr>
        <w:t>政府性基金预算支出决算情况说明</w:t>
      </w:r>
      <w:bookmarkEnd w:id="59"/>
      <w:bookmarkEnd w:id="60"/>
      <w:bookmarkEnd w:id="61"/>
    </w:p>
    <w:p w14:paraId="542DD7C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年度政府性基金预算财政拨款支出0万元。</w:t>
      </w:r>
    </w:p>
    <w:p w14:paraId="0553526C">
      <w:pPr>
        <w:numPr>
          <w:ilvl w:val="0"/>
          <w:numId w:val="2"/>
        </w:numPr>
        <w:spacing w:line="600" w:lineRule="exact"/>
        <w:ind w:firstLine="640"/>
        <w:outlineLvl w:val="1"/>
        <w:rPr>
          <w:rStyle w:val="30"/>
          <w:rFonts w:ascii="黑体" w:hAnsi="黑体" w:eastAsia="黑体"/>
          <w:b w:val="0"/>
        </w:rPr>
      </w:pPr>
      <w:bookmarkStart w:id="62" w:name="_Toc15377219"/>
      <w:bookmarkStart w:id="63" w:name="_Toc8452"/>
      <w:bookmarkStart w:id="64" w:name="_Toc15396611"/>
      <w:r>
        <w:rPr>
          <w:rStyle w:val="30"/>
          <w:rFonts w:hint="eastAsia" w:ascii="黑体" w:hAnsi="黑体" w:eastAsia="黑体"/>
          <w:b w:val="0"/>
        </w:rPr>
        <w:t>国有资本经营预算支出决算情况说明</w:t>
      </w:r>
      <w:bookmarkEnd w:id="62"/>
      <w:bookmarkEnd w:id="63"/>
      <w:bookmarkEnd w:id="64"/>
    </w:p>
    <w:p w14:paraId="19CD8D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年度国有资本经营预算财政拨款支出0万元。</w:t>
      </w:r>
    </w:p>
    <w:p w14:paraId="7CF99C84">
      <w:pPr>
        <w:numPr>
          <w:ilvl w:val="0"/>
          <w:numId w:val="2"/>
        </w:numPr>
        <w:spacing w:line="600" w:lineRule="exact"/>
        <w:ind w:firstLine="640"/>
        <w:outlineLvl w:val="1"/>
        <w:rPr>
          <w:rStyle w:val="30"/>
          <w:rFonts w:ascii="黑体" w:hAnsi="黑体" w:eastAsia="黑体"/>
          <w:b w:val="0"/>
        </w:rPr>
      </w:pPr>
      <w:bookmarkStart w:id="65" w:name="_Toc15377221"/>
      <w:bookmarkStart w:id="66" w:name="_Toc15396612"/>
      <w:bookmarkStart w:id="67" w:name="_Toc10275"/>
      <w:r>
        <w:rPr>
          <w:rStyle w:val="30"/>
          <w:rFonts w:hint="eastAsia" w:ascii="黑体" w:hAnsi="黑体" w:eastAsia="黑体"/>
          <w:b w:val="0"/>
        </w:rPr>
        <w:t>其他重要事项的情况说明</w:t>
      </w:r>
      <w:bookmarkEnd w:id="65"/>
      <w:bookmarkEnd w:id="66"/>
      <w:bookmarkEnd w:id="67"/>
    </w:p>
    <w:p w14:paraId="17F2CCBB">
      <w:pPr>
        <w:spacing w:line="600" w:lineRule="exact"/>
        <w:ind w:firstLine="643" w:firstLineChars="200"/>
        <w:outlineLvl w:val="2"/>
        <w:rPr>
          <w:rFonts w:hint="default" w:ascii="Times New Roman" w:hAnsi="Times New Roman" w:eastAsia="方正楷体_GBK" w:cs="Times New Roman"/>
          <w:b/>
          <w:sz w:val="32"/>
          <w:szCs w:val="32"/>
        </w:rPr>
      </w:pPr>
      <w:bookmarkStart w:id="68" w:name="_Toc16871"/>
      <w:bookmarkStart w:id="69" w:name="_Toc15377222"/>
      <w:r>
        <w:rPr>
          <w:rFonts w:hint="eastAsia" w:ascii="Times New Roman" w:hAnsi="Times New Roman" w:eastAsia="方正楷体_GBK" w:cs="Times New Roman"/>
          <w:b/>
          <w:sz w:val="32"/>
          <w:szCs w:val="32"/>
        </w:rPr>
        <w:t>（一）机关运行经费支出情况</w:t>
      </w:r>
      <w:bookmarkEnd w:id="68"/>
      <w:bookmarkEnd w:id="69"/>
    </w:p>
    <w:p w14:paraId="26F2EB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年度，四川省阿坝州理县人民检察院机关运行经费支出</w:t>
      </w:r>
      <w:r>
        <w:rPr>
          <w:rFonts w:hint="eastAsia" w:eastAsia="方正仿宋_GBK" w:cs="Times New Roman"/>
          <w:sz w:val="32"/>
          <w:szCs w:val="32"/>
          <w:lang w:val="en-US" w:eastAsia="zh-CN"/>
        </w:rPr>
        <w:t>69.93</w:t>
      </w:r>
      <w:r>
        <w:rPr>
          <w:rFonts w:hint="eastAsia" w:ascii="Times New Roman" w:hAnsi="Times New Roman" w:eastAsia="方正仿宋_GBK" w:cs="Times New Roman"/>
          <w:sz w:val="32"/>
          <w:szCs w:val="32"/>
          <w:lang w:val="en-US" w:eastAsia="zh-CN"/>
        </w:rPr>
        <w:t>万元，比202</w:t>
      </w:r>
      <w:r>
        <w:rPr>
          <w:rFonts w:hint="eastAsia"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年度</w:t>
      </w:r>
      <w:r>
        <w:rPr>
          <w:rFonts w:hint="eastAsia" w:eastAsia="方正仿宋_GBK" w:cs="Times New Roman"/>
          <w:sz w:val="32"/>
          <w:szCs w:val="32"/>
          <w:lang w:val="en-US" w:eastAsia="zh-CN"/>
        </w:rPr>
        <w:t>减少7.32</w:t>
      </w:r>
      <w:r>
        <w:rPr>
          <w:rFonts w:hint="eastAsia" w:ascii="Times New Roman" w:hAnsi="Times New Roman" w:eastAsia="方正仿宋_GBK" w:cs="Times New Roman"/>
          <w:sz w:val="32"/>
          <w:szCs w:val="32"/>
          <w:lang w:val="en-US" w:eastAsia="zh-CN"/>
        </w:rPr>
        <w:t>万元，增长</w:t>
      </w:r>
      <w:r>
        <w:rPr>
          <w:rFonts w:hint="eastAsia" w:eastAsia="方正仿宋_GBK" w:cs="Times New Roman"/>
          <w:sz w:val="32"/>
          <w:szCs w:val="32"/>
          <w:lang w:val="en-US" w:eastAsia="zh-CN"/>
        </w:rPr>
        <w:t>9.5</w:t>
      </w:r>
      <w:r>
        <w:rPr>
          <w:rFonts w:hint="eastAsia" w:ascii="Times New Roman" w:hAnsi="Times New Roman" w:eastAsia="方正仿宋_GBK" w:cs="Times New Roman"/>
          <w:sz w:val="32"/>
          <w:szCs w:val="32"/>
          <w:lang w:val="en-US" w:eastAsia="zh-CN"/>
        </w:rPr>
        <w:t>%。主要原因是贯彻落实过紧日子</w:t>
      </w:r>
      <w:r>
        <w:rPr>
          <w:rFonts w:hint="eastAsia" w:eastAsia="方正仿宋_GBK" w:cs="Times New Roman"/>
          <w:sz w:val="32"/>
          <w:szCs w:val="32"/>
          <w:lang w:val="en-US" w:eastAsia="zh-CN"/>
        </w:rPr>
        <w:t>要求</w:t>
      </w:r>
      <w:r>
        <w:rPr>
          <w:rFonts w:hint="eastAsia" w:ascii="Times New Roman" w:hAnsi="Times New Roman" w:eastAsia="方正仿宋_GBK" w:cs="Times New Roman"/>
          <w:sz w:val="32"/>
          <w:szCs w:val="32"/>
          <w:lang w:val="en-US" w:eastAsia="zh-CN"/>
        </w:rPr>
        <w:t>，</w:t>
      </w:r>
      <w:r>
        <w:rPr>
          <w:rFonts w:hint="eastAsia" w:eastAsia="方正仿宋_GBK" w:cs="Times New Roman"/>
          <w:sz w:val="32"/>
          <w:szCs w:val="32"/>
          <w:lang w:val="en-US" w:eastAsia="zh-CN"/>
        </w:rPr>
        <w:t>严格控制办公经费</w:t>
      </w:r>
      <w:r>
        <w:rPr>
          <w:rFonts w:hint="eastAsia" w:ascii="Times New Roman" w:hAnsi="Times New Roman" w:eastAsia="方正仿宋_GBK" w:cs="Times New Roman"/>
          <w:sz w:val="32"/>
          <w:szCs w:val="32"/>
          <w:lang w:val="en-US" w:eastAsia="zh-CN"/>
        </w:rPr>
        <w:t>。</w:t>
      </w:r>
    </w:p>
    <w:p w14:paraId="616AD9AF">
      <w:pPr>
        <w:spacing w:line="600" w:lineRule="exact"/>
        <w:ind w:firstLine="643" w:firstLineChars="200"/>
        <w:outlineLvl w:val="2"/>
        <w:rPr>
          <w:rFonts w:hint="default" w:ascii="Times New Roman" w:hAnsi="Times New Roman" w:eastAsia="方正楷体_GBK" w:cs="Times New Roman"/>
          <w:b/>
          <w:sz w:val="32"/>
          <w:szCs w:val="32"/>
        </w:rPr>
      </w:pPr>
      <w:bookmarkStart w:id="70" w:name="_Toc7720"/>
      <w:bookmarkStart w:id="71" w:name="_Toc15377223"/>
      <w:r>
        <w:rPr>
          <w:rFonts w:hint="eastAsia" w:ascii="Times New Roman" w:hAnsi="Times New Roman" w:eastAsia="方正楷体_GBK" w:cs="Times New Roman"/>
          <w:b/>
          <w:sz w:val="32"/>
          <w:szCs w:val="32"/>
        </w:rPr>
        <w:t>（二）政府采购支出情况</w:t>
      </w:r>
      <w:bookmarkEnd w:id="70"/>
      <w:bookmarkEnd w:id="71"/>
    </w:p>
    <w:p w14:paraId="13BD774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年度，四川省阿坝州理县人民检察院政府采购支出总额</w:t>
      </w:r>
      <w:r>
        <w:rPr>
          <w:rFonts w:hint="eastAsia" w:eastAsia="方正仿宋_GBK" w:cs="Times New Roman"/>
          <w:sz w:val="32"/>
          <w:szCs w:val="32"/>
          <w:lang w:val="en-US" w:eastAsia="zh-CN"/>
        </w:rPr>
        <w:t>199.77</w:t>
      </w:r>
      <w:r>
        <w:rPr>
          <w:rFonts w:hint="eastAsia" w:ascii="Times New Roman" w:hAnsi="Times New Roman" w:eastAsia="方正仿宋_GBK" w:cs="Times New Roman"/>
          <w:sz w:val="32"/>
          <w:szCs w:val="32"/>
          <w:lang w:val="en-US" w:eastAsia="zh-CN"/>
        </w:rPr>
        <w:t>万元，其中：政府采购货物支出</w:t>
      </w:r>
      <w:r>
        <w:rPr>
          <w:rFonts w:hint="eastAsia" w:eastAsia="方正仿宋_GBK" w:cs="Times New Roman"/>
          <w:sz w:val="32"/>
          <w:szCs w:val="32"/>
          <w:lang w:val="en-US" w:eastAsia="zh-CN"/>
        </w:rPr>
        <w:t>199.77</w:t>
      </w:r>
      <w:r>
        <w:rPr>
          <w:rFonts w:hint="eastAsia" w:ascii="Times New Roman" w:hAnsi="Times New Roman" w:eastAsia="方正仿宋_GBK" w:cs="Times New Roman"/>
          <w:sz w:val="32"/>
          <w:szCs w:val="32"/>
          <w:lang w:val="en-US" w:eastAsia="zh-CN"/>
        </w:rPr>
        <w:t>万元、政府采购工程支出0万元、政府采购服务支出0万元。主要用于</w:t>
      </w:r>
      <w:r>
        <w:rPr>
          <w:rFonts w:hint="eastAsia" w:eastAsia="方正仿宋_GBK" w:cs="Times New Roman"/>
          <w:sz w:val="32"/>
          <w:szCs w:val="32"/>
          <w:lang w:val="en-US" w:eastAsia="zh-CN"/>
        </w:rPr>
        <w:t>办案业务大楼五楼会议室系统升级项目、检委会会议室系统升级项目、国产化替代项目</w:t>
      </w:r>
      <w:r>
        <w:rPr>
          <w:rFonts w:hint="eastAsia" w:ascii="Times New Roman" w:hAnsi="Times New Roman" w:eastAsia="方正仿宋_GBK" w:cs="Times New Roman"/>
          <w:sz w:val="32"/>
          <w:szCs w:val="32"/>
          <w:lang w:val="en-US" w:eastAsia="zh-CN"/>
        </w:rPr>
        <w:t>。授予中小企业合同金额</w:t>
      </w:r>
      <w:r>
        <w:rPr>
          <w:rFonts w:hint="eastAsia" w:eastAsia="方正仿宋_GBK" w:cs="Times New Roman"/>
          <w:sz w:val="32"/>
          <w:szCs w:val="32"/>
          <w:lang w:val="en-US" w:eastAsia="zh-CN"/>
        </w:rPr>
        <w:t>0</w:t>
      </w:r>
      <w:r>
        <w:rPr>
          <w:rFonts w:hint="eastAsia" w:ascii="Times New Roman" w:hAnsi="Times New Roman" w:eastAsia="方正仿宋_GBK" w:cs="Times New Roman"/>
          <w:sz w:val="32"/>
          <w:szCs w:val="32"/>
          <w:lang w:val="en-US" w:eastAsia="zh-CN"/>
        </w:rPr>
        <w:t>万元，占政府采购支出总额的</w:t>
      </w:r>
      <w:r>
        <w:rPr>
          <w:rFonts w:hint="eastAsia" w:eastAsia="方正仿宋_GBK" w:cs="Times New Roman"/>
          <w:sz w:val="32"/>
          <w:szCs w:val="32"/>
          <w:lang w:val="en-US" w:eastAsia="zh-CN"/>
        </w:rPr>
        <w:t>0</w:t>
      </w:r>
      <w:r>
        <w:rPr>
          <w:rFonts w:hint="eastAsia" w:ascii="Times New Roman" w:hAnsi="Times New Roman" w:eastAsia="方正仿宋_GBK" w:cs="Times New Roman"/>
          <w:sz w:val="32"/>
          <w:szCs w:val="32"/>
          <w:lang w:val="en-US" w:eastAsia="zh-CN"/>
        </w:rPr>
        <w:t>%，其中：授予小微企业合同金额0万元，占政府采购支出总额的0%。</w:t>
      </w:r>
    </w:p>
    <w:p w14:paraId="6DCFE361">
      <w:pPr>
        <w:spacing w:line="600" w:lineRule="exact"/>
        <w:ind w:firstLine="643" w:firstLineChars="200"/>
        <w:outlineLvl w:val="2"/>
        <w:rPr>
          <w:rFonts w:hint="default" w:ascii="Times New Roman" w:hAnsi="Times New Roman" w:eastAsia="方正楷体_GBK" w:cs="Times New Roman"/>
          <w:b/>
          <w:sz w:val="32"/>
          <w:szCs w:val="32"/>
        </w:rPr>
      </w:pPr>
      <w:bookmarkStart w:id="72" w:name="_Toc10222"/>
      <w:bookmarkStart w:id="73" w:name="_Toc15377224"/>
      <w:r>
        <w:rPr>
          <w:rFonts w:hint="eastAsia" w:ascii="Times New Roman" w:hAnsi="Times New Roman" w:eastAsia="方正楷体_GBK" w:cs="Times New Roman"/>
          <w:b/>
          <w:sz w:val="32"/>
          <w:szCs w:val="32"/>
        </w:rPr>
        <w:t>（三）国有资产占有使用情况</w:t>
      </w:r>
      <w:bookmarkEnd w:id="72"/>
      <w:bookmarkEnd w:id="73"/>
    </w:p>
    <w:p w14:paraId="193CFFE3">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Times New Roman" w:hAnsi="Times New Roman" w:eastAsia="方正仿宋_GBK" w:cs="Times New Roman"/>
          <w:sz w:val="30"/>
          <w:szCs w:val="30"/>
          <w:lang w:val="en-US" w:eastAsia="zh-CN"/>
        </w:rPr>
      </w:pPr>
      <w:r>
        <w:rPr>
          <w:rFonts w:hint="eastAsia" w:ascii="Times New Roman" w:hAnsi="Times New Roman" w:eastAsia="方正仿宋_GBK" w:cs="Times New Roman"/>
          <w:sz w:val="30"/>
          <w:szCs w:val="30"/>
          <w:lang w:val="en-US" w:eastAsia="zh-CN"/>
        </w:rPr>
        <w:t>截至202</w:t>
      </w:r>
      <w:r>
        <w:rPr>
          <w:rFonts w:hint="eastAsia" w:eastAsia="方正仿宋_GBK" w:cs="Times New Roman"/>
          <w:sz w:val="30"/>
          <w:szCs w:val="30"/>
          <w:lang w:val="en-US" w:eastAsia="zh-CN"/>
        </w:rPr>
        <w:t>4</w:t>
      </w:r>
      <w:r>
        <w:rPr>
          <w:rFonts w:hint="eastAsia" w:ascii="Times New Roman" w:hAnsi="Times New Roman" w:eastAsia="方正仿宋_GBK" w:cs="Times New Roman"/>
          <w:sz w:val="30"/>
          <w:szCs w:val="30"/>
          <w:lang w:val="en-US" w:eastAsia="zh-CN"/>
        </w:rPr>
        <w:t>年12月31日，四川省阿坝州理县人民检察院共有车辆5辆，其中：机要通信用车1辆、执法执勤用车3辆、特种专业技术用车1辆。单价100万元以上设备（不含车辆）0台（套）。</w:t>
      </w:r>
    </w:p>
    <w:p w14:paraId="18382F84">
      <w:pPr>
        <w:spacing w:line="600" w:lineRule="exact"/>
        <w:ind w:firstLine="643" w:firstLineChars="200"/>
        <w:outlineLvl w:val="2"/>
        <w:rPr>
          <w:rFonts w:hint="default" w:ascii="Times New Roman" w:hAnsi="Times New Roman" w:eastAsia="方正楷体_GBK" w:cs="Times New Roman"/>
          <w:b/>
          <w:sz w:val="32"/>
          <w:szCs w:val="32"/>
        </w:rPr>
      </w:pPr>
      <w:bookmarkStart w:id="74" w:name="_Toc7537"/>
      <w:r>
        <w:rPr>
          <w:rFonts w:hint="eastAsia" w:ascii="Times New Roman" w:hAnsi="Times New Roman" w:eastAsia="方正楷体_GBK" w:cs="Times New Roman"/>
          <w:b/>
          <w:sz w:val="32"/>
          <w:szCs w:val="32"/>
        </w:rPr>
        <w:t>（四）预算绩效管理情况</w:t>
      </w:r>
      <w:bookmarkEnd w:id="74"/>
    </w:p>
    <w:p w14:paraId="7BBAE0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eastAsia" w:ascii="Times New Roman" w:hAnsi="Times New Roman" w:eastAsia="方正仿宋_GBK" w:cs="Times New Roman"/>
          <w:sz w:val="32"/>
          <w:szCs w:val="32"/>
        </w:rPr>
        <w:t>根据预算绩效管理要求，本部门在202</w:t>
      </w: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rPr>
        <w:t>年度预算编制阶段，组织对202</w:t>
      </w: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rPr>
        <w:t>年度一般公共预算、政府性基金预算、国有资本经营预算、社会保险基金预算以及资本资产、债券资金等全面开展绩效自评，形成</w:t>
      </w:r>
      <w:r>
        <w:rPr>
          <w:rFonts w:hint="eastAsia" w:ascii="Times New Roman" w:hAnsi="Times New Roman" w:eastAsia="方正仿宋_GBK" w:cs="Times New Roman"/>
          <w:sz w:val="32"/>
          <w:szCs w:val="32"/>
          <w:lang w:val="en-US" w:eastAsia="zh-CN"/>
        </w:rPr>
        <w:t>理县人民检察院</w:t>
      </w:r>
      <w:r>
        <w:rPr>
          <w:rFonts w:hint="eastAsia" w:ascii="Times New Roman" w:hAnsi="Times New Roman" w:eastAsia="方正仿宋_GBK" w:cs="Times New Roman"/>
          <w:sz w:val="32"/>
          <w:szCs w:val="32"/>
        </w:rPr>
        <w:t>部门整体绩效自评报告，自评得分为</w:t>
      </w:r>
      <w:r>
        <w:rPr>
          <w:rFonts w:hint="eastAsia" w:eastAsia="方正仿宋_GB2312" w:cs="Times New Roman"/>
          <w:sz w:val="32"/>
          <w:szCs w:val="32"/>
          <w:lang w:val="en-US" w:eastAsia="zh-CN"/>
        </w:rPr>
        <w:t>89.39</w:t>
      </w:r>
      <w:r>
        <w:rPr>
          <w:rFonts w:hint="eastAsia" w:ascii="Times New Roman" w:hAnsi="Times New Roman" w:eastAsia="方正仿宋_GB2312" w:cs="Times New Roman"/>
          <w:sz w:val="32"/>
          <w:szCs w:val="32"/>
          <w:lang w:val="zh-CN" w:eastAsia="zh-CN"/>
        </w:rPr>
        <w:t>分</w:t>
      </w:r>
      <w:r>
        <w:rPr>
          <w:rFonts w:hint="eastAsia" w:ascii="Times New Roman" w:hAnsi="Times New Roman" w:eastAsia="方正仿宋_GBK" w:cs="Times New Roman"/>
          <w:sz w:val="32"/>
          <w:szCs w:val="32"/>
        </w:rPr>
        <w:t>，绩效自评综述：</w:t>
      </w:r>
      <w:r>
        <w:rPr>
          <w:rFonts w:hint="default" w:ascii="Times New Roman" w:hAnsi="Times New Roman" w:eastAsia="方正仿宋_GB2312" w:cs="Times New Roman"/>
          <w:sz w:val="32"/>
          <w:szCs w:val="32"/>
          <w:lang w:val="en-US" w:eastAsia="zh-CN"/>
        </w:rPr>
        <w:t>2024年，我院进一步加强机关财务管理工作，认真贯彻《会计法》、《预算法》，严格执行《行政单位会计制度》、《行政单位财务规则》及各项费用管理办法，规范资金收支管理及会计核算，强化预算管理，加强项目经费支出绩效考核，从严从紧控制和节减经费支出，规范现金报销制度，进一步加强公务卡使用管理，严格执行政府采购政策。确保单位工作任务的顺利完成。</w:t>
      </w:r>
    </w:p>
    <w:p w14:paraId="056D1B6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default" w:ascii="Times New Roman" w:hAnsi="Times New Roman" w:eastAsia="方正仿宋_GB2312" w:cs="Times New Roman"/>
          <w:sz w:val="32"/>
          <w:szCs w:val="32"/>
          <w:lang w:val="en-US" w:eastAsia="zh-CN"/>
        </w:rPr>
        <w:t>我院根据部门整体支出绩效评价指标体系对部门预算绩效管理工作开展情况进行自评。从年初指标细则到指标完成情况，进行全面自查及自评，通过落实目标明确、目标合理、工作可量化等各项要求，保障了本单位工作高效运行，各项工作按照计划有序实施，完成数量及质量均得到有效控制；工作实施所需的人员及经费均得到充分保障，审判及执行工作质量显著提升。</w:t>
      </w:r>
    </w:p>
    <w:p w14:paraId="340A6B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bookmarkStart w:id="75" w:name="_Toc30998"/>
    </w:p>
    <w:p w14:paraId="5E77AFE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p>
    <w:p w14:paraId="43D660C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p>
    <w:p w14:paraId="7420405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方正仿宋_GBK" w:cs="Times New Roman"/>
          <w:sz w:val="32"/>
          <w:szCs w:val="32"/>
        </w:rPr>
      </w:pPr>
    </w:p>
    <w:p w14:paraId="6A0A4A1A">
      <w:pPr>
        <w:pStyle w:val="2"/>
        <w:jc w:val="center"/>
      </w:pPr>
      <w:r>
        <w:rPr>
          <w:rFonts w:hint="eastAsia"/>
        </w:rPr>
        <w:t>第三部分 名词解释</w:t>
      </w:r>
      <w:bookmarkEnd w:id="75"/>
    </w:p>
    <w:p w14:paraId="030D8FA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bookmarkStart w:id="76" w:name="_Toc4999"/>
      <w:r>
        <w:rPr>
          <w:rFonts w:hint="eastAsia" w:ascii="Times New Roman" w:hAnsi="Times New Roman" w:eastAsia="方正仿宋_GBK" w:cs="Times New Roman"/>
          <w:sz w:val="32"/>
          <w:szCs w:val="32"/>
        </w:rPr>
        <w:t>1.财政拨款收入：指单位从同级财政部门取得的财政预算资金。</w:t>
      </w:r>
      <w:bookmarkEnd w:id="76"/>
    </w:p>
    <w:p w14:paraId="1A98AF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2.经营收入：指事业单位在专业业务活动及其辅助活动之外开展非独立核算经营活动取得的收入。</w:t>
      </w:r>
    </w:p>
    <w:p w14:paraId="0BC50AC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3.其他收入：指除上述“财政拨款收入”、“事业收入”、“经营收入”等以外的收入。</w:t>
      </w:r>
    </w:p>
    <w:p w14:paraId="408D00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4.年初结转和结余：指以前年度尚未完成、结转到本年按有关规定继续使用的资金。</w:t>
      </w:r>
    </w:p>
    <w:p w14:paraId="2CA6A23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5.结余分配：指事业单位按照事业单位会计制度的规定从非财政补助结余中分配的事业基金和职工福利基金等。</w:t>
      </w:r>
    </w:p>
    <w:p w14:paraId="7ED6A2C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6.年末结转和结余：指单位按有关规定结转到下年或以后年度继续使用的资金。</w:t>
      </w:r>
    </w:p>
    <w:p w14:paraId="0FB0330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7.公共安全支出（类）公安（款）一般行政管理事务（项）：指反映行政单位（包括实行公务员管理的事业单位）未单独设置项级科目的其他项目支出。</w:t>
      </w:r>
    </w:p>
    <w:p w14:paraId="4385972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8.公共安全支出（类）检察（款）行政运行（项）：指反映行政单位（包括实行公务员管理的事业单位）的基本支出。</w:t>
      </w:r>
    </w:p>
    <w:p w14:paraId="43EAB36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9.公共安全支出（类）检察（款）一般行政管理事务（项）：指反映行政单位（包括实行公务员管理的事业单位）未单独设置项级科目的其他项目支出。</w:t>
      </w:r>
    </w:p>
    <w:p w14:paraId="753254C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10.社会保障和就业（类）行政事业单位养老支出（款）机关事业单位基本养老保险缴费支出（项）：指反映机关事业单位实施养老保险制度由单位缴纳的基本养老保险支出。</w:t>
      </w:r>
    </w:p>
    <w:p w14:paraId="41782FC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11.社会保障和就业（类）行政事业单位养老支出（款）机关事业单位职业年金缴费支出（项）：指反映机关事业单位实施养老保险制度由单位实际缴纳的职业年金支出。</w:t>
      </w:r>
    </w:p>
    <w:p w14:paraId="0E7B6EB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12.卫生健康支出（类）行政事业单位医疗（款）行政单位医疗（项）：指反映财政部门集中安排的行政单位基本医疗保险缴费经费，未参加医疗保险的行政单位的公费医疗经费，按国家规定享受离休人员待遇的医疗经费。</w:t>
      </w:r>
    </w:p>
    <w:p w14:paraId="3CB8247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13.住房保障支出（类）住房改革支出（款）住房公积金（项）：指反映行政事业单位按人力资源和社会保障部、财政部规定的基本工资和津贴补贴以及规定比例为职工缴纳的脂肪公积金。</w:t>
      </w:r>
    </w:p>
    <w:p w14:paraId="3ECFDE7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14.基本支出：指为保障机构正常运转、完成日常工作任务而发生的人员支出和公用支出。</w:t>
      </w:r>
    </w:p>
    <w:p w14:paraId="336E4C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15.项目支出：指在基本支出之外为完成特定行政任务和事业发展目标所发生的支出。</w:t>
      </w:r>
    </w:p>
    <w:p w14:paraId="7AA78B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6BCB9E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方正仿宋_GBK" w:cs="Times New Roman"/>
          <w:sz w:val="32"/>
          <w:szCs w:val="32"/>
        </w:rPr>
        <w:br w:type="page"/>
      </w:r>
    </w:p>
    <w:p w14:paraId="379E0890">
      <w:pPr>
        <w:pStyle w:val="2"/>
        <w:jc w:val="center"/>
      </w:pPr>
      <w:bookmarkStart w:id="77" w:name="_Toc22083"/>
      <w:r>
        <w:rPr>
          <w:rFonts w:hint="eastAsia" w:ascii="黑体" w:hAnsi="黑体" w:eastAsia="黑体"/>
          <w:b w:val="0"/>
        </w:rPr>
        <w:t>第四部分 附件</w:t>
      </w:r>
      <w:bookmarkEnd w:id="77"/>
    </w:p>
    <w:p w14:paraId="0C7688DB">
      <w:pPr>
        <w:outlineLvl w:val="1"/>
        <w:rPr>
          <w:rFonts w:ascii="黑体" w:hAnsi="黑体" w:eastAsia="黑体"/>
          <w:sz w:val="32"/>
          <w:szCs w:val="32"/>
        </w:rPr>
      </w:pPr>
      <w:bookmarkStart w:id="78" w:name="_Toc18774"/>
      <w:r>
        <w:rPr>
          <w:rFonts w:hint="eastAsia" w:ascii="黑体" w:hAnsi="黑体" w:eastAsia="黑体"/>
          <w:sz w:val="32"/>
          <w:szCs w:val="32"/>
        </w:rPr>
        <w:t>附件1</w:t>
      </w:r>
      <w:bookmarkEnd w:id="78"/>
    </w:p>
    <w:p w14:paraId="2284548C">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ascii="方正小标宋_GBK" w:hAnsi="方正小标宋_GBK" w:eastAsia="方正小标宋_GBK" w:cs="方正小标宋_GBK"/>
          <w:b w:val="0"/>
          <w:bCs/>
          <w:sz w:val="44"/>
          <w:szCs w:val="44"/>
          <w:highlight w:val="none"/>
          <w:shd w:val="clear" w:color="auto" w:fill="FFFFFF"/>
          <w:lang w:val="en-US" w:eastAsia="zh-CN"/>
        </w:rPr>
      </w:pPr>
      <w:r>
        <w:rPr>
          <w:rFonts w:hint="eastAsia" w:ascii="方正小标宋_GBK" w:hAnsi="方正小标宋_GBK" w:eastAsia="方正小标宋_GBK" w:cs="方正小标宋_GBK"/>
          <w:b w:val="0"/>
          <w:bCs/>
          <w:sz w:val="44"/>
          <w:szCs w:val="44"/>
          <w:highlight w:val="none"/>
          <w:shd w:val="clear" w:color="auto" w:fill="FFFFFF"/>
          <w:lang w:val="en-US" w:eastAsia="zh-CN"/>
        </w:rPr>
        <w:t>理县人民检察院</w:t>
      </w:r>
    </w:p>
    <w:p w14:paraId="35203D12">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ascii="方正小标宋_GBK" w:hAnsi="方正小标宋_GBK" w:eastAsia="方正小标宋_GBK" w:cs="方正小标宋_GBK"/>
          <w:b w:val="0"/>
          <w:bCs/>
          <w:sz w:val="44"/>
          <w:szCs w:val="44"/>
          <w:highlight w:val="none"/>
          <w:shd w:val="clear" w:color="auto" w:fill="FFFFFF"/>
        </w:rPr>
      </w:pPr>
      <w:r>
        <w:rPr>
          <w:rFonts w:hint="eastAsia" w:ascii="方正小标宋_GBK" w:hAnsi="方正小标宋_GBK" w:eastAsia="方正小标宋_GBK" w:cs="方正小标宋_GBK"/>
          <w:b w:val="0"/>
          <w:bCs/>
          <w:sz w:val="44"/>
          <w:szCs w:val="44"/>
          <w:highlight w:val="none"/>
          <w:shd w:val="clear" w:color="auto" w:fill="FFFFFF"/>
          <w:lang w:val="en-US" w:eastAsia="zh-CN"/>
        </w:rPr>
        <w:t>2024年度</w:t>
      </w:r>
      <w:r>
        <w:rPr>
          <w:rFonts w:hint="eastAsia" w:ascii="方正小标宋_GBK" w:hAnsi="方正小标宋_GBK" w:eastAsia="方正小标宋_GBK" w:cs="方正小标宋_GBK"/>
          <w:b w:val="0"/>
          <w:bCs/>
          <w:sz w:val="44"/>
          <w:szCs w:val="44"/>
          <w:highlight w:val="none"/>
          <w:shd w:val="clear" w:color="auto" w:fill="FFFFFF"/>
        </w:rPr>
        <w:t>部门</w:t>
      </w:r>
      <w:r>
        <w:rPr>
          <w:rFonts w:hint="eastAsia" w:ascii="方正小标宋_GBK" w:hAnsi="方正小标宋_GBK" w:eastAsia="方正小标宋_GBK" w:cs="方正小标宋_GBK"/>
          <w:b w:val="0"/>
          <w:bCs/>
          <w:sz w:val="44"/>
          <w:szCs w:val="44"/>
          <w:highlight w:val="none"/>
          <w:shd w:val="clear" w:color="auto" w:fill="FFFFFF"/>
          <w:lang w:eastAsia="zh-CN"/>
        </w:rPr>
        <w:t>预算</w:t>
      </w:r>
      <w:r>
        <w:rPr>
          <w:rFonts w:hint="eastAsia" w:ascii="方正小标宋_GBK" w:hAnsi="方正小标宋_GBK" w:eastAsia="方正小标宋_GBK" w:cs="方正小标宋_GBK"/>
          <w:b w:val="0"/>
          <w:bCs/>
          <w:sz w:val="44"/>
          <w:szCs w:val="44"/>
          <w:highlight w:val="none"/>
          <w:shd w:val="clear" w:color="auto" w:fill="FFFFFF"/>
        </w:rPr>
        <w:t>绩效</w:t>
      </w:r>
      <w:r>
        <w:rPr>
          <w:rFonts w:hint="eastAsia" w:ascii="方正小标宋_GBK" w:hAnsi="方正小标宋_GBK" w:eastAsia="方正小标宋_GBK" w:cs="方正小标宋_GBK"/>
          <w:b w:val="0"/>
          <w:bCs/>
          <w:sz w:val="44"/>
          <w:szCs w:val="44"/>
          <w:highlight w:val="none"/>
          <w:shd w:val="clear" w:color="auto" w:fill="FFFFFF"/>
          <w:lang w:eastAsia="zh-CN"/>
        </w:rPr>
        <w:t>评价</w:t>
      </w:r>
      <w:r>
        <w:rPr>
          <w:rFonts w:hint="eastAsia" w:ascii="方正小标宋_GBK" w:hAnsi="方正小标宋_GBK" w:eastAsia="方正小标宋_GBK" w:cs="方正小标宋_GBK"/>
          <w:b w:val="0"/>
          <w:bCs/>
          <w:sz w:val="44"/>
          <w:szCs w:val="44"/>
          <w:highlight w:val="none"/>
          <w:shd w:val="clear" w:color="auto" w:fill="FFFFFF"/>
        </w:rPr>
        <w:t>报告</w:t>
      </w:r>
    </w:p>
    <w:p w14:paraId="288A6ADF">
      <w:pPr>
        <w:keepNext w:val="0"/>
        <w:keepLines w:val="0"/>
        <w:pageBreakBefore w:val="0"/>
        <w:widowControl/>
        <w:kinsoku/>
        <w:wordWrap/>
        <w:overflowPunct/>
        <w:topLinePunct w:val="0"/>
        <w:autoSpaceDE/>
        <w:autoSpaceDN/>
        <w:bidi w:val="0"/>
        <w:adjustRightInd w:val="0"/>
        <w:snapToGrid w:val="0"/>
        <w:spacing w:line="360" w:lineRule="exact"/>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3F84D62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textAlignment w:val="auto"/>
        <w:outlineLvl w:val="0"/>
        <w:rPr>
          <w:rFonts w:hint="default" w:ascii="Times New Roman" w:hAnsi="Times New Roman" w:eastAsia="黑体" w:cs="Times New Roman"/>
          <w:caps w:val="0"/>
          <w:color w:val="auto"/>
          <w:sz w:val="32"/>
          <w:szCs w:val="32"/>
          <w:u w:val="none"/>
          <w:vertAlign w:val="baseline"/>
        </w:rPr>
      </w:pPr>
      <w:r>
        <w:rPr>
          <w:rFonts w:hint="default" w:ascii="Times New Roman" w:hAnsi="Times New Roman" w:eastAsia="黑体" w:cs="Times New Roman"/>
          <w:b w:val="0"/>
          <w:bCs w:val="0"/>
          <w:caps w:val="0"/>
          <w:color w:val="auto"/>
          <w:kern w:val="2"/>
          <w:sz w:val="32"/>
          <w:szCs w:val="32"/>
          <w:u w:val="none"/>
          <w:vertAlign w:val="baseline"/>
          <w:lang w:val="en-US" w:eastAsia="zh-CN" w:bidi="ar"/>
        </w:rPr>
        <w:t>一、部门整体概况</w:t>
      </w:r>
    </w:p>
    <w:p w14:paraId="219D98B0">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zh-CN"/>
        </w:rPr>
      </w:pPr>
      <w:r>
        <w:rPr>
          <w:rFonts w:hint="default" w:ascii="Times New Roman" w:hAnsi="Times New Roman" w:eastAsia="方正楷体_GB2312" w:cs="Times New Roman"/>
          <w:b/>
          <w:sz w:val="32"/>
          <w:szCs w:val="32"/>
          <w:lang w:val="zh-CN"/>
        </w:rPr>
        <w:t>（一）机构组成</w:t>
      </w:r>
    </w:p>
    <w:p w14:paraId="341221F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zh-CN" w:eastAsia="zh-CN"/>
        </w:rPr>
        <w:t>理县人民检察院共设置内设机构5个。</w:t>
      </w:r>
    </w:p>
    <w:p w14:paraId="3988D58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zh-CN"/>
        </w:rPr>
      </w:pPr>
      <w:r>
        <w:rPr>
          <w:rFonts w:hint="default" w:ascii="Times New Roman" w:hAnsi="Times New Roman" w:eastAsia="方正楷体_GB2312" w:cs="Times New Roman"/>
          <w:b/>
          <w:sz w:val="32"/>
          <w:szCs w:val="32"/>
          <w:lang w:val="zh-CN"/>
        </w:rPr>
        <w:t>（</w:t>
      </w:r>
      <w:r>
        <w:rPr>
          <w:rFonts w:hint="default" w:ascii="Times New Roman" w:hAnsi="Times New Roman" w:eastAsia="方正楷体_GB2312" w:cs="Times New Roman"/>
          <w:b/>
          <w:sz w:val="32"/>
          <w:szCs w:val="32"/>
          <w:lang w:val="en-US" w:eastAsia="zh-CN"/>
        </w:rPr>
        <w:t>二</w:t>
      </w:r>
      <w:r>
        <w:rPr>
          <w:rFonts w:hint="default" w:ascii="Times New Roman" w:hAnsi="Times New Roman" w:eastAsia="方正楷体_GB2312" w:cs="Times New Roman"/>
          <w:b/>
          <w:sz w:val="32"/>
          <w:szCs w:val="32"/>
          <w:lang w:val="zh-CN"/>
        </w:rPr>
        <w:t>）机构职能</w:t>
      </w:r>
    </w:p>
    <w:p w14:paraId="7176A40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zh-CN" w:eastAsia="zh-CN"/>
        </w:rPr>
        <w:t>理县人民检察院共设置内设机构5个。</w:t>
      </w:r>
    </w:p>
    <w:p w14:paraId="092C027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zh-CN" w:eastAsia="zh-CN"/>
        </w:rPr>
        <w:t>办公室</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zh-CN" w:eastAsia="zh-CN"/>
        </w:rPr>
        <w:t>负责机关文电、会务、机要、档案、保密</w:t>
      </w:r>
      <w:r>
        <w:rPr>
          <w:rFonts w:hint="default" w:ascii="Times New Roman" w:hAnsi="Times New Roman" w:eastAsia="方正仿宋_GB2312" w:cs="Times New Roman"/>
          <w:sz w:val="32"/>
          <w:szCs w:val="32"/>
          <w:lang w:val="en-US" w:eastAsia="zh-CN"/>
        </w:rPr>
        <w:t>、财务、代表委员联络</w:t>
      </w:r>
      <w:r>
        <w:rPr>
          <w:rFonts w:hint="default" w:ascii="Times New Roman" w:hAnsi="Times New Roman" w:eastAsia="方正仿宋_GB2312" w:cs="Times New Roman"/>
          <w:sz w:val="32"/>
          <w:szCs w:val="32"/>
          <w:lang w:val="zh-CN" w:eastAsia="zh-CN"/>
        </w:rPr>
        <w:t>等工作</w:t>
      </w:r>
    </w:p>
    <w:p w14:paraId="68BD768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zh-CN" w:eastAsia="zh-CN"/>
        </w:rPr>
        <w:t>第一检察部</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zh-CN" w:eastAsia="zh-CN"/>
        </w:rPr>
        <w:t>办理刑事案件的审查逮捕、审查起诉、出庭支持公诉、抗诉，开展相关立案监督、侦查监督、审判监督以及相关案件的补充侦查等工作。</w:t>
      </w:r>
    </w:p>
    <w:p w14:paraId="68348CF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zh-CN" w:eastAsia="zh-CN"/>
        </w:rPr>
        <w:t>第二检察部</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zh-CN" w:eastAsia="zh-CN"/>
        </w:rPr>
        <w:t>负责办理向理县人民检察院申请监督的民事行政案件的审查、抗诉，承办对同级人民法院民事行政诉讼活动的法律监督，对审判监督程序以外的其他民事行政审判程序中审判人员的违法行为提出检察建议。对民事行政执行活动实行法律监督。开展民事行政支持起诉工作。办理理县人民检察院管辖的民事行政申诉案件。负责办理法律规定由理县人民检察院办理的公益诉讼案件。</w:t>
      </w:r>
    </w:p>
    <w:p w14:paraId="5A6394E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zh-CN" w:eastAsia="zh-CN"/>
        </w:rPr>
        <w:t>第三检察部</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zh-CN" w:eastAsia="zh-CN"/>
        </w:rPr>
        <w:t>负责对看守所和社区矫正机构等执法活动的监督。负责受理向理县人民检察院的控告和申诉。承办理县人民检察院管辖的国家赔偿案件和国家司法救助案件。</w:t>
      </w:r>
    </w:p>
    <w:p w14:paraId="6158BF3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zh-CN" w:eastAsia="zh-CN"/>
        </w:rPr>
        <w:t>负责案件的统一受理流转、办案流程监控、涉案财物的监管、法律文书监管、案件信息公开。统一组织办案质量评查、业务考评和业务统计分析研判。</w:t>
      </w:r>
    </w:p>
    <w:p w14:paraId="58D0DE1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zh-CN" w:eastAsia="zh-CN"/>
        </w:rPr>
        <w:t>政治部</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zh-CN" w:eastAsia="zh-CN"/>
        </w:rPr>
        <w:t>负责本部门本系统思想政治工作、新闻宣传、舆论引导、组织人事及教育培训等工作。负责离退休干部管理工作。组织司法警察履行职责工作。</w:t>
      </w:r>
    </w:p>
    <w:p w14:paraId="40408E0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zh-CN"/>
        </w:rPr>
      </w:pPr>
      <w:r>
        <w:rPr>
          <w:rFonts w:hint="default" w:ascii="Times New Roman" w:hAnsi="Times New Roman" w:eastAsia="方正楷体_GB2312" w:cs="Times New Roman"/>
          <w:b/>
          <w:sz w:val="32"/>
          <w:szCs w:val="32"/>
          <w:lang w:val="zh-CN"/>
        </w:rPr>
        <w:t>（</w:t>
      </w:r>
      <w:r>
        <w:rPr>
          <w:rFonts w:hint="default" w:ascii="Times New Roman" w:hAnsi="Times New Roman" w:eastAsia="方正楷体_GB2312" w:cs="Times New Roman"/>
          <w:b/>
          <w:sz w:val="32"/>
          <w:szCs w:val="32"/>
          <w:lang w:val="en-US" w:eastAsia="zh-CN"/>
        </w:rPr>
        <w:t>三</w:t>
      </w:r>
      <w:r>
        <w:rPr>
          <w:rFonts w:hint="default" w:ascii="Times New Roman" w:hAnsi="Times New Roman" w:eastAsia="方正楷体_GB2312" w:cs="Times New Roman"/>
          <w:b/>
          <w:sz w:val="32"/>
          <w:szCs w:val="32"/>
          <w:lang w:val="zh-CN"/>
        </w:rPr>
        <w:t>）人员概况</w:t>
      </w:r>
    </w:p>
    <w:p w14:paraId="552E2AB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理县人民检察院为一级行政单位，无下属二级单位</w:t>
      </w:r>
      <w:r>
        <w:rPr>
          <w:rFonts w:hint="default" w:ascii="Times New Roman" w:hAnsi="Times New Roman" w:eastAsia="方正仿宋_GB2312" w:cs="Times New Roman"/>
          <w:sz w:val="32"/>
          <w:szCs w:val="32"/>
          <w:lang w:val="zh-CN" w:eastAsia="zh-CN"/>
        </w:rPr>
        <w:t>。</w:t>
      </w:r>
      <w:r>
        <w:rPr>
          <w:rFonts w:hint="default" w:ascii="Times New Roman" w:hAnsi="Times New Roman" w:eastAsia="方正仿宋_GB2312" w:cs="Times New Roman"/>
          <w:sz w:val="32"/>
          <w:szCs w:val="32"/>
          <w:lang w:val="en-US" w:eastAsia="zh-CN"/>
        </w:rPr>
        <w:t>人员</w:t>
      </w:r>
      <w:r>
        <w:rPr>
          <w:rFonts w:hint="default" w:ascii="Times New Roman" w:hAnsi="Times New Roman" w:eastAsia="方正仿宋_GB2312" w:cs="Times New Roman"/>
          <w:sz w:val="32"/>
          <w:szCs w:val="32"/>
          <w:lang w:val="zh-CN" w:eastAsia="zh-CN"/>
        </w:rPr>
        <w:t>编制</w:t>
      </w:r>
      <w:r>
        <w:rPr>
          <w:rFonts w:hint="default" w:ascii="Times New Roman" w:hAnsi="Times New Roman" w:eastAsia="方正仿宋_GB2312" w:cs="Times New Roman"/>
          <w:sz w:val="32"/>
          <w:szCs w:val="32"/>
          <w:lang w:val="en-US" w:eastAsia="zh-CN"/>
        </w:rPr>
        <w:t>25</w:t>
      </w:r>
      <w:r>
        <w:rPr>
          <w:rFonts w:hint="default" w:ascii="Times New Roman" w:hAnsi="Times New Roman" w:eastAsia="方正仿宋_GB2312" w:cs="Times New Roman"/>
          <w:sz w:val="32"/>
          <w:szCs w:val="32"/>
          <w:lang w:val="zh-CN" w:eastAsia="zh-CN"/>
        </w:rPr>
        <w:t>人，其中政法编制</w:t>
      </w:r>
      <w:r>
        <w:rPr>
          <w:rFonts w:hint="default" w:ascii="Times New Roman" w:hAnsi="Times New Roman" w:eastAsia="方正仿宋_GB2312" w:cs="Times New Roman"/>
          <w:sz w:val="32"/>
          <w:szCs w:val="32"/>
          <w:lang w:val="en-US" w:eastAsia="zh-CN"/>
        </w:rPr>
        <w:t>22人</w:t>
      </w:r>
      <w:r>
        <w:rPr>
          <w:rFonts w:hint="default" w:ascii="Times New Roman" w:hAnsi="Times New Roman" w:eastAsia="方正仿宋_GB2312" w:cs="Times New Roman"/>
          <w:sz w:val="32"/>
          <w:szCs w:val="32"/>
          <w:lang w:val="zh-CN" w:eastAsia="zh-CN"/>
        </w:rPr>
        <w:t>，工勤人员3人。</w:t>
      </w:r>
      <w:r>
        <w:rPr>
          <w:rFonts w:hint="default" w:ascii="Times New Roman" w:hAnsi="Times New Roman" w:eastAsia="方正仿宋_GB2312" w:cs="Times New Roman"/>
          <w:sz w:val="32"/>
          <w:szCs w:val="32"/>
          <w:lang w:val="en-US" w:eastAsia="zh-CN"/>
        </w:rPr>
        <w:t>截止2024年12月</w:t>
      </w:r>
      <w:r>
        <w:rPr>
          <w:rFonts w:hint="default" w:ascii="Times New Roman" w:hAnsi="Times New Roman" w:eastAsia="方正仿宋_GB2312" w:cs="Times New Roman"/>
          <w:sz w:val="32"/>
          <w:szCs w:val="32"/>
          <w:lang w:val="zh-CN" w:eastAsia="zh-CN"/>
        </w:rPr>
        <w:t>实有人数</w:t>
      </w:r>
      <w:r>
        <w:rPr>
          <w:rFonts w:hint="default" w:ascii="Times New Roman" w:hAnsi="Times New Roman" w:eastAsia="方正仿宋_GB2312" w:cs="Times New Roman"/>
          <w:sz w:val="32"/>
          <w:szCs w:val="32"/>
          <w:lang w:val="en-US" w:eastAsia="zh-CN"/>
        </w:rPr>
        <w:t>22</w:t>
      </w:r>
      <w:r>
        <w:rPr>
          <w:rFonts w:hint="default" w:ascii="Times New Roman" w:hAnsi="Times New Roman" w:eastAsia="方正仿宋_GB2312" w:cs="Times New Roman"/>
          <w:sz w:val="32"/>
          <w:szCs w:val="32"/>
          <w:lang w:val="zh-CN" w:eastAsia="zh-CN"/>
        </w:rPr>
        <w:t>人，其中政法机关人员</w:t>
      </w:r>
      <w:r>
        <w:rPr>
          <w:rFonts w:hint="default" w:ascii="Times New Roman" w:hAnsi="Times New Roman" w:eastAsia="方正仿宋_GB2312" w:cs="Times New Roman"/>
          <w:sz w:val="32"/>
          <w:szCs w:val="32"/>
          <w:lang w:val="en-US" w:eastAsia="zh-CN"/>
        </w:rPr>
        <w:t>19</w:t>
      </w:r>
      <w:r>
        <w:rPr>
          <w:rFonts w:hint="default" w:ascii="Times New Roman" w:hAnsi="Times New Roman" w:eastAsia="方正仿宋_GB2312" w:cs="Times New Roman"/>
          <w:sz w:val="32"/>
          <w:szCs w:val="32"/>
          <w:lang w:val="zh-CN" w:eastAsia="zh-CN"/>
        </w:rPr>
        <w:t>人，工勤人员3人，退休人员</w:t>
      </w:r>
      <w:r>
        <w:rPr>
          <w:rFonts w:hint="default" w:ascii="Times New Roman" w:hAnsi="Times New Roman" w:eastAsia="方正仿宋_GB2312" w:cs="Times New Roman"/>
          <w:sz w:val="32"/>
          <w:szCs w:val="32"/>
          <w:lang w:val="en-US" w:eastAsia="zh-CN"/>
        </w:rPr>
        <w:t>13</w:t>
      </w:r>
      <w:r>
        <w:rPr>
          <w:rFonts w:hint="default" w:ascii="Times New Roman" w:hAnsi="Times New Roman" w:eastAsia="方正仿宋_GB2312" w:cs="Times New Roman"/>
          <w:sz w:val="32"/>
          <w:szCs w:val="32"/>
          <w:lang w:val="zh-CN" w:eastAsia="zh-CN"/>
        </w:rPr>
        <w:t>名。</w:t>
      </w:r>
    </w:p>
    <w:p w14:paraId="5568666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textAlignment w:val="auto"/>
        <w:outlineLvl w:val="0"/>
        <w:rPr>
          <w:rFonts w:hint="default" w:ascii="Times New Roman" w:hAnsi="Times New Roman" w:eastAsia="黑体" w:cs="Times New Roman"/>
          <w:b w:val="0"/>
          <w:bCs w:val="0"/>
          <w:caps w:val="0"/>
          <w:color w:val="auto"/>
          <w:kern w:val="2"/>
          <w:sz w:val="32"/>
          <w:szCs w:val="32"/>
          <w:u w:val="none"/>
          <w:vertAlign w:val="baseline"/>
          <w:lang w:val="en-US" w:eastAsia="zh-CN" w:bidi="ar"/>
        </w:rPr>
      </w:pPr>
      <w:r>
        <w:rPr>
          <w:rFonts w:hint="default" w:ascii="Times New Roman" w:hAnsi="Times New Roman" w:eastAsia="黑体" w:cs="Times New Roman"/>
          <w:b w:val="0"/>
          <w:bCs w:val="0"/>
          <w:caps w:val="0"/>
          <w:color w:val="auto"/>
          <w:kern w:val="2"/>
          <w:sz w:val="32"/>
          <w:szCs w:val="32"/>
          <w:u w:val="none"/>
          <w:vertAlign w:val="baseline"/>
          <w:lang w:val="en-US" w:eastAsia="zh-CN" w:bidi="ar"/>
        </w:rPr>
        <w:t>二、部门资金收支情况</w:t>
      </w:r>
    </w:p>
    <w:p w14:paraId="325BB19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zh-CN"/>
        </w:rPr>
      </w:pPr>
      <w:r>
        <w:rPr>
          <w:rFonts w:hint="default" w:ascii="Times New Roman" w:hAnsi="Times New Roman" w:eastAsia="方正楷体_GB2312" w:cs="Times New Roman"/>
          <w:b/>
          <w:sz w:val="32"/>
          <w:szCs w:val="32"/>
          <w:lang w:val="zh-CN"/>
        </w:rPr>
        <w:t>（一）收入情况</w:t>
      </w:r>
    </w:p>
    <w:p w14:paraId="35600EF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理县人民检察院2024年收入年初预算安排527.92万元，上年度收入的年初预算数为876.76万元，本年度比上年减少348.84万元，降低39.79%，主要原因为县级基础绩效支出及绩效考核奖金支出未纳入州级年初预算。</w:t>
      </w:r>
    </w:p>
    <w:p w14:paraId="55E1055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zh-CN" w:eastAsia="zh-CN"/>
        </w:rPr>
        <w:t>202</w:t>
      </w:r>
      <w:r>
        <w:rPr>
          <w:rFonts w:hint="default" w:ascii="Times New Roman" w:hAnsi="Times New Roman" w:eastAsia="方正仿宋_GB2312" w:cs="Times New Roman"/>
          <w:sz w:val="32"/>
          <w:szCs w:val="32"/>
          <w:lang w:val="en-US" w:eastAsia="zh-CN"/>
        </w:rPr>
        <w:t>4</w:t>
      </w:r>
      <w:r>
        <w:rPr>
          <w:rFonts w:hint="default" w:ascii="Times New Roman" w:hAnsi="Times New Roman" w:eastAsia="方正仿宋_GB2312" w:cs="Times New Roman"/>
          <w:sz w:val="32"/>
          <w:szCs w:val="32"/>
          <w:lang w:val="zh-CN" w:eastAsia="zh-CN"/>
        </w:rPr>
        <w:t>年总</w:t>
      </w:r>
      <w:r>
        <w:rPr>
          <w:rFonts w:hint="default" w:ascii="Times New Roman" w:hAnsi="Times New Roman" w:eastAsia="方正仿宋_GB2312" w:cs="Times New Roman"/>
          <w:sz w:val="32"/>
          <w:szCs w:val="32"/>
          <w:lang w:val="en-US" w:eastAsia="zh-CN"/>
        </w:rPr>
        <w:t>收入975.67万元，与上年955.97万元对比增加19.70万元，增长比率2.06%，主要原因为本年度采购项目完成度高于2023年，采购项目均完成支付。</w:t>
      </w:r>
    </w:p>
    <w:p w14:paraId="2666AE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zh-CN" w:eastAsia="zh-CN"/>
        </w:rPr>
        <w:t>其中：一般公共预算财政拨款收入为</w:t>
      </w:r>
      <w:r>
        <w:rPr>
          <w:rFonts w:hint="default" w:ascii="Times New Roman" w:hAnsi="Times New Roman" w:eastAsia="方正仿宋_GB2312" w:cs="Times New Roman"/>
          <w:sz w:val="32"/>
          <w:szCs w:val="32"/>
          <w:lang w:val="en-US" w:eastAsia="zh-CN"/>
        </w:rPr>
        <w:t>826.28</w:t>
      </w:r>
      <w:r>
        <w:rPr>
          <w:rFonts w:hint="default" w:ascii="Times New Roman" w:hAnsi="Times New Roman" w:eastAsia="方正仿宋_GB2312" w:cs="Times New Roman"/>
          <w:sz w:val="32"/>
          <w:szCs w:val="32"/>
          <w:lang w:val="zh-CN" w:eastAsia="zh-CN"/>
        </w:rPr>
        <w:t>万元，占比</w:t>
      </w:r>
      <w:r>
        <w:rPr>
          <w:rFonts w:hint="default" w:ascii="Times New Roman" w:hAnsi="Times New Roman" w:eastAsia="方正仿宋_GB2312" w:cs="Times New Roman"/>
          <w:sz w:val="32"/>
          <w:szCs w:val="32"/>
          <w:lang w:val="en-US" w:eastAsia="zh-CN"/>
        </w:rPr>
        <w:t>84.69</w:t>
      </w:r>
      <w:r>
        <w:rPr>
          <w:rFonts w:hint="default" w:ascii="Times New Roman" w:hAnsi="Times New Roman" w:eastAsia="方正仿宋_GB2312" w:cs="Times New Roman"/>
          <w:sz w:val="32"/>
          <w:szCs w:val="32"/>
          <w:lang w:val="zh-CN" w:eastAsia="zh-CN"/>
        </w:rPr>
        <w:t>%；</w:t>
      </w:r>
      <w:r>
        <w:rPr>
          <w:rFonts w:hint="default" w:ascii="Times New Roman" w:hAnsi="Times New Roman" w:eastAsia="方正仿宋_GB2312" w:cs="Times New Roman"/>
          <w:sz w:val="32"/>
          <w:szCs w:val="32"/>
          <w:lang w:val="en-US" w:eastAsia="zh-CN"/>
        </w:rPr>
        <w:t>其他收入149.39万元，占比15.31</w:t>
      </w:r>
      <w:r>
        <w:rPr>
          <w:rFonts w:hint="default" w:ascii="Times New Roman" w:hAnsi="Times New Roman" w:eastAsia="方正仿宋_GB2312" w:cs="Times New Roman"/>
          <w:sz w:val="32"/>
          <w:szCs w:val="32"/>
          <w:lang w:val="zh-CN" w:eastAsia="zh-CN"/>
        </w:rPr>
        <w:t>%。</w:t>
      </w:r>
    </w:p>
    <w:p w14:paraId="38FCA3C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en-US" w:eastAsia="zh-CN"/>
        </w:rPr>
      </w:pPr>
      <w:r>
        <w:rPr>
          <w:rFonts w:hint="default" w:ascii="Times New Roman" w:hAnsi="Times New Roman" w:eastAsia="方正楷体_GB2312" w:cs="Times New Roman"/>
          <w:b/>
          <w:sz w:val="32"/>
          <w:szCs w:val="32"/>
          <w:lang w:val="zh-CN" w:eastAsia="zh-CN"/>
        </w:rPr>
        <w:t>（</w:t>
      </w:r>
      <w:r>
        <w:rPr>
          <w:rFonts w:hint="default" w:ascii="Times New Roman" w:hAnsi="Times New Roman" w:eastAsia="方正楷体_GB2312" w:cs="Times New Roman"/>
          <w:b/>
          <w:sz w:val="32"/>
          <w:szCs w:val="32"/>
          <w:lang w:val="en-US" w:eastAsia="zh-CN"/>
        </w:rPr>
        <w:t>二）</w:t>
      </w:r>
      <w:r>
        <w:rPr>
          <w:rFonts w:hint="default" w:ascii="Times New Roman" w:hAnsi="Times New Roman" w:eastAsia="方正楷体_GB2312" w:cs="Times New Roman"/>
          <w:b/>
          <w:sz w:val="32"/>
          <w:szCs w:val="32"/>
          <w:lang w:val="zh-CN" w:eastAsia="zh-CN"/>
        </w:rPr>
        <w:t>支出情况</w:t>
      </w:r>
    </w:p>
    <w:p w14:paraId="69DAFF7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理县人民检察院2024年支出年初预算安排527.92万元，上年度支出的年初预算数为876.76万元，本年度比上年减少348.84万元，降低39.79%，主要原因为县级基础绩效支出及绩效考核奖金支出未纳入州级年初预算。其中公共安全支出385.48万元，比上年减少287.79万元，降低42.75%；社会保障和就业支出75.98万元，比上年减少34.15万元，降低31.01%；卫生健康</w:t>
      </w:r>
      <w:r>
        <w:rPr>
          <w:rFonts w:hint="default" w:ascii="Times New Roman" w:hAnsi="Times New Roman" w:eastAsia="方正仿宋_GB2312" w:cs="Times New Roman"/>
          <w:sz w:val="32"/>
          <w:szCs w:val="32"/>
          <w:lang w:val="zh-CN" w:eastAsia="zh-CN"/>
        </w:rPr>
        <w:t>支出</w:t>
      </w:r>
      <w:r>
        <w:rPr>
          <w:rFonts w:hint="default" w:ascii="Times New Roman" w:hAnsi="Times New Roman" w:eastAsia="方正仿宋_GB2312" w:cs="Times New Roman"/>
          <w:sz w:val="32"/>
          <w:szCs w:val="32"/>
          <w:lang w:val="en-US" w:eastAsia="zh-CN"/>
        </w:rPr>
        <w:t>29.52</w:t>
      </w:r>
      <w:r>
        <w:rPr>
          <w:rFonts w:hint="default" w:ascii="Times New Roman" w:hAnsi="Times New Roman" w:eastAsia="方正仿宋_GB2312" w:cs="Times New Roman"/>
          <w:sz w:val="32"/>
          <w:szCs w:val="32"/>
          <w:lang w:val="zh-CN" w:eastAsia="zh-CN"/>
        </w:rPr>
        <w:t>万元，比</w:t>
      </w:r>
      <w:r>
        <w:rPr>
          <w:rFonts w:hint="default" w:ascii="Times New Roman" w:hAnsi="Times New Roman" w:eastAsia="方正仿宋_GB2312" w:cs="Times New Roman"/>
          <w:sz w:val="32"/>
          <w:szCs w:val="32"/>
          <w:lang w:val="en-US" w:eastAsia="zh-CN"/>
        </w:rPr>
        <w:t>上年减少9.96</w:t>
      </w:r>
      <w:r>
        <w:rPr>
          <w:rFonts w:hint="default" w:ascii="Times New Roman" w:hAnsi="Times New Roman" w:eastAsia="方正仿宋_GB2312" w:cs="Times New Roman"/>
          <w:sz w:val="32"/>
          <w:szCs w:val="32"/>
          <w:lang w:val="zh-CN" w:eastAsia="zh-CN"/>
        </w:rPr>
        <w:t>万元，</w:t>
      </w:r>
      <w:r>
        <w:rPr>
          <w:rFonts w:hint="default" w:ascii="Times New Roman" w:hAnsi="Times New Roman" w:eastAsia="方正仿宋_GB2312" w:cs="Times New Roman"/>
          <w:sz w:val="32"/>
          <w:szCs w:val="32"/>
          <w:lang w:val="en-US" w:eastAsia="zh-CN"/>
        </w:rPr>
        <w:t>降低25.23</w:t>
      </w:r>
      <w:r>
        <w:rPr>
          <w:rFonts w:hint="default" w:ascii="Times New Roman" w:hAnsi="Times New Roman" w:eastAsia="方正仿宋_GB2312" w:cs="Times New Roman"/>
          <w:sz w:val="32"/>
          <w:szCs w:val="32"/>
          <w:lang w:val="zh-CN" w:eastAsia="zh-CN"/>
        </w:rPr>
        <w:t>%；住房保障支出</w:t>
      </w:r>
      <w:r>
        <w:rPr>
          <w:rFonts w:hint="default" w:ascii="Times New Roman" w:hAnsi="Times New Roman" w:eastAsia="方正仿宋_GB2312" w:cs="Times New Roman"/>
          <w:sz w:val="32"/>
          <w:szCs w:val="32"/>
          <w:lang w:val="en-US" w:eastAsia="zh-CN"/>
        </w:rPr>
        <w:t>36.94</w:t>
      </w:r>
      <w:r>
        <w:rPr>
          <w:rFonts w:hint="default" w:ascii="Times New Roman" w:hAnsi="Times New Roman" w:eastAsia="方正仿宋_GB2312" w:cs="Times New Roman"/>
          <w:sz w:val="32"/>
          <w:szCs w:val="32"/>
          <w:lang w:val="zh-CN" w:eastAsia="zh-CN"/>
        </w:rPr>
        <w:t>万元，比上年</w:t>
      </w:r>
      <w:r>
        <w:rPr>
          <w:rFonts w:hint="default" w:ascii="Times New Roman" w:hAnsi="Times New Roman" w:eastAsia="方正仿宋_GB2312" w:cs="Times New Roman"/>
          <w:sz w:val="32"/>
          <w:szCs w:val="32"/>
          <w:lang w:val="en-US" w:eastAsia="zh-CN"/>
        </w:rPr>
        <w:t>减少16.94</w:t>
      </w:r>
      <w:r>
        <w:rPr>
          <w:rFonts w:hint="default" w:ascii="Times New Roman" w:hAnsi="Times New Roman" w:eastAsia="方正仿宋_GB2312" w:cs="Times New Roman"/>
          <w:sz w:val="32"/>
          <w:szCs w:val="32"/>
          <w:lang w:val="zh-CN" w:eastAsia="zh-CN"/>
        </w:rPr>
        <w:t>万元，</w:t>
      </w:r>
      <w:r>
        <w:rPr>
          <w:rFonts w:hint="default" w:ascii="Times New Roman" w:hAnsi="Times New Roman" w:eastAsia="方正仿宋_GB2312" w:cs="Times New Roman"/>
          <w:sz w:val="32"/>
          <w:szCs w:val="32"/>
          <w:lang w:val="en-US" w:eastAsia="zh-CN"/>
        </w:rPr>
        <w:t>降低31.44</w:t>
      </w:r>
      <w:r>
        <w:rPr>
          <w:rFonts w:hint="default" w:ascii="Times New Roman" w:hAnsi="Times New Roman" w:eastAsia="方正仿宋_GB2312" w:cs="Times New Roman"/>
          <w:sz w:val="32"/>
          <w:szCs w:val="32"/>
          <w:lang w:val="zh-CN" w:eastAsia="zh-CN"/>
        </w:rPr>
        <w:t>%</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zh-CN" w:eastAsia="zh-CN"/>
        </w:rPr>
        <w:t>主要原因是预算</w:t>
      </w:r>
      <w:r>
        <w:rPr>
          <w:rFonts w:hint="default" w:ascii="Times New Roman" w:hAnsi="Times New Roman" w:eastAsia="方正仿宋_GB2312" w:cs="Times New Roman"/>
          <w:sz w:val="32"/>
          <w:szCs w:val="32"/>
          <w:lang w:val="en-US" w:eastAsia="zh-CN"/>
        </w:rPr>
        <w:t>时，县级发放的在职人员基础绩效、目标奖等未纳入年初预算，同时</w:t>
      </w:r>
      <w:r>
        <w:rPr>
          <w:rFonts w:hint="default" w:ascii="Times New Roman" w:hAnsi="Times New Roman" w:eastAsia="方正仿宋_GB2312" w:cs="Times New Roman"/>
          <w:sz w:val="32"/>
          <w:szCs w:val="32"/>
          <w:lang w:val="zh-CN" w:eastAsia="zh-CN"/>
        </w:rPr>
        <w:t>保险及公积金基数</w:t>
      </w:r>
      <w:r>
        <w:rPr>
          <w:rFonts w:hint="default" w:ascii="Times New Roman" w:hAnsi="Times New Roman" w:eastAsia="方正仿宋_GB2312" w:cs="Times New Roman"/>
          <w:sz w:val="32"/>
          <w:szCs w:val="32"/>
          <w:lang w:val="en-US" w:eastAsia="zh-CN"/>
        </w:rPr>
        <w:t>减少</w:t>
      </w:r>
      <w:r>
        <w:rPr>
          <w:rFonts w:hint="default" w:ascii="Times New Roman" w:hAnsi="Times New Roman" w:eastAsia="方正仿宋_GB2312" w:cs="Times New Roman"/>
          <w:sz w:val="32"/>
          <w:szCs w:val="32"/>
          <w:lang w:val="zh-CN" w:eastAsia="zh-CN"/>
        </w:rPr>
        <w:t>。</w:t>
      </w:r>
    </w:p>
    <w:p w14:paraId="5356232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2024年支出960.69万元，增长比率0.49%，主要原因为本年度7-12月基础绩效暂未发放，人员经费减少，但本年度采购项目完成度高于2023年，采购项目均完成支付</w:t>
      </w:r>
      <w:r>
        <w:rPr>
          <w:rFonts w:hint="default" w:ascii="Times New Roman" w:hAnsi="Times New Roman" w:eastAsia="方正仿宋_GB2312" w:cs="Times New Roman"/>
          <w:sz w:val="32"/>
          <w:szCs w:val="32"/>
          <w:lang w:val="zh-CN" w:eastAsia="zh-CN"/>
        </w:rPr>
        <w:t>。</w:t>
      </w:r>
      <w:r>
        <w:rPr>
          <w:rFonts w:hint="default" w:ascii="Times New Roman" w:hAnsi="Times New Roman" w:eastAsia="方正仿宋_GB2312" w:cs="Times New Roman"/>
          <w:sz w:val="32"/>
          <w:szCs w:val="32"/>
          <w:lang w:val="en-US" w:eastAsia="zh-CN"/>
        </w:rPr>
        <w:t>其中</w:t>
      </w:r>
      <w:r>
        <w:rPr>
          <w:rFonts w:hint="default" w:ascii="Times New Roman" w:hAnsi="Times New Roman" w:eastAsia="方正仿宋_GB2312" w:cs="Times New Roman"/>
          <w:sz w:val="32"/>
          <w:szCs w:val="32"/>
          <w:lang w:val="zh-CN" w:eastAsia="zh-CN"/>
        </w:rPr>
        <w:t>一般公共预算财政拨款支出</w:t>
      </w:r>
      <w:r>
        <w:rPr>
          <w:rFonts w:hint="default" w:ascii="Times New Roman" w:hAnsi="Times New Roman" w:eastAsia="方正仿宋_GB2312" w:cs="Times New Roman"/>
          <w:sz w:val="32"/>
          <w:szCs w:val="32"/>
          <w:lang w:val="en-US" w:eastAsia="zh-CN"/>
        </w:rPr>
        <w:t>826.28</w:t>
      </w:r>
      <w:r>
        <w:rPr>
          <w:rFonts w:hint="default" w:ascii="Times New Roman" w:hAnsi="Times New Roman" w:eastAsia="方正仿宋_GB2312" w:cs="Times New Roman"/>
          <w:sz w:val="32"/>
          <w:szCs w:val="32"/>
          <w:lang w:val="zh-CN" w:eastAsia="zh-CN"/>
        </w:rPr>
        <w:t>万元，占比</w:t>
      </w:r>
      <w:r>
        <w:rPr>
          <w:rFonts w:hint="default" w:ascii="Times New Roman" w:hAnsi="Times New Roman" w:eastAsia="方正仿宋_GB2312" w:cs="Times New Roman"/>
          <w:sz w:val="32"/>
          <w:szCs w:val="32"/>
          <w:lang w:val="en-US" w:eastAsia="zh-CN"/>
        </w:rPr>
        <w:t>86.01</w:t>
      </w:r>
      <w:r>
        <w:rPr>
          <w:rFonts w:hint="default" w:ascii="Times New Roman" w:hAnsi="Times New Roman" w:eastAsia="方正仿宋_GB2312" w:cs="Times New Roman"/>
          <w:sz w:val="32"/>
          <w:szCs w:val="32"/>
          <w:lang w:val="zh-CN" w:eastAsia="zh-CN"/>
        </w:rPr>
        <w:t>%，</w:t>
      </w:r>
      <w:r>
        <w:rPr>
          <w:rFonts w:hint="default" w:ascii="Times New Roman" w:hAnsi="Times New Roman" w:eastAsia="方正仿宋_GB2312" w:cs="Times New Roman"/>
          <w:sz w:val="32"/>
          <w:szCs w:val="32"/>
          <w:lang w:val="en-US" w:eastAsia="zh-CN"/>
        </w:rPr>
        <w:t>其他资金支出134.41万元，占比13.99</w:t>
      </w:r>
      <w:r>
        <w:rPr>
          <w:rFonts w:hint="default" w:ascii="Times New Roman" w:hAnsi="Times New Roman" w:eastAsia="方正仿宋_GB2312" w:cs="Times New Roman"/>
          <w:sz w:val="32"/>
          <w:szCs w:val="32"/>
          <w:lang w:val="zh-CN" w:eastAsia="zh-CN"/>
        </w:rPr>
        <w:t>%。其中工资福利支出</w:t>
      </w:r>
      <w:r>
        <w:rPr>
          <w:rFonts w:hint="default" w:ascii="Times New Roman" w:hAnsi="Times New Roman" w:eastAsia="方正仿宋_GB2312" w:cs="Times New Roman"/>
          <w:sz w:val="32"/>
          <w:szCs w:val="32"/>
          <w:lang w:val="en-US" w:eastAsia="zh-CN"/>
        </w:rPr>
        <w:t>590.68</w:t>
      </w:r>
      <w:r>
        <w:rPr>
          <w:rFonts w:hint="default" w:ascii="Times New Roman" w:hAnsi="Times New Roman" w:eastAsia="方正仿宋_GB2312" w:cs="Times New Roman"/>
          <w:sz w:val="32"/>
          <w:szCs w:val="32"/>
          <w:lang w:val="zh-CN" w:eastAsia="zh-CN"/>
        </w:rPr>
        <w:t>万元，占</w:t>
      </w:r>
      <w:r>
        <w:rPr>
          <w:rFonts w:hint="default" w:ascii="Times New Roman" w:hAnsi="Times New Roman" w:eastAsia="方正仿宋_GB2312" w:cs="Times New Roman"/>
          <w:sz w:val="32"/>
          <w:szCs w:val="32"/>
          <w:lang w:val="en-US" w:eastAsia="zh-CN"/>
        </w:rPr>
        <w:t>总</w:t>
      </w:r>
      <w:r>
        <w:rPr>
          <w:rFonts w:hint="default" w:ascii="Times New Roman" w:hAnsi="Times New Roman" w:eastAsia="方正仿宋_GB2312" w:cs="Times New Roman"/>
          <w:sz w:val="32"/>
          <w:szCs w:val="32"/>
          <w:lang w:val="zh-CN" w:eastAsia="zh-CN"/>
        </w:rPr>
        <w:t>支出</w:t>
      </w:r>
      <w:r>
        <w:rPr>
          <w:rFonts w:hint="default" w:ascii="Times New Roman" w:hAnsi="Times New Roman" w:eastAsia="方正仿宋_GB2312" w:cs="Times New Roman"/>
          <w:sz w:val="32"/>
          <w:szCs w:val="32"/>
          <w:lang w:val="en-US" w:eastAsia="zh-CN"/>
        </w:rPr>
        <w:t>61.48</w:t>
      </w:r>
      <w:r>
        <w:rPr>
          <w:rFonts w:hint="default" w:ascii="Times New Roman" w:hAnsi="Times New Roman" w:eastAsia="方正仿宋_GB2312" w:cs="Times New Roman"/>
          <w:sz w:val="32"/>
          <w:szCs w:val="32"/>
          <w:lang w:val="zh-CN" w:eastAsia="zh-CN"/>
        </w:rPr>
        <w:t>%；商品和服务支出</w:t>
      </w:r>
      <w:r>
        <w:rPr>
          <w:rFonts w:hint="default" w:ascii="Times New Roman" w:hAnsi="Times New Roman" w:eastAsia="方正仿宋_GB2312" w:cs="Times New Roman"/>
          <w:sz w:val="32"/>
          <w:szCs w:val="32"/>
          <w:lang w:val="en-US" w:eastAsia="zh-CN"/>
        </w:rPr>
        <w:t>158.28</w:t>
      </w:r>
      <w:r>
        <w:rPr>
          <w:rFonts w:hint="default" w:ascii="Times New Roman" w:hAnsi="Times New Roman" w:eastAsia="方正仿宋_GB2312" w:cs="Times New Roman"/>
          <w:sz w:val="32"/>
          <w:szCs w:val="32"/>
          <w:lang w:val="zh-CN" w:eastAsia="zh-CN"/>
        </w:rPr>
        <w:t>万元，占</w:t>
      </w:r>
      <w:r>
        <w:rPr>
          <w:rFonts w:hint="default" w:ascii="Times New Roman" w:hAnsi="Times New Roman" w:eastAsia="方正仿宋_GB2312" w:cs="Times New Roman"/>
          <w:sz w:val="32"/>
          <w:szCs w:val="32"/>
          <w:lang w:val="en-US" w:eastAsia="zh-CN"/>
        </w:rPr>
        <w:t>总</w:t>
      </w:r>
      <w:r>
        <w:rPr>
          <w:rFonts w:hint="default" w:ascii="Times New Roman" w:hAnsi="Times New Roman" w:eastAsia="方正仿宋_GB2312" w:cs="Times New Roman"/>
          <w:sz w:val="32"/>
          <w:szCs w:val="32"/>
          <w:lang w:val="zh-CN" w:eastAsia="zh-CN"/>
        </w:rPr>
        <w:t>支出</w:t>
      </w:r>
      <w:r>
        <w:rPr>
          <w:rFonts w:hint="default" w:ascii="Times New Roman" w:hAnsi="Times New Roman" w:eastAsia="方正仿宋_GB2312" w:cs="Times New Roman"/>
          <w:sz w:val="32"/>
          <w:szCs w:val="32"/>
          <w:lang w:val="en-US" w:eastAsia="zh-CN"/>
        </w:rPr>
        <w:t>16.48</w:t>
      </w:r>
      <w:r>
        <w:rPr>
          <w:rFonts w:hint="default" w:ascii="Times New Roman" w:hAnsi="Times New Roman" w:eastAsia="方正仿宋_GB2312" w:cs="Times New Roman"/>
          <w:sz w:val="32"/>
          <w:szCs w:val="32"/>
          <w:lang w:val="zh-CN" w:eastAsia="zh-CN"/>
        </w:rPr>
        <w:t>%；对个人和家庭补助</w:t>
      </w:r>
      <w:r>
        <w:rPr>
          <w:rFonts w:hint="default" w:ascii="Times New Roman" w:hAnsi="Times New Roman" w:eastAsia="方正仿宋_GB2312" w:cs="Times New Roman"/>
          <w:sz w:val="32"/>
          <w:szCs w:val="32"/>
          <w:lang w:val="en-US" w:eastAsia="zh-CN"/>
        </w:rPr>
        <w:t>8.73</w:t>
      </w:r>
      <w:r>
        <w:rPr>
          <w:rFonts w:hint="default" w:ascii="Times New Roman" w:hAnsi="Times New Roman" w:eastAsia="方正仿宋_GB2312" w:cs="Times New Roman"/>
          <w:sz w:val="32"/>
          <w:szCs w:val="32"/>
          <w:lang w:val="zh-CN" w:eastAsia="zh-CN"/>
        </w:rPr>
        <w:t>万元，占</w:t>
      </w:r>
      <w:r>
        <w:rPr>
          <w:rFonts w:hint="default" w:ascii="Times New Roman" w:hAnsi="Times New Roman" w:eastAsia="方正仿宋_GB2312" w:cs="Times New Roman"/>
          <w:sz w:val="32"/>
          <w:szCs w:val="32"/>
          <w:lang w:val="en-US" w:eastAsia="zh-CN"/>
        </w:rPr>
        <w:t>总</w:t>
      </w:r>
      <w:r>
        <w:rPr>
          <w:rFonts w:hint="default" w:ascii="Times New Roman" w:hAnsi="Times New Roman" w:eastAsia="方正仿宋_GB2312" w:cs="Times New Roman"/>
          <w:sz w:val="32"/>
          <w:szCs w:val="32"/>
          <w:lang w:val="zh-CN" w:eastAsia="zh-CN"/>
        </w:rPr>
        <w:t>支出</w:t>
      </w:r>
      <w:r>
        <w:rPr>
          <w:rFonts w:hint="default" w:ascii="Times New Roman" w:hAnsi="Times New Roman" w:eastAsia="方正仿宋_GB2312" w:cs="Times New Roman"/>
          <w:sz w:val="32"/>
          <w:szCs w:val="32"/>
          <w:lang w:val="en-US" w:eastAsia="zh-CN"/>
        </w:rPr>
        <w:t>0.91</w:t>
      </w:r>
      <w:r>
        <w:rPr>
          <w:rFonts w:hint="default" w:ascii="Times New Roman" w:hAnsi="Times New Roman" w:eastAsia="方正仿宋_GB2312" w:cs="Times New Roman"/>
          <w:sz w:val="32"/>
          <w:szCs w:val="32"/>
          <w:lang w:val="zh-CN" w:eastAsia="zh-CN"/>
        </w:rPr>
        <w:t>%；资本性支出</w:t>
      </w:r>
      <w:r>
        <w:rPr>
          <w:rFonts w:hint="default" w:ascii="Times New Roman" w:hAnsi="Times New Roman" w:eastAsia="方正仿宋_GB2312" w:cs="Times New Roman"/>
          <w:sz w:val="32"/>
          <w:szCs w:val="32"/>
          <w:lang w:val="en-US" w:eastAsia="zh-CN"/>
        </w:rPr>
        <w:t>203.00</w:t>
      </w:r>
      <w:r>
        <w:rPr>
          <w:rFonts w:hint="default" w:ascii="Times New Roman" w:hAnsi="Times New Roman" w:eastAsia="方正仿宋_GB2312" w:cs="Times New Roman"/>
          <w:sz w:val="32"/>
          <w:szCs w:val="32"/>
          <w:lang w:val="zh-CN" w:eastAsia="zh-CN"/>
        </w:rPr>
        <w:t>万元，占一般公共预算财政拨款支出</w:t>
      </w:r>
      <w:r>
        <w:rPr>
          <w:rFonts w:hint="default" w:ascii="Times New Roman" w:hAnsi="Times New Roman" w:eastAsia="方正仿宋_GB2312" w:cs="Times New Roman"/>
          <w:sz w:val="32"/>
          <w:szCs w:val="32"/>
          <w:lang w:val="en-US" w:eastAsia="zh-CN"/>
        </w:rPr>
        <w:t>21.13</w:t>
      </w:r>
      <w:r>
        <w:rPr>
          <w:rFonts w:hint="default" w:ascii="Times New Roman" w:hAnsi="Times New Roman" w:eastAsia="方正仿宋_GB2312" w:cs="Times New Roman"/>
          <w:sz w:val="32"/>
          <w:szCs w:val="32"/>
          <w:lang w:val="zh-CN" w:eastAsia="zh-CN"/>
        </w:rPr>
        <w:t>%。</w:t>
      </w:r>
    </w:p>
    <w:p w14:paraId="60B269D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zh-CN" w:eastAsia="zh-CN"/>
        </w:rPr>
      </w:pPr>
      <w:r>
        <w:rPr>
          <w:rFonts w:hint="default" w:ascii="Times New Roman" w:hAnsi="Times New Roman" w:eastAsia="方正楷体_GB2312" w:cs="Times New Roman"/>
          <w:b/>
          <w:sz w:val="32"/>
          <w:szCs w:val="32"/>
          <w:lang w:val="zh-CN" w:eastAsia="zh-CN"/>
        </w:rPr>
        <w:t>（</w:t>
      </w:r>
      <w:r>
        <w:rPr>
          <w:rFonts w:hint="default" w:ascii="Times New Roman" w:hAnsi="Times New Roman" w:eastAsia="方正楷体_GB2312" w:cs="Times New Roman"/>
          <w:b/>
          <w:sz w:val="32"/>
          <w:szCs w:val="32"/>
          <w:lang w:val="en-US" w:eastAsia="zh-CN"/>
        </w:rPr>
        <w:t>三）</w:t>
      </w:r>
      <w:r>
        <w:rPr>
          <w:rFonts w:hint="default" w:ascii="Times New Roman" w:hAnsi="Times New Roman" w:eastAsia="方正楷体_GB2312" w:cs="Times New Roman"/>
          <w:b/>
          <w:sz w:val="32"/>
          <w:szCs w:val="32"/>
          <w:lang w:val="zh-CN" w:eastAsia="zh-CN"/>
        </w:rPr>
        <w:t>结余分配和结转结余情况</w:t>
      </w:r>
    </w:p>
    <w:p w14:paraId="5B729BC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理县人民检察院2024年结转资金27.12万元，均为遂宁援助经费。</w:t>
      </w:r>
    </w:p>
    <w:p w14:paraId="7DD2007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textAlignment w:val="auto"/>
        <w:outlineLvl w:val="0"/>
        <w:rPr>
          <w:rFonts w:hint="default" w:ascii="Times New Roman" w:hAnsi="Times New Roman" w:eastAsia="黑体" w:cs="Times New Roman"/>
          <w:b w:val="0"/>
          <w:bCs w:val="0"/>
          <w:caps w:val="0"/>
          <w:color w:val="auto"/>
          <w:kern w:val="2"/>
          <w:sz w:val="32"/>
          <w:szCs w:val="32"/>
          <w:u w:val="none"/>
          <w:vertAlign w:val="baseline"/>
          <w:lang w:val="en-US" w:eastAsia="zh-CN" w:bidi="ar"/>
        </w:rPr>
      </w:pPr>
      <w:r>
        <w:rPr>
          <w:rFonts w:hint="default" w:ascii="Times New Roman" w:hAnsi="Times New Roman" w:eastAsia="黑体" w:cs="Times New Roman"/>
          <w:b w:val="0"/>
          <w:bCs w:val="0"/>
          <w:caps w:val="0"/>
          <w:color w:val="auto"/>
          <w:kern w:val="2"/>
          <w:sz w:val="32"/>
          <w:szCs w:val="32"/>
          <w:u w:val="none"/>
          <w:vertAlign w:val="baseline"/>
          <w:lang w:val="en-US" w:eastAsia="zh-CN" w:bidi="ar"/>
        </w:rPr>
        <w:t>三、部门预算绩效分析</w:t>
      </w:r>
    </w:p>
    <w:p w14:paraId="4C3DC9F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zh-CN" w:eastAsia="zh-CN"/>
        </w:rPr>
      </w:pPr>
      <w:r>
        <w:rPr>
          <w:rFonts w:hint="default" w:ascii="Times New Roman" w:hAnsi="Times New Roman" w:eastAsia="方正楷体_GB2312" w:cs="Times New Roman"/>
          <w:b/>
          <w:sz w:val="32"/>
          <w:szCs w:val="32"/>
          <w:lang w:val="zh-CN" w:eastAsia="zh-CN"/>
        </w:rPr>
        <w:t>（一）部门预算总体绩效分析</w:t>
      </w:r>
    </w:p>
    <w:p w14:paraId="650919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我院</w:t>
      </w:r>
      <w:r>
        <w:rPr>
          <w:rFonts w:hint="default" w:ascii="Times New Roman" w:hAnsi="Times New Roman" w:eastAsia="方正仿宋_GB2312" w:cs="Times New Roman"/>
          <w:sz w:val="32"/>
          <w:szCs w:val="32"/>
          <w:lang w:val="zh-CN" w:eastAsia="zh-CN"/>
        </w:rPr>
        <w:t>根据部门预算绩效评价指标体系“总体绩效”涉及二、三级指标进行逐项绩效分析并评分，依次包括履职效能、预算管理、财务管理、资产管理、采购管理等情况。</w:t>
      </w:r>
    </w:p>
    <w:p w14:paraId="51312F9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1.</w:t>
      </w:r>
      <w:r>
        <w:rPr>
          <w:rFonts w:hint="default" w:ascii="Times New Roman" w:hAnsi="Times New Roman" w:eastAsia="方正仿宋_GB2312" w:cs="Times New Roman"/>
          <w:sz w:val="32"/>
          <w:szCs w:val="32"/>
          <w:lang w:val="zh-CN" w:eastAsia="zh-CN"/>
        </w:rPr>
        <w:t>履职效能。指标分值</w:t>
      </w:r>
      <w:r>
        <w:rPr>
          <w:rFonts w:hint="default" w:ascii="Times New Roman" w:hAnsi="Times New Roman" w:eastAsia="方正仿宋_GB2312" w:cs="Times New Roman"/>
          <w:sz w:val="32"/>
          <w:szCs w:val="32"/>
          <w:lang w:val="en-US" w:eastAsia="zh-CN"/>
        </w:rPr>
        <w:t>15分，得分15分。</w:t>
      </w:r>
      <w:r>
        <w:rPr>
          <w:rFonts w:hint="default" w:ascii="Times New Roman" w:hAnsi="Times New Roman" w:eastAsia="方正仿宋_GB2312" w:cs="Times New Roman"/>
          <w:sz w:val="32"/>
          <w:szCs w:val="32"/>
          <w:lang w:val="zh-CN" w:eastAsia="zh-CN"/>
        </w:rPr>
        <w:t>部门整体绩效目标中选定3个核心职能目标，对职能目标完成效果情况绩效分析。</w:t>
      </w:r>
    </w:p>
    <w:p w14:paraId="4D534A6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1）数量指标：全年开展公开听证案件数大于等于5件。完成司法救助案件数大于等于3件，开展法治进校园等活动大于等于3次。2024年我院实际开展公开听证案件数7件，完成司法救助案件3件，开展法治进校园等活动8次，指标完成率达100%。</w:t>
      </w:r>
    </w:p>
    <w:p w14:paraId="3FB95F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（2）生态效益指标：办理涉及我县生态环境保护</w:t>
      </w:r>
      <w:r>
        <w:rPr>
          <w:rFonts w:hint="eastAsia" w:eastAsia="方正仿宋_GB2312" w:cs="Times New Roman"/>
          <w:sz w:val="32"/>
          <w:szCs w:val="32"/>
          <w:lang w:val="en-US" w:eastAsia="zh-CN"/>
        </w:rPr>
        <w:t>等公益诉讼</w:t>
      </w:r>
      <w:r>
        <w:rPr>
          <w:rFonts w:hint="default" w:ascii="Times New Roman" w:hAnsi="Times New Roman" w:eastAsia="方正仿宋_GB2312" w:cs="Times New Roman"/>
          <w:sz w:val="32"/>
          <w:szCs w:val="32"/>
          <w:lang w:val="en-US" w:eastAsia="zh-CN"/>
        </w:rPr>
        <w:t>案件10件。2024年我院实际涉及我县生态环境保护</w:t>
      </w:r>
      <w:r>
        <w:rPr>
          <w:rFonts w:hint="eastAsia" w:eastAsia="方正仿宋_GB2312" w:cs="Times New Roman"/>
          <w:sz w:val="32"/>
          <w:szCs w:val="32"/>
          <w:lang w:val="en-US" w:eastAsia="zh-CN"/>
        </w:rPr>
        <w:t>等公益诉讼</w:t>
      </w:r>
      <w:r>
        <w:rPr>
          <w:rFonts w:hint="default" w:ascii="Times New Roman" w:hAnsi="Times New Roman" w:eastAsia="方正仿宋_GB2312" w:cs="Times New Roman"/>
          <w:sz w:val="32"/>
          <w:szCs w:val="32"/>
          <w:lang w:val="en-US" w:eastAsia="zh-CN"/>
        </w:rPr>
        <w:t>案件22件，指标完成率达100%。</w:t>
      </w:r>
    </w:p>
    <w:p w14:paraId="0AA95E6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（3）</w:t>
      </w:r>
      <w:r>
        <w:rPr>
          <w:rFonts w:hint="default" w:ascii="Times New Roman" w:hAnsi="Times New Roman" w:eastAsia="方正仿宋_GB2312" w:cs="Times New Roman"/>
          <w:sz w:val="32"/>
          <w:szCs w:val="32"/>
          <w:lang w:val="zh-CN" w:eastAsia="zh-CN"/>
        </w:rPr>
        <w:t>满意度指标：全县群众对我院各项工作的满意度情况为优。</w:t>
      </w:r>
      <w:r>
        <w:rPr>
          <w:rFonts w:hint="default" w:ascii="Times New Roman" w:hAnsi="Times New Roman" w:eastAsia="方正仿宋_GB2312" w:cs="Times New Roman"/>
          <w:sz w:val="32"/>
          <w:szCs w:val="32"/>
          <w:lang w:val="en-US" w:eastAsia="zh-CN"/>
        </w:rPr>
        <w:t>根据2024年考核情况，</w:t>
      </w:r>
      <w:r>
        <w:rPr>
          <w:rFonts w:hint="default" w:ascii="Times New Roman" w:hAnsi="Times New Roman" w:eastAsia="方正仿宋_GB2312" w:cs="Times New Roman"/>
          <w:sz w:val="32"/>
          <w:szCs w:val="32"/>
          <w:lang w:val="zh-CN" w:eastAsia="zh-CN"/>
        </w:rPr>
        <w:t>全县群众对我院各项工作的满意度情况为优。</w:t>
      </w:r>
    </w:p>
    <w:p w14:paraId="0F98D1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2.</w:t>
      </w:r>
      <w:r>
        <w:rPr>
          <w:rFonts w:hint="default" w:ascii="Times New Roman" w:hAnsi="Times New Roman" w:eastAsia="方正仿宋_GB2312" w:cs="Times New Roman"/>
          <w:sz w:val="32"/>
          <w:szCs w:val="32"/>
          <w:lang w:val="zh-CN" w:eastAsia="zh-CN"/>
        </w:rPr>
        <w:t>预算管理。指标分值</w:t>
      </w:r>
      <w:r>
        <w:rPr>
          <w:rFonts w:hint="default" w:ascii="Times New Roman" w:hAnsi="Times New Roman" w:eastAsia="方正仿宋_GB2312" w:cs="Times New Roman"/>
          <w:sz w:val="32"/>
          <w:szCs w:val="32"/>
          <w:lang w:val="en-US" w:eastAsia="zh-CN"/>
        </w:rPr>
        <w:t>25分，得分18.59分。</w:t>
      </w:r>
      <w:r>
        <w:rPr>
          <w:rFonts w:hint="default" w:ascii="Times New Roman" w:hAnsi="Times New Roman" w:eastAsia="方正仿宋_GB2312" w:cs="Times New Roman"/>
          <w:sz w:val="32"/>
          <w:szCs w:val="32"/>
          <w:lang w:val="zh-CN" w:eastAsia="zh-CN"/>
        </w:rPr>
        <w:t>围绕预算编制质量、单位收入统筹、支出执行进度、预算年终结余、严控一般性支出进行绩效分析。</w:t>
      </w:r>
    </w:p>
    <w:p w14:paraId="61C29E4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（1）预算编制质量：</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8分，得分7.84分。2024年全年预算数为987.81万元，实际支出数为960.69万元，偏离度为2.05%。产生偏离度的原因是遂宁援助经费存在结转结余情况。</w:t>
      </w:r>
    </w:p>
    <w:p w14:paraId="223051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w:t>
      </w:r>
      <w:r>
        <w:rPr>
          <w:rFonts w:hint="default" w:ascii="Times New Roman" w:hAnsi="Times New Roman" w:eastAsia="方正仿宋_GB2312" w:cs="Times New Roman"/>
          <w:sz w:val="32"/>
          <w:szCs w:val="32"/>
          <w:lang w:val="zh-CN" w:eastAsia="zh-CN"/>
        </w:rPr>
        <w:t>单位收入统筹</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4分，得分4分。2024年自有资金收入为援助经费及职工缴纳伙食费，均转入财政代管账户统筹收支。</w:t>
      </w:r>
    </w:p>
    <w:p w14:paraId="3F9A90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（3）</w:t>
      </w:r>
      <w:r>
        <w:rPr>
          <w:rFonts w:hint="default" w:ascii="Times New Roman" w:hAnsi="Times New Roman" w:eastAsia="方正仿宋_GB2312" w:cs="Times New Roman"/>
          <w:sz w:val="32"/>
          <w:szCs w:val="32"/>
          <w:lang w:val="zh-CN" w:eastAsia="zh-CN"/>
        </w:rPr>
        <w:t>支出执行进度</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6分，得分4.8分。2024年1-6月支出310.64万元，1-10月支出635.47万元。无支出预警及支出违规金额，按照比率分值法计算，得分4.8分。</w:t>
      </w:r>
    </w:p>
    <w:p w14:paraId="1F6C728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（4）</w:t>
      </w:r>
      <w:r>
        <w:rPr>
          <w:rFonts w:hint="default" w:ascii="Times New Roman" w:hAnsi="Times New Roman" w:eastAsia="方正仿宋_GB2312" w:cs="Times New Roman"/>
          <w:sz w:val="32"/>
          <w:szCs w:val="32"/>
          <w:lang w:val="zh-CN" w:eastAsia="zh-CN"/>
        </w:rPr>
        <w:t>预算年终结余</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2分，得分1.95分。2024年我单位结转资金27.12万元。</w:t>
      </w:r>
    </w:p>
    <w:p w14:paraId="52750FF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（5）</w:t>
      </w:r>
      <w:r>
        <w:rPr>
          <w:rFonts w:hint="default" w:ascii="Times New Roman" w:hAnsi="Times New Roman" w:eastAsia="方正仿宋_GB2312" w:cs="Times New Roman"/>
          <w:sz w:val="32"/>
          <w:szCs w:val="32"/>
          <w:lang w:val="zh-CN" w:eastAsia="zh-CN"/>
        </w:rPr>
        <w:t>严控一般性支出</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5分，得分0分。2024年“三公”经费、会议、培训、差旅、办节办展、办公设备购置、信息网络及软件购置更新、课题经费等8项一般性支出预算38.28万元，较上年度38.26万元增长，2024年实际支出245.77万元，较上年53.69万元增加，原因是本年度完成2023年跨年度采购项目，办公设备购置、信息网络及软件购置更新增加。</w:t>
      </w:r>
    </w:p>
    <w:p w14:paraId="2F7C2F4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3.</w:t>
      </w:r>
      <w:r>
        <w:rPr>
          <w:rFonts w:hint="default" w:ascii="Times New Roman" w:hAnsi="Times New Roman" w:eastAsia="方正仿宋_GB2312" w:cs="Times New Roman"/>
          <w:sz w:val="32"/>
          <w:szCs w:val="32"/>
          <w:lang w:val="zh-CN" w:eastAsia="zh-CN"/>
        </w:rPr>
        <w:t>财务管理。指标分值</w:t>
      </w:r>
      <w:r>
        <w:rPr>
          <w:rFonts w:hint="default" w:ascii="Times New Roman" w:hAnsi="Times New Roman" w:eastAsia="方正仿宋_GB2312" w:cs="Times New Roman"/>
          <w:sz w:val="32"/>
          <w:szCs w:val="32"/>
          <w:lang w:val="en-US" w:eastAsia="zh-CN"/>
        </w:rPr>
        <w:t>10分，得分10分。</w:t>
      </w:r>
      <w:r>
        <w:rPr>
          <w:rFonts w:hint="default" w:ascii="Times New Roman" w:hAnsi="Times New Roman" w:eastAsia="方正仿宋_GB2312" w:cs="Times New Roman"/>
          <w:sz w:val="32"/>
          <w:szCs w:val="32"/>
          <w:lang w:val="zh-CN" w:eastAsia="zh-CN"/>
        </w:rPr>
        <w:t>围绕财务管理制度、财务岗位设置、资金使用规范进行绩效分析。</w:t>
      </w:r>
    </w:p>
    <w:p w14:paraId="1F62FDE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（1）</w:t>
      </w:r>
      <w:r>
        <w:rPr>
          <w:rFonts w:hint="default" w:ascii="Times New Roman" w:hAnsi="Times New Roman" w:eastAsia="方正仿宋_GB2312" w:cs="Times New Roman"/>
          <w:sz w:val="32"/>
          <w:szCs w:val="32"/>
          <w:lang w:val="zh-CN" w:eastAsia="zh-CN"/>
        </w:rPr>
        <w:t>财务管理制度：指标分值</w:t>
      </w:r>
      <w:r>
        <w:rPr>
          <w:rFonts w:hint="default" w:ascii="Times New Roman" w:hAnsi="Times New Roman" w:eastAsia="方正仿宋_GB2312" w:cs="Times New Roman"/>
          <w:sz w:val="32"/>
          <w:szCs w:val="32"/>
          <w:lang w:val="en-US" w:eastAsia="zh-CN"/>
        </w:rPr>
        <w:t>4分，得分4分。我单位已制定</w:t>
      </w:r>
      <w:r>
        <w:rPr>
          <w:rFonts w:hint="default" w:ascii="Times New Roman" w:hAnsi="Times New Roman" w:eastAsia="方正仿宋_GB2312" w:cs="Times New Roman"/>
          <w:sz w:val="32"/>
          <w:szCs w:val="32"/>
          <w:lang w:val="zh-CN" w:eastAsia="zh-CN"/>
        </w:rPr>
        <w:t>内部财务管理</w:t>
      </w:r>
      <w:r>
        <w:rPr>
          <w:rFonts w:hint="default" w:ascii="Times New Roman" w:hAnsi="Times New Roman" w:eastAsia="方正仿宋_GB2312" w:cs="Times New Roman"/>
          <w:sz w:val="32"/>
          <w:szCs w:val="32"/>
          <w:lang w:val="en-US" w:eastAsia="zh-CN"/>
        </w:rPr>
        <w:t>制度等，并在2024年完善更新，各项财务审核、开支均按照制度严格执行。</w:t>
      </w:r>
    </w:p>
    <w:p w14:paraId="5D40C69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（2）</w:t>
      </w:r>
      <w:r>
        <w:rPr>
          <w:rFonts w:hint="default" w:ascii="Times New Roman" w:hAnsi="Times New Roman" w:eastAsia="方正仿宋_GB2312" w:cs="Times New Roman"/>
          <w:sz w:val="32"/>
          <w:szCs w:val="32"/>
          <w:lang w:val="zh-CN" w:eastAsia="zh-CN"/>
        </w:rPr>
        <w:t>财务岗位设置：指标分值</w:t>
      </w:r>
      <w:r>
        <w:rPr>
          <w:rFonts w:hint="default" w:ascii="Times New Roman" w:hAnsi="Times New Roman" w:eastAsia="方正仿宋_GB2312" w:cs="Times New Roman"/>
          <w:sz w:val="32"/>
          <w:szCs w:val="32"/>
          <w:lang w:val="en-US" w:eastAsia="zh-CN"/>
        </w:rPr>
        <w:t>2分，得分2分。我单位建立《理县检察院岗位职责清单及说明》、《理县人民检察院不相容岗位分离表》，</w:t>
      </w:r>
      <w:r>
        <w:rPr>
          <w:rFonts w:hint="default" w:ascii="Times New Roman" w:hAnsi="Times New Roman" w:eastAsia="方正仿宋_GB2312" w:cs="Times New Roman"/>
          <w:sz w:val="32"/>
          <w:szCs w:val="32"/>
          <w:lang w:val="zh-CN" w:eastAsia="zh-CN"/>
        </w:rPr>
        <w:t>合理设置财务工作岗位，明确职责权限，并严格实行不相容岗位分离</w:t>
      </w:r>
      <w:r>
        <w:rPr>
          <w:rFonts w:hint="default" w:ascii="Times New Roman" w:hAnsi="Times New Roman" w:eastAsia="方正仿宋_GB2312" w:cs="Times New Roman"/>
          <w:sz w:val="32"/>
          <w:szCs w:val="32"/>
          <w:lang w:val="en-US" w:eastAsia="zh-CN"/>
        </w:rPr>
        <w:t>制度</w:t>
      </w:r>
      <w:r>
        <w:rPr>
          <w:rFonts w:hint="default" w:ascii="Times New Roman" w:hAnsi="Times New Roman" w:eastAsia="方正仿宋_GB2312" w:cs="Times New Roman"/>
          <w:sz w:val="32"/>
          <w:szCs w:val="32"/>
          <w:lang w:val="zh-CN" w:eastAsia="zh-CN"/>
        </w:rPr>
        <w:t>。</w:t>
      </w:r>
    </w:p>
    <w:p w14:paraId="6F484A1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（3）</w:t>
      </w:r>
      <w:r>
        <w:rPr>
          <w:rFonts w:hint="default" w:ascii="Times New Roman" w:hAnsi="Times New Roman" w:eastAsia="方正仿宋_GB2312" w:cs="Times New Roman"/>
          <w:sz w:val="32"/>
          <w:szCs w:val="32"/>
          <w:lang w:val="zh-CN" w:eastAsia="zh-CN"/>
        </w:rPr>
        <w:t>资金使用规范：指标分值</w:t>
      </w:r>
      <w:r>
        <w:rPr>
          <w:rFonts w:hint="default" w:ascii="Times New Roman" w:hAnsi="Times New Roman" w:eastAsia="方正仿宋_GB2312" w:cs="Times New Roman"/>
          <w:sz w:val="32"/>
          <w:szCs w:val="32"/>
          <w:lang w:val="en-US" w:eastAsia="zh-CN"/>
        </w:rPr>
        <w:t>4分，得分4分。我单位资金使用严格按照财经纪律等法律法规和相关制度执行，不存在违规开支。</w:t>
      </w:r>
    </w:p>
    <w:p w14:paraId="1BCEC65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color w:val="auto"/>
          <w:sz w:val="32"/>
          <w:szCs w:val="32"/>
          <w:lang w:val="zh-CN" w:eastAsia="zh-CN"/>
        </w:rPr>
      </w:pPr>
      <w:r>
        <w:rPr>
          <w:rFonts w:hint="default" w:ascii="Times New Roman" w:hAnsi="Times New Roman" w:eastAsia="方正仿宋_GB2312" w:cs="Times New Roman"/>
          <w:color w:val="auto"/>
          <w:sz w:val="32"/>
          <w:szCs w:val="32"/>
          <w:lang w:val="en-US" w:eastAsia="zh-CN"/>
        </w:rPr>
        <w:t>4.</w:t>
      </w:r>
      <w:r>
        <w:rPr>
          <w:rFonts w:hint="default" w:ascii="Times New Roman" w:hAnsi="Times New Roman" w:eastAsia="方正仿宋_GB2312" w:cs="Times New Roman"/>
          <w:color w:val="auto"/>
          <w:sz w:val="32"/>
          <w:szCs w:val="32"/>
          <w:lang w:val="zh-CN" w:eastAsia="zh-CN"/>
        </w:rPr>
        <w:t>资产管理。指标分值</w:t>
      </w:r>
      <w:r>
        <w:rPr>
          <w:rFonts w:hint="default" w:ascii="Times New Roman" w:hAnsi="Times New Roman" w:eastAsia="方正仿宋_GB2312" w:cs="Times New Roman"/>
          <w:color w:val="auto"/>
          <w:sz w:val="32"/>
          <w:szCs w:val="32"/>
          <w:lang w:val="en-US" w:eastAsia="zh-CN"/>
        </w:rPr>
        <w:t>9分，得分</w:t>
      </w:r>
      <w:r>
        <w:rPr>
          <w:rFonts w:hint="eastAsia" w:ascii="Times New Roman" w:hAnsi="Times New Roman" w:eastAsia="方正仿宋_GB2312" w:cs="Times New Roman"/>
          <w:color w:val="auto"/>
          <w:sz w:val="32"/>
          <w:szCs w:val="32"/>
          <w:lang w:val="en-US" w:eastAsia="zh-CN"/>
        </w:rPr>
        <w:t>7.8</w:t>
      </w:r>
      <w:r>
        <w:rPr>
          <w:rFonts w:hint="default" w:ascii="Times New Roman" w:hAnsi="Times New Roman" w:eastAsia="方正仿宋_GB2312" w:cs="Times New Roman"/>
          <w:color w:val="auto"/>
          <w:sz w:val="32"/>
          <w:szCs w:val="32"/>
          <w:lang w:val="en-US" w:eastAsia="zh-CN"/>
        </w:rPr>
        <w:t>分。</w:t>
      </w:r>
      <w:r>
        <w:rPr>
          <w:rFonts w:hint="default" w:ascii="Times New Roman" w:hAnsi="Times New Roman" w:eastAsia="方正仿宋_GB2312" w:cs="Times New Roman"/>
          <w:color w:val="auto"/>
          <w:sz w:val="32"/>
          <w:szCs w:val="32"/>
          <w:lang w:val="zh-CN" w:eastAsia="zh-CN"/>
        </w:rPr>
        <w:t>围绕人均资产变化率、资产利用率、资产盘活率进行绩效分析。</w:t>
      </w:r>
    </w:p>
    <w:p w14:paraId="3E1FB6E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（1）</w:t>
      </w:r>
      <w:r>
        <w:rPr>
          <w:rFonts w:hint="default" w:ascii="Times New Roman" w:hAnsi="Times New Roman" w:eastAsia="方正仿宋_GB2312" w:cs="Times New Roman"/>
          <w:color w:val="auto"/>
          <w:sz w:val="32"/>
          <w:szCs w:val="32"/>
          <w:lang w:val="zh-CN" w:eastAsia="zh-CN"/>
        </w:rPr>
        <w:t>人均资产变化率：指标分值</w:t>
      </w:r>
      <w:r>
        <w:rPr>
          <w:rFonts w:hint="default" w:ascii="Times New Roman" w:hAnsi="Times New Roman" w:eastAsia="方正仿宋_GB2312" w:cs="Times New Roman"/>
          <w:color w:val="auto"/>
          <w:sz w:val="32"/>
          <w:szCs w:val="32"/>
          <w:lang w:val="en-US" w:eastAsia="zh-CN"/>
        </w:rPr>
        <w:t>3分，得分</w:t>
      </w:r>
      <w:r>
        <w:rPr>
          <w:rFonts w:hint="eastAsia" w:ascii="Times New Roman" w:hAnsi="Times New Roman" w:eastAsia="方正仿宋_GB2312" w:cs="Times New Roman"/>
          <w:color w:val="auto"/>
          <w:sz w:val="32"/>
          <w:szCs w:val="32"/>
          <w:lang w:val="en-US" w:eastAsia="zh-CN"/>
        </w:rPr>
        <w:t>2.4</w:t>
      </w:r>
      <w:r>
        <w:rPr>
          <w:rFonts w:hint="default" w:ascii="Times New Roman" w:hAnsi="Times New Roman" w:eastAsia="方正仿宋_GB2312" w:cs="Times New Roman"/>
          <w:color w:val="auto"/>
          <w:sz w:val="32"/>
          <w:szCs w:val="32"/>
          <w:lang w:val="en-US" w:eastAsia="zh-CN"/>
        </w:rPr>
        <w:t>分。我单位2024年人均资产变化率为</w:t>
      </w:r>
      <w:r>
        <w:rPr>
          <w:rFonts w:hint="eastAsia" w:ascii="Times New Roman" w:hAnsi="Times New Roman" w:eastAsia="方正仿宋_GB2312" w:cs="Times New Roman"/>
          <w:color w:val="auto"/>
          <w:sz w:val="32"/>
          <w:szCs w:val="32"/>
          <w:lang w:val="en-US" w:eastAsia="zh-CN"/>
        </w:rPr>
        <w:t>14.08</w:t>
      </w:r>
      <w:r>
        <w:rPr>
          <w:rFonts w:hint="default" w:ascii="Times New Roman" w:hAnsi="Times New Roman" w:eastAsia="方正仿宋_GB2312" w:cs="Times New Roman"/>
          <w:color w:val="auto"/>
          <w:sz w:val="32"/>
          <w:szCs w:val="32"/>
          <w:lang w:val="en-US" w:eastAsia="zh-CN"/>
        </w:rPr>
        <w:t>%，州直行政事业单位人均资产变化率为</w:t>
      </w:r>
      <w:r>
        <w:rPr>
          <w:rFonts w:hint="eastAsia" w:ascii="Times New Roman" w:hAnsi="Times New Roman" w:eastAsia="方正仿宋_GB2312" w:cs="Times New Roman"/>
          <w:color w:val="auto"/>
          <w:sz w:val="32"/>
          <w:szCs w:val="32"/>
          <w:lang w:val="en-US" w:eastAsia="zh-CN"/>
        </w:rPr>
        <w:t>24.28</w:t>
      </w:r>
      <w:r>
        <w:rPr>
          <w:rFonts w:hint="default" w:ascii="Times New Roman" w:hAnsi="Times New Roman" w:eastAsia="方正仿宋_GB2312" w:cs="Times New Roman"/>
          <w:color w:val="auto"/>
          <w:sz w:val="32"/>
          <w:szCs w:val="32"/>
          <w:lang w:val="en-US" w:eastAsia="zh-CN"/>
        </w:rPr>
        <w:t>%，得</w:t>
      </w:r>
      <w:r>
        <w:rPr>
          <w:rFonts w:hint="eastAsia" w:ascii="Times New Roman" w:hAnsi="Times New Roman" w:eastAsia="方正仿宋_GB2312" w:cs="Times New Roman"/>
          <w:color w:val="auto"/>
          <w:sz w:val="32"/>
          <w:szCs w:val="32"/>
          <w:lang w:val="en-US" w:eastAsia="zh-CN"/>
        </w:rPr>
        <w:t>1.5</w:t>
      </w:r>
      <w:r>
        <w:rPr>
          <w:rFonts w:hint="default" w:ascii="Times New Roman" w:hAnsi="Times New Roman" w:eastAsia="方正仿宋_GB2312" w:cs="Times New Roman"/>
          <w:color w:val="auto"/>
          <w:sz w:val="32"/>
          <w:szCs w:val="32"/>
          <w:lang w:val="en-US" w:eastAsia="zh-CN"/>
        </w:rPr>
        <w:t>分。部门人均资产增长率为</w:t>
      </w:r>
      <w:r>
        <w:rPr>
          <w:rFonts w:hint="eastAsia" w:ascii="Times New Roman" w:hAnsi="Times New Roman" w:eastAsia="方正仿宋_GB2312" w:cs="Times New Roman"/>
          <w:color w:val="auto"/>
          <w:sz w:val="32"/>
          <w:szCs w:val="32"/>
          <w:lang w:val="en-US" w:eastAsia="zh-CN"/>
        </w:rPr>
        <w:t>14.08</w:t>
      </w:r>
      <w:r>
        <w:rPr>
          <w:rFonts w:hint="default" w:ascii="Times New Roman" w:hAnsi="Times New Roman" w:eastAsia="方正仿宋_GB2312" w:cs="Times New Roman"/>
          <w:color w:val="auto"/>
          <w:sz w:val="32"/>
          <w:szCs w:val="32"/>
          <w:lang w:val="en-US" w:eastAsia="zh-CN"/>
        </w:rPr>
        <w:t>%，州直行政事业单位人均资产增长率为</w:t>
      </w:r>
      <w:r>
        <w:rPr>
          <w:rFonts w:hint="eastAsia" w:ascii="Times New Roman" w:hAnsi="Times New Roman" w:eastAsia="方正仿宋_GB2312" w:cs="Times New Roman"/>
          <w:color w:val="auto"/>
          <w:sz w:val="32"/>
          <w:szCs w:val="32"/>
          <w:lang w:val="en-US" w:eastAsia="zh-CN"/>
        </w:rPr>
        <w:t>24.28</w:t>
      </w:r>
      <w:r>
        <w:rPr>
          <w:rFonts w:hint="default" w:ascii="Times New Roman" w:hAnsi="Times New Roman" w:eastAsia="方正仿宋_GB2312" w:cs="Times New Roman"/>
          <w:color w:val="auto"/>
          <w:sz w:val="32"/>
          <w:szCs w:val="32"/>
          <w:lang w:val="en-US" w:eastAsia="zh-CN"/>
        </w:rPr>
        <w:t>%，得</w:t>
      </w:r>
      <w:r>
        <w:rPr>
          <w:rFonts w:hint="eastAsia" w:ascii="Times New Roman" w:hAnsi="Times New Roman" w:eastAsia="方正仿宋_GB2312" w:cs="Times New Roman"/>
          <w:color w:val="auto"/>
          <w:sz w:val="32"/>
          <w:szCs w:val="32"/>
          <w:lang w:val="en-US" w:eastAsia="zh-CN"/>
        </w:rPr>
        <w:t>0.9</w:t>
      </w:r>
      <w:r>
        <w:rPr>
          <w:rFonts w:hint="default" w:ascii="Times New Roman" w:hAnsi="Times New Roman" w:eastAsia="方正仿宋_GB2312" w:cs="Times New Roman"/>
          <w:color w:val="auto"/>
          <w:sz w:val="32"/>
          <w:szCs w:val="32"/>
          <w:lang w:val="en-US" w:eastAsia="zh-CN"/>
        </w:rPr>
        <w:t>分。</w:t>
      </w:r>
    </w:p>
    <w:p w14:paraId="1D905E7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（2）部门资产超最低使用年限情况：</w:t>
      </w:r>
      <w:r>
        <w:rPr>
          <w:rFonts w:hint="default" w:ascii="Times New Roman" w:hAnsi="Times New Roman" w:eastAsia="方正仿宋_GB2312" w:cs="Times New Roman"/>
          <w:color w:val="auto"/>
          <w:sz w:val="32"/>
          <w:szCs w:val="32"/>
          <w:lang w:val="zh-CN" w:eastAsia="zh-CN"/>
        </w:rPr>
        <w:t>指标分值</w:t>
      </w:r>
      <w:r>
        <w:rPr>
          <w:rFonts w:hint="default" w:ascii="Times New Roman" w:hAnsi="Times New Roman" w:eastAsia="方正仿宋_GB2312" w:cs="Times New Roman"/>
          <w:color w:val="auto"/>
          <w:sz w:val="32"/>
          <w:szCs w:val="32"/>
          <w:lang w:val="en-US" w:eastAsia="zh-CN"/>
        </w:rPr>
        <w:t>3分，得分</w:t>
      </w:r>
      <w:r>
        <w:rPr>
          <w:rFonts w:hint="eastAsia" w:ascii="Times New Roman" w:hAnsi="Times New Roman" w:eastAsia="方正仿宋_GB2312" w:cs="Times New Roman"/>
          <w:color w:val="auto"/>
          <w:sz w:val="32"/>
          <w:szCs w:val="32"/>
          <w:lang w:val="en-US" w:eastAsia="zh-CN"/>
        </w:rPr>
        <w:t>2.4</w:t>
      </w:r>
      <w:r>
        <w:rPr>
          <w:rFonts w:hint="default" w:ascii="Times New Roman" w:hAnsi="Times New Roman" w:eastAsia="方正仿宋_GB2312" w:cs="Times New Roman"/>
          <w:color w:val="auto"/>
          <w:sz w:val="32"/>
          <w:szCs w:val="32"/>
          <w:lang w:val="en-US" w:eastAsia="zh-CN"/>
        </w:rPr>
        <w:t>分。我单位办公家具超最低使用年限资产利用率为</w:t>
      </w:r>
      <w:r>
        <w:rPr>
          <w:rFonts w:hint="eastAsia" w:ascii="Times New Roman" w:hAnsi="Times New Roman" w:eastAsia="方正仿宋_GB2312" w:cs="Times New Roman"/>
          <w:color w:val="auto"/>
          <w:sz w:val="32"/>
          <w:szCs w:val="32"/>
          <w:lang w:val="en-US" w:eastAsia="zh-CN"/>
        </w:rPr>
        <w:t>98.67</w:t>
      </w:r>
      <w:r>
        <w:rPr>
          <w:rFonts w:hint="default" w:ascii="Times New Roman" w:hAnsi="Times New Roman" w:eastAsia="方正仿宋_GB2312" w:cs="Times New Roman"/>
          <w:color w:val="auto"/>
          <w:sz w:val="32"/>
          <w:szCs w:val="32"/>
          <w:lang w:val="en-US" w:eastAsia="zh-CN"/>
        </w:rPr>
        <w:t>%，州直单位办公家具超最低使用年限资产利用率</w:t>
      </w:r>
      <w:r>
        <w:rPr>
          <w:rFonts w:hint="eastAsia" w:ascii="Times New Roman" w:hAnsi="Times New Roman" w:eastAsia="方正仿宋_GB2312" w:cs="Times New Roman"/>
          <w:color w:val="auto"/>
          <w:sz w:val="32"/>
          <w:szCs w:val="32"/>
          <w:lang w:val="en-US" w:eastAsia="zh-CN"/>
        </w:rPr>
        <w:t>10.03</w:t>
      </w:r>
      <w:r>
        <w:rPr>
          <w:rFonts w:hint="default" w:ascii="Times New Roman" w:hAnsi="Times New Roman" w:eastAsia="方正仿宋_GB2312" w:cs="Times New Roman"/>
          <w:color w:val="auto"/>
          <w:sz w:val="32"/>
          <w:szCs w:val="32"/>
          <w:lang w:val="en-US" w:eastAsia="zh-CN"/>
        </w:rPr>
        <w:t>%，得</w:t>
      </w:r>
      <w:r>
        <w:rPr>
          <w:rFonts w:hint="eastAsia" w:ascii="Times New Roman" w:hAnsi="Times New Roman" w:eastAsia="方正仿宋_GB2312" w:cs="Times New Roman"/>
          <w:color w:val="auto"/>
          <w:sz w:val="32"/>
          <w:szCs w:val="32"/>
          <w:lang w:val="en-US" w:eastAsia="zh-CN"/>
        </w:rPr>
        <w:t>1.5</w:t>
      </w:r>
      <w:r>
        <w:rPr>
          <w:rFonts w:hint="default" w:ascii="Times New Roman" w:hAnsi="Times New Roman" w:eastAsia="方正仿宋_GB2312" w:cs="Times New Roman"/>
          <w:color w:val="auto"/>
          <w:sz w:val="32"/>
          <w:szCs w:val="32"/>
          <w:lang w:val="en-US" w:eastAsia="zh-CN"/>
        </w:rPr>
        <w:t>分。我单位办公设备超最低使用年限资产利用率</w:t>
      </w:r>
      <w:r>
        <w:rPr>
          <w:rFonts w:hint="eastAsia" w:ascii="Times New Roman" w:hAnsi="Times New Roman" w:eastAsia="方正仿宋_GB2312" w:cs="Times New Roman"/>
          <w:color w:val="auto"/>
          <w:sz w:val="32"/>
          <w:szCs w:val="32"/>
          <w:lang w:val="en-US" w:eastAsia="zh-CN"/>
        </w:rPr>
        <w:t>52.74</w:t>
      </w:r>
      <w:r>
        <w:rPr>
          <w:rFonts w:hint="default" w:ascii="Times New Roman" w:hAnsi="Times New Roman" w:eastAsia="方正仿宋_GB2312" w:cs="Times New Roman"/>
          <w:color w:val="auto"/>
          <w:sz w:val="32"/>
          <w:szCs w:val="32"/>
          <w:lang w:val="en-US" w:eastAsia="zh-CN"/>
        </w:rPr>
        <w:t>%，州直单位办公设备超最低使用年限资产利用率</w:t>
      </w:r>
      <w:r>
        <w:rPr>
          <w:rFonts w:hint="eastAsia" w:ascii="Times New Roman" w:hAnsi="Times New Roman" w:eastAsia="方正仿宋_GB2312" w:cs="Times New Roman"/>
          <w:color w:val="auto"/>
          <w:sz w:val="32"/>
          <w:szCs w:val="32"/>
          <w:lang w:val="en-US" w:eastAsia="zh-CN"/>
        </w:rPr>
        <w:t>47.86</w:t>
      </w:r>
      <w:r>
        <w:rPr>
          <w:rFonts w:hint="default" w:ascii="Times New Roman" w:hAnsi="Times New Roman" w:eastAsia="方正仿宋_GB2312" w:cs="Times New Roman"/>
          <w:color w:val="auto"/>
          <w:sz w:val="32"/>
          <w:szCs w:val="32"/>
          <w:lang w:val="en-US" w:eastAsia="zh-CN"/>
        </w:rPr>
        <w:t>%，得0.9分。</w:t>
      </w:r>
    </w:p>
    <w:p w14:paraId="0EB450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（3）部门闲置一年以上的资产盘活情况：部门闲置资产占比变化率为0%，今年及去年均无闲置资产，得3分。</w:t>
      </w:r>
    </w:p>
    <w:p w14:paraId="4721C3B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5.</w:t>
      </w:r>
      <w:r>
        <w:rPr>
          <w:rFonts w:hint="default" w:ascii="Times New Roman" w:hAnsi="Times New Roman" w:eastAsia="方正仿宋_GB2312" w:cs="Times New Roman"/>
          <w:sz w:val="32"/>
          <w:szCs w:val="32"/>
          <w:lang w:val="zh-CN" w:eastAsia="zh-CN"/>
        </w:rPr>
        <w:t>采购管理。指标分值</w:t>
      </w:r>
      <w:r>
        <w:rPr>
          <w:rFonts w:hint="default" w:ascii="Times New Roman" w:hAnsi="Times New Roman" w:eastAsia="方正仿宋_GB2312" w:cs="Times New Roman"/>
          <w:sz w:val="32"/>
          <w:szCs w:val="32"/>
          <w:lang w:val="en-US" w:eastAsia="zh-CN"/>
        </w:rPr>
        <w:t>6分，得分6分。</w:t>
      </w:r>
      <w:r>
        <w:rPr>
          <w:rFonts w:hint="default" w:ascii="Times New Roman" w:hAnsi="Times New Roman" w:eastAsia="方正仿宋_GB2312" w:cs="Times New Roman"/>
          <w:sz w:val="32"/>
          <w:szCs w:val="32"/>
          <w:lang w:val="zh-CN" w:eastAsia="zh-CN"/>
        </w:rPr>
        <w:t>围绕支持中小企业发展、采购执行率进行绩效分析。</w:t>
      </w:r>
    </w:p>
    <w:p w14:paraId="3E7A6C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（1）</w:t>
      </w:r>
      <w:r>
        <w:rPr>
          <w:rFonts w:hint="default" w:ascii="Times New Roman" w:hAnsi="Times New Roman" w:eastAsia="方正仿宋_GB2312" w:cs="Times New Roman"/>
          <w:sz w:val="32"/>
          <w:szCs w:val="32"/>
          <w:lang w:val="zh-CN" w:eastAsia="zh-CN"/>
        </w:rPr>
        <w:t>部门是否严格执行政府采购促进中小企业发展相关管理办法。指标分值</w:t>
      </w:r>
      <w:r>
        <w:rPr>
          <w:rFonts w:hint="default" w:ascii="Times New Roman" w:hAnsi="Times New Roman" w:eastAsia="方正仿宋_GB2312" w:cs="Times New Roman"/>
          <w:sz w:val="32"/>
          <w:szCs w:val="32"/>
          <w:lang w:val="en-US" w:eastAsia="zh-CN"/>
        </w:rPr>
        <w:t>3分，得分3分。2024年采购业务中，</w:t>
      </w:r>
      <w:r>
        <w:rPr>
          <w:rFonts w:hint="default" w:ascii="Times New Roman" w:hAnsi="Times New Roman" w:eastAsia="方正仿宋_GB2312" w:cs="Times New Roman"/>
          <w:sz w:val="32"/>
          <w:szCs w:val="32"/>
          <w:lang w:val="zh-CN" w:eastAsia="zh-CN"/>
        </w:rPr>
        <w:t>对适宜由中小企业提供的采购项目和采购包，</w:t>
      </w:r>
      <w:r>
        <w:rPr>
          <w:rFonts w:hint="default" w:ascii="Times New Roman" w:hAnsi="Times New Roman" w:eastAsia="方正仿宋_GB2312" w:cs="Times New Roman"/>
          <w:sz w:val="32"/>
          <w:szCs w:val="32"/>
          <w:lang w:val="en-US" w:eastAsia="zh-CN"/>
        </w:rPr>
        <w:t>我单位</w:t>
      </w:r>
      <w:r>
        <w:rPr>
          <w:rFonts w:hint="default" w:ascii="Times New Roman" w:hAnsi="Times New Roman" w:eastAsia="方正仿宋_GB2312" w:cs="Times New Roman"/>
          <w:sz w:val="32"/>
          <w:szCs w:val="32"/>
          <w:lang w:val="zh-CN" w:eastAsia="zh-CN"/>
        </w:rPr>
        <w:t>预留采购份额专门面向中小企业采购，并在采购预算中单独列示。</w:t>
      </w:r>
    </w:p>
    <w:p w14:paraId="7A9B790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w:t>
      </w:r>
      <w:r>
        <w:rPr>
          <w:rFonts w:hint="default" w:ascii="Times New Roman" w:hAnsi="Times New Roman" w:eastAsia="方正仿宋_GB2312" w:cs="Times New Roman"/>
          <w:sz w:val="32"/>
          <w:szCs w:val="32"/>
          <w:lang w:val="zh-CN" w:eastAsia="zh-CN"/>
        </w:rPr>
        <w:t>部门政府采购项目资金支付比例情况。指标分值</w:t>
      </w:r>
      <w:r>
        <w:rPr>
          <w:rFonts w:hint="default" w:ascii="Times New Roman" w:hAnsi="Times New Roman" w:eastAsia="方正仿宋_GB2312" w:cs="Times New Roman"/>
          <w:sz w:val="32"/>
          <w:szCs w:val="32"/>
          <w:lang w:val="en-US" w:eastAsia="zh-CN"/>
        </w:rPr>
        <w:t>3分，得分3分。2024年我单位</w:t>
      </w:r>
      <w:r>
        <w:rPr>
          <w:rFonts w:hint="default" w:ascii="Times New Roman" w:hAnsi="Times New Roman" w:eastAsia="方正仿宋_GB2312" w:cs="Times New Roman"/>
          <w:sz w:val="32"/>
          <w:szCs w:val="32"/>
          <w:lang w:val="zh-CN" w:eastAsia="zh-CN"/>
        </w:rPr>
        <w:t>政府采购实际支付总金额</w:t>
      </w:r>
      <w:r>
        <w:rPr>
          <w:rFonts w:hint="default" w:ascii="Times New Roman" w:hAnsi="Times New Roman" w:eastAsia="方正仿宋_GB2312" w:cs="Times New Roman"/>
          <w:sz w:val="32"/>
          <w:szCs w:val="32"/>
          <w:lang w:val="en-US" w:eastAsia="zh-CN"/>
        </w:rPr>
        <w:t>199.77万元，</w:t>
      </w:r>
      <w:r>
        <w:rPr>
          <w:rFonts w:hint="default" w:ascii="Times New Roman" w:hAnsi="Times New Roman" w:eastAsia="方正仿宋_GB2312" w:cs="Times New Roman"/>
          <w:sz w:val="32"/>
          <w:szCs w:val="32"/>
          <w:lang w:val="zh-CN" w:eastAsia="zh-CN"/>
        </w:rPr>
        <w:t>政府采购总预算数</w:t>
      </w:r>
      <w:r>
        <w:rPr>
          <w:rFonts w:hint="default" w:ascii="Times New Roman" w:hAnsi="Times New Roman" w:eastAsia="方正仿宋_GB2312" w:cs="Times New Roman"/>
          <w:sz w:val="32"/>
          <w:szCs w:val="32"/>
          <w:lang w:val="en-US" w:eastAsia="zh-CN"/>
        </w:rPr>
        <w:t>207.4万元，</w:t>
      </w:r>
      <w:r>
        <w:rPr>
          <w:rFonts w:hint="default" w:ascii="Times New Roman" w:hAnsi="Times New Roman" w:eastAsia="方正仿宋_GB2312" w:cs="Times New Roman"/>
          <w:sz w:val="32"/>
          <w:szCs w:val="32"/>
          <w:lang w:val="zh-CN" w:eastAsia="zh-CN"/>
        </w:rPr>
        <w:t>已完成采购项目节约</w:t>
      </w:r>
      <w:r>
        <w:rPr>
          <w:rFonts w:hint="default" w:ascii="Times New Roman" w:hAnsi="Times New Roman" w:eastAsia="方正仿宋_GB2312" w:cs="Times New Roman"/>
          <w:sz w:val="32"/>
          <w:szCs w:val="32"/>
          <w:lang w:val="en-US" w:eastAsia="zh-CN"/>
        </w:rPr>
        <w:t>7.63万元，得3分。</w:t>
      </w:r>
    </w:p>
    <w:p w14:paraId="63256720">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zh-CN" w:eastAsia="zh-CN"/>
        </w:rPr>
      </w:pPr>
      <w:r>
        <w:rPr>
          <w:rFonts w:hint="default" w:ascii="Times New Roman" w:hAnsi="Times New Roman" w:eastAsia="方正楷体_GB2312" w:cs="Times New Roman"/>
          <w:b/>
          <w:sz w:val="32"/>
          <w:szCs w:val="32"/>
          <w:lang w:val="zh-CN" w:eastAsia="zh-CN"/>
        </w:rPr>
        <w:t>（二）部门预算项目绩效分析</w:t>
      </w:r>
    </w:p>
    <w:p w14:paraId="53C22B7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我单位</w:t>
      </w:r>
      <w:r>
        <w:rPr>
          <w:rFonts w:hint="default" w:ascii="Times New Roman" w:hAnsi="Times New Roman" w:eastAsia="方正仿宋_GB2312" w:cs="Times New Roman"/>
          <w:sz w:val="32"/>
          <w:szCs w:val="32"/>
          <w:lang w:val="zh-CN" w:eastAsia="zh-CN"/>
        </w:rPr>
        <w:t>根据部门预算绩效评价指标体系“项目绩效”涉及二、三级指标进行逐项绩效分析并评分，依次包括项目</w:t>
      </w:r>
      <w:r>
        <w:rPr>
          <w:rFonts w:hint="default" w:ascii="Times New Roman" w:hAnsi="Times New Roman" w:eastAsia="方正仿宋_GB2312" w:cs="Times New Roman"/>
          <w:sz w:val="32"/>
          <w:szCs w:val="32"/>
          <w:lang w:val="en-US" w:eastAsia="zh-CN"/>
        </w:rPr>
        <w:t>决策、项目执行、目标实现等情况。</w:t>
      </w:r>
    </w:p>
    <w:p w14:paraId="38C3173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常年项目绩效分析。</w:t>
      </w:r>
      <w:r>
        <w:rPr>
          <w:rFonts w:hint="default" w:ascii="Times New Roman" w:hAnsi="Times New Roman" w:eastAsia="方正仿宋_GB2312" w:cs="Times New Roman"/>
          <w:sz w:val="32"/>
          <w:szCs w:val="32"/>
          <w:lang w:val="zh-CN" w:eastAsia="zh-CN"/>
        </w:rPr>
        <w:t>该类项目总数</w:t>
      </w:r>
      <w:r>
        <w:rPr>
          <w:rFonts w:hint="default" w:ascii="Times New Roman" w:hAnsi="Times New Roman" w:eastAsia="方正仿宋_GB2312" w:cs="Times New Roman"/>
          <w:sz w:val="32"/>
          <w:szCs w:val="32"/>
          <w:lang w:val="en-US" w:eastAsia="zh-CN"/>
        </w:rPr>
        <w:t>6</w:t>
      </w:r>
      <w:r>
        <w:rPr>
          <w:rFonts w:hint="default" w:ascii="Times New Roman" w:hAnsi="Times New Roman" w:eastAsia="方正仿宋_GB2312" w:cs="Times New Roman"/>
          <w:sz w:val="32"/>
          <w:szCs w:val="32"/>
          <w:lang w:val="zh-CN" w:eastAsia="zh-CN"/>
        </w:rPr>
        <w:t>个，涉及预算总金额</w:t>
      </w:r>
      <w:r>
        <w:rPr>
          <w:rFonts w:hint="default" w:ascii="Times New Roman" w:hAnsi="Times New Roman" w:eastAsia="方正仿宋_GB2312" w:cs="Times New Roman"/>
          <w:sz w:val="32"/>
          <w:szCs w:val="32"/>
          <w:lang w:val="en-US" w:eastAsia="zh-CN"/>
        </w:rPr>
        <w:t>534.92</w:t>
      </w:r>
      <w:r>
        <w:rPr>
          <w:rFonts w:hint="default" w:ascii="Times New Roman" w:hAnsi="Times New Roman" w:eastAsia="方正仿宋_GB2312" w:cs="Times New Roman"/>
          <w:sz w:val="32"/>
          <w:szCs w:val="32"/>
          <w:lang w:val="zh-CN" w:eastAsia="zh-CN"/>
        </w:rPr>
        <w:t>万元，1—1</w:t>
      </w:r>
      <w:r>
        <w:rPr>
          <w:rFonts w:hint="default" w:ascii="Times New Roman" w:hAnsi="Times New Roman" w:eastAsia="方正仿宋_GB2312" w:cs="Times New Roman"/>
          <w:sz w:val="32"/>
          <w:szCs w:val="32"/>
          <w:lang w:val="en-US" w:eastAsia="zh-CN"/>
        </w:rPr>
        <w:t>2</w:t>
      </w:r>
      <w:r>
        <w:rPr>
          <w:rFonts w:hint="default" w:ascii="Times New Roman" w:hAnsi="Times New Roman" w:eastAsia="方正仿宋_GB2312" w:cs="Times New Roman"/>
          <w:sz w:val="32"/>
          <w:szCs w:val="32"/>
          <w:lang w:val="zh-CN" w:eastAsia="zh-CN"/>
        </w:rPr>
        <w:t>月预算执行总体进度为</w:t>
      </w:r>
      <w:r>
        <w:rPr>
          <w:rFonts w:hint="default" w:ascii="Times New Roman" w:hAnsi="Times New Roman" w:eastAsia="方正仿宋_GB2312" w:cs="Times New Roman"/>
          <w:sz w:val="32"/>
          <w:szCs w:val="32"/>
          <w:lang w:val="en-US" w:eastAsia="zh-CN"/>
        </w:rPr>
        <w:t>100.00</w:t>
      </w:r>
      <w:r>
        <w:rPr>
          <w:rFonts w:hint="default" w:ascii="Times New Roman" w:hAnsi="Times New Roman" w:eastAsia="方正仿宋_GB2312" w:cs="Times New Roman"/>
          <w:sz w:val="32"/>
          <w:szCs w:val="32"/>
          <w:lang w:val="zh-CN" w:eastAsia="zh-CN"/>
        </w:rPr>
        <w:t>%，其中：预算结余率大于</w:t>
      </w:r>
      <w:r>
        <w:rPr>
          <w:rFonts w:hint="default" w:ascii="Times New Roman" w:hAnsi="Times New Roman" w:eastAsia="方正仿宋_GB2312" w:cs="Times New Roman"/>
          <w:sz w:val="32"/>
          <w:szCs w:val="32"/>
          <w:lang w:val="en-US" w:eastAsia="zh-CN"/>
        </w:rPr>
        <w:t>10%</w:t>
      </w:r>
      <w:r>
        <w:rPr>
          <w:rFonts w:hint="default" w:ascii="Times New Roman" w:hAnsi="Times New Roman" w:eastAsia="方正仿宋_GB2312" w:cs="Times New Roman"/>
          <w:sz w:val="32"/>
          <w:szCs w:val="32"/>
          <w:lang w:val="zh-CN" w:eastAsia="zh-CN"/>
        </w:rPr>
        <w:t>的项目共计</w:t>
      </w:r>
      <w:r>
        <w:rPr>
          <w:rFonts w:hint="default" w:ascii="Times New Roman" w:hAnsi="Times New Roman" w:eastAsia="方正仿宋_GB2312" w:cs="Times New Roman"/>
          <w:sz w:val="32"/>
          <w:szCs w:val="32"/>
          <w:lang w:val="en-US" w:eastAsia="zh-CN"/>
        </w:rPr>
        <w:t>0</w:t>
      </w:r>
      <w:r>
        <w:rPr>
          <w:rFonts w:hint="default" w:ascii="Times New Roman" w:hAnsi="Times New Roman" w:eastAsia="方正仿宋_GB2312" w:cs="Times New Roman"/>
          <w:sz w:val="32"/>
          <w:szCs w:val="32"/>
          <w:lang w:val="zh-CN" w:eastAsia="zh-CN"/>
        </w:rPr>
        <w:t>个。</w:t>
      </w:r>
    </w:p>
    <w:p w14:paraId="118D3EB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阶段（一次性）项目绩效分析。</w:t>
      </w:r>
      <w:r>
        <w:rPr>
          <w:rFonts w:hint="default" w:ascii="Times New Roman" w:hAnsi="Times New Roman" w:eastAsia="方正仿宋_GB2312" w:cs="Times New Roman"/>
          <w:sz w:val="32"/>
          <w:szCs w:val="32"/>
          <w:lang w:val="zh-CN" w:eastAsia="zh-CN"/>
        </w:rPr>
        <w:t>该类项目总数</w:t>
      </w:r>
      <w:r>
        <w:rPr>
          <w:rFonts w:hint="default" w:ascii="Times New Roman" w:hAnsi="Times New Roman" w:eastAsia="方正仿宋_GB2312" w:cs="Times New Roman"/>
          <w:sz w:val="32"/>
          <w:szCs w:val="32"/>
          <w:lang w:val="en-US" w:eastAsia="zh-CN"/>
        </w:rPr>
        <w:t>5</w:t>
      </w:r>
      <w:r>
        <w:rPr>
          <w:rFonts w:hint="default" w:ascii="Times New Roman" w:hAnsi="Times New Roman" w:eastAsia="方正仿宋_GB2312" w:cs="Times New Roman"/>
          <w:sz w:val="32"/>
          <w:szCs w:val="32"/>
          <w:lang w:val="zh-CN" w:eastAsia="zh-CN"/>
        </w:rPr>
        <w:t>个，涉及预算总金额</w:t>
      </w:r>
      <w:r>
        <w:rPr>
          <w:rFonts w:hint="default" w:ascii="Times New Roman" w:hAnsi="Times New Roman" w:eastAsia="方正仿宋_GB2312" w:cs="Times New Roman"/>
          <w:sz w:val="32"/>
          <w:szCs w:val="32"/>
          <w:lang w:val="en-US" w:eastAsia="zh-CN"/>
        </w:rPr>
        <w:t>291.35</w:t>
      </w:r>
      <w:r>
        <w:rPr>
          <w:rFonts w:hint="default" w:ascii="Times New Roman" w:hAnsi="Times New Roman" w:eastAsia="方正仿宋_GB2312" w:cs="Times New Roman"/>
          <w:sz w:val="32"/>
          <w:szCs w:val="32"/>
          <w:lang w:val="zh-CN" w:eastAsia="zh-CN"/>
        </w:rPr>
        <w:t>万元，1—1</w:t>
      </w:r>
      <w:r>
        <w:rPr>
          <w:rFonts w:hint="default" w:ascii="Times New Roman" w:hAnsi="Times New Roman" w:eastAsia="方正仿宋_GB2312" w:cs="Times New Roman"/>
          <w:sz w:val="32"/>
          <w:szCs w:val="32"/>
          <w:lang w:val="en-US" w:eastAsia="zh-CN"/>
        </w:rPr>
        <w:t>2</w:t>
      </w:r>
      <w:r>
        <w:rPr>
          <w:rFonts w:hint="default" w:ascii="Times New Roman" w:hAnsi="Times New Roman" w:eastAsia="方正仿宋_GB2312" w:cs="Times New Roman"/>
          <w:sz w:val="32"/>
          <w:szCs w:val="32"/>
          <w:lang w:val="zh-CN" w:eastAsia="zh-CN"/>
        </w:rPr>
        <w:t>月预算执行总体进度为</w:t>
      </w:r>
      <w:r>
        <w:rPr>
          <w:rFonts w:hint="default" w:ascii="Times New Roman" w:hAnsi="Times New Roman" w:eastAsia="方正仿宋_GB2312" w:cs="Times New Roman"/>
          <w:sz w:val="32"/>
          <w:szCs w:val="32"/>
          <w:lang w:val="en-US" w:eastAsia="zh-CN"/>
        </w:rPr>
        <w:t>100</w:t>
      </w:r>
      <w:r>
        <w:rPr>
          <w:rFonts w:hint="default" w:ascii="Times New Roman" w:hAnsi="Times New Roman" w:eastAsia="方正仿宋_GB2312" w:cs="Times New Roman"/>
          <w:sz w:val="32"/>
          <w:szCs w:val="32"/>
          <w:lang w:val="zh-CN" w:eastAsia="zh-CN"/>
        </w:rPr>
        <w:t>%，其中：预算结余率大于</w:t>
      </w:r>
      <w:r>
        <w:rPr>
          <w:rFonts w:hint="default" w:ascii="Times New Roman" w:hAnsi="Times New Roman" w:eastAsia="方正仿宋_GB2312" w:cs="Times New Roman"/>
          <w:sz w:val="32"/>
          <w:szCs w:val="32"/>
          <w:lang w:val="en-US" w:eastAsia="zh-CN"/>
        </w:rPr>
        <w:t>10%</w:t>
      </w:r>
      <w:r>
        <w:rPr>
          <w:rFonts w:hint="default" w:ascii="Times New Roman" w:hAnsi="Times New Roman" w:eastAsia="方正仿宋_GB2312" w:cs="Times New Roman"/>
          <w:sz w:val="32"/>
          <w:szCs w:val="32"/>
          <w:lang w:val="zh-CN" w:eastAsia="zh-CN"/>
        </w:rPr>
        <w:t>的项目共计</w:t>
      </w:r>
      <w:r>
        <w:rPr>
          <w:rFonts w:hint="default" w:ascii="Times New Roman" w:hAnsi="Times New Roman" w:eastAsia="方正仿宋_GB2312" w:cs="Times New Roman"/>
          <w:sz w:val="32"/>
          <w:szCs w:val="32"/>
          <w:lang w:val="en-US" w:eastAsia="zh-CN"/>
        </w:rPr>
        <w:t>0</w:t>
      </w:r>
      <w:r>
        <w:rPr>
          <w:rFonts w:hint="default" w:ascii="Times New Roman" w:hAnsi="Times New Roman" w:eastAsia="方正仿宋_GB2312" w:cs="Times New Roman"/>
          <w:sz w:val="32"/>
          <w:szCs w:val="32"/>
          <w:lang w:val="zh-CN" w:eastAsia="zh-CN"/>
        </w:rPr>
        <w:t>个。</w:t>
      </w:r>
    </w:p>
    <w:p w14:paraId="7D3AFF9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1.</w:t>
      </w:r>
      <w:r>
        <w:rPr>
          <w:rFonts w:hint="default" w:ascii="Times New Roman" w:hAnsi="Times New Roman" w:eastAsia="方正仿宋_GB2312" w:cs="Times New Roman"/>
          <w:sz w:val="32"/>
          <w:szCs w:val="32"/>
          <w:lang w:val="zh-CN" w:eastAsia="zh-CN"/>
        </w:rPr>
        <w:t>项目决策。指标分值</w:t>
      </w:r>
      <w:r>
        <w:rPr>
          <w:rFonts w:hint="default" w:ascii="Times New Roman" w:hAnsi="Times New Roman" w:eastAsia="方正仿宋_GB2312" w:cs="Times New Roman"/>
          <w:sz w:val="32"/>
          <w:szCs w:val="32"/>
          <w:lang w:val="en-US" w:eastAsia="zh-CN"/>
        </w:rPr>
        <w:t>12分，得分12分。</w:t>
      </w:r>
      <w:r>
        <w:rPr>
          <w:rFonts w:hint="default" w:ascii="Times New Roman" w:hAnsi="Times New Roman" w:eastAsia="方正仿宋_GB2312" w:cs="Times New Roman"/>
          <w:sz w:val="32"/>
          <w:szCs w:val="32"/>
          <w:lang w:val="zh-CN" w:eastAsia="zh-CN"/>
        </w:rPr>
        <w:t>围绕决策程序、目标设置、项目入库进行绩效分析。</w:t>
      </w:r>
    </w:p>
    <w:p w14:paraId="6E488B4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（1）</w:t>
      </w:r>
      <w:r>
        <w:rPr>
          <w:rFonts w:hint="default" w:ascii="Times New Roman" w:hAnsi="Times New Roman" w:eastAsia="方正仿宋_GB2312" w:cs="Times New Roman"/>
          <w:sz w:val="32"/>
          <w:szCs w:val="32"/>
          <w:lang w:val="zh-CN" w:eastAsia="zh-CN"/>
        </w:rPr>
        <w:t>部门预算项目设立是否按规定履行评估论证、申报程序。指标分值</w:t>
      </w:r>
      <w:r>
        <w:rPr>
          <w:rFonts w:hint="default" w:ascii="Times New Roman" w:hAnsi="Times New Roman" w:eastAsia="方正仿宋_GB2312" w:cs="Times New Roman"/>
          <w:sz w:val="32"/>
          <w:szCs w:val="32"/>
          <w:lang w:val="en-US" w:eastAsia="zh-CN"/>
        </w:rPr>
        <w:t>4分，得分4分。我单位一次性项目均按照规定履行事前绩效评估，按照审批流程进行申报。</w:t>
      </w:r>
    </w:p>
    <w:p w14:paraId="7153B55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（2）部门预算项目绩效目标与计划期内的任务量、预算安排的资金量匹配情况，绩效目标设置是否科学合理、规范完整、量化细化、预算匹配。</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4分，得分4分。我单位绩效目标设置均科学合理、规范完整，做到预算项目绩效目标与项目实际情况相匹配。</w:t>
      </w:r>
    </w:p>
    <w:p w14:paraId="409B02B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（3）部门预算项目是否在规定时间完成项目入库。</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4分，得分4分。我单位预算项目均在规定时间内完成项目入库。</w:t>
      </w:r>
    </w:p>
    <w:p w14:paraId="13BDDA5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2.项目执行</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12分，得分12分。</w:t>
      </w:r>
      <w:r>
        <w:rPr>
          <w:rFonts w:hint="default" w:ascii="Times New Roman" w:hAnsi="Times New Roman" w:eastAsia="方正仿宋_GB2312" w:cs="Times New Roman"/>
          <w:sz w:val="32"/>
          <w:szCs w:val="32"/>
          <w:lang w:val="zh-CN" w:eastAsia="zh-CN"/>
        </w:rPr>
        <w:t>围绕资金执行同向、项目调整、执行结果进行绩效分析。</w:t>
      </w:r>
    </w:p>
    <w:p w14:paraId="4591115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（1）部门预算项目实际列支内容是否与绩效目标设置方向相符。</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4分，得分4分。我单位预算项目实际支付内容与项目目标一致，不存在资金支付不规范的情况。</w:t>
      </w:r>
    </w:p>
    <w:p w14:paraId="38EA82A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（2）部门预算项目是否采取对应调整措施。</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4分，得分</w:t>
      </w:r>
      <w:r>
        <w:rPr>
          <w:rFonts w:hint="eastAsia" w:ascii="Times New Roman" w:hAnsi="Times New Roman" w:eastAsia="方正仿宋_GB2312" w:cs="Times New Roman"/>
          <w:sz w:val="32"/>
          <w:szCs w:val="32"/>
          <w:lang w:val="en-US" w:eastAsia="zh-CN"/>
        </w:rPr>
        <w:t>1</w:t>
      </w:r>
      <w:r>
        <w:rPr>
          <w:rFonts w:hint="default" w:ascii="Times New Roman" w:hAnsi="Times New Roman" w:eastAsia="方正仿宋_GB2312" w:cs="Times New Roman"/>
          <w:sz w:val="32"/>
          <w:szCs w:val="32"/>
          <w:lang w:val="en-US" w:eastAsia="zh-CN"/>
        </w:rPr>
        <w:t>分。我单位预算项目根据实际执行情况，在年中等阶段监控时进行调整，应采取收回预算、调整目标的项目均已处置。</w:t>
      </w:r>
      <w:r>
        <w:rPr>
          <w:rFonts w:hint="eastAsia" w:ascii="Times New Roman" w:hAnsi="Times New Roman" w:eastAsia="方正仿宋_GB2312" w:cs="Times New Roman"/>
          <w:sz w:val="32"/>
          <w:szCs w:val="32"/>
          <w:lang w:val="en-US" w:eastAsia="zh-CN"/>
        </w:rPr>
        <w:t>因存在部分项目跨年度使用，扣3分。</w:t>
      </w:r>
    </w:p>
    <w:p w14:paraId="7C80D0A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（3）部门预算项目预算执行情况。</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4分，得分4分。我单位本年度</w:t>
      </w:r>
      <w:r>
        <w:rPr>
          <w:rFonts w:hint="default" w:ascii="Times New Roman" w:hAnsi="Times New Roman" w:eastAsia="方正仿宋_GB2312" w:cs="Times New Roman"/>
          <w:sz w:val="32"/>
          <w:szCs w:val="32"/>
          <w:lang w:val="zh-CN" w:eastAsia="zh-CN"/>
        </w:rPr>
        <w:t>常年项目数量</w:t>
      </w:r>
      <w:r>
        <w:rPr>
          <w:rFonts w:hint="default" w:ascii="Times New Roman" w:hAnsi="Times New Roman" w:eastAsia="方正仿宋_GB2312" w:cs="Times New Roman"/>
          <w:sz w:val="32"/>
          <w:szCs w:val="32"/>
          <w:lang w:val="en-US" w:eastAsia="zh-CN"/>
        </w:rPr>
        <w:t>共6个</w:t>
      </w:r>
      <w:r>
        <w:rPr>
          <w:rFonts w:hint="default" w:ascii="Times New Roman" w:hAnsi="Times New Roman" w:eastAsia="方正仿宋_GB2312" w:cs="Times New Roman"/>
          <w:sz w:val="32"/>
          <w:szCs w:val="32"/>
          <w:lang w:val="zh-CN" w:eastAsia="zh-CN"/>
        </w:rPr>
        <w:t>，</w:t>
      </w:r>
      <w:r>
        <w:rPr>
          <w:rFonts w:hint="default" w:ascii="Times New Roman" w:hAnsi="Times New Roman" w:eastAsia="方正仿宋_GB2312" w:cs="Times New Roman"/>
          <w:sz w:val="32"/>
          <w:szCs w:val="32"/>
          <w:lang w:val="en-US" w:eastAsia="zh-CN"/>
        </w:rPr>
        <w:t>阶段（一次性）项目共5个，预算结余率均小于</w:t>
      </w:r>
      <w:r>
        <w:rPr>
          <w:rFonts w:hint="default" w:ascii="Times New Roman" w:hAnsi="Times New Roman" w:eastAsia="方正仿宋_GB2312" w:cs="Times New Roman"/>
          <w:sz w:val="32"/>
          <w:szCs w:val="32"/>
          <w:lang w:val="zh-CN" w:eastAsia="zh-CN"/>
        </w:rPr>
        <w:t>10%。</w:t>
      </w:r>
    </w:p>
    <w:p w14:paraId="52FA755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3.</w:t>
      </w:r>
      <w:r>
        <w:rPr>
          <w:rFonts w:hint="default" w:ascii="Times New Roman" w:hAnsi="Times New Roman" w:eastAsia="方正仿宋_GB2312" w:cs="Times New Roman"/>
          <w:sz w:val="32"/>
          <w:szCs w:val="32"/>
          <w:lang w:val="zh-CN" w:eastAsia="zh-CN"/>
        </w:rPr>
        <w:t>目标实现。指标分值</w:t>
      </w:r>
      <w:r>
        <w:rPr>
          <w:rFonts w:hint="default" w:ascii="Times New Roman" w:hAnsi="Times New Roman" w:eastAsia="方正仿宋_GB2312" w:cs="Times New Roman"/>
          <w:sz w:val="32"/>
          <w:szCs w:val="32"/>
          <w:lang w:val="en-US" w:eastAsia="zh-CN"/>
        </w:rPr>
        <w:t>11分，得分11分。</w:t>
      </w:r>
      <w:r>
        <w:rPr>
          <w:rFonts w:hint="default" w:ascii="Times New Roman" w:hAnsi="Times New Roman" w:eastAsia="方正仿宋_GB2312" w:cs="Times New Roman"/>
          <w:sz w:val="32"/>
          <w:szCs w:val="32"/>
          <w:lang w:val="zh-CN" w:eastAsia="zh-CN"/>
        </w:rPr>
        <w:t>围绕目标完成、目标偏离、实现效果进行绩效分析。</w:t>
      </w:r>
    </w:p>
    <w:p w14:paraId="26D6B9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（1）部门预算项目绩效目标数量指标完成情况。</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4分，得分4分。我单位预算项目均已完成绩效目标。</w:t>
      </w:r>
    </w:p>
    <w:p w14:paraId="12A25CF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（2）部门预算项目绩效目标数量指标实现程度与预期目标的偏离情况。</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4分，得分4分。我单位预算项目均已完成绩效目标，无偏离情况。</w:t>
      </w:r>
    </w:p>
    <w:p w14:paraId="6863294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（3）部门预算项目绩效目标效益指标实施效果。</w:t>
      </w:r>
      <w:r>
        <w:rPr>
          <w:rFonts w:hint="default" w:ascii="Times New Roman" w:hAnsi="Times New Roman" w:eastAsia="方正仿宋_GB2312" w:cs="Times New Roman"/>
          <w:sz w:val="32"/>
          <w:szCs w:val="32"/>
          <w:lang w:val="zh-CN" w:eastAsia="zh-CN"/>
        </w:rPr>
        <w:t>指标分值</w:t>
      </w:r>
      <w:r>
        <w:rPr>
          <w:rFonts w:hint="default" w:ascii="Times New Roman" w:hAnsi="Times New Roman" w:eastAsia="方正仿宋_GB2312" w:cs="Times New Roman"/>
          <w:sz w:val="32"/>
          <w:szCs w:val="32"/>
          <w:lang w:val="en-US" w:eastAsia="zh-CN"/>
        </w:rPr>
        <w:t>3分，得分3分。我单位预算项目均已完成效益指标绩效目标，无偏离情况。</w:t>
      </w:r>
    </w:p>
    <w:p w14:paraId="6FB38EC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en-US" w:eastAsia="zh-CN"/>
        </w:rPr>
      </w:pPr>
      <w:r>
        <w:rPr>
          <w:rFonts w:hint="default" w:ascii="Times New Roman" w:hAnsi="Times New Roman" w:eastAsia="方正楷体_GB2312" w:cs="Times New Roman"/>
          <w:b/>
          <w:sz w:val="32"/>
          <w:szCs w:val="32"/>
          <w:lang w:val="zh-CN" w:eastAsia="zh-CN"/>
        </w:rPr>
        <w:t>（三）重点领域绩效分析</w:t>
      </w:r>
    </w:p>
    <w:p w14:paraId="7CB3524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1.政府采购实施情况。严格执行《政府采购法》及各项政府采购政策规定，严格按政府采购预算实施采购计划。</w:t>
      </w:r>
    </w:p>
    <w:p w14:paraId="734FEF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资产管理情况。进一步加强单位资产管理，建立完善资产配置、审批、采购及报废相关制度，全面开展固定资产清查工作，把所有固定资产全部纳入资产信息系统管理，落实专人负责，规范程序，及时分类登记、建卡，确保账实一致，资产报表数据真实、准确、全面。</w:t>
      </w:r>
    </w:p>
    <w:p w14:paraId="48BD06C5">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方正楷体_GB2312" w:cs="Times New Roman"/>
          <w:b/>
          <w:sz w:val="32"/>
          <w:szCs w:val="32"/>
          <w:lang w:val="zh-CN" w:eastAsia="zh-CN"/>
        </w:rPr>
      </w:pPr>
      <w:r>
        <w:rPr>
          <w:rFonts w:hint="default" w:ascii="Times New Roman" w:hAnsi="Times New Roman" w:eastAsia="方正楷体_GB2312" w:cs="Times New Roman"/>
          <w:b/>
          <w:sz w:val="32"/>
          <w:szCs w:val="32"/>
          <w:lang w:val="zh-CN" w:eastAsia="zh-CN"/>
        </w:rPr>
        <w:t>（四）绩效结果应用情况</w:t>
      </w:r>
    </w:p>
    <w:p w14:paraId="0066972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en-US" w:eastAsia="zh-CN"/>
        </w:rPr>
        <w:t>2024年，我院进一步加强机关财务管理工作，认真贯彻《会计法》、《预算法》，严格执行《行政单位会计制度》、《行政单位财务规则》及各项费用管理办法，规范资金收支管理及会计核算，强化预算管理，加强项目经费支出绩效考核，从严从紧控制和节减经费支出，规范现金报销制度，进一步加强公务卡使用管理，严格执行政府采购政策。确保单位工作任务的顺利完成。</w:t>
      </w:r>
    </w:p>
    <w:p w14:paraId="18C082A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1.绩效评价及依法接受财政监督情况。按照财政要求及时准确进行绩效评价自评并自觉接受财政监督。</w:t>
      </w:r>
    </w:p>
    <w:p w14:paraId="3DC1464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我院根据部门整体支出绩效评价指标体系对部门预算绩效管理工作开展情况进行自评。从年初指标细则到指标完成情况，进行全面自查及自评，通过落实目标明确、目标合理、工作可量化等各项要求，保障了本单位工作高效运行，各项工作按照计划有序实施，完成数量及质量均得到有效控制；工作实施所需的人员及经费均得到充分保障，审判及执行工作质量显著提升。</w:t>
      </w:r>
    </w:p>
    <w:p w14:paraId="5B246B1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textAlignment w:val="auto"/>
        <w:outlineLvl w:val="0"/>
        <w:rPr>
          <w:rFonts w:hint="default" w:ascii="Times New Roman" w:hAnsi="Times New Roman" w:eastAsia="黑体" w:cs="Times New Roman"/>
          <w:b w:val="0"/>
          <w:bCs w:val="0"/>
          <w:caps w:val="0"/>
          <w:color w:val="auto"/>
          <w:kern w:val="2"/>
          <w:sz w:val="32"/>
          <w:szCs w:val="32"/>
          <w:u w:val="none"/>
          <w:vertAlign w:val="baseline"/>
          <w:lang w:val="en-US" w:eastAsia="zh-CN" w:bidi="ar"/>
        </w:rPr>
      </w:pPr>
      <w:r>
        <w:rPr>
          <w:rFonts w:hint="default" w:ascii="Times New Roman" w:hAnsi="Times New Roman" w:eastAsia="黑体" w:cs="Times New Roman"/>
          <w:b w:val="0"/>
          <w:bCs w:val="0"/>
          <w:caps w:val="0"/>
          <w:color w:val="auto"/>
          <w:kern w:val="2"/>
          <w:sz w:val="32"/>
          <w:szCs w:val="32"/>
          <w:u w:val="none"/>
          <w:vertAlign w:val="baseline"/>
          <w:lang w:val="en-US" w:eastAsia="zh-CN" w:bidi="ar"/>
        </w:rPr>
        <w:t>四、评价结论及建议</w:t>
      </w:r>
    </w:p>
    <w:p w14:paraId="2F43B12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zh-CN" w:eastAsia="zh-CN"/>
        </w:rPr>
      </w:pPr>
      <w:r>
        <w:rPr>
          <w:rFonts w:hint="default" w:ascii="Times New Roman" w:hAnsi="Times New Roman" w:eastAsia="方正楷体_GB2312" w:cs="Times New Roman"/>
          <w:b/>
          <w:sz w:val="32"/>
          <w:szCs w:val="32"/>
          <w:lang w:val="zh-CN" w:eastAsia="zh-CN"/>
        </w:rPr>
        <w:t>（一）评价结论</w:t>
      </w:r>
    </w:p>
    <w:p w14:paraId="1AAB781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zh-CN" w:eastAsia="zh-CN"/>
        </w:rPr>
        <w:t>通过支出绩效评价可知，单位支出中基本支出占绝大比重，要控制支出必须降低行政成本。通过绩效评价，排除因工资标准调整等增加的基本支出外，我院经费支出情况符合保障日常工作开展所必须的经费支出数额，无超额、超标支付情况。理县人民检察院综合绩效评价得分</w:t>
      </w:r>
      <w:r>
        <w:rPr>
          <w:rFonts w:hint="eastAsia" w:ascii="Times New Roman" w:hAnsi="Times New Roman" w:eastAsia="方正仿宋_GB2312" w:cs="Times New Roman"/>
          <w:sz w:val="32"/>
          <w:szCs w:val="32"/>
          <w:lang w:val="en-US" w:eastAsia="zh-CN"/>
        </w:rPr>
        <w:t>89.39</w:t>
      </w:r>
      <w:r>
        <w:rPr>
          <w:rFonts w:hint="default" w:ascii="Times New Roman" w:hAnsi="Times New Roman" w:eastAsia="方正仿宋_GB2312" w:cs="Times New Roman"/>
          <w:sz w:val="32"/>
          <w:szCs w:val="32"/>
          <w:lang w:val="zh-CN" w:eastAsia="zh-CN"/>
        </w:rPr>
        <w:t>分。</w:t>
      </w:r>
    </w:p>
    <w:p w14:paraId="75DB59B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zh-CN" w:eastAsia="zh-CN"/>
        </w:rPr>
      </w:pPr>
      <w:r>
        <w:rPr>
          <w:rFonts w:hint="default" w:ascii="Times New Roman" w:hAnsi="Times New Roman" w:eastAsia="方正楷体_GB2312" w:cs="Times New Roman"/>
          <w:b/>
          <w:sz w:val="32"/>
          <w:szCs w:val="32"/>
          <w:lang w:val="zh-CN" w:eastAsia="zh-CN"/>
        </w:rPr>
        <w:t>（二）存在问题</w:t>
      </w:r>
    </w:p>
    <w:p w14:paraId="7C60E2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zh-CN" w:eastAsia="zh-CN"/>
        </w:rPr>
        <w:t>在预算执行过程中，由于各种客观原因存在指标之间调剂使用的现象，预算编制、使用需要更加科学、及时。</w:t>
      </w:r>
    </w:p>
    <w:p w14:paraId="377D574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3" w:firstLineChars="200"/>
        <w:jc w:val="both"/>
        <w:textAlignment w:val="auto"/>
        <w:outlineLvl w:val="0"/>
        <w:rPr>
          <w:rFonts w:hint="default" w:ascii="Times New Roman" w:hAnsi="Times New Roman" w:eastAsia="方正楷体_GB2312" w:cs="Times New Roman"/>
          <w:b/>
          <w:sz w:val="32"/>
          <w:szCs w:val="32"/>
          <w:lang w:val="zh-CN" w:eastAsia="zh-CN"/>
        </w:rPr>
      </w:pPr>
      <w:r>
        <w:rPr>
          <w:rFonts w:hint="default" w:ascii="Times New Roman" w:hAnsi="Times New Roman" w:eastAsia="方正楷体_GB2312" w:cs="Times New Roman"/>
          <w:b/>
          <w:sz w:val="32"/>
          <w:szCs w:val="32"/>
          <w:lang w:val="zh-CN" w:eastAsia="zh-CN"/>
        </w:rPr>
        <w:t>（</w:t>
      </w:r>
      <w:r>
        <w:rPr>
          <w:rFonts w:hint="default" w:ascii="Times New Roman" w:hAnsi="Times New Roman" w:eastAsia="方正楷体_GB2312" w:cs="Times New Roman"/>
          <w:b/>
          <w:sz w:val="32"/>
          <w:szCs w:val="32"/>
          <w:lang w:val="en-US" w:eastAsia="zh-CN"/>
        </w:rPr>
        <w:t>三）</w:t>
      </w:r>
      <w:r>
        <w:rPr>
          <w:rFonts w:hint="default" w:ascii="Times New Roman" w:hAnsi="Times New Roman" w:eastAsia="方正楷体_GB2312" w:cs="Times New Roman"/>
          <w:b/>
          <w:sz w:val="32"/>
          <w:szCs w:val="32"/>
          <w:lang w:val="zh-CN" w:eastAsia="zh-CN"/>
        </w:rPr>
        <w:t>改进建议</w:t>
      </w:r>
    </w:p>
    <w:p w14:paraId="180CF38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zh-CN" w:eastAsia="zh-CN"/>
        </w:rPr>
        <w:t>一是细化预算编制。结合上年度经费支出情况和当年度经费需求，细化基本支出预算编制。根据检察工作安排，合理安排项目经费支出。编制范围尽可能的细化、全面、完整，做到能编尽编，减少预算执行时指标间的调剂，切实提高部门预算收支管理水平。</w:t>
      </w:r>
    </w:p>
    <w:p w14:paraId="5B83169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zh-CN" w:eastAsia="zh-CN"/>
        </w:rPr>
        <w:t>二是加强资产管理。严格按照《固定资产管理办法》规定加强固定资产管理，单位资产管理员要掌握资产动态，对新增资产及时登记入账，对报废资产进行报废处置。定期对资产进行一次全面的清查盘点，确保资产账账、账实相符。</w:t>
      </w:r>
    </w:p>
    <w:p w14:paraId="3D362D1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sz w:val="32"/>
          <w:szCs w:val="32"/>
          <w:lang w:val="zh-CN" w:eastAsia="zh-CN"/>
        </w:rPr>
      </w:pPr>
      <w:r>
        <w:rPr>
          <w:rFonts w:hint="default" w:ascii="Times New Roman" w:hAnsi="Times New Roman" w:eastAsia="方正仿宋_GB2312" w:cs="Times New Roman"/>
          <w:sz w:val="32"/>
          <w:szCs w:val="32"/>
          <w:lang w:val="zh-CN" w:eastAsia="zh-CN"/>
        </w:rPr>
        <w:t>三是强化绩效管理意识。进一步强化绩效理念，将绩效管理理念贯穿于资金分配到资金使用全过程，加大资金整合力度，强化专项资金管理，把有限的资金用在刀刃上，提高资金使用效益。同时，抓好内控制度建设，进一步降低行政成本，确保资金安全，进一步推进廉洁高效建设。</w:t>
      </w:r>
    </w:p>
    <w:p w14:paraId="72F2D181">
      <w:pPr>
        <w:ind w:firstLine="640" w:firstLineChars="200"/>
        <w:rPr>
          <w:rFonts w:hint="eastAsia" w:ascii="Times New Roman" w:hAnsi="Times New Roman" w:eastAsia="方正仿宋_GB2312" w:cs="Times New Roman"/>
          <w:sz w:val="32"/>
          <w:szCs w:val="32"/>
          <w:lang w:val="zh-CN" w:eastAsia="zh-CN"/>
        </w:rPr>
      </w:pPr>
    </w:p>
    <w:p w14:paraId="391C1EE2">
      <w:pPr>
        <w:ind w:firstLine="640" w:firstLineChars="200"/>
        <w:rPr>
          <w:rFonts w:hint="eastAsia" w:ascii="Times New Roman" w:hAnsi="Times New Roman" w:eastAsia="方正仿宋_GB2312" w:cs="Times New Roman"/>
          <w:sz w:val="32"/>
          <w:szCs w:val="32"/>
          <w:lang w:val="zh-CN" w:eastAsia="zh-CN"/>
        </w:rPr>
      </w:pPr>
    </w:p>
    <w:p w14:paraId="1B76B8DC"/>
    <w:p w14:paraId="6420CD7E"/>
    <w:p w14:paraId="4CF6398D"/>
    <w:p w14:paraId="3A3C3BE1"/>
    <w:p w14:paraId="179D9A35"/>
    <w:p w14:paraId="058C0023"/>
    <w:p w14:paraId="2E98E941"/>
    <w:p w14:paraId="3D5402D7"/>
    <w:p w14:paraId="348FFC36"/>
    <w:p w14:paraId="5DF733B1"/>
    <w:p w14:paraId="193B8AE5"/>
    <w:p w14:paraId="5624AD79"/>
    <w:p w14:paraId="0E4679B1"/>
    <w:p w14:paraId="14C736F7"/>
    <w:p w14:paraId="6AF0581A"/>
    <w:p w14:paraId="7C8841B1"/>
    <w:p w14:paraId="22C61C42"/>
    <w:p w14:paraId="1102818B"/>
    <w:p w14:paraId="3FC0C2B4"/>
    <w:p w14:paraId="2FC8825A"/>
    <w:p w14:paraId="35A0E5C3"/>
    <w:p w14:paraId="24BC58D7"/>
    <w:p w14:paraId="41B46D95"/>
    <w:p w14:paraId="080CF9BD"/>
    <w:p w14:paraId="33E15AD2"/>
    <w:p w14:paraId="3D27474D"/>
    <w:p w14:paraId="33E399DA"/>
    <w:p w14:paraId="431471F5"/>
    <w:p w14:paraId="74CC1840"/>
    <w:p w14:paraId="2046DFFE"/>
    <w:p w14:paraId="3C9CD61D"/>
    <w:tbl>
      <w:tblPr>
        <w:tblStyle w:val="16"/>
        <w:tblpPr w:leftFromText="180" w:rightFromText="180" w:vertAnchor="text" w:horzAnchor="page" w:tblpX="1800" w:tblpY="211"/>
        <w:tblOverlap w:val="never"/>
        <w:tblW w:w="497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7"/>
        <w:gridCol w:w="1050"/>
        <w:gridCol w:w="1000"/>
        <w:gridCol w:w="1606"/>
        <w:gridCol w:w="907"/>
        <w:gridCol w:w="783"/>
        <w:gridCol w:w="804"/>
        <w:gridCol w:w="568"/>
        <w:gridCol w:w="783"/>
      </w:tblGrid>
      <w:tr w14:paraId="5CD0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4537" w:type="pct"/>
            <w:gridSpan w:val="8"/>
            <w:tcBorders>
              <w:top w:val="nil"/>
              <w:left w:val="nil"/>
              <w:bottom w:val="nil"/>
              <w:right w:val="nil"/>
            </w:tcBorders>
            <w:shd w:val="clear" w:color="auto" w:fill="auto"/>
            <w:vAlign w:val="center"/>
          </w:tcPr>
          <w:p w14:paraId="41DB3DA4">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 xml:space="preserve">       部门整体支出绩效自评表</w:t>
            </w:r>
          </w:p>
        </w:tc>
        <w:tc>
          <w:tcPr>
            <w:tcW w:w="462" w:type="pct"/>
            <w:tcBorders>
              <w:top w:val="nil"/>
              <w:left w:val="nil"/>
              <w:bottom w:val="nil"/>
              <w:right w:val="nil"/>
            </w:tcBorders>
            <w:shd w:val="clear" w:color="auto" w:fill="auto"/>
            <w:noWrap/>
            <w:vAlign w:val="center"/>
          </w:tcPr>
          <w:p w14:paraId="5C19AB60">
            <w:pPr>
              <w:rPr>
                <w:rFonts w:hint="eastAsia" w:ascii="宋体" w:hAnsi="宋体" w:eastAsia="宋体" w:cs="宋体"/>
                <w:i w:val="0"/>
                <w:iCs w:val="0"/>
                <w:color w:val="000000"/>
                <w:sz w:val="22"/>
                <w:szCs w:val="22"/>
                <w:u w:val="none"/>
              </w:rPr>
            </w:pPr>
          </w:p>
        </w:tc>
      </w:tr>
      <w:tr w14:paraId="37157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4537" w:type="pct"/>
            <w:gridSpan w:val="8"/>
            <w:tcBorders>
              <w:top w:val="nil"/>
              <w:left w:val="nil"/>
              <w:bottom w:val="nil"/>
              <w:right w:val="nil"/>
            </w:tcBorders>
            <w:shd w:val="clear" w:color="auto" w:fill="auto"/>
            <w:vAlign w:val="center"/>
          </w:tcPr>
          <w:p w14:paraId="4FB65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t>（202</w:t>
            </w:r>
            <w:r>
              <w:rPr>
                <w:rFonts w:hint="eastAsia" w:ascii="宋体" w:hAnsi="宋体" w:cs="宋体"/>
                <w:i w:val="0"/>
                <w:iCs w:val="0"/>
                <w:color w:val="000000"/>
                <w:kern w:val="0"/>
                <w:sz w:val="18"/>
                <w:szCs w:val="18"/>
                <w:u w:val="none"/>
                <w:lang w:val="en-US" w:eastAsia="zh-CN" w:bidi="ar"/>
              </w:rPr>
              <w:t>4</w:t>
            </w:r>
            <w:r>
              <w:rPr>
                <w:rFonts w:ascii="宋体" w:hAnsi="宋体" w:eastAsia="宋体" w:cs="宋体"/>
                <w:i w:val="0"/>
                <w:iCs w:val="0"/>
                <w:color w:val="000000"/>
                <w:kern w:val="0"/>
                <w:sz w:val="18"/>
                <w:szCs w:val="18"/>
                <w:u w:val="none"/>
                <w:lang w:val="en-US" w:eastAsia="zh-CN" w:bidi="ar"/>
              </w:rPr>
              <w:t>年度）</w:t>
            </w:r>
          </w:p>
        </w:tc>
        <w:tc>
          <w:tcPr>
            <w:tcW w:w="462" w:type="pct"/>
            <w:tcBorders>
              <w:top w:val="nil"/>
              <w:left w:val="nil"/>
              <w:bottom w:val="nil"/>
              <w:right w:val="nil"/>
            </w:tcBorders>
            <w:shd w:val="clear" w:color="auto" w:fill="auto"/>
            <w:noWrap/>
            <w:vAlign w:val="center"/>
          </w:tcPr>
          <w:p w14:paraId="7FBD73CE">
            <w:pPr>
              <w:rPr>
                <w:rFonts w:hint="eastAsia" w:ascii="宋体" w:hAnsi="宋体" w:eastAsia="宋体" w:cs="宋体"/>
                <w:i w:val="0"/>
                <w:iCs w:val="0"/>
                <w:color w:val="000000"/>
                <w:sz w:val="22"/>
                <w:szCs w:val="22"/>
                <w:u w:val="none"/>
              </w:rPr>
            </w:pPr>
          </w:p>
        </w:tc>
      </w:tr>
      <w:tr w14:paraId="419F8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4537" w:type="pct"/>
            <w:gridSpan w:val="8"/>
            <w:tcBorders>
              <w:top w:val="nil"/>
              <w:left w:val="nil"/>
              <w:bottom w:val="nil"/>
              <w:right w:val="nil"/>
            </w:tcBorders>
            <w:shd w:val="clear" w:color="auto" w:fill="auto"/>
            <w:vAlign w:val="center"/>
          </w:tcPr>
          <w:p w14:paraId="1BFC524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c>
          <w:tcPr>
            <w:tcW w:w="462" w:type="pct"/>
            <w:tcBorders>
              <w:top w:val="nil"/>
              <w:left w:val="nil"/>
              <w:bottom w:val="nil"/>
              <w:right w:val="nil"/>
            </w:tcBorders>
            <w:shd w:val="clear" w:color="auto" w:fill="auto"/>
            <w:noWrap/>
            <w:vAlign w:val="center"/>
          </w:tcPr>
          <w:p w14:paraId="7EAB717E">
            <w:pPr>
              <w:rPr>
                <w:rFonts w:hint="eastAsia" w:ascii="宋体" w:hAnsi="宋体" w:eastAsia="宋体" w:cs="宋体"/>
                <w:i w:val="0"/>
                <w:iCs w:val="0"/>
                <w:color w:val="000000"/>
                <w:sz w:val="22"/>
                <w:szCs w:val="22"/>
                <w:u w:val="none"/>
              </w:rPr>
            </w:pPr>
          </w:p>
        </w:tc>
      </w:tr>
      <w:tr w14:paraId="510FE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178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FD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32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0EE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理县人民检察院部门</w:t>
            </w:r>
          </w:p>
        </w:tc>
      </w:tr>
      <w:tr w14:paraId="3993D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ED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02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14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14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17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0497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643FD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80FAE">
            <w:pPr>
              <w:jc w:val="center"/>
              <w:rPr>
                <w:rFonts w:hint="eastAsia" w:ascii="宋体" w:hAnsi="宋体" w:eastAsia="宋体" w:cs="宋体"/>
                <w:i w:val="0"/>
                <w:iCs w:val="0"/>
                <w:color w:val="000000"/>
                <w:sz w:val="18"/>
                <w:szCs w:val="18"/>
                <w:u w:val="none"/>
              </w:rPr>
            </w:pP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1219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955.97</w:t>
            </w:r>
          </w:p>
        </w:tc>
        <w:tc>
          <w:tcPr>
            <w:tcW w:w="14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C104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792.36</w:t>
            </w:r>
          </w:p>
        </w:tc>
        <w:tc>
          <w:tcPr>
            <w:tcW w:w="173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05B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163.61</w:t>
            </w:r>
          </w:p>
        </w:tc>
      </w:tr>
      <w:tr w14:paraId="207BA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7" w:hRule="atLeast"/>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94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442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9DD1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照法律规定对由省人民检察院直接受理的刑事案件行使侦查权，领导全省各级人民检察院和专门人民检察院开展对依照法律规定由人民检察院直接受理的刑事案件的侦查工作。负责依法对贪污贿赂犯罪、国家工作人员的渎职侵权,国家工作人员利用职权实施侵犯公民人身权利的犯罪以及侵犯公民民主权利的犯罪案件的进行侦查,依法对本省需要直接受理的国家机关工作人员利用职权实施的其他重大犯罪案件进行侦查;领导本省各级人民检察院的侦查工作。;负责对本省检察干部进行培训、表彰奖励、查办违法乱纪案件、巡视工作、印刷、业务报刊、人民监督员工作、保密工作等综合管理事务。</w:t>
            </w:r>
          </w:p>
        </w:tc>
      </w:tr>
      <w:tr w14:paraId="4251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92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13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32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468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198E3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CEF18">
            <w:pPr>
              <w:jc w:val="center"/>
              <w:rPr>
                <w:rFonts w:hint="eastAsia" w:ascii="宋体" w:hAnsi="宋体" w:eastAsia="宋体" w:cs="宋体"/>
                <w:i w:val="0"/>
                <w:iCs w:val="0"/>
                <w:color w:val="000000"/>
                <w:sz w:val="18"/>
                <w:szCs w:val="18"/>
                <w:u w:val="none"/>
              </w:rPr>
            </w:pP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D96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做强民事检察工作，切实维护民生民利</w:t>
            </w:r>
          </w:p>
        </w:tc>
        <w:tc>
          <w:tcPr>
            <w:tcW w:w="32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4BBA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办理民事生效裁判、调解检察监督案件，办理民事审判程序检察监督案件，办理民事执行检察监督案件等。</w:t>
            </w:r>
          </w:p>
        </w:tc>
      </w:tr>
      <w:tr w14:paraId="148E3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27939">
            <w:pPr>
              <w:jc w:val="center"/>
              <w:rPr>
                <w:rFonts w:hint="eastAsia" w:ascii="宋体" w:hAnsi="宋体" w:eastAsia="宋体" w:cs="宋体"/>
                <w:i w:val="0"/>
                <w:iCs w:val="0"/>
                <w:color w:val="000000"/>
                <w:sz w:val="18"/>
                <w:szCs w:val="18"/>
                <w:u w:val="none"/>
              </w:rPr>
            </w:pP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1D95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做实行政检察工作，助推依法行政</w:t>
            </w:r>
          </w:p>
        </w:tc>
        <w:tc>
          <w:tcPr>
            <w:tcW w:w="32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4924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积极开展各种专项活动，办理行政执法机关非诉执行案件，推动检察机关与行政执法机关共同化解行政争议等</w:t>
            </w:r>
          </w:p>
        </w:tc>
      </w:tr>
      <w:tr w14:paraId="29853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AD860">
            <w:pPr>
              <w:jc w:val="center"/>
              <w:rPr>
                <w:rFonts w:hint="eastAsia" w:ascii="宋体" w:hAnsi="宋体" w:eastAsia="宋体" w:cs="宋体"/>
                <w:i w:val="0"/>
                <w:iCs w:val="0"/>
                <w:color w:val="000000"/>
                <w:sz w:val="18"/>
                <w:szCs w:val="18"/>
                <w:u w:val="none"/>
              </w:rPr>
            </w:pP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B5E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着力做好公益诉讼工作，推进科学发展</w:t>
            </w:r>
          </w:p>
        </w:tc>
        <w:tc>
          <w:tcPr>
            <w:tcW w:w="32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BF3F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办理行政公益诉讼诉前检察建议案件，办理刑事附带民事公益诉讼案件，办理食品安全领域民事公益所能够案件</w:t>
            </w:r>
          </w:p>
        </w:tc>
      </w:tr>
      <w:tr w14:paraId="3EF79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1"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15841">
            <w:pPr>
              <w:jc w:val="center"/>
              <w:rPr>
                <w:rFonts w:hint="eastAsia" w:ascii="宋体" w:hAnsi="宋体" w:eastAsia="宋体" w:cs="宋体"/>
                <w:i w:val="0"/>
                <w:iCs w:val="0"/>
                <w:color w:val="000000"/>
                <w:sz w:val="18"/>
                <w:szCs w:val="18"/>
                <w:u w:val="none"/>
              </w:rPr>
            </w:pP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785E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做优刑事检察工作，坚决维护社会稳定</w:t>
            </w:r>
          </w:p>
        </w:tc>
        <w:tc>
          <w:tcPr>
            <w:tcW w:w="32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7F6E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认真履行批捕、起诉职能，切实保障社会安定有序、人民安居乐业。办理公安机关提请批捕案件，移送审查起诉案件，本院提起公诉案件，移送其他检察院管辖案件。</w:t>
            </w:r>
          </w:p>
        </w:tc>
      </w:tr>
      <w:tr w14:paraId="7A796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1" w:hRule="atLeast"/>
        </w:trPr>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BC4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71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15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B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27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FB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96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9A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33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实际完成</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指标值</w:t>
            </w:r>
          </w:p>
        </w:tc>
      </w:tr>
      <w:tr w14:paraId="58864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3406D">
            <w:pPr>
              <w:jc w:val="center"/>
              <w:rPr>
                <w:rFonts w:hint="eastAsia" w:ascii="宋体" w:hAnsi="宋体" w:eastAsia="宋体" w:cs="宋体"/>
                <w:i w:val="0"/>
                <w:iCs w:val="0"/>
                <w:color w:val="000000"/>
                <w:sz w:val="18"/>
                <w:szCs w:val="18"/>
                <w:u w:val="none"/>
              </w:rPr>
            </w:pPr>
          </w:p>
        </w:tc>
        <w:tc>
          <w:tcPr>
            <w:tcW w:w="619" w:type="pct"/>
            <w:vMerge w:val="restart"/>
            <w:tcBorders>
              <w:top w:val="single" w:color="000000" w:sz="4" w:space="0"/>
              <w:left w:val="single" w:color="000000" w:sz="4" w:space="0"/>
              <w:right w:val="single" w:color="000000" w:sz="4" w:space="0"/>
            </w:tcBorders>
            <w:shd w:val="clear" w:color="auto" w:fill="auto"/>
            <w:vAlign w:val="center"/>
          </w:tcPr>
          <w:p w14:paraId="33E89D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89" w:type="pct"/>
            <w:vMerge w:val="restart"/>
            <w:tcBorders>
              <w:top w:val="single" w:color="000000" w:sz="4" w:space="0"/>
              <w:left w:val="single" w:color="000000" w:sz="4" w:space="0"/>
              <w:right w:val="single" w:color="000000" w:sz="4" w:space="0"/>
            </w:tcBorders>
            <w:shd w:val="clear" w:color="auto" w:fill="auto"/>
            <w:vAlign w:val="center"/>
          </w:tcPr>
          <w:p w14:paraId="01EC2A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BE0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全年开展公开听证案件数</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199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7EE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45C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案件数</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900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92988">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w:t>
            </w:r>
          </w:p>
        </w:tc>
      </w:tr>
      <w:tr w14:paraId="18DDA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CEEEE">
            <w:pPr>
              <w:jc w:val="center"/>
              <w:rPr>
                <w:rFonts w:hint="eastAsia" w:ascii="宋体" w:hAnsi="宋体" w:eastAsia="宋体" w:cs="宋体"/>
                <w:i w:val="0"/>
                <w:iCs w:val="0"/>
                <w:color w:val="000000"/>
                <w:sz w:val="18"/>
                <w:szCs w:val="18"/>
                <w:u w:val="none"/>
              </w:rPr>
            </w:pPr>
          </w:p>
        </w:tc>
        <w:tc>
          <w:tcPr>
            <w:tcW w:w="619" w:type="pct"/>
            <w:vMerge w:val="continue"/>
            <w:tcBorders>
              <w:left w:val="single" w:color="000000" w:sz="4" w:space="0"/>
              <w:right w:val="single" w:color="000000" w:sz="4" w:space="0"/>
            </w:tcBorders>
            <w:shd w:val="clear" w:color="auto" w:fill="auto"/>
            <w:vAlign w:val="center"/>
          </w:tcPr>
          <w:p w14:paraId="15DF33D5">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589" w:type="pct"/>
            <w:vMerge w:val="continue"/>
            <w:tcBorders>
              <w:left w:val="single" w:color="000000" w:sz="4" w:space="0"/>
              <w:right w:val="single" w:color="000000" w:sz="4" w:space="0"/>
            </w:tcBorders>
            <w:shd w:val="clear" w:color="auto" w:fill="auto"/>
            <w:vAlign w:val="center"/>
          </w:tcPr>
          <w:p w14:paraId="47890683">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A439">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完成司法救助案件数</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87B0">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9815F">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B0AEF">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案件数</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2BA99">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4EAB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w:t>
            </w:r>
          </w:p>
        </w:tc>
      </w:tr>
      <w:tr w14:paraId="30E38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443BB">
            <w:pPr>
              <w:jc w:val="center"/>
              <w:rPr>
                <w:rFonts w:hint="eastAsia" w:ascii="宋体" w:hAnsi="宋体" w:eastAsia="宋体" w:cs="宋体"/>
                <w:i w:val="0"/>
                <w:iCs w:val="0"/>
                <w:color w:val="000000"/>
                <w:sz w:val="18"/>
                <w:szCs w:val="18"/>
                <w:u w:val="none"/>
              </w:rPr>
            </w:pPr>
          </w:p>
        </w:tc>
        <w:tc>
          <w:tcPr>
            <w:tcW w:w="619" w:type="pct"/>
            <w:vMerge w:val="continue"/>
            <w:tcBorders>
              <w:left w:val="single" w:color="000000" w:sz="4" w:space="0"/>
              <w:right w:val="single" w:color="000000" w:sz="4" w:space="0"/>
            </w:tcBorders>
            <w:shd w:val="clear" w:color="auto" w:fill="auto"/>
            <w:vAlign w:val="center"/>
          </w:tcPr>
          <w:p w14:paraId="263ABC2E">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589" w:type="pct"/>
            <w:vMerge w:val="continue"/>
            <w:tcBorders>
              <w:left w:val="single" w:color="000000" w:sz="4" w:space="0"/>
              <w:bottom w:val="single" w:color="000000" w:sz="4" w:space="0"/>
              <w:right w:val="single" w:color="000000" w:sz="4" w:space="0"/>
            </w:tcBorders>
            <w:shd w:val="clear" w:color="auto" w:fill="auto"/>
            <w:vAlign w:val="center"/>
          </w:tcPr>
          <w:p w14:paraId="34098B87">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2D381">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开展法治进校园等活动</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9080C">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9B2AA">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FFE35">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次</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743FE">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D1EF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8</w:t>
            </w:r>
          </w:p>
        </w:tc>
      </w:tr>
      <w:tr w14:paraId="480A9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DFA60">
            <w:pPr>
              <w:jc w:val="center"/>
              <w:rPr>
                <w:rFonts w:hint="eastAsia" w:ascii="宋体" w:hAnsi="宋体" w:eastAsia="宋体" w:cs="宋体"/>
                <w:i w:val="0"/>
                <w:iCs w:val="0"/>
                <w:color w:val="000000"/>
                <w:sz w:val="18"/>
                <w:szCs w:val="18"/>
                <w:u w:val="none"/>
              </w:rPr>
            </w:pPr>
          </w:p>
        </w:tc>
        <w:tc>
          <w:tcPr>
            <w:tcW w:w="619" w:type="pct"/>
            <w:vMerge w:val="continue"/>
            <w:tcBorders>
              <w:left w:val="single" w:color="000000" w:sz="4" w:space="0"/>
              <w:bottom w:val="single" w:color="000000" w:sz="4" w:space="0"/>
              <w:right w:val="single" w:color="000000" w:sz="4" w:space="0"/>
            </w:tcBorders>
            <w:shd w:val="clear" w:color="auto" w:fill="auto"/>
            <w:vAlign w:val="center"/>
          </w:tcPr>
          <w:p w14:paraId="36862002">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0F1B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质量指标</w:t>
            </w:r>
          </w:p>
        </w:tc>
        <w:tc>
          <w:tcPr>
            <w:tcW w:w="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E9865">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错捕漏捕</w:t>
            </w:r>
            <w:r>
              <w:rPr>
                <w:rFonts w:ascii="宋体" w:hAnsi="宋体" w:eastAsia="宋体" w:cs="宋体"/>
                <w:i w:val="0"/>
                <w:iCs w:val="0"/>
                <w:color w:val="000000"/>
                <w:kern w:val="0"/>
                <w:sz w:val="18"/>
                <w:szCs w:val="18"/>
                <w:u w:val="none"/>
                <w:lang w:val="en-US" w:eastAsia="zh-CN" w:bidi="ar"/>
              </w:rPr>
              <w:t>率</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8EF6D">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A542A">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0</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25CE0">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11686">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ADBB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0</w:t>
            </w:r>
          </w:p>
        </w:tc>
      </w:tr>
      <w:tr w14:paraId="6076A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73F3E">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072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E2E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F4D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办理涉及我县生态环境保护等公益诉讼案件</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560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CB6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B3B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案件数</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389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A4DA2">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22</w:t>
            </w:r>
          </w:p>
        </w:tc>
      </w:tr>
      <w:tr w14:paraId="7F29B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2"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4A55A">
            <w:pPr>
              <w:jc w:val="center"/>
              <w:rPr>
                <w:rFonts w:hint="eastAsia" w:ascii="宋体" w:hAnsi="宋体" w:eastAsia="宋体" w:cs="宋体"/>
                <w:i w:val="0"/>
                <w:iCs w:val="0"/>
                <w:color w:val="000000"/>
                <w:sz w:val="18"/>
                <w:szCs w:val="18"/>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61B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8E6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41F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全县群众对我院各项工作的满意度情况</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5D7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0B2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430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B7B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BE00E">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bookmarkStart w:id="80" w:name="_GoBack"/>
            <w:bookmarkEnd w:id="80"/>
          </w:p>
        </w:tc>
      </w:tr>
    </w:tbl>
    <w:p w14:paraId="7DB75699">
      <w:pPr>
        <w:pStyle w:val="2"/>
        <w:jc w:val="center"/>
        <w:rPr>
          <w:rFonts w:ascii="黑体" w:hAnsi="黑体" w:eastAsia="黑体"/>
        </w:rPr>
      </w:pPr>
      <w:bookmarkStart w:id="79" w:name="_Toc30602"/>
      <w:r>
        <w:rPr>
          <w:rFonts w:hint="eastAsia" w:ascii="黑体" w:hAnsi="黑体" w:eastAsia="黑体"/>
        </w:rPr>
        <w:t>第五部分 附表</w:t>
      </w:r>
      <w:bookmarkEnd w:id="79"/>
    </w:p>
    <w:p w14:paraId="19915CDD">
      <w:pPr>
        <w:rPr>
          <w:rFonts w:ascii="仿宋" w:hAnsi="仿宋" w:eastAsia="仿宋"/>
          <w:sz w:val="32"/>
          <w:szCs w:val="32"/>
        </w:rPr>
      </w:pPr>
      <w:r>
        <w:rPr>
          <w:rFonts w:hint="eastAsia" w:ascii="仿宋" w:hAnsi="仿宋" w:eastAsia="仿宋"/>
          <w:sz w:val="32"/>
          <w:szCs w:val="32"/>
        </w:rPr>
        <w:t>一、收入支出决算总表</w:t>
      </w:r>
    </w:p>
    <w:p w14:paraId="16C8303D">
      <w:pPr>
        <w:rPr>
          <w:rFonts w:ascii="仿宋" w:hAnsi="仿宋" w:eastAsia="仿宋"/>
          <w:sz w:val="32"/>
          <w:szCs w:val="32"/>
        </w:rPr>
      </w:pPr>
      <w:r>
        <w:rPr>
          <w:rFonts w:hint="eastAsia" w:ascii="仿宋" w:hAnsi="仿宋" w:eastAsia="仿宋"/>
          <w:sz w:val="32"/>
          <w:szCs w:val="32"/>
        </w:rPr>
        <w:t>二、收入决算表</w:t>
      </w:r>
    </w:p>
    <w:p w14:paraId="46F64A9C">
      <w:pPr>
        <w:rPr>
          <w:rFonts w:ascii="仿宋" w:hAnsi="仿宋" w:eastAsia="仿宋"/>
          <w:sz w:val="32"/>
          <w:szCs w:val="32"/>
        </w:rPr>
      </w:pPr>
      <w:r>
        <w:rPr>
          <w:rFonts w:hint="eastAsia" w:ascii="仿宋" w:hAnsi="仿宋" w:eastAsia="仿宋"/>
          <w:sz w:val="32"/>
          <w:szCs w:val="32"/>
        </w:rPr>
        <w:t>三、支出决算表</w:t>
      </w:r>
    </w:p>
    <w:p w14:paraId="4034C823">
      <w:pPr>
        <w:rPr>
          <w:rFonts w:ascii="仿宋" w:hAnsi="仿宋" w:eastAsia="仿宋"/>
          <w:sz w:val="32"/>
          <w:szCs w:val="32"/>
        </w:rPr>
      </w:pPr>
      <w:r>
        <w:rPr>
          <w:rFonts w:hint="eastAsia" w:ascii="仿宋" w:hAnsi="仿宋" w:eastAsia="仿宋"/>
          <w:sz w:val="32"/>
          <w:szCs w:val="32"/>
        </w:rPr>
        <w:t>四、财政拨款收入支出决算总表</w:t>
      </w:r>
    </w:p>
    <w:p w14:paraId="039101C4">
      <w:pPr>
        <w:rPr>
          <w:rFonts w:ascii="仿宋" w:hAnsi="仿宋" w:eastAsia="仿宋"/>
          <w:sz w:val="32"/>
          <w:szCs w:val="32"/>
        </w:rPr>
      </w:pPr>
      <w:r>
        <w:rPr>
          <w:rFonts w:hint="eastAsia" w:ascii="仿宋" w:hAnsi="仿宋" w:eastAsia="仿宋"/>
          <w:sz w:val="32"/>
          <w:szCs w:val="32"/>
        </w:rPr>
        <w:t>五、财政拨款支出决算明细表</w:t>
      </w:r>
    </w:p>
    <w:p w14:paraId="5D1A50A1">
      <w:pPr>
        <w:rPr>
          <w:rFonts w:ascii="仿宋" w:hAnsi="仿宋" w:eastAsia="仿宋"/>
          <w:sz w:val="32"/>
          <w:szCs w:val="32"/>
        </w:rPr>
      </w:pPr>
      <w:r>
        <w:rPr>
          <w:rFonts w:hint="eastAsia" w:ascii="仿宋" w:hAnsi="仿宋" w:eastAsia="仿宋"/>
          <w:sz w:val="32"/>
          <w:szCs w:val="32"/>
        </w:rPr>
        <w:t>六、一般公共预算财政拨款支出决算表</w:t>
      </w:r>
    </w:p>
    <w:p w14:paraId="152A0E79">
      <w:pPr>
        <w:rPr>
          <w:rFonts w:ascii="仿宋" w:hAnsi="仿宋" w:eastAsia="仿宋"/>
          <w:sz w:val="32"/>
          <w:szCs w:val="32"/>
        </w:rPr>
      </w:pPr>
      <w:r>
        <w:rPr>
          <w:rFonts w:hint="eastAsia" w:ascii="仿宋" w:hAnsi="仿宋" w:eastAsia="仿宋"/>
          <w:sz w:val="32"/>
          <w:szCs w:val="32"/>
        </w:rPr>
        <w:t>七、一般公共预算财政拨款支出决算明细表</w:t>
      </w:r>
    </w:p>
    <w:p w14:paraId="3D2D1EED">
      <w:pPr>
        <w:rPr>
          <w:rFonts w:ascii="仿宋" w:hAnsi="仿宋" w:eastAsia="仿宋"/>
          <w:sz w:val="32"/>
          <w:szCs w:val="32"/>
        </w:rPr>
      </w:pPr>
      <w:r>
        <w:rPr>
          <w:rFonts w:hint="eastAsia" w:ascii="仿宋" w:hAnsi="仿宋" w:eastAsia="仿宋"/>
          <w:sz w:val="32"/>
          <w:szCs w:val="32"/>
        </w:rPr>
        <w:t>八、一般公共预算财政拨款基本支出决算表</w:t>
      </w:r>
    </w:p>
    <w:p w14:paraId="5124324D">
      <w:pPr>
        <w:rPr>
          <w:rFonts w:ascii="仿宋" w:hAnsi="仿宋" w:eastAsia="仿宋"/>
          <w:sz w:val="32"/>
          <w:szCs w:val="32"/>
        </w:rPr>
      </w:pPr>
      <w:r>
        <w:rPr>
          <w:rFonts w:hint="eastAsia" w:ascii="仿宋" w:hAnsi="仿宋" w:eastAsia="仿宋"/>
          <w:sz w:val="32"/>
          <w:szCs w:val="32"/>
        </w:rPr>
        <w:t>九、一般公共预算财政拨款项目支出决算表</w:t>
      </w:r>
    </w:p>
    <w:p w14:paraId="6C9D09A4">
      <w:pPr>
        <w:rPr>
          <w:rFonts w:ascii="仿宋" w:hAnsi="仿宋" w:eastAsia="仿宋"/>
          <w:sz w:val="32"/>
          <w:szCs w:val="32"/>
        </w:rPr>
      </w:pPr>
      <w:r>
        <w:rPr>
          <w:rFonts w:hint="eastAsia" w:ascii="仿宋" w:hAnsi="仿宋" w:eastAsia="仿宋"/>
          <w:sz w:val="32"/>
          <w:szCs w:val="32"/>
        </w:rPr>
        <w:t>十、政府性基金预算财政拨款收入支出决算表</w:t>
      </w:r>
    </w:p>
    <w:p w14:paraId="7C2A096D">
      <w:pPr>
        <w:rPr>
          <w:rFonts w:ascii="仿宋" w:hAnsi="仿宋" w:eastAsia="仿宋"/>
          <w:sz w:val="32"/>
          <w:szCs w:val="32"/>
        </w:rPr>
      </w:pPr>
      <w:r>
        <w:rPr>
          <w:rFonts w:hint="eastAsia" w:ascii="仿宋" w:hAnsi="仿宋" w:eastAsia="仿宋"/>
          <w:sz w:val="32"/>
          <w:szCs w:val="32"/>
        </w:rPr>
        <w:t>十一、国有资本经营预算财政拨款收入支出决算表</w:t>
      </w:r>
    </w:p>
    <w:p w14:paraId="660F4061">
      <w:pPr>
        <w:rPr>
          <w:rFonts w:ascii="仿宋" w:hAnsi="仿宋" w:eastAsia="仿宋"/>
          <w:sz w:val="32"/>
          <w:szCs w:val="32"/>
        </w:rPr>
      </w:pPr>
      <w:r>
        <w:rPr>
          <w:rFonts w:hint="eastAsia" w:ascii="仿宋" w:hAnsi="仿宋" w:eastAsia="仿宋"/>
          <w:sz w:val="32"/>
          <w:szCs w:val="32"/>
        </w:rPr>
        <w:t>十二、国有资本经营预算财政拨款支出决算表</w:t>
      </w:r>
    </w:p>
    <w:p w14:paraId="19DD8179">
      <w:pPr>
        <w:rPr>
          <w:rFonts w:ascii="仿宋" w:hAnsi="仿宋" w:eastAsia="仿宋"/>
          <w:sz w:val="32"/>
          <w:szCs w:val="32"/>
        </w:rPr>
      </w:pPr>
      <w:r>
        <w:rPr>
          <w:rFonts w:hint="eastAsia" w:ascii="仿宋" w:hAnsi="仿宋" w:eastAsia="仿宋"/>
          <w:sz w:val="32"/>
          <w:szCs w:val="32"/>
        </w:rPr>
        <w:t>十三、财政拨款“三公”经费支出决算表</w:t>
      </w:r>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26467E-ABEF-4DA5-AD2E-FB14E25E36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866EFE8D-903D-4689-B8DF-68881874084B}"/>
  </w:font>
  <w:font w:name="仿宋_GB2312">
    <w:panose1 w:val="02010609030101010101"/>
    <w:charset w:val="86"/>
    <w:family w:val="modern"/>
    <w:pitch w:val="default"/>
    <w:sig w:usb0="00000001" w:usb1="080E0000" w:usb2="00000000" w:usb3="00000000" w:csb0="00040000" w:csb1="00000000"/>
    <w:embedRegular r:id="rId3" w:fontKey="{6931B3F4-D4CB-4E49-AF14-667D4EE5476C}"/>
  </w:font>
  <w:font w:name="仿宋">
    <w:panose1 w:val="02010609060101010101"/>
    <w:charset w:val="86"/>
    <w:family w:val="modern"/>
    <w:pitch w:val="default"/>
    <w:sig w:usb0="800002BF" w:usb1="38CF7CFA" w:usb2="00000016" w:usb3="00000000" w:csb0="00040001" w:csb1="00000000"/>
    <w:embedRegular r:id="rId4" w:fontKey="{D742967A-A761-4DB5-BDC3-2926988DD9E9}"/>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0010101010101"/>
    <w:charset w:val="86"/>
    <w:family w:val="script"/>
    <w:pitch w:val="default"/>
    <w:sig w:usb0="00000001" w:usb1="080E0000" w:usb2="00000000" w:usb3="00000000" w:csb0="00040000" w:csb1="00000000"/>
    <w:embedRegular r:id="rId5" w:fontKey="{CF8E88E4-6F14-4301-9C3A-AE23A8F49C44}"/>
  </w:font>
  <w:font w:name="方正仿宋_GBK">
    <w:panose1 w:val="02000000000000000000"/>
    <w:charset w:val="86"/>
    <w:family w:val="auto"/>
    <w:pitch w:val="default"/>
    <w:sig w:usb0="A00002BF" w:usb1="38CF7CFA" w:usb2="00082016" w:usb3="00000000" w:csb0="00040001" w:csb1="00000000"/>
    <w:embedRegular r:id="rId6" w:fontKey="{17931093-F74C-4C59-BD4F-3319D6713AAF}"/>
  </w:font>
  <w:font w:name="方正楷体_GBK">
    <w:panose1 w:val="02000000000000000000"/>
    <w:charset w:val="86"/>
    <w:family w:val="auto"/>
    <w:pitch w:val="default"/>
    <w:sig w:usb0="800002BF" w:usb1="38CF7CFA" w:usb2="00000016" w:usb3="00000000" w:csb0="00040000" w:csb1="00000000"/>
    <w:embedRegular r:id="rId7" w:fontKey="{8A731D4F-E822-4B25-B722-F3B4243CDB05}"/>
  </w:font>
  <w:font w:name="方正仿宋_GB2312">
    <w:panose1 w:val="02000000000000000000"/>
    <w:charset w:val="86"/>
    <w:family w:val="auto"/>
    <w:pitch w:val="default"/>
    <w:sig w:usb0="A00002BF" w:usb1="184F6CFA" w:usb2="00000012" w:usb3="00000000" w:csb0="00040001" w:csb1="00000000"/>
    <w:embedRegular r:id="rId8" w:fontKey="{356BBC1F-1FB8-4100-B17A-E9D07F505B87}"/>
  </w:font>
  <w:font w:name="方正小标宋_GBK">
    <w:panose1 w:val="02000000000000000000"/>
    <w:charset w:val="86"/>
    <w:family w:val="auto"/>
    <w:pitch w:val="default"/>
    <w:sig w:usb0="A00002BF" w:usb1="38CF7CFA" w:usb2="00082016" w:usb3="00000000" w:csb0="00040001" w:csb1="00000000"/>
    <w:embedRegular r:id="rId9" w:fontKey="{DF816632-F02B-475D-BF28-FC199DEAA3B2}"/>
  </w:font>
  <w:font w:name="方正楷体_GB2312">
    <w:panose1 w:val="02000000000000000000"/>
    <w:charset w:val="86"/>
    <w:family w:val="auto"/>
    <w:pitch w:val="default"/>
    <w:sig w:usb0="A00002BF" w:usb1="184F6CFA" w:usb2="00000012" w:usb3="00000000" w:csb0="00040001" w:csb1="00000000"/>
    <w:embedRegular r:id="rId10" w:fontKey="{4188C492-9B65-4FFA-8545-A9AA2EC230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772"/>
    </w:sdtPr>
    <w:sdtContent>
      <w:p w14:paraId="29798716">
        <w:pPr>
          <w:pStyle w:val="10"/>
          <w:jc w:val="center"/>
        </w:pPr>
        <w:r>
          <w:fldChar w:fldCharType="begin"/>
        </w:r>
        <w:r>
          <w:instrText xml:space="preserve">PAGE   \* MERGEFORMAT</w:instrText>
        </w:r>
        <w:r>
          <w:fldChar w:fldCharType="separate"/>
        </w:r>
        <w:r>
          <w:rPr>
            <w:lang w:val="zh-CN"/>
          </w:rPr>
          <w:t>23</w:t>
        </w:r>
        <w:r>
          <w:fldChar w:fldCharType="end"/>
        </w:r>
      </w:p>
    </w:sdtContent>
  </w:sdt>
  <w:p w14:paraId="518256D9">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4B1E4">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7DD44">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hlOThhOGU3YzZjZDVlZWVmOWJmYjhhZjE2OGRjZTQ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A7830"/>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67F"/>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0A36"/>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02BF"/>
    <w:rsid w:val="00FC7DA4"/>
    <w:rsid w:val="00FD3CC1"/>
    <w:rsid w:val="00FF1E02"/>
    <w:rsid w:val="00FF30B4"/>
    <w:rsid w:val="01040081"/>
    <w:rsid w:val="015975B8"/>
    <w:rsid w:val="01E4322D"/>
    <w:rsid w:val="022D0FD6"/>
    <w:rsid w:val="026043E7"/>
    <w:rsid w:val="02963DFC"/>
    <w:rsid w:val="02ED4364"/>
    <w:rsid w:val="02EE59E6"/>
    <w:rsid w:val="02FEBE30"/>
    <w:rsid w:val="0341020B"/>
    <w:rsid w:val="036F8141"/>
    <w:rsid w:val="051C765B"/>
    <w:rsid w:val="05353F49"/>
    <w:rsid w:val="055703A3"/>
    <w:rsid w:val="056337F9"/>
    <w:rsid w:val="056D178C"/>
    <w:rsid w:val="057B7B58"/>
    <w:rsid w:val="057C7CDC"/>
    <w:rsid w:val="066E0107"/>
    <w:rsid w:val="06846D8D"/>
    <w:rsid w:val="06862B05"/>
    <w:rsid w:val="06B37672"/>
    <w:rsid w:val="06E36073"/>
    <w:rsid w:val="073C31C4"/>
    <w:rsid w:val="07442078"/>
    <w:rsid w:val="07717112"/>
    <w:rsid w:val="07996F6E"/>
    <w:rsid w:val="07DC178A"/>
    <w:rsid w:val="07DFD8BA"/>
    <w:rsid w:val="085B1D6F"/>
    <w:rsid w:val="08601134"/>
    <w:rsid w:val="08EC29C7"/>
    <w:rsid w:val="091E3FC1"/>
    <w:rsid w:val="093D7704"/>
    <w:rsid w:val="099866AB"/>
    <w:rsid w:val="09B47989"/>
    <w:rsid w:val="09FE0C04"/>
    <w:rsid w:val="0A2032A3"/>
    <w:rsid w:val="0ADD625D"/>
    <w:rsid w:val="0AF81B05"/>
    <w:rsid w:val="0B4765DB"/>
    <w:rsid w:val="0B8D0F28"/>
    <w:rsid w:val="0BF12D0A"/>
    <w:rsid w:val="0CC46135"/>
    <w:rsid w:val="0CD65E68"/>
    <w:rsid w:val="0D35B1ED"/>
    <w:rsid w:val="0DC42165"/>
    <w:rsid w:val="0DDD048E"/>
    <w:rsid w:val="0DF62C9E"/>
    <w:rsid w:val="0E625C06"/>
    <w:rsid w:val="0E7ED1F5"/>
    <w:rsid w:val="0ECF2B6F"/>
    <w:rsid w:val="0EE626FA"/>
    <w:rsid w:val="0F0C791F"/>
    <w:rsid w:val="0F4C15B7"/>
    <w:rsid w:val="0F544D4B"/>
    <w:rsid w:val="0F7A2ADB"/>
    <w:rsid w:val="0F8A6A96"/>
    <w:rsid w:val="0F98263C"/>
    <w:rsid w:val="0FAE09D7"/>
    <w:rsid w:val="100D7DF3"/>
    <w:rsid w:val="101860EC"/>
    <w:rsid w:val="10B65D95"/>
    <w:rsid w:val="10C055FF"/>
    <w:rsid w:val="118107EC"/>
    <w:rsid w:val="11C95F9C"/>
    <w:rsid w:val="11ED2CA9"/>
    <w:rsid w:val="12D1335A"/>
    <w:rsid w:val="12DA08F3"/>
    <w:rsid w:val="13B660AC"/>
    <w:rsid w:val="13BA0C00"/>
    <w:rsid w:val="13D50BC4"/>
    <w:rsid w:val="13F5616D"/>
    <w:rsid w:val="142E0338"/>
    <w:rsid w:val="147E1869"/>
    <w:rsid w:val="151529B4"/>
    <w:rsid w:val="16BB723D"/>
    <w:rsid w:val="16E75D71"/>
    <w:rsid w:val="16FE2244"/>
    <w:rsid w:val="173914CE"/>
    <w:rsid w:val="174E33E4"/>
    <w:rsid w:val="1796247C"/>
    <w:rsid w:val="17B80644"/>
    <w:rsid w:val="17F9714D"/>
    <w:rsid w:val="187D53EA"/>
    <w:rsid w:val="188B7E33"/>
    <w:rsid w:val="18A60196"/>
    <w:rsid w:val="18D21BDA"/>
    <w:rsid w:val="19067AD5"/>
    <w:rsid w:val="1918F934"/>
    <w:rsid w:val="19C06C23"/>
    <w:rsid w:val="1AE87493"/>
    <w:rsid w:val="1B0D1BF6"/>
    <w:rsid w:val="1B1D492B"/>
    <w:rsid w:val="1B522B5E"/>
    <w:rsid w:val="1BBE1FA1"/>
    <w:rsid w:val="1BE8440E"/>
    <w:rsid w:val="1C1B5646"/>
    <w:rsid w:val="1C4D4F83"/>
    <w:rsid w:val="1C8E0291"/>
    <w:rsid w:val="1CEE2D5A"/>
    <w:rsid w:val="1D155CEE"/>
    <w:rsid w:val="1D320CC5"/>
    <w:rsid w:val="1D814134"/>
    <w:rsid w:val="1DA82F09"/>
    <w:rsid w:val="1DFBC4B3"/>
    <w:rsid w:val="1E6257AE"/>
    <w:rsid w:val="1E740ACF"/>
    <w:rsid w:val="1EE04AC5"/>
    <w:rsid w:val="1EF36406"/>
    <w:rsid w:val="1F19C781"/>
    <w:rsid w:val="1F3009E7"/>
    <w:rsid w:val="1F33FCE5"/>
    <w:rsid w:val="1F7F7398"/>
    <w:rsid w:val="1F8852E1"/>
    <w:rsid w:val="1FD2DB6F"/>
    <w:rsid w:val="1FF35744"/>
    <w:rsid w:val="1FF6BC77"/>
    <w:rsid w:val="1FF9236D"/>
    <w:rsid w:val="200B3D12"/>
    <w:rsid w:val="202820DF"/>
    <w:rsid w:val="204752C1"/>
    <w:rsid w:val="20564E9E"/>
    <w:rsid w:val="214F086A"/>
    <w:rsid w:val="21D84D67"/>
    <w:rsid w:val="22A55C69"/>
    <w:rsid w:val="22AC6FF8"/>
    <w:rsid w:val="22F56BF1"/>
    <w:rsid w:val="23104268"/>
    <w:rsid w:val="2333840E"/>
    <w:rsid w:val="23690890"/>
    <w:rsid w:val="2383244E"/>
    <w:rsid w:val="23860B96"/>
    <w:rsid w:val="23D9206E"/>
    <w:rsid w:val="240371BF"/>
    <w:rsid w:val="241C77B7"/>
    <w:rsid w:val="24561B4D"/>
    <w:rsid w:val="24DD16E3"/>
    <w:rsid w:val="25186BC6"/>
    <w:rsid w:val="253C0680"/>
    <w:rsid w:val="257C638F"/>
    <w:rsid w:val="25C105E1"/>
    <w:rsid w:val="25CC5A3B"/>
    <w:rsid w:val="25DF5936"/>
    <w:rsid w:val="2779092B"/>
    <w:rsid w:val="278247CB"/>
    <w:rsid w:val="281F64BE"/>
    <w:rsid w:val="28CB3F50"/>
    <w:rsid w:val="29547444"/>
    <w:rsid w:val="296A7E47"/>
    <w:rsid w:val="29722DFF"/>
    <w:rsid w:val="297E088B"/>
    <w:rsid w:val="29CD76AD"/>
    <w:rsid w:val="29FD04D3"/>
    <w:rsid w:val="2A2E769B"/>
    <w:rsid w:val="2A8D3BB3"/>
    <w:rsid w:val="2ABC3174"/>
    <w:rsid w:val="2BFF7BC6"/>
    <w:rsid w:val="2C56006A"/>
    <w:rsid w:val="2C8A61B5"/>
    <w:rsid w:val="2C994A91"/>
    <w:rsid w:val="2C9C632F"/>
    <w:rsid w:val="2C9F5E1F"/>
    <w:rsid w:val="2CD23AFF"/>
    <w:rsid w:val="2CD59C95"/>
    <w:rsid w:val="2D9D410D"/>
    <w:rsid w:val="2DCC054E"/>
    <w:rsid w:val="2DF04E50"/>
    <w:rsid w:val="2E222864"/>
    <w:rsid w:val="2E3D58F0"/>
    <w:rsid w:val="2EFC1307"/>
    <w:rsid w:val="2EFD05E5"/>
    <w:rsid w:val="2F040D46"/>
    <w:rsid w:val="2F097580"/>
    <w:rsid w:val="2F4F95CE"/>
    <w:rsid w:val="2FACAFDD"/>
    <w:rsid w:val="2FAE5751"/>
    <w:rsid w:val="2FB1A395"/>
    <w:rsid w:val="2FCF0B76"/>
    <w:rsid w:val="2FD9A7D8"/>
    <w:rsid w:val="30224D9D"/>
    <w:rsid w:val="31523460"/>
    <w:rsid w:val="319F7F4E"/>
    <w:rsid w:val="31EC7411"/>
    <w:rsid w:val="32F91AE7"/>
    <w:rsid w:val="3304709D"/>
    <w:rsid w:val="331F3816"/>
    <w:rsid w:val="3326373F"/>
    <w:rsid w:val="33606A6A"/>
    <w:rsid w:val="336B6A5B"/>
    <w:rsid w:val="33EF31E8"/>
    <w:rsid w:val="34126ED7"/>
    <w:rsid w:val="342C1CDF"/>
    <w:rsid w:val="34745E84"/>
    <w:rsid w:val="356674DA"/>
    <w:rsid w:val="358A2CF1"/>
    <w:rsid w:val="35A70F55"/>
    <w:rsid w:val="36062474"/>
    <w:rsid w:val="360A3779"/>
    <w:rsid w:val="3642157C"/>
    <w:rsid w:val="36AA5135"/>
    <w:rsid w:val="36B77ECB"/>
    <w:rsid w:val="36BE0DA7"/>
    <w:rsid w:val="37114AE6"/>
    <w:rsid w:val="376B6AA6"/>
    <w:rsid w:val="376D39B2"/>
    <w:rsid w:val="37904CE2"/>
    <w:rsid w:val="37B7226F"/>
    <w:rsid w:val="37C30C14"/>
    <w:rsid w:val="37E16F03"/>
    <w:rsid w:val="37F53A3B"/>
    <w:rsid w:val="38305B7D"/>
    <w:rsid w:val="3843357E"/>
    <w:rsid w:val="389A4932"/>
    <w:rsid w:val="38D469F0"/>
    <w:rsid w:val="38F78389"/>
    <w:rsid w:val="39006B30"/>
    <w:rsid w:val="396106E4"/>
    <w:rsid w:val="397BAF1F"/>
    <w:rsid w:val="397D6B0A"/>
    <w:rsid w:val="39D746A9"/>
    <w:rsid w:val="39E10B33"/>
    <w:rsid w:val="39E7B272"/>
    <w:rsid w:val="39F7642F"/>
    <w:rsid w:val="39FF7B37"/>
    <w:rsid w:val="3A306505"/>
    <w:rsid w:val="3A5B15D7"/>
    <w:rsid w:val="3A7B6A1B"/>
    <w:rsid w:val="3AB79AF3"/>
    <w:rsid w:val="3AE535C6"/>
    <w:rsid w:val="3AEF1D0C"/>
    <w:rsid w:val="3AFDCB77"/>
    <w:rsid w:val="3B1B48C3"/>
    <w:rsid w:val="3B6252ED"/>
    <w:rsid w:val="3B7EF35A"/>
    <w:rsid w:val="3B8107CA"/>
    <w:rsid w:val="3B8F28D0"/>
    <w:rsid w:val="3B901576"/>
    <w:rsid w:val="3B9FDB6C"/>
    <w:rsid w:val="3BCA0E0F"/>
    <w:rsid w:val="3BF5BC2F"/>
    <w:rsid w:val="3BF7C23A"/>
    <w:rsid w:val="3BFF223E"/>
    <w:rsid w:val="3C6EC0A1"/>
    <w:rsid w:val="3C910D7C"/>
    <w:rsid w:val="3C9C1A33"/>
    <w:rsid w:val="3CC03FCC"/>
    <w:rsid w:val="3CDB0824"/>
    <w:rsid w:val="3CEBA265"/>
    <w:rsid w:val="3D17730C"/>
    <w:rsid w:val="3D6A7F9F"/>
    <w:rsid w:val="3D7E7F4D"/>
    <w:rsid w:val="3D98207C"/>
    <w:rsid w:val="3D9CF30A"/>
    <w:rsid w:val="3DDA0A65"/>
    <w:rsid w:val="3DFF5A3E"/>
    <w:rsid w:val="3E78745D"/>
    <w:rsid w:val="3E8F1850"/>
    <w:rsid w:val="3EA9370C"/>
    <w:rsid w:val="3EBF1A09"/>
    <w:rsid w:val="3EC3774B"/>
    <w:rsid w:val="3EEE77E9"/>
    <w:rsid w:val="3F394AF5"/>
    <w:rsid w:val="3FBC2F4A"/>
    <w:rsid w:val="3FBE5714"/>
    <w:rsid w:val="3FDD8615"/>
    <w:rsid w:val="3FDFB2FF"/>
    <w:rsid w:val="3FF4CAE0"/>
    <w:rsid w:val="3FF75FAF"/>
    <w:rsid w:val="3FF7B227"/>
    <w:rsid w:val="3FF83425"/>
    <w:rsid w:val="409C2EB6"/>
    <w:rsid w:val="40FE2CBD"/>
    <w:rsid w:val="410D4CAE"/>
    <w:rsid w:val="41232723"/>
    <w:rsid w:val="412A075C"/>
    <w:rsid w:val="42907DEC"/>
    <w:rsid w:val="42DA1581"/>
    <w:rsid w:val="42E07240"/>
    <w:rsid w:val="432E715D"/>
    <w:rsid w:val="43B6787E"/>
    <w:rsid w:val="43C755E8"/>
    <w:rsid w:val="44763304"/>
    <w:rsid w:val="44E268DA"/>
    <w:rsid w:val="44EB79FC"/>
    <w:rsid w:val="454B6A4A"/>
    <w:rsid w:val="457F4F6B"/>
    <w:rsid w:val="4585575A"/>
    <w:rsid w:val="46081EE8"/>
    <w:rsid w:val="462431C5"/>
    <w:rsid w:val="462D194E"/>
    <w:rsid w:val="463D7DE3"/>
    <w:rsid w:val="4667066F"/>
    <w:rsid w:val="46D22C21"/>
    <w:rsid w:val="4737FB58"/>
    <w:rsid w:val="4742291B"/>
    <w:rsid w:val="47881532"/>
    <w:rsid w:val="479E48B1"/>
    <w:rsid w:val="47CB141F"/>
    <w:rsid w:val="47ECCB02"/>
    <w:rsid w:val="47FA6A3F"/>
    <w:rsid w:val="487E491C"/>
    <w:rsid w:val="489878D5"/>
    <w:rsid w:val="48AE6D76"/>
    <w:rsid w:val="49177011"/>
    <w:rsid w:val="49D7AE48"/>
    <w:rsid w:val="4A112982"/>
    <w:rsid w:val="4A161077"/>
    <w:rsid w:val="4A195E7A"/>
    <w:rsid w:val="4A3F6C7E"/>
    <w:rsid w:val="4A627F82"/>
    <w:rsid w:val="4AC40AD3"/>
    <w:rsid w:val="4B061D18"/>
    <w:rsid w:val="4B0E749A"/>
    <w:rsid w:val="4B4F25DA"/>
    <w:rsid w:val="4B591C6B"/>
    <w:rsid w:val="4BBB4781"/>
    <w:rsid w:val="4BC13445"/>
    <w:rsid w:val="4BC93EC7"/>
    <w:rsid w:val="4BD709A5"/>
    <w:rsid w:val="4BDD9BFF"/>
    <w:rsid w:val="4BE068DB"/>
    <w:rsid w:val="4C13385C"/>
    <w:rsid w:val="4CDD5E7C"/>
    <w:rsid w:val="4D573E80"/>
    <w:rsid w:val="4D577224"/>
    <w:rsid w:val="4D84279B"/>
    <w:rsid w:val="4DBF1CEB"/>
    <w:rsid w:val="4DBF6A6B"/>
    <w:rsid w:val="4DF06083"/>
    <w:rsid w:val="4DF6A672"/>
    <w:rsid w:val="4EAB630A"/>
    <w:rsid w:val="4ECE2238"/>
    <w:rsid w:val="4F021A89"/>
    <w:rsid w:val="4F7EA413"/>
    <w:rsid w:val="4F99115C"/>
    <w:rsid w:val="4FAB812F"/>
    <w:rsid w:val="4FE9BD67"/>
    <w:rsid w:val="4FEE4C07"/>
    <w:rsid w:val="4FFB052F"/>
    <w:rsid w:val="50AE11F8"/>
    <w:rsid w:val="51136310"/>
    <w:rsid w:val="5245699D"/>
    <w:rsid w:val="529F5982"/>
    <w:rsid w:val="52A82A88"/>
    <w:rsid w:val="537E6D0A"/>
    <w:rsid w:val="53887A7F"/>
    <w:rsid w:val="539C385A"/>
    <w:rsid w:val="53AB6B88"/>
    <w:rsid w:val="53B05634"/>
    <w:rsid w:val="53F74C96"/>
    <w:rsid w:val="541A5E66"/>
    <w:rsid w:val="5531719E"/>
    <w:rsid w:val="55467A74"/>
    <w:rsid w:val="5583522D"/>
    <w:rsid w:val="55D87B28"/>
    <w:rsid w:val="55E262B1"/>
    <w:rsid w:val="56197654"/>
    <w:rsid w:val="56301712"/>
    <w:rsid w:val="56312D95"/>
    <w:rsid w:val="57BD3DD4"/>
    <w:rsid w:val="57F9CD1E"/>
    <w:rsid w:val="58450D79"/>
    <w:rsid w:val="588836A3"/>
    <w:rsid w:val="589F66DB"/>
    <w:rsid w:val="591A3FB4"/>
    <w:rsid w:val="596B480F"/>
    <w:rsid w:val="59A71F8F"/>
    <w:rsid w:val="5A3635F9"/>
    <w:rsid w:val="5AD9504A"/>
    <w:rsid w:val="5AF92295"/>
    <w:rsid w:val="5AF9D8E9"/>
    <w:rsid w:val="5B2E3D47"/>
    <w:rsid w:val="5B5E0D4A"/>
    <w:rsid w:val="5B733DF5"/>
    <w:rsid w:val="5BA30291"/>
    <w:rsid w:val="5BDD38BD"/>
    <w:rsid w:val="5BDD79E6"/>
    <w:rsid w:val="5BEFC772"/>
    <w:rsid w:val="5BFF5DFC"/>
    <w:rsid w:val="5C327B4C"/>
    <w:rsid w:val="5C655F2A"/>
    <w:rsid w:val="5CAE3391"/>
    <w:rsid w:val="5CBC7642"/>
    <w:rsid w:val="5CD71FC4"/>
    <w:rsid w:val="5D1F11B5"/>
    <w:rsid w:val="5D3647F9"/>
    <w:rsid w:val="5DA644D4"/>
    <w:rsid w:val="5DAE1B18"/>
    <w:rsid w:val="5DDF5E8A"/>
    <w:rsid w:val="5DE7D9E5"/>
    <w:rsid w:val="5E6230CD"/>
    <w:rsid w:val="5E7F4FE5"/>
    <w:rsid w:val="5ECEC941"/>
    <w:rsid w:val="5EDF45D6"/>
    <w:rsid w:val="5EFF8FC6"/>
    <w:rsid w:val="5F0279C4"/>
    <w:rsid w:val="5F2D41D5"/>
    <w:rsid w:val="5F2E2567"/>
    <w:rsid w:val="5F5BA39A"/>
    <w:rsid w:val="5F7D3B79"/>
    <w:rsid w:val="5F7F4610"/>
    <w:rsid w:val="5FA23C0D"/>
    <w:rsid w:val="5FBF9FF3"/>
    <w:rsid w:val="5FCD4E2C"/>
    <w:rsid w:val="5FD6518C"/>
    <w:rsid w:val="5FEF394A"/>
    <w:rsid w:val="5FF67715"/>
    <w:rsid w:val="60031C46"/>
    <w:rsid w:val="600B4546"/>
    <w:rsid w:val="601B0D3D"/>
    <w:rsid w:val="604B0A34"/>
    <w:rsid w:val="61587D6F"/>
    <w:rsid w:val="61CA71D5"/>
    <w:rsid w:val="621517BC"/>
    <w:rsid w:val="625247BE"/>
    <w:rsid w:val="627EE9EA"/>
    <w:rsid w:val="62834465"/>
    <w:rsid w:val="63576530"/>
    <w:rsid w:val="63894210"/>
    <w:rsid w:val="63B23AA5"/>
    <w:rsid w:val="64010ED9"/>
    <w:rsid w:val="64322AF9"/>
    <w:rsid w:val="647F5392"/>
    <w:rsid w:val="64DC3870"/>
    <w:rsid w:val="64DC4BF4"/>
    <w:rsid w:val="64E322C4"/>
    <w:rsid w:val="64FA7F9E"/>
    <w:rsid w:val="65FB93B9"/>
    <w:rsid w:val="662E5105"/>
    <w:rsid w:val="6633C463"/>
    <w:rsid w:val="66886A01"/>
    <w:rsid w:val="66E46287"/>
    <w:rsid w:val="66E856F1"/>
    <w:rsid w:val="66F83B86"/>
    <w:rsid w:val="67254250"/>
    <w:rsid w:val="677347DE"/>
    <w:rsid w:val="677456CA"/>
    <w:rsid w:val="67B101D9"/>
    <w:rsid w:val="67D55B77"/>
    <w:rsid w:val="67EE7F84"/>
    <w:rsid w:val="6809591F"/>
    <w:rsid w:val="686F5F53"/>
    <w:rsid w:val="68D50F0A"/>
    <w:rsid w:val="6A711BCD"/>
    <w:rsid w:val="6ADB5DB0"/>
    <w:rsid w:val="6AFFCEAF"/>
    <w:rsid w:val="6B4F5D3F"/>
    <w:rsid w:val="6B96E9E6"/>
    <w:rsid w:val="6BCE57B5"/>
    <w:rsid w:val="6BF568E6"/>
    <w:rsid w:val="6BFEA4DB"/>
    <w:rsid w:val="6BFFB662"/>
    <w:rsid w:val="6C4A05C8"/>
    <w:rsid w:val="6CFF4FB8"/>
    <w:rsid w:val="6D6BD6E0"/>
    <w:rsid w:val="6D77E73C"/>
    <w:rsid w:val="6DBF5E93"/>
    <w:rsid w:val="6DE24C48"/>
    <w:rsid w:val="6DFF077E"/>
    <w:rsid w:val="6E531FEA"/>
    <w:rsid w:val="6E5F7FBC"/>
    <w:rsid w:val="6E7116EB"/>
    <w:rsid w:val="6E7E3605"/>
    <w:rsid w:val="6E7FDCC7"/>
    <w:rsid w:val="6ED6A62E"/>
    <w:rsid w:val="6EE00B15"/>
    <w:rsid w:val="6EE737B2"/>
    <w:rsid w:val="6EEB2329"/>
    <w:rsid w:val="6EECE67A"/>
    <w:rsid w:val="6F267133"/>
    <w:rsid w:val="6F3A0AB4"/>
    <w:rsid w:val="6F6F90A8"/>
    <w:rsid w:val="6F6FB3EB"/>
    <w:rsid w:val="6F7F4719"/>
    <w:rsid w:val="6F8731EA"/>
    <w:rsid w:val="6FBC2ADD"/>
    <w:rsid w:val="6FD57C00"/>
    <w:rsid w:val="6FEFFFD8"/>
    <w:rsid w:val="6FF5CC65"/>
    <w:rsid w:val="6FFB47EC"/>
    <w:rsid w:val="6FFF034A"/>
    <w:rsid w:val="70BB79D3"/>
    <w:rsid w:val="70CB2BBE"/>
    <w:rsid w:val="70F57389"/>
    <w:rsid w:val="70FA74AF"/>
    <w:rsid w:val="712A28F1"/>
    <w:rsid w:val="715C0E4B"/>
    <w:rsid w:val="71E20FCC"/>
    <w:rsid w:val="71F15DA2"/>
    <w:rsid w:val="71FFD401"/>
    <w:rsid w:val="72042F0F"/>
    <w:rsid w:val="72233669"/>
    <w:rsid w:val="72435ED2"/>
    <w:rsid w:val="7251239D"/>
    <w:rsid w:val="72734D90"/>
    <w:rsid w:val="7332FE48"/>
    <w:rsid w:val="73AD73D5"/>
    <w:rsid w:val="73B452D9"/>
    <w:rsid w:val="73B6EB34"/>
    <w:rsid w:val="73BB6F57"/>
    <w:rsid w:val="73CE5B38"/>
    <w:rsid w:val="73FA497D"/>
    <w:rsid w:val="744731E5"/>
    <w:rsid w:val="74621EBF"/>
    <w:rsid w:val="74BBD01D"/>
    <w:rsid w:val="74ED5379"/>
    <w:rsid w:val="75071439"/>
    <w:rsid w:val="750E0A19"/>
    <w:rsid w:val="754206C3"/>
    <w:rsid w:val="759F78C3"/>
    <w:rsid w:val="75BE5F9B"/>
    <w:rsid w:val="75DEEEC2"/>
    <w:rsid w:val="76361FD5"/>
    <w:rsid w:val="767F479D"/>
    <w:rsid w:val="769B2359"/>
    <w:rsid w:val="76B348A4"/>
    <w:rsid w:val="76DF266D"/>
    <w:rsid w:val="76E3355F"/>
    <w:rsid w:val="76F742AF"/>
    <w:rsid w:val="76F7BE7D"/>
    <w:rsid w:val="76FF5125"/>
    <w:rsid w:val="77004391"/>
    <w:rsid w:val="773570D3"/>
    <w:rsid w:val="77597F31"/>
    <w:rsid w:val="776F5BB0"/>
    <w:rsid w:val="776F6FFA"/>
    <w:rsid w:val="7777A522"/>
    <w:rsid w:val="77858688"/>
    <w:rsid w:val="778769C8"/>
    <w:rsid w:val="77CB741A"/>
    <w:rsid w:val="77D7BE3A"/>
    <w:rsid w:val="77DC22F5"/>
    <w:rsid w:val="77F81524"/>
    <w:rsid w:val="780C2FB1"/>
    <w:rsid w:val="78B673FD"/>
    <w:rsid w:val="797E3A6C"/>
    <w:rsid w:val="79CA5DB8"/>
    <w:rsid w:val="79CF70E2"/>
    <w:rsid w:val="79D7FD79"/>
    <w:rsid w:val="79E75806"/>
    <w:rsid w:val="79EE5BA4"/>
    <w:rsid w:val="7A3D64BC"/>
    <w:rsid w:val="7A641148"/>
    <w:rsid w:val="7A6F8BF5"/>
    <w:rsid w:val="7A7F4301"/>
    <w:rsid w:val="7A894339"/>
    <w:rsid w:val="7AAB7479"/>
    <w:rsid w:val="7ACF82B5"/>
    <w:rsid w:val="7AFF28C9"/>
    <w:rsid w:val="7AFF72A0"/>
    <w:rsid w:val="7AFF7572"/>
    <w:rsid w:val="7B3867F0"/>
    <w:rsid w:val="7B4A207F"/>
    <w:rsid w:val="7B6C7DFB"/>
    <w:rsid w:val="7B7D76A7"/>
    <w:rsid w:val="7BAE2FE2"/>
    <w:rsid w:val="7BAF6951"/>
    <w:rsid w:val="7BBFBED0"/>
    <w:rsid w:val="7BC3E394"/>
    <w:rsid w:val="7BD858DD"/>
    <w:rsid w:val="7BF3FE4C"/>
    <w:rsid w:val="7BFB5035"/>
    <w:rsid w:val="7BFDE17E"/>
    <w:rsid w:val="7C0E57A2"/>
    <w:rsid w:val="7C1E3C37"/>
    <w:rsid w:val="7C39785E"/>
    <w:rsid w:val="7C5A74C6"/>
    <w:rsid w:val="7C656F85"/>
    <w:rsid w:val="7C7750F6"/>
    <w:rsid w:val="7CBFC87B"/>
    <w:rsid w:val="7CD05E42"/>
    <w:rsid w:val="7CE81B50"/>
    <w:rsid w:val="7CFE0F48"/>
    <w:rsid w:val="7D3DE31C"/>
    <w:rsid w:val="7D407BDD"/>
    <w:rsid w:val="7D423956"/>
    <w:rsid w:val="7D4C20DE"/>
    <w:rsid w:val="7D6531A0"/>
    <w:rsid w:val="7D7EC23E"/>
    <w:rsid w:val="7D7F8A13"/>
    <w:rsid w:val="7DBBCB01"/>
    <w:rsid w:val="7DC765D0"/>
    <w:rsid w:val="7DDB0EE0"/>
    <w:rsid w:val="7DFF51D8"/>
    <w:rsid w:val="7E5020A2"/>
    <w:rsid w:val="7E634199"/>
    <w:rsid w:val="7E8ADEBF"/>
    <w:rsid w:val="7EAB02A1"/>
    <w:rsid w:val="7EEA1BAF"/>
    <w:rsid w:val="7EEF11D3"/>
    <w:rsid w:val="7EF78C20"/>
    <w:rsid w:val="7F200A7F"/>
    <w:rsid w:val="7F392227"/>
    <w:rsid w:val="7F3F679B"/>
    <w:rsid w:val="7F4FC4EF"/>
    <w:rsid w:val="7F5E4D54"/>
    <w:rsid w:val="7F6B75FA"/>
    <w:rsid w:val="7F78097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2F01"/>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99"/>
    <w:pPr>
      <w:spacing w:beforeAutospacing="1" w:afterAutospacing="1"/>
      <w:jc w:val="left"/>
    </w:pPr>
    <w:rPr>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2"/>
    <w:qFormat/>
    <w:uiPriority w:val="9"/>
    <w:rPr>
      <w:rFonts w:ascii="Times New Roman" w:hAnsi="Times New Roman"/>
      <w:b/>
      <w:bCs/>
      <w:kern w:val="44"/>
      <w:sz w:val="44"/>
      <w:szCs w:val="44"/>
    </w:rPr>
  </w:style>
  <w:style w:type="character" w:customStyle="1" w:styleId="30">
    <w:name w:val="标题 2 字符"/>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9"/>
    <w:semiHidden/>
    <w:qFormat/>
    <w:uiPriority w:val="99"/>
    <w:rPr>
      <w:rFonts w:ascii="Times New Roman" w:hAnsi="Times New Roman"/>
      <w:kern w:val="2"/>
      <w:sz w:val="18"/>
      <w:szCs w:val="18"/>
    </w:rPr>
  </w:style>
  <w:style w:type="character" w:customStyle="1" w:styleId="33">
    <w:name w:val="标题 3 字符"/>
    <w:basedOn w:val="17"/>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WPSOffice手动目录 1"/>
    <w:qFormat/>
    <w:uiPriority w:val="0"/>
    <w:pPr>
      <w:ind w:leftChars="0"/>
    </w:pPr>
    <w:rPr>
      <w:rFonts w:asciiTheme="minorHAnsi" w:hAnsiTheme="minorHAnsi" w:eastAsiaTheme="minorEastAsia" w:cstheme="minorBidi"/>
      <w:sz w:val="20"/>
      <w:szCs w:val="20"/>
    </w:rPr>
  </w:style>
  <w:style w:type="paragraph" w:customStyle="1" w:styleId="37">
    <w:name w:val="WPSOffice手动目录 2"/>
    <w:qFormat/>
    <w:uiPriority w:val="0"/>
    <w:pPr>
      <w:ind w:leftChars="200"/>
    </w:pPr>
    <w:rPr>
      <w:rFonts w:asciiTheme="minorHAnsi" w:hAnsiTheme="minorHAnsi" w:eastAsiaTheme="minorEastAsia" w:cstheme="minorBidi"/>
      <w:sz w:val="20"/>
      <w:szCs w:val="20"/>
    </w:rPr>
  </w:style>
  <w:style w:type="paragraph" w:customStyle="1" w:styleId="38">
    <w:name w:val="WPSOffice手动目录 3"/>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86181\Desktop\2024&#20915;&#31639;&#20844;&#24320;\&#20915;&#31639;&#20844;&#24320;&#22270;&#29255;.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86181\Desktop\2024&#20915;&#31639;&#20844;&#24320;\&#20915;&#31639;&#20844;&#24320;&#22270;&#29255;.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86181\Desktop\2024&#20915;&#31639;&#20844;&#24320;\&#20915;&#31639;&#20844;&#24320;&#22270;&#29255;.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86181\Desktop\2024&#20915;&#31639;&#20844;&#24320;\&#20915;&#31639;&#20844;&#24320;&#22270;&#29255;.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86181\Desktop\2024&#20915;&#31639;&#20844;&#24320;\&#20915;&#31639;&#20844;&#24320;&#22270;&#29255;.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86181\Desktop\2024&#20915;&#31639;&#20844;&#24320;\&#20915;&#31639;&#20844;&#24320;&#22270;&#29255;.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86181\Desktop\2024&#20915;&#31639;&#20844;&#24320;\&#20915;&#31639;&#20844;&#24320;&#22270;&#2925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35000"/>
                          <a:lumOff val="65000"/>
                        </a:schemeClr>
                      </a:solidFill>
                    </a:ln>
                    <a:effectLst/>
                  </c:spPr>
                </c15:leaderLines>
              </c:ext>
            </c:extLst>
          </c:dLbls>
          <c:cat>
            <c:strRef>
              <c:f>('[决算公开图片.xls]一、 收入支出决算总体情况说明'!$A$2,'[决算公开图片.xls]一、 收入支出决算总体情况说明'!$A$3)</c:f>
              <c:strCache>
                <c:ptCount val="2"/>
                <c:pt idx="0">
                  <c:v>2024年</c:v>
                </c:pt>
                <c:pt idx="1">
                  <c:v>2023年</c:v>
                </c:pt>
              </c:strCache>
            </c:strRef>
          </c:cat>
          <c:val>
            <c:numRef>
              <c:f>('[决算公开图片.xls]一、 收入支出决算总体情况说明'!$B$2,'[决算公开图片.xls]一、 收入支出决算总体情况说明'!$B$3)</c:f>
              <c:numCache>
                <c:formatCode>General</c:formatCode>
                <c:ptCount val="2"/>
                <c:pt idx="0">
                  <c:v>987.81</c:v>
                </c:pt>
                <c:pt idx="1">
                  <c:v>955.97</c:v>
                </c:pt>
              </c:numCache>
            </c:numRef>
          </c:val>
        </c:ser>
        <c:dLbls>
          <c:showLegendKey val="0"/>
          <c:showVal val="0"/>
          <c:showCatName val="0"/>
          <c:showSerName val="0"/>
          <c:showPercent val="0"/>
          <c:showBubbleSize val="0"/>
        </c:dLbls>
        <c:gapWidth val="500"/>
        <c:overlap val="-50"/>
        <c:axId val="490724582"/>
        <c:axId val="245384192"/>
      </c:barChart>
      <c:catAx>
        <c:axId val="49072458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245384192"/>
        <c:crosses val="autoZero"/>
        <c:auto val="1"/>
        <c:lblAlgn val="ctr"/>
        <c:lblOffset val="100"/>
        <c:noMultiLvlLbl val="0"/>
      </c:catAx>
      <c:valAx>
        <c:axId val="24538419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90724582"/>
        <c:crosses val="autoZero"/>
        <c:crossBetween val="between"/>
      </c:valAx>
      <c:spPr>
        <a:noFill/>
        <a:ln>
          <a:noFill/>
        </a:ln>
        <a:effectLst/>
      </c:spPr>
    </c:plotArea>
    <c:plotVisOnly val="1"/>
    <c:dispBlanksAs val="gap"/>
    <c:showDLblsOverMax val="0"/>
    <c:extLst>
      <c:ext uri="{0b15fc19-7d7d-44ad-8c2d-2c3a37ce22c3}">
        <chartProps xmlns="https://web.wps.cn/et/2018/main" chartId="{0e3f8a02-72f4-494b-a5cb-ce6e024286cb}"/>
      </c:ext>
    </c:extLst>
  </c:chart>
  <c:spPr>
    <a:solidFill>
      <a:schemeClr val="lt1">
        <a:lumMod val="96000"/>
      </a:schemeClr>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81052631578947"/>
          <c:y val="0.20625462962963"/>
          <c:w val="0.829052631578947"/>
          <c:h val="0.706240740740741"/>
        </c:manualLayout>
      </c:layout>
      <c:pie3DChart>
        <c:varyColors val="1"/>
        <c:ser>
          <c:idx val="0"/>
          <c:order val="0"/>
          <c:spPr>
            <a:scene3d>
              <a:camera prst="orthographicFront"/>
              <a:lightRig rig="threePt" dir="t"/>
            </a:scene3d>
            <a:sp3d contourW="9525"/>
          </c:spPr>
          <c:explosion val="0"/>
          <c:dPt>
            <c:idx val="0"/>
            <c:bubble3D val="0"/>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dPt>
          <c:dPt>
            <c:idx val="1"/>
            <c:bubble3D val="0"/>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dPt>
          <c:dLbls>
            <c:dLbl>
              <c:idx val="0"/>
              <c:layout>
                <c:manualLayout>
                  <c:x val="-0.0460526315789474"/>
                  <c:y val="-0.28472222222222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t>一般公共预算财政拨款收入, 826.28万元, 84.</a:t>
                    </a:r>
                    <a:r>
                      <a:rPr lang="en-US" altLang="zh-CN"/>
                      <a:t>7</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67105263157895"/>
                  <c:y val="0.10462962962962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t>其他收入, 149.39万元, 15.3%</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'[决算公开图片.xls]二、 收入决算情况说明'!$A$1:$B$1</c:f>
              <c:strCache>
                <c:ptCount val="2"/>
                <c:pt idx="0">
                  <c:v>一般公共预算财政拨款收入</c:v>
                </c:pt>
                <c:pt idx="1">
                  <c:v>其他收入</c:v>
                </c:pt>
              </c:strCache>
            </c:strRef>
          </c:cat>
          <c:val>
            <c:numRef>
              <c:f>'[决算公开图片.xls]二、 收入决算情况说明'!$A$2:$B$2</c:f>
              <c:numCache>
                <c:formatCode>General</c:formatCode>
                <c:ptCount val="2"/>
                <c:pt idx="0">
                  <c:v>826.28</c:v>
                </c:pt>
                <c:pt idx="1">
                  <c:v>149.39</c:v>
                </c:pt>
              </c:numCache>
            </c:numRef>
          </c:val>
        </c:ser>
        <c:dLbls>
          <c:showLegendKey val="0"/>
          <c:showVal val="1"/>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b09c2c7-7f2f-4b0b-98d1-64cbdb5cf316}"/>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dPt>
          <c:dPt>
            <c:idx val="1"/>
            <c:bubble3D val="0"/>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dPt>
          <c:dLbls>
            <c:dLbl>
              <c:idx val="0"/>
              <c:layout>
                <c:manualLayout>
                  <c:x val="-0.00103119360659964"/>
                  <c:y val="-0.60842508377214"/>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t>基本支出, 669.34万元, 69.7%</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0179315546109826"/>
                  <c:y val="-0.04642209196847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t>项目支出, 291.35万元, 30.3%</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'[决算公开图片.xls]三、 支出决算情况说明'!$A$3:$B$3</c:f>
              <c:strCache>
                <c:ptCount val="2"/>
                <c:pt idx="0">
                  <c:v>基本支出</c:v>
                </c:pt>
                <c:pt idx="1">
                  <c:v>项目支出</c:v>
                </c:pt>
              </c:strCache>
            </c:strRef>
          </c:cat>
          <c:val>
            <c:numRef>
              <c:f>'[决算公开图片.xls]三、 支出决算情况说明'!$A$4:$B$4</c:f>
              <c:numCache>
                <c:formatCode>#,##0.00</c:formatCode>
                <c:ptCount val="2"/>
                <c:pt idx="0">
                  <c:v>669.34</c:v>
                </c:pt>
                <c:pt idx="1">
                  <c:v>291.35</c:v>
                </c:pt>
              </c:numCache>
            </c:numRef>
          </c:val>
        </c:ser>
        <c:dLbls>
          <c:showLegendKey val="0"/>
          <c:showVal val="1"/>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a0e491a-c27b-4623-a202-37901f376f6a}"/>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28625541125541"/>
          <c:y val="0.0508515231470377"/>
          <c:w val="0.897375541125541"/>
          <c:h val="0.831230510913888"/>
        </c:manualLayout>
      </c:layout>
      <c:barChart>
        <c:barDir val="col"/>
        <c:grouping val="clustered"/>
        <c:varyColors val="0"/>
        <c:ser>
          <c:idx val="0"/>
          <c:order val="0"/>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[决算公开图片.xls]财政拨款收、支决算总计变动情况1!$A$2:$A$3</c:f>
              <c:strCache>
                <c:ptCount val="2"/>
                <c:pt idx="0">
                  <c:v>2024年</c:v>
                </c:pt>
                <c:pt idx="1">
                  <c:v>2023年</c:v>
                </c:pt>
              </c:strCache>
            </c:strRef>
          </c:cat>
          <c:val>
            <c:numRef>
              <c:f>[决算公开图片.xls]财政拨款收、支决算总计变动情况1!$B$2:$B$3</c:f>
              <c:numCache>
                <c:formatCode>General</c:formatCode>
                <c:ptCount val="2"/>
                <c:pt idx="0">
                  <c:v>826.28</c:v>
                </c:pt>
                <c:pt idx="1">
                  <c:v>792.36</c:v>
                </c:pt>
              </c:numCache>
            </c:numRef>
          </c:val>
        </c:ser>
        <c:dLbls>
          <c:showLegendKey val="0"/>
          <c:showVal val="1"/>
          <c:showCatName val="0"/>
          <c:showSerName val="0"/>
          <c:showPercent val="0"/>
          <c:showBubbleSize val="0"/>
        </c:dLbls>
        <c:gapWidth val="500"/>
        <c:overlap val="-50"/>
        <c:axId val="490724582"/>
        <c:axId val="245384192"/>
      </c:barChart>
      <c:catAx>
        <c:axId val="49072458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245384192"/>
        <c:crosses val="autoZero"/>
        <c:auto val="1"/>
        <c:lblAlgn val="ctr"/>
        <c:lblOffset val="100"/>
        <c:noMultiLvlLbl val="0"/>
      </c:catAx>
      <c:valAx>
        <c:axId val="24538419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90724582"/>
        <c:crosses val="autoZero"/>
        <c:crossBetween val="between"/>
      </c:valAx>
      <c:spPr>
        <a:noFill/>
        <a:ln>
          <a:noFill/>
        </a:ln>
        <a:effectLst/>
      </c:spPr>
    </c:plotArea>
    <c:plotVisOnly val="1"/>
    <c:dispBlanksAs val="gap"/>
    <c:showDLblsOverMax val="0"/>
    <c:extLst>
      <c:ext uri="{0b15fc19-7d7d-44ad-8c2d-2c3a37ce22c3}">
        <chartProps xmlns="https://web.wps.cn/et/2018/main" chartId="{f9920572-43ef-4048-b5b6-041a21c38e4a}"/>
      </c:ext>
    </c:extLst>
  </c:chart>
  <c:spPr>
    <a:solidFill>
      <a:schemeClr val="lt1">
        <a:lumMod val="96000"/>
      </a:schemeClr>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[决算公开图片.xls]财政拨款收、支决算总计变动情况1!$A$2:$A$3</c:f>
              <c:strCache>
                <c:ptCount val="2"/>
                <c:pt idx="0">
                  <c:v>2024年</c:v>
                </c:pt>
                <c:pt idx="1">
                  <c:v>2023年</c:v>
                </c:pt>
              </c:strCache>
            </c:strRef>
          </c:cat>
          <c:val>
            <c:numRef>
              <c:f>[决算公开图片.xls]财政拨款收、支决算总计变动情况1!$B$2:$B$3</c:f>
              <c:numCache>
                <c:formatCode>General</c:formatCode>
                <c:ptCount val="2"/>
                <c:pt idx="0">
                  <c:v>826.28</c:v>
                </c:pt>
                <c:pt idx="1">
                  <c:v>792.36</c:v>
                </c:pt>
              </c:numCache>
            </c:numRef>
          </c:val>
        </c:ser>
        <c:dLbls>
          <c:showLegendKey val="0"/>
          <c:showVal val="1"/>
          <c:showCatName val="0"/>
          <c:showSerName val="0"/>
          <c:showPercent val="0"/>
          <c:showBubbleSize val="0"/>
        </c:dLbls>
        <c:gapWidth val="500"/>
        <c:overlap val="-50"/>
        <c:axId val="490724582"/>
        <c:axId val="245384192"/>
      </c:barChart>
      <c:catAx>
        <c:axId val="49072458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245384192"/>
        <c:crosses val="autoZero"/>
        <c:auto val="1"/>
        <c:lblAlgn val="ctr"/>
        <c:lblOffset val="100"/>
        <c:noMultiLvlLbl val="0"/>
      </c:catAx>
      <c:valAx>
        <c:axId val="24538419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90724582"/>
        <c:crosses val="autoZero"/>
        <c:crossBetween val="between"/>
      </c:valAx>
      <c:spPr>
        <a:noFill/>
        <a:ln>
          <a:noFill/>
        </a:ln>
        <a:effectLst/>
      </c:spPr>
    </c:plotArea>
    <c:plotVisOnly val="1"/>
    <c:dispBlanksAs val="gap"/>
    <c:showDLblsOverMax val="0"/>
    <c:extLst>
      <c:ext uri="{0b15fc19-7d7d-44ad-8c2d-2c3a37ce22c3}">
        <chartProps xmlns="https://web.wps.cn/et/2018/main" chartId="{f9920572-43ef-4048-b5b6-041a21c38e4a}"/>
      </c:ext>
    </c:extLst>
  </c:chart>
  <c:spPr>
    <a:solidFill>
      <a:schemeClr val="lt1">
        <a:lumMod val="96000"/>
      </a:schemeClr>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23"/>
      <c:depthPercent val="100"/>
      <c:rAngAx val="0"/>
      <c:perspective val="2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68888888888889"/>
          <c:y val="0.0964814814814815"/>
          <c:w val="0.826222222222222"/>
          <c:h val="0.79037037037037"/>
        </c:manualLayout>
      </c:layout>
      <c:pie3DChart>
        <c:varyColors val="1"/>
        <c:ser>
          <c:idx val="0"/>
          <c:order val="0"/>
          <c:spPr>
            <a:scene3d>
              <a:camera prst="orthographicFront"/>
              <a:lightRig rig="threePt" dir="t"/>
            </a:scene3d>
            <a:sp3d contourW="9525"/>
          </c:spPr>
          <c:explosion val="33"/>
          <c:dPt>
            <c:idx val="0"/>
            <c:bubble3D val="0"/>
            <c:explosion val="33"/>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rgbClr val="000000">
                    <a:lumMod val="50000"/>
                    <a:alpha val="30000"/>
                  </a:srgbClr>
                </a:outerShdw>
              </a:effectLst>
            </c:spPr>
          </c:dPt>
          <c:dPt>
            <c:idx val="1"/>
            <c:bubble3D val="0"/>
            <c:explosion val="33"/>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rgbClr val="000000">
                    <a:lumMod val="50000"/>
                    <a:alpha val="30000"/>
                  </a:srgbClr>
                </a:outerShdw>
              </a:effectLst>
            </c:spPr>
          </c:dPt>
          <c:dPt>
            <c:idx val="2"/>
            <c:bubble3D val="0"/>
            <c:explosion val="33"/>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rgbClr val="000000">
                    <a:lumMod val="50000"/>
                    <a:alpha val="30000"/>
                  </a:srgbClr>
                </a:outerShdw>
              </a:effectLst>
            </c:spPr>
          </c:dPt>
          <c:dPt>
            <c:idx val="3"/>
            <c:bubble3D val="0"/>
            <c:explosion val="33"/>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rgbClr val="000000">
                    <a:lumMod val="50000"/>
                    <a:alpha val="30000"/>
                  </a:srgbClr>
                </a:outerShdw>
              </a:effectLst>
            </c:spPr>
          </c:dPt>
          <c:dLbls>
            <c:dLbl>
              <c:idx val="0"/>
              <c:layout>
                <c:manualLayout>
                  <c:x val="-0.0597826086956522"/>
                  <c:y val="0.16831506963217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公共安全支出（类） 81.</a:t>
                    </a:r>
                    <a:r>
                      <a:rPr lang="en-US" altLang="zh-CN"/>
                      <a:t>7</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151557971014493"/>
                  <c:y val="-0.10733442802408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社会保障和就业支出（类） 8.6%</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78804347826087"/>
                  <c:y val="0.0276546250684181"/>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卫生健康支出（类） 4.1%</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0803047499616384"/>
                  <c:y val="-0.03468801313628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住房保障支出（类） 5</a:t>
                    </a:r>
                    <a:r>
                      <a:rPr lang="en-US" altLang="zh-CN"/>
                      <a:t>.6</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'[决算公开图片.xls]（二）一般公共预算财政拨款支出决算结构情况'!$A$2:$A$5</c:f>
              <c:strCache>
                <c:ptCount val="4"/>
                <c:pt idx="0">
                  <c:v>公共安全支出（类）</c:v>
                </c:pt>
                <c:pt idx="1">
                  <c:v>社会保障和就业支出（类）</c:v>
                </c:pt>
                <c:pt idx="2">
                  <c:v>卫生健康支出（类）</c:v>
                </c:pt>
                <c:pt idx="3">
                  <c:v>住房保障支出（类）</c:v>
                </c:pt>
              </c:strCache>
            </c:strRef>
          </c:cat>
          <c:val>
            <c:numRef>
              <c:f>'[决算公开图片.xls]（二）一般公共预算财政拨款支出决算结构情况'!$B$2:$B$5</c:f>
              <c:numCache>
                <c:formatCode>General</c:formatCode>
                <c:ptCount val="4"/>
                <c:pt idx="0">
                  <c:v>674.9</c:v>
                </c:pt>
                <c:pt idx="1">
                  <c:v>71.05</c:v>
                </c:pt>
                <c:pt idx="2">
                  <c:v>34.34</c:v>
                </c:pt>
                <c:pt idx="3">
                  <c:v>45.99</c:v>
                </c:pt>
              </c:numCache>
            </c:numRef>
          </c:val>
        </c:ser>
        <c:dLbls>
          <c:showLegendKey val="0"/>
          <c:showVal val="0"/>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38e28a8-aa16-4df5-b098-578b4b8a4b46}"/>
      </c:ext>
    </c:extLst>
  </c:chart>
  <c:spPr>
    <a:solidFill>
      <a:schemeClr val="bg1"/>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90"/>
      <c:depthPercent val="100"/>
      <c:rAngAx val="0"/>
      <c:perspective val="3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45825240120929"/>
          <c:y val="0.102468620862782"/>
          <c:w val="0.826222222222222"/>
          <c:h val="0.79037037037037"/>
        </c:manualLayout>
      </c:layout>
      <c:pie3DChart>
        <c:varyColors val="1"/>
        <c:ser>
          <c:idx val="0"/>
          <c:order val="0"/>
          <c:spPr>
            <a:scene3d>
              <a:camera prst="orthographicFront"/>
              <a:lightRig rig="threePt" dir="t"/>
            </a:scene3d>
            <a:sp3d contourW="9525"/>
          </c:spPr>
          <c:explosion val="0"/>
          <c:dPt>
            <c:idx val="0"/>
            <c:bubble3D val="0"/>
            <c:explosion val="0"/>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dPt>
          <c:dPt>
            <c:idx val="1"/>
            <c:bubble3D val="0"/>
            <c:explosion val="0"/>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dPt>
          <c:dLbls>
            <c:dLbl>
              <c:idx val="0"/>
              <c:layout>
                <c:manualLayout>
                  <c:x val="-0.0654384829519114"/>
                  <c:y val="-0.40572849809614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t>公务用车购置及运行维护费支出82.</a:t>
                    </a:r>
                    <a:r>
                      <a:rPr lang="en-US" altLang="zh-CN"/>
                      <a:t>8</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2596992008533"/>
                  <c:y val="-0.0012154268657996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t>公务接待费支出17.2%</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in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[决算公开图片.xls]Sheet1!$A$2:$A$3</c:f>
              <c:strCache>
                <c:ptCount val="2"/>
                <c:pt idx="0">
                  <c:v>公务用车购置及运行维护费支出</c:v>
                </c:pt>
                <c:pt idx="1">
                  <c:v>公务接待费支出</c:v>
                </c:pt>
              </c:strCache>
            </c:strRef>
          </c:cat>
          <c:val>
            <c:numRef>
              <c:f>[决算公开图片.xls]Sheet1!$B$2:$B$3</c:f>
              <c:numCache>
                <c:formatCode>General</c:formatCode>
                <c:ptCount val="2"/>
                <c:pt idx="0">
                  <c:v>5.43</c:v>
                </c:pt>
                <c:pt idx="1">
                  <c:v>1.13</c:v>
                </c:pt>
              </c:numCache>
            </c:numRef>
          </c:val>
        </c:ser>
        <c:dLbls>
          <c:showLegendKey val="0"/>
          <c:showVal val="0"/>
          <c:showCatName val="0"/>
          <c:showSerName val="0"/>
          <c:showPercent val="1"/>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0b2287e-1609-4b82-be47-91df23a6fdaa}"/>
      </c:ext>
    </c:extLst>
  </c:chart>
  <c:spPr>
    <a:solidFill>
      <a:schemeClr val="lt1">
        <a:lumMod val="96000"/>
      </a:schemeClr>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5.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6.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7.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07">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97">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97">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7">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7">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9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styleClr val="auto"/>
    </cs:effectRef>
    <cs:fontRef idx="minor">
      <a:schemeClr val="tx1"/>
    </cs:fontRef>
    <cs:spPr>
      <a:ln w="19050">
        <a:solidFill>
          <a:schemeClr val="lt1"/>
        </a:solidFill>
      </a:ln>
    </cs:spPr>
  </cs:dataPoint>
  <cs:dataPoint3D>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97">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3381</Words>
  <Characters>3788</Characters>
  <Lines>72</Lines>
  <Paragraphs>20</Paragraphs>
  <TotalTime>2</TotalTime>
  <ScaleCrop>false</ScaleCrop>
  <LinksUpToDate>false</LinksUpToDate>
  <CharactersWithSpaces>3824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小马</cp:lastModifiedBy>
  <cp:lastPrinted>2023-08-03T10:35:00Z</cp:lastPrinted>
  <dcterms:modified xsi:type="dcterms:W3CDTF">2025-09-16T08:20:45Z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9B938BC24391464BB34F52D957C0C0BB_12</vt:lpwstr>
  </property>
  <property fmtid="{D5CDD505-2E9C-101B-9397-08002B2CF9AE}" pid="4" name="KSOTemplateDocerSaveRecord">
    <vt:lpwstr>eyJoZGlkIjoiZjAxMDI1ZTg5Nzc2NjUyZWE4ODhmMmVmOWMyOTk0YzciLCJ1c2VySWQiOiI1MTgyMjczNDQifQ==</vt:lpwstr>
  </property>
</Properties>
</file>