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F0107">
      <w:pPr>
        <w:spacing w:line="600" w:lineRule="exact"/>
        <w:jc w:val="center"/>
        <w:outlineLvl w:val="0"/>
        <w:rPr>
          <w:rFonts w:ascii="方正小标宋简体" w:hAnsi="宋体" w:eastAsia="方正小标宋简体"/>
          <w:sz w:val="72"/>
          <w:szCs w:val="72"/>
        </w:rPr>
      </w:pPr>
      <w:bookmarkStart w:id="0" w:name="_Toc15378441"/>
      <w:bookmarkStart w:id="1" w:name="_Toc15396597"/>
      <w:bookmarkStart w:id="2" w:name="_Toc15377193"/>
      <w:bookmarkStart w:id="3" w:name="_Toc15396475"/>
      <w:bookmarkStart w:id="4" w:name="_Toc15377425"/>
      <w:bookmarkStart w:id="5" w:name="_Toc15306267"/>
    </w:p>
    <w:p w14:paraId="2E5F3B91">
      <w:pPr>
        <w:pStyle w:val="6"/>
        <w:spacing w:before="93"/>
      </w:pPr>
    </w:p>
    <w:p w14:paraId="2FECCCAE">
      <w:pPr>
        <w:spacing w:line="600" w:lineRule="exact"/>
        <w:jc w:val="center"/>
        <w:outlineLvl w:val="0"/>
        <w:rPr>
          <w:rFonts w:ascii="方正小标宋简体" w:hAnsi="宋体" w:eastAsia="方正小标宋简体"/>
          <w:sz w:val="72"/>
          <w:szCs w:val="72"/>
        </w:rPr>
      </w:pPr>
    </w:p>
    <w:p w14:paraId="31086DD5">
      <w:pPr>
        <w:spacing w:line="600" w:lineRule="exact"/>
        <w:jc w:val="center"/>
        <w:outlineLvl w:val="0"/>
        <w:rPr>
          <w:rFonts w:ascii="方正小标宋简体" w:hAnsi="宋体" w:eastAsia="方正小标宋简体"/>
          <w:sz w:val="72"/>
          <w:szCs w:val="72"/>
        </w:rPr>
      </w:pPr>
    </w:p>
    <w:p w14:paraId="13B92750">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p>
    <w:p w14:paraId="0D6DC178">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val="en-US" w:eastAsia="zh-CN"/>
        </w:rPr>
      </w:pPr>
      <w:bookmarkStart w:id="6" w:name="_Toc15377426"/>
      <w:bookmarkStart w:id="7" w:name="_Toc15396598"/>
      <w:bookmarkStart w:id="8" w:name="_Toc15396476"/>
      <w:bookmarkStart w:id="9" w:name="_Toc15378442"/>
      <w:bookmarkStart w:id="10" w:name="_Toc15377194"/>
      <w:r>
        <w:rPr>
          <w:rFonts w:hint="eastAsia" w:ascii="方正小标宋简体" w:hAnsi="方正小标宋简体" w:eastAsia="方正小标宋简体" w:cs="方正小标宋简体"/>
          <w:sz w:val="72"/>
          <w:szCs w:val="72"/>
          <w:lang w:val="en-US" w:eastAsia="zh-CN"/>
        </w:rPr>
        <w:t>阿坝州汶川县人民检察院</w:t>
      </w:r>
      <w:bookmarkEnd w:id="5"/>
      <w:bookmarkStart w:id="11" w:name="_Toc15306268"/>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r>
        <w:rPr>
          <w:rFonts w:hint="eastAsia" w:ascii="方正小标宋简体" w:hAnsi="方正小标宋简体" w:eastAsia="方正小标宋简体" w:cs="方正小标宋简体"/>
          <w:sz w:val="72"/>
          <w:szCs w:val="72"/>
          <w:lang w:val="en-US" w:eastAsia="zh-CN"/>
        </w:rPr>
        <w:t>公开</w:t>
      </w:r>
    </w:p>
    <w:p w14:paraId="57CF06DB">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1A719ABC">
      <w:pPr>
        <w:widowControl/>
        <w:jc w:val="center"/>
        <w:rPr>
          <w:rFonts w:ascii="黑体" w:hAnsi="黑体" w:eastAsia="黑体" w:cstheme="minorBidi"/>
          <w:sz w:val="28"/>
          <w:szCs w:val="28"/>
        </w:rPr>
      </w:pPr>
    </w:p>
    <w:p w14:paraId="7A10427E">
      <w:pPr>
        <w:pStyle w:val="12"/>
      </w:pPr>
      <w:r>
        <w:rPr>
          <w:rFonts w:hint="eastAsia"/>
        </w:rPr>
        <w:t>公开时间：</w:t>
      </w:r>
      <w:r>
        <w:rPr>
          <w:rFonts w:hint="default" w:ascii="Times New Roman" w:hAnsi="Times New Roman" w:cs="Times New Roman"/>
        </w:rPr>
        <w:t>202</w:t>
      </w:r>
      <w:r>
        <w:rPr>
          <w:rFonts w:hint="default" w:ascii="Times New Roman" w:hAnsi="Times New Roman" w:cs="Times New Roman"/>
          <w:lang w:val="en-US" w:eastAsia="zh-CN"/>
        </w:rPr>
        <w:t>5</w:t>
      </w:r>
      <w:r>
        <w:rPr>
          <w:rFonts w:hint="default" w:ascii="Times New Roman" w:hAnsi="Times New Roman" w:cs="Times New Roman"/>
        </w:rPr>
        <w:t>年</w:t>
      </w:r>
      <w:r>
        <w:rPr>
          <w:rFonts w:hint="default" w:ascii="Times New Roman" w:hAnsi="Times New Roman" w:cs="Times New Roman"/>
          <w:lang w:val="en-US" w:eastAsia="zh-CN"/>
        </w:rPr>
        <w:t>9</w:t>
      </w:r>
      <w:r>
        <w:rPr>
          <w:rFonts w:hint="default" w:ascii="Times New Roman" w:hAnsi="Times New Roman" w:cs="Times New Roman"/>
        </w:rPr>
        <w:t>月</w:t>
      </w:r>
      <w:r>
        <w:rPr>
          <w:rFonts w:hint="default" w:ascii="Times New Roman" w:hAnsi="Times New Roman" w:cs="Times New Roman"/>
          <w:lang w:val="en-US" w:eastAsia="zh-CN"/>
        </w:rPr>
        <w:t>1</w:t>
      </w:r>
      <w:r>
        <w:rPr>
          <w:rFonts w:hint="eastAsia" w:ascii="Times New Roman" w:hAnsi="Times New Roman" w:cs="Times New Roman"/>
          <w:lang w:val="en-US" w:eastAsia="zh-CN"/>
        </w:rPr>
        <w:t>9</w:t>
      </w:r>
      <w:r>
        <w:rPr>
          <w:rFonts w:hint="eastAsia"/>
        </w:rPr>
        <w:t>日</w:t>
      </w:r>
    </w:p>
    <w:p w14:paraId="128751E1">
      <w:pPr>
        <w:outlineLvl w:val="1"/>
      </w:pPr>
    </w:p>
    <w:p w14:paraId="7B6569EB">
      <w:pPr>
        <w:pStyle w:val="12"/>
        <w:adjustRightInd w:val="0"/>
        <w:snapToGrid w:val="0"/>
        <w:spacing w:before="0" w:line="440" w:lineRule="exact"/>
        <w:jc w:val="left"/>
        <w:rPr>
          <w:rFonts w:hint="eastAsia" w:ascii="黑体" w:hAnsi="黑体" w:eastAsia="黑体" w:cs="黑体"/>
          <w:sz w:val="32"/>
          <w:szCs w:val="32"/>
        </w:rPr>
      </w:pPr>
      <w:r>
        <w:rPr>
          <w:rFonts w:hint="eastAsia" w:ascii="黑体" w:hAnsi="黑体" w:eastAsia="黑体" w:cs="黑体"/>
          <w:sz w:val="32"/>
          <w:szCs w:val="32"/>
        </w:rPr>
        <w:t>第一部分 部门概况</w:t>
      </w:r>
    </w:p>
    <w:p w14:paraId="0AC988F8">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一、部门职责</w:t>
      </w:r>
    </w:p>
    <w:p w14:paraId="20CD43AF">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p w14:paraId="16ABD600">
      <w:pPr>
        <w:pStyle w:val="12"/>
        <w:adjustRightInd w:val="0"/>
        <w:snapToGrid w:val="0"/>
        <w:spacing w:before="0" w:line="440" w:lineRule="exact"/>
        <w:jc w:val="left"/>
        <w:rPr>
          <w:rFonts w:hint="eastAsia" w:ascii="黑体" w:hAnsi="黑体" w:eastAsia="黑体" w:cs="黑体"/>
          <w:sz w:val="32"/>
          <w:szCs w:val="32"/>
        </w:rPr>
      </w:pPr>
      <w:r>
        <w:rPr>
          <w:rFonts w:hint="eastAsia" w:ascii="黑体" w:hAnsi="黑体" w:eastAsia="黑体" w:cs="黑体"/>
          <w:sz w:val="32"/>
          <w:szCs w:val="32"/>
        </w:rPr>
        <w:t>第二部分</w:t>
      </w:r>
      <w:r>
        <w:rPr>
          <w:rFonts w:hint="default" w:ascii="Times New Roman" w:hAnsi="Times New Roman" w:eastAsia="黑体" w:cs="Times New Roman"/>
          <w:sz w:val="32"/>
          <w:szCs w:val="32"/>
        </w:rPr>
        <w:t xml:space="preserve"> 202</w:t>
      </w:r>
      <w:r>
        <w:rPr>
          <w:rFonts w:hint="default" w:ascii="Times New Roman" w:hAnsi="Times New Roman" w:eastAsia="黑体" w:cs="Times New Roman"/>
          <w:sz w:val="32"/>
          <w:szCs w:val="32"/>
          <w:lang w:val="en-US" w:eastAsia="zh-CN"/>
        </w:rPr>
        <w:t>4</w:t>
      </w:r>
      <w:r>
        <w:rPr>
          <w:rFonts w:hint="eastAsia" w:ascii="黑体" w:hAnsi="黑体" w:eastAsia="黑体" w:cs="黑体"/>
          <w:sz w:val="32"/>
          <w:szCs w:val="32"/>
        </w:rPr>
        <w:t>年度部门决算情况说明</w:t>
      </w:r>
    </w:p>
    <w:p w14:paraId="396BAD9D">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14:paraId="1ADA23F5">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14:paraId="15580EB0">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p>
    <w:p w14:paraId="51ACACA0">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p>
    <w:p w14:paraId="1D94EF02">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p>
    <w:p w14:paraId="42122394">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p>
    <w:p w14:paraId="5B763FF5">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七、财政拨款“三公”经费支出决算情况说明</w:t>
      </w:r>
    </w:p>
    <w:p w14:paraId="09434361">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p>
    <w:p w14:paraId="2B8E2515">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九、国有资本经营预算支出决算情况说明</w:t>
      </w:r>
    </w:p>
    <w:p w14:paraId="1DA0516A">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p>
    <w:p w14:paraId="114A9D76">
      <w:pPr>
        <w:pStyle w:val="12"/>
        <w:adjustRightInd w:val="0"/>
        <w:snapToGrid w:val="0"/>
        <w:spacing w:before="0" w:line="440" w:lineRule="exact"/>
        <w:jc w:val="left"/>
        <w:rPr>
          <w:rFonts w:hint="eastAsia" w:ascii="黑体" w:hAnsi="黑体" w:eastAsia="黑体" w:cs="黑体"/>
          <w:sz w:val="32"/>
          <w:szCs w:val="32"/>
        </w:rPr>
      </w:pPr>
      <w:r>
        <w:rPr>
          <w:rFonts w:hint="eastAsia" w:ascii="黑体" w:hAnsi="黑体" w:eastAsia="黑体" w:cs="黑体"/>
          <w:sz w:val="32"/>
          <w:szCs w:val="32"/>
        </w:rPr>
        <w:t>第三部分 名词解释</w:t>
      </w:r>
    </w:p>
    <w:p w14:paraId="1F98A9B1">
      <w:pPr>
        <w:pStyle w:val="12"/>
        <w:adjustRightInd w:val="0"/>
        <w:snapToGrid w:val="0"/>
        <w:spacing w:before="0" w:line="440" w:lineRule="exact"/>
        <w:jc w:val="left"/>
        <w:rPr>
          <w:rFonts w:hint="eastAsia" w:ascii="黑体" w:hAnsi="黑体" w:eastAsia="黑体" w:cs="黑体"/>
          <w:sz w:val="32"/>
          <w:szCs w:val="32"/>
        </w:rPr>
      </w:pPr>
      <w:r>
        <w:rPr>
          <w:rFonts w:hint="eastAsia" w:ascii="黑体" w:hAnsi="黑体" w:eastAsia="黑体" w:cs="黑体"/>
          <w:sz w:val="32"/>
          <w:szCs w:val="32"/>
        </w:rPr>
        <w:t>第四部分 附件</w:t>
      </w:r>
    </w:p>
    <w:p w14:paraId="7456CE3F">
      <w:pPr>
        <w:pStyle w:val="12"/>
        <w:adjustRightInd w:val="0"/>
        <w:snapToGrid w:val="0"/>
        <w:spacing w:before="0" w:line="440" w:lineRule="exact"/>
        <w:jc w:val="left"/>
        <w:rPr>
          <w:rFonts w:hint="eastAsia" w:ascii="黑体" w:hAnsi="黑体" w:eastAsia="黑体" w:cs="黑体"/>
          <w:sz w:val="32"/>
          <w:szCs w:val="32"/>
        </w:rPr>
      </w:pPr>
      <w:r>
        <w:rPr>
          <w:rFonts w:hint="eastAsia" w:ascii="黑体" w:hAnsi="黑体" w:eastAsia="黑体" w:cs="黑体"/>
          <w:sz w:val="32"/>
          <w:szCs w:val="32"/>
        </w:rPr>
        <w:t>第五部分 附表</w:t>
      </w:r>
    </w:p>
    <w:p w14:paraId="35CA2A89">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5024AC27">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6C661C2D">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45D30EEE">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603192E6">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14:paraId="3DB29CD1">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14:paraId="4ABD94FD">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14:paraId="5605EDED">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八、一般公共预算财政拨款基本支出决算明细表</w:t>
      </w:r>
    </w:p>
    <w:p w14:paraId="1BCFE866">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14:paraId="2908B599">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十、政府性基金预算财政拨款收入支出决算表</w:t>
      </w:r>
    </w:p>
    <w:p w14:paraId="46028548">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十一、国有资本经营预算财政拨款收入支出决算表</w:t>
      </w:r>
    </w:p>
    <w:p w14:paraId="25FFD77D">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十二、国有资本经营预算财政拨款支出决算表</w:t>
      </w:r>
    </w:p>
    <w:p w14:paraId="72D1ED57">
      <w:pPr>
        <w:pStyle w:val="13"/>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十三、财政拨款“三公”经费支出决算表</w:t>
      </w:r>
    </w:p>
    <w:p w14:paraId="5D7F4C83">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4F1AF427">
      <w:pPr>
        <w:pStyle w:val="2"/>
        <w:jc w:val="center"/>
        <w:rPr>
          <w:rStyle w:val="28"/>
          <w:rFonts w:hint="eastAsia" w:ascii="方正小标宋简体" w:hAnsi="方正小标宋简体" w:eastAsia="方正小标宋简体" w:cs="方正小标宋简体"/>
          <w:b/>
          <w:bCs w:val="0"/>
        </w:rPr>
      </w:pPr>
      <w:r>
        <w:rPr>
          <w:rFonts w:hint="eastAsia" w:ascii="方正小标宋简体" w:hAnsi="方正小标宋简体" w:eastAsia="方正小标宋简体" w:cs="方正小标宋简体"/>
          <w:b w:val="0"/>
        </w:rPr>
        <w:t xml:space="preserve">第一部分 </w:t>
      </w:r>
      <w:r>
        <w:rPr>
          <w:rStyle w:val="28"/>
          <w:rFonts w:hint="eastAsia" w:ascii="方正小标宋简体" w:hAnsi="方正小标宋简体" w:eastAsia="方正小标宋简体" w:cs="方正小标宋简体"/>
          <w:b w:val="0"/>
          <w:bCs w:val="0"/>
        </w:rPr>
        <w:t>部门概况</w:t>
      </w:r>
      <w:bookmarkEnd w:id="12"/>
      <w:bookmarkEnd w:id="13"/>
    </w:p>
    <w:p w14:paraId="4B81B1FC">
      <w:pPr>
        <w:widowControl/>
        <w:jc w:val="left"/>
        <w:rPr>
          <w:rFonts w:ascii="黑体" w:eastAsia="黑体"/>
          <w:sz w:val="32"/>
          <w:szCs w:val="32"/>
        </w:rPr>
      </w:pPr>
    </w:p>
    <w:p w14:paraId="519F5EF8">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一、部门职责</w:t>
      </w:r>
    </w:p>
    <w:p w14:paraId="7B718D90">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bookmarkStart w:id="14" w:name="_Toc15377200"/>
      <w:bookmarkStart w:id="15" w:name="_Toc15396601"/>
      <w:r>
        <w:rPr>
          <w:rFonts w:hint="default" w:ascii="Times New Roman" w:hAnsi="Times New Roman" w:eastAsia="仿宋_GB2312" w:cs="Times New Roman"/>
          <w:kern w:val="2"/>
          <w:sz w:val="32"/>
          <w:szCs w:val="32"/>
          <w:lang w:val="en-US" w:eastAsia="zh-CN" w:bidi="ar-SA"/>
        </w:rPr>
        <w:t>汶川县人民检察院是国家法律监督机关，负责辖区各项检察工作，接受</w:t>
      </w:r>
      <w:r>
        <w:rPr>
          <w:rFonts w:hint="eastAsia" w:ascii="Times New Roman" w:cs="Times New Roman"/>
          <w:kern w:val="2"/>
          <w:sz w:val="32"/>
          <w:szCs w:val="32"/>
          <w:lang w:val="en-US" w:eastAsia="zh-CN" w:bidi="ar-SA"/>
        </w:rPr>
        <w:t>中共</w:t>
      </w:r>
      <w:r>
        <w:rPr>
          <w:rFonts w:hint="default" w:ascii="Times New Roman" w:hAnsi="Times New Roman" w:eastAsia="仿宋_GB2312" w:cs="Times New Roman"/>
          <w:kern w:val="2"/>
          <w:sz w:val="32"/>
          <w:szCs w:val="32"/>
          <w:lang w:val="en-US" w:eastAsia="zh-CN" w:bidi="ar-SA"/>
        </w:rPr>
        <w:t>汶川县委和阿坝州人民检察院的领导，对汶川县人民代表大会及其常委会负责并报告工作，接受其监督，执行其决议。</w:t>
      </w:r>
    </w:p>
    <w:p w14:paraId="34FA241F">
      <w:pPr>
        <w:spacing w:line="600" w:lineRule="exact"/>
        <w:ind w:firstLine="640" w:firstLineChars="200"/>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6"/>
          <w:szCs w:val="36"/>
          <w:lang w:val="en-US" w:eastAsia="zh-CN"/>
        </w:rPr>
        <w:t>、机构设置</w:t>
      </w:r>
      <w:bookmarkEnd w:id="14"/>
      <w:bookmarkEnd w:id="15"/>
    </w:p>
    <w:p w14:paraId="299C5F75">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四川省阿坝州汶川县人民检察院无下属二级预算单位。按照检察机关内设机构改革规范的要求，设内设机构5个。其中，业务部门3个:第一检察部（主要行使审查逮捕、审查起诉、立案监督、侦查监督、审判监督、未成年人刑事检察等职能）、第二检察部（主要行使民事检察、行政检察、公益诉讼等职能）和第三检察部（主要行使案件管理、控告申诉、刑事执行监督等职能）；综合部门2个:办公室和政治部。</w:t>
      </w:r>
    </w:p>
    <w:p w14:paraId="6CD83620">
      <w:pPr>
        <w:ind w:firstLine="800" w:firstLineChars="250"/>
        <w:rPr>
          <w:rFonts w:hint="default" w:ascii="Times New Roman" w:hAnsi="Times New Roman" w:eastAsia="仿宋" w:cs="Times New Roman"/>
          <w:sz w:val="32"/>
          <w:szCs w:val="32"/>
        </w:rPr>
      </w:pPr>
    </w:p>
    <w:p w14:paraId="650CDE5B">
      <w:pPr>
        <w:widowControl/>
        <w:jc w:val="left"/>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14:paraId="2B73E562">
      <w:pPr>
        <w:pStyle w:val="2"/>
        <w:jc w:val="center"/>
        <w:rPr>
          <w:rFonts w:hint="default" w:ascii="Times New Roman" w:hAnsi="Times New Roman" w:eastAsia="方正小标宋简体" w:cs="Times New Roman"/>
          <w:b w:val="0"/>
        </w:rPr>
      </w:pPr>
      <w:bookmarkStart w:id="16" w:name="_Toc15396602"/>
      <w:bookmarkStart w:id="17" w:name="_Toc15377204"/>
      <w:r>
        <w:rPr>
          <w:rFonts w:hint="default" w:ascii="Times New Roman" w:hAnsi="Times New Roman" w:eastAsia="方正小标宋简体" w:cs="Times New Roman"/>
          <w:b w:val="0"/>
        </w:rPr>
        <w:t>第二部分 202</w:t>
      </w:r>
      <w:r>
        <w:rPr>
          <w:rFonts w:hint="default" w:ascii="Times New Roman" w:hAnsi="Times New Roman" w:eastAsia="方正小标宋简体" w:cs="Times New Roman"/>
          <w:b w:val="0"/>
          <w:lang w:val="en-US" w:eastAsia="zh-CN"/>
        </w:rPr>
        <w:t>4</w:t>
      </w:r>
      <w:r>
        <w:rPr>
          <w:rFonts w:hint="default" w:ascii="Times New Roman" w:hAnsi="Times New Roman" w:eastAsia="方正小标宋简体" w:cs="Times New Roman"/>
          <w:b w:val="0"/>
        </w:rPr>
        <w:t>年度部门决算情况说明</w:t>
      </w:r>
      <w:bookmarkEnd w:id="16"/>
      <w:bookmarkEnd w:id="17"/>
    </w:p>
    <w:p w14:paraId="35F21621">
      <w:pPr>
        <w:spacing w:line="600" w:lineRule="exact"/>
        <w:ind w:firstLine="640" w:firstLineChars="200"/>
        <w:outlineLvl w:val="1"/>
        <w:rPr>
          <w:rFonts w:hint="default" w:ascii="Times New Roman" w:hAnsi="Times New Roman" w:eastAsia="黑体" w:cs="Times New Roman"/>
          <w:sz w:val="32"/>
          <w:szCs w:val="32"/>
          <w:lang w:val="en-US" w:eastAsia="zh-CN"/>
        </w:rPr>
      </w:pPr>
      <w:bookmarkStart w:id="18" w:name="_Toc15377205"/>
      <w:bookmarkStart w:id="19" w:name="_Toc15396603"/>
      <w:r>
        <w:rPr>
          <w:rFonts w:hint="default" w:ascii="Times New Roman" w:hAnsi="Times New Roman" w:eastAsia="黑体" w:cs="Times New Roman"/>
          <w:sz w:val="32"/>
          <w:szCs w:val="32"/>
          <w:lang w:val="en-US" w:eastAsia="zh-CN"/>
        </w:rPr>
        <w:t>一、收入支出决算总体情况说明</w:t>
      </w:r>
      <w:bookmarkEnd w:id="18"/>
      <w:bookmarkEnd w:id="19"/>
    </w:p>
    <w:p w14:paraId="6D2D6169">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2024年度收、支总计均为1233.24万元。与2023年度相比，收、支总计各增加139.95万元，增长12.8%。主要变动原因是新进</w:t>
      </w:r>
      <w:r>
        <w:rPr>
          <w:rFonts w:hint="eastAsia" w:ascii="Times New Roman" w:cs="Times New Roman"/>
          <w:kern w:val="2"/>
          <w:sz w:val="32"/>
          <w:szCs w:val="32"/>
          <w:lang w:val="en-US" w:eastAsia="zh-CN" w:bidi="ar-SA"/>
        </w:rPr>
        <w:t>人员</w:t>
      </w:r>
      <w:r>
        <w:rPr>
          <w:rFonts w:hint="default" w:ascii="Times New Roman" w:hAnsi="Times New Roman" w:eastAsia="仿宋_GB2312" w:cs="Times New Roman"/>
          <w:kern w:val="2"/>
          <w:sz w:val="32"/>
          <w:szCs w:val="32"/>
          <w:lang w:val="en-US" w:eastAsia="zh-CN" w:bidi="ar-SA"/>
        </w:rPr>
        <w:t>3人、退休1人、办案类经费支出增加、项目类经费支出增加。</w:t>
      </w:r>
    </w:p>
    <w:p w14:paraId="7966F66F">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pict>
          <v:shape id="Object 2" o:spid="_x0000_s1027" o:spt="75" type="#_x0000_t75" style="position:absolute;left:0pt;margin-left:57.7pt;margin-top:4.15pt;height:202.25pt;width:321.65pt;z-index:251659264;mso-width-relative:page;mso-height-relative:page;" o:ole="t" filled="f" o:preferrelative="t" stroked="f" coordsize="21600,21600">
            <v:path/>
            <v:fill on="f" focussize="0,0"/>
            <v:stroke on="f"/>
            <v:imagedata r:id="rId7" o:title=""/>
            <o:lock v:ext="edit" aspectratio="t"/>
          </v:shape>
          <o:OLEObject Type="Embed" ProgID="Excel.Chart.8" ShapeID="Object 2" DrawAspect="Content" ObjectID="_1468075725" r:id="rId6">
            <o:LockedField>false</o:LockedField>
          </o:OLEObject>
        </w:pict>
      </w:r>
    </w:p>
    <w:p w14:paraId="5384D374">
      <w:pPr>
        <w:spacing w:line="600" w:lineRule="exact"/>
        <w:ind w:firstLine="640" w:firstLineChars="200"/>
        <w:jc w:val="left"/>
        <w:rPr>
          <w:rFonts w:hint="default" w:ascii="Times New Roman" w:hAnsi="Times New Roman" w:eastAsia="仿宋" w:cs="Times New Roman"/>
          <w:sz w:val="32"/>
          <w:szCs w:val="32"/>
          <w:lang w:eastAsia="zh-CN"/>
        </w:rPr>
      </w:pPr>
    </w:p>
    <w:p w14:paraId="06A62C0D">
      <w:pPr>
        <w:spacing w:line="600" w:lineRule="exact"/>
        <w:ind w:firstLine="640" w:firstLineChars="200"/>
        <w:jc w:val="left"/>
        <w:rPr>
          <w:rFonts w:hint="default" w:ascii="Times New Roman" w:hAnsi="Times New Roman" w:eastAsia="仿宋" w:cs="Times New Roman"/>
          <w:sz w:val="32"/>
          <w:szCs w:val="32"/>
          <w:lang w:eastAsia="zh-CN"/>
        </w:rPr>
      </w:pPr>
    </w:p>
    <w:p w14:paraId="32D3B400">
      <w:pPr>
        <w:spacing w:line="600" w:lineRule="exact"/>
        <w:ind w:firstLine="640" w:firstLineChars="200"/>
        <w:jc w:val="left"/>
        <w:rPr>
          <w:rFonts w:hint="default" w:ascii="Times New Roman" w:hAnsi="Times New Roman" w:eastAsia="仿宋" w:cs="Times New Roman"/>
          <w:sz w:val="32"/>
          <w:szCs w:val="32"/>
        </w:rPr>
      </w:pPr>
    </w:p>
    <w:p w14:paraId="0883F41B">
      <w:pPr>
        <w:spacing w:line="600" w:lineRule="exact"/>
        <w:ind w:firstLine="640" w:firstLineChars="200"/>
        <w:jc w:val="left"/>
        <w:rPr>
          <w:rFonts w:hint="default" w:ascii="Times New Roman" w:hAnsi="Times New Roman" w:eastAsia="仿宋" w:cs="Times New Roman"/>
          <w:sz w:val="32"/>
          <w:szCs w:val="32"/>
        </w:rPr>
      </w:pPr>
    </w:p>
    <w:p w14:paraId="76180EA0">
      <w:pPr>
        <w:spacing w:line="600" w:lineRule="exact"/>
        <w:ind w:firstLine="640" w:firstLineChars="200"/>
        <w:jc w:val="left"/>
        <w:rPr>
          <w:rFonts w:hint="default" w:ascii="Times New Roman" w:hAnsi="Times New Roman" w:eastAsia="仿宋" w:cs="Times New Roman"/>
          <w:sz w:val="32"/>
          <w:szCs w:val="32"/>
        </w:rPr>
      </w:pPr>
    </w:p>
    <w:p w14:paraId="48ABB473">
      <w:pPr>
        <w:spacing w:line="600" w:lineRule="exact"/>
        <w:ind w:firstLine="640" w:firstLineChars="200"/>
        <w:jc w:val="left"/>
        <w:rPr>
          <w:rFonts w:hint="default" w:ascii="Times New Roman" w:hAnsi="Times New Roman" w:eastAsia="仿宋" w:cs="Times New Roman"/>
          <w:sz w:val="32"/>
          <w:szCs w:val="32"/>
        </w:rPr>
      </w:pPr>
    </w:p>
    <w:p w14:paraId="73A96153">
      <w:pPr>
        <w:spacing w:line="600" w:lineRule="exact"/>
        <w:ind w:firstLine="640" w:firstLineChars="200"/>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收、支决算总计变动情况图）（柱状图）</w:t>
      </w:r>
    </w:p>
    <w:p w14:paraId="1DBE9328">
      <w:pPr>
        <w:spacing w:line="600" w:lineRule="exact"/>
        <w:ind w:firstLine="640" w:firstLineChars="200"/>
        <w:outlineLvl w:val="1"/>
        <w:rPr>
          <w:rFonts w:hint="default" w:ascii="Times New Roman" w:hAnsi="Times New Roman" w:eastAsia="黑体" w:cs="Times New Roman"/>
          <w:sz w:val="32"/>
          <w:szCs w:val="32"/>
        </w:rPr>
      </w:pPr>
    </w:p>
    <w:p w14:paraId="12599980">
      <w:pPr>
        <w:spacing w:line="600" w:lineRule="exact"/>
        <w:ind w:firstLine="640" w:firstLineChars="200"/>
        <w:outlineLvl w:val="1"/>
        <w:rPr>
          <w:rFonts w:hint="default" w:ascii="Times New Roman" w:hAnsi="Times New Roman" w:eastAsia="黑体" w:cs="Times New Roman"/>
          <w:sz w:val="32"/>
          <w:szCs w:val="32"/>
          <w:lang w:val="en-US" w:eastAsia="zh-CN"/>
        </w:rPr>
      </w:pPr>
      <w:bookmarkStart w:id="20" w:name="_Toc15396604"/>
      <w:bookmarkStart w:id="21" w:name="_Toc15377206"/>
      <w:r>
        <w:rPr>
          <w:rFonts w:hint="default" w:ascii="Times New Roman" w:hAnsi="Times New Roman" w:eastAsia="黑体" w:cs="Times New Roman"/>
          <w:sz w:val="32"/>
          <w:szCs w:val="32"/>
          <w:lang w:val="en-US" w:eastAsia="zh-CN"/>
        </w:rPr>
        <w:t>二、收入决算情况说明</w:t>
      </w:r>
      <w:bookmarkEnd w:id="20"/>
      <w:bookmarkEnd w:id="21"/>
    </w:p>
    <w:p w14:paraId="34674778">
      <w:pPr>
        <w:spacing w:line="600" w:lineRule="exact"/>
        <w:ind w:firstLine="640" w:firstLineChars="200"/>
        <w:jc w:val="left"/>
        <w:outlineLvl w:val="1"/>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2024年度本年收入合计1233.24万元，其中：一般公共预算财政拨款收入951.45万元，占77.</w:t>
      </w:r>
      <w:r>
        <w:rPr>
          <w:rFonts w:hint="eastAsia"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%；政府性基金预算财政拨款收入0万元，占0%；国有资本经营预算财政拨款收入0万元，占0%；上级补助收入0万元，占0%；事业收入0万元，</w:t>
      </w:r>
      <w:r>
        <w:rPr>
          <w:rFonts w:hint="default" w:ascii="Times New Roman" w:hAnsi="Times New Roman" w:eastAsia="仿宋" w:cs="Times New Roman"/>
          <w:sz w:val="32"/>
          <w:szCs w:val="32"/>
        </w:rPr>
        <w:t>占</w:t>
      </w:r>
      <w:r>
        <w:rPr>
          <w:rFonts w:hint="default" w:ascii="Times New Roman" w:hAnsi="Times New Roman" w:eastAsia="仿宋_GB2312" w:cs="Times New Roman"/>
          <w:kern w:val="2"/>
          <w:sz w:val="32"/>
          <w:szCs w:val="32"/>
          <w:lang w:val="en-US" w:eastAsia="zh-CN" w:bidi="ar-SA"/>
        </w:rPr>
        <w:t>0%；经营收入0万元，占0%；附属单位上缴收入0万元，占0%；其他收入248.31万元，占20.1%；年初结转和结余33.49万元，占2.7%。其它收入为县级财政保障的在职人员基础绩效、检察人员检察绩效及退休人员相关经费。年初结转和结余为代管资金。</w:t>
      </w:r>
    </w:p>
    <w:p w14:paraId="2EB143C7">
      <w:pPr>
        <w:spacing w:line="600" w:lineRule="exact"/>
        <w:jc w:val="center"/>
        <w:outlineLvl w:val="1"/>
        <w:rPr>
          <w:rFonts w:hint="default" w:ascii="Times New Roman" w:hAnsi="Times New Roman" w:eastAsia="仿宋" w:cs="Times New Roman"/>
          <w:sz w:val="32"/>
          <w:szCs w:val="32"/>
        </w:rPr>
      </w:pPr>
      <w:r>
        <w:rPr>
          <w:rFonts w:hint="default" w:ascii="Times New Roman" w:hAnsi="Times New Roman" w:eastAsia="仿宋_GB2312" w:cs="Times New Roman"/>
          <w:color w:val="000000"/>
          <w:sz w:val="32"/>
          <w:szCs w:val="32"/>
          <w:highlight w:val="none"/>
        </w:rPr>
        <w:pict>
          <v:shape id="_x0000_s1034" o:spid="_x0000_s1034" o:spt="75" type="#_x0000_t75" style="position:absolute;left:0pt;margin-left:49.6pt;margin-top:7.55pt;height:151.6pt;width:339.05pt;mso-wrap-distance-bottom:0pt;mso-wrap-distance-top:0pt;z-index:251664384;mso-width-relative:page;mso-height-relative:page;" o:ole="t" filled="f" o:preferrelative="t" stroked="f" coordsize="21600,21600">
            <v:path/>
            <v:fill on="f" focussize="0,0"/>
            <v:stroke on="f"/>
            <v:imagedata r:id="rId9" o:title=""/>
            <o:lock v:ext="edit" aspectratio="t"/>
            <w10:wrap type="topAndBottom"/>
          </v:shape>
          <o:OLEObject Type="Embed" ProgID="Excel.Chart.8" ShapeID="_x0000_s1034" DrawAspect="Content" ObjectID="_1468075726" r:id="rId8">
            <o:LockedField>false</o:LockedField>
          </o:OLEObject>
        </w:pict>
      </w:r>
      <w:r>
        <w:rPr>
          <w:rFonts w:hint="default" w:ascii="Times New Roman" w:hAnsi="Times New Roman" w:eastAsia="仿宋" w:cs="Times New Roman"/>
          <w:sz w:val="32"/>
          <w:szCs w:val="32"/>
        </w:rPr>
        <w:t>（图</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收入决算结构图）（饼状图）</w:t>
      </w:r>
    </w:p>
    <w:p w14:paraId="1DD8D879">
      <w:pPr>
        <w:spacing w:line="600" w:lineRule="exact"/>
        <w:ind w:firstLine="640" w:firstLineChars="200"/>
        <w:outlineLvl w:val="1"/>
        <w:rPr>
          <w:rFonts w:hint="default" w:ascii="Times New Roman" w:hAnsi="Times New Roman" w:eastAsia="黑体" w:cs="Times New Roman"/>
          <w:sz w:val="32"/>
          <w:szCs w:val="32"/>
        </w:rPr>
      </w:pPr>
    </w:p>
    <w:p w14:paraId="631ED0F4">
      <w:pPr>
        <w:spacing w:line="600" w:lineRule="exact"/>
        <w:ind w:firstLine="640" w:firstLineChars="200"/>
        <w:outlineLvl w:val="1"/>
        <w:rPr>
          <w:rFonts w:hint="default" w:ascii="Times New Roman" w:hAnsi="Times New Roman" w:eastAsia="黑体" w:cs="Times New Roman"/>
          <w:sz w:val="32"/>
          <w:szCs w:val="32"/>
          <w:lang w:val="en-US" w:eastAsia="zh-CN"/>
        </w:rPr>
      </w:pPr>
      <w:bookmarkStart w:id="22" w:name="_Toc15377207"/>
      <w:bookmarkStart w:id="23" w:name="_Toc15396605"/>
      <w:r>
        <w:rPr>
          <w:rFonts w:hint="default" w:ascii="Times New Roman" w:hAnsi="Times New Roman" w:eastAsia="黑体" w:cs="Times New Roman"/>
          <w:sz w:val="32"/>
          <w:szCs w:val="32"/>
          <w:lang w:val="en-US" w:eastAsia="zh-CN"/>
        </w:rPr>
        <w:t>三、支出决算情况说明</w:t>
      </w:r>
      <w:bookmarkEnd w:id="22"/>
      <w:bookmarkEnd w:id="23"/>
    </w:p>
    <w:p w14:paraId="5247A584">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w:t>
      </w:r>
      <w:r>
        <w:rPr>
          <w:rFonts w:hint="eastAsia" w:ascii="Times New Roman"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年度本年支出合计1233.24万元，其中：基本支出894.88万元，占72.</w:t>
      </w:r>
      <w:r>
        <w:rPr>
          <w:rFonts w:hint="eastAsia" w:ascii="Times New Roman"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%；项目支出311.75万元，占25.</w:t>
      </w:r>
      <w:r>
        <w:rPr>
          <w:rFonts w:hint="eastAsia" w:ascii="Times New Roman" w:cs="Times New Roman"/>
          <w:kern w:val="2"/>
          <w:sz w:val="32"/>
          <w:szCs w:val="32"/>
          <w:lang w:val="en-US" w:eastAsia="zh-CN" w:bidi="ar-SA"/>
        </w:rPr>
        <w:t>3</w:t>
      </w:r>
      <w:r>
        <w:rPr>
          <w:rFonts w:hint="default" w:ascii="Times New Roman" w:hAnsi="Times New Roman" w:eastAsia="仿宋_GB2312" w:cs="Times New Roman"/>
          <w:kern w:val="2"/>
          <w:sz w:val="32"/>
          <w:szCs w:val="32"/>
          <w:lang w:val="en-US" w:eastAsia="zh-CN" w:bidi="ar-SA"/>
        </w:rPr>
        <w:t>%；上缴上级支出0万元，占0%；经营支出0万元，占0%；对附属单位补助支出0万元，占0%；年末结转和结余26.61万元，占2.1%。</w:t>
      </w:r>
    </w:p>
    <w:p w14:paraId="100D5673">
      <w:pPr>
        <w:spacing w:line="600" w:lineRule="exact"/>
        <w:ind w:firstLine="640"/>
        <w:jc w:val="center"/>
        <w:rPr>
          <w:rFonts w:hint="default" w:ascii="Times New Roman" w:hAnsi="Times New Roman" w:eastAsia="仿宋" w:cs="Times New Roman"/>
          <w:sz w:val="32"/>
          <w:szCs w:val="32"/>
          <w:shd w:val="pct10" w:color="auto" w:fill="FFFFFF"/>
        </w:rPr>
      </w:pPr>
      <w:r>
        <w:rPr>
          <w:rFonts w:hint="default" w:ascii="Times New Roman" w:hAnsi="Times New Roman" w:eastAsia="仿宋" w:cs="Times New Roman"/>
          <w:sz w:val="32"/>
          <w:szCs w:val="32"/>
        </w:rPr>
        <w:t>（图</w:t>
      </w: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支出决算结构图）（饼状图）</w:t>
      </w:r>
      <w:r>
        <w:rPr>
          <w:rFonts w:hint="default" w:ascii="Times New Roman" w:hAnsi="Times New Roman" w:eastAsia="仿宋_GB2312" w:cs="Times New Roman"/>
          <w:color w:val="000000"/>
          <w:sz w:val="32"/>
          <w:szCs w:val="32"/>
          <w:highlight w:val="none"/>
        </w:rPr>
        <w:pict>
          <v:shape id="Object 4" o:spid="_x0000_s1029" o:spt="75" type="#_x0000_t75" style="position:absolute;left:0pt;margin-left:44.75pt;margin-top:27.9pt;height:151.6pt;width:339.05pt;mso-wrap-distance-bottom:0pt;mso-wrap-distance-top:0pt;z-index:251660288;mso-width-relative:page;mso-height-relative:page;" o:ole="t" filled="f" o:preferrelative="t" stroked="f" coordsize="21600,21600">
            <v:path/>
            <v:fill on="f" focussize="0,0"/>
            <v:stroke on="f"/>
            <v:imagedata r:id="rId11" o:title=""/>
            <o:lock v:ext="edit" aspectratio="t"/>
            <w10:wrap type="topAndBottom"/>
          </v:shape>
          <o:OLEObject Type="Embed" ProgID="Excel.Chart.8" ShapeID="Object 4" DrawAspect="Content" ObjectID="_1468075727" r:id="rId10">
            <o:LockedField>false</o:LockedField>
          </o:OLEObject>
        </w:pict>
      </w:r>
    </w:p>
    <w:p w14:paraId="26EE6804">
      <w:pPr>
        <w:spacing w:line="600" w:lineRule="exact"/>
        <w:rPr>
          <w:rFonts w:hint="default" w:ascii="Times New Roman" w:hAnsi="Times New Roman" w:eastAsia="仿宋_GB2312" w:cs="Times New Roman"/>
          <w:sz w:val="32"/>
          <w:szCs w:val="32"/>
        </w:rPr>
      </w:pPr>
    </w:p>
    <w:p w14:paraId="1AB6AFA6">
      <w:pPr>
        <w:spacing w:line="600" w:lineRule="exact"/>
        <w:ind w:firstLine="640" w:firstLineChars="200"/>
        <w:outlineLvl w:val="1"/>
        <w:rPr>
          <w:rFonts w:hint="default" w:ascii="Times New Roman" w:hAnsi="Times New Roman" w:eastAsia="黑体" w:cs="Times New Roman"/>
          <w:sz w:val="32"/>
          <w:szCs w:val="32"/>
          <w:lang w:val="en-US" w:eastAsia="zh-CN"/>
        </w:rPr>
      </w:pPr>
      <w:bookmarkStart w:id="24" w:name="_Toc15396606"/>
      <w:bookmarkStart w:id="25" w:name="_Toc15377208"/>
      <w:r>
        <w:rPr>
          <w:rFonts w:hint="default" w:ascii="Times New Roman" w:hAnsi="Times New Roman" w:eastAsia="黑体" w:cs="Times New Roman"/>
          <w:sz w:val="32"/>
          <w:szCs w:val="32"/>
          <w:lang w:val="en-US" w:eastAsia="zh-CN"/>
        </w:rPr>
        <w:t>四、财政拨款收入支出决算总体情况说明</w:t>
      </w:r>
      <w:bookmarkEnd w:id="24"/>
      <w:bookmarkEnd w:id="25"/>
    </w:p>
    <w:p w14:paraId="16576291">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2024年度财政拨款收、支总计均为951.45万元。与2023年度相比，财政拨款收、支总计各增加98.13万元，增长11.5%。主要变动原因是新进</w:t>
      </w:r>
      <w:r>
        <w:rPr>
          <w:rFonts w:hint="eastAsia" w:ascii="Times New Roman" w:cs="Times New Roman"/>
          <w:kern w:val="2"/>
          <w:sz w:val="32"/>
          <w:szCs w:val="32"/>
          <w:lang w:val="en-US" w:eastAsia="zh-CN" w:bidi="ar-SA"/>
        </w:rPr>
        <w:t>人员</w:t>
      </w:r>
      <w:r>
        <w:rPr>
          <w:rFonts w:hint="default" w:ascii="Times New Roman" w:hAnsi="Times New Roman" w:eastAsia="仿宋_GB2312" w:cs="Times New Roman"/>
          <w:kern w:val="2"/>
          <w:sz w:val="32"/>
          <w:szCs w:val="32"/>
          <w:lang w:val="en-US" w:eastAsia="zh-CN" w:bidi="ar-SA"/>
        </w:rPr>
        <w:t>3人、退休1人、办案类经费支出增加、项目类经费支出增加。</w:t>
      </w:r>
    </w:p>
    <w:p w14:paraId="3B21C7FA">
      <w:pPr>
        <w:spacing w:line="600" w:lineRule="exact"/>
        <w:rPr>
          <w:rFonts w:hint="default" w:ascii="Times New Roman" w:hAnsi="Times New Roman" w:eastAsia="仿宋" w:cs="Times New Roman"/>
          <w:sz w:val="32"/>
          <w:szCs w:val="32"/>
        </w:rPr>
      </w:pPr>
      <w:r>
        <w:rPr>
          <w:rFonts w:hint="default" w:ascii="Times New Roman" w:hAnsi="Times New Roman" w:eastAsia="仿宋_GB2312" w:cs="Times New Roman"/>
          <w:color w:val="000000"/>
          <w:sz w:val="30"/>
          <w:szCs w:val="30"/>
          <w:highlight w:val="none"/>
        </w:rPr>
        <w:pict>
          <v:shape id="Object 5" o:spid="_x0000_s1030" o:spt="75" type="#_x0000_t75" style="position:absolute;left:0pt;margin-left:76.4pt;margin-top:15.2pt;height:186.8pt;width:296.9pt;z-index:251661312;mso-width-relative:page;mso-height-relative:page;" o:ole="t" filled="f" o:preferrelative="t" stroked="f" coordsize="21600,21600">
            <v:path/>
            <v:fill on="f" focussize="0,0"/>
            <v:stroke on="f"/>
            <v:imagedata r:id="rId13" o:title=""/>
            <o:lock v:ext="edit" aspectratio="t"/>
          </v:shape>
          <o:OLEObject Type="Embed" ProgID="Excel.Chart.8" ShapeID="Object 5" DrawAspect="Content" ObjectID="_1468075728" r:id="rId12">
            <o:LockedField>false</o:LockedField>
          </o:OLEObject>
        </w:pict>
      </w:r>
    </w:p>
    <w:p w14:paraId="218D87B3">
      <w:pPr>
        <w:spacing w:line="600" w:lineRule="exact"/>
        <w:rPr>
          <w:rFonts w:hint="default" w:ascii="Times New Roman" w:hAnsi="Times New Roman" w:eastAsia="仿宋" w:cs="Times New Roman"/>
          <w:sz w:val="32"/>
          <w:szCs w:val="32"/>
        </w:rPr>
      </w:pPr>
    </w:p>
    <w:p w14:paraId="44F0048D">
      <w:pPr>
        <w:spacing w:line="600" w:lineRule="exact"/>
        <w:rPr>
          <w:rFonts w:hint="default" w:ascii="Times New Roman" w:hAnsi="Times New Roman" w:eastAsia="仿宋" w:cs="Times New Roman"/>
          <w:sz w:val="32"/>
          <w:szCs w:val="32"/>
        </w:rPr>
      </w:pPr>
    </w:p>
    <w:p w14:paraId="364B705F">
      <w:pPr>
        <w:spacing w:line="600" w:lineRule="exact"/>
        <w:rPr>
          <w:rFonts w:hint="default" w:ascii="Times New Roman" w:hAnsi="Times New Roman" w:eastAsia="仿宋" w:cs="Times New Roman"/>
          <w:sz w:val="32"/>
          <w:szCs w:val="32"/>
        </w:rPr>
      </w:pPr>
    </w:p>
    <w:p w14:paraId="40456420">
      <w:pPr>
        <w:spacing w:line="600" w:lineRule="exact"/>
        <w:rPr>
          <w:rFonts w:hint="default" w:ascii="Times New Roman" w:hAnsi="Times New Roman" w:eastAsia="仿宋" w:cs="Times New Roman"/>
          <w:sz w:val="32"/>
          <w:szCs w:val="32"/>
        </w:rPr>
      </w:pPr>
    </w:p>
    <w:p w14:paraId="1069DBFB">
      <w:pPr>
        <w:spacing w:line="600" w:lineRule="exact"/>
        <w:rPr>
          <w:rFonts w:hint="default" w:ascii="Times New Roman" w:hAnsi="Times New Roman" w:eastAsia="仿宋" w:cs="Times New Roman"/>
          <w:sz w:val="32"/>
          <w:szCs w:val="32"/>
        </w:rPr>
      </w:pPr>
    </w:p>
    <w:p w14:paraId="02C399E9">
      <w:pPr>
        <w:spacing w:line="600" w:lineRule="exact"/>
        <w:rPr>
          <w:rFonts w:hint="default" w:ascii="Times New Roman" w:hAnsi="Times New Roman" w:eastAsia="仿宋" w:cs="Times New Roman"/>
          <w:sz w:val="32"/>
          <w:szCs w:val="32"/>
        </w:rPr>
      </w:pPr>
    </w:p>
    <w:p w14:paraId="5E6625F6">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财政拨款收、支决算总计变动情况）（柱状图）</w:t>
      </w:r>
    </w:p>
    <w:p w14:paraId="68CE15D6">
      <w:pPr>
        <w:spacing w:line="600" w:lineRule="exact"/>
        <w:ind w:firstLine="640"/>
        <w:rPr>
          <w:rFonts w:hint="default" w:ascii="Times New Roman" w:hAnsi="Times New Roman" w:eastAsia="仿宋" w:cs="Times New Roman"/>
          <w:b/>
          <w:sz w:val="32"/>
          <w:szCs w:val="32"/>
        </w:rPr>
      </w:pPr>
    </w:p>
    <w:p w14:paraId="15313E90">
      <w:pPr>
        <w:spacing w:line="600" w:lineRule="exact"/>
        <w:ind w:firstLine="640" w:firstLineChars="200"/>
        <w:outlineLvl w:val="1"/>
        <w:rPr>
          <w:rFonts w:hint="default" w:ascii="Times New Roman" w:hAnsi="Times New Roman" w:eastAsia="黑体" w:cs="Times New Roman"/>
          <w:sz w:val="32"/>
          <w:szCs w:val="32"/>
          <w:lang w:val="en-US" w:eastAsia="zh-CN"/>
        </w:rPr>
      </w:pPr>
      <w:bookmarkStart w:id="26" w:name="_Toc15396607"/>
      <w:bookmarkStart w:id="27" w:name="_Toc15377209"/>
      <w:r>
        <w:rPr>
          <w:rFonts w:hint="default" w:ascii="Times New Roman" w:hAnsi="Times New Roman" w:eastAsia="黑体" w:cs="Times New Roman"/>
          <w:sz w:val="32"/>
          <w:szCs w:val="32"/>
          <w:lang w:val="en-US" w:eastAsia="zh-CN"/>
        </w:rPr>
        <w:t>五、一般公共预算财政拨款支出决算情况说明</w:t>
      </w:r>
      <w:bookmarkEnd w:id="26"/>
      <w:bookmarkEnd w:id="27"/>
    </w:p>
    <w:p w14:paraId="44A88FE4">
      <w:pPr>
        <w:spacing w:line="600" w:lineRule="exact"/>
        <w:ind w:firstLine="643" w:firstLineChars="200"/>
        <w:outlineLvl w:val="2"/>
        <w:rPr>
          <w:rFonts w:hint="default" w:ascii="Times New Roman" w:hAnsi="Times New Roman" w:eastAsia="楷体_GB2312" w:cs="Times New Roman"/>
          <w:b/>
          <w:sz w:val="32"/>
          <w:szCs w:val="32"/>
        </w:rPr>
      </w:pPr>
      <w:bookmarkStart w:id="28" w:name="_Toc15377210"/>
      <w:r>
        <w:rPr>
          <w:rFonts w:hint="default" w:ascii="Times New Roman" w:hAnsi="Times New Roman" w:eastAsia="楷体_GB2312" w:cs="Times New Roman"/>
          <w:b/>
          <w:sz w:val="32"/>
          <w:szCs w:val="32"/>
        </w:rPr>
        <w:t>（一）一般公共预算财政拨款支出决算总体情况</w:t>
      </w:r>
      <w:bookmarkEnd w:id="28"/>
    </w:p>
    <w:p w14:paraId="39854C74">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2024年度一般公共预算财政拨款支出951.45万元，占本年支出合计的77.</w:t>
      </w:r>
      <w:r>
        <w:rPr>
          <w:rFonts w:hint="eastAsia" w:ascii="Times New Roman"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%。与2023年度相比，一般公共预算财政拨款支出增加98.13万万元，增长11.5%。主要变动原因是新进</w:t>
      </w:r>
      <w:r>
        <w:rPr>
          <w:rFonts w:hint="eastAsia" w:ascii="Times New Roman" w:cs="Times New Roman"/>
          <w:kern w:val="2"/>
          <w:sz w:val="32"/>
          <w:szCs w:val="32"/>
          <w:lang w:val="en-US" w:eastAsia="zh-CN" w:bidi="ar-SA"/>
        </w:rPr>
        <w:t>人员</w:t>
      </w:r>
      <w:r>
        <w:rPr>
          <w:rFonts w:hint="default" w:ascii="Times New Roman" w:hAnsi="Times New Roman" w:eastAsia="仿宋_GB2312" w:cs="Times New Roman"/>
          <w:kern w:val="2"/>
          <w:sz w:val="32"/>
          <w:szCs w:val="32"/>
          <w:lang w:val="en-US" w:eastAsia="zh-CN" w:bidi="ar-SA"/>
        </w:rPr>
        <w:t>3人、退休1人、办案类经费支出增加、项目类经费支出增加。</w:t>
      </w:r>
    </w:p>
    <w:p w14:paraId="50ED7806">
      <w:pPr>
        <w:spacing w:line="600" w:lineRule="exact"/>
        <w:rPr>
          <w:rFonts w:hint="default" w:ascii="Times New Roman" w:hAnsi="Times New Roman" w:eastAsia="仿宋" w:cs="Times New Roman"/>
          <w:sz w:val="32"/>
          <w:szCs w:val="32"/>
        </w:rPr>
      </w:pPr>
    </w:p>
    <w:p w14:paraId="3ECBC781">
      <w:pPr>
        <w:spacing w:line="600" w:lineRule="exact"/>
        <w:ind w:firstLine="600" w:firstLineChars="200"/>
        <w:rPr>
          <w:rFonts w:hint="default" w:ascii="Times New Roman" w:hAnsi="Times New Roman" w:eastAsia="仿宋" w:cs="Times New Roman"/>
          <w:sz w:val="32"/>
          <w:szCs w:val="32"/>
        </w:rPr>
      </w:pPr>
      <w:r>
        <w:rPr>
          <w:rFonts w:hint="default" w:ascii="Times New Roman" w:hAnsi="Times New Roman" w:eastAsia="仿宋_GB2312" w:cs="Times New Roman"/>
          <w:color w:val="000000"/>
          <w:sz w:val="30"/>
          <w:szCs w:val="30"/>
          <w:highlight w:val="none"/>
        </w:rPr>
        <w:pict>
          <v:shape id="Object 6" o:spid="_x0000_s1031" o:spt="75" type="#_x0000_t75" style="position:absolute;left:0pt;margin-left:35.75pt;margin-top:-9.5pt;height:221.55pt;width:350.15pt;z-index:251662336;mso-width-relative:page;mso-height-relative:page;" o:ole="t" filled="f" o:preferrelative="t" stroked="f" coordsize="21600,21600">
            <v:path/>
            <v:fill on="f" focussize="0,0"/>
            <v:stroke on="f"/>
            <v:imagedata r:id="rId15" o:title=""/>
            <o:lock v:ext="edit" aspectratio="t"/>
          </v:shape>
          <o:OLEObject Type="Embed" ProgID="Excel.Chart.8" ShapeID="Object 6" DrawAspect="Content" ObjectID="_1468075729" r:id="rId14">
            <o:LockedField>false</o:LockedField>
          </o:OLEObject>
        </w:pict>
      </w:r>
    </w:p>
    <w:p w14:paraId="7DBD9399">
      <w:pPr>
        <w:spacing w:line="600" w:lineRule="exact"/>
        <w:ind w:firstLine="640" w:firstLineChars="200"/>
        <w:rPr>
          <w:rFonts w:hint="default" w:ascii="Times New Roman" w:hAnsi="Times New Roman" w:eastAsia="仿宋" w:cs="Times New Roman"/>
          <w:sz w:val="32"/>
          <w:szCs w:val="32"/>
        </w:rPr>
      </w:pPr>
    </w:p>
    <w:p w14:paraId="2FF4F0D5">
      <w:pPr>
        <w:spacing w:line="600" w:lineRule="exact"/>
        <w:ind w:firstLine="640" w:firstLineChars="200"/>
        <w:rPr>
          <w:rFonts w:hint="default" w:ascii="Times New Roman" w:hAnsi="Times New Roman" w:eastAsia="仿宋" w:cs="Times New Roman"/>
          <w:sz w:val="32"/>
          <w:szCs w:val="32"/>
        </w:rPr>
      </w:pPr>
    </w:p>
    <w:p w14:paraId="112E4B2A">
      <w:pPr>
        <w:spacing w:line="600" w:lineRule="exact"/>
        <w:ind w:firstLine="640" w:firstLineChars="200"/>
        <w:rPr>
          <w:rFonts w:hint="default" w:ascii="Times New Roman" w:hAnsi="Times New Roman" w:eastAsia="仿宋" w:cs="Times New Roman"/>
          <w:sz w:val="32"/>
          <w:szCs w:val="32"/>
        </w:rPr>
      </w:pPr>
    </w:p>
    <w:p w14:paraId="31F48EF6">
      <w:pPr>
        <w:spacing w:line="600" w:lineRule="exact"/>
        <w:ind w:firstLine="640" w:firstLineChars="200"/>
        <w:rPr>
          <w:rFonts w:hint="default" w:ascii="Times New Roman" w:hAnsi="Times New Roman" w:eastAsia="仿宋" w:cs="Times New Roman"/>
          <w:sz w:val="32"/>
          <w:szCs w:val="32"/>
        </w:rPr>
      </w:pPr>
    </w:p>
    <w:p w14:paraId="0BE74070">
      <w:pPr>
        <w:spacing w:line="600" w:lineRule="exact"/>
        <w:ind w:firstLine="640" w:firstLineChars="200"/>
        <w:rPr>
          <w:rFonts w:hint="default" w:ascii="Times New Roman" w:hAnsi="Times New Roman" w:eastAsia="仿宋" w:cs="Times New Roman"/>
          <w:sz w:val="32"/>
          <w:szCs w:val="32"/>
        </w:rPr>
      </w:pPr>
    </w:p>
    <w:p w14:paraId="5FF50B3B">
      <w:pPr>
        <w:spacing w:line="600" w:lineRule="exact"/>
        <w:ind w:firstLine="640" w:firstLineChars="200"/>
        <w:rPr>
          <w:rFonts w:hint="default" w:ascii="Times New Roman" w:hAnsi="Times New Roman" w:eastAsia="仿宋" w:cs="Times New Roman"/>
          <w:sz w:val="32"/>
          <w:szCs w:val="32"/>
        </w:rPr>
      </w:pPr>
    </w:p>
    <w:p w14:paraId="02713FBD">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：一般公共预算财政拨款支出决算变动情况）（柱状图）</w:t>
      </w:r>
    </w:p>
    <w:p w14:paraId="4DB0BAD2">
      <w:pPr>
        <w:spacing w:line="600" w:lineRule="exact"/>
        <w:ind w:firstLine="640" w:firstLineChars="200"/>
        <w:rPr>
          <w:rFonts w:hint="default" w:ascii="Times New Roman" w:hAnsi="Times New Roman" w:eastAsia="仿宋" w:cs="Times New Roman"/>
          <w:sz w:val="32"/>
          <w:szCs w:val="32"/>
        </w:rPr>
      </w:pPr>
    </w:p>
    <w:p w14:paraId="04230D28">
      <w:pPr>
        <w:spacing w:line="600" w:lineRule="exact"/>
        <w:ind w:firstLine="643" w:firstLineChars="200"/>
        <w:outlineLvl w:val="2"/>
        <w:rPr>
          <w:rFonts w:hint="default" w:ascii="Times New Roman" w:hAnsi="Times New Roman" w:eastAsia="楷体_GB2312" w:cs="Times New Roman"/>
          <w:b/>
          <w:sz w:val="32"/>
          <w:szCs w:val="32"/>
        </w:rPr>
      </w:pPr>
      <w:bookmarkStart w:id="29" w:name="_Toc15377211"/>
      <w:r>
        <w:rPr>
          <w:rFonts w:hint="default" w:ascii="Times New Roman" w:hAnsi="Times New Roman" w:eastAsia="楷体_GB2312" w:cs="Times New Roman"/>
          <w:b/>
          <w:sz w:val="32"/>
          <w:szCs w:val="32"/>
        </w:rPr>
        <w:t>（二）一般公共预算财政拨款支出决算结构情况</w:t>
      </w:r>
      <w:bookmarkEnd w:id="29"/>
    </w:p>
    <w:p w14:paraId="34A9952B">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一般公共预算财政拨款支出951.45万元，主要用于以下方面:一般公共服务支出0万元，占0%；公共安全支出772.34万元，占81.2%；教育支出0万元，占0%；科学技术支出0万元，占0%；文化旅游体育与传媒支出0万元，占0%；社会保障和就业支出83.75万元，占8.8%；卫生健康支出38.77万元，占4%；住房保障支出56.59万元，占6%。</w:t>
      </w:r>
    </w:p>
    <w:p w14:paraId="243B413F">
      <w:pPr>
        <w:spacing w:line="600" w:lineRule="exact"/>
        <w:rPr>
          <w:rFonts w:hint="default" w:ascii="Times New Roman" w:hAnsi="Times New Roman" w:eastAsia="仿宋" w:cs="Times New Roman"/>
          <w:sz w:val="32"/>
          <w:szCs w:val="32"/>
        </w:rPr>
      </w:pPr>
      <w:r>
        <w:rPr>
          <w:rFonts w:hint="default" w:ascii="Times New Roman" w:hAnsi="Times New Roman" w:eastAsia="仿宋_GB2312" w:cs="Times New Roman"/>
          <w:color w:val="000000"/>
          <w:sz w:val="32"/>
          <w:szCs w:val="32"/>
          <w:highlight w:val="none"/>
        </w:rPr>
        <w:pict>
          <v:shape id="_x0000_s1035" o:spid="_x0000_s1035" o:spt="75" type="#_x0000_t75" style="position:absolute;left:0pt;margin-left:47.6pt;margin-top:4.75pt;height:163.9pt;width:339.05pt;mso-wrap-distance-bottom:0pt;mso-wrap-distance-top:0pt;z-index:251665408;mso-width-relative:page;mso-height-relative:page;" o:ole="t" filled="f" o:preferrelative="t" stroked="f" coordsize="21600,21600">
            <v:path/>
            <v:fill on="f" focussize="0,0"/>
            <v:stroke on="f"/>
            <v:imagedata r:id="rId17" o:title=""/>
            <o:lock v:ext="edit" aspectratio="t"/>
            <w10:wrap type="topAndBottom"/>
          </v:shape>
          <o:OLEObject Type="Embed" ProgID="Excel.Chart.8" ShapeID="_x0000_s1035" DrawAspect="Content" ObjectID="_1468075730" r:id="rId16">
            <o:LockedField>false</o:LockedField>
          </o:OLEObject>
        </w:pict>
      </w:r>
      <w:r>
        <w:rPr>
          <w:rFonts w:hint="eastAsia"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 w:cs="Times New Roman"/>
          <w:sz w:val="32"/>
          <w:szCs w:val="32"/>
        </w:rPr>
        <w:t>（图6：一般公共预算财政拨款支出决算结构）（饼状图）</w:t>
      </w:r>
    </w:p>
    <w:p w14:paraId="120272AE">
      <w:pPr>
        <w:spacing w:line="600" w:lineRule="exact"/>
        <w:ind w:firstLine="643" w:firstLineChars="200"/>
        <w:outlineLvl w:val="2"/>
        <w:rPr>
          <w:rFonts w:hint="default" w:ascii="Times New Roman" w:hAnsi="Times New Roman" w:eastAsia="楷体_GB2312" w:cs="Times New Roman"/>
          <w:b/>
          <w:sz w:val="32"/>
          <w:szCs w:val="32"/>
        </w:rPr>
      </w:pPr>
    </w:p>
    <w:p w14:paraId="3F5B2808">
      <w:pPr>
        <w:spacing w:line="600" w:lineRule="exact"/>
        <w:ind w:firstLine="643" w:firstLineChars="200"/>
        <w:outlineLvl w:val="2"/>
        <w:rPr>
          <w:rFonts w:hint="default" w:ascii="Times New Roman" w:hAnsi="Times New Roman" w:eastAsia="楷体_GB2312" w:cs="Times New Roman"/>
          <w:b/>
          <w:sz w:val="32"/>
          <w:szCs w:val="32"/>
        </w:rPr>
      </w:pPr>
      <w:bookmarkStart w:id="30" w:name="_Toc15377212"/>
      <w:r>
        <w:rPr>
          <w:rFonts w:hint="default" w:ascii="Times New Roman" w:hAnsi="Times New Roman" w:eastAsia="楷体_GB2312" w:cs="Times New Roman"/>
          <w:b/>
          <w:sz w:val="32"/>
          <w:szCs w:val="32"/>
        </w:rPr>
        <w:t>（三）一般公共预算财政拨款支出决算具体情况</w:t>
      </w:r>
      <w:bookmarkEnd w:id="30"/>
    </w:p>
    <w:p w14:paraId="30995B9F">
      <w:pPr>
        <w:spacing w:line="600" w:lineRule="exact"/>
        <w:ind w:firstLine="643" w:firstLineChars="200"/>
        <w:outlineLvl w:val="2"/>
        <w:rPr>
          <w:rFonts w:hint="default" w:ascii="Times New Roman" w:hAnsi="Times New Roman" w:eastAsia="仿宋" w:cs="Times New Roman"/>
          <w:sz w:val="32"/>
          <w:szCs w:val="32"/>
        </w:rPr>
      </w:pPr>
      <w:bookmarkStart w:id="31" w:name="_Toc15378460"/>
      <w:bookmarkStart w:id="32" w:name="_Toc15377444"/>
      <w:bookmarkStart w:id="33" w:name="_Toc15377213"/>
      <w:r>
        <w:rPr>
          <w:rFonts w:hint="default" w:ascii="Times New Roman" w:hAnsi="Times New Roman" w:eastAsia="仿宋" w:cs="Times New Roman"/>
          <w:b/>
          <w:sz w:val="32"/>
          <w:szCs w:val="32"/>
        </w:rPr>
        <w:t>202</w:t>
      </w:r>
      <w:r>
        <w:rPr>
          <w:rFonts w:hint="default" w:ascii="Times New Roman" w:hAnsi="Times New Roman" w:eastAsia="仿宋" w:cs="Times New Roman"/>
          <w:b/>
          <w:sz w:val="32"/>
          <w:szCs w:val="32"/>
          <w:lang w:val="en-US" w:eastAsia="zh-CN"/>
        </w:rPr>
        <w:t>4</w:t>
      </w:r>
      <w:r>
        <w:rPr>
          <w:rFonts w:hint="default" w:ascii="Times New Roman" w:hAnsi="Times New Roman" w:eastAsia="仿宋" w:cs="Times New Roman"/>
          <w:b/>
          <w:sz w:val="32"/>
          <w:szCs w:val="32"/>
        </w:rPr>
        <w:t>年度一般公共预算支出决算数为</w:t>
      </w:r>
      <w:r>
        <w:rPr>
          <w:rFonts w:hint="default" w:ascii="Times New Roman" w:hAnsi="Times New Roman" w:eastAsia="仿宋" w:cs="Times New Roman"/>
          <w:sz w:val="32"/>
          <w:szCs w:val="32"/>
          <w:lang w:val="en-US" w:eastAsia="zh-CN"/>
        </w:rPr>
        <w:t>951.45</w:t>
      </w:r>
      <w:r>
        <w:rPr>
          <w:rFonts w:hint="default" w:ascii="Times New Roman" w:hAnsi="Times New Roman" w:eastAsia="仿宋" w:cs="Times New Roman"/>
          <w:sz w:val="32"/>
          <w:szCs w:val="32"/>
        </w:rPr>
        <w:t>，</w:t>
      </w:r>
      <w:r>
        <w:rPr>
          <w:rStyle w:val="17"/>
          <w:rFonts w:hint="default" w:ascii="Times New Roman" w:hAnsi="Times New Roman" w:eastAsia="仿宋" w:cs="Times New Roman"/>
          <w:bCs/>
          <w:sz w:val="32"/>
          <w:szCs w:val="32"/>
        </w:rPr>
        <w:t>完成预算</w:t>
      </w:r>
      <w:r>
        <w:rPr>
          <w:rStyle w:val="17"/>
          <w:rFonts w:hint="default" w:ascii="Times New Roman" w:hAnsi="Times New Roman" w:eastAsia="仿宋" w:cs="Times New Roman"/>
          <w:b w:val="0"/>
          <w:bCs w:val="0"/>
          <w:sz w:val="32"/>
          <w:szCs w:val="32"/>
          <w:lang w:val="en-US" w:eastAsia="zh-CN"/>
        </w:rPr>
        <w:t>100</w:t>
      </w:r>
      <w:r>
        <w:rPr>
          <w:rStyle w:val="17"/>
          <w:rFonts w:hint="default" w:ascii="Times New Roman" w:hAnsi="Times New Roman" w:eastAsia="仿宋" w:cs="Times New Roman"/>
          <w:b w:val="0"/>
          <w:bCs w:val="0"/>
          <w:sz w:val="32"/>
          <w:szCs w:val="32"/>
        </w:rPr>
        <w:t>%</w:t>
      </w:r>
      <w:r>
        <w:rPr>
          <w:rStyle w:val="17"/>
          <w:rFonts w:hint="default" w:ascii="Times New Roman" w:hAnsi="Times New Roman" w:eastAsia="仿宋" w:cs="Times New Roman"/>
          <w:bCs/>
          <w:sz w:val="32"/>
          <w:szCs w:val="32"/>
        </w:rPr>
        <w:t>。其中：</w:t>
      </w:r>
      <w:bookmarkEnd w:id="31"/>
      <w:bookmarkEnd w:id="32"/>
      <w:bookmarkEnd w:id="33"/>
    </w:p>
    <w:p w14:paraId="6325108B">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1.公共安全支出:2024年支出决算为772.34万元，完成预算100%，其中：行政运行（2040401）支出决算数为460.59万元；一般行政管理事务（2040402）支出决算数为278.44万元;其他检察支出（2040499）支出决算数为33.31万元.</w:t>
      </w:r>
    </w:p>
    <w:p w14:paraId="71C45472">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2.社会保障和就业支出:支出决算为83.75万元，完成预算100%，其中：机关事业单位基本养老保险缴费支出（2080505）决算数为57.26万元；机关事业单位职业年金缴费支出（2080506）决算数为26.49万元。</w:t>
      </w:r>
    </w:p>
    <w:p w14:paraId="33062767">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3.卫生健康支出:支出决算为38.77万元，完成预算100%，其中:行政单位医疗（2101101）支出决算数为28.38万元;公务员医疗补助（2101103）支出决算数为10.4万元。</w:t>
      </w:r>
      <w:r>
        <w:rPr>
          <w:rFonts w:hint="default" w:ascii="Times New Roman" w:hAnsi="Times New Roman" w:eastAsia="仿宋_GB2312" w:cs="Times New Roman"/>
          <w:kern w:val="2"/>
          <w:sz w:val="32"/>
          <w:szCs w:val="32"/>
          <w:lang w:val="en-US" w:eastAsia="zh-CN" w:bidi="ar-SA"/>
        </w:rPr>
        <w:br w:type="textWrapping"/>
      </w:r>
      <w:r>
        <w:rPr>
          <w:rFonts w:hint="default" w:ascii="Times New Roman" w:hAnsi="Times New Roman" w:eastAsia="仿宋_GB2312" w:cs="Times New Roman"/>
          <w:kern w:val="2"/>
          <w:sz w:val="32"/>
          <w:szCs w:val="32"/>
          <w:lang w:val="en-US" w:eastAsia="zh-CN" w:bidi="ar-SA"/>
        </w:rPr>
        <w:t xml:space="preserve">    4.住房保障支出：支出决算为56.59万元，完成预算100%，其中:住房公积金（2210201）支出决算数为56.59万元。</w:t>
      </w:r>
    </w:p>
    <w:p w14:paraId="31CE18EF">
      <w:pPr>
        <w:spacing w:line="600" w:lineRule="exact"/>
        <w:ind w:firstLine="640" w:firstLineChars="200"/>
        <w:outlineLvl w:val="1"/>
        <w:rPr>
          <w:rFonts w:hint="default" w:ascii="Times New Roman" w:hAnsi="Times New Roman" w:eastAsia="黑体" w:cs="Times New Roman"/>
          <w:sz w:val="32"/>
          <w:szCs w:val="32"/>
          <w:lang w:val="en-US" w:eastAsia="zh-CN"/>
        </w:rPr>
      </w:pPr>
      <w:bookmarkStart w:id="34" w:name="_Toc15396608"/>
      <w:bookmarkStart w:id="35" w:name="_Toc15377214"/>
      <w:r>
        <w:rPr>
          <w:rFonts w:hint="default" w:ascii="Times New Roman" w:hAnsi="Times New Roman" w:eastAsia="黑体" w:cs="Times New Roman"/>
          <w:sz w:val="32"/>
          <w:szCs w:val="32"/>
          <w:lang w:val="en-US" w:eastAsia="zh-CN"/>
        </w:rPr>
        <w:t>六、一般公共预算财政拨款基本支出决算情况说明</w:t>
      </w:r>
      <w:bookmarkEnd w:id="34"/>
      <w:bookmarkEnd w:id="35"/>
      <w:r>
        <w:rPr>
          <w:rFonts w:hint="default" w:ascii="Times New Roman" w:hAnsi="Times New Roman" w:eastAsia="黑体" w:cs="Times New Roman"/>
          <w:sz w:val="32"/>
          <w:szCs w:val="32"/>
          <w:lang w:val="en-US" w:eastAsia="zh-CN"/>
        </w:rPr>
        <w:tab/>
      </w:r>
    </w:p>
    <w:p w14:paraId="730F7AA1">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2024年度一般公共预算财政拨款基本支出639.7万元，其中人员经费555.</w:t>
      </w:r>
      <w:r>
        <w:rPr>
          <w:rFonts w:hint="eastAsia" w:ascii="Times New Roman" w:cs="Times New Roman"/>
          <w:kern w:val="2"/>
          <w:sz w:val="32"/>
          <w:szCs w:val="32"/>
          <w:lang w:val="en-US" w:eastAsia="zh-CN" w:bidi="ar-SA"/>
        </w:rPr>
        <w:t>73</w:t>
      </w:r>
      <w:r>
        <w:rPr>
          <w:rFonts w:hint="default" w:ascii="Times New Roman" w:hAnsi="Times New Roman" w:eastAsia="仿宋_GB2312" w:cs="Times New Roman"/>
          <w:kern w:val="2"/>
          <w:sz w:val="32"/>
          <w:szCs w:val="32"/>
          <w:lang w:val="en-US" w:eastAsia="zh-CN" w:bidi="ar-SA"/>
        </w:rPr>
        <w:t>万元，主要包括：基本工资、津贴补贴、奖金、机关事业单位基本养老保险缴费、职业年金缴费、职工基本医疗保险缴费、公务员医疗补助缴费、住房公积金、其他社会保障缴费、其他工资福利支出、对个人和家庭的补助。</w:t>
      </w:r>
    </w:p>
    <w:p w14:paraId="7993F901">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公用经费83.97万元，主要包括：办公费、电费、邮电费、差旅费、维修（护）费、公务接待费、劳务费、委托业务费、福利费、公务用车运行维护费、其他商品和服务支出费。</w:t>
      </w:r>
    </w:p>
    <w:p w14:paraId="744D3E17">
      <w:pPr>
        <w:spacing w:line="600" w:lineRule="exact"/>
        <w:ind w:firstLine="640" w:firstLineChars="200"/>
        <w:outlineLvl w:val="1"/>
        <w:rPr>
          <w:rFonts w:hint="default" w:ascii="Times New Roman" w:hAnsi="Times New Roman" w:eastAsia="黑体" w:cs="Times New Roman"/>
          <w:sz w:val="32"/>
          <w:szCs w:val="32"/>
          <w:lang w:val="en-US" w:eastAsia="zh-CN"/>
        </w:rPr>
      </w:pPr>
      <w:bookmarkStart w:id="36" w:name="_Toc15396609"/>
      <w:bookmarkStart w:id="37" w:name="_Toc15377215"/>
      <w:r>
        <w:rPr>
          <w:rFonts w:hint="default" w:ascii="Times New Roman" w:hAnsi="Times New Roman" w:eastAsia="黑体" w:cs="Times New Roman"/>
          <w:sz w:val="32"/>
          <w:szCs w:val="32"/>
          <w:lang w:val="en-US" w:eastAsia="zh-CN"/>
        </w:rPr>
        <w:t>七、财政拨款“三公”经费支出决算情况说明</w:t>
      </w:r>
      <w:bookmarkEnd w:id="36"/>
      <w:bookmarkEnd w:id="37"/>
    </w:p>
    <w:p w14:paraId="3463E069">
      <w:pPr>
        <w:spacing w:line="600" w:lineRule="exact"/>
        <w:ind w:firstLine="643" w:firstLineChars="200"/>
        <w:outlineLvl w:val="2"/>
        <w:rPr>
          <w:rFonts w:hint="default" w:ascii="Times New Roman" w:hAnsi="Times New Roman" w:eastAsia="楷体_GB2312" w:cs="Times New Roman"/>
          <w:b/>
          <w:sz w:val="32"/>
          <w:szCs w:val="32"/>
        </w:rPr>
      </w:pPr>
      <w:bookmarkStart w:id="38" w:name="_Toc15377216"/>
      <w:r>
        <w:rPr>
          <w:rFonts w:hint="default" w:ascii="Times New Roman" w:hAnsi="Times New Roman" w:eastAsia="楷体_GB2312" w:cs="Times New Roman"/>
          <w:b/>
          <w:sz w:val="32"/>
          <w:szCs w:val="32"/>
        </w:rPr>
        <w:t>（一）“三公”经费财政拨款支出决算总体情况说明</w:t>
      </w:r>
      <w:bookmarkEnd w:id="38"/>
    </w:p>
    <w:p w14:paraId="009B0D60">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2024年度“三公”经费财政拨款支出决算为8.17万元，完成预算100%，较上年度减少21.29万元，减少72.</w:t>
      </w:r>
      <w:r>
        <w:rPr>
          <w:rFonts w:hint="eastAsia" w:ascii="Times New Roman" w:cs="Times New Roman"/>
          <w:kern w:val="2"/>
          <w:sz w:val="32"/>
          <w:szCs w:val="32"/>
          <w:lang w:val="en-US" w:eastAsia="zh-CN" w:bidi="ar-SA"/>
        </w:rPr>
        <w:t>3</w:t>
      </w:r>
      <w:r>
        <w:rPr>
          <w:rFonts w:hint="default" w:ascii="Times New Roman" w:hAnsi="Times New Roman" w:eastAsia="仿宋_GB2312" w:cs="Times New Roman"/>
          <w:kern w:val="2"/>
          <w:sz w:val="32"/>
          <w:szCs w:val="32"/>
          <w:lang w:val="en-US" w:eastAsia="zh-CN" w:bidi="ar-SA"/>
        </w:rPr>
        <w:t>%。决算数与预算数持平。</w:t>
      </w:r>
    </w:p>
    <w:p w14:paraId="48E63257">
      <w:pPr>
        <w:spacing w:line="600" w:lineRule="exact"/>
        <w:ind w:firstLine="643" w:firstLineChars="200"/>
        <w:outlineLvl w:val="2"/>
        <w:rPr>
          <w:rFonts w:hint="default" w:ascii="Times New Roman" w:hAnsi="Times New Roman" w:eastAsia="楷体_GB2312" w:cs="Times New Roman"/>
          <w:b/>
          <w:sz w:val="32"/>
          <w:szCs w:val="32"/>
        </w:rPr>
      </w:pPr>
      <w:bookmarkStart w:id="39" w:name="_Toc15377217"/>
      <w:r>
        <w:rPr>
          <w:rFonts w:hint="default" w:ascii="Times New Roman" w:hAnsi="Times New Roman" w:eastAsia="楷体_GB2312" w:cs="Times New Roman"/>
          <w:b/>
          <w:sz w:val="32"/>
          <w:szCs w:val="32"/>
        </w:rPr>
        <w:t>（二）“三公”经费财政拨款支出决算具体情况说明</w:t>
      </w:r>
      <w:bookmarkEnd w:id="39"/>
    </w:p>
    <w:p w14:paraId="601A72C3">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2024年度“三公”经费财政拨款支出决算中，因公出国（境）费支出决算0万元，占0%；公务用车购置及运行维护费支出决算6.94万元，占85%；公务接待费支出决算1.23万元，占15%。具体情况如下：</w:t>
      </w:r>
    </w:p>
    <w:p w14:paraId="6098EE80">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_GB2312" w:cs="Times New Roman"/>
          <w:color w:val="000000"/>
          <w:sz w:val="30"/>
          <w:szCs w:val="30"/>
        </w:rPr>
        <w:pict>
          <v:shape id="Object 8" o:spid="_x0000_s1033" o:spt="75" type="#_x0000_t75" style="position:absolute;left:0pt;margin-left:51.45pt;margin-top:4.05pt;height:201.7pt;width:330.9pt;z-index:251663360;mso-width-relative:page;mso-height-relative:page;" o:ole="t" filled="f" o:preferrelative="t" stroked="f" coordsize="21600,21600">
            <v:path/>
            <v:fill on="f" focussize="0,0"/>
            <v:stroke on="f"/>
            <v:imagedata r:id="rId19" o:title=""/>
            <o:lock v:ext="edit" aspectratio="t"/>
          </v:shape>
          <o:OLEObject Type="Embed" ProgID="Excel.Chart.8" ShapeID="Object 8" DrawAspect="Content" ObjectID="_1468075731" r:id="rId18">
            <o:LockedField>false</o:LockedField>
          </o:OLEObject>
        </w:pict>
      </w:r>
    </w:p>
    <w:p w14:paraId="6FD3D6CC">
      <w:pPr>
        <w:spacing w:line="600" w:lineRule="exact"/>
        <w:ind w:firstLine="640"/>
        <w:rPr>
          <w:rFonts w:hint="default" w:ascii="Times New Roman" w:hAnsi="Times New Roman" w:eastAsia="仿宋" w:cs="Times New Roman"/>
          <w:sz w:val="32"/>
          <w:szCs w:val="32"/>
        </w:rPr>
      </w:pPr>
    </w:p>
    <w:p w14:paraId="554A5477">
      <w:pPr>
        <w:spacing w:line="600" w:lineRule="exact"/>
        <w:ind w:firstLine="640"/>
        <w:rPr>
          <w:rFonts w:hint="default" w:ascii="Times New Roman" w:hAnsi="Times New Roman" w:eastAsia="仿宋" w:cs="Times New Roman"/>
          <w:sz w:val="32"/>
          <w:szCs w:val="32"/>
        </w:rPr>
      </w:pPr>
    </w:p>
    <w:p w14:paraId="4BE22277">
      <w:pPr>
        <w:spacing w:line="600" w:lineRule="exact"/>
        <w:ind w:firstLine="640"/>
        <w:rPr>
          <w:rFonts w:hint="default" w:ascii="Times New Roman" w:hAnsi="Times New Roman" w:eastAsia="仿宋" w:cs="Times New Roman"/>
          <w:sz w:val="32"/>
          <w:szCs w:val="32"/>
        </w:rPr>
      </w:pPr>
    </w:p>
    <w:p w14:paraId="23BD6691">
      <w:pPr>
        <w:spacing w:line="600" w:lineRule="exact"/>
        <w:ind w:firstLine="640"/>
        <w:rPr>
          <w:rFonts w:hint="default" w:ascii="Times New Roman" w:hAnsi="Times New Roman" w:eastAsia="仿宋" w:cs="Times New Roman"/>
          <w:sz w:val="32"/>
          <w:szCs w:val="32"/>
        </w:rPr>
      </w:pPr>
    </w:p>
    <w:p w14:paraId="241BD1F8">
      <w:pPr>
        <w:spacing w:line="600" w:lineRule="exact"/>
        <w:ind w:firstLine="640"/>
        <w:rPr>
          <w:rFonts w:hint="default" w:ascii="Times New Roman" w:hAnsi="Times New Roman" w:eastAsia="仿宋" w:cs="Times New Roman"/>
          <w:sz w:val="32"/>
          <w:szCs w:val="32"/>
        </w:rPr>
      </w:pPr>
    </w:p>
    <w:p w14:paraId="7CE0BBF6">
      <w:pPr>
        <w:spacing w:line="600" w:lineRule="exact"/>
        <w:rPr>
          <w:rFonts w:hint="default" w:ascii="Times New Roman" w:hAnsi="Times New Roman" w:eastAsia="仿宋" w:cs="Times New Roman"/>
          <w:sz w:val="32"/>
          <w:szCs w:val="32"/>
        </w:rPr>
      </w:pPr>
    </w:p>
    <w:p w14:paraId="566DFC1D">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w:t>
      </w: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“三公”经费财政拨款支出结构）（饼状图）</w:t>
      </w:r>
    </w:p>
    <w:p w14:paraId="44DC85D4">
      <w:pPr>
        <w:spacing w:line="600" w:lineRule="exact"/>
        <w:ind w:firstLine="640"/>
        <w:rPr>
          <w:rFonts w:hint="default" w:ascii="Times New Roman" w:hAnsi="Times New Roman" w:eastAsia="仿宋" w:cs="Times New Roman"/>
          <w:sz w:val="32"/>
          <w:szCs w:val="32"/>
        </w:rPr>
      </w:pPr>
    </w:p>
    <w:p w14:paraId="33D93D1A">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1.因公出国（境）经费支出0万元，完成预算0%。全年安排因公出国（境）团组0次，出国（境）0人。因公出国（境）支出决算与2023年一致。</w:t>
      </w:r>
    </w:p>
    <w:p w14:paraId="46C6F609">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2.公务用车购置及运行维护费支出6.94万元,完成预算100%。公务用车购置及运行维护费支出决算比2023年度减少21.12万元，</w:t>
      </w:r>
      <w:r>
        <w:rPr>
          <w:rFonts w:hint="eastAsia" w:ascii="Times New Roman" w:cs="Times New Roman"/>
          <w:kern w:val="2"/>
          <w:sz w:val="32"/>
          <w:szCs w:val="32"/>
          <w:lang w:val="en-US" w:eastAsia="zh-CN" w:bidi="ar-SA"/>
        </w:rPr>
        <w:t>减少</w:t>
      </w:r>
      <w:r>
        <w:rPr>
          <w:rFonts w:hint="default" w:ascii="Times New Roman" w:hAnsi="Times New Roman" w:eastAsia="仿宋_GB2312" w:cs="Times New Roman"/>
          <w:kern w:val="2"/>
          <w:sz w:val="32"/>
          <w:szCs w:val="32"/>
          <w:lang w:val="en-US" w:eastAsia="zh-CN" w:bidi="ar-SA"/>
        </w:rPr>
        <w:t>75.</w:t>
      </w:r>
      <w:r>
        <w:rPr>
          <w:rFonts w:hint="eastAsia" w:ascii="Times New Roman" w:cs="Times New Roman"/>
          <w:kern w:val="2"/>
          <w:sz w:val="32"/>
          <w:szCs w:val="32"/>
          <w:lang w:val="en-US" w:eastAsia="zh-CN" w:bidi="ar-SA"/>
        </w:rPr>
        <w:t>3</w:t>
      </w:r>
      <w:r>
        <w:rPr>
          <w:rFonts w:hint="default" w:ascii="Times New Roman" w:hAnsi="Times New Roman" w:eastAsia="仿宋_GB2312" w:cs="Times New Roman"/>
          <w:kern w:val="2"/>
          <w:sz w:val="32"/>
          <w:szCs w:val="32"/>
          <w:lang w:val="en-US" w:eastAsia="zh-CN" w:bidi="ar-SA"/>
        </w:rPr>
        <w:t>%。主要原因是2023年我院车辆运维大部分使用办案业务经费，其它交通费用支出19.43万元。</w:t>
      </w:r>
    </w:p>
    <w:p w14:paraId="3E584617">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其中：公务用车购置支出0万元。全年按规定更新购置公务用车0辆。截至2024年12月31日，单位共有公务用车6辆，其中：轿车1辆、越野车4辆、小型载客汽车1辆。</w:t>
      </w:r>
    </w:p>
    <w:p w14:paraId="6FA7563D">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公务用车运行维护费支出6.94万元。主要用于检察办案业务等所需的公务用车燃料费、维修费、过路过桥费、保险费等支出。</w:t>
      </w:r>
    </w:p>
    <w:p w14:paraId="65AFB077">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3.公务接待费支出1.23万元，完成预算100%。公务接待费支出决算比2023年度减少0.17万元，</w:t>
      </w:r>
      <w:r>
        <w:rPr>
          <w:rFonts w:hint="eastAsia" w:ascii="Times New Roman" w:cs="Times New Roman"/>
          <w:kern w:val="2"/>
          <w:sz w:val="32"/>
          <w:szCs w:val="32"/>
          <w:lang w:val="en-US" w:eastAsia="zh-CN" w:bidi="ar-SA"/>
        </w:rPr>
        <w:t>减少</w:t>
      </w:r>
      <w:r>
        <w:rPr>
          <w:rFonts w:hint="default" w:ascii="Times New Roman" w:hAnsi="Times New Roman" w:eastAsia="仿宋_GB2312" w:cs="Times New Roman"/>
          <w:kern w:val="2"/>
          <w:sz w:val="32"/>
          <w:szCs w:val="32"/>
          <w:lang w:val="en-US" w:eastAsia="zh-CN" w:bidi="ar-SA"/>
        </w:rPr>
        <w:t>12.1%。主要原因是公务接待费用支出减少。其中：</w:t>
      </w:r>
    </w:p>
    <w:p w14:paraId="0D3D01B6">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国内公务接待支出1.23万元，主要用于开展检察业务活动开支的用餐费。国内公务接待11批次，118人次（不包括陪同人员），共计支出1.23万元，具体内容包括：接待省院调研组来汶调研一行金额0.11万元；接待乐至检察院结对共建活动一行金额0.34万元；接待泸州来汶交流组一行金额0.13万元；接待资阳援藏援彝交流组一行金额0.14万元；接待理县人民检察院学习交流、阿坝县人民检察院开展公益诉讼交流、黑水县人民检察院学习交流、阿坝县人民检察院开展党建工作交流、金川县人民检察院学习交流共计0.27万元；接待眉山市人民检察院一行（加州院陪同）交流组一行金额0.13万元；接待内江市人民检察院工作交流组一行金额0.11万元。其中：外事接待0批次，0人，共计支出0万元。</w:t>
      </w:r>
    </w:p>
    <w:p w14:paraId="0A2BD030">
      <w:pPr>
        <w:spacing w:line="600" w:lineRule="exact"/>
        <w:ind w:firstLine="640" w:firstLineChars="200"/>
        <w:outlineLvl w:val="1"/>
        <w:rPr>
          <w:rFonts w:hint="default" w:ascii="Times New Roman" w:hAnsi="Times New Roman" w:eastAsia="黑体" w:cs="Times New Roman"/>
          <w:sz w:val="32"/>
          <w:szCs w:val="32"/>
          <w:lang w:val="en-US" w:eastAsia="zh-CN"/>
        </w:rPr>
      </w:pPr>
      <w:bookmarkStart w:id="40" w:name="_Toc15396610"/>
      <w:bookmarkStart w:id="41" w:name="_Toc15377218"/>
      <w:r>
        <w:rPr>
          <w:rFonts w:hint="default" w:ascii="Times New Roman" w:hAnsi="Times New Roman" w:eastAsia="黑体" w:cs="Times New Roman"/>
          <w:sz w:val="32"/>
          <w:szCs w:val="32"/>
          <w:lang w:val="en-US" w:eastAsia="zh-CN"/>
        </w:rPr>
        <w:t>八、政府性基金预算支出决算情况说明</w:t>
      </w:r>
      <w:bookmarkEnd w:id="40"/>
      <w:bookmarkEnd w:id="41"/>
    </w:p>
    <w:p w14:paraId="447B5ED7">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2024年度政府性基金预算财政拨款支出0万元。与2023年相比无变化。</w:t>
      </w:r>
    </w:p>
    <w:p w14:paraId="08EB283A">
      <w:pPr>
        <w:spacing w:line="600" w:lineRule="exact"/>
        <w:ind w:firstLine="640" w:firstLineChars="200"/>
        <w:outlineLvl w:val="1"/>
        <w:rPr>
          <w:rFonts w:hint="default" w:ascii="Times New Roman" w:hAnsi="Times New Roman" w:eastAsia="黑体" w:cs="Times New Roman"/>
          <w:sz w:val="32"/>
          <w:szCs w:val="32"/>
          <w:lang w:val="en-US" w:eastAsia="zh-CN"/>
        </w:rPr>
      </w:pPr>
      <w:bookmarkStart w:id="42" w:name="_Toc15396611"/>
      <w:bookmarkStart w:id="43" w:name="_Toc15377219"/>
      <w:r>
        <w:rPr>
          <w:rFonts w:hint="default" w:ascii="Times New Roman" w:hAnsi="Times New Roman" w:eastAsia="黑体" w:cs="Times New Roman"/>
          <w:sz w:val="32"/>
          <w:szCs w:val="32"/>
          <w:lang w:val="en-US" w:eastAsia="zh-CN"/>
        </w:rPr>
        <w:t>九、国有资本经营预算支出决算情况说明</w:t>
      </w:r>
      <w:bookmarkEnd w:id="42"/>
      <w:bookmarkEnd w:id="43"/>
    </w:p>
    <w:p w14:paraId="56C8A908">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2024年度国有资本经营预算财政拨款支出0万元。与2023年相比无变化。</w:t>
      </w:r>
    </w:p>
    <w:p w14:paraId="7B8E8993">
      <w:pPr>
        <w:spacing w:line="600" w:lineRule="exact"/>
        <w:ind w:firstLine="640" w:firstLineChars="200"/>
        <w:outlineLvl w:val="1"/>
        <w:rPr>
          <w:rFonts w:hint="default" w:ascii="Times New Roman" w:hAnsi="Times New Roman" w:eastAsia="黑体" w:cs="Times New Roman"/>
          <w:sz w:val="32"/>
          <w:szCs w:val="32"/>
          <w:lang w:val="en-US" w:eastAsia="zh-CN"/>
        </w:rPr>
      </w:pPr>
      <w:bookmarkStart w:id="44" w:name="_Toc15396612"/>
      <w:bookmarkStart w:id="45" w:name="_Toc15377221"/>
      <w:r>
        <w:rPr>
          <w:rFonts w:hint="default" w:ascii="Times New Roman" w:hAnsi="Times New Roman" w:eastAsia="黑体" w:cs="Times New Roman"/>
          <w:sz w:val="32"/>
          <w:szCs w:val="32"/>
          <w:lang w:val="en-US" w:eastAsia="zh-CN"/>
        </w:rPr>
        <w:t>十、其他重要事项的情况说明</w:t>
      </w:r>
      <w:bookmarkEnd w:id="44"/>
      <w:bookmarkEnd w:id="45"/>
    </w:p>
    <w:p w14:paraId="209382D6">
      <w:pPr>
        <w:spacing w:line="600" w:lineRule="exact"/>
        <w:ind w:firstLine="643" w:firstLineChars="200"/>
        <w:outlineLvl w:val="2"/>
        <w:rPr>
          <w:rFonts w:hint="default" w:ascii="Times New Roman" w:hAnsi="Times New Roman" w:eastAsia="楷体_GB2312" w:cs="Times New Roman"/>
          <w:b/>
          <w:sz w:val="32"/>
          <w:szCs w:val="32"/>
        </w:rPr>
      </w:pPr>
      <w:bookmarkStart w:id="46" w:name="_Toc15377222"/>
      <w:r>
        <w:rPr>
          <w:rFonts w:hint="default" w:ascii="Times New Roman" w:hAnsi="Times New Roman" w:eastAsia="楷体_GB2312" w:cs="Times New Roman"/>
          <w:b/>
          <w:sz w:val="32"/>
          <w:szCs w:val="32"/>
        </w:rPr>
        <w:t>（一）机关运行经费支出情况</w:t>
      </w:r>
      <w:bookmarkEnd w:id="46"/>
    </w:p>
    <w:p w14:paraId="3833CCEB">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2024年度，四川省阿坝州汶川县人民检察院机关运行经费支出83.97万元，比2023年度减少9.17万元，减少9.8%。主要原因</w:t>
      </w:r>
      <w:r>
        <w:rPr>
          <w:rFonts w:hint="eastAsia" w:ascii="Times New Roman" w:cs="Times New Roman"/>
          <w:kern w:val="2"/>
          <w:sz w:val="32"/>
          <w:szCs w:val="32"/>
          <w:lang w:val="en-US" w:eastAsia="zh-CN" w:bidi="ar-SA"/>
        </w:rPr>
        <w:t>全院</w:t>
      </w:r>
      <w:r>
        <w:rPr>
          <w:rFonts w:hint="default" w:ascii="Times New Roman" w:hAnsi="Times New Roman" w:eastAsia="仿宋_GB2312" w:cs="Times New Roman"/>
          <w:kern w:val="2"/>
          <w:sz w:val="32"/>
          <w:szCs w:val="32"/>
          <w:lang w:val="en-US" w:eastAsia="zh-CN" w:bidi="ar-SA"/>
        </w:rPr>
        <w:t>机关运行经费支出减少。</w:t>
      </w:r>
    </w:p>
    <w:p w14:paraId="2C82CD6A">
      <w:pPr>
        <w:spacing w:line="600" w:lineRule="exact"/>
        <w:ind w:firstLine="643" w:firstLineChars="200"/>
        <w:outlineLvl w:val="2"/>
        <w:rPr>
          <w:rFonts w:hint="default" w:ascii="Times New Roman" w:hAnsi="Times New Roman" w:eastAsia="楷体_GB2312" w:cs="Times New Roman"/>
          <w:b/>
          <w:sz w:val="32"/>
          <w:szCs w:val="32"/>
        </w:rPr>
      </w:pPr>
      <w:bookmarkStart w:id="47" w:name="_Toc15377223"/>
      <w:r>
        <w:rPr>
          <w:rFonts w:hint="default" w:ascii="Times New Roman" w:hAnsi="Times New Roman" w:eastAsia="楷体_GB2312" w:cs="Times New Roman"/>
          <w:b/>
          <w:sz w:val="32"/>
          <w:szCs w:val="32"/>
        </w:rPr>
        <w:t>（二）政府采购支出情况</w:t>
      </w:r>
      <w:bookmarkEnd w:id="47"/>
    </w:p>
    <w:p w14:paraId="4B4EB897">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度，四川省阿坝州汶川县人民检察院政府采购支出总额172.05万元。其中：政府采购货物支出172.05万元、政府采购工程支出0万元、政府采购服务支出0万元。主要用于法治阵地建设、检察新媒体工作室建设和办案设备购置。授予中小企业合同金额0万元，占政府采购支出总额的0%，其中：授予小微企业合同金额0万元，占政府采购支出总额的0%。</w:t>
      </w:r>
    </w:p>
    <w:p w14:paraId="25101F9B">
      <w:pPr>
        <w:spacing w:line="600" w:lineRule="exact"/>
        <w:ind w:firstLine="643" w:firstLineChars="200"/>
        <w:outlineLvl w:val="2"/>
        <w:rPr>
          <w:rFonts w:hint="default" w:ascii="Times New Roman" w:hAnsi="Times New Roman" w:eastAsia="楷体_GB2312" w:cs="Times New Roman"/>
          <w:b/>
          <w:sz w:val="32"/>
          <w:szCs w:val="32"/>
        </w:rPr>
      </w:pPr>
      <w:bookmarkStart w:id="48" w:name="_Toc15377224"/>
      <w:r>
        <w:rPr>
          <w:rFonts w:hint="default" w:ascii="Times New Roman" w:hAnsi="Times New Roman" w:eastAsia="楷体_GB2312" w:cs="Times New Roman"/>
          <w:b/>
          <w:sz w:val="32"/>
          <w:szCs w:val="32"/>
        </w:rPr>
        <w:t>（三）国有资产占有使用情况</w:t>
      </w:r>
      <w:bookmarkEnd w:id="48"/>
    </w:p>
    <w:p w14:paraId="5DAF7E46">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截至2024年12月31日，四川省阿坝州汶川县人民检察院共有车辆6辆，其中：执法执勤用车5辆,特种专业技术用车1辆。单价50万元以上通用设备0台（套），单价100万元以上专用设备0台（套）。</w:t>
      </w:r>
    </w:p>
    <w:p w14:paraId="6F4419F3">
      <w:pPr>
        <w:spacing w:line="600" w:lineRule="exact"/>
        <w:ind w:firstLine="643" w:firstLineChars="200"/>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（四）预算绩效管理情况</w:t>
      </w:r>
    </w:p>
    <w:p w14:paraId="7D93C697">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预算绩效管理要求，本部门在2024年度预算编制阶段，组织对工资性支出、单位缴费、聘用人员经费、其他支出、2023年上半年办案业务经费、2023年上半年办案业务装备经费、日常公用经费、退休人员经费、2023年下半年办案业务经费、2024年办案业务经费和2024年业务装备经费等13个项目开展了预算事前绩效评估，对13个项目编制了绩效目标，预算执行过程中，选取13个项目开展绩效监控。</w:t>
      </w:r>
    </w:p>
    <w:p w14:paraId="20A381D8">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组织对2024年度一般公共预算、政府性基金预算、国有资本经营预算、社会保险基金预算以及资本资产、债券资金等全面开展绩效自评，形成汶川县人民检察院部门整体绩效自评报告，其中，汶川县人民检察院部门整体绩效自评得分为89.97分，绩效自评综述：2024年，我院不断改善绩效目标编制的规范性、专业性和量化水平。积极履行检察职能，加强单位预算管理，确保预算资金执行的准确性和高效性。严格按照财务管理制度规范单位资金使用情况，加强项目管理，推进项目执行，达到预期目标。绩效自评报告详见附件。</w:t>
      </w:r>
    </w:p>
    <w:p w14:paraId="507890CC">
      <w:pPr>
        <w:pStyle w:val="2"/>
        <w:jc w:val="center"/>
        <w:rPr>
          <w:rFonts w:hint="default" w:ascii="Times New Roman" w:hAnsi="Times New Roman" w:eastAsia="方正小标宋简体" w:cs="Times New Roman"/>
          <w:b w:val="0"/>
        </w:rPr>
      </w:pPr>
      <w:r>
        <w:rPr>
          <w:rFonts w:hint="default" w:ascii="Times New Roman" w:hAnsi="Times New Roman" w:eastAsia="方正小标宋简体" w:cs="Times New Roman"/>
          <w:b w:val="0"/>
        </w:rPr>
        <w:t>第三部分 名词解释</w:t>
      </w:r>
    </w:p>
    <w:p w14:paraId="7C62BC25">
      <w:pPr>
        <w:rPr>
          <w:rFonts w:hint="default" w:ascii="Times New Roman" w:hAnsi="Times New Roman" w:cs="Times New Roman"/>
        </w:rPr>
      </w:pPr>
    </w:p>
    <w:p w14:paraId="74588CB3">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1.财政拨款收入：指单位从同级财政部门取得的财政预算资金。</w:t>
      </w:r>
    </w:p>
    <w:p w14:paraId="031751DB">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xml:space="preserve">2.年初结转和结余：指以前年度尚未完成、结转到本年按有关规定继续使用的资金。 </w:t>
      </w:r>
    </w:p>
    <w:p w14:paraId="1407EC56">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3.年末结转和结余：指单位按有关规定结转到下年或以后年度继续使用的资金。</w:t>
      </w:r>
    </w:p>
    <w:p w14:paraId="1252AE3D">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4.公共安全：2040401行政运行指用于指为保障机构正常运转、完成日常工作任务而发生的人员支出和公用支出。2040402一般行政管理事务指在基本支出之外为完成特定行政任务和事业发展目标所发生的支出。</w:t>
      </w:r>
    </w:p>
    <w:p w14:paraId="1E9A4D2C">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5.社会保障和就业：2080505机关事业单位基本养老保险缴费支出：指本单位职工应缴纳的基本养老保险缴费支出。2080506机关事业单位职业年金缴费支出：指本单位职工应缴纳的职业年金缴费支出。</w:t>
      </w:r>
    </w:p>
    <w:p w14:paraId="05DE0734">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6.卫生健康：2101101行政单位医疗指本单位职工应缴纳的机关医疗保险支出。</w:t>
      </w:r>
    </w:p>
    <w:p w14:paraId="771ED73B">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7.住房保障：2210201指本单位应缴纳的住房公积金。</w:t>
      </w:r>
    </w:p>
    <w:p w14:paraId="479F7713">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6157714">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9.机关运行经费：为保障行政单位（含参照公务员法管理的事业单位）运行用于购买货物和服务的各项资金，包括办公及印刷费、邮电费、差旅费、会议费、日常维修费、专用材料及一般设备购置费、办公用房水电费、公务用车运行维护费以及其他费用。</w:t>
      </w:r>
    </w:p>
    <w:p w14:paraId="4DE355EF">
      <w:pPr>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br w:type="page"/>
      </w:r>
    </w:p>
    <w:p w14:paraId="1399DD5C">
      <w:pPr>
        <w:pStyle w:val="2"/>
        <w:jc w:val="center"/>
        <w:rPr>
          <w:rFonts w:hint="default" w:ascii="Times New Roman" w:hAnsi="Times New Roman" w:eastAsia="方正小标宋简体" w:cs="Times New Roman"/>
          <w:b w:val="0"/>
        </w:rPr>
      </w:pPr>
      <w:r>
        <w:rPr>
          <w:rFonts w:hint="default" w:ascii="Times New Roman" w:hAnsi="Times New Roman" w:eastAsia="方正小标宋简体" w:cs="Times New Roman"/>
          <w:b w:val="0"/>
        </w:rPr>
        <w:t>第四部分 附件</w:t>
      </w:r>
    </w:p>
    <w:p w14:paraId="67F74E92">
      <w:pPr>
        <w:rPr>
          <w:rFonts w:hint="default" w:ascii="Times New Roman" w:hAnsi="Times New Roman" w:cs="Times New Roman"/>
        </w:rPr>
      </w:pPr>
    </w:p>
    <w:p w14:paraId="0EEB7CC6">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0A3658C5">
      <w:pPr>
        <w:widowControl/>
        <w:spacing w:line="560" w:lineRule="exact"/>
        <w:jc w:val="center"/>
        <w:rPr>
          <w:rFonts w:hint="default" w:ascii="Times New Roman" w:hAnsi="Times New Roman" w:eastAsia="方正小标宋简体" w:cs="Times New Roman"/>
          <w:b w:val="0"/>
          <w:bCs w:val="0"/>
          <w:sz w:val="44"/>
          <w:szCs w:val="44"/>
          <w:shd w:val="clear" w:color="auto" w:fill="FFFFFF"/>
        </w:rPr>
      </w:pPr>
      <w:r>
        <w:rPr>
          <w:rFonts w:hint="default" w:ascii="Times New Roman" w:hAnsi="Times New Roman" w:eastAsia="方正小标宋简体" w:cs="Times New Roman"/>
          <w:b w:val="0"/>
          <w:bCs w:val="0"/>
          <w:sz w:val="44"/>
          <w:szCs w:val="44"/>
          <w:shd w:val="clear" w:color="auto" w:fill="FFFFFF"/>
        </w:rPr>
        <w:t>汶川县人民检察院</w:t>
      </w:r>
    </w:p>
    <w:p w14:paraId="241AD14F">
      <w:pPr>
        <w:widowControl/>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b w:val="0"/>
          <w:bCs w:val="0"/>
          <w:sz w:val="44"/>
          <w:szCs w:val="44"/>
          <w:shd w:val="clear" w:color="auto" w:fill="FFFFFF"/>
          <w:lang w:val="en-US" w:eastAsia="zh-CN"/>
        </w:rPr>
        <w:t>2024</w:t>
      </w:r>
      <w:r>
        <w:rPr>
          <w:rFonts w:hint="default" w:ascii="Times New Roman" w:hAnsi="Times New Roman" w:eastAsia="方正小标宋简体" w:cs="Times New Roman"/>
          <w:b w:val="0"/>
          <w:bCs w:val="0"/>
          <w:sz w:val="44"/>
          <w:szCs w:val="44"/>
          <w:shd w:val="clear" w:color="auto" w:fill="FFFFFF"/>
        </w:rPr>
        <w:t>年</w:t>
      </w:r>
      <w:r>
        <w:rPr>
          <w:rFonts w:hint="default" w:ascii="Times New Roman" w:hAnsi="Times New Roman" w:eastAsia="方正小标宋简体" w:cs="Times New Roman"/>
          <w:sz w:val="44"/>
          <w:szCs w:val="44"/>
        </w:rPr>
        <w:t>部门</w:t>
      </w:r>
      <w:r>
        <w:rPr>
          <w:rFonts w:hint="default" w:ascii="Times New Roman" w:hAnsi="Times New Roman" w:eastAsia="方正小标宋简体" w:cs="Times New Roman"/>
          <w:sz w:val="44"/>
          <w:szCs w:val="44"/>
          <w:lang w:val="en-US" w:eastAsia="zh-CN"/>
        </w:rPr>
        <w:t>预算</w:t>
      </w:r>
      <w:r>
        <w:rPr>
          <w:rFonts w:hint="default" w:ascii="Times New Roman" w:hAnsi="Times New Roman" w:eastAsia="方正小标宋简体" w:cs="Times New Roman"/>
          <w:sz w:val="44"/>
          <w:szCs w:val="44"/>
        </w:rPr>
        <w:t>绩效</w:t>
      </w:r>
      <w:r>
        <w:rPr>
          <w:rFonts w:hint="default" w:ascii="Times New Roman" w:hAnsi="Times New Roman" w:eastAsia="方正小标宋简体" w:cs="Times New Roman"/>
          <w:sz w:val="44"/>
          <w:szCs w:val="44"/>
          <w:lang w:val="en-US" w:eastAsia="zh-CN"/>
        </w:rPr>
        <w:t>评价</w:t>
      </w:r>
      <w:r>
        <w:rPr>
          <w:rFonts w:hint="default" w:ascii="Times New Roman" w:hAnsi="Times New Roman" w:eastAsia="方正小标宋简体" w:cs="Times New Roman"/>
          <w:sz w:val="44"/>
          <w:szCs w:val="44"/>
        </w:rPr>
        <w:t>报告</w:t>
      </w:r>
    </w:p>
    <w:p w14:paraId="794A8C83">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78CB5BCB">
      <w:pPr>
        <w:spacing w:line="600" w:lineRule="exact"/>
        <w:ind w:firstLine="643" w:firstLineChars="200"/>
        <w:outlineLvl w:val="2"/>
        <w:rPr>
          <w:rFonts w:hint="default" w:ascii="Times New Roman" w:hAnsi="Times New Roman" w:eastAsia="楷体_GB2312" w:cs="Times New Roman"/>
          <w:b/>
          <w:sz w:val="32"/>
          <w:szCs w:val="32"/>
          <w:lang w:val="en-US" w:eastAsia="zh-CN"/>
        </w:rPr>
      </w:pPr>
      <w:r>
        <w:rPr>
          <w:rFonts w:hint="default" w:ascii="Times New Roman" w:hAnsi="Times New Roman" w:eastAsia="楷体_GB2312" w:cs="Times New Roman"/>
          <w:b/>
          <w:sz w:val="32"/>
          <w:szCs w:val="32"/>
          <w:lang w:val="zh-CN" w:eastAsia="zh-CN"/>
        </w:rPr>
        <w:t>一、部门（单位）基本情况</w:t>
      </w:r>
    </w:p>
    <w:p w14:paraId="7E453054">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zh-CN" w:eastAsia="zh-CN" w:bidi="ar-SA"/>
        </w:rPr>
        <w:t>（一）机构组成。按照检察机关内设机构改革规范的要求，设内设机构5个，其中业务部门3个，包括第一检察部（主要行使审查逮捕、审查起诉、立案监督、侦查监督、审判监督、未成年人刑事检察等职能）、第二检察部（主要行使民事检察、行政检察、公益诉讼等职能）和第三检察部（主要行使案件管理、控告申诉、刑事执行监督等职能），综合部门2个，包括办公室和政治部。</w:t>
      </w:r>
    </w:p>
    <w:p w14:paraId="68010C64">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（二）机构职能。汶川县人民检察院是国家的法律监督机关，接受</w:t>
      </w:r>
      <w:r>
        <w:rPr>
          <w:rFonts w:hint="default" w:ascii="Times New Roman" w:hAnsi="Times New Roman" w:eastAsia="仿宋_GB2312" w:cs="Times New Roman"/>
          <w:kern w:val="2"/>
          <w:sz w:val="32"/>
          <w:szCs w:val="32"/>
          <w:lang w:val="en-US" w:eastAsia="zh-CN" w:bidi="ar-SA"/>
        </w:rPr>
        <w:t>党委及</w:t>
      </w:r>
      <w:r>
        <w:rPr>
          <w:rFonts w:hint="default" w:ascii="Times New Roman" w:hAnsi="Times New Roman" w:eastAsia="仿宋_GB2312" w:cs="Times New Roman"/>
          <w:kern w:val="2"/>
          <w:sz w:val="32"/>
          <w:szCs w:val="32"/>
          <w:lang w:val="zh-CN" w:eastAsia="zh-CN" w:bidi="ar-SA"/>
        </w:rPr>
        <w:t>上级检察机关的领导，对汶川县人民代表大会和汶川县人民代表大会常务委员会负责并报告工作。</w:t>
      </w:r>
    </w:p>
    <w:p w14:paraId="4186F3CD">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1.办公室。</w:t>
      </w:r>
      <w:r>
        <w:rPr>
          <w:rFonts w:hint="default" w:ascii="Times New Roman" w:hAnsi="Times New Roman" w:eastAsia="仿宋_GB2312" w:cs="Times New Roman"/>
          <w:kern w:val="2"/>
          <w:sz w:val="32"/>
          <w:szCs w:val="32"/>
          <w:lang w:val="zh-CN" w:eastAsia="zh-CN" w:bidi="ar-SA"/>
        </w:rPr>
        <w:t>负责机关文电、会务、机要、档案、保密等工作。协助院领导处理检察政务，组织协调汶川县人民检察院重要工作部署、重大决策的贯彻实施和督查督办。起草审核相关文件文稿，处理检察信息，负责领导同志批办事项的督查工作。制定实施检察机关财务和装备规划，编制支出规划和部门预决算。负责汶川县人民检察院财务管理、国有资产管理、政府采购等工作。负责汶川县人民检察院职工工资发放，负责单位内部保卫、办公场所、公务车辆、枪支弹药等机关管理工作。负责人大代表、政协委员联络工作和特约检察员的联系工作。组织指导人民监督员工作。办理州检察院交办的工作。</w:t>
      </w:r>
    </w:p>
    <w:p w14:paraId="5AE12AD8">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2.第一检察部(加挂未成年人刑事检察科)。</w:t>
      </w:r>
      <w:r>
        <w:rPr>
          <w:rFonts w:hint="default" w:ascii="Times New Roman" w:hAnsi="Times New Roman" w:eastAsia="仿宋_GB2312" w:cs="Times New Roman"/>
          <w:kern w:val="2"/>
          <w:sz w:val="32"/>
          <w:szCs w:val="32"/>
          <w:lang w:val="zh-CN" w:eastAsia="zh-CN" w:bidi="ar-SA"/>
        </w:rPr>
        <w:t>负责对法律规定由汶川县人民检察院办理的除第二、第三检察部承办案件以外的刑事案件的审查逮捕、审查起诉、出庭支持公诉、抗诉，开展相关立案监督、侦查监督、审判监督以及相关案件的补充侦查。办理汶川县人民检察院管辖相关刑事申诉案件。</w:t>
      </w:r>
    </w:p>
    <w:p w14:paraId="0DD193B6">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   负责对法律规定的由汶川县人民检察院办理的未成年人和侵害未成年人犯罪案件的审查逮捕、审查起诉、出庭支持公诉、抗诉，开展相关立案监督、侦查监督、审判监督以及相关案件的补充侦查。开展未成年人司法保护和预防未成年人犯罪工作。</w:t>
      </w:r>
    </w:p>
    <w:p w14:paraId="2EAC9D28">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负责汶川县人民检察院行政执法与刑事司法衔接、社会治安综合治理、维护社会稳定、藏区依法常态化治理等专项工作的开展。</w:t>
      </w:r>
    </w:p>
    <w:p w14:paraId="66CE7453">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3.第二检察部。</w:t>
      </w:r>
      <w:r>
        <w:rPr>
          <w:rFonts w:hint="default" w:ascii="Times New Roman" w:hAnsi="Times New Roman" w:eastAsia="仿宋_GB2312" w:cs="Times New Roman"/>
          <w:kern w:val="2"/>
          <w:sz w:val="32"/>
          <w:szCs w:val="32"/>
          <w:lang w:val="zh-CN" w:eastAsia="zh-CN" w:bidi="ar-SA"/>
        </w:rPr>
        <w:t>负责办理向汶川县人民检察院申请监督的民事行政案件的审查、抗诉，承办对同级人民法院民事行政诉讼活动的法律监督，对审判监督程序以外的其他民事行政审判程序中审判人员的违法行为提出检察建议。对民事行政执行活动实行法律监督。开展民事行政支持起诉工作。办理汶川县人民检察院管辖的民事行政申诉案件。</w:t>
      </w:r>
    </w:p>
    <w:p w14:paraId="1F774F87">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负责办理法律规定由汶川县人民检察院办理的破坏生态资源和环境保护、食品药品安全领域侵害众多消费者合法权益等损害社会公共利益的民事公益诉讼案件，生态环境和资源保护、食品药品安全、国有财产保护、国有土地使用权出让等领域的行政公益诉讼案件，侵害英雄烈士姓名、肖像、名誉、荣誉的公益诉讼案件。负责对同级人民法院开庭审理的公益诉讼案件，派员出席法庭，依照有关规定提出检察建议。办理汶川县人民检察院管辖的公益诉讼申诉案件。</w:t>
      </w:r>
    </w:p>
    <w:p w14:paraId="53A64ABA">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负责统筹汶川县人民检察院机密级增强涉密专项网络安全、管理和维护工作。负责信息化建设和科学技术管理应用工作。负责全程同步录音录像工作。承担电子物证、视听资料等数据类证据固定、鉴定工作。</w:t>
      </w:r>
    </w:p>
    <w:p w14:paraId="407C15F7">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4.第三检察部。</w:t>
      </w:r>
      <w:r>
        <w:rPr>
          <w:rFonts w:hint="default" w:ascii="Times New Roman" w:hAnsi="Times New Roman" w:eastAsia="仿宋_GB2312" w:cs="Times New Roman"/>
          <w:kern w:val="2"/>
          <w:sz w:val="32"/>
          <w:szCs w:val="32"/>
          <w:lang w:val="zh-CN" w:eastAsia="zh-CN" w:bidi="ar-SA"/>
        </w:rPr>
        <w:t>负责对监狱、看守所和社区矫正机构等执法活动的监督，对刑事判决、裁定执行、强制医疗执行、羁押和办案期限的监督，羁押必要性审查。办理罪犯又犯罪案件。办理州检察院交办的案件。</w:t>
      </w:r>
    </w:p>
    <w:p w14:paraId="20776858">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负责受理向汶川县人民检察院的控告和申诉。承办汶川县人民检察院管辖的国家赔偿案件和国家司法救助案件。</w:t>
      </w:r>
    </w:p>
    <w:p w14:paraId="4ED56610">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负责案件的统一受理流转、办案流程监控、涉案财物的监管、法律文书监管、案件信息公开。统一组织办案质量评查、业务考评和业务统计分析研判。负责接待律师等诉讼参与人依法行使诉讼权利。负责检察机关统一业务应用系统的应用及后台配置。负责汶川县人民检察院目标责任考核工作。</w:t>
      </w:r>
    </w:p>
    <w:p w14:paraId="3A5F5813">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负责法律政策研究相关工作，调查研究国家公布的与检察工作有关的法律、法规、政策的执行情况，提出意见和建议。组织开展检察理论研究工作，编发内部刊物。负责司法体制改革综合协调相关工作。承担汶川县人民检察院检察委员会日常工作。承担汶川县人民检察院依法治县相关工作。</w:t>
      </w:r>
    </w:p>
    <w:p w14:paraId="42510BB2">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5.政治部。</w:t>
      </w:r>
      <w:r>
        <w:rPr>
          <w:rFonts w:hint="default" w:ascii="Times New Roman" w:hAnsi="Times New Roman" w:eastAsia="仿宋_GB2312" w:cs="Times New Roman"/>
          <w:kern w:val="2"/>
          <w:sz w:val="32"/>
          <w:szCs w:val="32"/>
          <w:lang w:val="zh-CN" w:eastAsia="zh-CN" w:bidi="ar-SA"/>
        </w:rPr>
        <w:t>负责汶川县人民检察院思想政治工作、新闻宣传、舆论引导以及组织人事、教育培训等工作。负责离退休人员的管理服务，对执行法律、法规和最高人民检察院规定、决定的情况进行督察。组织司法警察履行职责，执行办案场所警戒、人员押解和看管等警务事项。协调配置、管理司法警察的警用装备。办理州检察院交办的工作。</w:t>
      </w:r>
    </w:p>
    <w:p w14:paraId="0296CC12">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（三）人员概况。我院属于行政机关单位，行政人员及工勤人员实行编制管理，其编制由本级编制管理部门核定，截止</w:t>
      </w:r>
      <w:r>
        <w:rPr>
          <w:rFonts w:hint="default" w:ascii="Times New Roman" w:hAnsi="Times New Roman" w:eastAsia="仿宋_GB2312" w:cs="Times New Roman"/>
          <w:kern w:val="2"/>
          <w:sz w:val="32"/>
          <w:szCs w:val="32"/>
          <w:lang w:val="en-US" w:eastAsia="zh-CN" w:bidi="ar-SA"/>
        </w:rPr>
        <w:t>2024年末</w:t>
      </w:r>
      <w:r>
        <w:rPr>
          <w:rFonts w:hint="default" w:ascii="Times New Roman" w:hAnsi="Times New Roman" w:eastAsia="仿宋_GB2312" w:cs="Times New Roman"/>
          <w:kern w:val="2"/>
          <w:sz w:val="32"/>
          <w:szCs w:val="32"/>
          <w:lang w:val="zh-CN" w:eastAsia="zh-CN" w:bidi="ar-SA"/>
        </w:rPr>
        <w:t>我院行政编制</w:t>
      </w:r>
      <w:r>
        <w:rPr>
          <w:rFonts w:hint="default" w:ascii="Times New Roman" w:hAnsi="Times New Roman" w:eastAsia="仿宋_GB2312" w:cs="Times New Roman"/>
          <w:kern w:val="2"/>
          <w:sz w:val="32"/>
          <w:szCs w:val="32"/>
          <w:lang w:val="en-US" w:eastAsia="zh-CN" w:bidi="ar-SA"/>
        </w:rPr>
        <w:t>29</w:t>
      </w:r>
      <w:r>
        <w:rPr>
          <w:rFonts w:hint="default" w:ascii="Times New Roman" w:hAnsi="Times New Roman" w:eastAsia="仿宋_GB2312" w:cs="Times New Roman"/>
          <w:kern w:val="2"/>
          <w:sz w:val="32"/>
          <w:szCs w:val="32"/>
          <w:lang w:val="zh-CN" w:eastAsia="zh-CN" w:bidi="ar-SA"/>
        </w:rPr>
        <w:t>人，工勤编制2人，实有在职干警</w:t>
      </w:r>
      <w:r>
        <w:rPr>
          <w:rFonts w:hint="default" w:ascii="Times New Roman" w:hAnsi="Times New Roman" w:eastAsia="仿宋_GB2312" w:cs="Times New Roman"/>
          <w:kern w:val="2"/>
          <w:sz w:val="32"/>
          <w:szCs w:val="32"/>
          <w:lang w:val="en-US" w:eastAsia="zh-CN" w:bidi="ar-SA"/>
        </w:rPr>
        <w:t>31</w:t>
      </w:r>
      <w:r>
        <w:rPr>
          <w:rFonts w:hint="default" w:ascii="Times New Roman" w:hAnsi="Times New Roman" w:eastAsia="仿宋_GB2312" w:cs="Times New Roman"/>
          <w:kern w:val="2"/>
          <w:sz w:val="32"/>
          <w:szCs w:val="32"/>
          <w:lang w:val="zh-CN" w:eastAsia="zh-CN" w:bidi="ar-SA"/>
        </w:rPr>
        <w:t>人（其中行政人员</w:t>
      </w:r>
      <w:r>
        <w:rPr>
          <w:rFonts w:hint="default" w:ascii="Times New Roman" w:hAnsi="Times New Roman" w:eastAsia="仿宋_GB2312" w:cs="Times New Roman"/>
          <w:kern w:val="2"/>
          <w:sz w:val="32"/>
          <w:szCs w:val="32"/>
          <w:lang w:val="en-US" w:eastAsia="zh-CN" w:bidi="ar-SA"/>
        </w:rPr>
        <w:t>27</w:t>
      </w:r>
      <w:r>
        <w:rPr>
          <w:rFonts w:hint="default" w:ascii="Times New Roman" w:hAnsi="Times New Roman" w:eastAsia="仿宋_GB2312" w:cs="Times New Roman"/>
          <w:kern w:val="2"/>
          <w:sz w:val="32"/>
          <w:szCs w:val="32"/>
          <w:lang w:val="zh-CN" w:eastAsia="zh-CN" w:bidi="ar-SA"/>
        </w:rPr>
        <w:t>人，工勤人员4人），退休干警1</w:t>
      </w:r>
      <w:r>
        <w:rPr>
          <w:rFonts w:hint="default"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zh-CN" w:eastAsia="zh-CN" w:bidi="ar-SA"/>
        </w:rPr>
        <w:t>人。</w:t>
      </w:r>
    </w:p>
    <w:p w14:paraId="6A1F4560">
      <w:pPr>
        <w:spacing w:line="600" w:lineRule="exact"/>
        <w:ind w:firstLine="640" w:firstLineChars="200"/>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二、部门资金收支情况</w:t>
      </w:r>
    </w:p>
    <w:p w14:paraId="2EAE7596">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（一）收入情况。</w:t>
      </w:r>
      <w:r>
        <w:rPr>
          <w:rFonts w:hint="default" w:ascii="Times New Roman" w:hAnsi="Times New Roman" w:eastAsia="仿宋_GB2312" w:cs="Times New Roman"/>
          <w:kern w:val="2"/>
          <w:sz w:val="32"/>
          <w:szCs w:val="32"/>
          <w:lang w:val="en-US" w:eastAsia="zh-CN" w:bidi="ar-SA"/>
        </w:rPr>
        <w:t>汶川县</w:t>
      </w:r>
      <w:r>
        <w:rPr>
          <w:rFonts w:hint="default" w:ascii="Times New Roman" w:hAnsi="Times New Roman" w:eastAsia="仿宋_GB2312" w:cs="Times New Roman"/>
          <w:kern w:val="2"/>
          <w:sz w:val="32"/>
          <w:szCs w:val="32"/>
          <w:lang w:val="zh-CN" w:eastAsia="zh-CN" w:bidi="ar-SA"/>
        </w:rPr>
        <w:t>检察院</w:t>
      </w:r>
      <w:r>
        <w:rPr>
          <w:rFonts w:hint="default" w:ascii="Times New Roman" w:hAnsi="Times New Roman" w:eastAsia="仿宋_GB2312" w:cs="Times New Roman"/>
          <w:kern w:val="2"/>
          <w:sz w:val="32"/>
          <w:szCs w:val="32"/>
          <w:lang w:val="en-US" w:eastAsia="zh-CN" w:bidi="ar-SA"/>
        </w:rPr>
        <w:t>2024年年初预算收入金额为779.34万元。决算报表</w:t>
      </w:r>
      <w:r>
        <w:rPr>
          <w:rFonts w:hint="default" w:ascii="Times New Roman" w:hAnsi="Times New Roman" w:eastAsia="仿宋_GB2312" w:cs="Times New Roman"/>
          <w:kern w:val="2"/>
          <w:sz w:val="32"/>
          <w:szCs w:val="32"/>
          <w:lang w:val="zh-CN" w:eastAsia="zh-CN" w:bidi="ar-SA"/>
        </w:rPr>
        <w:t>收入总额为</w:t>
      </w:r>
      <w:r>
        <w:rPr>
          <w:rFonts w:hint="default" w:ascii="Times New Roman" w:hAnsi="Times New Roman" w:eastAsia="仿宋_GB2312" w:cs="Times New Roman"/>
          <w:kern w:val="2"/>
          <w:sz w:val="32"/>
          <w:szCs w:val="32"/>
          <w:lang w:val="en-US" w:eastAsia="zh-CN" w:bidi="ar-SA"/>
        </w:rPr>
        <w:t>1233.24</w:t>
      </w:r>
      <w:r>
        <w:rPr>
          <w:rFonts w:hint="default" w:ascii="Times New Roman" w:hAnsi="Times New Roman" w:eastAsia="仿宋_GB2312" w:cs="Times New Roman"/>
          <w:kern w:val="2"/>
          <w:sz w:val="32"/>
          <w:szCs w:val="32"/>
          <w:lang w:val="zh-CN" w:eastAsia="zh-CN" w:bidi="ar-SA"/>
        </w:rPr>
        <w:t>万元，其中：当年财政拨款收入</w:t>
      </w:r>
      <w:r>
        <w:rPr>
          <w:rFonts w:hint="default" w:ascii="Times New Roman" w:hAnsi="Times New Roman" w:eastAsia="仿宋_GB2312" w:cs="Times New Roman"/>
          <w:kern w:val="2"/>
          <w:sz w:val="32"/>
          <w:szCs w:val="32"/>
          <w:lang w:val="en-US" w:eastAsia="zh-CN" w:bidi="ar-SA"/>
        </w:rPr>
        <w:t>951.45</w:t>
      </w:r>
      <w:r>
        <w:rPr>
          <w:rFonts w:hint="default" w:ascii="Times New Roman" w:hAnsi="Times New Roman" w:eastAsia="仿宋_GB2312" w:cs="Times New Roman"/>
          <w:kern w:val="2"/>
          <w:sz w:val="32"/>
          <w:szCs w:val="32"/>
          <w:lang w:val="zh-CN" w:eastAsia="zh-CN" w:bidi="ar-SA"/>
        </w:rPr>
        <w:t>万元，</w:t>
      </w:r>
      <w:r>
        <w:rPr>
          <w:rFonts w:hint="default" w:ascii="Times New Roman" w:hAnsi="Times New Roman" w:eastAsia="仿宋_GB2312" w:cs="Times New Roman"/>
          <w:kern w:val="2"/>
          <w:sz w:val="32"/>
          <w:szCs w:val="32"/>
          <w:lang w:val="en-US" w:eastAsia="zh-CN" w:bidi="ar-SA"/>
        </w:rPr>
        <w:t>其他</w:t>
      </w:r>
      <w:r>
        <w:rPr>
          <w:rFonts w:hint="default" w:ascii="Times New Roman" w:hAnsi="Times New Roman" w:eastAsia="仿宋_GB2312" w:cs="Times New Roman"/>
          <w:kern w:val="2"/>
          <w:sz w:val="32"/>
          <w:szCs w:val="32"/>
          <w:lang w:val="zh-CN" w:eastAsia="zh-CN" w:bidi="ar-SA"/>
        </w:rPr>
        <w:t>收入</w:t>
      </w:r>
      <w:r>
        <w:rPr>
          <w:rFonts w:hint="default" w:ascii="Times New Roman" w:hAnsi="Times New Roman" w:eastAsia="仿宋_GB2312" w:cs="Times New Roman"/>
          <w:kern w:val="2"/>
          <w:sz w:val="32"/>
          <w:szCs w:val="32"/>
          <w:lang w:val="en-US" w:eastAsia="zh-CN" w:bidi="ar-SA"/>
        </w:rPr>
        <w:t>248.3</w:t>
      </w:r>
      <w:r>
        <w:rPr>
          <w:rFonts w:hint="default" w:ascii="Times New Roman" w:hAnsi="Times New Roman" w:eastAsia="仿宋_GB2312" w:cs="Times New Roman"/>
          <w:kern w:val="2"/>
          <w:sz w:val="32"/>
          <w:szCs w:val="32"/>
          <w:lang w:val="zh-CN" w:eastAsia="zh-CN" w:bidi="ar-SA"/>
        </w:rPr>
        <w:t>万元（</w:t>
      </w:r>
      <w:r>
        <w:rPr>
          <w:rFonts w:hint="default" w:ascii="Times New Roman" w:hAnsi="Times New Roman" w:eastAsia="仿宋_GB2312" w:cs="Times New Roman"/>
          <w:kern w:val="2"/>
          <w:sz w:val="32"/>
          <w:szCs w:val="32"/>
          <w:lang w:val="en-US" w:eastAsia="zh-CN" w:bidi="ar-SA"/>
        </w:rPr>
        <w:t>其它收入为县级财政拨款</w:t>
      </w:r>
      <w:r>
        <w:rPr>
          <w:rFonts w:hint="default" w:ascii="Times New Roman" w:hAnsi="Times New Roman" w:eastAsia="仿宋_GB2312" w:cs="Times New Roman"/>
          <w:kern w:val="2"/>
          <w:sz w:val="32"/>
          <w:szCs w:val="32"/>
          <w:lang w:val="zh-CN" w:eastAsia="zh-CN" w:bidi="ar-SA"/>
        </w:rPr>
        <w:t>），</w:t>
      </w:r>
      <w:r>
        <w:rPr>
          <w:rFonts w:hint="default" w:ascii="Times New Roman" w:hAnsi="Times New Roman" w:eastAsia="仿宋_GB2312" w:cs="Times New Roman"/>
          <w:kern w:val="2"/>
          <w:sz w:val="32"/>
          <w:szCs w:val="32"/>
          <w:lang w:val="en-US" w:eastAsia="zh-CN" w:bidi="ar-SA"/>
        </w:rPr>
        <w:t>代管资金结转收入33.49万元</w:t>
      </w:r>
      <w:r>
        <w:rPr>
          <w:rFonts w:hint="default" w:ascii="Times New Roman" w:hAnsi="Times New Roman" w:eastAsia="仿宋_GB2312" w:cs="Times New Roman"/>
          <w:kern w:val="2"/>
          <w:sz w:val="32"/>
          <w:szCs w:val="32"/>
          <w:lang w:val="zh-CN" w:eastAsia="zh-CN" w:bidi="ar-SA"/>
        </w:rPr>
        <w:t>。</w:t>
      </w:r>
      <w:r>
        <w:rPr>
          <w:rFonts w:hint="default" w:ascii="Times New Roman" w:hAnsi="Times New Roman" w:eastAsia="仿宋_GB2312" w:cs="Times New Roman"/>
          <w:kern w:val="2"/>
          <w:sz w:val="32"/>
          <w:szCs w:val="32"/>
          <w:lang w:val="en-US" w:eastAsia="zh-CN" w:bidi="ar-SA"/>
        </w:rPr>
        <w:t>2024年</w:t>
      </w:r>
      <w:r>
        <w:rPr>
          <w:rFonts w:hint="default" w:ascii="Times New Roman" w:hAnsi="Times New Roman" w:eastAsia="仿宋_GB2312" w:cs="Times New Roman"/>
          <w:kern w:val="2"/>
          <w:sz w:val="32"/>
          <w:szCs w:val="32"/>
          <w:lang w:val="zh-CN" w:eastAsia="zh-CN" w:bidi="ar-SA"/>
        </w:rPr>
        <w:t>相应安排收入预算</w:t>
      </w:r>
      <w:r>
        <w:rPr>
          <w:rFonts w:hint="default" w:ascii="Times New Roman" w:hAnsi="Times New Roman" w:eastAsia="仿宋_GB2312" w:cs="Times New Roman"/>
          <w:kern w:val="2"/>
          <w:sz w:val="32"/>
          <w:szCs w:val="32"/>
          <w:lang w:val="en-US" w:eastAsia="zh-CN" w:bidi="ar-SA"/>
        </w:rPr>
        <w:t>1233.24</w:t>
      </w:r>
      <w:r>
        <w:rPr>
          <w:rFonts w:hint="default" w:ascii="Times New Roman" w:hAnsi="Times New Roman" w:eastAsia="仿宋_GB2312" w:cs="Times New Roman"/>
          <w:kern w:val="2"/>
          <w:sz w:val="32"/>
          <w:szCs w:val="32"/>
          <w:lang w:val="zh-CN" w:eastAsia="zh-CN" w:bidi="ar-SA"/>
        </w:rPr>
        <w:t>万元，其中：公共安全收入</w:t>
      </w:r>
      <w:r>
        <w:rPr>
          <w:rFonts w:hint="default" w:ascii="Times New Roman" w:hAnsi="Times New Roman" w:eastAsia="仿宋_GB2312" w:cs="Times New Roman"/>
          <w:kern w:val="2"/>
          <w:sz w:val="32"/>
          <w:szCs w:val="32"/>
          <w:lang w:val="en-US" w:eastAsia="zh-CN" w:bidi="ar-SA"/>
        </w:rPr>
        <w:t>1054.13</w:t>
      </w:r>
      <w:r>
        <w:rPr>
          <w:rFonts w:hint="default" w:ascii="Times New Roman" w:hAnsi="Times New Roman" w:eastAsia="仿宋_GB2312" w:cs="Times New Roman"/>
          <w:kern w:val="2"/>
          <w:sz w:val="32"/>
          <w:szCs w:val="32"/>
          <w:lang w:val="zh-CN" w:eastAsia="zh-CN" w:bidi="ar-SA"/>
        </w:rPr>
        <w:t>万元，社会保障和就业收入</w:t>
      </w:r>
      <w:r>
        <w:rPr>
          <w:rFonts w:hint="default" w:ascii="Times New Roman" w:hAnsi="Times New Roman" w:eastAsia="仿宋_GB2312" w:cs="Times New Roman"/>
          <w:kern w:val="2"/>
          <w:sz w:val="32"/>
          <w:szCs w:val="32"/>
          <w:lang w:val="en-US" w:eastAsia="zh-CN" w:bidi="ar-SA"/>
        </w:rPr>
        <w:t>83.75</w:t>
      </w:r>
      <w:r>
        <w:rPr>
          <w:rFonts w:hint="default" w:ascii="Times New Roman" w:hAnsi="Times New Roman" w:eastAsia="仿宋_GB2312" w:cs="Times New Roman"/>
          <w:kern w:val="2"/>
          <w:sz w:val="32"/>
          <w:szCs w:val="32"/>
          <w:lang w:val="zh-CN" w:eastAsia="zh-CN" w:bidi="ar-SA"/>
        </w:rPr>
        <w:t>万元，卫生健康收入</w:t>
      </w:r>
      <w:r>
        <w:rPr>
          <w:rFonts w:hint="default" w:ascii="Times New Roman" w:hAnsi="Times New Roman" w:eastAsia="仿宋_GB2312" w:cs="Times New Roman"/>
          <w:kern w:val="2"/>
          <w:sz w:val="32"/>
          <w:szCs w:val="32"/>
          <w:lang w:val="en-US" w:eastAsia="zh-CN" w:bidi="ar-SA"/>
        </w:rPr>
        <w:t>38.77万元</w:t>
      </w:r>
      <w:r>
        <w:rPr>
          <w:rFonts w:hint="default" w:ascii="Times New Roman" w:hAnsi="Times New Roman" w:eastAsia="仿宋_GB2312" w:cs="Times New Roman"/>
          <w:kern w:val="2"/>
          <w:sz w:val="32"/>
          <w:szCs w:val="32"/>
          <w:lang w:val="zh-CN" w:eastAsia="zh-CN" w:bidi="ar-SA"/>
        </w:rPr>
        <w:t>，住房保障收入</w:t>
      </w:r>
      <w:r>
        <w:rPr>
          <w:rFonts w:hint="default" w:ascii="Times New Roman" w:hAnsi="Times New Roman" w:eastAsia="仿宋_GB2312" w:cs="Times New Roman"/>
          <w:kern w:val="2"/>
          <w:sz w:val="32"/>
          <w:szCs w:val="32"/>
          <w:lang w:val="en-US" w:eastAsia="zh-CN" w:bidi="ar-SA"/>
        </w:rPr>
        <w:t>56.59</w:t>
      </w:r>
      <w:r>
        <w:rPr>
          <w:rFonts w:hint="default" w:ascii="Times New Roman" w:hAnsi="Times New Roman" w:eastAsia="仿宋_GB2312" w:cs="Times New Roman"/>
          <w:kern w:val="2"/>
          <w:sz w:val="32"/>
          <w:szCs w:val="32"/>
          <w:lang w:val="zh-CN" w:eastAsia="zh-CN" w:bidi="ar-SA"/>
        </w:rPr>
        <w:t>万元。</w:t>
      </w:r>
    </w:p>
    <w:p w14:paraId="02096ECC">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（二）支出情况。20</w:t>
      </w:r>
      <w:r>
        <w:rPr>
          <w:rFonts w:hint="default" w:ascii="Times New Roman" w:hAnsi="Times New Roman" w:eastAsia="仿宋_GB2312" w:cs="Times New Roman"/>
          <w:kern w:val="2"/>
          <w:sz w:val="32"/>
          <w:szCs w:val="32"/>
          <w:lang w:val="en-US" w:eastAsia="zh-CN" w:bidi="ar-SA"/>
        </w:rPr>
        <w:t>24</w:t>
      </w:r>
      <w:r>
        <w:rPr>
          <w:rFonts w:hint="default" w:ascii="Times New Roman" w:hAnsi="Times New Roman" w:eastAsia="仿宋_GB2312" w:cs="Times New Roman"/>
          <w:kern w:val="2"/>
          <w:sz w:val="32"/>
          <w:szCs w:val="32"/>
          <w:lang w:val="zh-CN" w:eastAsia="zh-CN" w:bidi="ar-SA"/>
        </w:rPr>
        <w:t>年</w:t>
      </w:r>
      <w:r>
        <w:rPr>
          <w:rFonts w:hint="default" w:ascii="Times New Roman" w:hAnsi="Times New Roman" w:eastAsia="仿宋_GB2312" w:cs="Times New Roman"/>
          <w:kern w:val="2"/>
          <w:sz w:val="32"/>
          <w:szCs w:val="32"/>
          <w:lang w:val="en-US" w:eastAsia="zh-CN" w:bidi="ar-SA"/>
        </w:rPr>
        <w:t>汶川县</w:t>
      </w:r>
      <w:r>
        <w:rPr>
          <w:rFonts w:hint="default" w:ascii="Times New Roman" w:hAnsi="Times New Roman" w:eastAsia="仿宋_GB2312" w:cs="Times New Roman"/>
          <w:kern w:val="2"/>
          <w:sz w:val="32"/>
          <w:szCs w:val="32"/>
          <w:lang w:val="zh-CN" w:eastAsia="zh-CN" w:bidi="ar-SA"/>
        </w:rPr>
        <w:t>检察院</w:t>
      </w:r>
      <w:r>
        <w:rPr>
          <w:rFonts w:hint="default" w:ascii="Times New Roman" w:hAnsi="Times New Roman" w:eastAsia="仿宋_GB2312" w:cs="Times New Roman"/>
          <w:kern w:val="2"/>
          <w:sz w:val="32"/>
          <w:szCs w:val="32"/>
          <w:lang w:val="en-US" w:eastAsia="zh-CN" w:bidi="ar-SA"/>
        </w:rPr>
        <w:t>年初预算支出金额为779.34万元。2024年</w:t>
      </w:r>
      <w:r>
        <w:rPr>
          <w:rFonts w:hint="default" w:ascii="Times New Roman" w:hAnsi="Times New Roman" w:eastAsia="仿宋_GB2312" w:cs="Times New Roman"/>
          <w:kern w:val="2"/>
          <w:sz w:val="32"/>
          <w:szCs w:val="32"/>
          <w:lang w:val="zh-CN" w:eastAsia="zh-CN" w:bidi="ar-SA"/>
        </w:rPr>
        <w:t>相应安排支出预算</w:t>
      </w:r>
      <w:r>
        <w:rPr>
          <w:rFonts w:hint="default" w:ascii="Times New Roman" w:hAnsi="Times New Roman" w:eastAsia="仿宋_GB2312" w:cs="Times New Roman"/>
          <w:kern w:val="2"/>
          <w:sz w:val="32"/>
          <w:szCs w:val="32"/>
          <w:lang w:val="en-US" w:eastAsia="zh-CN" w:bidi="ar-SA"/>
        </w:rPr>
        <w:t>1233.24</w:t>
      </w:r>
      <w:r>
        <w:rPr>
          <w:rFonts w:hint="default" w:ascii="Times New Roman" w:hAnsi="Times New Roman" w:eastAsia="仿宋_GB2312" w:cs="Times New Roman"/>
          <w:kern w:val="2"/>
          <w:sz w:val="32"/>
          <w:szCs w:val="32"/>
          <w:lang w:val="zh-CN" w:eastAsia="zh-CN" w:bidi="ar-SA"/>
        </w:rPr>
        <w:t>万元，其中：公共安全支出</w:t>
      </w:r>
      <w:r>
        <w:rPr>
          <w:rFonts w:hint="default" w:ascii="Times New Roman" w:hAnsi="Times New Roman" w:eastAsia="仿宋_GB2312" w:cs="Times New Roman"/>
          <w:kern w:val="2"/>
          <w:sz w:val="32"/>
          <w:szCs w:val="32"/>
          <w:lang w:val="en-US" w:eastAsia="zh-CN" w:bidi="ar-SA"/>
        </w:rPr>
        <w:t>1027.52</w:t>
      </w:r>
      <w:r>
        <w:rPr>
          <w:rFonts w:hint="default" w:ascii="Times New Roman" w:hAnsi="Times New Roman" w:eastAsia="仿宋_GB2312" w:cs="Times New Roman"/>
          <w:kern w:val="2"/>
          <w:sz w:val="32"/>
          <w:szCs w:val="32"/>
          <w:lang w:val="zh-CN" w:eastAsia="zh-CN" w:bidi="ar-SA"/>
        </w:rPr>
        <w:t>万元，社会保障和就业支出</w:t>
      </w:r>
      <w:r>
        <w:rPr>
          <w:rFonts w:hint="default" w:ascii="Times New Roman" w:hAnsi="Times New Roman" w:eastAsia="仿宋_GB2312" w:cs="Times New Roman"/>
          <w:kern w:val="2"/>
          <w:sz w:val="32"/>
          <w:szCs w:val="32"/>
          <w:lang w:val="en-US" w:eastAsia="zh-CN" w:bidi="ar-SA"/>
        </w:rPr>
        <w:t>83.75</w:t>
      </w:r>
      <w:r>
        <w:rPr>
          <w:rFonts w:hint="default" w:ascii="Times New Roman" w:hAnsi="Times New Roman" w:eastAsia="仿宋_GB2312" w:cs="Times New Roman"/>
          <w:kern w:val="2"/>
          <w:sz w:val="32"/>
          <w:szCs w:val="32"/>
          <w:lang w:val="zh-CN" w:eastAsia="zh-CN" w:bidi="ar-SA"/>
        </w:rPr>
        <w:t>万元，卫生健康支出</w:t>
      </w:r>
      <w:r>
        <w:rPr>
          <w:rFonts w:hint="default" w:ascii="Times New Roman" w:hAnsi="Times New Roman" w:eastAsia="仿宋_GB2312" w:cs="Times New Roman"/>
          <w:kern w:val="2"/>
          <w:sz w:val="32"/>
          <w:szCs w:val="32"/>
          <w:lang w:val="en-US" w:eastAsia="zh-CN" w:bidi="ar-SA"/>
        </w:rPr>
        <w:t>38.77万元</w:t>
      </w:r>
      <w:r>
        <w:rPr>
          <w:rFonts w:hint="default" w:ascii="Times New Roman" w:hAnsi="Times New Roman" w:eastAsia="仿宋_GB2312" w:cs="Times New Roman"/>
          <w:kern w:val="2"/>
          <w:sz w:val="32"/>
          <w:szCs w:val="32"/>
          <w:lang w:val="zh-CN" w:eastAsia="zh-CN" w:bidi="ar-SA"/>
        </w:rPr>
        <w:t>，住房保障支出</w:t>
      </w:r>
      <w:r>
        <w:rPr>
          <w:rFonts w:hint="default" w:ascii="Times New Roman" w:hAnsi="Times New Roman" w:eastAsia="仿宋_GB2312" w:cs="Times New Roman"/>
          <w:kern w:val="2"/>
          <w:sz w:val="32"/>
          <w:szCs w:val="32"/>
          <w:lang w:val="en-US" w:eastAsia="zh-CN" w:bidi="ar-SA"/>
        </w:rPr>
        <w:t>56.59</w:t>
      </w:r>
      <w:r>
        <w:rPr>
          <w:rFonts w:hint="default" w:ascii="Times New Roman" w:hAnsi="Times New Roman" w:eastAsia="仿宋_GB2312" w:cs="Times New Roman"/>
          <w:kern w:val="2"/>
          <w:sz w:val="32"/>
          <w:szCs w:val="32"/>
          <w:lang w:val="zh-CN" w:eastAsia="zh-CN" w:bidi="ar-SA"/>
        </w:rPr>
        <w:t>万元，</w:t>
      </w:r>
      <w:r>
        <w:rPr>
          <w:rFonts w:hint="default" w:ascii="Times New Roman" w:hAnsi="Times New Roman" w:eastAsia="仿宋_GB2312" w:cs="Times New Roman"/>
          <w:kern w:val="2"/>
          <w:sz w:val="32"/>
          <w:szCs w:val="32"/>
          <w:lang w:val="en-US" w:eastAsia="zh-CN" w:bidi="ar-SA"/>
        </w:rPr>
        <w:t>代管资金年末结转结余26.61万元</w:t>
      </w:r>
      <w:r>
        <w:rPr>
          <w:rFonts w:hint="default" w:ascii="Times New Roman" w:hAnsi="Times New Roman" w:eastAsia="仿宋_GB2312" w:cs="Times New Roman"/>
          <w:kern w:val="2"/>
          <w:sz w:val="32"/>
          <w:szCs w:val="32"/>
          <w:lang w:val="zh-CN" w:eastAsia="zh-CN" w:bidi="ar-SA"/>
        </w:rPr>
        <w:t>。</w:t>
      </w:r>
    </w:p>
    <w:p w14:paraId="27846216">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（三）</w:t>
      </w:r>
      <w:r>
        <w:rPr>
          <w:rFonts w:hint="default" w:ascii="Times New Roman" w:hAnsi="Times New Roman" w:eastAsia="仿宋_GB2312" w:cs="Times New Roman"/>
          <w:kern w:val="2"/>
          <w:sz w:val="32"/>
          <w:szCs w:val="32"/>
          <w:lang w:val="en-US" w:eastAsia="zh-CN" w:bidi="ar-SA"/>
        </w:rPr>
        <w:t>结余分配和结转结余情况。汶川县人民检察院2024年决算报表结转结余代管资金26.61万元。</w:t>
      </w:r>
    </w:p>
    <w:p w14:paraId="0D624F98">
      <w:pPr>
        <w:spacing w:line="600" w:lineRule="exact"/>
        <w:ind w:firstLine="640" w:firstLineChars="200"/>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三、部门预算绩效分析</w:t>
      </w:r>
    </w:p>
    <w:p w14:paraId="142E1E2F">
      <w:pPr>
        <w:spacing w:line="600" w:lineRule="exact"/>
        <w:ind w:firstLine="643" w:firstLineChars="200"/>
        <w:outlineLvl w:val="2"/>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（一）部门预算总体绩效分析。</w:t>
      </w:r>
    </w:p>
    <w:p w14:paraId="3BDA3E74">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zh-CN" w:eastAsia="zh-CN" w:bidi="ar-SA"/>
        </w:rPr>
        <w:t>履职效能。</w:t>
      </w:r>
      <w:r>
        <w:rPr>
          <w:rFonts w:hint="default" w:ascii="Times New Roman" w:hAnsi="Times New Roman" w:eastAsia="仿宋_GB2312" w:cs="Times New Roman"/>
          <w:kern w:val="2"/>
          <w:sz w:val="32"/>
          <w:szCs w:val="32"/>
          <w:lang w:val="en-US" w:eastAsia="zh-CN" w:bidi="ar-SA"/>
        </w:rPr>
        <w:t>通过2024年度</w:t>
      </w:r>
      <w:r>
        <w:rPr>
          <w:rFonts w:hint="default" w:ascii="Times New Roman" w:hAnsi="Times New Roman" w:eastAsia="仿宋_GB2312" w:cs="Times New Roman"/>
          <w:kern w:val="2"/>
          <w:sz w:val="32"/>
          <w:szCs w:val="32"/>
          <w:lang w:val="zh-CN" w:eastAsia="zh-CN" w:bidi="ar-SA"/>
        </w:rPr>
        <w:t>部门整体</w:t>
      </w:r>
      <w:r>
        <w:rPr>
          <w:rFonts w:hint="default" w:ascii="Times New Roman" w:hAnsi="Times New Roman" w:eastAsia="仿宋_GB2312" w:cs="Times New Roman"/>
          <w:kern w:val="2"/>
          <w:sz w:val="32"/>
          <w:szCs w:val="32"/>
          <w:lang w:val="en-US" w:eastAsia="zh-CN" w:bidi="ar-SA"/>
        </w:rPr>
        <w:t>支出</w:t>
      </w:r>
      <w:r>
        <w:rPr>
          <w:rFonts w:hint="default" w:ascii="Times New Roman" w:hAnsi="Times New Roman" w:eastAsia="仿宋_GB2312" w:cs="Times New Roman"/>
          <w:kern w:val="2"/>
          <w:sz w:val="32"/>
          <w:szCs w:val="32"/>
          <w:lang w:val="zh-CN" w:eastAsia="zh-CN" w:bidi="ar-SA"/>
        </w:rPr>
        <w:t>绩效目标</w:t>
      </w:r>
      <w:r>
        <w:rPr>
          <w:rFonts w:hint="default" w:ascii="Times New Roman" w:hAnsi="Times New Roman" w:eastAsia="仿宋_GB2312" w:cs="Times New Roman"/>
          <w:kern w:val="2"/>
          <w:sz w:val="32"/>
          <w:szCs w:val="32"/>
          <w:lang w:val="en-US" w:eastAsia="zh-CN" w:bidi="ar-SA"/>
        </w:rPr>
        <w:t>表</w:t>
      </w:r>
      <w:r>
        <w:rPr>
          <w:rFonts w:hint="default" w:ascii="Times New Roman" w:hAnsi="Times New Roman" w:eastAsia="仿宋_GB2312" w:cs="Times New Roman"/>
          <w:kern w:val="2"/>
          <w:sz w:val="32"/>
          <w:szCs w:val="32"/>
          <w:lang w:val="zh-CN" w:eastAsia="zh-CN" w:bidi="ar-SA"/>
        </w:rPr>
        <w:t>，</w:t>
      </w:r>
      <w:r>
        <w:rPr>
          <w:rFonts w:hint="default" w:ascii="Times New Roman" w:hAnsi="Times New Roman" w:eastAsia="仿宋_GB2312" w:cs="Times New Roman"/>
          <w:kern w:val="2"/>
          <w:sz w:val="32"/>
          <w:szCs w:val="32"/>
          <w:lang w:val="en-US" w:eastAsia="zh-CN" w:bidi="ar-SA"/>
        </w:rPr>
        <w:t>选定3个核心职能指标，分别是刑事案件办理履职效果、打击犯罪维护社会稳定履职效果和县域公益诉讼保护履职效果。根据2024年度部门整体支出绩效目标表指标设定，定量设定我院刑事案件办理数≥120件、定性设定我院完成维护社会稳定和县域公益诉讼保护。具体评分情况：完成刑事案件办理数169件，推进平安汶川建设和履行公共利益保护职能。完成履职效能，最终评定15分。</w:t>
      </w:r>
    </w:p>
    <w:p w14:paraId="74563244">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zh-CN" w:eastAsia="zh-CN" w:bidi="ar-SA"/>
        </w:rPr>
        <w:t>预算管理。</w:t>
      </w:r>
      <w:r>
        <w:rPr>
          <w:rFonts w:hint="default" w:ascii="Times New Roman" w:hAnsi="Times New Roman" w:eastAsia="仿宋_GB2312" w:cs="Times New Roman"/>
          <w:kern w:val="2"/>
          <w:sz w:val="32"/>
          <w:szCs w:val="32"/>
          <w:lang w:val="en-US" w:eastAsia="zh-CN" w:bidi="ar-SA"/>
        </w:rPr>
        <w:t>严格按要求编制年初部门预算，确保年初预算编制的科学性和准确性，我院未存在自有收入。分别在6月和10月监控单位资金支付进度，及时关注预算年终结余情况。严控“三公”经费、会议、培训、差旅、办公设备购置、信息网络及软件购置更新等一般性支出情况。具体评分情况：财政拨款预算偏离度为0.5，资产配置预算偏离度和政府采购预算偏离度均为0，故预算编制质量和单位收入统筹合并得分11.8分。通过资金支付情况计算支出执行进度得分5.73分。通过预算年终结余情况得分1.9分。通过严控一般性支出得分2.4分。预算管理最终评定21.83分。</w:t>
      </w:r>
    </w:p>
    <w:p w14:paraId="668119D6">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zh-CN" w:eastAsia="zh-CN" w:bidi="ar-SA"/>
        </w:rPr>
        <w:t>财务管理。</w:t>
      </w:r>
      <w:r>
        <w:rPr>
          <w:rFonts w:hint="default" w:ascii="Times New Roman" w:hAnsi="Times New Roman" w:eastAsia="仿宋_GB2312" w:cs="Times New Roman"/>
          <w:kern w:val="2"/>
          <w:sz w:val="32"/>
          <w:szCs w:val="32"/>
          <w:lang w:val="en-US" w:eastAsia="zh-CN" w:bidi="ar-SA"/>
        </w:rPr>
        <w:t>我院已制定内部财务管理等制度并落实，合理设置财务管理工作岗位，会计和出纳工作由专人负责，明确职责权限，严格实行不相容岗位分离，规范使用单位资金。财务管理最终评定8分。</w:t>
      </w:r>
    </w:p>
    <w:p w14:paraId="64C66754">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zh-CN" w:eastAsia="zh-CN" w:bidi="ar-SA"/>
        </w:rPr>
        <w:t>资产管理。</w:t>
      </w:r>
      <w:r>
        <w:rPr>
          <w:rFonts w:hint="default" w:ascii="Times New Roman" w:hAnsi="Times New Roman" w:eastAsia="仿宋_GB2312" w:cs="Times New Roman"/>
          <w:kern w:val="2"/>
          <w:sz w:val="32"/>
          <w:szCs w:val="32"/>
          <w:lang w:val="en-US" w:eastAsia="zh-CN" w:bidi="ar-SA"/>
        </w:rPr>
        <w:t>经计算，2024年我院人均资产变化率为-0.54%低于州直行政事业单位人均资产变化率，人均资产变化率得分1.5分，办公家具超最低使用年限资产利用率为1.2%，办公设备超最低使用年限资产利用率为40.3</w:t>
      </w:r>
      <w:bookmarkStart w:id="50" w:name="_GoBack"/>
      <w:bookmarkEnd w:id="50"/>
      <w:r>
        <w:rPr>
          <w:rFonts w:hint="default" w:ascii="Times New Roman" w:hAnsi="Times New Roman" w:eastAsia="仿宋_GB2312" w:cs="Times New Roman"/>
          <w:kern w:val="2"/>
          <w:sz w:val="32"/>
          <w:szCs w:val="32"/>
          <w:lang w:val="en-US" w:eastAsia="zh-CN" w:bidi="ar-SA"/>
        </w:rPr>
        <w:t>%，两年均无闲置资产。资产利用率得分1.2分。资产管理最终评定5.7分。</w:t>
      </w:r>
    </w:p>
    <w:p w14:paraId="63D8C641">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5.采购管理</w:t>
      </w:r>
      <w:r>
        <w:rPr>
          <w:rFonts w:hint="default" w:ascii="Times New Roman" w:hAnsi="Times New Roman" w:eastAsia="仿宋_GB2312" w:cs="Times New Roman"/>
          <w:kern w:val="2"/>
          <w:sz w:val="32"/>
          <w:szCs w:val="32"/>
          <w:lang w:val="zh-CN" w:eastAsia="zh-CN" w:bidi="ar-SA"/>
        </w:rPr>
        <w:t>。</w:t>
      </w:r>
      <w:r>
        <w:rPr>
          <w:rFonts w:hint="default" w:ascii="Times New Roman" w:hAnsi="Times New Roman" w:eastAsia="仿宋_GB2312" w:cs="Times New Roman"/>
          <w:kern w:val="2"/>
          <w:sz w:val="32"/>
          <w:szCs w:val="32"/>
          <w:lang w:val="en-US" w:eastAsia="zh-CN" w:bidi="ar-SA"/>
        </w:rPr>
        <w:t>严格执行政府采购促进中小企业发展相关管理办法，预留份额专门面向中小企业采购，部门年初预算没有政府采购预算，总体绩效最终评定6分。</w:t>
      </w:r>
    </w:p>
    <w:p w14:paraId="5CE5596B">
      <w:pPr>
        <w:spacing w:line="600" w:lineRule="exact"/>
        <w:ind w:firstLine="643" w:firstLineChars="200"/>
        <w:outlineLvl w:val="2"/>
        <w:rPr>
          <w:rFonts w:hint="default" w:ascii="Times New Roman" w:hAnsi="Times New Roman" w:eastAsia="楷体_GB2312" w:cs="Times New Roman"/>
          <w:b/>
          <w:sz w:val="32"/>
          <w:szCs w:val="32"/>
          <w:lang w:val="zh-CN" w:eastAsia="zh-CN"/>
        </w:rPr>
      </w:pPr>
      <w:r>
        <w:rPr>
          <w:rFonts w:hint="default" w:ascii="Times New Roman" w:hAnsi="Times New Roman" w:eastAsia="楷体_GB2312" w:cs="Times New Roman"/>
          <w:b/>
          <w:sz w:val="32"/>
          <w:szCs w:val="32"/>
          <w:lang w:val="zh-CN" w:eastAsia="zh-CN"/>
        </w:rPr>
        <w:t>（二）部门预算项目绩效分析。</w:t>
      </w:r>
    </w:p>
    <w:p w14:paraId="08401E6B">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zh-CN" w:eastAsia="zh-CN" w:bidi="ar-SA"/>
        </w:rPr>
        <w:t>项目决策。</w:t>
      </w:r>
      <w:r>
        <w:rPr>
          <w:rFonts w:hint="default" w:ascii="Times New Roman" w:hAnsi="Times New Roman" w:eastAsia="仿宋_GB2312" w:cs="Times New Roman"/>
          <w:kern w:val="2"/>
          <w:sz w:val="32"/>
          <w:szCs w:val="32"/>
          <w:lang w:val="en-US" w:eastAsia="zh-CN" w:bidi="ar-SA"/>
        </w:rPr>
        <w:t>我院2024年项目主要涉及工资资金项目、单位资金项目、聘用人员经费项目、公用经费项目、退休人员项目、中央政法转移支付项目。以上项目均为为日常办案保障经费和人员相关经费，项目均开展。项目目标为保障检察工作正常运转，不断提升检察工作水平，提高人民群众对司法满意度。项目设置科学合理、规范完整、量化细化、预算匹配。在规定时间完成项目入库，保障资金执行。项目决策最终评定12分。</w:t>
      </w:r>
    </w:p>
    <w:p w14:paraId="6F710E88">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2.项目执行</w:t>
      </w:r>
      <w:r>
        <w:rPr>
          <w:rFonts w:hint="default" w:ascii="Times New Roman" w:hAnsi="Times New Roman" w:eastAsia="仿宋_GB2312" w:cs="Times New Roman"/>
          <w:kern w:val="2"/>
          <w:sz w:val="32"/>
          <w:szCs w:val="32"/>
          <w:lang w:val="zh-CN" w:eastAsia="zh-CN" w:bidi="ar-SA"/>
        </w:rPr>
        <w:t>。</w:t>
      </w:r>
      <w:r>
        <w:rPr>
          <w:rFonts w:hint="default" w:ascii="Times New Roman" w:hAnsi="Times New Roman" w:eastAsia="仿宋_GB2312" w:cs="Times New Roman"/>
          <w:kern w:val="2"/>
          <w:sz w:val="32"/>
          <w:szCs w:val="32"/>
          <w:lang w:val="en-US" w:eastAsia="zh-CN" w:bidi="ar-SA"/>
        </w:rPr>
        <w:t>我院预算项目实际列支内容是与绩效目标设置方向相符，采取相对应的项目调整措施，积极执行项目预算。</w:t>
      </w:r>
      <w:r>
        <w:rPr>
          <w:rFonts w:hint="default" w:ascii="Times New Roman" w:hAnsi="Times New Roman" w:eastAsia="仿宋_GB2312" w:cs="Times New Roman"/>
          <w:kern w:val="2"/>
          <w:sz w:val="32"/>
          <w:szCs w:val="32"/>
          <w:lang w:val="zh-CN" w:eastAsia="zh-CN" w:bidi="ar-SA"/>
        </w:rPr>
        <w:t>1—1</w:t>
      </w: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zh-CN" w:eastAsia="zh-CN" w:bidi="ar-SA"/>
        </w:rPr>
        <w:t>月预算</w:t>
      </w:r>
      <w:r>
        <w:rPr>
          <w:rFonts w:hint="default" w:ascii="Times New Roman" w:hAnsi="Times New Roman" w:eastAsia="仿宋_GB2312" w:cs="Times New Roman"/>
          <w:kern w:val="2"/>
          <w:sz w:val="32"/>
          <w:szCs w:val="32"/>
          <w:lang w:val="en-US" w:eastAsia="zh-CN" w:bidi="ar-SA"/>
        </w:rPr>
        <w:t>项目结余率小于10%的常年项目数量为4项，部门预算常年项目总数为6项，预算结余率小于10%的一次性项目数量为5项，部门预算一次性项目和阶段项目总数为9项。计算项目执行得分2.44分。项目执行最终评定10.44分。</w:t>
      </w:r>
    </w:p>
    <w:p w14:paraId="5CC27322">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zh-CN" w:eastAsia="zh-CN" w:bidi="ar-SA"/>
        </w:rPr>
        <w:t>目标实现。</w:t>
      </w:r>
      <w:r>
        <w:rPr>
          <w:rFonts w:hint="default" w:ascii="Times New Roman" w:hAnsi="Times New Roman" w:eastAsia="仿宋_GB2312" w:cs="Times New Roman"/>
          <w:kern w:val="2"/>
          <w:sz w:val="32"/>
          <w:szCs w:val="32"/>
          <w:lang w:val="en-US" w:eastAsia="zh-CN" w:bidi="ar-SA"/>
        </w:rPr>
        <w:t>我院13个预算项目均设置了产出指标和效益指标，其中13个项目设置的产出指标和效益指标均完成。实现了围绕党委中心工作，立足检察职能，进一步强化法律监督，维护公平正义，促进社会和谐，不断开创汶川检察工作新局面的部门整体绩效目标。目标实现最终评定11分。</w:t>
      </w:r>
    </w:p>
    <w:p w14:paraId="68C00628">
      <w:pPr>
        <w:pStyle w:val="35"/>
        <w:keepNext w:val="0"/>
        <w:keepLines w:val="0"/>
        <w:pageBreakBefore w:val="0"/>
        <w:widowControl w:val="0"/>
        <w:kinsoku/>
        <w:wordWrap/>
        <w:overflowPunct/>
        <w:topLinePunct w:val="0"/>
        <w:autoSpaceDE/>
        <w:autoSpaceDN/>
        <w:bidi w:val="0"/>
        <w:adjustRightInd/>
        <w:snapToGrid/>
        <w:spacing w:before="0" w:line="556" w:lineRule="exact"/>
        <w:ind w:firstLine="643" w:firstLineChars="200"/>
        <w:textAlignment w:val="auto"/>
        <w:rPr>
          <w:rFonts w:hint="default" w:ascii="Times New Roman" w:hAnsi="Times New Roman" w:eastAsia="楷体_GB2312" w:cs="Times New Roman"/>
          <w:b/>
          <w:kern w:val="2"/>
          <w:sz w:val="32"/>
          <w:szCs w:val="32"/>
          <w:lang w:val="zh-CN" w:eastAsia="zh-CN" w:bidi="ar-SA"/>
        </w:rPr>
      </w:pPr>
      <w:r>
        <w:rPr>
          <w:rFonts w:hint="default" w:ascii="Times New Roman" w:hAnsi="Times New Roman" w:eastAsia="楷体_GB2312" w:cs="Times New Roman"/>
          <w:b/>
          <w:kern w:val="2"/>
          <w:sz w:val="32"/>
          <w:szCs w:val="32"/>
          <w:lang w:val="zh-CN" w:eastAsia="zh-CN" w:bidi="ar-SA"/>
        </w:rPr>
        <w:t>（三）绩效结果应用情况。</w:t>
      </w:r>
    </w:p>
    <w:p w14:paraId="4D25E33F">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2025年我院对2024年度部门整体绩效进行自评，对资金项目开展绩效考核，形成评价报告。对于自评存在的问题积极思考改进措施，成为编制下年度预算的重要依据。向单位党组汇报经费使用情况和目标绩效完成情况，并向党组请示单位资金使用计划，合理规划单位资金，确保资金及时准确支付，有力的促进单位各部门加强预算绩效管理。</w:t>
      </w:r>
    </w:p>
    <w:p w14:paraId="64127AFD">
      <w:pPr>
        <w:spacing w:line="600" w:lineRule="exact"/>
        <w:ind w:firstLine="640" w:firstLineChars="200"/>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四、评价结论及建议</w:t>
      </w:r>
    </w:p>
    <w:p w14:paraId="3AA11E13">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zh-CN" w:eastAsia="zh-CN" w:bidi="ar-SA"/>
        </w:rPr>
        <w:t>（一）评价结论。</w:t>
      </w:r>
      <w:r>
        <w:rPr>
          <w:rFonts w:hint="default" w:ascii="Times New Roman" w:hAnsi="Times New Roman" w:eastAsia="仿宋_GB2312" w:cs="Times New Roman"/>
          <w:kern w:val="2"/>
          <w:sz w:val="32"/>
          <w:szCs w:val="32"/>
          <w:lang w:val="en-US" w:eastAsia="zh-CN" w:bidi="ar-SA"/>
        </w:rPr>
        <w:t>2024年，我院不断改善绩效目标编制的规范性、专业性和量化水平。积极履行检察职能，加强单位预算管理，确保预算资金执行的准确性和高效性。严格按照财务管理制度规范单位资金使用情况，加强项目管理，推进项目执行，达到预期目标。总体得分为89.97分。</w:t>
      </w:r>
    </w:p>
    <w:p w14:paraId="66BF6CFF">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zh-CN" w:eastAsia="zh-CN" w:bidi="ar-SA"/>
        </w:rPr>
        <w:t>（二）存在问题。</w:t>
      </w:r>
      <w:r>
        <w:rPr>
          <w:rFonts w:hint="default" w:ascii="Times New Roman" w:hAnsi="Times New Roman" w:eastAsia="仿宋_GB2312" w:cs="Times New Roman"/>
          <w:kern w:val="2"/>
          <w:sz w:val="32"/>
          <w:szCs w:val="32"/>
          <w:lang w:val="en-US" w:eastAsia="zh-CN" w:bidi="ar-SA"/>
        </w:rPr>
        <w:t>一是部分项目资金支付进度较慢。比如当年中央转移支付资金下达较晚并且上年结转资金仍在使用，导致年末本年度相关资金支付进度慢，资金拨付少，影响当年特定项目类资金绩效监控与评价。二是预算绩效体系建设不完善，未实现绩效目标引领和绩效结果应用两大支撑作用。预算绩效目标编制参差不齐，未能实现规范化编制预算绩效目标贯穿预算编制、执行监控、结果评价全过程。三是单位资产管理不全面。对于资产的利用和保护还不足，已完成折旧的资产未及时盘点并修理。</w:t>
      </w:r>
    </w:p>
    <w:p w14:paraId="1D08A231">
      <w:pPr>
        <w:pStyle w:val="35"/>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（三）改进建议。</w:t>
      </w:r>
      <w:bookmarkStart w:id="49" w:name="_Hlk110546638"/>
      <w:r>
        <w:rPr>
          <w:rFonts w:hint="default" w:ascii="Times New Roman" w:hAnsi="Times New Roman" w:eastAsia="仿宋_GB2312" w:cs="Times New Roman"/>
          <w:kern w:val="2"/>
          <w:sz w:val="32"/>
          <w:szCs w:val="32"/>
          <w:lang w:val="en-US" w:eastAsia="zh-CN" w:bidi="ar-SA"/>
        </w:rPr>
        <w:t>一是充分认识全面实施预算绩效管理的重要意义。深入学习领会全面实施预算绩效管理的重要意义，是着重解决单位里资源配置和使用中的低效无效问题。二是加强培训和学习。积极参加上级院和财政部门组织的集中学习、讲座、专题会议，安排预算部门财务人员参加绩效评价相关培训，进一步统一认识，充实业务知识。三是加强单位资产管理，对于已存在一定使用时间的资产定期修理，确保资产寿命，提高资产使用价值。</w:t>
      </w:r>
    </w:p>
    <w:p w14:paraId="5A833BA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b w:val="0"/>
          <w:bCs w:val="0"/>
          <w:kern w:val="0"/>
          <w:position w:val="0"/>
          <w:sz w:val="32"/>
          <w:szCs w:val="32"/>
          <w:highlight w:val="none"/>
          <w:lang w:val="en" w:eastAsia="zh-CN" w:bidi="ar-SA"/>
        </w:rPr>
      </w:pPr>
    </w:p>
    <w:bookmarkEnd w:id="49"/>
    <w:p w14:paraId="27320E41">
      <w:pPr>
        <w:keepNext w:val="0"/>
        <w:keepLines w:val="0"/>
        <w:pageBreakBefore w:val="0"/>
        <w:kinsoku/>
        <w:wordWrap/>
        <w:overflowPunct/>
        <w:topLinePunct w:val="0"/>
        <w:autoSpaceDE/>
        <w:autoSpaceDN/>
        <w:bidi w:val="0"/>
        <w:spacing w:line="578" w:lineRule="exact"/>
        <w:contextualSpacing/>
        <w:textAlignment w:val="auto"/>
        <w:outlineLvl w:val="9"/>
        <w:rPr>
          <w:rFonts w:hint="default" w:ascii="Times New Roman" w:hAnsi="Times New Roman" w:eastAsia="黑体" w:cs="Times New Roman"/>
          <w:szCs w:val="32"/>
          <w:highlight w:val="none"/>
          <w:lang w:val="en-US" w:eastAsia="zh-CN"/>
        </w:rPr>
      </w:pPr>
    </w:p>
    <w:p w14:paraId="091DEFBA">
      <w:pPr>
        <w:pStyle w:val="35"/>
        <w:keepNext w:val="0"/>
        <w:keepLines w:val="0"/>
        <w:pageBreakBefore w:val="0"/>
        <w:widowControl w:val="0"/>
        <w:kinsoku/>
        <w:wordWrap/>
        <w:overflowPunct/>
        <w:topLinePunct w:val="0"/>
        <w:autoSpaceDE/>
        <w:autoSpaceDN/>
        <w:bidi w:val="0"/>
        <w:adjustRightInd/>
        <w:snapToGrid/>
        <w:spacing w:before="0" w:line="556" w:lineRule="exac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附表：1.部门预算绩效自评打分表</w:t>
      </w:r>
    </w:p>
    <w:p w14:paraId="3FD8DE9D">
      <w:pPr>
        <w:pStyle w:val="35"/>
        <w:keepNext w:val="0"/>
        <w:keepLines w:val="0"/>
        <w:pageBreakBefore w:val="0"/>
        <w:widowControl w:val="0"/>
        <w:kinsoku/>
        <w:wordWrap/>
        <w:overflowPunct/>
        <w:topLinePunct w:val="0"/>
        <w:autoSpaceDE/>
        <w:autoSpaceDN/>
        <w:bidi w:val="0"/>
        <w:adjustRightInd/>
        <w:snapToGrid/>
        <w:spacing w:before="0" w:line="556" w:lineRule="exact"/>
        <w:ind w:firstLine="960" w:firstLineChars="3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2.部门整体绩效目标完成情况自评表</w:t>
      </w:r>
    </w:p>
    <w:p w14:paraId="096C917F">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cs="Times New Roman"/>
          <w:color w:val="000000"/>
          <w:kern w:val="0"/>
          <w:szCs w:val="32"/>
          <w:highlight w:val="none"/>
          <w:shd w:val="clear" w:color="auto" w:fill="FFFFFF"/>
          <w:lang w:val="en-US" w:eastAsia="zh-CN"/>
        </w:rPr>
        <w:br w:type="page"/>
      </w: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39718A4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5"/>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365"/>
        <w:gridCol w:w="1762"/>
        <w:gridCol w:w="720"/>
        <w:gridCol w:w="4734"/>
        <w:gridCol w:w="756"/>
        <w:gridCol w:w="478"/>
      </w:tblGrid>
      <w:tr w14:paraId="4AA97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ADAC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BC2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45B506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5A001D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0F93D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40A079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一级指标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D8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二级指标</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FA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E7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指标</w:t>
            </w:r>
            <w:r>
              <w:rPr>
                <w:rFonts w:hint="eastAsia" w:ascii="黑体" w:hAnsi="宋体" w:eastAsia="黑体" w:cs="黑体"/>
                <w:i w:val="0"/>
                <w:color w:val="000000"/>
                <w:kern w:val="0"/>
                <w:sz w:val="21"/>
                <w:szCs w:val="21"/>
                <w:u w:val="none"/>
                <w:lang w:val="en-US" w:eastAsia="zh-CN" w:bidi="ar"/>
              </w:rPr>
              <w:br w:type="textWrapping"/>
            </w:r>
            <w:r>
              <w:rPr>
                <w:rFonts w:hint="eastAsia" w:ascii="黑体" w:hAnsi="宋体" w:eastAsia="黑体" w:cs="黑体"/>
                <w:i w:val="0"/>
                <w:color w:val="000000"/>
                <w:kern w:val="0"/>
                <w:sz w:val="21"/>
                <w:szCs w:val="21"/>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53641">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1"/>
                <w:szCs w:val="21"/>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4464DDEC">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33383CD7">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745EF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329421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总体绩效</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（65分）</w:t>
            </w:r>
          </w:p>
        </w:tc>
        <w:tc>
          <w:tcPr>
            <w:tcW w:w="1365" w:type="dxa"/>
            <w:vMerge w:val="restart"/>
            <w:tcBorders>
              <w:top w:val="single" w:color="000000" w:sz="4" w:space="0"/>
              <w:left w:val="single" w:color="000000" w:sz="4" w:space="0"/>
              <w:right w:val="single" w:color="000000" w:sz="4" w:space="0"/>
            </w:tcBorders>
            <w:shd w:val="clear" w:color="auto" w:fill="auto"/>
            <w:vAlign w:val="center"/>
          </w:tcPr>
          <w:p w14:paraId="22AFC5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履职效能</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（15分）</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90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刑事检察履职效果</w:t>
            </w:r>
          </w:p>
        </w:tc>
        <w:tc>
          <w:tcPr>
            <w:tcW w:w="720" w:type="dxa"/>
            <w:vMerge w:val="restart"/>
            <w:tcBorders>
              <w:top w:val="nil"/>
              <w:left w:val="single" w:color="000000" w:sz="4" w:space="0"/>
              <w:right w:val="single" w:color="000000" w:sz="4" w:space="0"/>
            </w:tcBorders>
            <w:shd w:val="clear" w:color="auto" w:fill="auto"/>
            <w:vAlign w:val="center"/>
          </w:tcPr>
          <w:p w14:paraId="389DFF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14:paraId="48B88E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25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E1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B470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F6E72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1"/>
                <w:szCs w:val="21"/>
                <w:u w:val="none"/>
                <w:lang w:val="en-US" w:eastAsia="zh-CN" w:bidi="ar"/>
              </w:rPr>
            </w:pPr>
          </w:p>
        </w:tc>
        <w:tc>
          <w:tcPr>
            <w:tcW w:w="1365" w:type="dxa"/>
            <w:vMerge w:val="continue"/>
            <w:tcBorders>
              <w:left w:val="single" w:color="000000" w:sz="4" w:space="0"/>
              <w:right w:val="single" w:color="000000" w:sz="4" w:space="0"/>
            </w:tcBorders>
            <w:shd w:val="clear" w:color="auto" w:fill="auto"/>
            <w:vAlign w:val="center"/>
          </w:tcPr>
          <w:p w14:paraId="699175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1"/>
                <w:szCs w:val="21"/>
                <w:u w:val="none"/>
                <w:lang w:val="en-US" w:eastAsia="zh-CN" w:bidi="ar"/>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30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公益诉讼检察履职效果</w:t>
            </w:r>
          </w:p>
        </w:tc>
        <w:tc>
          <w:tcPr>
            <w:tcW w:w="720" w:type="dxa"/>
            <w:vMerge w:val="continue"/>
            <w:tcBorders>
              <w:left w:val="single" w:color="000000" w:sz="4" w:space="0"/>
              <w:right w:val="single" w:color="000000" w:sz="4" w:space="0"/>
            </w:tcBorders>
            <w:shd w:val="clear" w:color="auto" w:fill="auto"/>
            <w:vAlign w:val="center"/>
          </w:tcPr>
          <w:p w14:paraId="62EE94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p>
        </w:tc>
        <w:tc>
          <w:tcPr>
            <w:tcW w:w="4734" w:type="dxa"/>
            <w:vMerge w:val="continue"/>
            <w:tcBorders>
              <w:left w:val="single" w:color="000000" w:sz="4" w:space="0"/>
              <w:right w:val="single" w:color="000000" w:sz="4" w:space="0"/>
            </w:tcBorders>
            <w:shd w:val="clear" w:color="auto" w:fill="auto"/>
            <w:vAlign w:val="center"/>
          </w:tcPr>
          <w:p w14:paraId="768A18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39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96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AFE2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left w:val="single" w:color="000000" w:sz="4" w:space="0"/>
              <w:right w:val="single" w:color="000000" w:sz="4" w:space="0"/>
            </w:tcBorders>
            <w:shd w:val="clear" w:color="auto" w:fill="auto"/>
            <w:vAlign w:val="center"/>
          </w:tcPr>
          <w:p w14:paraId="407F2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p>
        </w:tc>
        <w:tc>
          <w:tcPr>
            <w:tcW w:w="1365" w:type="dxa"/>
            <w:vMerge w:val="continue"/>
            <w:tcBorders>
              <w:left w:val="single" w:color="000000" w:sz="4" w:space="0"/>
              <w:bottom w:val="single" w:color="000000" w:sz="4" w:space="0"/>
              <w:right w:val="single" w:color="000000" w:sz="4" w:space="0"/>
            </w:tcBorders>
            <w:shd w:val="clear" w:color="auto" w:fill="auto"/>
            <w:vAlign w:val="center"/>
          </w:tcPr>
          <w:p w14:paraId="0AFA61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7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维护社会稳定履职效果</w:t>
            </w:r>
          </w:p>
        </w:tc>
        <w:tc>
          <w:tcPr>
            <w:tcW w:w="720" w:type="dxa"/>
            <w:vMerge w:val="continue"/>
            <w:tcBorders>
              <w:left w:val="single" w:color="000000" w:sz="4" w:space="0"/>
              <w:bottom w:val="single" w:color="000000" w:sz="4" w:space="0"/>
              <w:right w:val="single" w:color="000000" w:sz="4" w:space="0"/>
            </w:tcBorders>
            <w:shd w:val="clear" w:color="auto" w:fill="auto"/>
            <w:vAlign w:val="center"/>
          </w:tcPr>
          <w:p w14:paraId="364E33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14:paraId="568459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7B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DE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2B33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04" w:type="dxa"/>
            <w:vMerge w:val="continue"/>
            <w:tcBorders>
              <w:left w:val="single" w:color="000000" w:sz="4" w:space="0"/>
              <w:right w:val="single" w:color="000000" w:sz="4" w:space="0"/>
            </w:tcBorders>
            <w:shd w:val="clear" w:color="auto" w:fill="auto"/>
            <w:vAlign w:val="center"/>
          </w:tcPr>
          <w:p w14:paraId="7B8F85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57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预算管理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（25分）</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83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1E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99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26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41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736F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1A0A6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152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007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89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B0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FB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10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734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BD26D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582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5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73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47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72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5.73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C1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0C5C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60508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CD3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02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26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4E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CE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9A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FF2C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left w:val="single" w:color="000000" w:sz="4" w:space="0"/>
              <w:right w:val="single" w:color="000000" w:sz="4" w:space="0"/>
            </w:tcBorders>
            <w:shd w:val="clear" w:color="auto" w:fill="auto"/>
            <w:vAlign w:val="center"/>
          </w:tcPr>
          <w:p w14:paraId="68F709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8FC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01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9C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2D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80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E8D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4B6A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0FAD7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FE7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财务管理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（10分）</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21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8B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56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80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FE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9E37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91071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6BD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CE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B9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FA0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EE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1A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748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E2BA3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6E3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03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41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1E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F5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29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7003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786B03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908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资产管理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（9分）</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D0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6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A2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FC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60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A80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5EFC8C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BBD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75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F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B8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A4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EF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6D71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60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总体绩效</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（65分）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774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资产管理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（9分）</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36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45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EF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A9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10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3A10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5E8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139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采购管理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（6分）</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20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D4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41B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75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52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C354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E8D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826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2B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AE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05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64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61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3DC4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D8A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项目绩效</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（35分）</w:t>
            </w:r>
          </w:p>
        </w:tc>
        <w:tc>
          <w:tcPr>
            <w:tcW w:w="1365" w:type="dxa"/>
            <w:vMerge w:val="restart"/>
            <w:tcBorders>
              <w:top w:val="single" w:color="000000" w:sz="4" w:space="0"/>
              <w:left w:val="single" w:color="000000" w:sz="4" w:space="0"/>
              <w:bottom w:val="nil"/>
              <w:right w:val="single" w:color="000000" w:sz="4" w:space="0"/>
            </w:tcBorders>
            <w:shd w:val="clear" w:color="auto" w:fill="auto"/>
            <w:vAlign w:val="center"/>
          </w:tcPr>
          <w:p w14:paraId="47FD2A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项目决策</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（12分）</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BC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F2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AE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3F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FE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A7A9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BEE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nil"/>
              <w:right w:val="single" w:color="000000" w:sz="4" w:space="0"/>
            </w:tcBorders>
            <w:shd w:val="clear" w:color="auto" w:fill="auto"/>
            <w:vAlign w:val="center"/>
          </w:tcPr>
          <w:p w14:paraId="0A4ADD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9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B6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B9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97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25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808B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186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nil"/>
              <w:right w:val="single" w:color="000000" w:sz="4" w:space="0"/>
            </w:tcBorders>
            <w:shd w:val="clear" w:color="auto" w:fill="auto"/>
            <w:vAlign w:val="center"/>
          </w:tcPr>
          <w:p w14:paraId="426D6C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9D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6D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A4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4A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1D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6466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C40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restart"/>
            <w:tcBorders>
              <w:top w:val="single" w:color="000000" w:sz="4" w:space="0"/>
              <w:left w:val="single" w:color="000000" w:sz="4" w:space="0"/>
              <w:bottom w:val="nil"/>
              <w:right w:val="single" w:color="000000" w:sz="4" w:space="0"/>
            </w:tcBorders>
            <w:shd w:val="clear" w:color="auto" w:fill="auto"/>
            <w:vAlign w:val="center"/>
          </w:tcPr>
          <w:p w14:paraId="72134C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项目执行</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（12分）</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30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73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90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4EA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3A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3F7B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78D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nil"/>
              <w:right w:val="single" w:color="000000" w:sz="4" w:space="0"/>
            </w:tcBorders>
            <w:shd w:val="clear" w:color="auto" w:fill="auto"/>
            <w:vAlign w:val="center"/>
          </w:tcPr>
          <w:p w14:paraId="08C17D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nil"/>
              <w:right w:val="single" w:color="000000" w:sz="4" w:space="0"/>
            </w:tcBorders>
            <w:shd w:val="clear" w:color="auto" w:fill="auto"/>
            <w:vAlign w:val="center"/>
          </w:tcPr>
          <w:p w14:paraId="096E9E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30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82B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09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73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74B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240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nil"/>
              <w:right w:val="single" w:color="000000" w:sz="4" w:space="0"/>
            </w:tcBorders>
            <w:shd w:val="clear" w:color="auto" w:fill="auto"/>
            <w:vAlign w:val="center"/>
          </w:tcPr>
          <w:p w14:paraId="5F1396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8E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5B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55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B4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29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B56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233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5B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目标实现</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（11分）</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2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15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C7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5E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35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6ED5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330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D60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37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3C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30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8C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F7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A306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EC6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632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CD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F5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82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68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8A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D38A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40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扣分项</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64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86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C7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9A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0B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4C1D8416">
      <w:pPr>
        <w:pStyle w:val="19"/>
        <w:keepNext/>
        <w:keepLines/>
        <w:pageBreakBefore w:val="0"/>
        <w:widowControl w:val="0"/>
        <w:kinsoku/>
        <w:wordWrap/>
        <w:overflowPunct/>
        <w:topLinePunct w:val="0"/>
        <w:autoSpaceDE/>
        <w:autoSpaceDN/>
        <w:bidi w:val="0"/>
        <w:adjustRightInd/>
        <w:snapToGrid/>
        <w:spacing w:line="20" w:lineRule="exact"/>
        <w:textAlignment w:val="auto"/>
        <w:rPr>
          <w:rFonts w:hint="default"/>
          <w:lang w:val="en-US" w:eastAsia="zh-CN"/>
        </w:rPr>
      </w:pPr>
    </w:p>
    <w:p w14:paraId="04BC374B">
      <w:pPr>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br w:type="page"/>
      </w:r>
    </w:p>
    <w:p w14:paraId="12B3E054">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5"/>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3BEC3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0E6B6A47">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4C033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15743D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7D167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2A8C8748">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06FAF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9F6A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DD4E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汶川县人民检察院部门</w:t>
            </w:r>
          </w:p>
        </w:tc>
      </w:tr>
      <w:tr w14:paraId="0CB4C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326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CAF7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474A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3C84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其他资金</w:t>
            </w:r>
          </w:p>
        </w:tc>
      </w:tr>
      <w:tr w14:paraId="0C8FE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9"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EA4E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EBB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673.36</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E4E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673.36</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31E6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eastAsia" w:eastAsia="宋体" w:cs="Times New Roman"/>
                <w:i w:val="0"/>
                <w:color w:val="000000"/>
                <w:kern w:val="0"/>
                <w:sz w:val="18"/>
                <w:szCs w:val="18"/>
                <w:u w:val="none"/>
                <w:lang w:val="en-US" w:eastAsia="zh-CN" w:bidi="ar"/>
              </w:rPr>
              <w:t>0</w:t>
            </w:r>
          </w:p>
        </w:tc>
      </w:tr>
      <w:tr w14:paraId="2B4CE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AC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color w:val="000000"/>
                <w:kern w:val="0"/>
                <w:sz w:val="18"/>
                <w:szCs w:val="18"/>
                <w:u w:val="none"/>
                <w:lang w:val="en-US" w:eastAsia="zh-CN" w:bidi="ar"/>
              </w:rPr>
              <w:t>年度总体</w:t>
            </w:r>
          </w:p>
          <w:p w14:paraId="4E2838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828A1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检察日常事务工作，保障办公高效运转；保障检察工作正常运转，不断提升检察工作水平，提高人民群众对司法满意度。</w:t>
            </w:r>
          </w:p>
        </w:tc>
      </w:tr>
      <w:tr w14:paraId="238D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6B86EC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color w:val="000000"/>
                <w:kern w:val="0"/>
                <w:sz w:val="18"/>
                <w:szCs w:val="18"/>
                <w:u w:val="none"/>
                <w:lang w:val="en-US" w:eastAsia="zh-CN" w:bidi="ar"/>
              </w:rPr>
              <w:t>年度主要</w:t>
            </w:r>
          </w:p>
          <w:p w14:paraId="5B6585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04E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0840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主要内容</w:t>
            </w:r>
          </w:p>
        </w:tc>
      </w:tr>
      <w:tr w14:paraId="2C2C9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63398F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EEAC5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sz w:val="18"/>
                <w:szCs w:val="18"/>
                <w:u w:val="none"/>
              </w:rPr>
              <w:t>服务中心大局，保障刑事检察、民事检察、行政检察、公益诉讼检察，四大检察工作顺利开展。</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A5AEF8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充分履行法律监督职责，提高执法办案效果和质量。持续优化刑事检察，不断强化民事检察，用心做实行政检察，扎实开展公益诉讼检察。</w:t>
            </w:r>
          </w:p>
        </w:tc>
      </w:tr>
      <w:tr w14:paraId="0338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7DFD42A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F21A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sz w:val="18"/>
                <w:szCs w:val="18"/>
                <w:u w:val="none"/>
              </w:rPr>
              <w:t>思想政治工作、新闻宣传、舆论引导、组织人事、教育培训、法律宣传等其他工作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0CFBC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sz w:val="18"/>
                <w:szCs w:val="18"/>
                <w:u w:val="none"/>
              </w:rPr>
              <w:t>保障我院其他工作顺利开展</w:t>
            </w:r>
          </w:p>
        </w:tc>
      </w:tr>
      <w:tr w14:paraId="070F5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07CB7E7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89E9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sz w:val="18"/>
                <w:szCs w:val="18"/>
                <w:u w:val="none"/>
              </w:rPr>
              <w:t>保障全院人员经费，保障办公、办案工作顺利开展</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299EF8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sz w:val="18"/>
                <w:szCs w:val="18"/>
                <w:u w:val="none"/>
              </w:rPr>
              <w:t>保障在编在职、聘用制书记员等人员的人员经费及办公办案相关经费支出。</w:t>
            </w:r>
          </w:p>
        </w:tc>
      </w:tr>
      <w:tr w14:paraId="22FC7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D91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color w:val="000000"/>
                <w:kern w:val="0"/>
                <w:sz w:val="18"/>
                <w:szCs w:val="18"/>
                <w:u w:val="none"/>
                <w:lang w:val="en-US" w:eastAsia="zh-CN" w:bidi="ar"/>
              </w:rPr>
              <w:t>年度绩效</w:t>
            </w:r>
          </w:p>
          <w:p w14:paraId="6F87E9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5C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E6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40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3BF7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color w:val="000000"/>
                <w:kern w:val="0"/>
                <w:sz w:val="18"/>
                <w:szCs w:val="18"/>
                <w:u w:val="none"/>
                <w:lang w:val="en-US" w:eastAsia="zh-CN" w:bidi="ar"/>
              </w:rPr>
              <w:t>绩效指标</w:t>
            </w:r>
          </w:p>
          <w:p w14:paraId="066B5F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9F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45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415D1D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74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color w:val="000000"/>
                <w:kern w:val="0"/>
                <w:sz w:val="18"/>
                <w:szCs w:val="18"/>
                <w:u w:val="none"/>
                <w:lang w:val="en-US" w:eastAsia="zh-CN" w:bidi="ar"/>
              </w:rPr>
              <w:t>实际完成</w:t>
            </w:r>
          </w:p>
          <w:p w14:paraId="7F4D4E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指标值</w:t>
            </w:r>
          </w:p>
        </w:tc>
      </w:tr>
      <w:tr w14:paraId="63AD7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FBD4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BED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4EA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6E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18"/>
                <w:szCs w:val="18"/>
                <w:u w:val="none"/>
                <w:lang w:val="en-US"/>
              </w:rPr>
            </w:pPr>
            <w:r>
              <w:rPr>
                <w:rFonts w:hint="eastAsia" w:eastAsia="宋体" w:cs="Times New Roman"/>
                <w:i w:val="0"/>
                <w:color w:val="000000"/>
                <w:kern w:val="0"/>
                <w:sz w:val="18"/>
                <w:szCs w:val="18"/>
                <w:u w:val="none"/>
                <w:lang w:val="en-US" w:eastAsia="zh-CN" w:bidi="ar"/>
              </w:rPr>
              <w:t>刑事案件办理数</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0B57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18"/>
                <w:szCs w:val="18"/>
                <w:u w:val="none"/>
              </w:rPr>
            </w:pPr>
            <w:r>
              <w:rPr>
                <w:rFonts w:hint="eastAsia" w:eastAsia="宋体" w:cs="Times New Roman"/>
                <w:i w:val="0"/>
                <w:color w:val="000000"/>
                <w:kern w:val="0"/>
                <w:sz w:val="18"/>
                <w:szCs w:val="18"/>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00F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18"/>
                <w:szCs w:val="18"/>
                <w:u w:val="none"/>
                <w:lang w:val="en-US"/>
              </w:rPr>
            </w:pPr>
            <w:r>
              <w:rPr>
                <w:rFonts w:hint="eastAsia" w:eastAsia="宋体" w:cs="Times New Roman"/>
                <w:i w:val="0"/>
                <w:color w:val="000000"/>
                <w:kern w:val="0"/>
                <w:sz w:val="18"/>
                <w:szCs w:val="18"/>
                <w:u w:val="none"/>
                <w:lang w:val="en-US" w:eastAsia="zh-CN" w:bidi="ar"/>
              </w:rPr>
              <w:t>120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6591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18"/>
                <w:szCs w:val="18"/>
                <w:u w:val="none"/>
              </w:rPr>
            </w:pPr>
            <w:r>
              <w:rPr>
                <w:rFonts w:hint="eastAsia" w:eastAsia="宋体" w:cs="Times New Roman"/>
                <w:i w:val="0"/>
                <w:color w:val="000000"/>
                <w:kern w:val="0"/>
                <w:sz w:val="18"/>
                <w:szCs w:val="18"/>
                <w:u w:val="none"/>
                <w:lang w:val="en-US" w:eastAsia="zh-CN" w:bidi="ar"/>
              </w:rPr>
              <w:t>案件数</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E4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18"/>
                <w:szCs w:val="18"/>
                <w:u w:val="none"/>
              </w:rPr>
            </w:pPr>
            <w:r>
              <w:rPr>
                <w:rFonts w:hint="eastAsia" w:eastAsia="宋体" w:cs="Times New Roman"/>
                <w:i w:val="0"/>
                <w:color w:val="000000"/>
                <w:kern w:val="0"/>
                <w:sz w:val="18"/>
                <w:szCs w:val="18"/>
                <w:u w:val="none"/>
                <w:lang w:val="en-US" w:eastAsia="zh-CN" w:bidi="ar"/>
              </w:rPr>
              <w:t>100</w:t>
            </w:r>
            <w:r>
              <w:rPr>
                <w:rFonts w:hint="default" w:ascii="Times New Roman" w:hAnsi="Times New Roman" w:eastAsia="宋体" w:cs="Times New Roman"/>
                <w:i w:val="0"/>
                <w:color w:val="000000"/>
                <w:kern w:val="0"/>
                <w:sz w:val="18"/>
                <w:szCs w:val="18"/>
                <w:u w:val="none"/>
                <w:lang w:val="en-US" w:eastAsia="zh-CN" w:bidi="ar"/>
              </w:rPr>
              <w:t>%</w:t>
            </w:r>
          </w:p>
        </w:tc>
        <w:tc>
          <w:tcPr>
            <w:tcW w:w="1113" w:type="dxa"/>
            <w:tcBorders>
              <w:left w:val="single" w:color="000000" w:sz="4" w:space="0"/>
              <w:bottom w:val="single" w:color="000000" w:sz="4" w:space="0"/>
              <w:right w:val="single" w:color="000000" w:sz="4" w:space="0"/>
            </w:tcBorders>
            <w:shd w:val="clear" w:color="auto" w:fill="auto"/>
            <w:vAlign w:val="center"/>
          </w:tcPr>
          <w:p w14:paraId="1446217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18"/>
                <w:szCs w:val="18"/>
                <w:u w:val="none"/>
                <w:lang w:val="en-US"/>
              </w:rPr>
            </w:pPr>
            <w:r>
              <w:rPr>
                <w:rFonts w:hint="eastAsia" w:eastAsia="宋体" w:cs="Times New Roman"/>
                <w:i w:val="0"/>
                <w:color w:val="000000"/>
                <w:kern w:val="0"/>
                <w:sz w:val="18"/>
                <w:szCs w:val="18"/>
                <w:u w:val="none"/>
                <w:lang w:val="en-US" w:eastAsia="zh-CN" w:bidi="ar"/>
              </w:rPr>
              <w:t>169</w:t>
            </w:r>
          </w:p>
        </w:tc>
      </w:tr>
      <w:tr w14:paraId="3F393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5406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5707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B592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F6A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公益诉讼检察监督率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1C63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2D4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4B1F">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012F">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359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100</w:t>
            </w:r>
          </w:p>
        </w:tc>
      </w:tr>
      <w:tr w14:paraId="5ECAB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FA31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DFC1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273" w:type="dxa"/>
            <w:vMerge w:val="restart"/>
            <w:tcBorders>
              <w:top w:val="single" w:color="000000" w:sz="4" w:space="0"/>
              <w:left w:val="single" w:color="000000" w:sz="4" w:space="0"/>
              <w:right w:val="single" w:color="000000" w:sz="4" w:space="0"/>
            </w:tcBorders>
            <w:shd w:val="clear" w:color="auto" w:fill="auto"/>
            <w:vAlign w:val="center"/>
          </w:tcPr>
          <w:p w14:paraId="18D64E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FE2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检察工作高质量开展</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6B13A">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6FBB">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高</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2C1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2E3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7ED7">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高</w:t>
            </w:r>
          </w:p>
        </w:tc>
      </w:tr>
      <w:tr w14:paraId="780CD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C99C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409D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273" w:type="dxa"/>
            <w:vMerge w:val="continue"/>
            <w:tcBorders>
              <w:left w:val="single" w:color="000000" w:sz="4" w:space="0"/>
              <w:bottom w:val="single" w:color="000000" w:sz="4" w:space="0"/>
              <w:right w:val="single" w:color="000000" w:sz="4" w:space="0"/>
            </w:tcBorders>
            <w:shd w:val="clear" w:color="auto" w:fill="auto"/>
            <w:vAlign w:val="center"/>
          </w:tcPr>
          <w:p w14:paraId="6D404B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9D7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监督覆盖率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F8A3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77E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DCE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rPr>
            </w:pPr>
            <w:r>
              <w:rPr>
                <w:rFonts w:hint="eastAsia" w:eastAsia="宋体" w:cs="Times New Roman"/>
                <w:i w:val="0"/>
                <w:color w:val="00000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F10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FD6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100</w:t>
            </w:r>
          </w:p>
        </w:tc>
      </w:tr>
      <w:tr w14:paraId="4ECE4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F1A1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4903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CB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B10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经费支出及时率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94BE2">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等于</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BDC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AEEB">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53C6">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C6B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95</w:t>
            </w:r>
          </w:p>
        </w:tc>
      </w:tr>
      <w:tr w14:paraId="735A3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68D0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640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14:paraId="77E3A8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color w:val="000000"/>
                <w:kern w:val="0"/>
                <w:sz w:val="18"/>
                <w:szCs w:val="18"/>
                <w:u w:val="none"/>
                <w:lang w:val="en-US" w:eastAsia="zh-CN" w:bidi="ar"/>
              </w:rPr>
              <w:t>社会效益</w:t>
            </w:r>
          </w:p>
          <w:p w14:paraId="2DAA92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4B1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保障单位正常运行</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7084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rPr>
            </w:pPr>
            <w:r>
              <w:rPr>
                <w:rFonts w:hint="eastAsia" w:eastAsia="宋体" w:cs="Times New Roman"/>
                <w:i w:val="0"/>
                <w:color w:val="000000"/>
                <w:kern w:val="0"/>
                <w:sz w:val="18"/>
                <w:szCs w:val="18"/>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571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8E61">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2DB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A54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90</w:t>
            </w:r>
          </w:p>
        </w:tc>
      </w:tr>
      <w:tr w14:paraId="78977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350E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E909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4A94842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55B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打击犯罪，维护社会稳定</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EFFD4">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FD1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优</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323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CF3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640B">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优</w:t>
            </w:r>
          </w:p>
        </w:tc>
      </w:tr>
      <w:tr w14:paraId="358A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DE04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80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72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96AB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受害者满意度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17324">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07C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8A0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EF3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9AA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90</w:t>
            </w:r>
          </w:p>
        </w:tc>
      </w:tr>
      <w:tr w14:paraId="0E632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44C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8A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r>
              <w:rPr>
                <w:rFonts w:hint="eastAsia" w:eastAsia="宋体" w:cs="Times New Roman"/>
                <w:i w:val="0"/>
                <w:color w:val="000000"/>
                <w:kern w:val="0"/>
                <w:sz w:val="18"/>
                <w:szCs w:val="18"/>
                <w:u w:val="none"/>
                <w:lang w:val="en-US" w:eastAsia="zh-CN" w:bidi="ar"/>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C0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r>
              <w:rPr>
                <w:rFonts w:hint="eastAsia" w:eastAsia="宋体" w:cs="Times New Roman"/>
                <w:i w:val="0"/>
                <w:color w:val="000000"/>
                <w:kern w:val="0"/>
                <w:sz w:val="18"/>
                <w:szCs w:val="18"/>
                <w:u w:val="none"/>
                <w:lang w:val="en-US" w:eastAsia="zh-CN" w:bidi="ar"/>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855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成本控制率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76B1F">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485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136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581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8D9A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90</w:t>
            </w:r>
          </w:p>
        </w:tc>
      </w:tr>
    </w:tbl>
    <w:p w14:paraId="4A53111C">
      <w:pPr>
        <w:rPr>
          <w:rFonts w:hint="default" w:ascii="Times New Roman" w:hAnsi="Times New Roman" w:eastAsia="方正小标宋简体" w:cs="Times New Roman"/>
          <w:i w:val="0"/>
          <w:color w:val="000000"/>
          <w:kern w:val="0"/>
          <w:sz w:val="32"/>
          <w:szCs w:val="32"/>
          <w:u w:val="none"/>
          <w:lang w:val="en-US" w:eastAsia="zh-CN" w:bidi="ar"/>
        </w:rPr>
      </w:pPr>
    </w:p>
    <w:p w14:paraId="0D3B39AC">
      <w:pPr>
        <w:ind w:firstLine="640" w:firstLineChars="200"/>
        <w:rPr>
          <w:rFonts w:eastAsia="仿宋_GB2312"/>
          <w:sz w:val="32"/>
          <w:szCs w:val="32"/>
          <w:lang w:val="zh-CN"/>
        </w:rPr>
      </w:pPr>
    </w:p>
    <w:p w14:paraId="2B4DAFE9">
      <w:pPr>
        <w:pStyle w:val="2"/>
        <w:jc w:val="center"/>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第五部分 附表</w:t>
      </w:r>
    </w:p>
    <w:p w14:paraId="4ECBCC22">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一、收入支出决算总表</w:t>
      </w:r>
    </w:p>
    <w:p w14:paraId="2C569F26">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二、收入决算表</w:t>
      </w:r>
    </w:p>
    <w:p w14:paraId="3CCAA860">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三、支出决算表</w:t>
      </w:r>
    </w:p>
    <w:p w14:paraId="27944F41">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四、财政拨款收入支出决算总表</w:t>
      </w:r>
    </w:p>
    <w:p w14:paraId="4C63783D">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五、财政拨款支出决算明细表</w:t>
      </w:r>
    </w:p>
    <w:p w14:paraId="1D877BB3">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六、一般公共预算财政拨款支出决算表</w:t>
      </w:r>
    </w:p>
    <w:p w14:paraId="5722E0A4">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七、一般公共预算财政拨款支出决算明细表</w:t>
      </w:r>
    </w:p>
    <w:p w14:paraId="26FFDCCC">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八、一般公共预算财政拨款基本支出决算表</w:t>
      </w:r>
    </w:p>
    <w:p w14:paraId="1E6AD20F">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九、一般公共预算财政拨款项目支出决算表</w:t>
      </w:r>
    </w:p>
    <w:p w14:paraId="5CCB62F9">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十、政府性基金预算财政拨款收入支出决算表</w:t>
      </w:r>
    </w:p>
    <w:p w14:paraId="495DB83C">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十一、国有资本经营预算财政拨款收入支出决算表</w:t>
      </w:r>
    </w:p>
    <w:p w14:paraId="6A203EDD">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十二、国有资本经营预算财政拨款支出决算表</w:t>
      </w:r>
    </w:p>
    <w:p w14:paraId="652D6612">
      <w:pPr>
        <w:spacing w:line="600" w:lineRule="exact"/>
        <w:ind w:firstLine="640" w:firstLineChars="200"/>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十三、财政拨款“三公”经费支出决算表</w:t>
      </w:r>
    </w:p>
    <w:sectPr>
      <w:headerReference r:id="rId3" w:type="default"/>
      <w:footerReference r:id="rId4" w:type="default"/>
      <w:pgSz w:w="11906" w:h="16838"/>
      <w:pgMar w:top="2098" w:right="1474" w:bottom="1984" w:left="1587"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F66C8F6">
        <w:pPr>
          <w:pStyle w:val="10"/>
          <w:jc w:val="center"/>
        </w:pPr>
        <w:r>
          <w:fldChar w:fldCharType="begin"/>
        </w:r>
        <w:r>
          <w:instrText xml:space="preserve">PAGE   \* MERGEFORMAT</w:instrText>
        </w:r>
        <w:r>
          <w:fldChar w:fldCharType="separate"/>
        </w:r>
        <w:r>
          <w:rPr>
            <w:lang w:val="zh-CN"/>
          </w:rPr>
          <w:t>23</w:t>
        </w:r>
        <w:r>
          <w:fldChar w:fldCharType="end"/>
        </w:r>
      </w:p>
    </w:sdtContent>
  </w:sdt>
  <w:p w14:paraId="3AFEB6B7">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EF99C">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JjN2M3ZTk1ZTIxYjRiMDNmMTkzMGU5OGJhY2Y4NzA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1EDF"/>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C52BB"/>
    <w:rsid w:val="004D4AEB"/>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E6810"/>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07E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E2BB9"/>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413ACA"/>
    <w:rsid w:val="015975B8"/>
    <w:rsid w:val="02367EEB"/>
    <w:rsid w:val="0243500A"/>
    <w:rsid w:val="02FEBE30"/>
    <w:rsid w:val="03035935"/>
    <w:rsid w:val="03217B69"/>
    <w:rsid w:val="033E696D"/>
    <w:rsid w:val="036F8141"/>
    <w:rsid w:val="046A7F16"/>
    <w:rsid w:val="04D70E27"/>
    <w:rsid w:val="052F2A11"/>
    <w:rsid w:val="05880374"/>
    <w:rsid w:val="06497B03"/>
    <w:rsid w:val="066E0107"/>
    <w:rsid w:val="06E45A7E"/>
    <w:rsid w:val="0742743C"/>
    <w:rsid w:val="07996F6E"/>
    <w:rsid w:val="07DFD8BA"/>
    <w:rsid w:val="07E7448A"/>
    <w:rsid w:val="07F20D61"/>
    <w:rsid w:val="07FD6DF7"/>
    <w:rsid w:val="08033CE1"/>
    <w:rsid w:val="086115F9"/>
    <w:rsid w:val="08711577"/>
    <w:rsid w:val="08986B20"/>
    <w:rsid w:val="08AF5DD8"/>
    <w:rsid w:val="08BB636A"/>
    <w:rsid w:val="0902043D"/>
    <w:rsid w:val="092109AD"/>
    <w:rsid w:val="09FA20EF"/>
    <w:rsid w:val="0A2032A3"/>
    <w:rsid w:val="0AD16319"/>
    <w:rsid w:val="0B161F7E"/>
    <w:rsid w:val="0C78199D"/>
    <w:rsid w:val="0C8C699B"/>
    <w:rsid w:val="0CC2416B"/>
    <w:rsid w:val="0D35B1ED"/>
    <w:rsid w:val="0D690A8B"/>
    <w:rsid w:val="0D710F59"/>
    <w:rsid w:val="0DD34624"/>
    <w:rsid w:val="0E5B52DE"/>
    <w:rsid w:val="0E7ED1F5"/>
    <w:rsid w:val="0ECC26B5"/>
    <w:rsid w:val="0F592566"/>
    <w:rsid w:val="0F98263C"/>
    <w:rsid w:val="0F9D2256"/>
    <w:rsid w:val="0FF860F6"/>
    <w:rsid w:val="10086339"/>
    <w:rsid w:val="101860EC"/>
    <w:rsid w:val="10801761"/>
    <w:rsid w:val="10C055FF"/>
    <w:rsid w:val="118107EC"/>
    <w:rsid w:val="11944B11"/>
    <w:rsid w:val="124334F4"/>
    <w:rsid w:val="12655F72"/>
    <w:rsid w:val="12687563"/>
    <w:rsid w:val="130B7EEE"/>
    <w:rsid w:val="135950FD"/>
    <w:rsid w:val="139879D4"/>
    <w:rsid w:val="13D50BC4"/>
    <w:rsid w:val="13F5616D"/>
    <w:rsid w:val="14011A1D"/>
    <w:rsid w:val="142B0848"/>
    <w:rsid w:val="143A4B78"/>
    <w:rsid w:val="14535FF1"/>
    <w:rsid w:val="146C0211"/>
    <w:rsid w:val="14733869"/>
    <w:rsid w:val="147C15B6"/>
    <w:rsid w:val="14A627F2"/>
    <w:rsid w:val="14DD6BBD"/>
    <w:rsid w:val="152662C1"/>
    <w:rsid w:val="15A120AC"/>
    <w:rsid w:val="15E909BB"/>
    <w:rsid w:val="164A7926"/>
    <w:rsid w:val="16A00A11"/>
    <w:rsid w:val="16BB723D"/>
    <w:rsid w:val="170D692B"/>
    <w:rsid w:val="172B759D"/>
    <w:rsid w:val="17390337"/>
    <w:rsid w:val="174560C4"/>
    <w:rsid w:val="178766DD"/>
    <w:rsid w:val="178A7F7B"/>
    <w:rsid w:val="17DB234C"/>
    <w:rsid w:val="17F9714D"/>
    <w:rsid w:val="183323C1"/>
    <w:rsid w:val="184620F4"/>
    <w:rsid w:val="187C5B16"/>
    <w:rsid w:val="188D4734"/>
    <w:rsid w:val="18A37444"/>
    <w:rsid w:val="18B36AFB"/>
    <w:rsid w:val="18BC23B6"/>
    <w:rsid w:val="18D80A41"/>
    <w:rsid w:val="1918F934"/>
    <w:rsid w:val="192817FA"/>
    <w:rsid w:val="19375EE1"/>
    <w:rsid w:val="19D35C0A"/>
    <w:rsid w:val="1A815666"/>
    <w:rsid w:val="1AB84DFF"/>
    <w:rsid w:val="1B8D1DE8"/>
    <w:rsid w:val="1BA3160C"/>
    <w:rsid w:val="1BD619E1"/>
    <w:rsid w:val="1BE8440E"/>
    <w:rsid w:val="1BF754B3"/>
    <w:rsid w:val="1C6010F7"/>
    <w:rsid w:val="1CAC58FC"/>
    <w:rsid w:val="1CB15B83"/>
    <w:rsid w:val="1D155CEE"/>
    <w:rsid w:val="1D76522A"/>
    <w:rsid w:val="1DFBC4B3"/>
    <w:rsid w:val="1DFD2D71"/>
    <w:rsid w:val="1E0565AE"/>
    <w:rsid w:val="1E560BB7"/>
    <w:rsid w:val="1E740ACF"/>
    <w:rsid w:val="1E8522FD"/>
    <w:rsid w:val="1ED65114"/>
    <w:rsid w:val="1F093E7B"/>
    <w:rsid w:val="1F19C781"/>
    <w:rsid w:val="1F33FCE5"/>
    <w:rsid w:val="1F7F7398"/>
    <w:rsid w:val="1FD2DB6F"/>
    <w:rsid w:val="1FE741BD"/>
    <w:rsid w:val="1FF35744"/>
    <w:rsid w:val="1FF6BC77"/>
    <w:rsid w:val="1FF9236D"/>
    <w:rsid w:val="20735A50"/>
    <w:rsid w:val="209D43AF"/>
    <w:rsid w:val="21162880"/>
    <w:rsid w:val="21604585"/>
    <w:rsid w:val="216C47A8"/>
    <w:rsid w:val="217952E8"/>
    <w:rsid w:val="22133EBF"/>
    <w:rsid w:val="225278E7"/>
    <w:rsid w:val="22CC769A"/>
    <w:rsid w:val="22D12864"/>
    <w:rsid w:val="2329689A"/>
    <w:rsid w:val="2333840E"/>
    <w:rsid w:val="23533F4E"/>
    <w:rsid w:val="23860B96"/>
    <w:rsid w:val="23CE11F0"/>
    <w:rsid w:val="23ED1282"/>
    <w:rsid w:val="240371BF"/>
    <w:rsid w:val="24DD5B8E"/>
    <w:rsid w:val="257C638F"/>
    <w:rsid w:val="25A91F14"/>
    <w:rsid w:val="25D126D6"/>
    <w:rsid w:val="25E46D6D"/>
    <w:rsid w:val="26343B7C"/>
    <w:rsid w:val="26826FA0"/>
    <w:rsid w:val="26EF1BA9"/>
    <w:rsid w:val="26F44914"/>
    <w:rsid w:val="26FF6A0B"/>
    <w:rsid w:val="27093C7A"/>
    <w:rsid w:val="271B0BF0"/>
    <w:rsid w:val="27AF30E6"/>
    <w:rsid w:val="27B24862"/>
    <w:rsid w:val="27EB2370"/>
    <w:rsid w:val="283D5D23"/>
    <w:rsid w:val="295201CD"/>
    <w:rsid w:val="29580844"/>
    <w:rsid w:val="29C74208"/>
    <w:rsid w:val="29FD04D3"/>
    <w:rsid w:val="2A8059E3"/>
    <w:rsid w:val="2A8F792B"/>
    <w:rsid w:val="2B0F45C8"/>
    <w:rsid w:val="2B6568DD"/>
    <w:rsid w:val="2B8F21F0"/>
    <w:rsid w:val="2BFF7BC6"/>
    <w:rsid w:val="2C8A61B5"/>
    <w:rsid w:val="2CD59C95"/>
    <w:rsid w:val="2D343A16"/>
    <w:rsid w:val="2D7B158E"/>
    <w:rsid w:val="2DCE5470"/>
    <w:rsid w:val="2DF04E50"/>
    <w:rsid w:val="2EE67D35"/>
    <w:rsid w:val="2EFD05E5"/>
    <w:rsid w:val="2F040D46"/>
    <w:rsid w:val="2F4F95CE"/>
    <w:rsid w:val="2FACAFDD"/>
    <w:rsid w:val="2FAE5751"/>
    <w:rsid w:val="2FB1A395"/>
    <w:rsid w:val="2FCF0B76"/>
    <w:rsid w:val="2FD25A98"/>
    <w:rsid w:val="2FD9A7D8"/>
    <w:rsid w:val="30181B72"/>
    <w:rsid w:val="30494DE6"/>
    <w:rsid w:val="30B73737"/>
    <w:rsid w:val="319F7F4E"/>
    <w:rsid w:val="31B42060"/>
    <w:rsid w:val="32126FFE"/>
    <w:rsid w:val="326A4F9C"/>
    <w:rsid w:val="3304709D"/>
    <w:rsid w:val="3326781D"/>
    <w:rsid w:val="333467A8"/>
    <w:rsid w:val="33491B2B"/>
    <w:rsid w:val="33CA3782"/>
    <w:rsid w:val="355D14AF"/>
    <w:rsid w:val="360D204B"/>
    <w:rsid w:val="36AA5135"/>
    <w:rsid w:val="36BA1FE3"/>
    <w:rsid w:val="36BE0DA7"/>
    <w:rsid w:val="36DF5796"/>
    <w:rsid w:val="370D763D"/>
    <w:rsid w:val="376B6AA6"/>
    <w:rsid w:val="376D39B2"/>
    <w:rsid w:val="379F4F25"/>
    <w:rsid w:val="37E16F03"/>
    <w:rsid w:val="37F53A3B"/>
    <w:rsid w:val="382947EF"/>
    <w:rsid w:val="38D469F0"/>
    <w:rsid w:val="38F78389"/>
    <w:rsid w:val="39551D3F"/>
    <w:rsid w:val="397BAF1F"/>
    <w:rsid w:val="397D0CC6"/>
    <w:rsid w:val="398B30E0"/>
    <w:rsid w:val="39BC4516"/>
    <w:rsid w:val="39C87740"/>
    <w:rsid w:val="39E7B272"/>
    <w:rsid w:val="39F7642F"/>
    <w:rsid w:val="39FF7B37"/>
    <w:rsid w:val="3A59585F"/>
    <w:rsid w:val="3A83468A"/>
    <w:rsid w:val="3A960861"/>
    <w:rsid w:val="3A992100"/>
    <w:rsid w:val="3AB79AF3"/>
    <w:rsid w:val="3AF72CB8"/>
    <w:rsid w:val="3AFDCB77"/>
    <w:rsid w:val="3B1C0999"/>
    <w:rsid w:val="3B33021C"/>
    <w:rsid w:val="3B7EF35A"/>
    <w:rsid w:val="3B9FDB6C"/>
    <w:rsid w:val="3BA24FE4"/>
    <w:rsid w:val="3BF5BC2F"/>
    <w:rsid w:val="3BF7C23A"/>
    <w:rsid w:val="3BFF223E"/>
    <w:rsid w:val="3C0D6901"/>
    <w:rsid w:val="3C6250A3"/>
    <w:rsid w:val="3C642299"/>
    <w:rsid w:val="3C6EC0A1"/>
    <w:rsid w:val="3CAD2FC8"/>
    <w:rsid w:val="3CDB07AE"/>
    <w:rsid w:val="3CDB0824"/>
    <w:rsid w:val="3CEBA265"/>
    <w:rsid w:val="3CF47AC1"/>
    <w:rsid w:val="3D347EBE"/>
    <w:rsid w:val="3D6A7F9F"/>
    <w:rsid w:val="3D7E7F4D"/>
    <w:rsid w:val="3D98207C"/>
    <w:rsid w:val="3D9CF30A"/>
    <w:rsid w:val="3DEE2762"/>
    <w:rsid w:val="3DFF5A3E"/>
    <w:rsid w:val="3E155F41"/>
    <w:rsid w:val="3E78745D"/>
    <w:rsid w:val="3E8D1066"/>
    <w:rsid w:val="3ED63DA7"/>
    <w:rsid w:val="3EEE77E9"/>
    <w:rsid w:val="3F394AF5"/>
    <w:rsid w:val="3FBE5714"/>
    <w:rsid w:val="3FCE5F35"/>
    <w:rsid w:val="3FDD8615"/>
    <w:rsid w:val="3FDFB2FF"/>
    <w:rsid w:val="3FF4CAE0"/>
    <w:rsid w:val="3FF75FAF"/>
    <w:rsid w:val="3FF7B227"/>
    <w:rsid w:val="40736CE4"/>
    <w:rsid w:val="408C19F2"/>
    <w:rsid w:val="41006A35"/>
    <w:rsid w:val="411C1395"/>
    <w:rsid w:val="413E2100"/>
    <w:rsid w:val="42167DEC"/>
    <w:rsid w:val="425D30F6"/>
    <w:rsid w:val="43721740"/>
    <w:rsid w:val="43C024AB"/>
    <w:rsid w:val="43E3619A"/>
    <w:rsid w:val="440700DA"/>
    <w:rsid w:val="440D1DD8"/>
    <w:rsid w:val="4467501D"/>
    <w:rsid w:val="44E268DA"/>
    <w:rsid w:val="454D0FFE"/>
    <w:rsid w:val="45575091"/>
    <w:rsid w:val="455E01CE"/>
    <w:rsid w:val="45717F01"/>
    <w:rsid w:val="457F4F6B"/>
    <w:rsid w:val="45F23667"/>
    <w:rsid w:val="45F35DD3"/>
    <w:rsid w:val="46C16C66"/>
    <w:rsid w:val="46C706EC"/>
    <w:rsid w:val="46EB442E"/>
    <w:rsid w:val="47040901"/>
    <w:rsid w:val="4737FB58"/>
    <w:rsid w:val="476725FC"/>
    <w:rsid w:val="47BF6F48"/>
    <w:rsid w:val="47E8408B"/>
    <w:rsid w:val="47EC7D13"/>
    <w:rsid w:val="47ECCB02"/>
    <w:rsid w:val="47FA6A3F"/>
    <w:rsid w:val="47FC782A"/>
    <w:rsid w:val="48571DC5"/>
    <w:rsid w:val="485B09F4"/>
    <w:rsid w:val="488C32A4"/>
    <w:rsid w:val="48CB5B7A"/>
    <w:rsid w:val="490746D8"/>
    <w:rsid w:val="492D3C07"/>
    <w:rsid w:val="492F6511"/>
    <w:rsid w:val="49496A9F"/>
    <w:rsid w:val="498A77E3"/>
    <w:rsid w:val="49A34401"/>
    <w:rsid w:val="49D7AE48"/>
    <w:rsid w:val="49D96075"/>
    <w:rsid w:val="4A0155CC"/>
    <w:rsid w:val="4A3F6C7E"/>
    <w:rsid w:val="4A627F82"/>
    <w:rsid w:val="4A6873F9"/>
    <w:rsid w:val="4AC7411F"/>
    <w:rsid w:val="4ACC5BD9"/>
    <w:rsid w:val="4B0E749A"/>
    <w:rsid w:val="4B4F25DA"/>
    <w:rsid w:val="4B5A31E5"/>
    <w:rsid w:val="4B5B3B69"/>
    <w:rsid w:val="4BBB4781"/>
    <w:rsid w:val="4BD709A5"/>
    <w:rsid w:val="4BDD9BFF"/>
    <w:rsid w:val="4BE068DB"/>
    <w:rsid w:val="4C43160F"/>
    <w:rsid w:val="4CD07C03"/>
    <w:rsid w:val="4D0459AA"/>
    <w:rsid w:val="4D422183"/>
    <w:rsid w:val="4D577224"/>
    <w:rsid w:val="4D6A6A44"/>
    <w:rsid w:val="4DA93FB0"/>
    <w:rsid w:val="4DBF1CEB"/>
    <w:rsid w:val="4DBF6A6B"/>
    <w:rsid w:val="4DE33966"/>
    <w:rsid w:val="4DF6A672"/>
    <w:rsid w:val="4DF711BF"/>
    <w:rsid w:val="4EAB630A"/>
    <w:rsid w:val="4ECE2238"/>
    <w:rsid w:val="4F26716D"/>
    <w:rsid w:val="4F7EA413"/>
    <w:rsid w:val="4FAB812F"/>
    <w:rsid w:val="4FC96B8B"/>
    <w:rsid w:val="4FE9BD67"/>
    <w:rsid w:val="4FEE4C07"/>
    <w:rsid w:val="4FF534DD"/>
    <w:rsid w:val="4FFB052F"/>
    <w:rsid w:val="50577CF3"/>
    <w:rsid w:val="507C775A"/>
    <w:rsid w:val="50B05655"/>
    <w:rsid w:val="514069D9"/>
    <w:rsid w:val="52662470"/>
    <w:rsid w:val="528F5E6A"/>
    <w:rsid w:val="530530C9"/>
    <w:rsid w:val="5311687F"/>
    <w:rsid w:val="5317053D"/>
    <w:rsid w:val="53543018"/>
    <w:rsid w:val="537E6D0A"/>
    <w:rsid w:val="53916ACB"/>
    <w:rsid w:val="53A56FC8"/>
    <w:rsid w:val="53AB6B88"/>
    <w:rsid w:val="53F74C96"/>
    <w:rsid w:val="54381A06"/>
    <w:rsid w:val="54594C92"/>
    <w:rsid w:val="545C7FCE"/>
    <w:rsid w:val="54BC281B"/>
    <w:rsid w:val="552B174F"/>
    <w:rsid w:val="5583522D"/>
    <w:rsid w:val="559B0682"/>
    <w:rsid w:val="55A7171D"/>
    <w:rsid w:val="566969D2"/>
    <w:rsid w:val="57521214"/>
    <w:rsid w:val="57596A47"/>
    <w:rsid w:val="577020BB"/>
    <w:rsid w:val="57BD3DD4"/>
    <w:rsid w:val="57F9CD1E"/>
    <w:rsid w:val="582C651D"/>
    <w:rsid w:val="58825949"/>
    <w:rsid w:val="589021C5"/>
    <w:rsid w:val="58CF7431"/>
    <w:rsid w:val="59875B74"/>
    <w:rsid w:val="59943D66"/>
    <w:rsid w:val="59A246D5"/>
    <w:rsid w:val="59A71CEC"/>
    <w:rsid w:val="59A87812"/>
    <w:rsid w:val="5A065CDE"/>
    <w:rsid w:val="5A8F2268"/>
    <w:rsid w:val="5AD85ED5"/>
    <w:rsid w:val="5AF92295"/>
    <w:rsid w:val="5AF9D8E9"/>
    <w:rsid w:val="5B6065F6"/>
    <w:rsid w:val="5B694D7F"/>
    <w:rsid w:val="5BDD38BD"/>
    <w:rsid w:val="5BDD79E6"/>
    <w:rsid w:val="5BE4354C"/>
    <w:rsid w:val="5BEFC772"/>
    <w:rsid w:val="5BFF5DFC"/>
    <w:rsid w:val="5C0E2FD3"/>
    <w:rsid w:val="5CAA564F"/>
    <w:rsid w:val="5CD03307"/>
    <w:rsid w:val="5CD71FC4"/>
    <w:rsid w:val="5D1F11B5"/>
    <w:rsid w:val="5D3647F9"/>
    <w:rsid w:val="5D694F7E"/>
    <w:rsid w:val="5DA644D4"/>
    <w:rsid w:val="5DAE1B18"/>
    <w:rsid w:val="5DBC388C"/>
    <w:rsid w:val="5DE7D9E5"/>
    <w:rsid w:val="5E3B2A02"/>
    <w:rsid w:val="5E5C49F5"/>
    <w:rsid w:val="5EAA238A"/>
    <w:rsid w:val="5ECEC941"/>
    <w:rsid w:val="5EDA046D"/>
    <w:rsid w:val="5EFF8FC6"/>
    <w:rsid w:val="5F1D25F2"/>
    <w:rsid w:val="5F5BA39A"/>
    <w:rsid w:val="5F7206A6"/>
    <w:rsid w:val="5F7D3B79"/>
    <w:rsid w:val="5F7F4610"/>
    <w:rsid w:val="5FBF9FF3"/>
    <w:rsid w:val="5FCD4E2C"/>
    <w:rsid w:val="5FEF394A"/>
    <w:rsid w:val="5FF67715"/>
    <w:rsid w:val="601856F1"/>
    <w:rsid w:val="60405A0D"/>
    <w:rsid w:val="6062071A"/>
    <w:rsid w:val="609E371C"/>
    <w:rsid w:val="60C969EB"/>
    <w:rsid w:val="612E484D"/>
    <w:rsid w:val="61BA6246"/>
    <w:rsid w:val="61CA71D5"/>
    <w:rsid w:val="624772E2"/>
    <w:rsid w:val="627EE9EA"/>
    <w:rsid w:val="62841B53"/>
    <w:rsid w:val="629848C7"/>
    <w:rsid w:val="62B4300E"/>
    <w:rsid w:val="63304B00"/>
    <w:rsid w:val="63AB23D8"/>
    <w:rsid w:val="63B23AA5"/>
    <w:rsid w:val="63F86042"/>
    <w:rsid w:val="64275480"/>
    <w:rsid w:val="647F5392"/>
    <w:rsid w:val="64E322C4"/>
    <w:rsid w:val="65890608"/>
    <w:rsid w:val="65B35574"/>
    <w:rsid w:val="65FB93B9"/>
    <w:rsid w:val="6633C463"/>
    <w:rsid w:val="667D1DF3"/>
    <w:rsid w:val="66901A1C"/>
    <w:rsid w:val="66C1125A"/>
    <w:rsid w:val="67240808"/>
    <w:rsid w:val="67387A63"/>
    <w:rsid w:val="67D0065F"/>
    <w:rsid w:val="67D55B77"/>
    <w:rsid w:val="67EE7F84"/>
    <w:rsid w:val="686F5F53"/>
    <w:rsid w:val="692658FB"/>
    <w:rsid w:val="69684B84"/>
    <w:rsid w:val="69CB37D4"/>
    <w:rsid w:val="69D3258F"/>
    <w:rsid w:val="69E403F2"/>
    <w:rsid w:val="6A222CC8"/>
    <w:rsid w:val="6A4D243B"/>
    <w:rsid w:val="6AB102D8"/>
    <w:rsid w:val="6AF844D3"/>
    <w:rsid w:val="6AFFCEAF"/>
    <w:rsid w:val="6B96E9E6"/>
    <w:rsid w:val="6BCE57B5"/>
    <w:rsid w:val="6BFEA4DB"/>
    <w:rsid w:val="6BFFB662"/>
    <w:rsid w:val="6C4A05C8"/>
    <w:rsid w:val="6C8B40D0"/>
    <w:rsid w:val="6C920FFF"/>
    <w:rsid w:val="6CFF4FB8"/>
    <w:rsid w:val="6D5E40EA"/>
    <w:rsid w:val="6D6BD6E0"/>
    <w:rsid w:val="6D77E73C"/>
    <w:rsid w:val="6D82752C"/>
    <w:rsid w:val="6DAA3701"/>
    <w:rsid w:val="6DB427D1"/>
    <w:rsid w:val="6DBF5E93"/>
    <w:rsid w:val="6DE45187"/>
    <w:rsid w:val="6DFF077E"/>
    <w:rsid w:val="6E012965"/>
    <w:rsid w:val="6E4B6A58"/>
    <w:rsid w:val="6E55366C"/>
    <w:rsid w:val="6E7E3605"/>
    <w:rsid w:val="6E7FDCC7"/>
    <w:rsid w:val="6E8729AA"/>
    <w:rsid w:val="6ED6A62E"/>
    <w:rsid w:val="6EE00B15"/>
    <w:rsid w:val="6EE737B2"/>
    <w:rsid w:val="6EEB2329"/>
    <w:rsid w:val="6EECE67A"/>
    <w:rsid w:val="6F6F90A8"/>
    <w:rsid w:val="6F6FB3EB"/>
    <w:rsid w:val="6F8731EA"/>
    <w:rsid w:val="6F8971C7"/>
    <w:rsid w:val="6FBC2ADD"/>
    <w:rsid w:val="6FC34354"/>
    <w:rsid w:val="6FD57C00"/>
    <w:rsid w:val="6FEFFFD8"/>
    <w:rsid w:val="6FF5CC65"/>
    <w:rsid w:val="6FFB47EC"/>
    <w:rsid w:val="6FFF034A"/>
    <w:rsid w:val="705067E1"/>
    <w:rsid w:val="71072C18"/>
    <w:rsid w:val="712A28F1"/>
    <w:rsid w:val="715C0E4B"/>
    <w:rsid w:val="716D6F1F"/>
    <w:rsid w:val="71A21572"/>
    <w:rsid w:val="71AA1F21"/>
    <w:rsid w:val="71BB412E"/>
    <w:rsid w:val="71D670BC"/>
    <w:rsid w:val="71FFD401"/>
    <w:rsid w:val="720158B9"/>
    <w:rsid w:val="72233669"/>
    <w:rsid w:val="725F0F5E"/>
    <w:rsid w:val="72734D90"/>
    <w:rsid w:val="727A5D97"/>
    <w:rsid w:val="728B1D53"/>
    <w:rsid w:val="72935BA2"/>
    <w:rsid w:val="72A44BC2"/>
    <w:rsid w:val="73005B71"/>
    <w:rsid w:val="7332FE48"/>
    <w:rsid w:val="7386251A"/>
    <w:rsid w:val="739E1612"/>
    <w:rsid w:val="73AD73D5"/>
    <w:rsid w:val="73B6EB34"/>
    <w:rsid w:val="73DC0680"/>
    <w:rsid w:val="73FA497D"/>
    <w:rsid w:val="74081181"/>
    <w:rsid w:val="74213FF1"/>
    <w:rsid w:val="743715A4"/>
    <w:rsid w:val="744731E5"/>
    <w:rsid w:val="744B5CF8"/>
    <w:rsid w:val="74BBD01D"/>
    <w:rsid w:val="74C701BB"/>
    <w:rsid w:val="74D6127F"/>
    <w:rsid w:val="74ED5379"/>
    <w:rsid w:val="755C1784"/>
    <w:rsid w:val="75666069"/>
    <w:rsid w:val="759A04FF"/>
    <w:rsid w:val="75BF7F65"/>
    <w:rsid w:val="75DEEEC2"/>
    <w:rsid w:val="767F479D"/>
    <w:rsid w:val="76E3355F"/>
    <w:rsid w:val="76F36118"/>
    <w:rsid w:val="76F742AF"/>
    <w:rsid w:val="76F7BE7D"/>
    <w:rsid w:val="76FF5125"/>
    <w:rsid w:val="77130569"/>
    <w:rsid w:val="773570D3"/>
    <w:rsid w:val="77597F31"/>
    <w:rsid w:val="776F386D"/>
    <w:rsid w:val="776F6FFA"/>
    <w:rsid w:val="7777A522"/>
    <w:rsid w:val="77858688"/>
    <w:rsid w:val="778769C8"/>
    <w:rsid w:val="77CB741A"/>
    <w:rsid w:val="77D7BE3A"/>
    <w:rsid w:val="77DB72D8"/>
    <w:rsid w:val="77DC22F5"/>
    <w:rsid w:val="77DE145E"/>
    <w:rsid w:val="781A1483"/>
    <w:rsid w:val="781F4CEB"/>
    <w:rsid w:val="782E6BD6"/>
    <w:rsid w:val="783E7867"/>
    <w:rsid w:val="786D5A56"/>
    <w:rsid w:val="794744F9"/>
    <w:rsid w:val="797E3A6C"/>
    <w:rsid w:val="79982FA7"/>
    <w:rsid w:val="79CF70E2"/>
    <w:rsid w:val="79D7FD79"/>
    <w:rsid w:val="79E75806"/>
    <w:rsid w:val="79EE5BA4"/>
    <w:rsid w:val="7A641148"/>
    <w:rsid w:val="7A6F8BF5"/>
    <w:rsid w:val="7A894339"/>
    <w:rsid w:val="7ACF82B5"/>
    <w:rsid w:val="7AFF28C9"/>
    <w:rsid w:val="7AFF72A0"/>
    <w:rsid w:val="7AFF7572"/>
    <w:rsid w:val="7B14625F"/>
    <w:rsid w:val="7B566C76"/>
    <w:rsid w:val="7B6C7DFB"/>
    <w:rsid w:val="7B7D76A7"/>
    <w:rsid w:val="7BAE2FE2"/>
    <w:rsid w:val="7BAF6951"/>
    <w:rsid w:val="7BB73057"/>
    <w:rsid w:val="7BBFBED0"/>
    <w:rsid w:val="7BC3E394"/>
    <w:rsid w:val="7BF3FE4C"/>
    <w:rsid w:val="7BFB5035"/>
    <w:rsid w:val="7BFDE17E"/>
    <w:rsid w:val="7C0E7550"/>
    <w:rsid w:val="7CA53C3D"/>
    <w:rsid w:val="7CBFC87B"/>
    <w:rsid w:val="7CEF2EDE"/>
    <w:rsid w:val="7CFE0F48"/>
    <w:rsid w:val="7D3DE31C"/>
    <w:rsid w:val="7D7EC23E"/>
    <w:rsid w:val="7D7F8A13"/>
    <w:rsid w:val="7DA93E1D"/>
    <w:rsid w:val="7DB06B11"/>
    <w:rsid w:val="7DBBCB01"/>
    <w:rsid w:val="7DC765D0"/>
    <w:rsid w:val="7DDB0EE0"/>
    <w:rsid w:val="7DFF51D8"/>
    <w:rsid w:val="7E56579B"/>
    <w:rsid w:val="7E634199"/>
    <w:rsid w:val="7E6A3164"/>
    <w:rsid w:val="7E8ADEBF"/>
    <w:rsid w:val="7E966803"/>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34D39"/>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toa heading"/>
    <w:basedOn w:val="1"/>
    <w:next w:val="1"/>
    <w:qFormat/>
    <w:uiPriority w:val="99"/>
    <w:pPr>
      <w:spacing w:before="120"/>
    </w:pPr>
    <w:rPr>
      <w:rFonts w:ascii="Cambria" w:hAnsi="Cambria" w:cs="Times New Roman"/>
      <w:sz w:val="24"/>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Body Text First Indent 2"/>
    <w:basedOn w:val="7"/>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2"/>
    <w:qFormat/>
    <w:uiPriority w:val="9"/>
    <w:rPr>
      <w:rFonts w:ascii="Times New Roman" w:hAnsi="Times New Roman"/>
      <w:b/>
      <w:bCs/>
      <w:kern w:val="44"/>
      <w:sz w:val="44"/>
      <w:szCs w:val="44"/>
    </w:rPr>
  </w:style>
  <w:style w:type="character" w:customStyle="1" w:styleId="29">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34"/>
    <customShpInfo spid="_x0000_s1029"/>
    <customShpInfo spid="_x0000_s1030"/>
    <customShpInfo spid="_x0000_s1031"/>
    <customShpInfo spid="_x0000_s1035"/>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10447</Words>
  <Characters>11320</Characters>
  <Lines>72</Lines>
  <Paragraphs>20</Paragraphs>
  <TotalTime>7</TotalTime>
  <ScaleCrop>false</ScaleCrop>
  <LinksUpToDate>false</LinksUpToDate>
  <CharactersWithSpaces>11341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Lynn</cp:lastModifiedBy>
  <cp:lastPrinted>2023-08-03T10:35:00Z</cp:lastPrinted>
  <dcterms:modified xsi:type="dcterms:W3CDTF">2025-09-19T02:11:37Z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49C6C70233D541D38905AAF98CCEC4E1_12</vt:lpwstr>
  </property>
  <property fmtid="{D5CDD505-2E9C-101B-9397-08002B2CF9AE}" pid="4" name="KSOTemplateDocerSaveRecord">
    <vt:lpwstr>eyJoZGlkIjoiNDJjN2M3ZTk1ZTIxYjRiMDNmMTkzMGU5OGJhY2Y4NzAiLCJ1c2VySWQiOiI0MjA5MzY1NDMifQ==</vt:lpwstr>
  </property>
</Properties>
</file>