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F847D">
      <w:pPr>
        <w:pStyle w:val="8"/>
        <w:ind w:leftChars="100"/>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96475"/>
      <w:bookmarkStart w:id="2" w:name="_Toc15377193"/>
      <w:bookmarkStart w:id="3" w:name="_Toc15306267"/>
      <w:bookmarkStart w:id="4" w:name="_Toc15396597"/>
      <w:bookmarkStart w:id="5" w:name="_Toc15378441"/>
    </w:p>
    <w:p w14:paraId="7D77F351">
      <w:pPr>
        <w:pStyle w:val="8"/>
        <w:rPr>
          <w:rFonts w:hint="eastAsia" w:ascii="Times New Roman" w:hAnsi="Times New Roman" w:eastAsia="方正小标宋简体" w:cs="Times New Roman"/>
          <w:color w:val="auto"/>
          <w:kern w:val="2"/>
          <w:sz w:val="72"/>
          <w:szCs w:val="72"/>
          <w:highlight w:val="none"/>
          <w:lang w:val="en-US" w:eastAsia="zh-CN" w:bidi="ar-SA"/>
        </w:rPr>
      </w:pPr>
    </w:p>
    <w:p w14:paraId="17F67278">
      <w:pPr>
        <w:pStyle w:val="8"/>
        <w:rPr>
          <w:rFonts w:hint="eastAsia" w:ascii="Times New Roman" w:hAnsi="Times New Roman" w:eastAsia="方正小标宋简体" w:cs="Times New Roman"/>
          <w:color w:val="auto"/>
          <w:kern w:val="2"/>
          <w:sz w:val="72"/>
          <w:szCs w:val="72"/>
          <w:highlight w:val="none"/>
          <w:lang w:val="en-US" w:eastAsia="zh-CN" w:bidi="ar-SA"/>
        </w:rPr>
      </w:pPr>
    </w:p>
    <w:p w14:paraId="5C7FDB71">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rPr>
          <w:rFonts w:hint="eastAsia" w:ascii="黑体" w:hAnsi="黑体" w:eastAsia="黑体" w:cs="黑体"/>
          <w:color w:val="000000"/>
          <w:sz w:val="72"/>
          <w:szCs w:val="72"/>
        </w:rPr>
      </w:pPr>
      <w:r>
        <w:rPr>
          <w:rFonts w:hint="eastAsia" w:ascii="黑体" w:hAnsi="黑体" w:eastAsia="黑体" w:cs="黑体"/>
          <w:color w:val="000000"/>
          <w:sz w:val="72"/>
          <w:szCs w:val="72"/>
        </w:rPr>
        <w:t>202</w:t>
      </w:r>
      <w:r>
        <w:rPr>
          <w:rFonts w:hint="eastAsia" w:ascii="黑体" w:hAnsi="黑体" w:eastAsia="黑体" w:cs="黑体"/>
          <w:color w:val="000000"/>
          <w:sz w:val="72"/>
          <w:szCs w:val="72"/>
          <w:lang w:val="en-US" w:eastAsia="zh-CN"/>
        </w:rPr>
        <w:t>4</w:t>
      </w:r>
      <w:r>
        <w:rPr>
          <w:rFonts w:hint="eastAsia" w:ascii="黑体" w:hAnsi="黑体" w:eastAsia="黑体" w:cs="黑体"/>
          <w:color w:val="000000"/>
          <w:sz w:val="72"/>
          <w:szCs w:val="72"/>
        </w:rPr>
        <w:t>年度</w:t>
      </w:r>
    </w:p>
    <w:p w14:paraId="4EDDF1D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right="0"/>
        <w:jc w:val="center"/>
        <w:rPr>
          <w:rFonts w:hint="eastAsia" w:ascii="黑体" w:hAnsi="黑体" w:eastAsia="黑体" w:cs="黑体"/>
        </w:rPr>
      </w:pPr>
      <w:r>
        <w:rPr>
          <w:rFonts w:hint="eastAsia" w:ascii="黑体" w:hAnsi="黑体" w:eastAsia="黑体" w:cs="黑体"/>
          <w:color w:val="000000"/>
          <w:sz w:val="72"/>
          <w:szCs w:val="72"/>
        </w:rPr>
        <w:t>四川省</w:t>
      </w:r>
      <w:r>
        <w:rPr>
          <w:rFonts w:hint="eastAsia" w:ascii="黑体" w:hAnsi="黑体" w:eastAsia="黑体" w:cs="黑体"/>
          <w:color w:val="000000"/>
          <w:sz w:val="72"/>
          <w:szCs w:val="72"/>
          <w:lang w:eastAsia="zh-CN"/>
        </w:rPr>
        <w:t>阿坝州</w:t>
      </w:r>
      <w:r>
        <w:rPr>
          <w:rFonts w:hint="eastAsia" w:ascii="黑体" w:hAnsi="黑体" w:eastAsia="黑体" w:cs="黑体"/>
          <w:color w:val="000000"/>
          <w:sz w:val="72"/>
          <w:szCs w:val="72"/>
        </w:rPr>
        <w:t>壤塘县人民法院</w:t>
      </w:r>
      <w:r>
        <w:rPr>
          <w:rFonts w:hint="eastAsia" w:ascii="黑体" w:hAnsi="黑体" w:eastAsia="黑体" w:cs="黑体"/>
          <w:color w:val="000000"/>
          <w:sz w:val="72"/>
          <w:szCs w:val="72"/>
          <w:lang w:eastAsia="zh-CN"/>
        </w:rPr>
        <w:t>部门</w:t>
      </w:r>
      <w:r>
        <w:rPr>
          <w:rFonts w:hint="eastAsia" w:ascii="黑体" w:hAnsi="黑体" w:eastAsia="黑体" w:cs="黑体"/>
          <w:color w:val="000000"/>
          <w:sz w:val="72"/>
          <w:szCs w:val="72"/>
        </w:rPr>
        <w:t>决算</w:t>
      </w:r>
    </w:p>
    <w:p w14:paraId="643392C1">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pPr>
      <w:r>
        <w:t> </w:t>
      </w:r>
    </w:p>
    <w:p w14:paraId="0ECDC6F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rPr>
          <w:sz w:val="32"/>
          <w:szCs w:val="32"/>
        </w:rPr>
      </w:pPr>
      <w:r>
        <w:rPr>
          <w:rFonts w:hint="eastAsia" w:ascii="宋体" w:hAnsi="宋体" w:eastAsia="宋体" w:cs="宋体"/>
          <w:color w:val="000000"/>
          <w:sz w:val="32"/>
          <w:szCs w:val="32"/>
        </w:rPr>
        <w:t>保密审查情况：已审查，内容审定</w:t>
      </w:r>
    </w:p>
    <w:p w14:paraId="65520DA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420"/>
      </w:pPr>
      <w:r>
        <w:rPr>
          <w:rFonts w:hint="eastAsia" w:ascii="宋体" w:hAnsi="宋体" w:eastAsia="宋体" w:cs="宋体"/>
          <w:color w:val="000000"/>
          <w:sz w:val="32"/>
          <w:szCs w:val="32"/>
        </w:rPr>
        <w:t>部门主要负责人审签情况：已审签，同意对外公开</w:t>
      </w:r>
    </w:p>
    <w:p w14:paraId="6610CFC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center"/>
        <w:rPr>
          <w:rFonts w:hint="eastAsia" w:ascii="Times New Roman" w:hAnsi="Times New Roman" w:eastAsia="方正小标宋简体" w:cs="Times New Roman"/>
          <w:color w:val="auto"/>
          <w:kern w:val="2"/>
          <w:sz w:val="44"/>
          <w:szCs w:val="44"/>
          <w:highlight w:val="none"/>
          <w:lang w:val="en-US" w:eastAsia="zh-CN" w:bidi="ar-SA"/>
        </w:rPr>
      </w:pPr>
    </w:p>
    <w:p w14:paraId="0C8E5A6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right="0"/>
        <w:jc w:val="both"/>
        <w:rPr>
          <w:rFonts w:hint="eastAsia" w:ascii="Times New Roman" w:hAnsi="Times New Roman" w:eastAsia="方正小标宋简体" w:cs="Times New Roman"/>
          <w:color w:val="auto"/>
          <w:kern w:val="2"/>
          <w:sz w:val="44"/>
          <w:szCs w:val="44"/>
          <w:highlight w:val="none"/>
          <w:lang w:val="en-US" w:eastAsia="zh-CN" w:bidi="ar-SA"/>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14:paraId="4EF09858">
      <w:pPr>
        <w:pStyle w:val="1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ascii="黑体" w:hAnsi="宋体" w:eastAsia="黑体" w:cs="黑体"/>
          <w:color w:val="000000"/>
          <w:sz w:val="48"/>
          <w:szCs w:val="48"/>
        </w:rPr>
        <w:t>目</w:t>
      </w:r>
      <w:r>
        <w:rPr>
          <w:rFonts w:hint="eastAsia" w:ascii="黑体" w:hAnsi="宋体" w:eastAsia="黑体" w:cs="黑体"/>
          <w:color w:val="000000"/>
          <w:sz w:val="48"/>
          <w:szCs w:val="48"/>
        </w:rPr>
        <w:t> 录</w:t>
      </w:r>
    </w:p>
    <w:p w14:paraId="331E0D14">
      <w:pPr>
        <w:pStyle w:val="1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sz w:val="28"/>
          <w:szCs w:val="28"/>
        </w:rPr>
      </w:pPr>
      <w:r>
        <w:t> </w:t>
      </w:r>
      <w:r>
        <w:rPr>
          <w:rFonts w:hint="default" w:ascii="Times New Roman" w:hAnsi="Times New Roman" w:cs="Times New Roman"/>
          <w:color w:val="000000"/>
          <w:sz w:val="28"/>
          <w:szCs w:val="28"/>
        </w:rPr>
        <w:t>公开时间：202</w:t>
      </w:r>
      <w:r>
        <w:rPr>
          <w:rFonts w:hint="eastAsia" w:cs="Times New Roman"/>
          <w:color w:val="000000"/>
          <w:sz w:val="28"/>
          <w:szCs w:val="28"/>
          <w:lang w:val="en-US" w:eastAsia="zh-CN"/>
        </w:rPr>
        <w:t>5</w:t>
      </w:r>
      <w:r>
        <w:rPr>
          <w:rFonts w:hint="default" w:ascii="Times New Roman" w:hAnsi="Times New Roman" w:cs="Times New Roman"/>
          <w:color w:val="000000"/>
          <w:sz w:val="28"/>
          <w:szCs w:val="28"/>
        </w:rPr>
        <w:t>年9月</w:t>
      </w:r>
      <w:r>
        <w:rPr>
          <w:rFonts w:hint="eastAsia" w:cs="Times New Roman"/>
          <w:color w:val="000000"/>
          <w:sz w:val="28"/>
          <w:szCs w:val="28"/>
          <w:lang w:val="en-US" w:eastAsia="zh-CN"/>
        </w:rPr>
        <w:t>9</w:t>
      </w:r>
      <w:r>
        <w:rPr>
          <w:rFonts w:hint="default" w:ascii="Times New Roman" w:hAnsi="Times New Roman" w:cs="Times New Roman"/>
          <w:color w:val="000000"/>
          <w:sz w:val="28"/>
          <w:szCs w:val="28"/>
        </w:rPr>
        <w:t>日</w:t>
      </w:r>
    </w:p>
    <w:p w14:paraId="7DC310FB">
      <w:pPr>
        <w:rPr>
          <w:rFonts w:hint="eastAsia" w:ascii="Calibri" w:hAnsi="Calibri" w:eastAsia="宋体" w:cs="Calibri"/>
          <w:color w:val="000000"/>
          <w:kern w:val="0"/>
          <w:sz w:val="28"/>
          <w:szCs w:val="28"/>
          <w:lang w:val="en-US" w:eastAsia="zh-CN" w:bidi="ar"/>
        </w:rPr>
      </w:pPr>
    </w:p>
    <w:p w14:paraId="3284FEC1">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rFonts w:hint="eastAsia" w:ascii="Calibri" w:hAnsi="Calibri" w:eastAsia="宋体" w:cs="Calibri"/>
          <w:color w:val="000000"/>
          <w:kern w:val="0"/>
          <w:sz w:val="28"/>
          <w:szCs w:val="28"/>
          <w:lang w:val="en-US" w:eastAsia="zh-CN" w:bidi="ar"/>
        </w:rPr>
      </w:pPr>
      <w:bookmarkStart w:id="6" w:name="_Toc15377196"/>
      <w:bookmarkStart w:id="7" w:name="_Toc15396599"/>
      <w:r>
        <w:rPr>
          <w:rFonts w:hint="eastAsia" w:ascii="Calibri" w:hAnsi="Calibri" w:eastAsia="宋体" w:cs="Calibri"/>
          <w:color w:val="000000"/>
          <w:kern w:val="0"/>
          <w:sz w:val="28"/>
          <w:szCs w:val="28"/>
          <w:lang w:val="en-US" w:eastAsia="zh-CN" w:bidi="ar"/>
        </w:rPr>
        <w:t>第一部分 部门概况</w:t>
      </w:r>
    </w:p>
    <w:p w14:paraId="149B031B">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ascii="Calibri" w:hAnsi="Calibri" w:cs="Calibri"/>
          <w:color w:val="000000"/>
          <w:sz w:val="28"/>
          <w:szCs w:val="28"/>
        </w:rPr>
        <w:t>一、</w:t>
      </w:r>
      <w:r>
        <w:rPr>
          <w:rFonts w:hint="eastAsia" w:ascii="Calibri" w:hAnsi="Calibri" w:cs="Calibri"/>
          <w:color w:val="000000"/>
          <w:sz w:val="28"/>
          <w:szCs w:val="28"/>
          <w:lang w:eastAsia="zh-CN"/>
        </w:rPr>
        <w:t>部门职责</w:t>
      </w:r>
      <w:r>
        <w:rPr>
          <w:rFonts w:hint="default" w:ascii="Calibri" w:hAnsi="Calibri" w:cs="Calibri"/>
          <w:color w:val="000000"/>
          <w:sz w:val="28"/>
          <w:szCs w:val="28"/>
        </w:rPr>
        <w:t>······························································1</w:t>
      </w:r>
    </w:p>
    <w:p w14:paraId="5FAD602E">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二、机构设置······························································2</w:t>
      </w:r>
    </w:p>
    <w:p w14:paraId="0D4DA69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sz w:val="28"/>
          <w:szCs w:val="28"/>
        </w:rPr>
      </w:pPr>
      <w:r>
        <w:rPr>
          <w:rFonts w:hint="eastAsia" w:ascii="Calibri" w:hAnsi="Calibri" w:cs="Calibri"/>
          <w:color w:val="000000"/>
          <w:sz w:val="28"/>
          <w:szCs w:val="28"/>
        </w:rPr>
        <w:t>第二部分 202</w:t>
      </w:r>
      <w:r>
        <w:rPr>
          <w:rFonts w:hint="eastAsia" w:ascii="Calibri" w:hAnsi="Calibri" w:cs="Calibri"/>
          <w:color w:val="000000"/>
          <w:sz w:val="28"/>
          <w:szCs w:val="28"/>
          <w:lang w:val="en-US" w:eastAsia="zh-CN"/>
        </w:rPr>
        <w:t>4</w:t>
      </w:r>
      <w:r>
        <w:rPr>
          <w:rFonts w:hint="eastAsia" w:ascii="Calibri" w:hAnsi="Calibri" w:cs="Calibri"/>
          <w:color w:val="000000"/>
          <w:sz w:val="28"/>
          <w:szCs w:val="28"/>
        </w:rPr>
        <w:t>年度单位决算情况说明</w:t>
      </w:r>
    </w:p>
    <w:p w14:paraId="429DB0C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rFonts w:hint="eastAsia" w:eastAsia="宋体"/>
          <w:sz w:val="28"/>
          <w:szCs w:val="28"/>
          <w:lang w:val="en-US" w:eastAsia="zh-CN"/>
        </w:rPr>
      </w:pPr>
      <w:r>
        <w:rPr>
          <w:rFonts w:hint="default" w:ascii="Calibri" w:hAnsi="Calibri" w:cs="Calibri"/>
          <w:color w:val="000000"/>
          <w:sz w:val="28"/>
          <w:szCs w:val="28"/>
        </w:rPr>
        <w:t>一、收入支出决算总体情况说明·····································</w:t>
      </w:r>
      <w:r>
        <w:rPr>
          <w:rFonts w:hint="eastAsia" w:ascii="Calibri" w:hAnsi="Calibri" w:cs="Calibri"/>
          <w:color w:val="000000"/>
          <w:sz w:val="28"/>
          <w:szCs w:val="28"/>
          <w:lang w:val="en-US" w:eastAsia="zh-CN"/>
        </w:rPr>
        <w:t>3</w:t>
      </w:r>
    </w:p>
    <w:p w14:paraId="2A70B11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二、收入决算情况说明·················································4</w:t>
      </w:r>
    </w:p>
    <w:p w14:paraId="3D266F8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三、支出决算情况说明·················································5</w:t>
      </w:r>
    </w:p>
    <w:p w14:paraId="6995658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四、财政拨款收入支出决算总体情况说明························6</w:t>
      </w:r>
    </w:p>
    <w:p w14:paraId="717ACC1B">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rFonts w:hint="default" w:eastAsia="宋体"/>
          <w:sz w:val="28"/>
          <w:szCs w:val="28"/>
          <w:lang w:val="en-US" w:eastAsia="zh-CN"/>
        </w:rPr>
      </w:pPr>
      <w:r>
        <w:rPr>
          <w:rFonts w:hint="default" w:ascii="Calibri" w:hAnsi="Calibri" w:cs="Calibri"/>
          <w:color w:val="000000"/>
          <w:sz w:val="28"/>
          <w:szCs w:val="28"/>
        </w:rPr>
        <w:t>五、一般公共预算财政拨款支出决算情况说明··················7</w:t>
      </w:r>
      <w:r>
        <w:rPr>
          <w:rFonts w:hint="eastAsia" w:ascii="Calibri" w:hAnsi="Calibri" w:cs="Calibri"/>
          <w:color w:val="000000"/>
          <w:sz w:val="28"/>
          <w:szCs w:val="28"/>
          <w:lang w:val="en-US" w:eastAsia="zh-CN"/>
        </w:rPr>
        <w:t>-8</w:t>
      </w:r>
    </w:p>
    <w:p w14:paraId="395F35A7">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六、一般公共预算财政拨款基本支出决算情况明···············9</w:t>
      </w:r>
    </w:p>
    <w:p w14:paraId="0927E363">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七、财政拨款“三公”经费支出决算情况说明·····················10</w:t>
      </w:r>
    </w:p>
    <w:p w14:paraId="446081E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rFonts w:hint="default" w:eastAsia="宋体"/>
          <w:sz w:val="28"/>
          <w:szCs w:val="28"/>
          <w:lang w:val="en-US" w:eastAsia="zh-CN"/>
        </w:rPr>
      </w:pPr>
      <w:r>
        <w:rPr>
          <w:rFonts w:hint="default" w:ascii="Calibri" w:hAnsi="Calibri" w:cs="Calibri"/>
          <w:color w:val="000000"/>
          <w:sz w:val="28"/>
          <w:szCs w:val="28"/>
        </w:rPr>
        <w:t>八、政府性基金预算支出决算情况说明···························</w:t>
      </w:r>
      <w:r>
        <w:rPr>
          <w:rFonts w:hint="eastAsia" w:ascii="Calibri" w:hAnsi="Calibri" w:cs="Calibri"/>
          <w:color w:val="000000"/>
          <w:sz w:val="28"/>
          <w:szCs w:val="28"/>
          <w:lang w:val="en-US" w:eastAsia="zh-CN"/>
        </w:rPr>
        <w:t>11</w:t>
      </w:r>
    </w:p>
    <w:p w14:paraId="6F9D3604">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rFonts w:hint="default" w:eastAsia="宋体"/>
          <w:sz w:val="28"/>
          <w:szCs w:val="28"/>
          <w:lang w:val="en-US" w:eastAsia="zh-CN"/>
        </w:rPr>
      </w:pPr>
      <w:r>
        <w:rPr>
          <w:rFonts w:hint="default" w:ascii="Calibri" w:hAnsi="Calibri" w:cs="Calibri"/>
          <w:color w:val="000000"/>
          <w:sz w:val="28"/>
          <w:szCs w:val="28"/>
        </w:rPr>
        <w:t>九、国有资本经营预算支出决算情况说明························</w:t>
      </w:r>
      <w:r>
        <w:rPr>
          <w:rFonts w:hint="eastAsia" w:ascii="Calibri" w:hAnsi="Calibri" w:cs="Calibri"/>
          <w:color w:val="000000"/>
          <w:sz w:val="28"/>
          <w:szCs w:val="28"/>
          <w:lang w:val="en-US" w:eastAsia="zh-CN"/>
        </w:rPr>
        <w:t>11</w:t>
      </w:r>
    </w:p>
    <w:p w14:paraId="2502EFE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rFonts w:hint="default" w:eastAsia="宋体"/>
          <w:sz w:val="28"/>
          <w:szCs w:val="28"/>
          <w:lang w:val="en-US" w:eastAsia="zh-CN"/>
        </w:rPr>
      </w:pPr>
      <w:r>
        <w:rPr>
          <w:rFonts w:hint="default" w:ascii="Calibri" w:hAnsi="Calibri" w:cs="Calibri"/>
          <w:color w:val="000000"/>
          <w:sz w:val="28"/>
          <w:szCs w:val="28"/>
        </w:rPr>
        <w:t>十、其他重要事项的情况说明········································</w:t>
      </w:r>
      <w:r>
        <w:rPr>
          <w:rFonts w:hint="eastAsia" w:ascii="Calibri" w:hAnsi="Calibri" w:cs="Calibri"/>
          <w:color w:val="000000"/>
          <w:sz w:val="28"/>
          <w:szCs w:val="28"/>
          <w:lang w:val="en-US" w:eastAsia="zh-CN"/>
        </w:rPr>
        <w:t>11-12</w:t>
      </w:r>
    </w:p>
    <w:p w14:paraId="00BEBD6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rPr>
          <w:rFonts w:hint="eastAsia" w:ascii="Calibri" w:hAnsi="Calibri" w:eastAsia="宋体" w:cs="Calibri"/>
          <w:color w:val="000000"/>
          <w:sz w:val="28"/>
          <w:szCs w:val="28"/>
          <w:lang w:val="en-US" w:eastAsia="zh-CN"/>
        </w:rPr>
      </w:pPr>
      <w:r>
        <w:rPr>
          <w:rFonts w:hint="eastAsia" w:ascii="Calibri" w:hAnsi="Calibri" w:cs="Calibri"/>
          <w:color w:val="000000"/>
          <w:sz w:val="28"/>
          <w:szCs w:val="28"/>
        </w:rPr>
        <w:t>第三部分 名词解释····································</w:t>
      </w:r>
      <w:r>
        <w:rPr>
          <w:rFonts w:hint="default" w:ascii="Calibri" w:hAnsi="Calibri" w:cs="Calibri"/>
          <w:color w:val="000000"/>
          <w:sz w:val="28"/>
          <w:szCs w:val="28"/>
        </w:rPr>
        <w:t>·</w:t>
      </w:r>
      <w:r>
        <w:rPr>
          <w:rFonts w:hint="eastAsia" w:ascii="Calibri" w:hAnsi="Calibri" w:cs="Calibri"/>
          <w:color w:val="000000"/>
          <w:sz w:val="28"/>
          <w:szCs w:val="28"/>
          <w:lang w:val="en-US" w:eastAsia="zh-CN"/>
        </w:rPr>
        <w:t>13-</w:t>
      </w:r>
      <w:r>
        <w:rPr>
          <w:rFonts w:hint="default" w:ascii="Calibri" w:hAnsi="Calibri" w:cs="Calibri"/>
          <w:color w:val="000000"/>
          <w:sz w:val="28"/>
          <w:szCs w:val="28"/>
        </w:rPr>
        <w:t>1</w:t>
      </w:r>
      <w:r>
        <w:rPr>
          <w:rFonts w:hint="eastAsia" w:ascii="Calibri" w:hAnsi="Calibri" w:cs="Calibri"/>
          <w:color w:val="000000"/>
          <w:sz w:val="28"/>
          <w:szCs w:val="28"/>
          <w:lang w:val="en-US" w:eastAsia="zh-CN"/>
        </w:rPr>
        <w:t>6</w:t>
      </w:r>
      <w:r>
        <w:rPr>
          <w:rFonts w:hint="eastAsia" w:ascii="Calibri" w:hAnsi="Calibri" w:cs="Calibri"/>
          <w:color w:val="000000"/>
          <w:sz w:val="28"/>
          <w:szCs w:val="28"/>
        </w:rPr>
        <w:t>第四部分 附件········································</w:t>
      </w:r>
      <w:r>
        <w:rPr>
          <w:rFonts w:hint="default" w:ascii="Calibri" w:hAnsi="Calibri" w:cs="Calibri"/>
          <w:color w:val="000000"/>
          <w:sz w:val="28"/>
          <w:szCs w:val="28"/>
        </w:rPr>
        <w:t>·</w:t>
      </w:r>
      <w:r>
        <w:rPr>
          <w:rFonts w:hint="eastAsia" w:ascii="Calibri" w:hAnsi="Calibri" w:cs="Calibri"/>
          <w:color w:val="000000"/>
          <w:sz w:val="28"/>
          <w:szCs w:val="28"/>
          <w:lang w:val="en-US" w:eastAsia="zh-CN"/>
        </w:rPr>
        <w:t>17-23</w:t>
      </w:r>
      <w:r>
        <w:rPr>
          <w:rFonts w:hint="eastAsia" w:ascii="Calibri" w:hAnsi="Calibri" w:cs="Calibri"/>
          <w:color w:val="000000"/>
          <w:sz w:val="28"/>
          <w:szCs w:val="28"/>
        </w:rPr>
        <w:t>第五部分 附表···········································</w:t>
      </w:r>
      <w:r>
        <w:rPr>
          <w:rFonts w:hint="default" w:ascii="Calibri" w:hAnsi="Calibri" w:cs="Calibri"/>
          <w:color w:val="000000"/>
          <w:sz w:val="28"/>
          <w:szCs w:val="28"/>
        </w:rPr>
        <w:t>·2</w:t>
      </w:r>
      <w:r>
        <w:rPr>
          <w:rFonts w:hint="eastAsia" w:ascii="Calibri" w:hAnsi="Calibri" w:cs="Calibri"/>
          <w:color w:val="000000"/>
          <w:sz w:val="28"/>
          <w:szCs w:val="28"/>
          <w:lang w:val="en-US" w:eastAsia="zh-CN"/>
        </w:rPr>
        <w:t>4</w:t>
      </w:r>
    </w:p>
    <w:p w14:paraId="613E425E">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一、收入支出决算总表</w:t>
      </w:r>
    </w:p>
    <w:p w14:paraId="1DA469E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二、收入决算表</w:t>
      </w:r>
    </w:p>
    <w:p w14:paraId="5AC2B18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三、支出决算表</w:t>
      </w:r>
    </w:p>
    <w:p w14:paraId="7E839FE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四、财政拨款收入支出决算总表</w:t>
      </w:r>
    </w:p>
    <w:p w14:paraId="282B2B4C">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五、财政拨款支出决算明细表</w:t>
      </w:r>
    </w:p>
    <w:p w14:paraId="733DD41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六、一般公共预算财政拨款支出决算表</w:t>
      </w:r>
    </w:p>
    <w:p w14:paraId="368D9D1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七、一般公共预算财政拨款支出决算明细表</w:t>
      </w:r>
    </w:p>
    <w:p w14:paraId="3A4418BB">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八、一般公共预算财政拨款基本支出决算明细表</w:t>
      </w:r>
      <w:r>
        <w:rPr>
          <w:sz w:val="28"/>
          <w:szCs w:val="28"/>
        </w:rPr>
        <w:t> </w:t>
      </w:r>
    </w:p>
    <w:p w14:paraId="42BD8EF6">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九、一般公共预算财政拨款项目支出决算表</w:t>
      </w:r>
    </w:p>
    <w:p w14:paraId="28885E4B">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十、政府性基金预算财政拨款收入支出决算表</w:t>
      </w:r>
    </w:p>
    <w:p w14:paraId="21FFDB78">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十一、国有资本经营预算财政拨款收入支出决算表</w:t>
      </w:r>
    </w:p>
    <w:p w14:paraId="3630EC3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十二、国有资本经营预算财政拨款支出决算表</w:t>
      </w:r>
    </w:p>
    <w:p w14:paraId="79C94995">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303"/>
        </w:tabs>
        <w:spacing w:before="0" w:beforeAutospacing="0" w:after="0" w:afterAutospacing="0" w:line="0" w:lineRule="atLeast"/>
        <w:ind w:left="420"/>
        <w:rPr>
          <w:sz w:val="28"/>
          <w:szCs w:val="28"/>
        </w:rPr>
      </w:pPr>
      <w:r>
        <w:rPr>
          <w:rFonts w:hint="default" w:ascii="Calibri" w:hAnsi="Calibri" w:cs="Calibri"/>
          <w:color w:val="000000"/>
          <w:sz w:val="28"/>
          <w:szCs w:val="28"/>
        </w:rPr>
        <w:t>十三、财政拨款“三公”经费支出决算表</w:t>
      </w:r>
    </w:p>
    <w:p w14:paraId="66CC06F9">
      <w:pPr>
        <w:pStyle w:val="5"/>
        <w:jc w:val="center"/>
        <w:rPr>
          <w:rFonts w:hint="eastAsia" w:ascii="Times New Roman" w:hAnsi="Times New Roman" w:eastAsia="方正小标宋简体" w:cs="方正小标宋简体"/>
          <w:b w:val="0"/>
          <w:color w:val="auto"/>
          <w:highlight w:val="none"/>
        </w:rPr>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pPr>
    </w:p>
    <w:p w14:paraId="4DC6EFF9">
      <w:pPr>
        <w:pStyle w:val="5"/>
        <w:jc w:val="center"/>
        <w:rPr>
          <w:rStyle w:val="29"/>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p>
    <w:p w14:paraId="0017B397">
      <w:pPr>
        <w:widowControl/>
        <w:jc w:val="left"/>
        <w:rPr>
          <w:rFonts w:ascii="Times New Roman" w:hAnsi="Times New Roman" w:eastAsia="黑体"/>
          <w:color w:val="auto"/>
          <w:sz w:val="32"/>
          <w:szCs w:val="32"/>
          <w:highlight w:val="none"/>
        </w:rPr>
      </w:pPr>
    </w:p>
    <w:p w14:paraId="3061D2BD">
      <w:pPr>
        <w:pStyle w:val="6"/>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6E81D14A">
      <w:pPr>
        <w:pStyle w:val="1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00" w:beforeAutospacing="0" w:after="100" w:afterAutospacing="0" w:line="0" w:lineRule="atLeast"/>
        <w:ind w:left="0" w:right="0" w:firstLine="643"/>
      </w:pPr>
      <w:r>
        <w:rPr>
          <w:rFonts w:ascii="仿宋" w:hAnsi="仿宋" w:eastAsia="仿宋" w:cs="仿宋"/>
          <w:b/>
          <w:bCs/>
          <w:color w:val="000000"/>
          <w:sz w:val="32"/>
          <w:szCs w:val="32"/>
        </w:rPr>
        <w:t>综合办公室</w:t>
      </w:r>
      <w:r>
        <w:rPr>
          <w:rFonts w:hint="eastAsia" w:ascii="仿宋" w:hAnsi="仿宋" w:eastAsia="仿宋" w:cs="仿宋"/>
          <w:b/>
          <w:bCs/>
          <w:color w:val="000000"/>
          <w:sz w:val="32"/>
          <w:szCs w:val="32"/>
        </w:rPr>
        <w:t>：</w:t>
      </w:r>
      <w:r>
        <w:rPr>
          <w:rFonts w:hint="eastAsia" w:ascii="仿宋" w:hAnsi="仿宋" w:eastAsia="仿宋" w:cs="仿宋"/>
          <w:color w:val="000000"/>
          <w:sz w:val="32"/>
          <w:szCs w:val="32"/>
        </w:rPr>
        <w:t>负责协助院领导组织、协调、处理司法政务，负责综合性办文办会、文秘、信息、宣传、保密、档案、代表委员联络、决议事项督办、社会综合治理，负责本院财务管理、诉讼费监督管理，后勤物资装备配置及管理，办公用房和法庭建设维护，信息系统建设、运行、维护和管理保障，以及其他与政务后勤保障相关的工作；负责庭审翻译工作，双语裁判文书翻译工作，日常接待及其他翻译工作；负责案件评查、司法公开等审判管理工作，负责审判委员会、调研、案例等工作。</w:t>
      </w:r>
    </w:p>
    <w:p w14:paraId="3991CFE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政治部（督察室）：</w:t>
      </w:r>
      <w:r>
        <w:rPr>
          <w:rFonts w:hint="eastAsia" w:ascii="仿宋" w:hAnsi="仿宋" w:eastAsia="仿宋" w:cs="仿宋"/>
          <w:color w:val="000000"/>
          <w:sz w:val="32"/>
          <w:szCs w:val="32"/>
        </w:rPr>
        <w:t>负责干警思想政治建设、队伍建设、机构编制管理、干部人事管理、教育培训、表彰奖励、文化建设、人民陪审员管理，履行内部监督职能、协助党组抓好全院党风、党纪和廉政建设，承担其他与组织人事管理相关的工作。</w:t>
      </w:r>
    </w:p>
    <w:p w14:paraId="206D181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立案庭（诉讼服务中心）</w:t>
      </w:r>
      <w:r>
        <w:rPr>
          <w:rFonts w:hint="eastAsia" w:ascii="仿宋" w:hAnsi="仿宋" w:eastAsia="仿宋" w:cs="仿宋"/>
          <w:color w:val="000000"/>
          <w:sz w:val="32"/>
          <w:szCs w:val="32"/>
        </w:rPr>
        <w:t>：负责本院诉讼服务大厅等窗口的管理工作；负责本院的各类案件登记立案及立案审查工作；负责诉前调解、立案调解、信访接待、诉非衔接、诉讼辅导、案件繁简分流、案件速裁、多元化解矛盾纠纷等工作；依法实施诉前保全、起诉时提起的证据保全措施；依法审理支付令、督促等程序性案件并作出裁决；对应由本院受理的申诉、申请再审案件进行审查，并决定是否再审立案；负责办理减、免、缓诉讼费的审批手续；负责本院各类案件的材料收转、案件查询、法律咨询、12368诉讼服务热线等工作，司法评估、拍卖、鉴定，以及其他与立案、信访有关的工作事宜。</w:t>
      </w:r>
    </w:p>
    <w:p w14:paraId="7C53D5BD">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jc w:val="both"/>
      </w:pPr>
      <w:r>
        <w:rPr>
          <w:rFonts w:hint="eastAsia" w:ascii="仿宋" w:hAnsi="仿宋" w:eastAsia="仿宋" w:cs="仿宋"/>
          <w:b/>
          <w:bCs/>
          <w:color w:val="000000"/>
          <w:sz w:val="32"/>
          <w:szCs w:val="32"/>
        </w:rPr>
        <w:t>综合审判庭（环境资源审判庭）：</w:t>
      </w:r>
      <w:r>
        <w:rPr>
          <w:rFonts w:hint="eastAsia" w:ascii="仿宋" w:hAnsi="仿宋" w:eastAsia="仿宋" w:cs="仿宋"/>
          <w:color w:val="000000"/>
          <w:sz w:val="32"/>
          <w:szCs w:val="32"/>
        </w:rPr>
        <w:t>依法审理本院各类刑事、民事、行政等案件；依法审理破坏资源、污染环境、与环境资源相关等涉及环境资源保护等案件；依法审理申诉、申请再审及审判监督案件；负责总结审判工作经验，以及其他与审判相关的工作。</w:t>
      </w:r>
    </w:p>
    <w:p w14:paraId="3852EDC0">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15" w:firstLine="643"/>
      </w:pPr>
      <w:r>
        <w:rPr>
          <w:rFonts w:hint="eastAsia" w:ascii="仿宋" w:hAnsi="仿宋" w:eastAsia="仿宋" w:cs="仿宋"/>
          <w:b/>
          <w:bCs/>
          <w:color w:val="000000"/>
          <w:sz w:val="32"/>
          <w:szCs w:val="32"/>
        </w:rPr>
        <w:t>执行局：</w:t>
      </w:r>
      <w:r>
        <w:rPr>
          <w:rFonts w:hint="eastAsia" w:ascii="仿宋" w:hAnsi="仿宋" w:eastAsia="仿宋" w:cs="仿宋"/>
          <w:color w:val="000000"/>
          <w:sz w:val="32"/>
          <w:szCs w:val="32"/>
        </w:rPr>
        <w:t>负责办理本院各类执行案件，总结执行工作经验，以及其他与执行相关的工作。</w:t>
      </w:r>
    </w:p>
    <w:p w14:paraId="07EFEC84">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right="-15" w:firstLine="643" w:firstLineChars="200"/>
      </w:pPr>
      <w:r>
        <w:rPr>
          <w:rFonts w:hint="eastAsia" w:ascii="仿宋" w:hAnsi="仿宋" w:eastAsia="仿宋" w:cs="仿宋"/>
          <w:b/>
          <w:bCs/>
          <w:color w:val="000000"/>
          <w:sz w:val="32"/>
          <w:szCs w:val="32"/>
        </w:rPr>
        <w:t>司法</w:t>
      </w:r>
      <w:r>
        <w:rPr>
          <w:rFonts w:hint="eastAsia" w:ascii="仿宋" w:hAnsi="仿宋" w:eastAsia="仿宋" w:cs="仿宋"/>
          <w:b/>
          <w:bCs/>
          <w:color w:val="000000"/>
          <w:sz w:val="32"/>
          <w:szCs w:val="32"/>
          <w:lang w:eastAsia="zh-CN"/>
        </w:rPr>
        <w:t>法</w:t>
      </w:r>
      <w:r>
        <w:rPr>
          <w:rFonts w:hint="eastAsia" w:ascii="仿宋" w:hAnsi="仿宋" w:eastAsia="仿宋" w:cs="仿宋"/>
          <w:b/>
          <w:bCs/>
          <w:color w:val="000000"/>
          <w:sz w:val="32"/>
          <w:szCs w:val="32"/>
        </w:rPr>
        <w:t>警大队</w:t>
      </w:r>
      <w:r>
        <w:rPr>
          <w:rFonts w:hint="eastAsia" w:ascii="仿宋" w:hAnsi="仿宋" w:eastAsia="仿宋" w:cs="仿宋"/>
          <w:color w:val="000000"/>
          <w:sz w:val="32"/>
          <w:szCs w:val="32"/>
        </w:rPr>
        <w:t>：负责司法警察、警务工作、警卫法庭、押解人犯、送达有关法律文书、执行死刑。</w:t>
      </w:r>
    </w:p>
    <w:p w14:paraId="4D802209">
      <w:pPr>
        <w:numPr>
          <w:ilvl w:val="0"/>
          <w:numId w:val="0"/>
        </w:numPr>
        <w:rPr>
          <w:rFonts w:hint="eastAsia"/>
          <w:lang w:eastAsia="zh-CN"/>
        </w:rPr>
      </w:pPr>
    </w:p>
    <w:p w14:paraId="7D3C080F">
      <w:pPr>
        <w:pStyle w:val="6"/>
        <w:numPr>
          <w:ilvl w:val="0"/>
          <w:numId w:val="1"/>
        </w:numPr>
        <w:ind w:left="0" w:leftChars="0" w:firstLine="0" w:firstLineChars="0"/>
        <w:rPr>
          <w:rStyle w:val="30"/>
          <w:rFonts w:hint="eastAsia" w:ascii="Times New Roman" w:hAnsi="Times New Roman" w:eastAsia="黑体"/>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机</w:t>
      </w:r>
      <w:r>
        <w:rPr>
          <w:rStyle w:val="30"/>
          <w:rFonts w:hint="eastAsia" w:ascii="Times New Roman" w:hAnsi="Times New Roman" w:eastAsia="黑体"/>
          <w:b w:val="0"/>
          <w:bCs w:val="0"/>
          <w:color w:val="auto"/>
          <w:highlight w:val="none"/>
        </w:rPr>
        <w:t>构设置</w:t>
      </w:r>
      <w:bookmarkEnd w:id="8"/>
      <w:bookmarkEnd w:id="9"/>
    </w:p>
    <w:p w14:paraId="482D7F66">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right="-15" w:firstLine="640" w:firstLineChars="200"/>
        <w:textAlignment w:val="auto"/>
      </w:pPr>
      <w:r>
        <w:rPr>
          <w:rFonts w:ascii="仿宋" w:hAnsi="仿宋" w:eastAsia="仿宋" w:cs="仿宋"/>
          <w:color w:val="000000"/>
          <w:sz w:val="32"/>
          <w:szCs w:val="32"/>
        </w:rPr>
        <w:t>本单位本年度纳入本套决算编制范围的独立编制机构数共1个，与上年相比无变化；独立核算机构数共1个，与上年相比无变化。</w:t>
      </w:r>
      <w:r>
        <w:rPr>
          <w:rFonts w:hint="eastAsia" w:ascii="仿宋" w:hAnsi="仿宋" w:eastAsia="仿宋" w:cs="仿宋"/>
          <w:color w:val="000000"/>
          <w:sz w:val="32"/>
          <w:szCs w:val="32"/>
        </w:rPr>
        <w:t xml:space="preserve">               </w:t>
      </w:r>
    </w:p>
    <w:p w14:paraId="6B88FA3E">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firstLine="640" w:firstLineChars="200"/>
        <w:textAlignment w:val="auto"/>
      </w:pPr>
      <w:r>
        <w:rPr>
          <w:rFonts w:hint="eastAsia" w:ascii="仿宋" w:hAnsi="仿宋" w:eastAsia="仿宋" w:cs="仿宋"/>
          <w:color w:val="000000"/>
          <w:sz w:val="32"/>
          <w:szCs w:val="32"/>
        </w:rPr>
        <w:t>本单位本年度年末实有人数为</w:t>
      </w:r>
      <w:r>
        <w:rPr>
          <w:rFonts w:hint="eastAsia" w:ascii="仿宋" w:hAnsi="仿宋" w:eastAsia="仿宋" w:cs="仿宋"/>
          <w:color w:val="000000"/>
          <w:sz w:val="32"/>
          <w:szCs w:val="32"/>
          <w:lang w:val="en-US" w:eastAsia="zh-CN"/>
        </w:rPr>
        <w:t>41</w:t>
      </w:r>
      <w:r>
        <w:rPr>
          <w:rFonts w:hint="eastAsia" w:ascii="仿宋" w:hAnsi="仿宋" w:eastAsia="仿宋" w:cs="仿宋"/>
          <w:color w:val="000000"/>
          <w:sz w:val="32"/>
          <w:szCs w:val="32"/>
        </w:rPr>
        <w:t>人，比上年</w:t>
      </w:r>
      <w:r>
        <w:rPr>
          <w:rFonts w:hint="eastAsia" w:ascii="仿宋" w:hAnsi="仿宋" w:eastAsia="仿宋" w:cs="仿宋"/>
          <w:color w:val="000000"/>
          <w:sz w:val="32"/>
          <w:szCs w:val="32"/>
          <w:lang w:eastAsia="zh-CN"/>
        </w:rPr>
        <w:t>增加</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人；变动原因为</w:t>
      </w:r>
      <w:r>
        <w:rPr>
          <w:rFonts w:hint="eastAsia" w:ascii="仿宋" w:hAnsi="仿宋" w:eastAsia="仿宋" w:cs="仿宋"/>
          <w:color w:val="000000"/>
          <w:sz w:val="32"/>
          <w:szCs w:val="32"/>
          <w:lang w:val="en-US" w:eastAsia="zh-CN"/>
        </w:rPr>
        <w:t>1人调动、1人辞职、1人退休、新招录5名干警</w:t>
      </w:r>
      <w:r>
        <w:rPr>
          <w:rFonts w:hint="eastAsia" w:ascii="仿宋" w:hAnsi="仿宋" w:eastAsia="仿宋" w:cs="仿宋"/>
          <w:color w:val="000000"/>
          <w:sz w:val="32"/>
          <w:szCs w:val="32"/>
        </w:rPr>
        <w:t>。年末实有其他人数为1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人，与上年相比</w:t>
      </w:r>
      <w:r>
        <w:rPr>
          <w:rFonts w:hint="eastAsia" w:ascii="仿宋" w:hAnsi="仿宋" w:eastAsia="仿宋" w:cs="仿宋"/>
          <w:color w:val="000000"/>
          <w:sz w:val="32"/>
          <w:szCs w:val="32"/>
          <w:lang w:eastAsia="zh-CN"/>
        </w:rPr>
        <w:t>无变化</w:t>
      </w:r>
      <w:r>
        <w:rPr>
          <w:rFonts w:hint="eastAsia" w:ascii="仿宋" w:hAnsi="仿宋" w:eastAsia="仿宋" w:cs="仿宋"/>
          <w:color w:val="000000"/>
          <w:sz w:val="32"/>
          <w:szCs w:val="32"/>
          <w:lang w:val="en-US" w:eastAsia="zh-CN"/>
        </w:rPr>
        <w:t>。</w:t>
      </w:r>
    </w:p>
    <w:p w14:paraId="69E9135E">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297CB601">
      <w:pPr>
        <w:pStyle w:val="5"/>
        <w:jc w:val="center"/>
        <w:rPr>
          <w:rFonts w:hint="eastAsia" w:ascii="Times New Roman" w:hAnsi="Times New Roman" w:eastAsia="方正小标宋简体" w:cs="方正小标宋简体"/>
          <w:b w:val="0"/>
          <w:color w:val="auto"/>
          <w:highlight w:val="none"/>
        </w:rPr>
      </w:pPr>
      <w:bookmarkStart w:id="10" w:name="_Toc15396602"/>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37FBC427">
      <w:pPr>
        <w:rPr>
          <w:rFonts w:ascii="Times New Roman" w:hAnsi="Times New Roman"/>
          <w:color w:val="auto"/>
          <w:highlight w:val="none"/>
        </w:rPr>
      </w:pPr>
    </w:p>
    <w:p w14:paraId="0836FB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2" w:name="_Toc15396603"/>
      <w:bookmarkStart w:id="1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2"/>
      <w:bookmarkEnd w:id="13"/>
    </w:p>
    <w:p w14:paraId="4FBB66A0">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年度总收入为</w:t>
      </w:r>
      <w:r>
        <w:rPr>
          <w:rFonts w:hint="eastAsia" w:ascii="仿宋_GB2312" w:hAnsi="仿宋_GB2312" w:eastAsia="仿宋_GB2312" w:cs="仿宋_GB2312"/>
          <w:sz w:val="32"/>
          <w:szCs w:val="32"/>
        </w:rPr>
        <w:t>2074.24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130.81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auto"/>
          <w:sz w:val="32"/>
          <w:szCs w:val="32"/>
          <w:highlight w:val="none"/>
        </w:rPr>
        <w:t>增长</w:t>
      </w:r>
      <w:r>
        <w:rPr>
          <w:rFonts w:hint="eastAsia" w:ascii="仿宋_GB2312" w:hAnsi="仿宋_GB2312" w:eastAsia="仿宋_GB2312" w:cs="仿宋_GB2312"/>
          <w:color w:val="auto"/>
          <w:sz w:val="32"/>
          <w:szCs w:val="32"/>
          <w:highlight w:val="none"/>
          <w:lang w:val="en-US" w:eastAsia="zh-CN"/>
        </w:rPr>
        <w:t>6.73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000000"/>
          <w:sz w:val="32"/>
          <w:szCs w:val="32"/>
        </w:rPr>
        <w:t>；总支出为</w:t>
      </w:r>
      <w:r>
        <w:rPr>
          <w:rFonts w:hint="eastAsia" w:ascii="仿宋_GB2312" w:hAnsi="仿宋_GB2312" w:eastAsia="仿宋_GB2312" w:cs="仿宋_GB2312"/>
          <w:sz w:val="32"/>
          <w:szCs w:val="32"/>
        </w:rPr>
        <w:t>2074.24</w:t>
      </w:r>
      <w:r>
        <w:rPr>
          <w:rFonts w:hint="eastAsia" w:ascii="仿宋_GB2312" w:hAnsi="仿宋_GB2312" w:eastAsia="仿宋_GB2312" w:cs="仿宋_GB2312"/>
          <w:color w:val="000000"/>
          <w:sz w:val="32"/>
          <w:szCs w:val="32"/>
        </w:rPr>
        <w:t>万元，较202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年增加</w:t>
      </w:r>
      <w:r>
        <w:rPr>
          <w:rFonts w:hint="eastAsia" w:ascii="仿宋_GB2312" w:hAnsi="仿宋_GB2312" w:eastAsia="仿宋_GB2312" w:cs="仿宋_GB2312"/>
          <w:color w:val="000000"/>
          <w:sz w:val="32"/>
          <w:szCs w:val="32"/>
          <w:lang w:val="en-US" w:eastAsia="zh-CN"/>
        </w:rPr>
        <w:t>130.81</w:t>
      </w:r>
      <w:r>
        <w:rPr>
          <w:rFonts w:hint="eastAsia" w:ascii="仿宋_GB2312" w:hAnsi="仿宋_GB2312" w:eastAsia="仿宋_GB2312" w:cs="仿宋_GB2312"/>
          <w:color w:val="000000"/>
          <w:sz w:val="32"/>
          <w:szCs w:val="32"/>
        </w:rPr>
        <w:t>万元，上升</w:t>
      </w:r>
      <w:r>
        <w:rPr>
          <w:rFonts w:hint="eastAsia" w:ascii="仿宋_GB2312" w:hAnsi="仿宋_GB2312" w:eastAsia="仿宋_GB2312" w:cs="仿宋_GB2312"/>
          <w:color w:val="000000"/>
          <w:sz w:val="32"/>
          <w:szCs w:val="32"/>
          <w:lang w:val="en-US" w:eastAsia="zh-CN"/>
        </w:rPr>
        <w:t>6.73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主要</w:t>
      </w:r>
      <w:r>
        <w:rPr>
          <w:rFonts w:hint="eastAsia" w:ascii="仿宋_GB2312" w:hAnsi="仿宋_GB2312" w:eastAsia="仿宋_GB2312" w:cs="仿宋_GB2312"/>
          <w:color w:val="000000"/>
          <w:sz w:val="32"/>
          <w:szCs w:val="32"/>
        </w:rPr>
        <w:t>原因人员经费增加，其他收入增加。</w:t>
      </w:r>
    </w:p>
    <w:p w14:paraId="0B3F9E1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p>
    <w:p w14:paraId="1C1D499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 w:hAnsi="仿宋" w:eastAsia="仿宋" w:cs="仿宋"/>
          <w:color w:val="000000"/>
          <w:sz w:val="32"/>
          <w:szCs w:val="32"/>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51B24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6E3E9DB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2C78AD5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14:paraId="73DDDCF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2074.24万元，其中：一般公共预算财政拨款收入1625.55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78.36</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448.69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21.63</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30CFCB0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1F40D9F9">
      <w:pPr>
        <w:rPr>
          <w:rFonts w:hint="eastAsia" w:ascii="仿宋" w:hAnsi="仿宋" w:eastAsia="仿宋" w:cs="仿宋"/>
          <w:color w:val="000000"/>
          <w:sz w:val="32"/>
          <w:szCs w:val="32"/>
        </w:rPr>
      </w:pPr>
      <w:r>
        <w:rPr>
          <w:rFonts w:hint="eastAsia" w:ascii="仿宋" w:hAnsi="仿宋" w:eastAsia="仿宋" w:cs="仿宋"/>
          <w:color w:val="000000"/>
          <w:sz w:val="32"/>
          <w:szCs w:val="32"/>
        </w:rPr>
        <w:drawing>
          <wp:inline distT="0" distB="0" distL="114300" distR="114300">
            <wp:extent cx="5256530" cy="2988310"/>
            <wp:effectExtent l="5080" t="4445" r="15240"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4DEABB">
      <w:pPr>
        <w:ind w:firstLine="800" w:firstLineChars="250"/>
        <w:rPr>
          <w:rFonts w:hint="eastAsia"/>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6869C08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黑体"/>
          <w:color w:val="auto"/>
          <w:sz w:val="32"/>
          <w:szCs w:val="32"/>
          <w:highlight w:val="none"/>
          <w:lang w:eastAsia="zh-CN"/>
        </w:rPr>
      </w:pPr>
      <w:bookmarkStart w:id="16" w:name="_Toc15396605"/>
      <w:bookmarkStart w:id="17" w:name="_Toc15377207"/>
    </w:p>
    <w:p w14:paraId="1578A87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16"/>
      <w:bookmarkEnd w:id="17"/>
    </w:p>
    <w:p w14:paraId="3FE8C6F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1996.51</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1429.35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71.59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567.15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28.4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4BC55CC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（注：仅罗列本部门涉及的支出）</w:t>
      </w:r>
    </w:p>
    <w:p w14:paraId="0A49CB38">
      <w:pPr>
        <w:rPr>
          <w:rFonts w:hint="eastAsia" w:ascii="Times New Roman" w:hAnsi="Times New Roman" w:eastAsia="仿宋_GB2312" w:cs="仿宋_GB2312"/>
          <w:color w:val="auto"/>
          <w:sz w:val="32"/>
          <w:szCs w:val="32"/>
          <w:highlight w:val="none"/>
          <w:lang w:eastAsia="zh-CN"/>
        </w:rPr>
      </w:pPr>
    </w:p>
    <w:p w14:paraId="05FC6C1D">
      <w:pPr>
        <w:ind w:firstLine="525" w:firstLineChars="250"/>
        <w:rPr>
          <w:rFonts w:hint="eastAsia" w:ascii="Times New Roman" w:hAnsi="Times New Roman" w:eastAsia="仿宋_GB2312" w:cs="仿宋_GB2312"/>
          <w:color w:val="auto"/>
          <w:sz w:val="32"/>
          <w:szCs w:val="32"/>
          <w:highlight w:val="none"/>
          <w:lang w:eastAsia="zh-CN"/>
        </w:rPr>
      </w:pPr>
      <w:r>
        <w:rPr>
          <w:rFonts w:hint="eastAsia" w:eastAsiaTheme="minorEastAsia"/>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BEA9325">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562DB983">
      <w:pPr>
        <w:spacing w:line="600" w:lineRule="exact"/>
        <w:ind w:firstLine="640" w:firstLineChars="200"/>
        <w:outlineLvl w:val="1"/>
        <w:rPr>
          <w:rStyle w:val="30"/>
          <w:rFonts w:ascii="Times New Roman" w:hAnsi="Times New Roman" w:eastAsia="黑体"/>
          <w:b w:val="0"/>
          <w:color w:val="auto"/>
          <w:highlight w:val="none"/>
        </w:rPr>
      </w:pPr>
      <w:bookmarkStart w:id="18" w:name="_Toc15396606"/>
      <w:bookmarkStart w:id="19"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18"/>
      <w:bookmarkEnd w:id="19"/>
    </w:p>
    <w:p w14:paraId="64052665">
      <w:pPr>
        <w:spacing w:line="600" w:lineRule="exact"/>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2024年度财政拨款收入、支出总计均为1625.55万元。与2023年度相比，财政拨款收入总计、支出总计各减少317.88万元，下降16.36%。主要变动原因是</w:t>
      </w:r>
      <w:r>
        <w:rPr>
          <w:rFonts w:hint="default" w:ascii="仿宋_GB2312" w:hAnsi="仿宋_GB2312" w:eastAsia="仿宋_GB2312" w:cs="仿宋_GB2312"/>
          <w:kern w:val="2"/>
          <w:sz w:val="32"/>
          <w:szCs w:val="32"/>
          <w:lang w:val="en-US" w:eastAsia="zh-CN" w:bidi="ar-SA"/>
        </w:rPr>
        <w:t>是</w:t>
      </w:r>
      <w:r>
        <w:rPr>
          <w:rFonts w:hint="eastAsia" w:ascii="仿宋_GB2312" w:hAnsi="仿宋_GB2312" w:eastAsia="仿宋_GB2312" w:cs="仿宋_GB2312"/>
          <w:kern w:val="2"/>
          <w:sz w:val="32"/>
          <w:szCs w:val="32"/>
          <w:lang w:val="en-US" w:eastAsia="zh-CN" w:bidi="ar-SA"/>
        </w:rPr>
        <w:t>公务经费减少，总收入和总支出减少。</w:t>
      </w:r>
    </w:p>
    <w:p w14:paraId="06085C90">
      <w:pPr>
        <w:pStyle w:val="3"/>
        <w:ind w:left="0" w:leftChars="0" w:firstLine="0" w:firstLineChars="0"/>
        <w:rPr>
          <w:rFonts w:hint="eastAsia" w:ascii="Times New Roman" w:hAnsi="Times New Roman" w:cs="Times New Roman"/>
          <w:color w:val="000000"/>
          <w:sz w:val="32"/>
          <w:szCs w:val="32"/>
          <w:lang w:val="en-US" w:eastAsia="zh-CN"/>
        </w:rPr>
      </w:pPr>
      <w:r>
        <w:rPr>
          <w:rFonts w:hint="eastAsia" w:ascii="仿宋" w:hAnsi="仿宋" w:eastAsia="仿宋" w:cs="仿宋"/>
          <w:b/>
          <w:bCs/>
          <w:color w:val="000000"/>
          <w:sz w:val="32"/>
          <w:szCs w:val="32"/>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A5D94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68564A0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A0B3F8F">
      <w:pPr>
        <w:spacing w:line="600" w:lineRule="exact"/>
        <w:ind w:firstLine="640" w:firstLineChars="200"/>
        <w:outlineLvl w:val="1"/>
        <w:rPr>
          <w:rStyle w:val="30"/>
          <w:rFonts w:ascii="Times New Roman" w:hAnsi="Times New Roman" w:eastAsia="黑体"/>
          <w:b w:val="0"/>
          <w:color w:val="auto"/>
          <w:highlight w:val="none"/>
        </w:rPr>
      </w:pPr>
      <w:bookmarkStart w:id="20" w:name="_Toc15377209"/>
      <w:bookmarkStart w:id="21" w:name="_Toc15396607"/>
      <w:r>
        <w:rPr>
          <w:rFonts w:hint="eastAsia" w:ascii="Times New Roman" w:hAnsi="Times New Roman" w:eastAsia="黑体"/>
          <w:color w:val="auto"/>
          <w:sz w:val="32"/>
          <w:szCs w:val="32"/>
          <w:highlight w:val="none"/>
        </w:rPr>
        <w:t>五、</w:t>
      </w:r>
      <w:r>
        <w:rPr>
          <w:rFonts w:hint="eastAsia" w:ascii="Times New Roman" w:hAnsi="Times New Roman" w:eastAsia="黑体" w:cstheme="majorBidi"/>
          <w:b w:val="0"/>
          <w:bCs/>
          <w:color w:val="auto"/>
          <w:kern w:val="2"/>
          <w:sz w:val="32"/>
          <w:szCs w:val="32"/>
          <w:highlight w:val="none"/>
          <w:lang w:val="en-US" w:eastAsia="zh-CN" w:bidi="ar-SA"/>
        </w:rPr>
        <w:t>一</w:t>
      </w:r>
      <w:r>
        <w:rPr>
          <w:rStyle w:val="30"/>
          <w:rFonts w:hint="eastAsia" w:ascii="Times New Roman" w:hAnsi="Times New Roman" w:eastAsia="黑体"/>
          <w:b w:val="0"/>
          <w:color w:val="auto"/>
          <w:highlight w:val="none"/>
        </w:rPr>
        <w:t>般公共预算财政拨款支出决算情况说明</w:t>
      </w:r>
      <w:bookmarkEnd w:id="20"/>
      <w:bookmarkEnd w:id="21"/>
    </w:p>
    <w:p w14:paraId="1F5BCFC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32C02DB2">
      <w:pPr>
        <w:spacing w:line="600" w:lineRule="exact"/>
        <w:ind w:firstLine="640"/>
        <w:rPr>
          <w:rFonts w:hint="eastAsia" w:ascii="仿宋" w:hAnsi="仿宋" w:eastAsia="仿宋" w:cs="仿宋"/>
          <w:color w:val="000000"/>
          <w:sz w:val="32"/>
          <w:szCs w:val="32"/>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1625.55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81.41</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%。与2023年度相比，一般公共预算财政拨款支出增加73.64万元，增长4.75%。主要变动原因是</w:t>
      </w:r>
      <w:r>
        <w:rPr>
          <w:rFonts w:hint="eastAsia" w:ascii="仿宋_GB2312" w:hAnsi="仿宋_GB2312" w:eastAsia="仿宋_GB2312" w:cs="仿宋_GB2312"/>
          <w:color w:val="000000"/>
          <w:sz w:val="32"/>
          <w:szCs w:val="32"/>
          <w:lang w:val="en-US" w:eastAsia="zh-CN"/>
        </w:rPr>
        <w:t>1人调动、1人辞职、1人退休、新招录5名干警。</w:t>
      </w:r>
    </w:p>
    <w:p w14:paraId="38B7ED14">
      <w:pPr>
        <w:pStyle w:val="3"/>
        <w:ind w:firstLine="1606" w:firstLineChars="50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一般公共预算财政拨款支出决算</w:t>
      </w:r>
      <w:r>
        <w:rPr>
          <w:rFonts w:hint="eastAsia" w:ascii="仿宋" w:hAnsi="仿宋" w:eastAsia="仿宋" w:cs="仿宋"/>
          <w:b/>
          <w:bCs/>
          <w:color w:val="000000"/>
          <w:sz w:val="32"/>
          <w:szCs w:val="32"/>
          <w:lang w:eastAsia="zh-CN"/>
        </w:rPr>
        <w:t>情况</w:t>
      </w:r>
    </w:p>
    <w:p w14:paraId="73F0A3DB">
      <w:pPr>
        <w:pStyle w:val="3"/>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905BE8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23FEFD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3A4D8B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2217AB0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1625.55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：公共安全</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1348.97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82.99</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138.33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8.51</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53.18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3.27</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85.09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5.23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51D5D41F">
      <w:pPr>
        <w:pStyle w:val="3"/>
        <w:ind w:left="0" w:leftChars="0" w:firstLine="0" w:firstLineChars="0"/>
        <w:rPr>
          <w:rFonts w:hint="eastAsia" w:ascii="Times New Roman" w:hAnsi="Times New Roman" w:eastAsia="仿宋_GB2312" w:cs="仿宋_GB2312"/>
          <w:b/>
          <w:bCs/>
          <w:color w:val="auto"/>
          <w:kern w:val="2"/>
          <w:sz w:val="32"/>
          <w:szCs w:val="32"/>
          <w:highlight w:val="none"/>
          <w:lang w:val="en-US" w:eastAsia="zh-CN" w:bidi="ar-SA"/>
        </w:rPr>
      </w:pPr>
    </w:p>
    <w:p w14:paraId="53716407">
      <w:pPr>
        <w:pStyle w:val="3"/>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 w:hAnsi="仿宋" w:eastAsia="仿宋" w:cs="仿宋"/>
          <w:color w:val="000000"/>
          <w:sz w:val="32"/>
          <w:szCs w:val="32"/>
        </w:rPr>
        <w:drawing>
          <wp:inline distT="0" distB="0" distL="114300" distR="114300">
            <wp:extent cx="4850765" cy="2988310"/>
            <wp:effectExtent l="5080" t="4445" r="20955"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19A2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6E21DB7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94891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79EBD70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8460"/>
      <w:bookmarkStart w:id="26" w:name="_Toc15377444"/>
      <w:bookmarkStart w:id="27"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1625.55</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14:paraId="67F26659">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rPr>
        <w:t>公共安全支出（类）法院（款）行政运行（项）:</w:t>
      </w:r>
      <w:r>
        <w:rPr>
          <w:rFonts w:ascii="仿宋_GB2312" w:eastAsia="仿宋_GB2312" w:cs="仿宋_GB2312"/>
          <w:color w:val="000000"/>
          <w:sz w:val="32"/>
          <w:szCs w:val="32"/>
        </w:rPr>
        <w:t>支出</w:t>
      </w:r>
      <w:r>
        <w:rPr>
          <w:rFonts w:hint="default" w:ascii="Times New Roman" w:hAnsi="Times New Roman" w:cs="Times New Roman"/>
          <w:color w:val="000000"/>
          <w:sz w:val="32"/>
          <w:szCs w:val="32"/>
        </w:rPr>
        <w:t>决算为</w:t>
      </w:r>
      <w:r>
        <w:rPr>
          <w:rFonts w:hint="eastAsia" w:ascii="Times New Roman" w:hAnsi="Times New Roman" w:cs="Times New Roman"/>
          <w:color w:val="000000"/>
          <w:sz w:val="32"/>
          <w:szCs w:val="32"/>
          <w:lang w:val="en-US" w:eastAsia="zh-CN"/>
        </w:rPr>
        <w:t>781.81</w:t>
      </w:r>
      <w:r>
        <w:rPr>
          <w:rFonts w:hint="default" w:ascii="Times New Roman" w:hAnsi="Times New Roman" w:cs="Times New Roman"/>
          <w:color w:val="000000"/>
          <w:sz w:val="32"/>
          <w:szCs w:val="32"/>
        </w:rPr>
        <w:t>万元，完成预算100%。</w:t>
      </w:r>
    </w:p>
    <w:p w14:paraId="261CAA48">
      <w:pPr>
        <w:spacing w:line="600" w:lineRule="exact"/>
        <w:ind w:firstLine="640"/>
        <w:rPr>
          <w:rFonts w:hint="default" w:ascii="Times New Roman" w:hAnsi="Times New Roman" w:cs="Times New Roman"/>
          <w:color w:val="000000"/>
          <w:sz w:val="32"/>
          <w:szCs w:val="32"/>
        </w:rPr>
      </w:pPr>
      <w:r>
        <w:rPr>
          <w:rFonts w:hint="eastAsia" w:ascii="仿宋" w:hAnsi="仿宋" w:eastAsia="仿宋" w:cs="仿宋"/>
          <w:b/>
          <w:bCs/>
          <w:color w:val="000000"/>
          <w:sz w:val="32"/>
          <w:szCs w:val="32"/>
        </w:rPr>
        <w:t>2.公共安全支出（类）法院（款）一般行政管理事务（项）:</w:t>
      </w:r>
      <w:r>
        <w:rPr>
          <w:rFonts w:hint="default" w:ascii="Times New Roman" w:hAnsi="Times New Roman" w:cs="Times New Roman"/>
          <w:color w:val="000000"/>
          <w:sz w:val="32"/>
          <w:szCs w:val="32"/>
        </w:rPr>
        <w:t>支出决算为</w:t>
      </w:r>
      <w:r>
        <w:rPr>
          <w:rFonts w:hint="eastAsia" w:ascii="Times New Roman" w:hAnsi="Times New Roman" w:cs="Times New Roman"/>
          <w:color w:val="000000"/>
          <w:sz w:val="32"/>
          <w:szCs w:val="32"/>
          <w:lang w:val="en-US" w:eastAsia="zh-CN"/>
        </w:rPr>
        <w:t>556.52</w:t>
      </w:r>
      <w:r>
        <w:rPr>
          <w:rFonts w:hint="default" w:ascii="Times New Roman" w:hAnsi="Times New Roman" w:cs="Times New Roman"/>
          <w:color w:val="000000"/>
          <w:sz w:val="32"/>
          <w:szCs w:val="32"/>
        </w:rPr>
        <w:t>万元，完成预算100%。</w:t>
      </w:r>
    </w:p>
    <w:p w14:paraId="0C8DEF15">
      <w:pPr>
        <w:spacing w:line="600" w:lineRule="exact"/>
        <w:ind w:firstLine="640"/>
        <w:rPr>
          <w:rFonts w:hint="default" w:ascii="Times New Roman" w:hAnsi="Times New Roman" w:cs="Times New Roman"/>
          <w:color w:val="000000"/>
          <w:sz w:val="32"/>
          <w:szCs w:val="32"/>
        </w:rPr>
      </w:pPr>
      <w:r>
        <w:rPr>
          <w:rFonts w:hint="eastAsia" w:ascii="仿宋" w:hAnsi="仿宋" w:eastAsia="仿宋" w:cs="仿宋"/>
          <w:b/>
          <w:bCs/>
          <w:color w:val="000000"/>
          <w:sz w:val="32"/>
          <w:szCs w:val="32"/>
          <w:lang w:val="en-US" w:eastAsia="zh-CN"/>
        </w:rPr>
        <w:t>3</w:t>
      </w:r>
      <w:r>
        <w:rPr>
          <w:rFonts w:hint="eastAsia" w:ascii="仿宋" w:hAnsi="仿宋" w:eastAsia="仿宋" w:cs="仿宋"/>
          <w:b/>
          <w:bCs/>
          <w:color w:val="000000"/>
          <w:sz w:val="32"/>
          <w:szCs w:val="32"/>
        </w:rPr>
        <w:t>.公共安全支出（类）</w:t>
      </w:r>
      <w:r>
        <w:rPr>
          <w:rFonts w:hint="eastAsia" w:ascii="仿宋" w:hAnsi="仿宋" w:eastAsia="仿宋" w:cs="仿宋"/>
          <w:b/>
          <w:bCs/>
          <w:color w:val="000000"/>
          <w:sz w:val="32"/>
          <w:szCs w:val="32"/>
          <w:lang w:eastAsia="zh-CN"/>
        </w:rPr>
        <w:t>其他公共安全支出</w:t>
      </w:r>
      <w:r>
        <w:rPr>
          <w:rFonts w:hint="eastAsia" w:ascii="仿宋" w:hAnsi="仿宋" w:eastAsia="仿宋" w:cs="仿宋"/>
          <w:b/>
          <w:bCs/>
          <w:color w:val="000000"/>
          <w:sz w:val="32"/>
          <w:szCs w:val="32"/>
        </w:rPr>
        <w:t>（款）</w:t>
      </w:r>
      <w:r>
        <w:rPr>
          <w:rFonts w:hint="eastAsia" w:ascii="仿宋" w:hAnsi="仿宋" w:eastAsia="仿宋" w:cs="仿宋"/>
          <w:b/>
          <w:bCs/>
          <w:color w:val="000000"/>
          <w:sz w:val="32"/>
          <w:szCs w:val="32"/>
          <w:lang w:eastAsia="zh-CN"/>
        </w:rPr>
        <w:t>其他公共安全支出</w:t>
      </w:r>
      <w:r>
        <w:rPr>
          <w:rFonts w:hint="eastAsia" w:ascii="仿宋" w:hAnsi="仿宋" w:eastAsia="仿宋" w:cs="仿宋"/>
          <w:b/>
          <w:bCs/>
          <w:color w:val="000000"/>
          <w:sz w:val="32"/>
          <w:szCs w:val="32"/>
        </w:rPr>
        <w:t>（项）:</w:t>
      </w:r>
      <w:r>
        <w:rPr>
          <w:rFonts w:hint="default" w:ascii="Times New Roman" w:hAnsi="Times New Roman" w:cs="Times New Roman"/>
          <w:color w:val="000000"/>
          <w:sz w:val="32"/>
          <w:szCs w:val="32"/>
        </w:rPr>
        <w:t>支出决算为</w:t>
      </w:r>
      <w:r>
        <w:rPr>
          <w:rFonts w:hint="eastAsia" w:cs="Times New Roman"/>
          <w:color w:val="000000"/>
          <w:sz w:val="32"/>
          <w:szCs w:val="32"/>
          <w:lang w:val="en-US" w:eastAsia="zh-CN"/>
        </w:rPr>
        <w:t>10.64</w:t>
      </w:r>
      <w:r>
        <w:rPr>
          <w:rFonts w:hint="default" w:ascii="Times New Roman" w:hAnsi="Times New Roman" w:cs="Times New Roman"/>
          <w:color w:val="000000"/>
          <w:sz w:val="32"/>
          <w:szCs w:val="32"/>
        </w:rPr>
        <w:t>万元，完成预算100%。</w:t>
      </w:r>
    </w:p>
    <w:p w14:paraId="1F3FFA81">
      <w:pPr>
        <w:pStyle w:val="2"/>
        <w:rPr>
          <w:rFonts w:hint="default"/>
        </w:rPr>
      </w:pPr>
    </w:p>
    <w:p w14:paraId="7706257E">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jc w:val="both"/>
        <w:textAlignment w:val="auto"/>
      </w:pPr>
      <w:r>
        <w:rPr>
          <w:rFonts w:hint="eastAsia" w:ascii="仿宋" w:hAnsi="仿宋" w:eastAsia="仿宋" w:cs="仿宋"/>
          <w:b/>
          <w:bCs/>
          <w:color w:val="000000"/>
          <w:sz w:val="32"/>
          <w:szCs w:val="32"/>
          <w:lang w:val="en-US" w:eastAsia="zh-CN"/>
        </w:rPr>
        <w:t>4</w:t>
      </w:r>
      <w:r>
        <w:rPr>
          <w:rFonts w:hint="eastAsia" w:ascii="仿宋" w:hAnsi="仿宋" w:eastAsia="仿宋" w:cs="仿宋"/>
          <w:b/>
          <w:bCs/>
          <w:color w:val="000000"/>
          <w:sz w:val="32"/>
          <w:szCs w:val="32"/>
        </w:rPr>
        <w:t>.社会保障和就业支出（类）行政事业单位养老支出（款）机关事业单位基本养老保险缴费支出（项）:</w:t>
      </w:r>
      <w:r>
        <w:rPr>
          <w:rFonts w:hint="eastAsia" w:ascii="仿宋" w:hAnsi="仿宋" w:eastAsia="仿宋" w:cs="仿宋"/>
          <w:color w:val="000000"/>
          <w:sz w:val="32"/>
          <w:szCs w:val="32"/>
        </w:rPr>
        <w:t>支出决算</w:t>
      </w:r>
      <w:r>
        <w:rPr>
          <w:rFonts w:hint="default" w:ascii="Times New Roman" w:hAnsi="Times New Roman" w:cs="Times New Roman"/>
          <w:color w:val="000000"/>
          <w:sz w:val="32"/>
          <w:szCs w:val="32"/>
        </w:rPr>
        <w:t>为</w:t>
      </w:r>
      <w:r>
        <w:rPr>
          <w:rFonts w:hint="eastAsia" w:ascii="Times New Roman" w:hAnsi="Times New Roman" w:cs="Times New Roman"/>
          <w:color w:val="000000"/>
          <w:sz w:val="32"/>
          <w:szCs w:val="32"/>
          <w:lang w:val="en-US" w:eastAsia="zh-CN"/>
        </w:rPr>
        <w:t>95.8</w:t>
      </w:r>
      <w:r>
        <w:rPr>
          <w:rFonts w:hint="default" w:ascii="Times New Roman" w:hAnsi="Times New Roman" w:cs="Times New Roman"/>
          <w:color w:val="000000"/>
          <w:sz w:val="32"/>
          <w:szCs w:val="32"/>
        </w:rPr>
        <w:t>万元，完成预算100%。</w:t>
      </w:r>
    </w:p>
    <w:p w14:paraId="6EDB9FFE">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jc w:val="both"/>
        <w:textAlignment w:val="auto"/>
      </w:pPr>
      <w:r>
        <w:rPr>
          <w:rFonts w:hint="eastAsia" w:ascii="仿宋" w:hAnsi="仿宋" w:eastAsia="仿宋" w:cs="仿宋"/>
          <w:b/>
          <w:bCs/>
          <w:color w:val="000000"/>
          <w:sz w:val="32"/>
          <w:szCs w:val="32"/>
          <w:lang w:val="en-US" w:eastAsia="zh-CN"/>
        </w:rPr>
        <w:t>5</w:t>
      </w:r>
      <w:r>
        <w:rPr>
          <w:rFonts w:hint="eastAsia" w:ascii="仿宋" w:hAnsi="仿宋" w:eastAsia="仿宋" w:cs="仿宋"/>
          <w:b/>
          <w:bCs/>
          <w:color w:val="000000"/>
          <w:sz w:val="32"/>
          <w:szCs w:val="32"/>
        </w:rPr>
        <w:t>. 社会保障和就业支出（类）行政事业单位养老支出（款）机关事业单位职业年金缴费支出（项）:</w:t>
      </w:r>
      <w:r>
        <w:rPr>
          <w:rFonts w:hint="default" w:ascii="仿宋_GB2312" w:eastAsia="仿宋_GB2312" w:cs="仿宋_GB2312"/>
          <w:color w:val="000000"/>
          <w:sz w:val="32"/>
          <w:szCs w:val="32"/>
        </w:rPr>
        <w:t>支出决算为</w:t>
      </w:r>
      <w:r>
        <w:rPr>
          <w:rFonts w:hint="eastAsia" w:ascii="Times New Roman" w:hAnsi="Times New Roman" w:eastAsia="仿宋_GB2312" w:cs="Times New Roman"/>
          <w:color w:val="000000"/>
          <w:sz w:val="32"/>
          <w:szCs w:val="32"/>
          <w:lang w:val="en-US" w:eastAsia="zh-CN"/>
        </w:rPr>
        <w:t>42.53</w:t>
      </w:r>
      <w:r>
        <w:rPr>
          <w:rFonts w:hint="default" w:ascii="Times New Roman" w:hAnsi="Times New Roman" w:cs="Times New Roman"/>
          <w:color w:val="000000"/>
          <w:sz w:val="32"/>
          <w:szCs w:val="32"/>
        </w:rPr>
        <w:t>万元，完成预算100%。</w:t>
      </w:r>
    </w:p>
    <w:p w14:paraId="3550E9EA">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lang w:val="en-US" w:eastAsia="zh-CN"/>
        </w:rPr>
        <w:t>6</w:t>
      </w:r>
      <w:r>
        <w:rPr>
          <w:rFonts w:hint="eastAsia" w:ascii="仿宋" w:hAnsi="仿宋" w:eastAsia="仿宋" w:cs="仿宋"/>
          <w:b/>
          <w:bCs/>
          <w:color w:val="000000"/>
          <w:sz w:val="32"/>
          <w:szCs w:val="32"/>
        </w:rPr>
        <w:t>.卫生健康支出（类）行政事业单位医疗（款）行政单位医疗（项）:</w:t>
      </w:r>
      <w:r>
        <w:rPr>
          <w:rFonts w:hint="eastAsia" w:ascii="仿宋_GB2312" w:hAnsi="仿宋_GB2312" w:eastAsia="仿宋_GB2312" w:cs="仿宋_GB2312"/>
          <w:color w:val="000000"/>
          <w:sz w:val="32"/>
          <w:szCs w:val="32"/>
        </w:rPr>
        <w:t>支出决算为</w:t>
      </w:r>
      <w:r>
        <w:rPr>
          <w:rFonts w:hint="eastAsia" w:ascii="仿宋_GB2312" w:hAnsi="仿宋_GB2312" w:eastAsia="仿宋_GB2312" w:cs="仿宋_GB2312"/>
          <w:color w:val="000000"/>
          <w:sz w:val="32"/>
          <w:szCs w:val="32"/>
          <w:lang w:val="en-US" w:eastAsia="zh-CN"/>
        </w:rPr>
        <w:t>48.86</w:t>
      </w:r>
      <w:r>
        <w:rPr>
          <w:rFonts w:hint="eastAsia" w:ascii="仿宋_GB2312" w:hAnsi="仿宋_GB2312" w:eastAsia="仿宋_GB2312" w:cs="仿宋_GB2312"/>
          <w:color w:val="000000"/>
          <w:sz w:val="32"/>
          <w:szCs w:val="32"/>
        </w:rPr>
        <w:t>万元，完成预算100%。</w:t>
      </w:r>
    </w:p>
    <w:p w14:paraId="7BF1123C">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lang w:val="en-US" w:eastAsia="zh-CN"/>
        </w:rPr>
        <w:t>7</w:t>
      </w:r>
      <w:r>
        <w:rPr>
          <w:rFonts w:hint="eastAsia" w:ascii="仿宋" w:hAnsi="仿宋" w:eastAsia="仿宋" w:cs="仿宋"/>
          <w:b/>
          <w:bCs/>
          <w:color w:val="000000"/>
          <w:sz w:val="32"/>
          <w:szCs w:val="32"/>
        </w:rPr>
        <w:t>.卫生健康支出（类）行政事业单位医疗（款）公务员医疗补助（项）:</w:t>
      </w:r>
      <w:r>
        <w:rPr>
          <w:rFonts w:hint="default" w:ascii="仿宋_GB2312" w:eastAsia="仿宋_GB2312" w:cs="仿宋_GB2312"/>
          <w:color w:val="000000"/>
          <w:sz w:val="32"/>
          <w:szCs w:val="32"/>
        </w:rPr>
        <w:t>支出</w:t>
      </w:r>
      <w:r>
        <w:rPr>
          <w:rFonts w:hint="default" w:ascii="Times New Roman" w:hAnsi="Times New Roman" w:cs="Times New Roman"/>
          <w:color w:val="000000"/>
          <w:sz w:val="32"/>
          <w:szCs w:val="32"/>
        </w:rPr>
        <w:t>决算为</w:t>
      </w:r>
      <w:r>
        <w:rPr>
          <w:rFonts w:hint="eastAsia" w:ascii="Times New Roman" w:hAnsi="Times New Roman" w:cs="Times New Roman"/>
          <w:color w:val="000000"/>
          <w:sz w:val="32"/>
          <w:szCs w:val="32"/>
          <w:lang w:val="en-US" w:eastAsia="zh-CN"/>
        </w:rPr>
        <w:t>4.31</w:t>
      </w:r>
      <w:r>
        <w:rPr>
          <w:rFonts w:hint="default" w:ascii="Times New Roman" w:hAnsi="Times New Roman" w:cs="Times New Roman"/>
          <w:color w:val="000000"/>
          <w:sz w:val="32"/>
          <w:szCs w:val="32"/>
        </w:rPr>
        <w:t>万元，完成预算100%</w:t>
      </w:r>
      <w:r>
        <w:rPr>
          <w:rFonts w:hint="default" w:ascii="仿宋_GB2312" w:eastAsia="仿宋_GB2312" w:cs="仿宋_GB2312"/>
          <w:color w:val="000000"/>
          <w:sz w:val="32"/>
          <w:szCs w:val="32"/>
        </w:rPr>
        <w:t>。</w:t>
      </w:r>
    </w:p>
    <w:p w14:paraId="7FD1940C">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firstLine="643"/>
        <w:jc w:val="both"/>
      </w:pPr>
      <w:r>
        <w:rPr>
          <w:rFonts w:hint="eastAsia" w:ascii="仿宋" w:hAnsi="仿宋" w:eastAsia="仿宋" w:cs="仿宋"/>
          <w:b/>
          <w:bCs/>
          <w:color w:val="000000"/>
          <w:sz w:val="32"/>
          <w:szCs w:val="32"/>
          <w:lang w:val="en-US" w:eastAsia="zh-CN"/>
        </w:rPr>
        <w:t>8</w:t>
      </w:r>
      <w:r>
        <w:rPr>
          <w:rFonts w:hint="eastAsia" w:ascii="仿宋" w:hAnsi="仿宋" w:eastAsia="仿宋" w:cs="仿宋"/>
          <w:b/>
          <w:bCs/>
          <w:color w:val="000000"/>
          <w:sz w:val="32"/>
          <w:szCs w:val="32"/>
        </w:rPr>
        <w:t>. 住房保障支出（类）住房改革支出（款）住房公积金（项）:</w:t>
      </w:r>
      <w:r>
        <w:rPr>
          <w:rFonts w:hint="default" w:ascii="仿宋_GB2312" w:eastAsia="仿宋_GB2312" w:cs="仿宋_GB2312"/>
          <w:color w:val="000000"/>
          <w:sz w:val="32"/>
          <w:szCs w:val="32"/>
        </w:rPr>
        <w:t>支出决算</w:t>
      </w:r>
      <w:r>
        <w:rPr>
          <w:rFonts w:hint="default" w:ascii="Times New Roman" w:hAnsi="Times New Roman" w:cs="Times New Roman"/>
          <w:color w:val="000000"/>
          <w:sz w:val="32"/>
          <w:szCs w:val="32"/>
        </w:rPr>
        <w:t>为</w:t>
      </w:r>
      <w:r>
        <w:rPr>
          <w:rFonts w:hint="eastAsia" w:ascii="Times New Roman" w:hAnsi="Times New Roman" w:cs="Times New Roman"/>
          <w:color w:val="000000"/>
          <w:sz w:val="32"/>
          <w:szCs w:val="32"/>
          <w:lang w:val="en-US" w:eastAsia="zh-CN"/>
        </w:rPr>
        <w:t>85.09</w:t>
      </w:r>
      <w:r>
        <w:rPr>
          <w:rFonts w:hint="default" w:ascii="Times New Roman" w:hAnsi="Times New Roman" w:cs="Times New Roman"/>
          <w:color w:val="000000"/>
          <w:sz w:val="32"/>
          <w:szCs w:val="32"/>
        </w:rPr>
        <w:t>万元，完成预算100%。</w:t>
      </w:r>
    </w:p>
    <w:p w14:paraId="5973893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129130D6">
      <w:pPr>
        <w:tabs>
          <w:tab w:val="right" w:pos="8306"/>
        </w:tabs>
        <w:spacing w:line="600" w:lineRule="exact"/>
        <w:ind w:firstLine="640"/>
        <w:outlineLvl w:val="1"/>
        <w:rPr>
          <w:rStyle w:val="30"/>
          <w:rFonts w:ascii="Times New Roman" w:hAnsi="Times New Roman"/>
          <w:color w:val="auto"/>
          <w:highlight w:val="none"/>
        </w:rPr>
      </w:pPr>
      <w:bookmarkStart w:id="28" w:name="_Toc15377214"/>
      <w:bookmarkStart w:id="2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w:t>
      </w:r>
      <w:r>
        <w:rPr>
          <w:rStyle w:val="30"/>
          <w:rFonts w:hint="eastAsia" w:ascii="Times New Roman" w:hAnsi="Times New Roman" w:eastAsia="黑体"/>
          <w:b w:val="0"/>
          <w:color w:val="auto"/>
          <w:highlight w:val="none"/>
        </w:rPr>
        <w:t>一般公共预算财政拨款基本支出决算情况说明</w:t>
      </w:r>
      <w:bookmarkEnd w:id="28"/>
      <w:bookmarkEnd w:id="29"/>
      <w:r>
        <w:rPr>
          <w:rStyle w:val="30"/>
          <w:rFonts w:ascii="Times New Roman" w:hAnsi="Times New Roman" w:eastAsia="黑体"/>
          <w:b w:val="0"/>
          <w:color w:val="auto"/>
          <w:highlight w:val="none"/>
        </w:rPr>
        <w:tab/>
      </w:r>
    </w:p>
    <w:p w14:paraId="1E8AA4F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1058.4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A28FD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924.3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134.1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6C4D9F5">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0F4164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6C2210A">
      <w:pPr>
        <w:spacing w:line="600" w:lineRule="exact"/>
        <w:ind w:firstLine="640"/>
        <w:outlineLvl w:val="1"/>
        <w:rPr>
          <w:rStyle w:val="30"/>
          <w:rFonts w:hint="eastAsia"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、财政拨款“三公”经费支出决算情况说明</w:t>
      </w:r>
      <w:bookmarkEnd w:id="30"/>
      <w:bookmarkEnd w:id="31"/>
    </w:p>
    <w:p w14:paraId="6F8DD42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30F15F84">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109.42</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102.71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15.31倍</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2024年新购置3辆车。</w:t>
      </w:r>
    </w:p>
    <w:p w14:paraId="50E744B1">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6493C64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0AE82B5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107.73</w:t>
      </w:r>
      <w:r>
        <w:rPr>
          <w:rFonts w:hint="eastAsia" w:ascii="仿宋_GB2312" w:hAnsi="仿宋_GB2312" w:eastAsia="仿宋_GB2312" w:cs="仿宋_GB2312"/>
          <w:color w:val="auto"/>
          <w:kern w:val="2"/>
          <w:sz w:val="32"/>
          <w:szCs w:val="32"/>
          <w:highlight w:val="none"/>
          <w:lang w:val="en-US" w:eastAsia="zh-CN" w:bidi="ar-SA"/>
        </w:rPr>
        <w:t>万元，占98.46%；公务接待费支出决算</w:t>
      </w:r>
      <w:r>
        <w:rPr>
          <w:rFonts w:hint="eastAsia" w:ascii="仿宋_GB2312" w:hAnsi="仿宋_GB2312" w:eastAsia="仿宋_GB2312" w:cs="仿宋_GB2312"/>
          <w:sz w:val="32"/>
          <w:szCs w:val="32"/>
        </w:rPr>
        <w:t>1.69</w:t>
      </w:r>
      <w:r>
        <w:rPr>
          <w:rFonts w:hint="eastAsia" w:ascii="仿宋_GB2312" w:hAnsi="仿宋_GB2312" w:eastAsia="仿宋_GB2312" w:cs="仿宋_GB2312"/>
          <w:color w:val="auto"/>
          <w:kern w:val="2"/>
          <w:sz w:val="32"/>
          <w:szCs w:val="32"/>
          <w:highlight w:val="none"/>
          <w:lang w:val="en-US" w:eastAsia="zh-CN" w:bidi="ar-SA"/>
        </w:rPr>
        <w:t>万元，占1.54%。具体情况如下：</w:t>
      </w:r>
    </w:p>
    <w:p w14:paraId="766CA3DA">
      <w:pPr>
        <w:pStyle w:val="3"/>
        <w:rPr>
          <w:rFonts w:hint="eastAsia" w:ascii="仿宋_GB2312" w:hAnsi="仿宋_GB2312" w:eastAsia="仿宋_GB2312" w:cs="仿宋_GB2312"/>
          <w:color w:val="auto"/>
          <w:kern w:val="2"/>
          <w:sz w:val="32"/>
          <w:szCs w:val="32"/>
          <w:highlight w:val="none"/>
          <w:lang w:val="en-US" w:eastAsia="zh-CN" w:bidi="ar-SA"/>
        </w:rPr>
      </w:pPr>
      <w:r>
        <w:rPr>
          <w:rFonts w:hint="eastAsia" w:ascii="仿宋" w:hAnsi="仿宋" w:eastAsia="仿宋" w:cs="仿宋"/>
          <w:color w:val="000000"/>
          <w:sz w:val="32"/>
          <w:szCs w:val="32"/>
        </w:rPr>
        <w:drawing>
          <wp:inline distT="0" distB="0" distL="114300" distR="114300">
            <wp:extent cx="5256530" cy="2988310"/>
            <wp:effectExtent l="5080" t="4445" r="15240" b="1714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44A5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544A71CA">
      <w:pPr>
        <w:numPr>
          <w:ilvl w:val="0"/>
          <w:numId w:val="2"/>
        </w:num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57670E02">
      <w:pPr>
        <w:numPr>
          <w:ilvl w:val="0"/>
          <w:numId w:val="0"/>
        </w:numPr>
        <w:spacing w:line="600" w:lineRule="exact"/>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全年安排因公出国（境）团组</w:t>
      </w:r>
      <w:r>
        <w:rPr>
          <w:rFonts w:hint="eastAsia" w:ascii="仿宋" w:hAnsi="仿宋" w:eastAsia="仿宋" w:cs="仿宋"/>
          <w:sz w:val="32"/>
          <w:szCs w:val="32"/>
        </w:rPr>
        <w:t>0</w:t>
      </w:r>
      <w:r>
        <w:rPr>
          <w:rFonts w:hint="eastAsia" w:ascii="仿宋" w:hAnsi="仿宋" w:eastAsia="仿宋" w:cs="仿宋"/>
          <w:color w:val="auto"/>
          <w:kern w:val="2"/>
          <w:sz w:val="32"/>
          <w:szCs w:val="32"/>
          <w:highlight w:val="none"/>
          <w:lang w:val="en-US" w:eastAsia="zh-CN" w:bidi="ar-SA"/>
        </w:rPr>
        <w:t>次，出国（境）</w:t>
      </w:r>
      <w:r>
        <w:rPr>
          <w:rFonts w:hint="eastAsia" w:ascii="仿宋" w:hAnsi="仿宋" w:eastAsia="仿宋" w:cs="仿宋"/>
          <w:sz w:val="32"/>
          <w:szCs w:val="32"/>
        </w:rPr>
        <w:t>0</w:t>
      </w:r>
      <w:r>
        <w:rPr>
          <w:rFonts w:hint="eastAsia" w:ascii="仿宋" w:hAnsi="仿宋" w:eastAsia="仿宋" w:cs="仿宋"/>
          <w:color w:val="auto"/>
          <w:kern w:val="2"/>
          <w:sz w:val="32"/>
          <w:szCs w:val="32"/>
          <w:highlight w:val="none"/>
          <w:lang w:val="en-US" w:eastAsia="zh-CN" w:bidi="ar-SA"/>
        </w:rPr>
        <w:t>人。</w:t>
      </w:r>
    </w:p>
    <w:p w14:paraId="15A49157">
      <w:pPr>
        <w:numPr>
          <w:ilvl w:val="0"/>
          <w:numId w:val="2"/>
        </w:numPr>
        <w:spacing w:line="600" w:lineRule="exact"/>
        <w:ind w:left="0" w:leftChars="0" w:firstLine="640" w:firstLineChars="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107.73万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p>
    <w:p w14:paraId="717F2115">
      <w:pPr>
        <w:numPr>
          <w:ilvl w:val="0"/>
          <w:numId w:val="0"/>
        </w:numPr>
        <w:spacing w:line="600" w:lineRule="exact"/>
        <w:ind w:firstLine="640" w:firstLineChars="20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公务用车购置及运行维护费支出决算比2023年度增加102.94万元，增长21.49倍。主要原因是2024年 新购置3辆车。其中：公务用车购置支出106.8万元。全年按规定更新购置公务用车3辆，其中：混合动力多用途乘用车3辆、金额59.8万元、23.5万元、23.5万元，合计106.8万元。主要用于执法执勤。</w:t>
      </w:r>
    </w:p>
    <w:p w14:paraId="23869B52">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截至2024年12月31日，单位共有公务用车10辆，电瓶巡逻车1辆。其中：商务车2辆、越野车6辆、其他车辆2辆。</w:t>
      </w:r>
    </w:p>
    <w:p w14:paraId="79B90536">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公务用车运行维护费支出0.93万元。主要用于公务用车燃料费、维修费、过路过桥费、保险费等支出。</w:t>
      </w:r>
    </w:p>
    <w:p w14:paraId="1104D08F">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 w:hAnsi="仿宋" w:eastAsia="仿宋" w:cs="仿宋"/>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1.69万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仿宋" w:hAnsi="仿宋" w:eastAsia="仿宋" w:cs="仿宋"/>
          <w:color w:val="auto"/>
          <w:kern w:val="2"/>
          <w:sz w:val="32"/>
          <w:szCs w:val="32"/>
          <w:highlight w:val="none"/>
          <w:lang w:val="en-US" w:eastAsia="zh-CN" w:bidi="ar-SA"/>
        </w:rPr>
        <w:t>公务接待费支出决算比2023年度减少0.23万元，下降11.98%。主要原因是公务接待减少。其中：</w:t>
      </w:r>
    </w:p>
    <w:p w14:paraId="1F8002DE">
      <w:pPr>
        <w:pStyle w:val="15"/>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国内公务接待支出1.69万元，主要用于上级法院、绵阳对口援建单位，其他有法院执行公务用餐费。</w:t>
      </w:r>
      <w:bookmarkStart w:id="34" w:name="_Toc15377218"/>
      <w:bookmarkStart w:id="35" w:name="_Toc15396610"/>
    </w:p>
    <w:p w14:paraId="435D5E08">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34"/>
      <w:bookmarkEnd w:id="35"/>
    </w:p>
    <w:p w14:paraId="1667097A">
      <w:pPr>
        <w:numPr>
          <w:ilvl w:val="0"/>
          <w:numId w:val="0"/>
        </w:numPr>
        <w:spacing w:line="600" w:lineRule="exact"/>
        <w:ind w:left="630" w:leftChars="0"/>
        <w:outlineLvl w:val="1"/>
        <w:rPr>
          <w:rFonts w:hint="cs" w:ascii="仿宋" w:hAnsi="仿宋" w:eastAsia="仿宋" w:cs="仿宋"/>
          <w:color w:val="auto"/>
          <w:kern w:val="2"/>
          <w:sz w:val="32"/>
          <w:szCs w:val="32"/>
          <w:highlight w:val="none"/>
          <w:cs/>
          <w:lang w:val="en-US" w:eastAsia="zh-CN" w:bidi="ar-SA"/>
        </w:rPr>
      </w:pPr>
      <w:r>
        <w:rPr>
          <w:rFonts w:hint="eastAsia" w:ascii="仿宋" w:hAnsi="仿宋" w:eastAsia="仿宋" w:cs="仿宋"/>
          <w:color w:val="auto"/>
          <w:kern w:val="2"/>
          <w:sz w:val="32"/>
          <w:szCs w:val="32"/>
          <w:highlight w:val="none"/>
          <w:lang w:val="en-US" w:eastAsia="zh-CN" w:bidi="ar-SA"/>
        </w:rPr>
        <w:t>2024年度政府性基金预算财政拨款支出0万元</w:t>
      </w:r>
      <w:bookmarkStart w:id="36" w:name="_Toc15396611"/>
      <w:bookmarkStart w:id="37" w:name="_Toc15377219"/>
      <w:r>
        <w:rPr>
          <w:rFonts w:hint="eastAsia" w:ascii="仿宋" w:hAnsi="仿宋" w:eastAsia="仿宋" w:cs="仿宋"/>
          <w:color w:val="auto"/>
          <w:kern w:val="2"/>
          <w:sz w:val="32"/>
          <w:szCs w:val="32"/>
          <w:highlight w:val="none"/>
          <w:lang w:val="en-US" w:eastAsia="zh-CN" w:bidi="ar-SA"/>
        </w:rPr>
        <w:t>。</w:t>
      </w:r>
    </w:p>
    <w:p w14:paraId="7B096547">
      <w:pPr>
        <w:numPr>
          <w:ilvl w:val="0"/>
          <w:numId w:val="0"/>
        </w:numPr>
        <w:spacing w:line="600" w:lineRule="exact"/>
        <w:ind w:left="630" w:leftChars="0"/>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36"/>
      <w:bookmarkEnd w:id="37"/>
    </w:p>
    <w:p w14:paraId="5B4C4584">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2024年度国有资本经营预算财政拨款支出0万元。</w:t>
      </w:r>
    </w:p>
    <w:p w14:paraId="2F2AB5FB">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38" w:name="_Toc15396612"/>
      <w:bookmarkStart w:id="39" w:name="_Toc15377221"/>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38"/>
      <w:bookmarkEnd w:id="39"/>
    </w:p>
    <w:p w14:paraId="279379F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6AECD35B">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2024年度，壤塘县人民法院机关运行经费支出134.1万元，比2023年度增加36.68万元，增长37.65%。主要原因是人员经费增加，2024年新招录5名干警。</w:t>
      </w:r>
    </w:p>
    <w:p w14:paraId="6CA3DBE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14:paraId="65AFC374">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2024年度，壤塘县人民法院政府采购支出总额71.06万元，其中：政府采购货物支出71.06万元、政府采购工程支出0万元、政府采购服务支出0万元。主要用于保障法院履行审判执行职能所需的货物、工程和服务采购。授予中小企业合同金额0万元，占政府采购支出总额的0%，其中：授予小微企业合同金额0万元，占政府采购支出总额的0%。</w:t>
      </w:r>
    </w:p>
    <w:p w14:paraId="4E24C2D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2F15A24B">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截至2024年12月31日，壤塘县人民法院共有车辆10辆，其中：特种用车2辆、其他用车8辆，其他用车主要是用于执法执勤。</w:t>
      </w:r>
    </w:p>
    <w:p w14:paraId="705AD9E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F61DDCB">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根据预算绩效管理要求，本单位在2024年度预算编制阶段，组织对2024年度一般公共预算、政府性基金预算、社会保险基金预算以及资本资产等全面开展绩效自评，形成壤塘县人民法院2024年部门整体绩效自评报告，其中，壤塘县人民法院部门整体绩效自评得分为94分。绩效自评报告详见附件。</w:t>
      </w:r>
    </w:p>
    <w:p w14:paraId="3626876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0"/>
        <w:jc w:val="both"/>
        <w:textAlignment w:val="auto"/>
        <w:rPr>
          <w:rStyle w:val="30"/>
          <w:rFonts w:hint="eastAsia" w:ascii="Times New Roman" w:hAnsi="Times New Roman" w:eastAsia="黑体"/>
          <w:b w:val="0"/>
          <w:color w:val="auto"/>
          <w:highlight w:val="none"/>
          <w:lang w:val="en-US" w:eastAsia="zh-CN" w:bidi="ar-SA"/>
        </w:rPr>
      </w:pPr>
      <w:r>
        <w:rPr>
          <w:rStyle w:val="30"/>
          <w:rFonts w:hint="eastAsia" w:ascii="Times New Roman" w:hAnsi="Times New Roman" w:eastAsia="黑体"/>
          <w:b w:val="0"/>
          <w:color w:val="auto"/>
          <w:highlight w:val="none"/>
          <w:lang w:val="en-US" w:eastAsia="zh-CN" w:bidi="ar-SA"/>
        </w:rPr>
        <w:t>十一、空表说明</w:t>
      </w:r>
    </w:p>
    <w:p w14:paraId="2C96843C">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3"/>
        <w:jc w:val="both"/>
        <w:textAlignment w:val="auto"/>
        <w:rPr>
          <w:rFonts w:hint="default" w:ascii="仿宋_GB2312" w:eastAsia="仿宋_GB2312" w:cs="仿宋_GB2312"/>
          <w:b/>
          <w:bCs/>
          <w:color w:val="000000"/>
          <w:sz w:val="32"/>
          <w:szCs w:val="32"/>
        </w:rPr>
      </w:pPr>
      <w:r>
        <w:rPr>
          <w:rFonts w:hint="eastAsia" w:ascii="仿宋_GB2312" w:eastAsia="仿宋_GB2312" w:cs="仿宋_GB2312"/>
          <w:b/>
          <w:bCs/>
          <w:color w:val="000000"/>
          <w:sz w:val="32"/>
          <w:szCs w:val="32"/>
          <w:lang w:eastAsia="zh-CN"/>
        </w:rPr>
        <w:t>（一）</w:t>
      </w:r>
      <w:r>
        <w:rPr>
          <w:rFonts w:hint="default" w:ascii="仿宋_GB2312" w:eastAsia="仿宋_GB2312" w:cs="仿宋_GB2312"/>
          <w:b/>
          <w:bCs/>
          <w:color w:val="000000"/>
          <w:sz w:val="32"/>
          <w:szCs w:val="32"/>
        </w:rPr>
        <w:t>政府性基金预算财政拨款收入支出决算表</w:t>
      </w:r>
    </w:p>
    <w:p w14:paraId="0CA74793">
      <w:pPr>
        <w:numPr>
          <w:ilvl w:val="0"/>
          <w:numId w:val="0"/>
        </w:numPr>
        <w:spacing w:line="600" w:lineRule="exact"/>
        <w:ind w:firstLine="640" w:firstLineChars="200"/>
        <w:outlineLvl w:val="1"/>
        <w:rPr>
          <w:rFonts w:hint="eastAsia" w:ascii="仿宋" w:hAnsi="仿宋" w:eastAsia="仿宋" w:cs="仿宋"/>
          <w:color w:val="auto"/>
          <w:kern w:val="2"/>
          <w:sz w:val="32"/>
          <w:szCs w:val="32"/>
          <w:highlight w:val="none"/>
          <w:lang w:val="en-US" w:eastAsia="zh-CN" w:bidi="ar-SA"/>
        </w:rPr>
      </w:pPr>
      <w:r>
        <w:rPr>
          <w:rFonts w:hint="default" w:ascii="仿宋" w:hAnsi="仿宋" w:eastAsia="仿宋" w:cs="仿宋"/>
          <w:color w:val="auto"/>
          <w:kern w:val="2"/>
          <w:sz w:val="32"/>
          <w:szCs w:val="32"/>
          <w:highlight w:val="none"/>
          <w:lang w:val="en-US" w:eastAsia="zh-CN" w:bidi="ar-SA"/>
        </w:rPr>
        <w:t>我院无相关资金收入支出，该表为空表。</w:t>
      </w:r>
    </w:p>
    <w:p w14:paraId="4EE5DF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5247F55">
      <w:pPr>
        <w:pStyle w:val="2"/>
        <w:rPr>
          <w:rFonts w:hint="eastAsia" w:ascii="Times New Roman" w:hAnsi="Times New Roman" w:eastAsia="仿宋_GB2312" w:cs="仿宋_GB2312"/>
          <w:color w:val="auto"/>
          <w:kern w:val="2"/>
          <w:sz w:val="32"/>
          <w:szCs w:val="32"/>
          <w:highlight w:val="none"/>
          <w:lang w:val="en-US" w:eastAsia="zh-CN" w:bidi="ar-SA"/>
        </w:rPr>
      </w:pPr>
    </w:p>
    <w:p w14:paraId="74B304E9">
      <w:pPr>
        <w:pStyle w:val="3"/>
        <w:rPr>
          <w:rFonts w:hint="eastAsia" w:ascii="Times New Roman" w:hAnsi="Times New Roman" w:eastAsia="仿宋_GB2312" w:cs="仿宋_GB2312"/>
          <w:color w:val="auto"/>
          <w:kern w:val="2"/>
          <w:sz w:val="32"/>
          <w:szCs w:val="32"/>
          <w:highlight w:val="none"/>
          <w:lang w:val="en-US" w:eastAsia="zh-CN" w:bidi="ar-SA"/>
        </w:rPr>
      </w:pPr>
    </w:p>
    <w:p w14:paraId="7629A738">
      <w:pPr>
        <w:pStyle w:val="3"/>
        <w:rPr>
          <w:rFonts w:hint="eastAsia" w:ascii="Times New Roman" w:hAnsi="Times New Roman" w:eastAsia="仿宋_GB2312" w:cs="仿宋_GB2312"/>
          <w:color w:val="auto"/>
          <w:kern w:val="2"/>
          <w:sz w:val="32"/>
          <w:szCs w:val="32"/>
          <w:highlight w:val="none"/>
          <w:lang w:val="en-US" w:eastAsia="zh-CN" w:bidi="ar-SA"/>
        </w:rPr>
      </w:pPr>
    </w:p>
    <w:p w14:paraId="35D27D48">
      <w:pPr>
        <w:pStyle w:val="3"/>
        <w:rPr>
          <w:rFonts w:hint="eastAsia" w:ascii="Times New Roman" w:hAnsi="Times New Roman" w:eastAsia="仿宋_GB2312" w:cs="仿宋_GB2312"/>
          <w:color w:val="auto"/>
          <w:kern w:val="2"/>
          <w:sz w:val="32"/>
          <w:szCs w:val="32"/>
          <w:highlight w:val="none"/>
          <w:lang w:val="en-US" w:eastAsia="zh-CN" w:bidi="ar-SA"/>
        </w:rPr>
      </w:pPr>
    </w:p>
    <w:p w14:paraId="3C2F626A">
      <w:pPr>
        <w:pStyle w:val="3"/>
        <w:rPr>
          <w:rFonts w:hint="eastAsia" w:ascii="Times New Roman" w:hAnsi="Times New Roman" w:eastAsia="仿宋_GB2312" w:cs="仿宋_GB2312"/>
          <w:color w:val="auto"/>
          <w:kern w:val="2"/>
          <w:sz w:val="32"/>
          <w:szCs w:val="32"/>
          <w:highlight w:val="none"/>
          <w:lang w:val="en-US" w:eastAsia="zh-CN" w:bidi="ar-SA"/>
        </w:rPr>
      </w:pPr>
    </w:p>
    <w:p w14:paraId="62353CE8">
      <w:pPr>
        <w:numPr>
          <w:ilvl w:val="0"/>
          <w:numId w:val="0"/>
        </w:numPr>
        <w:spacing w:line="600" w:lineRule="exact"/>
        <w:jc w:val="both"/>
        <w:outlineLvl w:val="0"/>
        <w:rPr>
          <w:rFonts w:hint="eastAsia" w:ascii="Times New Roman" w:hAnsi="Times New Roman" w:eastAsia="黑体"/>
          <w:color w:val="auto"/>
          <w:sz w:val="44"/>
          <w:szCs w:val="44"/>
          <w:highlight w:val="none"/>
        </w:rPr>
      </w:pPr>
      <w:bookmarkStart w:id="43" w:name="_Toc15396613"/>
      <w:bookmarkStart w:id="44" w:name="_Toc15377225"/>
    </w:p>
    <w:p w14:paraId="25A3E120">
      <w:pPr>
        <w:pStyle w:val="2"/>
        <w:rPr>
          <w:rFonts w:hint="eastAsia" w:ascii="Times New Roman" w:hAnsi="Times New Roman" w:eastAsia="黑体"/>
          <w:color w:val="auto"/>
          <w:sz w:val="44"/>
          <w:szCs w:val="44"/>
          <w:highlight w:val="none"/>
        </w:rPr>
      </w:pPr>
    </w:p>
    <w:p w14:paraId="72D7E7A1">
      <w:pPr>
        <w:pStyle w:val="3"/>
        <w:rPr>
          <w:rFonts w:hint="eastAsia" w:ascii="Times New Roman" w:hAnsi="Times New Roman" w:eastAsia="黑体"/>
          <w:color w:val="auto"/>
          <w:sz w:val="44"/>
          <w:szCs w:val="44"/>
          <w:highlight w:val="none"/>
        </w:rPr>
      </w:pPr>
    </w:p>
    <w:p w14:paraId="6B03E76E">
      <w:pPr>
        <w:pStyle w:val="3"/>
        <w:rPr>
          <w:rFonts w:hint="eastAsia" w:ascii="Times New Roman" w:hAnsi="Times New Roman" w:eastAsia="黑体"/>
          <w:color w:val="auto"/>
          <w:sz w:val="44"/>
          <w:szCs w:val="44"/>
          <w:highlight w:val="none"/>
        </w:rPr>
      </w:pPr>
    </w:p>
    <w:p w14:paraId="585811BE">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14:paraId="2DDCC52A">
      <w:pPr>
        <w:spacing w:line="600" w:lineRule="exact"/>
        <w:jc w:val="left"/>
        <w:rPr>
          <w:rFonts w:hint="eastAsia" w:ascii="仿宋" w:hAnsi="仿宋" w:eastAsia="仿宋" w:cs="仿宋"/>
          <w:b/>
          <w:color w:val="auto"/>
          <w:sz w:val="32"/>
          <w:szCs w:val="32"/>
          <w:highlight w:val="none"/>
        </w:rPr>
      </w:pPr>
    </w:p>
    <w:p w14:paraId="00509C7E">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1.财政拨款收入：指单位从同级财政部门取得的财政预算资金。</w:t>
      </w:r>
    </w:p>
    <w:p w14:paraId="1D7A9D4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2.事业收入：指事业单位开展专业业务活动及辅助活动取得的收入。如…（二级预算单位事业收入情况）等。</w:t>
      </w:r>
    </w:p>
    <w:p w14:paraId="07A1A6D4">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3.经营收入：指事业单位在专业业务活动及其辅助活动之外开展非独立核算经营活动取得的收入。如…（二级预算单位经营收入情况）等。</w:t>
      </w:r>
    </w:p>
    <w:p w14:paraId="7311E66C">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4.其他收入：指单位取得的除上述收入以外的各项收入。主要是…（收入类型）等。 </w:t>
      </w:r>
    </w:p>
    <w:p w14:paraId="0BCDE8F5">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5.使用非财政拨款结余（含专用结余）：指事业单位使用以前年度积累的非财政拨款结余弥补当年收支差额的金额。 </w:t>
      </w:r>
    </w:p>
    <w:p w14:paraId="3C1BB9D8">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6.年初结转和结余：指以前年度尚未完成、结转到本年按有关规定继续使用的资金。 </w:t>
      </w:r>
    </w:p>
    <w:p w14:paraId="00310BE7">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655132CD">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B48F51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9、公共安全（类）法院（款）行政运行（项）: 指法院（包括实行公务员管理的事业单位）的基本支出。</w:t>
      </w:r>
    </w:p>
    <w:p w14:paraId="7E7BA86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10、公共安全（类）法院（款）一般行政管理事务（项）: 指行政单位（包括实行公务员管理的事业单位）未单独设置项级科目的其他项目支出。本单位列支的是中央政法转移支付的经费。</w:t>
      </w:r>
    </w:p>
    <w:p w14:paraId="13C791D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11、公共安全（类）法院（款）案件执行（项）: 指指反应人民法院对刑事、民事、行政、涉外等案件执行活动和对  各种非诉执行活动的支出。</w:t>
      </w:r>
    </w:p>
    <w:p w14:paraId="49DB926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12、公共安全支出（类）法院（款）其他法院支出（项）：指反应除上述项目外其他用于法院方面的支出。</w:t>
      </w:r>
    </w:p>
    <w:p w14:paraId="4F0CC71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13.社会保障和就业（类）行政事业单位离退休（款）机关事业单位基本养老保险缴费（项）: 指机关事业单位实施养老保险制度由单位缴纳的基本养老保险费支出。</w:t>
      </w:r>
    </w:p>
    <w:p w14:paraId="1BE2270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14、社会保障和就业（类）行政事业单位离退休（款）机关事业单位职业年金缴费（项）: 指机关事业单位实施养老保险制度由单位实际缴纳的职业年金支出。</w:t>
      </w:r>
    </w:p>
    <w:p w14:paraId="0E91CEF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15、医疗卫生与计划生育（类）行政事业单位医疗（款）行政单位医疗（项）:指财政部门集中安排的行政单位基本医疗保险缴费经费，未参加医疗保险的行政单位的公费医疗经费，按国家规定享受离休人员、红军老战士待遇人员的医疗经费。</w:t>
      </w:r>
    </w:p>
    <w:p w14:paraId="7E67CEF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16、医疗卫生与计划生育（类）行政事业单位医疗（款）事业单位医疗（项）:指财政部门集中安排的事业单位基本医疗保险缴费经费，未参加医疗保险的事业单位的公费医疗经费，按国家规定享受离休人员待遇的医疗经费。</w:t>
      </w:r>
    </w:p>
    <w:p w14:paraId="5272549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17、医疗卫生与计划生育（类）行政事业单位医疗（款）公务员医疗补助（项）:指财政部门集中安排的公务员医疗补助经费。</w:t>
      </w:r>
    </w:p>
    <w:p w14:paraId="0EDFDD5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18、医疗卫生与计划生育（类）行政事业单位医疗（款）其他行政事业单位医疗（项）:指除上述项目以外的其他用于行政事业单位医疗方面的支出。</w:t>
      </w:r>
    </w:p>
    <w:p w14:paraId="009B0E8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19、住房保障（类）住房改革（款）住房公积金（项）:指行政事业单位按人力资源和社会保障部、财政部规定的基本工资和津贴补贴以及规定比例为职工缴纳的住房公积金。</w:t>
      </w:r>
    </w:p>
    <w:p w14:paraId="1816767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firstLine="641"/>
        <w:textAlignment w:val="auto"/>
        <w:rPr>
          <w:rFonts w:hint="eastAsia" w:ascii="仿宋" w:hAnsi="仿宋" w:eastAsia="仿宋" w:cs="仿宋"/>
          <w:sz w:val="32"/>
          <w:szCs w:val="32"/>
        </w:rPr>
      </w:pPr>
      <w:r>
        <w:rPr>
          <w:rFonts w:hint="eastAsia" w:ascii="仿宋" w:hAnsi="仿宋" w:eastAsia="仿宋" w:cs="仿宋"/>
          <w:color w:val="000000"/>
          <w:sz w:val="32"/>
          <w:szCs w:val="32"/>
          <w:shd w:val="clear" w:fill="FFFFFF"/>
        </w:rPr>
        <w:t>20、住房保障（类）住房改革（款）购房补贴（项）:指铵房改政策规定，行政事业单位向符合条件职工（含离退休人员）、军队（含武警）向转役复原离退休人员发放的用于购买住房的补贴。</w:t>
      </w:r>
    </w:p>
    <w:p w14:paraId="6892A3D8">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21.基本支出：指为保障机构正常运转、完成日常工作任务而发生的人员支出和公用支出。</w:t>
      </w:r>
    </w:p>
    <w:p w14:paraId="53136E60">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 xml:space="preserve">22.项目支出：指在基本支出之外为完成特定行政任务和事业发展目标所发生的支出。 </w:t>
      </w:r>
    </w:p>
    <w:p w14:paraId="093304E5">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23.经营支出：指事业单位在专业业务活动及其辅助活动之外开展非独立核算经营活动发生的支出。</w:t>
      </w:r>
    </w:p>
    <w:p w14:paraId="4DEC0969">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D8C0EA">
      <w:pPr>
        <w:spacing w:line="600" w:lineRule="exact"/>
        <w:ind w:firstLine="640"/>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C9D047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1A9A0E1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22ACE415">
      <w:pPr>
        <w:spacing w:line="600" w:lineRule="exact"/>
        <w:jc w:val="center"/>
        <w:rPr>
          <w:rStyle w:val="29"/>
          <w:rFonts w:hint="eastAsia" w:ascii="Times New Roman" w:hAnsi="Times New Roman" w:eastAsia="黑体"/>
          <w:b w:val="0"/>
          <w:color w:val="auto"/>
          <w:highlight w:val="none"/>
          <w:lang w:eastAsia="zh-CN"/>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6"/>
    </w:p>
    <w:p w14:paraId="768E14B1">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7128933E">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7C78E833">
      <w:pPr>
        <w:widowControl/>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eastAsia="zh-CN"/>
        </w:rPr>
        <w:t>壤塘</w:t>
      </w:r>
      <w:r>
        <w:rPr>
          <w:rFonts w:hint="eastAsia" w:eastAsia="方正小标宋简体"/>
          <w:bCs/>
          <w:sz w:val="44"/>
          <w:szCs w:val="44"/>
          <w:shd w:val="clear" w:color="auto" w:fill="FFFFFF"/>
        </w:rPr>
        <w:t>县人民法院</w:t>
      </w:r>
    </w:p>
    <w:p w14:paraId="45CD11A1">
      <w:pPr>
        <w:widowControl/>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rPr>
        <w:t>202</w:t>
      </w:r>
      <w:r>
        <w:rPr>
          <w:rFonts w:hint="eastAsia" w:eastAsia="方正小标宋简体"/>
          <w:bCs/>
          <w:sz w:val="44"/>
          <w:szCs w:val="44"/>
          <w:shd w:val="clear" w:color="auto" w:fill="FFFFFF"/>
          <w:lang w:val="en-US" w:eastAsia="zh-CN"/>
        </w:rPr>
        <w:t>4</w:t>
      </w:r>
      <w:r>
        <w:rPr>
          <w:rFonts w:hint="eastAsia" w:eastAsia="方正小标宋简体"/>
          <w:bCs/>
          <w:sz w:val="44"/>
          <w:szCs w:val="44"/>
          <w:shd w:val="clear" w:color="auto" w:fill="FFFFFF"/>
        </w:rPr>
        <w:t>年度</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4511D213">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14C3796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135AC4EB">
      <w:pPr>
        <w:ind w:firstLine="643" w:firstLineChars="200"/>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274282D4">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壤塘</w:t>
      </w:r>
      <w:r>
        <w:rPr>
          <w:rFonts w:hint="eastAsia" w:ascii="仿宋" w:hAnsi="仿宋" w:eastAsia="仿宋" w:cs="仿宋"/>
          <w:sz w:val="32"/>
          <w:szCs w:val="32"/>
        </w:rPr>
        <w:t>县人民法院设6个内设部门：综合办公室、政治部（</w:t>
      </w:r>
      <w:r>
        <w:rPr>
          <w:rFonts w:hint="eastAsia" w:ascii="仿宋" w:hAnsi="仿宋" w:eastAsia="仿宋" w:cs="仿宋"/>
          <w:sz w:val="32"/>
          <w:szCs w:val="32"/>
          <w:lang w:val="en-US" w:eastAsia="zh-CN"/>
        </w:rPr>
        <w:t>督</w:t>
      </w:r>
      <w:bookmarkStart w:id="61" w:name="_GoBack"/>
      <w:bookmarkEnd w:id="61"/>
      <w:r>
        <w:rPr>
          <w:rFonts w:hint="eastAsia" w:ascii="仿宋" w:hAnsi="仿宋" w:eastAsia="仿宋" w:cs="仿宋"/>
          <w:sz w:val="32"/>
          <w:szCs w:val="32"/>
        </w:rPr>
        <w:t>察室）、立案庭（诉讼服务中心）、综合审判庭（环境资源审判庭）、执行局、司法法警大队。</w:t>
      </w:r>
    </w:p>
    <w:p w14:paraId="72F831A6">
      <w:pPr>
        <w:widowControl/>
        <w:adjustRightInd w:val="0"/>
        <w:snapToGrid w:val="0"/>
        <w:ind w:firstLine="640" w:firstLineChars="200"/>
        <w:contextualSpacing/>
        <w:jc w:val="left"/>
        <w:rPr>
          <w:rFonts w:hint="eastAsia" w:ascii="仿宋" w:hAnsi="仿宋" w:eastAsia="仿宋" w:cs="仿宋"/>
          <w:sz w:val="32"/>
          <w:szCs w:val="32"/>
        </w:rPr>
      </w:pPr>
      <w:r>
        <w:rPr>
          <w:rFonts w:hint="eastAsia" w:ascii="仿宋" w:hAnsi="仿宋" w:eastAsia="仿宋" w:cs="仿宋"/>
          <w:sz w:val="32"/>
          <w:szCs w:val="32"/>
        </w:rPr>
        <w:t>派出机构</w:t>
      </w:r>
      <w:r>
        <w:rPr>
          <w:rFonts w:hint="eastAsia" w:ascii="仿宋" w:hAnsi="仿宋" w:eastAsia="仿宋" w:cs="仿宋"/>
          <w:sz w:val="32"/>
          <w:szCs w:val="32"/>
          <w:lang w:val="en-US" w:eastAsia="zh-CN"/>
        </w:rPr>
        <w:t>2</w:t>
      </w:r>
      <w:r>
        <w:rPr>
          <w:rFonts w:hint="eastAsia" w:ascii="仿宋" w:hAnsi="仿宋" w:eastAsia="仿宋" w:cs="仿宋"/>
          <w:sz w:val="32"/>
          <w:szCs w:val="32"/>
        </w:rPr>
        <w:t>个：</w:t>
      </w:r>
      <w:r>
        <w:rPr>
          <w:rFonts w:hint="eastAsia" w:ascii="仿宋" w:hAnsi="仿宋" w:eastAsia="仿宋" w:cs="仿宋"/>
          <w:sz w:val="32"/>
          <w:szCs w:val="32"/>
          <w:lang w:eastAsia="zh-CN"/>
        </w:rPr>
        <w:t>蒲西</w:t>
      </w:r>
      <w:r>
        <w:rPr>
          <w:rFonts w:hint="eastAsia" w:ascii="仿宋" w:hAnsi="仿宋" w:eastAsia="仿宋" w:cs="仿宋"/>
          <w:sz w:val="32"/>
          <w:szCs w:val="32"/>
        </w:rPr>
        <w:t>人民法庭、</w:t>
      </w:r>
      <w:r>
        <w:rPr>
          <w:rFonts w:hint="eastAsia" w:ascii="仿宋" w:hAnsi="仿宋" w:eastAsia="仿宋" w:cs="仿宋"/>
          <w:sz w:val="32"/>
          <w:szCs w:val="32"/>
          <w:lang w:eastAsia="zh-CN"/>
        </w:rPr>
        <w:t>南木达</w:t>
      </w:r>
      <w:r>
        <w:rPr>
          <w:rFonts w:hint="eastAsia" w:ascii="仿宋" w:hAnsi="仿宋" w:eastAsia="仿宋" w:cs="仿宋"/>
          <w:sz w:val="32"/>
          <w:szCs w:val="32"/>
        </w:rPr>
        <w:t>人民法庭。</w:t>
      </w:r>
    </w:p>
    <w:p w14:paraId="6CF4F488">
      <w:pPr>
        <w:numPr>
          <w:ilvl w:val="0"/>
          <w:numId w:val="3"/>
        </w:numPr>
        <w:ind w:firstLine="643" w:firstLineChars="200"/>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机构职能</w:t>
      </w:r>
      <w:r>
        <w:rPr>
          <w:rFonts w:hint="eastAsia" w:ascii="Times New Roman" w:hAnsi="Times New Roman" w:eastAsia="楷体_GB2312" w:cs="楷体_GB2312"/>
          <w:b/>
          <w:color w:val="auto"/>
          <w:sz w:val="32"/>
          <w:szCs w:val="32"/>
          <w:highlight w:val="none"/>
          <w:lang w:val="zh-CN"/>
        </w:rPr>
        <w:t>。</w:t>
      </w:r>
    </w:p>
    <w:p w14:paraId="3E8C614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壤塘县人民法院是国家的审判机关，在县委的领导和州中级人民法院的指导下依法独立行使审判权，对县人民代表大会及其常务委员会负责并报告工作。其主要职责是：</w:t>
      </w:r>
    </w:p>
    <w:p w14:paraId="65D677CA">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1、审理法律、法规规定由县人民法院管辖的第一审刑事、民事、行政案件。</w:t>
      </w:r>
    </w:p>
    <w:p w14:paraId="7CB5161C">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2、依照审判监督程序，审理告诉、申诉的刑事、民事、行政案件。</w:t>
      </w:r>
    </w:p>
    <w:p w14:paraId="6EC01D4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3、审理由县人民检察院按照审判监督程序提出的抗诉案件。</w:t>
      </w:r>
    </w:p>
    <w:p w14:paraId="49ED73E6">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4、依法决定国家赔偿。</w:t>
      </w:r>
    </w:p>
    <w:p w14:paraId="38A1EAA7">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5、依法行使司法执行权和司法决定权，执行本院已经发生法律效力的判决、裁决以及国家行政机关申请执行的案件和外地法院委托执行的案件。</w:t>
      </w:r>
    </w:p>
    <w:p w14:paraId="0B0E0D95">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6、调查研究审判工作中的法律、法规、规章、政策及疑难问题，针对案件审理中发现的问题提出司法建议。</w:t>
      </w:r>
    </w:p>
    <w:p w14:paraId="49AC326C">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7、对县人民法院的法官和其他工作人员进行思想政治教育，组织专业培训；协助县机构编制主管部门管理人民法院的机构编制工作。</w:t>
      </w:r>
    </w:p>
    <w:p w14:paraId="2664DAA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8、负责县人民法院的党风廉政建设和纪检、监察工作。</w:t>
      </w:r>
    </w:p>
    <w:p w14:paraId="5C6B596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9、管理县人民法院的有关经费和物资装备。</w:t>
      </w:r>
    </w:p>
    <w:p w14:paraId="66BDA91E">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10、参与社会治安综合治理工作，在审判工作中宣传法制、教育公民自觉遵守宪法、法律、法规和社会公德。</w:t>
      </w:r>
    </w:p>
    <w:p w14:paraId="0BB7206A">
      <w:pPr>
        <w:ind w:firstLine="640" w:firstLineChars="200"/>
        <w:rPr>
          <w:rFonts w:hint="default" w:ascii="仿宋" w:hAnsi="仿宋" w:eastAsia="仿宋" w:cs="仿宋"/>
          <w:sz w:val="32"/>
          <w:szCs w:val="32"/>
          <w:lang w:val="zh-CN" w:eastAsia="zh-CN"/>
        </w:rPr>
      </w:pPr>
      <w:r>
        <w:rPr>
          <w:rFonts w:hint="eastAsia" w:ascii="仿宋" w:hAnsi="仿宋" w:eastAsia="仿宋" w:cs="仿宋"/>
          <w:sz w:val="32"/>
          <w:szCs w:val="32"/>
          <w:lang w:eastAsia="zh-CN"/>
        </w:rPr>
        <w:t>11、承办县委、县人大交办的事项和其他应由基层人民法院负责的工作。</w:t>
      </w:r>
    </w:p>
    <w:p w14:paraId="2EB1E128">
      <w:pPr>
        <w:numPr>
          <w:ilvl w:val="0"/>
          <w:numId w:val="3"/>
        </w:numPr>
        <w:ind w:left="0" w:leftChars="0" w:firstLine="643" w:firstLineChars="200"/>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558E8A12">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截至2024年末，我院人员编制总计</w:t>
      </w:r>
      <w:r>
        <w:rPr>
          <w:rFonts w:hint="eastAsia" w:ascii="仿宋" w:hAnsi="仿宋" w:eastAsia="仿宋" w:cs="仿宋"/>
          <w:sz w:val="32"/>
          <w:szCs w:val="32"/>
          <w:lang w:val="en-US" w:eastAsia="zh-CN"/>
        </w:rPr>
        <w:t>47</w:t>
      </w:r>
      <w:r>
        <w:rPr>
          <w:rFonts w:hint="eastAsia" w:ascii="仿宋" w:hAnsi="仿宋" w:eastAsia="仿宋" w:cs="仿宋"/>
          <w:sz w:val="32"/>
          <w:szCs w:val="32"/>
          <w:lang w:eastAsia="zh-CN"/>
        </w:rPr>
        <w:t>人，其中政法专项编制</w:t>
      </w:r>
      <w:r>
        <w:rPr>
          <w:rFonts w:hint="eastAsia" w:ascii="仿宋" w:hAnsi="仿宋" w:eastAsia="仿宋" w:cs="仿宋"/>
          <w:sz w:val="32"/>
          <w:szCs w:val="32"/>
          <w:lang w:val="en-US" w:eastAsia="zh-CN"/>
        </w:rPr>
        <w:t>43</w:t>
      </w:r>
      <w:r>
        <w:rPr>
          <w:rFonts w:hint="eastAsia" w:ascii="仿宋" w:hAnsi="仿宋" w:eastAsia="仿宋" w:cs="仿宋"/>
          <w:sz w:val="32"/>
          <w:szCs w:val="32"/>
          <w:lang w:eastAsia="zh-CN"/>
        </w:rPr>
        <w:t>人，工勤编制</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人。本单位本年度年末实有人数为</w:t>
      </w:r>
      <w:r>
        <w:rPr>
          <w:rFonts w:hint="eastAsia" w:ascii="仿宋" w:hAnsi="仿宋" w:eastAsia="仿宋" w:cs="仿宋"/>
          <w:sz w:val="32"/>
          <w:szCs w:val="32"/>
          <w:lang w:val="en-US" w:eastAsia="zh-CN"/>
        </w:rPr>
        <w:t>41</w:t>
      </w:r>
      <w:r>
        <w:rPr>
          <w:rFonts w:hint="eastAsia" w:ascii="仿宋" w:hAnsi="仿宋" w:eastAsia="仿宋" w:cs="仿宋"/>
          <w:sz w:val="32"/>
          <w:szCs w:val="32"/>
          <w:lang w:eastAsia="zh-CN"/>
        </w:rPr>
        <w:t>人（中央政法专项编制</w:t>
      </w:r>
      <w:r>
        <w:rPr>
          <w:rFonts w:hint="eastAsia" w:ascii="仿宋" w:hAnsi="仿宋" w:eastAsia="仿宋" w:cs="仿宋"/>
          <w:sz w:val="32"/>
          <w:szCs w:val="32"/>
          <w:lang w:val="en-US" w:eastAsia="zh-CN"/>
        </w:rPr>
        <w:t>37</w:t>
      </w:r>
      <w:r>
        <w:rPr>
          <w:rFonts w:hint="eastAsia" w:ascii="仿宋" w:hAnsi="仿宋" w:eastAsia="仿宋" w:cs="仿宋"/>
          <w:sz w:val="32"/>
          <w:szCs w:val="32"/>
          <w:lang w:eastAsia="zh-CN"/>
        </w:rPr>
        <w:t>人，工勤</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人）。</w:t>
      </w:r>
    </w:p>
    <w:p w14:paraId="33F8ADC5">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szCs w:val="32"/>
        </w:rPr>
      </w:pPr>
    </w:p>
    <w:p w14:paraId="6413CC7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55CD7007">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1A9F55D1">
      <w:pPr>
        <w:ind w:firstLine="640" w:firstLineChars="200"/>
        <w:rPr>
          <w:rFonts w:hint="default" w:ascii="仿宋" w:hAnsi="仿宋" w:eastAsia="仿宋" w:cs="仿宋"/>
          <w:sz w:val="32"/>
          <w:szCs w:val="32"/>
          <w:lang w:val="zh-CN" w:eastAsia="zh-CN"/>
        </w:rPr>
      </w:pPr>
      <w:r>
        <w:rPr>
          <w:rFonts w:hint="eastAsia" w:ascii="仿宋" w:hAnsi="仿宋" w:eastAsia="仿宋" w:cs="仿宋"/>
          <w:sz w:val="32"/>
          <w:szCs w:val="32"/>
          <w:lang w:val="en-US" w:eastAsia="zh-CN"/>
        </w:rPr>
        <w:t>壤塘法院</w:t>
      </w:r>
      <w:r>
        <w:rPr>
          <w:rFonts w:hint="default" w:ascii="仿宋" w:hAnsi="仿宋" w:eastAsia="仿宋" w:cs="仿宋"/>
          <w:sz w:val="32"/>
          <w:szCs w:val="32"/>
          <w:lang w:val="en-US" w:eastAsia="zh-CN"/>
        </w:rPr>
        <w:t>202</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年年初预算收入</w:t>
      </w:r>
      <w:r>
        <w:rPr>
          <w:rFonts w:hint="eastAsia" w:ascii="仿宋" w:hAnsi="仿宋" w:eastAsia="仿宋" w:cs="仿宋"/>
          <w:sz w:val="32"/>
          <w:szCs w:val="32"/>
          <w:lang w:val="en-US" w:eastAsia="zh-CN"/>
        </w:rPr>
        <w:t>1625.55万元，</w:t>
      </w:r>
      <w:r>
        <w:rPr>
          <w:rFonts w:hint="eastAsia" w:ascii="仿宋" w:hAnsi="仿宋" w:eastAsia="仿宋" w:cs="仿宋"/>
          <w:sz w:val="32"/>
          <w:szCs w:val="32"/>
          <w:lang w:eastAsia="zh-CN"/>
        </w:rPr>
        <w:t>决算报表财政资金收入总额为</w:t>
      </w:r>
      <w:r>
        <w:rPr>
          <w:rFonts w:hint="eastAsia" w:ascii="仿宋" w:hAnsi="仿宋" w:eastAsia="仿宋" w:cs="仿宋"/>
          <w:sz w:val="32"/>
          <w:szCs w:val="32"/>
          <w:lang w:val="en-US" w:eastAsia="zh-CN"/>
        </w:rPr>
        <w:t>2074.24</w:t>
      </w:r>
      <w:r>
        <w:rPr>
          <w:rFonts w:hint="eastAsia" w:ascii="仿宋" w:hAnsi="仿宋" w:eastAsia="仿宋" w:cs="仿宋"/>
          <w:sz w:val="32"/>
          <w:szCs w:val="32"/>
          <w:lang w:eastAsia="zh-CN"/>
        </w:rPr>
        <w:t>万元，其中：财政拨款收入为</w:t>
      </w:r>
      <w:r>
        <w:rPr>
          <w:rFonts w:hint="eastAsia" w:ascii="仿宋" w:hAnsi="仿宋" w:eastAsia="仿宋" w:cs="仿宋"/>
          <w:sz w:val="32"/>
          <w:szCs w:val="32"/>
          <w:lang w:val="en-US" w:eastAsia="zh-CN"/>
        </w:rPr>
        <w:t>1625.55万元；其他收入为448.69万元</w:t>
      </w:r>
      <w:r>
        <w:rPr>
          <w:rFonts w:hint="eastAsia" w:ascii="仿宋" w:hAnsi="仿宋" w:eastAsia="仿宋" w:cs="仿宋"/>
          <w:sz w:val="32"/>
          <w:szCs w:val="32"/>
          <w:lang w:eastAsia="zh-CN"/>
        </w:rPr>
        <w:t>。</w:t>
      </w:r>
    </w:p>
    <w:p w14:paraId="554064D3">
      <w:pPr>
        <w:keepNext w:val="0"/>
        <w:keepLines w:val="0"/>
        <w:pageBreakBefore w:val="0"/>
        <w:widowControl/>
        <w:numPr>
          <w:ilvl w:val="0"/>
          <w:numId w:val="4"/>
        </w:numPr>
        <w:kinsoku/>
        <w:wordWrap/>
        <w:overflowPunct/>
        <w:topLinePunct w:val="0"/>
        <w:autoSpaceDE/>
        <w:autoSpaceDN/>
        <w:bidi w:val="0"/>
        <w:adjustRightInd w:val="0"/>
        <w:snapToGrid w:val="0"/>
        <w:spacing w:line="550"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1E161766">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default" w:ascii="Times New Roman" w:hAnsi="Times New Roman" w:cs="Times New Roman"/>
          <w:szCs w:val="32"/>
          <w:lang w:val="zh-CN" w:eastAsia="zh-CN"/>
        </w:rPr>
      </w:pPr>
      <w:r>
        <w:rPr>
          <w:rFonts w:hint="eastAsia" w:ascii="仿宋" w:hAnsi="仿宋" w:eastAsia="仿宋" w:cs="仿宋"/>
          <w:sz w:val="32"/>
          <w:szCs w:val="32"/>
          <w:lang w:val="en-US" w:eastAsia="zh-CN"/>
        </w:rPr>
        <w:t>壤塘法院</w:t>
      </w:r>
      <w:r>
        <w:rPr>
          <w:rFonts w:hint="default" w:ascii="仿宋" w:hAnsi="仿宋" w:eastAsia="仿宋" w:cs="仿宋"/>
          <w:sz w:val="32"/>
          <w:szCs w:val="32"/>
          <w:lang w:val="en-US" w:eastAsia="zh-CN"/>
        </w:rPr>
        <w:t>202</w:t>
      </w: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年年初预算</w:t>
      </w:r>
      <w:r>
        <w:rPr>
          <w:rFonts w:hint="eastAsia" w:ascii="仿宋" w:hAnsi="仿宋" w:eastAsia="仿宋" w:cs="仿宋"/>
          <w:sz w:val="32"/>
          <w:szCs w:val="32"/>
          <w:lang w:val="en-US" w:eastAsia="zh-CN"/>
        </w:rPr>
        <w:t>支出1625.55万元、决算报表基本支出1429.35万元；项目支出567.15万元。</w:t>
      </w:r>
    </w:p>
    <w:p w14:paraId="61C3F853">
      <w:pPr>
        <w:keepNext w:val="0"/>
        <w:keepLines w:val="0"/>
        <w:pageBreakBefore w:val="0"/>
        <w:widowControl/>
        <w:kinsoku/>
        <w:wordWrap/>
        <w:overflowPunct/>
        <w:topLinePunct w:val="0"/>
        <w:autoSpaceDE/>
        <w:autoSpaceDN/>
        <w:bidi w:val="0"/>
        <w:adjustRightInd w:val="0"/>
        <w:snapToGrid w:val="0"/>
        <w:spacing w:line="550" w:lineRule="exact"/>
        <w:ind w:firstLine="643"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05E6CFF4">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default" w:ascii="仿宋" w:hAnsi="仿宋" w:eastAsia="仿宋" w:cs="仿宋"/>
          <w:sz w:val="32"/>
          <w:szCs w:val="32"/>
          <w:lang w:val="zh-CN" w:eastAsia="zh-CN"/>
        </w:rPr>
      </w:pPr>
      <w:r>
        <w:rPr>
          <w:rFonts w:hint="eastAsia" w:ascii="仿宋" w:hAnsi="仿宋" w:eastAsia="仿宋" w:cs="仿宋"/>
          <w:sz w:val="32"/>
          <w:szCs w:val="32"/>
          <w:lang w:val="en-US" w:eastAsia="zh-CN"/>
        </w:rPr>
        <w:t>壤塘县人民法院2024年决算报表中结转结余资金77.73万元（援建资金），其他无结转结余资金。</w:t>
      </w:r>
    </w:p>
    <w:p w14:paraId="5ED01656">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w:t>
      </w:r>
      <w:r>
        <w:rPr>
          <w:rStyle w:val="30"/>
          <w:rFonts w:hint="default" w:ascii="Times New Roman" w:hAnsi="Times New Roman" w:eastAsia="黑体"/>
          <w:b w:val="0"/>
          <w:color w:val="auto"/>
          <w:highlight w:val="none"/>
          <w:lang w:val="zh-CN" w:eastAsia="zh-CN" w:bidi="ar-SA"/>
        </w:rPr>
        <w:t>效分析</w:t>
      </w:r>
    </w:p>
    <w:p w14:paraId="4249A8A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4515A8E2">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tbl>
      <w:tblPr>
        <w:tblStyle w:val="16"/>
        <w:tblW w:w="6900" w:type="dxa"/>
        <w:jc w:val="center"/>
        <w:tblLayout w:type="autofit"/>
        <w:tblCellMar>
          <w:top w:w="0" w:type="dxa"/>
          <w:left w:w="108" w:type="dxa"/>
          <w:bottom w:w="0" w:type="dxa"/>
          <w:right w:w="108" w:type="dxa"/>
        </w:tblCellMar>
      </w:tblPr>
      <w:tblGrid>
        <w:gridCol w:w="1060"/>
        <w:gridCol w:w="1180"/>
        <w:gridCol w:w="2320"/>
        <w:gridCol w:w="620"/>
        <w:gridCol w:w="660"/>
        <w:gridCol w:w="600"/>
        <w:gridCol w:w="460"/>
      </w:tblGrid>
      <w:tr w14:paraId="57DB1481">
        <w:tblPrEx>
          <w:tblCellMar>
            <w:top w:w="0" w:type="dxa"/>
            <w:left w:w="108" w:type="dxa"/>
            <w:bottom w:w="0" w:type="dxa"/>
            <w:right w:w="108" w:type="dxa"/>
          </w:tblCellMar>
        </w:tblPrEx>
        <w:trPr>
          <w:trHeight w:val="570" w:hRule="atLeast"/>
          <w:jc w:val="center"/>
        </w:trPr>
        <w:tc>
          <w:tcPr>
            <w:tcW w:w="10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B39ED">
            <w:pPr>
              <w:widowControl/>
              <w:jc w:val="left"/>
              <w:rPr>
                <w:rFonts w:ascii="宋体" w:hAnsi="宋体" w:cs="宋体"/>
                <w:color w:val="000000"/>
                <w:kern w:val="0"/>
                <w:sz w:val="18"/>
                <w:szCs w:val="18"/>
              </w:rPr>
            </w:pPr>
            <w:r>
              <w:rPr>
                <w:rFonts w:hint="eastAsia" w:ascii="宋体" w:hAnsi="宋体" w:cs="宋体"/>
                <w:color w:val="000000"/>
                <w:kern w:val="0"/>
                <w:sz w:val="18"/>
                <w:szCs w:val="18"/>
              </w:rPr>
              <w:t>产出指标</w:t>
            </w:r>
          </w:p>
        </w:tc>
        <w:tc>
          <w:tcPr>
            <w:tcW w:w="1180" w:type="dxa"/>
            <w:tcBorders>
              <w:top w:val="single" w:color="000000" w:sz="4" w:space="0"/>
              <w:left w:val="nil"/>
              <w:bottom w:val="single" w:color="auto" w:sz="4" w:space="0"/>
              <w:right w:val="single" w:color="000000" w:sz="4" w:space="0"/>
            </w:tcBorders>
            <w:shd w:val="clear" w:color="auto" w:fill="auto"/>
            <w:noWrap/>
            <w:vAlign w:val="center"/>
          </w:tcPr>
          <w:p w14:paraId="6CA42BB6">
            <w:pPr>
              <w:widowControl/>
              <w:jc w:val="left"/>
              <w:rPr>
                <w:rFonts w:ascii="宋体" w:hAnsi="宋体" w:cs="宋体"/>
                <w:color w:val="000000"/>
                <w:kern w:val="0"/>
                <w:sz w:val="18"/>
                <w:szCs w:val="18"/>
              </w:rPr>
            </w:pPr>
            <w:r>
              <w:rPr>
                <w:rFonts w:hint="eastAsia" w:ascii="宋体" w:hAnsi="宋体" w:cs="宋体"/>
                <w:color w:val="000000"/>
                <w:kern w:val="0"/>
                <w:sz w:val="18"/>
                <w:szCs w:val="18"/>
              </w:rPr>
              <w:t>数量指标</w:t>
            </w:r>
          </w:p>
        </w:tc>
        <w:tc>
          <w:tcPr>
            <w:tcW w:w="2320" w:type="dxa"/>
            <w:tcBorders>
              <w:top w:val="single" w:color="000000" w:sz="4" w:space="0"/>
              <w:left w:val="nil"/>
              <w:bottom w:val="single" w:color="auto" w:sz="4" w:space="0"/>
              <w:right w:val="single" w:color="000000" w:sz="4" w:space="0"/>
            </w:tcBorders>
            <w:shd w:val="clear" w:color="auto" w:fill="auto"/>
            <w:noWrap/>
            <w:vAlign w:val="center"/>
          </w:tcPr>
          <w:p w14:paraId="32285447">
            <w:pPr>
              <w:widowControl/>
              <w:jc w:val="left"/>
              <w:rPr>
                <w:rFonts w:ascii="宋体" w:hAnsi="宋体" w:cs="宋体"/>
                <w:color w:val="000000"/>
                <w:kern w:val="0"/>
                <w:sz w:val="18"/>
                <w:szCs w:val="18"/>
              </w:rPr>
            </w:pPr>
            <w:r>
              <w:rPr>
                <w:rFonts w:hint="eastAsia" w:ascii="宋体" w:hAnsi="宋体" w:cs="宋体"/>
                <w:color w:val="000000"/>
                <w:kern w:val="0"/>
                <w:sz w:val="18"/>
                <w:szCs w:val="18"/>
              </w:rPr>
              <w:t>案件审结完成率</w:t>
            </w:r>
          </w:p>
        </w:tc>
        <w:tc>
          <w:tcPr>
            <w:tcW w:w="620" w:type="dxa"/>
            <w:tcBorders>
              <w:top w:val="single" w:color="000000" w:sz="4" w:space="0"/>
              <w:left w:val="nil"/>
              <w:bottom w:val="single" w:color="000000" w:sz="4" w:space="0"/>
              <w:right w:val="single" w:color="000000" w:sz="4" w:space="0"/>
            </w:tcBorders>
            <w:shd w:val="clear" w:color="auto" w:fill="auto"/>
            <w:noWrap/>
            <w:vAlign w:val="center"/>
          </w:tcPr>
          <w:p w14:paraId="7BF9F96D">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60" w:type="dxa"/>
            <w:tcBorders>
              <w:top w:val="single" w:color="000000" w:sz="4" w:space="0"/>
              <w:left w:val="nil"/>
              <w:bottom w:val="single" w:color="000000" w:sz="4" w:space="0"/>
              <w:right w:val="single" w:color="000000" w:sz="4" w:space="0"/>
            </w:tcBorders>
            <w:shd w:val="clear" w:color="auto" w:fill="auto"/>
            <w:noWrap/>
            <w:vAlign w:val="center"/>
          </w:tcPr>
          <w:p w14:paraId="7247F940">
            <w:pPr>
              <w:widowControl/>
              <w:jc w:val="left"/>
              <w:rPr>
                <w:rFonts w:ascii="宋体" w:hAnsi="宋体" w:cs="宋体"/>
                <w:color w:val="000000"/>
                <w:kern w:val="0"/>
                <w:sz w:val="18"/>
                <w:szCs w:val="18"/>
              </w:rPr>
            </w:pPr>
            <w:r>
              <w:rPr>
                <w:rFonts w:hint="eastAsia" w:ascii="宋体" w:hAnsi="宋体" w:cs="宋体"/>
                <w:color w:val="000000"/>
                <w:kern w:val="0"/>
                <w:sz w:val="18"/>
                <w:szCs w:val="18"/>
              </w:rPr>
              <w:t>95</w:t>
            </w:r>
          </w:p>
        </w:tc>
        <w:tc>
          <w:tcPr>
            <w:tcW w:w="600" w:type="dxa"/>
            <w:tcBorders>
              <w:top w:val="single" w:color="000000" w:sz="4" w:space="0"/>
              <w:left w:val="nil"/>
              <w:bottom w:val="single" w:color="000000" w:sz="4" w:space="0"/>
              <w:right w:val="single" w:color="000000" w:sz="4" w:space="0"/>
            </w:tcBorders>
            <w:shd w:val="clear" w:color="auto" w:fill="auto"/>
            <w:noWrap/>
            <w:vAlign w:val="center"/>
          </w:tcPr>
          <w:p w14:paraId="420B9FC1">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460" w:type="dxa"/>
            <w:tcBorders>
              <w:top w:val="single" w:color="000000" w:sz="4" w:space="0"/>
              <w:left w:val="nil"/>
              <w:bottom w:val="single" w:color="000000" w:sz="4" w:space="0"/>
              <w:right w:val="single" w:color="000000" w:sz="4" w:space="0"/>
            </w:tcBorders>
            <w:shd w:val="clear" w:color="auto" w:fill="auto"/>
            <w:noWrap/>
            <w:vAlign w:val="center"/>
          </w:tcPr>
          <w:p w14:paraId="60376D6B">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16DDBAB1">
        <w:tblPrEx>
          <w:tblCellMar>
            <w:top w:w="0" w:type="dxa"/>
            <w:left w:w="108" w:type="dxa"/>
            <w:bottom w:w="0" w:type="dxa"/>
            <w:right w:w="108" w:type="dxa"/>
          </w:tblCellMar>
        </w:tblPrEx>
        <w:trPr>
          <w:trHeight w:val="570" w:hRule="atLeast"/>
          <w:jc w:val="center"/>
        </w:trPr>
        <w:tc>
          <w:tcPr>
            <w:tcW w:w="1060" w:type="dxa"/>
            <w:vMerge w:val="continue"/>
            <w:tcBorders>
              <w:top w:val="single" w:color="000000" w:sz="4" w:space="0"/>
              <w:left w:val="single" w:color="000000" w:sz="4" w:space="0"/>
              <w:bottom w:val="single" w:color="000000" w:sz="4" w:space="0"/>
              <w:right w:val="single" w:color="auto" w:sz="4" w:space="0"/>
            </w:tcBorders>
            <w:shd w:val="clear" w:color="auto" w:fill="auto"/>
            <w:noWrap/>
            <w:vAlign w:val="center"/>
          </w:tcPr>
          <w:p w14:paraId="5CBAA6B7">
            <w:pPr>
              <w:widowControl/>
              <w:jc w:val="left"/>
              <w:rPr>
                <w:rFonts w:ascii="宋体" w:hAnsi="宋体" w:cs="宋体"/>
                <w:color w:val="000000"/>
                <w:kern w:val="0"/>
                <w:sz w:val="18"/>
                <w:szCs w:val="18"/>
              </w:rPr>
            </w:pPr>
          </w:p>
        </w:tc>
        <w:tc>
          <w:tcPr>
            <w:tcW w:w="11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0CBCB">
            <w:pPr>
              <w:widowControl/>
              <w:jc w:val="left"/>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lang w:eastAsia="zh-CN"/>
              </w:rPr>
              <w:t>质量指标</w:t>
            </w:r>
          </w:p>
        </w:tc>
        <w:tc>
          <w:tcPr>
            <w:tcW w:w="2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5BC1E">
            <w:pPr>
              <w:widowControl/>
              <w:jc w:val="left"/>
              <w:rPr>
                <w:rFonts w:ascii="宋体" w:hAnsi="宋体" w:cs="宋体"/>
                <w:color w:val="000000"/>
                <w:kern w:val="0"/>
                <w:sz w:val="18"/>
                <w:szCs w:val="18"/>
              </w:rPr>
            </w:pPr>
            <w:r>
              <w:rPr>
                <w:rFonts w:hint="eastAsia" w:ascii="宋体" w:hAnsi="宋体" w:cs="宋体"/>
                <w:color w:val="000000"/>
                <w:kern w:val="0"/>
                <w:sz w:val="18"/>
                <w:szCs w:val="18"/>
              </w:rPr>
              <w:t>上诉率</w:t>
            </w:r>
          </w:p>
        </w:tc>
        <w:tc>
          <w:tcPr>
            <w:tcW w:w="620" w:type="dxa"/>
            <w:tcBorders>
              <w:top w:val="nil"/>
              <w:left w:val="single" w:color="auto" w:sz="4" w:space="0"/>
              <w:bottom w:val="single" w:color="000000" w:sz="4" w:space="0"/>
              <w:right w:val="single" w:color="000000" w:sz="4" w:space="0"/>
            </w:tcBorders>
            <w:shd w:val="clear" w:color="auto" w:fill="auto"/>
            <w:noWrap/>
            <w:vAlign w:val="center"/>
          </w:tcPr>
          <w:p w14:paraId="54FAE1DF">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60" w:type="dxa"/>
            <w:tcBorders>
              <w:top w:val="nil"/>
              <w:left w:val="nil"/>
              <w:bottom w:val="single" w:color="000000" w:sz="4" w:space="0"/>
              <w:right w:val="single" w:color="000000" w:sz="4" w:space="0"/>
            </w:tcBorders>
            <w:shd w:val="clear" w:color="auto" w:fill="auto"/>
            <w:noWrap/>
            <w:vAlign w:val="center"/>
          </w:tcPr>
          <w:p w14:paraId="1369CDA8">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c>
          <w:tcPr>
            <w:tcW w:w="600" w:type="dxa"/>
            <w:tcBorders>
              <w:top w:val="nil"/>
              <w:left w:val="nil"/>
              <w:bottom w:val="single" w:color="000000" w:sz="4" w:space="0"/>
              <w:right w:val="single" w:color="000000" w:sz="4" w:space="0"/>
            </w:tcBorders>
            <w:shd w:val="clear" w:color="auto" w:fill="auto"/>
            <w:noWrap/>
            <w:vAlign w:val="center"/>
          </w:tcPr>
          <w:p w14:paraId="4B0AB502">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460" w:type="dxa"/>
            <w:tcBorders>
              <w:top w:val="nil"/>
              <w:left w:val="nil"/>
              <w:bottom w:val="single" w:color="000000" w:sz="4" w:space="0"/>
              <w:right w:val="single" w:color="000000" w:sz="4" w:space="0"/>
            </w:tcBorders>
            <w:shd w:val="clear" w:color="auto" w:fill="auto"/>
            <w:noWrap/>
            <w:vAlign w:val="center"/>
          </w:tcPr>
          <w:p w14:paraId="34027E81">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r w14:paraId="0FE00F37">
        <w:tblPrEx>
          <w:tblCellMar>
            <w:top w:w="0" w:type="dxa"/>
            <w:left w:w="108" w:type="dxa"/>
            <w:bottom w:w="0" w:type="dxa"/>
            <w:right w:w="108" w:type="dxa"/>
          </w:tblCellMar>
        </w:tblPrEx>
        <w:trPr>
          <w:trHeight w:val="570" w:hRule="atLeast"/>
          <w:jc w:val="center"/>
        </w:trPr>
        <w:tc>
          <w:tcPr>
            <w:tcW w:w="10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9A8F">
            <w:pPr>
              <w:widowControl/>
              <w:jc w:val="left"/>
              <w:rPr>
                <w:rFonts w:ascii="宋体" w:hAnsi="宋体" w:cs="宋体"/>
                <w:color w:val="000000"/>
                <w:kern w:val="0"/>
                <w:sz w:val="18"/>
                <w:szCs w:val="18"/>
              </w:rPr>
            </w:pPr>
          </w:p>
        </w:tc>
        <w:tc>
          <w:tcPr>
            <w:tcW w:w="1180" w:type="dxa"/>
            <w:tcBorders>
              <w:top w:val="single" w:color="auto" w:sz="4" w:space="0"/>
              <w:left w:val="nil"/>
              <w:bottom w:val="single" w:color="000000" w:sz="4" w:space="0"/>
              <w:right w:val="single" w:color="000000" w:sz="4" w:space="0"/>
            </w:tcBorders>
            <w:shd w:val="clear" w:color="auto" w:fill="auto"/>
            <w:noWrap/>
            <w:vAlign w:val="center"/>
          </w:tcPr>
          <w:p w14:paraId="5798D2D8">
            <w:pPr>
              <w:widowControl/>
              <w:jc w:val="left"/>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2320" w:type="dxa"/>
            <w:tcBorders>
              <w:top w:val="single" w:color="auto" w:sz="4" w:space="0"/>
              <w:left w:val="nil"/>
              <w:bottom w:val="single" w:color="000000" w:sz="4" w:space="0"/>
              <w:right w:val="single" w:color="000000" w:sz="4" w:space="0"/>
            </w:tcBorders>
            <w:shd w:val="clear" w:color="auto" w:fill="auto"/>
            <w:noWrap/>
            <w:vAlign w:val="center"/>
          </w:tcPr>
          <w:p w14:paraId="7CC77B36">
            <w:pPr>
              <w:widowControl/>
              <w:jc w:val="left"/>
              <w:rPr>
                <w:rFonts w:ascii="宋体" w:hAnsi="宋体" w:cs="宋体"/>
                <w:color w:val="000000"/>
                <w:kern w:val="0"/>
                <w:sz w:val="18"/>
                <w:szCs w:val="18"/>
              </w:rPr>
            </w:pPr>
            <w:r>
              <w:rPr>
                <w:rFonts w:hint="eastAsia" w:ascii="宋体" w:hAnsi="宋体" w:cs="宋体"/>
                <w:color w:val="000000"/>
                <w:kern w:val="0"/>
                <w:sz w:val="18"/>
                <w:szCs w:val="18"/>
              </w:rPr>
              <w:t>案件平均审理天数</w:t>
            </w:r>
          </w:p>
        </w:tc>
        <w:tc>
          <w:tcPr>
            <w:tcW w:w="620" w:type="dxa"/>
            <w:tcBorders>
              <w:top w:val="nil"/>
              <w:left w:val="nil"/>
              <w:bottom w:val="single" w:color="000000" w:sz="4" w:space="0"/>
              <w:right w:val="single" w:color="000000" w:sz="4" w:space="0"/>
            </w:tcBorders>
            <w:shd w:val="clear" w:color="auto" w:fill="auto"/>
            <w:noWrap/>
            <w:vAlign w:val="center"/>
          </w:tcPr>
          <w:p w14:paraId="14817E3C">
            <w:pPr>
              <w:widowControl/>
              <w:jc w:val="left"/>
              <w:rPr>
                <w:rFonts w:ascii="宋体" w:hAnsi="宋体" w:cs="宋体"/>
                <w:color w:val="000000"/>
                <w:kern w:val="0"/>
                <w:sz w:val="18"/>
                <w:szCs w:val="18"/>
              </w:rPr>
            </w:pPr>
            <w:r>
              <w:rPr>
                <w:rFonts w:hint="eastAsia" w:ascii="宋体" w:hAnsi="宋体" w:cs="宋体"/>
                <w:color w:val="000000"/>
                <w:kern w:val="0"/>
                <w:sz w:val="18"/>
                <w:szCs w:val="18"/>
              </w:rPr>
              <w:t>≤</w:t>
            </w:r>
          </w:p>
        </w:tc>
        <w:tc>
          <w:tcPr>
            <w:tcW w:w="660" w:type="dxa"/>
            <w:tcBorders>
              <w:top w:val="nil"/>
              <w:left w:val="nil"/>
              <w:bottom w:val="single" w:color="000000" w:sz="4" w:space="0"/>
              <w:right w:val="single" w:color="000000" w:sz="4" w:space="0"/>
            </w:tcBorders>
            <w:shd w:val="clear" w:color="auto" w:fill="auto"/>
            <w:noWrap/>
            <w:vAlign w:val="center"/>
          </w:tcPr>
          <w:p w14:paraId="17D14465">
            <w:pPr>
              <w:widowControl/>
              <w:jc w:val="left"/>
              <w:rPr>
                <w:rFonts w:ascii="宋体" w:hAnsi="宋体" w:cs="宋体"/>
                <w:color w:val="000000"/>
                <w:kern w:val="0"/>
                <w:sz w:val="18"/>
                <w:szCs w:val="18"/>
              </w:rPr>
            </w:pPr>
            <w:r>
              <w:rPr>
                <w:rFonts w:hint="eastAsia" w:ascii="宋体" w:hAnsi="宋体" w:cs="宋体"/>
                <w:color w:val="000000"/>
                <w:kern w:val="0"/>
                <w:sz w:val="18"/>
                <w:szCs w:val="18"/>
              </w:rPr>
              <w:t>50</w:t>
            </w:r>
          </w:p>
        </w:tc>
        <w:tc>
          <w:tcPr>
            <w:tcW w:w="600" w:type="dxa"/>
            <w:tcBorders>
              <w:top w:val="nil"/>
              <w:left w:val="nil"/>
              <w:bottom w:val="single" w:color="000000" w:sz="4" w:space="0"/>
              <w:right w:val="single" w:color="000000" w:sz="4" w:space="0"/>
            </w:tcBorders>
            <w:shd w:val="clear" w:color="auto" w:fill="auto"/>
            <w:noWrap/>
            <w:vAlign w:val="center"/>
          </w:tcPr>
          <w:p w14:paraId="52DEB9F6">
            <w:pPr>
              <w:widowControl/>
              <w:jc w:val="left"/>
              <w:rPr>
                <w:rFonts w:ascii="宋体" w:hAnsi="宋体" w:cs="宋体"/>
                <w:color w:val="000000"/>
                <w:kern w:val="0"/>
                <w:sz w:val="18"/>
                <w:szCs w:val="18"/>
              </w:rPr>
            </w:pPr>
            <w:r>
              <w:rPr>
                <w:rFonts w:hint="eastAsia" w:ascii="宋体" w:hAnsi="宋体" w:cs="宋体"/>
                <w:color w:val="000000"/>
                <w:kern w:val="0"/>
                <w:sz w:val="18"/>
                <w:szCs w:val="18"/>
              </w:rPr>
              <w:t>天</w:t>
            </w:r>
          </w:p>
        </w:tc>
        <w:tc>
          <w:tcPr>
            <w:tcW w:w="460" w:type="dxa"/>
            <w:tcBorders>
              <w:top w:val="nil"/>
              <w:left w:val="nil"/>
              <w:bottom w:val="single" w:color="000000" w:sz="4" w:space="0"/>
              <w:right w:val="single" w:color="000000" w:sz="4" w:space="0"/>
            </w:tcBorders>
            <w:shd w:val="clear" w:color="auto" w:fill="auto"/>
            <w:noWrap/>
            <w:vAlign w:val="center"/>
          </w:tcPr>
          <w:p w14:paraId="293F5582">
            <w:pPr>
              <w:widowControl/>
              <w:jc w:val="left"/>
              <w:rPr>
                <w:rFonts w:ascii="宋体" w:hAnsi="宋体" w:cs="宋体"/>
                <w:color w:val="000000"/>
                <w:kern w:val="0"/>
                <w:sz w:val="18"/>
                <w:szCs w:val="18"/>
              </w:rPr>
            </w:pPr>
            <w:r>
              <w:rPr>
                <w:rFonts w:hint="eastAsia" w:ascii="宋体" w:hAnsi="宋体" w:cs="宋体"/>
                <w:color w:val="000000"/>
                <w:kern w:val="0"/>
                <w:sz w:val="18"/>
                <w:szCs w:val="18"/>
              </w:rPr>
              <w:t>10</w:t>
            </w:r>
          </w:p>
        </w:tc>
      </w:tr>
    </w:tbl>
    <w:p w14:paraId="1F4B3FA8">
      <w:pPr>
        <w:keepNext w:val="0"/>
        <w:keepLines w:val="0"/>
        <w:pageBreakBefore w:val="0"/>
        <w:widowControl w:val="0"/>
        <w:numPr>
          <w:ilvl w:val="0"/>
          <w:numId w:val="5"/>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p>
    <w:p w14:paraId="672E3CDF">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预算编制质量：预决算编制工作严格按照财政局要求，及时完成基础库、项目库的编制，并及时报送财政审核，预决算编制工作有专人负责、专人审核，做到了完整性、准确性、正确性的基本要求。</w:t>
      </w:r>
    </w:p>
    <w:p w14:paraId="70B96795">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单位收入统筹：按照上级法院的要求，在与财政局协调后，采取将自有收入全额缴入财政代管账户管理，使用资金需要经过上级单位同意，原则上主要用于改善办案办公环境相关的项目建设。</w:t>
      </w:r>
    </w:p>
    <w:p w14:paraId="578BF18F">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支出执行进度：截止2024年底，我院实际支出进度为100%，年终结余为0元。</w:t>
      </w:r>
    </w:p>
    <w:p w14:paraId="4C1784DC">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lang w:val="zh-CN" w:eastAsia="zh-CN"/>
        </w:rPr>
      </w:pPr>
      <w:r>
        <w:rPr>
          <w:rFonts w:hint="eastAsia" w:ascii="仿宋" w:hAnsi="仿宋" w:eastAsia="仿宋" w:cs="仿宋"/>
          <w:sz w:val="32"/>
          <w:szCs w:val="32"/>
          <w:lang w:val="en-US" w:eastAsia="zh-CN"/>
        </w:rPr>
        <w:t>严控一般性支出进行绩效：对公务用车实行定点维修、定点加油、统一管理。申请公务用必须填写派车单，经院领导审批后，由办公室根据出差里程核定油量并开具加油单到指定地点加油，通过以上制度，有效的控制了车辆油耗，降低了运行成本，并且定期对公务用车经费进行公示，接受监督。公务接待采取事前审批制度，凡公务来客由牵头部门主要负责人，对照《若尔盖县人民法院来客招待管理制度》规定，符合招待条件的在报告分管院领导后填写招待申请单，说明招待的理由、来客人数、确定参陪人员名单，经院长批准后，交办公室联系定点饭店，确定标准，安排就餐。</w:t>
      </w:r>
    </w:p>
    <w:p w14:paraId="3D4AFFAD">
      <w:pPr>
        <w:numPr>
          <w:ilvl w:val="0"/>
          <w:numId w:val="5"/>
        </w:numPr>
        <w:ind w:left="0" w:leftChars="0" w:firstLine="640" w:firstLineChars="200"/>
        <w:rPr>
          <w:rFonts w:hint="eastAsia"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w:t>
      </w:r>
    </w:p>
    <w:p w14:paraId="401548F8">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围绕财务管理制度：我院严格业务处理程序的管理，严格财务审批制度，按照《行政单位会计制度》和《行政单位财务规则》规定设置会计账簿、会计科目，能够准确反映各项收支活动。</w:t>
      </w:r>
    </w:p>
    <w:p w14:paraId="4BB7FB86">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院以抓制度建设为重点,完善了会计人员岗位责任制、财务处理程序制度、内控制度、财务收支审批制度、会计档案管理制度等相关制度。各项制度明确财务管理的目的、界定财务管理的职责、整合财务管理的程序，从而进一步完善了财务管理制度，规范了财务管理行为。</w:t>
      </w:r>
    </w:p>
    <w:p w14:paraId="247DB668">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财务岗位设置：合理设置财务工作岗位，明确职责权限，并严格实行不相容岗位分离</w:t>
      </w:r>
    </w:p>
    <w:p w14:paraId="21785F36">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资金使用规范：严格依据相关财务管理制度规定使用资金，2024年未发现违规使用资金的情况。</w:t>
      </w:r>
    </w:p>
    <w:p w14:paraId="131848BE">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zh-CN"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val="zh-CN" w:eastAsia="zh-CN"/>
        </w:rPr>
        <w:t>资产管理。</w:t>
      </w:r>
    </w:p>
    <w:p w14:paraId="19FDD8EF">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加强对国有资产的管理，要求单位财务人员及时登记资产账务，建立资产明细卡片，注明购入时间，使用时间和价值等，并由单位专人负责对资产的领用、入库进行管理，对于报废资产，首先进行登记，并报财政局进行审核，根据批复进行账务核销，同时由财务人员每年对使用的资产进行核对。</w:t>
      </w:r>
    </w:p>
    <w:p w14:paraId="6FC7DBAF">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zh-CN"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val="zh-CN" w:eastAsia="zh-CN"/>
        </w:rPr>
        <w:t>采购管理。</w:t>
      </w:r>
    </w:p>
    <w:p w14:paraId="69C8B6A1">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eastAsia" w:ascii="仿宋" w:hAnsi="仿宋" w:eastAsia="仿宋" w:cs="仿宋"/>
          <w:sz w:val="32"/>
          <w:szCs w:val="32"/>
          <w:lang w:val="zh-CN" w:eastAsia="zh-CN"/>
        </w:rPr>
      </w:pPr>
      <w:r>
        <w:rPr>
          <w:rFonts w:hint="eastAsia" w:ascii="仿宋" w:hAnsi="仿宋" w:eastAsia="仿宋" w:cs="仿宋"/>
          <w:sz w:val="32"/>
          <w:szCs w:val="32"/>
          <w:lang w:val="en-US" w:eastAsia="zh-CN"/>
        </w:rPr>
        <w:t>按照政府采购的目录范围和有关金额限定的规定，依据不同情况分别选择政府集中采购、部门集中采购、公开招标等方式进行采购，做到凡纳入政府采购范围的，均选择政府采购方式，依政府采购程序进行采购；凡没有达到政府采购金额起点或在政府采购范围外的，执行院内采购有关规定，小额零星采购则由办公室依据规定直接采购。院内采购参照政府采购程序制定，有资格审核、开标评标、发出中标通知、签订协议等采购程序。</w:t>
      </w:r>
      <w:r>
        <w:rPr>
          <w:rFonts w:hint="eastAsia" w:ascii="仿宋" w:hAnsi="仿宋" w:eastAsia="仿宋" w:cs="仿宋"/>
          <w:sz w:val="32"/>
          <w:szCs w:val="32"/>
          <w:lang w:val="zh-CN" w:eastAsia="zh-CN"/>
        </w:rPr>
        <w:t>围绕人均资产变化率、资产利用率、资产盘活率</w:t>
      </w:r>
      <w:r>
        <w:rPr>
          <w:rFonts w:hint="default" w:ascii="仿宋" w:hAnsi="仿宋" w:eastAsia="仿宋" w:cs="仿宋"/>
          <w:sz w:val="32"/>
          <w:szCs w:val="32"/>
          <w:lang w:val="zh-CN" w:eastAsia="zh-CN"/>
        </w:rPr>
        <w:t>进行绩效分析</w:t>
      </w:r>
      <w:r>
        <w:rPr>
          <w:rFonts w:hint="eastAsia" w:ascii="仿宋" w:hAnsi="仿宋" w:eastAsia="仿宋" w:cs="仿宋"/>
          <w:sz w:val="32"/>
          <w:szCs w:val="32"/>
          <w:lang w:val="zh-CN" w:eastAsia="zh-CN"/>
        </w:rPr>
        <w:t>。</w:t>
      </w:r>
    </w:p>
    <w:p w14:paraId="6856D76B">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default" w:ascii="仿宋" w:hAnsi="仿宋" w:eastAsia="仿宋" w:cs="仿宋"/>
          <w:sz w:val="32"/>
          <w:szCs w:val="32"/>
          <w:lang w:val="zh-CN" w:eastAsia="zh-CN"/>
        </w:rPr>
      </w:pPr>
      <w:r>
        <w:rPr>
          <w:rFonts w:hint="default" w:ascii="仿宋" w:hAnsi="仿宋" w:eastAsia="仿宋" w:cs="仿宋"/>
          <w:sz w:val="32"/>
          <w:szCs w:val="32"/>
          <w:lang w:val="en-US" w:eastAsia="zh-CN"/>
        </w:rPr>
        <w:t>常年项目绩效分析。</w:t>
      </w:r>
      <w:r>
        <w:rPr>
          <w:rFonts w:hint="default" w:ascii="仿宋" w:hAnsi="仿宋" w:eastAsia="仿宋" w:cs="仿宋"/>
          <w:sz w:val="32"/>
          <w:szCs w:val="32"/>
          <w:lang w:val="zh-CN" w:eastAsia="zh-CN"/>
        </w:rPr>
        <w:t>该类项目总数</w:t>
      </w:r>
      <w:r>
        <w:rPr>
          <w:rFonts w:hint="eastAsia" w:ascii="仿宋" w:hAnsi="仿宋" w:eastAsia="仿宋" w:cs="仿宋"/>
          <w:sz w:val="32"/>
          <w:szCs w:val="32"/>
          <w:lang w:val="en-US" w:eastAsia="zh-CN"/>
        </w:rPr>
        <w:t>1</w:t>
      </w:r>
      <w:r>
        <w:rPr>
          <w:rFonts w:hint="default" w:ascii="仿宋" w:hAnsi="仿宋" w:eastAsia="仿宋" w:cs="仿宋"/>
          <w:sz w:val="32"/>
          <w:szCs w:val="32"/>
          <w:lang w:val="zh-CN" w:eastAsia="zh-CN"/>
        </w:rPr>
        <w:t>个，涉及预算总金额</w:t>
      </w:r>
      <w:r>
        <w:rPr>
          <w:rFonts w:hint="eastAsia" w:ascii="仿宋" w:hAnsi="仿宋" w:eastAsia="仿宋" w:cs="仿宋"/>
          <w:sz w:val="32"/>
          <w:szCs w:val="32"/>
          <w:lang w:val="en-US" w:eastAsia="zh-CN"/>
        </w:rPr>
        <w:t>30</w:t>
      </w:r>
      <w:r>
        <w:rPr>
          <w:rFonts w:hint="default" w:ascii="仿宋" w:hAnsi="仿宋" w:eastAsia="仿宋" w:cs="仿宋"/>
          <w:sz w:val="32"/>
          <w:szCs w:val="32"/>
          <w:lang w:val="zh-CN" w:eastAsia="zh-CN"/>
        </w:rPr>
        <w:t>万元，1</w:t>
      </w:r>
      <w:r>
        <w:rPr>
          <w:rFonts w:hint="eastAsia" w:ascii="仿宋" w:hAnsi="仿宋" w:eastAsia="仿宋" w:cs="仿宋"/>
          <w:sz w:val="32"/>
          <w:szCs w:val="32"/>
          <w:lang w:val="zh-CN" w:eastAsia="zh-CN"/>
        </w:rPr>
        <w:t>—</w:t>
      </w:r>
      <w:r>
        <w:rPr>
          <w:rFonts w:hint="default" w:ascii="仿宋" w:hAnsi="仿宋" w:eastAsia="仿宋" w:cs="仿宋"/>
          <w:sz w:val="32"/>
          <w:szCs w:val="32"/>
          <w:lang w:val="zh-CN" w:eastAsia="zh-CN"/>
        </w:rPr>
        <w:t>1</w:t>
      </w:r>
      <w:r>
        <w:rPr>
          <w:rFonts w:hint="default" w:ascii="仿宋" w:hAnsi="仿宋" w:eastAsia="仿宋" w:cs="仿宋"/>
          <w:sz w:val="32"/>
          <w:szCs w:val="32"/>
          <w:lang w:val="en-US" w:eastAsia="zh-CN"/>
        </w:rPr>
        <w:t>2</w:t>
      </w:r>
      <w:r>
        <w:rPr>
          <w:rFonts w:hint="default" w:ascii="仿宋" w:hAnsi="仿宋" w:eastAsia="仿宋" w:cs="仿宋"/>
          <w:sz w:val="32"/>
          <w:szCs w:val="32"/>
          <w:lang w:val="zh-CN" w:eastAsia="zh-CN"/>
        </w:rPr>
        <w:t>月预算执行总体进度为</w:t>
      </w:r>
      <w:r>
        <w:rPr>
          <w:rFonts w:hint="eastAsia" w:ascii="仿宋" w:hAnsi="仿宋" w:eastAsia="仿宋" w:cs="仿宋"/>
          <w:sz w:val="32"/>
          <w:szCs w:val="32"/>
          <w:lang w:val="en-US" w:eastAsia="zh-CN"/>
        </w:rPr>
        <w:t>100</w:t>
      </w:r>
      <w:r>
        <w:rPr>
          <w:rFonts w:hint="default" w:ascii="仿宋" w:hAnsi="仿宋" w:eastAsia="仿宋" w:cs="仿宋"/>
          <w:sz w:val="32"/>
          <w:szCs w:val="32"/>
          <w:lang w:val="zh-CN" w:eastAsia="zh-CN"/>
        </w:rPr>
        <w:t>%，其中：预算结余率大于</w:t>
      </w:r>
      <w:r>
        <w:rPr>
          <w:rFonts w:hint="default" w:ascii="仿宋" w:hAnsi="仿宋" w:eastAsia="仿宋" w:cs="仿宋"/>
          <w:sz w:val="32"/>
          <w:szCs w:val="32"/>
          <w:lang w:val="en-US" w:eastAsia="zh-CN"/>
        </w:rPr>
        <w:t>10%</w:t>
      </w:r>
      <w:r>
        <w:rPr>
          <w:rFonts w:hint="default" w:ascii="仿宋" w:hAnsi="仿宋" w:eastAsia="仿宋" w:cs="仿宋"/>
          <w:sz w:val="32"/>
          <w:szCs w:val="32"/>
          <w:lang w:val="zh-CN" w:eastAsia="zh-CN"/>
        </w:rPr>
        <w:t>的项目共计</w:t>
      </w:r>
      <w:r>
        <w:rPr>
          <w:rFonts w:hint="eastAsia" w:ascii="仿宋" w:hAnsi="仿宋" w:eastAsia="仿宋" w:cs="仿宋"/>
          <w:sz w:val="32"/>
          <w:szCs w:val="32"/>
          <w:lang w:val="en-US" w:eastAsia="zh-CN"/>
        </w:rPr>
        <w:t>0</w:t>
      </w:r>
      <w:r>
        <w:rPr>
          <w:rFonts w:hint="default" w:ascii="仿宋" w:hAnsi="仿宋" w:eastAsia="仿宋" w:cs="仿宋"/>
          <w:sz w:val="32"/>
          <w:szCs w:val="32"/>
          <w:lang w:val="zh-CN" w:eastAsia="zh-CN"/>
        </w:rPr>
        <w:t>个。</w:t>
      </w:r>
    </w:p>
    <w:p w14:paraId="06F1391B">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default" w:ascii="仿宋" w:hAnsi="仿宋" w:eastAsia="仿宋" w:cs="仿宋"/>
          <w:sz w:val="32"/>
          <w:szCs w:val="32"/>
          <w:lang w:val="zh-CN" w:eastAsia="zh-CN"/>
        </w:rPr>
      </w:pPr>
      <w:r>
        <w:rPr>
          <w:rFonts w:hint="default" w:ascii="仿宋" w:hAnsi="仿宋" w:eastAsia="仿宋" w:cs="仿宋"/>
          <w:sz w:val="32"/>
          <w:szCs w:val="32"/>
          <w:lang w:val="en-US" w:eastAsia="zh-CN"/>
        </w:rPr>
        <w:t>阶段（</w:t>
      </w:r>
      <w:r>
        <w:rPr>
          <w:rFonts w:hint="eastAsia" w:ascii="仿宋" w:hAnsi="仿宋" w:eastAsia="仿宋" w:cs="仿宋"/>
          <w:sz w:val="32"/>
          <w:szCs w:val="32"/>
          <w:lang w:val="en-US" w:eastAsia="zh-CN"/>
        </w:rPr>
        <w:t>含</w:t>
      </w:r>
      <w:r>
        <w:rPr>
          <w:rFonts w:hint="default" w:ascii="仿宋" w:hAnsi="仿宋" w:eastAsia="仿宋" w:cs="仿宋"/>
          <w:sz w:val="32"/>
          <w:szCs w:val="32"/>
          <w:lang w:val="en-US" w:eastAsia="zh-CN"/>
        </w:rPr>
        <w:t>一次性）项目绩效分析。</w:t>
      </w:r>
      <w:r>
        <w:rPr>
          <w:rFonts w:hint="default" w:ascii="仿宋" w:hAnsi="仿宋" w:eastAsia="仿宋" w:cs="仿宋"/>
          <w:sz w:val="32"/>
          <w:szCs w:val="32"/>
          <w:lang w:val="zh-CN" w:eastAsia="zh-CN"/>
        </w:rPr>
        <w:t>该类项目总数</w:t>
      </w:r>
      <w:r>
        <w:rPr>
          <w:rFonts w:hint="eastAsia" w:ascii="仿宋" w:hAnsi="仿宋" w:eastAsia="仿宋" w:cs="仿宋"/>
          <w:sz w:val="32"/>
          <w:szCs w:val="32"/>
          <w:lang w:val="en-US" w:eastAsia="zh-CN"/>
        </w:rPr>
        <w:t>0</w:t>
      </w:r>
      <w:r>
        <w:rPr>
          <w:rFonts w:hint="default" w:ascii="仿宋" w:hAnsi="仿宋" w:eastAsia="仿宋" w:cs="仿宋"/>
          <w:sz w:val="32"/>
          <w:szCs w:val="32"/>
          <w:lang w:val="zh-CN" w:eastAsia="zh-CN"/>
        </w:rPr>
        <w:t>个，涉及预算总金额</w:t>
      </w:r>
      <w:r>
        <w:rPr>
          <w:rFonts w:hint="eastAsia" w:ascii="仿宋" w:hAnsi="仿宋" w:eastAsia="仿宋" w:cs="仿宋"/>
          <w:sz w:val="32"/>
          <w:szCs w:val="32"/>
          <w:lang w:val="en-US" w:eastAsia="zh-CN"/>
        </w:rPr>
        <w:t>0</w:t>
      </w:r>
      <w:r>
        <w:rPr>
          <w:rFonts w:hint="default" w:ascii="仿宋" w:hAnsi="仿宋" w:eastAsia="仿宋" w:cs="仿宋"/>
          <w:sz w:val="32"/>
          <w:szCs w:val="32"/>
          <w:lang w:val="zh-CN" w:eastAsia="zh-CN"/>
        </w:rPr>
        <w:t>万元，1</w:t>
      </w:r>
      <w:r>
        <w:rPr>
          <w:rFonts w:hint="eastAsia" w:ascii="仿宋" w:hAnsi="仿宋" w:eastAsia="仿宋" w:cs="仿宋"/>
          <w:sz w:val="32"/>
          <w:szCs w:val="32"/>
          <w:lang w:val="zh-CN" w:eastAsia="zh-CN"/>
        </w:rPr>
        <w:t>—</w:t>
      </w:r>
      <w:r>
        <w:rPr>
          <w:rFonts w:hint="default" w:ascii="仿宋" w:hAnsi="仿宋" w:eastAsia="仿宋" w:cs="仿宋"/>
          <w:sz w:val="32"/>
          <w:szCs w:val="32"/>
          <w:lang w:val="zh-CN" w:eastAsia="zh-CN"/>
        </w:rPr>
        <w:t>1</w:t>
      </w:r>
      <w:r>
        <w:rPr>
          <w:rFonts w:hint="default" w:ascii="仿宋" w:hAnsi="仿宋" w:eastAsia="仿宋" w:cs="仿宋"/>
          <w:sz w:val="32"/>
          <w:szCs w:val="32"/>
          <w:lang w:val="en-US" w:eastAsia="zh-CN"/>
        </w:rPr>
        <w:t>2</w:t>
      </w:r>
      <w:r>
        <w:rPr>
          <w:rFonts w:hint="default" w:ascii="仿宋" w:hAnsi="仿宋" w:eastAsia="仿宋" w:cs="仿宋"/>
          <w:sz w:val="32"/>
          <w:szCs w:val="32"/>
          <w:lang w:val="zh-CN" w:eastAsia="zh-CN"/>
        </w:rPr>
        <w:t>月预算执行总体进度为</w:t>
      </w:r>
      <w:r>
        <w:rPr>
          <w:rFonts w:hint="eastAsia" w:ascii="仿宋" w:hAnsi="仿宋" w:eastAsia="仿宋" w:cs="仿宋"/>
          <w:sz w:val="32"/>
          <w:szCs w:val="32"/>
          <w:lang w:val="en-US" w:eastAsia="zh-CN"/>
        </w:rPr>
        <w:t>0</w:t>
      </w:r>
      <w:r>
        <w:rPr>
          <w:rFonts w:hint="default" w:ascii="仿宋" w:hAnsi="仿宋" w:eastAsia="仿宋" w:cs="仿宋"/>
          <w:sz w:val="32"/>
          <w:szCs w:val="32"/>
          <w:lang w:val="zh-CN" w:eastAsia="zh-CN"/>
        </w:rPr>
        <w:t>%，其中：预算结余率大于</w:t>
      </w:r>
      <w:r>
        <w:rPr>
          <w:rFonts w:hint="default" w:ascii="仿宋" w:hAnsi="仿宋" w:eastAsia="仿宋" w:cs="仿宋"/>
          <w:sz w:val="32"/>
          <w:szCs w:val="32"/>
          <w:lang w:val="en-US" w:eastAsia="zh-CN"/>
        </w:rPr>
        <w:t>10%</w:t>
      </w:r>
      <w:r>
        <w:rPr>
          <w:rFonts w:hint="default" w:ascii="仿宋" w:hAnsi="仿宋" w:eastAsia="仿宋" w:cs="仿宋"/>
          <w:sz w:val="32"/>
          <w:szCs w:val="32"/>
          <w:lang w:val="zh-CN" w:eastAsia="zh-CN"/>
        </w:rPr>
        <w:t>的项目共计</w:t>
      </w:r>
      <w:r>
        <w:rPr>
          <w:rFonts w:hint="eastAsia" w:ascii="仿宋" w:hAnsi="仿宋" w:eastAsia="仿宋" w:cs="仿宋"/>
          <w:sz w:val="32"/>
          <w:szCs w:val="32"/>
          <w:lang w:val="en-US" w:eastAsia="zh-CN"/>
        </w:rPr>
        <w:t>0</w:t>
      </w:r>
      <w:r>
        <w:rPr>
          <w:rFonts w:hint="default" w:ascii="仿宋" w:hAnsi="仿宋" w:eastAsia="仿宋" w:cs="仿宋"/>
          <w:sz w:val="32"/>
          <w:szCs w:val="32"/>
          <w:lang w:val="zh-CN" w:eastAsia="zh-CN"/>
        </w:rPr>
        <w:t>个。</w:t>
      </w:r>
    </w:p>
    <w:p w14:paraId="55D77B1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default" w:ascii="Times New Roman" w:hAnsi="Times New Roman" w:eastAsia="仿宋_GB2312" w:cs="仿宋_GB2312"/>
          <w:color w:val="auto"/>
          <w:kern w:val="2"/>
          <w:sz w:val="32"/>
          <w:szCs w:val="32"/>
          <w:highlight w:val="none"/>
          <w:lang w:val="zh-CN" w:eastAsia="zh-CN" w:bidi="ar-SA"/>
        </w:rPr>
        <w:t>项目决策。</w:t>
      </w:r>
    </w:p>
    <w:p w14:paraId="4CD076EC">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outlineLvl w:val="9"/>
        <w:rPr>
          <w:rFonts w:hint="default" w:ascii="仿宋" w:hAnsi="仿宋" w:eastAsia="仿宋" w:cs="仿宋"/>
          <w:sz w:val="32"/>
          <w:szCs w:val="32"/>
          <w:lang w:val="zh-CN" w:eastAsia="zh-CN"/>
        </w:rPr>
      </w:pPr>
      <w:r>
        <w:rPr>
          <w:rFonts w:hint="eastAsia" w:ascii="仿宋" w:hAnsi="仿宋" w:eastAsia="仿宋" w:cs="仿宋"/>
          <w:sz w:val="32"/>
          <w:szCs w:val="32"/>
          <w:lang w:val="zh-CN" w:eastAsia="zh-CN"/>
        </w:rPr>
        <w:t>南木达法庭维修符合实际需求，有助于推动部门工作目标实现。</w:t>
      </w:r>
    </w:p>
    <w:p w14:paraId="480A7389">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en-US" w:eastAsia="zh-CN" w:bidi="ar-SA"/>
        </w:rPr>
        <w:t>项目执行</w:t>
      </w:r>
      <w:r>
        <w:rPr>
          <w:rFonts w:hint="default" w:ascii="Times New Roman" w:hAnsi="Times New Roman" w:eastAsia="仿宋_GB2312" w:cs="仿宋_GB2312"/>
          <w:color w:val="auto"/>
          <w:kern w:val="2"/>
          <w:sz w:val="32"/>
          <w:szCs w:val="32"/>
          <w:highlight w:val="none"/>
          <w:lang w:val="zh-CN" w:eastAsia="zh-CN" w:bidi="ar-SA"/>
        </w:rPr>
        <w:t>。</w:t>
      </w:r>
    </w:p>
    <w:p w14:paraId="76D81C6A">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仿宋" w:hAnsi="仿宋" w:eastAsia="仿宋" w:cs="仿宋"/>
          <w:sz w:val="32"/>
          <w:szCs w:val="32"/>
          <w:lang w:val="zh-CN" w:eastAsia="zh-CN"/>
        </w:rPr>
        <w:t>预算执行进度均衡，不存在预算调整随意、资金闲置或挪用等问题</w:t>
      </w:r>
      <w:r>
        <w:rPr>
          <w:rFonts w:hint="eastAsia" w:ascii="Times New Roman" w:hAnsi="Times New Roman" w:eastAsia="仿宋_GB2312" w:cs="仿宋_GB2312"/>
          <w:color w:val="auto"/>
          <w:kern w:val="2"/>
          <w:sz w:val="32"/>
          <w:szCs w:val="32"/>
          <w:highlight w:val="none"/>
          <w:lang w:val="zh-CN" w:eastAsia="zh-CN" w:bidi="ar-SA"/>
        </w:rPr>
        <w:t>。</w:t>
      </w:r>
    </w:p>
    <w:p w14:paraId="356355D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目标实现。</w:t>
      </w:r>
    </w:p>
    <w:p w14:paraId="2334C33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2024年度内完成南木达法庭维修项目</w:t>
      </w:r>
      <w:r>
        <w:rPr>
          <w:rFonts w:hint="default" w:ascii="仿宋" w:hAnsi="仿宋" w:eastAsia="仿宋" w:cs="仿宋"/>
          <w:sz w:val="32"/>
          <w:szCs w:val="32"/>
          <w:lang w:val="zh-CN" w:eastAsia="zh-CN"/>
        </w:rPr>
        <w:t>。</w:t>
      </w:r>
    </w:p>
    <w:p w14:paraId="2FC381DB">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 w:hAnsi="仿宋" w:eastAsia="仿宋" w:cs="仿宋"/>
          <w:sz w:val="32"/>
          <w:szCs w:val="32"/>
          <w:lang w:val="en-US" w:eastAsia="zh-CN"/>
        </w:rPr>
        <w:t>2024</w:t>
      </w:r>
      <w:r>
        <w:rPr>
          <w:rFonts w:hint="eastAsia" w:ascii="仿宋" w:hAnsi="仿宋" w:eastAsia="仿宋" w:cs="仿宋"/>
          <w:color w:val="auto"/>
          <w:kern w:val="2"/>
          <w:sz w:val="32"/>
          <w:szCs w:val="32"/>
          <w:highlight w:val="none"/>
          <w:lang w:val="en-US" w:eastAsia="zh-CN" w:bidi="ar-SA"/>
        </w:rPr>
        <w:t>年在政府网站公开了当年预算、决算；2024年全面落实绩效管理，通过绩效管理有效的提高了财经政策、改进了管理方式、实现了与预算挂钩。</w:t>
      </w:r>
    </w:p>
    <w:p w14:paraId="4EFC132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0AF6750C">
      <w:pPr>
        <w:pStyle w:val="2"/>
        <w:ind w:firstLine="643" w:firstLineChars="200"/>
        <w:rPr>
          <w:rFonts w:hint="default" w:ascii="仿宋" w:hAnsi="仿宋" w:eastAsia="仿宋" w:cs="仿宋"/>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仿宋" w:hAnsi="仿宋" w:eastAsia="仿宋" w:cs="仿宋"/>
          <w:kern w:val="2"/>
          <w:sz w:val="32"/>
          <w:szCs w:val="32"/>
          <w:lang w:val="en-US" w:eastAsia="zh-CN" w:bidi="ar-SA"/>
        </w:rPr>
        <w:t>院高度重视绩效管理工作，安排专人负责，并指定一名分管财务的领导具体分管，对2024年的财务绩效管理工作总体评价结果为94分。</w:t>
      </w:r>
    </w:p>
    <w:p w14:paraId="3720FF2A">
      <w:pPr>
        <w:widowControl/>
        <w:adjustRightInd w:val="0"/>
        <w:snapToGrid w:val="0"/>
        <w:ind w:firstLine="643" w:firstLineChars="200"/>
        <w:contextualSpacing/>
        <w:jc w:val="left"/>
        <w:rPr>
          <w:rFonts w:eastAsia="仿宋_GB2312" w:cs="仿宋_GB2312"/>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（二）存在问题。</w:t>
      </w:r>
      <w:r>
        <w:rPr>
          <w:rFonts w:hint="eastAsia" w:ascii="仿宋" w:hAnsi="仿宋" w:eastAsia="仿宋" w:cs="仿宋"/>
          <w:kern w:val="2"/>
          <w:sz w:val="32"/>
          <w:szCs w:val="32"/>
          <w:lang w:val="en-US" w:eastAsia="zh-CN" w:bidi="ar-SA"/>
        </w:rPr>
        <w:t>政法转移支付办案业务经费的适用范围有限，部分日常事务只能用办公经费支付，导致业务经费使用效益不高，资金支付进度较慢。</w:t>
      </w:r>
    </w:p>
    <w:p w14:paraId="4549AF0B">
      <w:pPr>
        <w:widowControl/>
        <w:adjustRightInd w:val="0"/>
        <w:snapToGrid w:val="0"/>
        <w:ind w:firstLine="643" w:firstLineChars="200"/>
        <w:contextualSpacing/>
        <w:jc w:val="left"/>
        <w:rPr>
          <w:rFonts w:hint="eastAsia"/>
          <w:lang w:val="zh-CN" w:eastAsia="zh-CN"/>
        </w:rPr>
      </w:pPr>
      <w:r>
        <w:rPr>
          <w:rFonts w:eastAsia="楷体_GB2312"/>
          <w:b/>
          <w:bCs/>
          <w:color w:val="000000"/>
          <w:kern w:val="0"/>
          <w:sz w:val="32"/>
          <w:szCs w:val="32"/>
          <w:shd w:val="clear" w:color="auto" w:fill="FFFFFF"/>
          <w:lang w:val="zh-CN"/>
        </w:rPr>
        <w:t>（三）改进建议。</w:t>
      </w:r>
      <w:r>
        <w:rPr>
          <w:rFonts w:hint="eastAsia" w:ascii="仿宋" w:hAnsi="仿宋" w:eastAsia="仿宋" w:cs="仿宋"/>
          <w:kern w:val="2"/>
          <w:sz w:val="32"/>
          <w:szCs w:val="32"/>
          <w:lang w:val="en-US" w:eastAsia="zh-CN" w:bidi="ar-SA"/>
        </w:rPr>
        <w:t>一是制定合理的年度工作计划和年度经费支出预算，及时调整不合理的支出，确保全年经费支出均衡。二是将经费使用情况及时向分管领导报告，并强化与业务部门的沟通衔接，切实提高资金使用效益。</w:t>
      </w:r>
    </w:p>
    <w:p w14:paraId="57517691">
      <w:pPr>
        <w:pStyle w:val="3"/>
        <w:spacing w:after="0"/>
        <w:ind w:left="0" w:leftChars="0" w:firstLine="640"/>
        <w:rPr>
          <w:rFonts w:hint="eastAsia" w:ascii="Times New Roman" w:eastAsia="仿宋_GB2312"/>
          <w:sz w:val="32"/>
          <w:lang w:val="zh-CN"/>
        </w:rPr>
      </w:pPr>
    </w:p>
    <w:p w14:paraId="7EE5BFAB">
      <w:pPr>
        <w:pStyle w:val="3"/>
        <w:spacing w:after="0"/>
        <w:ind w:left="0" w:leftChars="0" w:firstLine="640"/>
        <w:rPr>
          <w:rFonts w:ascii="Times New Roman" w:eastAsia="仿宋_GB2312"/>
          <w:sz w:val="32"/>
          <w:lang w:val="zh-CN"/>
        </w:rPr>
      </w:pPr>
      <w:r>
        <w:rPr>
          <w:rFonts w:hint="eastAsia" w:ascii="Times New Roman" w:eastAsia="仿宋_GB2312"/>
          <w:sz w:val="32"/>
          <w:lang w:val="zh-CN"/>
        </w:rPr>
        <w:t>附表：</w:t>
      </w:r>
      <w:r>
        <w:rPr>
          <w:rFonts w:hint="eastAsia" w:ascii="Times New Roman" w:eastAsia="仿宋_GB2312"/>
          <w:sz w:val="32"/>
        </w:rPr>
        <w:t>部门预算项目支出绩效自评表（2024年度）</w:t>
      </w:r>
    </w:p>
    <w:tbl>
      <w:tblPr>
        <w:tblStyle w:val="16"/>
        <w:tblW w:w="10859" w:type="dxa"/>
        <w:jc w:val="center"/>
        <w:tblLayout w:type="fixed"/>
        <w:tblCellMar>
          <w:top w:w="0" w:type="dxa"/>
          <w:left w:w="108" w:type="dxa"/>
          <w:bottom w:w="0" w:type="dxa"/>
          <w:right w:w="108" w:type="dxa"/>
        </w:tblCellMar>
      </w:tblPr>
      <w:tblGrid>
        <w:gridCol w:w="1008"/>
        <w:gridCol w:w="1467"/>
        <w:gridCol w:w="1671"/>
        <w:gridCol w:w="723"/>
        <w:gridCol w:w="4821"/>
        <w:gridCol w:w="870"/>
        <w:gridCol w:w="299"/>
      </w:tblGrid>
      <w:tr w14:paraId="369A84B7">
        <w:tblPrEx>
          <w:tblCellMar>
            <w:top w:w="0" w:type="dxa"/>
            <w:left w:w="108" w:type="dxa"/>
            <w:bottom w:w="0" w:type="dxa"/>
            <w:right w:w="108" w:type="dxa"/>
          </w:tblCellMar>
        </w:tblPrEx>
        <w:trPr>
          <w:trHeight w:val="23" w:hRule="atLeast"/>
          <w:jc w:val="center"/>
        </w:trPr>
        <w:tc>
          <w:tcPr>
            <w:tcW w:w="48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4475A9">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绩效评价指标指标分值</w:t>
            </w:r>
          </w:p>
        </w:tc>
        <w:tc>
          <w:tcPr>
            <w:tcW w:w="48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3BD9A">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指标解释</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789482E7">
            <w:pPr>
              <w:widowControl/>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自评得分</w:t>
            </w:r>
          </w:p>
        </w:tc>
        <w:tc>
          <w:tcPr>
            <w:tcW w:w="299" w:type="dxa"/>
            <w:vMerge w:val="restart"/>
            <w:tcBorders>
              <w:top w:val="single" w:color="000000" w:sz="4" w:space="0"/>
              <w:left w:val="single" w:color="000000" w:sz="4" w:space="0"/>
              <w:right w:val="single" w:color="000000" w:sz="4" w:space="0"/>
            </w:tcBorders>
            <w:shd w:val="clear" w:color="auto" w:fill="auto"/>
            <w:vAlign w:val="center"/>
          </w:tcPr>
          <w:p w14:paraId="33CA9CE1">
            <w:pPr>
              <w:widowControl/>
              <w:jc w:val="center"/>
              <w:textAlignment w:val="center"/>
              <w:rPr>
                <w:rFonts w:ascii="黑体" w:hAnsi="宋体" w:eastAsia="黑体" w:cs="黑体"/>
                <w:color w:val="000000"/>
                <w:kern w:val="0"/>
                <w:sz w:val="24"/>
              </w:rPr>
            </w:pPr>
            <w:r>
              <w:rPr>
                <w:rFonts w:hint="eastAsia" w:ascii="黑体" w:hAnsi="宋体" w:eastAsia="黑体" w:cs="黑体"/>
                <w:color w:val="000000"/>
                <w:kern w:val="0"/>
                <w:sz w:val="24"/>
              </w:rPr>
              <w:t>备注</w:t>
            </w:r>
          </w:p>
        </w:tc>
      </w:tr>
      <w:tr w14:paraId="03CE98AC">
        <w:tblPrEx>
          <w:tblCellMar>
            <w:top w:w="0" w:type="dxa"/>
            <w:left w:w="108" w:type="dxa"/>
            <w:bottom w:w="0" w:type="dxa"/>
            <w:right w:w="108" w:type="dxa"/>
          </w:tblCellMar>
        </w:tblPrEx>
        <w:trPr>
          <w:trHeight w:val="23" w:hRule="atLeast"/>
          <w:jc w:val="center"/>
        </w:trPr>
        <w:tc>
          <w:tcPr>
            <w:tcW w:w="1008" w:type="dxa"/>
            <w:tcBorders>
              <w:top w:val="single" w:color="000000" w:sz="4" w:space="0"/>
              <w:left w:val="single" w:color="000000" w:sz="4" w:space="0"/>
              <w:bottom w:val="single" w:color="000000" w:sz="4" w:space="0"/>
              <w:right w:val="nil"/>
            </w:tcBorders>
            <w:shd w:val="clear" w:color="auto" w:fill="auto"/>
            <w:vAlign w:val="center"/>
          </w:tcPr>
          <w:p w14:paraId="4EC66621">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一级指标</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4AF4">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二级指标</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76295">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三级指标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8AD5">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rPr>
              <w:t>指标</w:t>
            </w:r>
            <w:r>
              <w:rPr>
                <w:rFonts w:hint="eastAsia" w:ascii="黑体" w:hAnsi="宋体" w:eastAsia="黑体" w:cs="黑体"/>
                <w:color w:val="000000"/>
                <w:kern w:val="0"/>
                <w:sz w:val="24"/>
              </w:rPr>
              <w:br w:type="textWrapping"/>
            </w:r>
            <w:r>
              <w:rPr>
                <w:rFonts w:hint="eastAsia" w:ascii="黑体" w:hAnsi="宋体" w:eastAsia="黑体" w:cs="黑体"/>
                <w:color w:val="000000"/>
                <w:kern w:val="0"/>
                <w:sz w:val="24"/>
              </w:rPr>
              <w:t>分值</w:t>
            </w:r>
          </w:p>
        </w:tc>
        <w:tc>
          <w:tcPr>
            <w:tcW w:w="48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79387">
            <w:pPr>
              <w:widowControl/>
              <w:jc w:val="center"/>
              <w:rPr>
                <w:rFonts w:ascii="黑体" w:hAnsi="宋体" w:eastAsia="黑体" w:cs="黑体"/>
                <w:color w:val="000000"/>
                <w:sz w:val="24"/>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5A0A5F6B">
            <w:pPr>
              <w:widowControl/>
              <w:jc w:val="center"/>
              <w:rPr>
                <w:rFonts w:ascii="黑体" w:hAnsi="宋体" w:eastAsia="黑体" w:cs="黑体"/>
                <w:color w:val="000000"/>
                <w:sz w:val="24"/>
              </w:rPr>
            </w:pPr>
          </w:p>
        </w:tc>
        <w:tc>
          <w:tcPr>
            <w:tcW w:w="299" w:type="dxa"/>
            <w:vMerge w:val="continue"/>
            <w:tcBorders>
              <w:left w:val="single" w:color="000000" w:sz="4" w:space="0"/>
              <w:bottom w:val="single" w:color="000000" w:sz="4" w:space="0"/>
              <w:right w:val="single" w:color="000000" w:sz="4" w:space="0"/>
            </w:tcBorders>
            <w:shd w:val="clear" w:color="auto" w:fill="auto"/>
            <w:vAlign w:val="center"/>
          </w:tcPr>
          <w:p w14:paraId="76D2F42D">
            <w:pPr>
              <w:widowControl/>
              <w:jc w:val="center"/>
              <w:rPr>
                <w:rFonts w:ascii="黑体" w:hAnsi="宋体" w:eastAsia="黑体" w:cs="黑体"/>
                <w:color w:val="000000"/>
                <w:sz w:val="24"/>
              </w:rPr>
            </w:pPr>
          </w:p>
        </w:tc>
      </w:tr>
      <w:tr w14:paraId="2AF44684">
        <w:tblPrEx>
          <w:tblCellMar>
            <w:top w:w="0" w:type="dxa"/>
            <w:left w:w="108" w:type="dxa"/>
            <w:bottom w:w="0" w:type="dxa"/>
            <w:right w:w="108" w:type="dxa"/>
          </w:tblCellMar>
        </w:tblPrEx>
        <w:trPr>
          <w:trHeight w:val="23" w:hRule="atLeast"/>
          <w:jc w:val="center"/>
        </w:trPr>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92B2E">
            <w:pPr>
              <w:widowControl/>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87E1">
            <w:pPr>
              <w:widowControl/>
              <w:jc w:val="center"/>
              <w:textAlignment w:val="center"/>
              <w:rPr>
                <w:rFonts w:ascii="宋体" w:hAnsi="宋体" w:cs="宋体"/>
                <w:b/>
                <w:color w:val="000000"/>
                <w:sz w:val="24"/>
              </w:rPr>
            </w:pPr>
            <w:r>
              <w:rPr>
                <w:rFonts w:hint="eastAsia" w:ascii="宋体" w:hAnsi="宋体" w:cs="宋体"/>
                <w:b/>
                <w:color w:val="000000"/>
                <w:kern w:val="0"/>
                <w:sz w:val="24"/>
              </w:rPr>
              <w:t>履职效能</w:t>
            </w:r>
            <w:r>
              <w:rPr>
                <w:rFonts w:hint="eastAsia" w:ascii="宋体" w:hAnsi="宋体" w:cs="宋体"/>
                <w:b/>
                <w:color w:val="000000"/>
                <w:kern w:val="0"/>
                <w:sz w:val="24"/>
              </w:rPr>
              <w:br w:type="textWrapping"/>
            </w:r>
            <w:r>
              <w:rPr>
                <w:rFonts w:hint="eastAsia" w:ascii="宋体" w:hAnsi="宋体" w:cs="宋体"/>
                <w:b/>
                <w:color w:val="000000"/>
                <w:kern w:val="0"/>
                <w:sz w:val="24"/>
              </w:rPr>
              <w:t>（15分）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2F6F">
            <w:pPr>
              <w:widowControl/>
              <w:jc w:val="center"/>
              <w:textAlignment w:val="center"/>
              <w:rPr>
                <w:rFonts w:ascii="宋体" w:hAnsi="宋体" w:cs="宋体"/>
                <w:color w:val="000000"/>
                <w:sz w:val="24"/>
              </w:rPr>
            </w:pPr>
            <w:r>
              <w:rPr>
                <w:rFonts w:hint="eastAsia" w:ascii="宋体" w:hAnsi="宋体" w:cs="宋体"/>
                <w:color w:val="000000"/>
                <w:kern w:val="0"/>
                <w:sz w:val="24"/>
              </w:rPr>
              <w:t>履职效果</w:t>
            </w:r>
          </w:p>
        </w:tc>
        <w:tc>
          <w:tcPr>
            <w:tcW w:w="723" w:type="dxa"/>
            <w:tcBorders>
              <w:top w:val="nil"/>
              <w:left w:val="single" w:color="000000" w:sz="4" w:space="0"/>
              <w:bottom w:val="single" w:color="000000" w:sz="4" w:space="0"/>
              <w:right w:val="single" w:color="000000" w:sz="4" w:space="0"/>
            </w:tcBorders>
            <w:shd w:val="clear" w:color="auto" w:fill="auto"/>
            <w:vAlign w:val="center"/>
          </w:tcPr>
          <w:p w14:paraId="687C12ED">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112C">
            <w:pPr>
              <w:widowControl/>
              <w:jc w:val="left"/>
              <w:textAlignment w:val="center"/>
              <w:rPr>
                <w:rFonts w:ascii="宋体" w:hAnsi="宋体" w:cs="宋体"/>
                <w:color w:val="000000"/>
                <w:sz w:val="24"/>
              </w:rPr>
            </w:pPr>
            <w:r>
              <w:rPr>
                <w:rFonts w:hint="eastAsia" w:ascii="宋体" w:hAnsi="宋体" w:cs="宋体"/>
                <w:color w:val="000000"/>
                <w:kern w:val="0"/>
                <w:sz w:val="24"/>
              </w:rPr>
              <w:t>部门整体绩效目标中选定3-5个核心职能目标，反映该项职能目标完成效果情况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BF6D">
            <w:pPr>
              <w:widowControl/>
              <w:jc w:val="left"/>
              <w:textAlignment w:val="center"/>
              <w:rPr>
                <w:rFonts w:ascii="宋体" w:hAnsi="宋体" w:cs="宋体"/>
                <w:color w:val="000000"/>
                <w:kern w:val="0"/>
                <w:sz w:val="24"/>
              </w:rPr>
            </w:pPr>
            <w:r>
              <w:rPr>
                <w:rFonts w:hint="eastAsia" w:ascii="宋体" w:hAnsi="宋体" w:cs="宋体"/>
                <w:color w:val="000000"/>
                <w:kern w:val="0"/>
                <w:sz w:val="24"/>
              </w:rPr>
              <w:t>15</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C9F3">
            <w:pPr>
              <w:widowControl/>
              <w:jc w:val="left"/>
              <w:textAlignment w:val="center"/>
              <w:rPr>
                <w:rFonts w:ascii="宋体" w:hAnsi="宋体" w:cs="宋体"/>
                <w:color w:val="000000"/>
                <w:kern w:val="0"/>
                <w:sz w:val="24"/>
              </w:rPr>
            </w:pPr>
          </w:p>
        </w:tc>
      </w:tr>
      <w:tr w14:paraId="1CF56CBC">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D08AB">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5717E">
            <w:pPr>
              <w:widowControl/>
              <w:jc w:val="center"/>
              <w:textAlignment w:val="center"/>
              <w:rPr>
                <w:rFonts w:ascii="宋体" w:hAnsi="宋体" w:cs="宋体"/>
                <w:b/>
                <w:color w:val="000000"/>
                <w:sz w:val="24"/>
              </w:rPr>
            </w:pPr>
            <w:r>
              <w:rPr>
                <w:rFonts w:hint="eastAsia" w:ascii="宋体" w:hAnsi="宋体" w:cs="宋体"/>
                <w:b/>
                <w:color w:val="000000"/>
                <w:kern w:val="0"/>
                <w:sz w:val="24"/>
              </w:rPr>
              <w:t>预算管理</w:t>
            </w:r>
            <w:r>
              <w:rPr>
                <w:rFonts w:hint="eastAsia" w:ascii="宋体" w:hAnsi="宋体" w:cs="宋体"/>
                <w:b/>
                <w:color w:val="000000"/>
                <w:kern w:val="0"/>
                <w:sz w:val="24"/>
              </w:rPr>
              <w:br w:type="textWrapping"/>
            </w:r>
            <w:r>
              <w:rPr>
                <w:rFonts w:hint="eastAsia" w:ascii="宋体" w:hAnsi="宋体" w:cs="宋体"/>
                <w:b/>
                <w:color w:val="000000"/>
                <w:kern w:val="0"/>
                <w:sz w:val="24"/>
              </w:rPr>
              <w:t>（25分）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B712">
            <w:pPr>
              <w:widowControl/>
              <w:jc w:val="center"/>
              <w:textAlignment w:val="center"/>
              <w:rPr>
                <w:rFonts w:ascii="宋体" w:hAnsi="宋体" w:cs="宋体"/>
                <w:color w:val="000000"/>
                <w:sz w:val="24"/>
              </w:rPr>
            </w:pPr>
            <w:r>
              <w:rPr>
                <w:rFonts w:hint="eastAsia" w:ascii="宋体" w:hAnsi="宋体" w:cs="宋体"/>
                <w:color w:val="000000"/>
                <w:kern w:val="0"/>
                <w:sz w:val="24"/>
              </w:rPr>
              <w:t>预算编制质量</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7479">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99F8">
            <w:pPr>
              <w:widowControl/>
              <w:jc w:val="left"/>
              <w:textAlignment w:val="center"/>
              <w:rPr>
                <w:rFonts w:ascii="宋体" w:hAnsi="宋体" w:cs="宋体"/>
                <w:color w:val="000000"/>
                <w:sz w:val="24"/>
              </w:rPr>
            </w:pPr>
            <w:r>
              <w:rPr>
                <w:rFonts w:hint="eastAsia" w:ascii="宋体" w:hAnsi="宋体" w:cs="宋体"/>
                <w:color w:val="000000"/>
                <w:kern w:val="0"/>
                <w:sz w:val="24"/>
              </w:rPr>
              <w:t>部门是否严格按要求编制年初部门预算，年初预算编制的科学性和准确性</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B2EE">
            <w:pPr>
              <w:widowControl/>
              <w:jc w:val="left"/>
              <w:textAlignment w:val="center"/>
              <w:rPr>
                <w:rFonts w:ascii="宋体" w:hAnsi="宋体" w:cs="宋体"/>
                <w:color w:val="000000"/>
                <w:kern w:val="0"/>
                <w:sz w:val="24"/>
              </w:rPr>
            </w:pPr>
            <w:r>
              <w:rPr>
                <w:rFonts w:hint="eastAsia" w:ascii="宋体" w:hAnsi="宋体" w:cs="宋体"/>
                <w:color w:val="000000"/>
                <w:kern w:val="0"/>
                <w:sz w:val="24"/>
              </w:rPr>
              <w:t>8</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E707">
            <w:pPr>
              <w:widowControl/>
              <w:jc w:val="left"/>
              <w:textAlignment w:val="center"/>
              <w:rPr>
                <w:rFonts w:ascii="宋体" w:hAnsi="宋体" w:cs="宋体"/>
                <w:color w:val="000000"/>
                <w:kern w:val="0"/>
                <w:sz w:val="24"/>
              </w:rPr>
            </w:pPr>
          </w:p>
        </w:tc>
      </w:tr>
      <w:tr w14:paraId="1E4395B4">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13C2E">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F7553">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6691">
            <w:pPr>
              <w:widowControl/>
              <w:jc w:val="center"/>
              <w:textAlignment w:val="center"/>
              <w:rPr>
                <w:rFonts w:ascii="宋体" w:hAnsi="宋体" w:cs="宋体"/>
                <w:color w:val="000000"/>
                <w:sz w:val="24"/>
              </w:rPr>
            </w:pPr>
            <w:r>
              <w:rPr>
                <w:rFonts w:hint="eastAsia" w:ascii="宋体" w:hAnsi="宋体" w:cs="宋体"/>
                <w:color w:val="000000"/>
                <w:kern w:val="0"/>
                <w:sz w:val="24"/>
              </w:rPr>
              <w:t>单位收入统筹</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78DA">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4A34">
            <w:pPr>
              <w:widowControl/>
              <w:jc w:val="left"/>
              <w:textAlignment w:val="center"/>
              <w:rPr>
                <w:rFonts w:ascii="宋体" w:hAnsi="宋体" w:cs="宋体"/>
                <w:color w:val="000000"/>
                <w:sz w:val="24"/>
              </w:rPr>
            </w:pPr>
            <w:r>
              <w:rPr>
                <w:rFonts w:hint="eastAsia" w:ascii="宋体" w:hAnsi="宋体" w:cs="宋体"/>
                <w:color w:val="000000"/>
                <w:kern w:val="0"/>
                <w:sz w:val="24"/>
              </w:rPr>
              <w:t>部门统筹自有收入程度</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DA4A">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A9A7">
            <w:pPr>
              <w:widowControl/>
              <w:jc w:val="left"/>
              <w:textAlignment w:val="center"/>
              <w:rPr>
                <w:rFonts w:ascii="宋体" w:hAnsi="宋体" w:cs="宋体"/>
                <w:color w:val="000000"/>
                <w:kern w:val="0"/>
                <w:sz w:val="24"/>
              </w:rPr>
            </w:pPr>
          </w:p>
        </w:tc>
      </w:tr>
      <w:tr w14:paraId="00D4F87B">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3CED5">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26304">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CD79">
            <w:pPr>
              <w:widowControl/>
              <w:jc w:val="center"/>
              <w:textAlignment w:val="center"/>
              <w:rPr>
                <w:rFonts w:ascii="宋体" w:hAnsi="宋体" w:cs="宋体"/>
                <w:color w:val="000000"/>
                <w:sz w:val="24"/>
              </w:rPr>
            </w:pPr>
            <w:r>
              <w:rPr>
                <w:rFonts w:hint="eastAsia" w:ascii="宋体" w:hAnsi="宋体" w:cs="宋体"/>
                <w:color w:val="000000"/>
                <w:kern w:val="0"/>
                <w:sz w:val="24"/>
              </w:rPr>
              <w:t>支出执行进度</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4B66">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D76D">
            <w:pPr>
              <w:widowControl/>
              <w:jc w:val="left"/>
              <w:textAlignment w:val="center"/>
              <w:rPr>
                <w:rFonts w:ascii="宋体" w:hAnsi="宋体" w:cs="宋体"/>
                <w:color w:val="000000"/>
                <w:sz w:val="24"/>
              </w:rPr>
            </w:pPr>
            <w:r>
              <w:rPr>
                <w:rFonts w:hint="eastAsia" w:ascii="宋体" w:hAnsi="宋体" w:cs="宋体"/>
                <w:color w:val="000000"/>
                <w:kern w:val="0"/>
                <w:sz w:val="24"/>
              </w:rPr>
              <w:t>部门1至6月、1至10月预算执行情况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33C2">
            <w:pPr>
              <w:widowControl/>
              <w:jc w:val="left"/>
              <w:textAlignment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6</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73D8">
            <w:pPr>
              <w:widowControl/>
              <w:jc w:val="left"/>
              <w:textAlignment w:val="center"/>
              <w:rPr>
                <w:rFonts w:ascii="宋体" w:hAnsi="宋体" w:cs="宋体"/>
                <w:color w:val="000000"/>
                <w:kern w:val="0"/>
                <w:sz w:val="24"/>
              </w:rPr>
            </w:pPr>
          </w:p>
        </w:tc>
      </w:tr>
      <w:tr w14:paraId="2C32B944">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CEF55">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B3A3F">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EF51">
            <w:pPr>
              <w:widowControl/>
              <w:jc w:val="center"/>
              <w:textAlignment w:val="center"/>
              <w:rPr>
                <w:rFonts w:ascii="宋体" w:hAnsi="宋体" w:cs="宋体"/>
                <w:color w:val="000000"/>
                <w:sz w:val="24"/>
              </w:rPr>
            </w:pPr>
            <w:r>
              <w:rPr>
                <w:rFonts w:hint="eastAsia" w:ascii="宋体" w:hAnsi="宋体" w:cs="宋体"/>
                <w:color w:val="000000"/>
                <w:kern w:val="0"/>
                <w:sz w:val="24"/>
              </w:rPr>
              <w:t>预算年终结余</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B575">
            <w:pPr>
              <w:widowControl/>
              <w:jc w:val="center"/>
              <w:textAlignment w:val="center"/>
              <w:rPr>
                <w:rFonts w:ascii="宋体" w:hAnsi="宋体" w:cs="宋体"/>
                <w:color w:val="000000"/>
                <w:sz w:val="24"/>
              </w:rPr>
            </w:pPr>
            <w:r>
              <w:rPr>
                <w:rFonts w:hint="eastAsia" w:ascii="宋体" w:hAnsi="宋体" w:cs="宋体"/>
                <w:color w:val="000000"/>
                <w:kern w:val="0"/>
                <w:sz w:val="24"/>
              </w:rPr>
              <w:t>2</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0608">
            <w:pPr>
              <w:widowControl/>
              <w:jc w:val="left"/>
              <w:textAlignment w:val="center"/>
              <w:rPr>
                <w:rFonts w:ascii="宋体" w:hAnsi="宋体" w:cs="宋体"/>
                <w:color w:val="000000"/>
                <w:sz w:val="24"/>
              </w:rPr>
            </w:pPr>
            <w:r>
              <w:rPr>
                <w:rFonts w:hint="eastAsia" w:ascii="宋体" w:hAnsi="宋体" w:cs="宋体"/>
                <w:color w:val="000000"/>
                <w:kern w:val="0"/>
                <w:sz w:val="24"/>
              </w:rPr>
              <w:t>部门整体年终预算结余情况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061D">
            <w:pPr>
              <w:widowControl/>
              <w:jc w:val="left"/>
              <w:textAlignment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52AB">
            <w:pPr>
              <w:widowControl/>
              <w:jc w:val="left"/>
              <w:textAlignment w:val="center"/>
              <w:rPr>
                <w:rFonts w:ascii="宋体" w:hAnsi="宋体" w:cs="宋体"/>
                <w:color w:val="000000"/>
                <w:kern w:val="0"/>
                <w:sz w:val="24"/>
              </w:rPr>
            </w:pPr>
          </w:p>
        </w:tc>
      </w:tr>
      <w:tr w14:paraId="758767F7">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2D5AA">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828BA">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32B5">
            <w:pPr>
              <w:widowControl/>
              <w:jc w:val="center"/>
              <w:textAlignment w:val="center"/>
              <w:rPr>
                <w:rFonts w:ascii="宋体" w:hAnsi="宋体" w:cs="宋体"/>
                <w:color w:val="000000"/>
                <w:sz w:val="24"/>
              </w:rPr>
            </w:pPr>
            <w:r>
              <w:rPr>
                <w:rFonts w:hint="eastAsia" w:ascii="宋体" w:hAnsi="宋体" w:cs="宋体"/>
                <w:color w:val="000000"/>
                <w:kern w:val="0"/>
                <w:sz w:val="24"/>
              </w:rPr>
              <w:t>严控一般性支出</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4C6D">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7548">
            <w:pPr>
              <w:widowControl/>
              <w:jc w:val="left"/>
              <w:textAlignment w:val="center"/>
              <w:rPr>
                <w:rFonts w:ascii="宋体" w:hAnsi="宋体" w:cs="宋体"/>
                <w:color w:val="000000"/>
                <w:sz w:val="24"/>
              </w:rPr>
            </w:pPr>
            <w:r>
              <w:rPr>
                <w:rFonts w:hint="eastAsia" w:ascii="宋体" w:hAnsi="宋体" w:cs="宋体"/>
                <w:color w:val="000000"/>
                <w:kern w:val="0"/>
                <w:sz w:val="24"/>
              </w:rPr>
              <w:t>部门严控“三公”经费、会议、培训、差旅、办节办展、办公设备购置、信息网络及软件购置更新、课题经费等8项一般性支出情况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69B6">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21657">
            <w:pPr>
              <w:widowControl/>
              <w:jc w:val="left"/>
              <w:textAlignment w:val="center"/>
              <w:rPr>
                <w:rFonts w:ascii="宋体" w:hAnsi="宋体" w:cs="宋体"/>
                <w:color w:val="000000"/>
                <w:kern w:val="0"/>
                <w:sz w:val="24"/>
              </w:rPr>
            </w:pPr>
          </w:p>
        </w:tc>
      </w:tr>
      <w:tr w14:paraId="2F6717F7">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D622">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B0319">
            <w:pPr>
              <w:widowControl/>
              <w:jc w:val="center"/>
              <w:textAlignment w:val="center"/>
              <w:rPr>
                <w:rFonts w:ascii="宋体" w:hAnsi="宋体" w:cs="宋体"/>
                <w:b/>
                <w:color w:val="000000"/>
                <w:sz w:val="24"/>
              </w:rPr>
            </w:pPr>
            <w:r>
              <w:rPr>
                <w:rFonts w:hint="eastAsia" w:ascii="宋体" w:hAnsi="宋体" w:cs="宋体"/>
                <w:b/>
                <w:color w:val="000000"/>
                <w:kern w:val="0"/>
                <w:sz w:val="24"/>
              </w:rPr>
              <w:t>财务管理</w:t>
            </w:r>
            <w:r>
              <w:rPr>
                <w:rFonts w:hint="eastAsia" w:ascii="宋体" w:hAnsi="宋体" w:cs="宋体"/>
                <w:b/>
                <w:color w:val="000000"/>
                <w:kern w:val="0"/>
                <w:sz w:val="24"/>
              </w:rPr>
              <w:br w:type="textWrapping"/>
            </w:r>
            <w:r>
              <w:rPr>
                <w:rFonts w:hint="eastAsia" w:ascii="宋体" w:hAnsi="宋体" w:cs="宋体"/>
                <w:b/>
                <w:color w:val="000000"/>
                <w:kern w:val="0"/>
                <w:sz w:val="24"/>
              </w:rPr>
              <w:t>（10分）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6779">
            <w:pPr>
              <w:widowControl/>
              <w:jc w:val="center"/>
              <w:textAlignment w:val="center"/>
              <w:rPr>
                <w:rFonts w:ascii="宋体" w:hAnsi="宋体" w:cs="宋体"/>
                <w:color w:val="000000"/>
                <w:sz w:val="24"/>
              </w:rPr>
            </w:pPr>
            <w:r>
              <w:rPr>
                <w:rFonts w:hint="eastAsia" w:ascii="宋体" w:hAnsi="宋体" w:cs="宋体"/>
                <w:color w:val="000000"/>
                <w:kern w:val="0"/>
                <w:sz w:val="24"/>
              </w:rPr>
              <w:t>财务管理制度</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6EBE">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CE2E">
            <w:pPr>
              <w:widowControl/>
              <w:jc w:val="left"/>
              <w:textAlignment w:val="center"/>
              <w:rPr>
                <w:rFonts w:ascii="宋体" w:hAnsi="宋体" w:cs="宋体"/>
                <w:color w:val="000000"/>
                <w:sz w:val="24"/>
              </w:rPr>
            </w:pPr>
            <w:r>
              <w:rPr>
                <w:rFonts w:hint="eastAsia" w:ascii="宋体" w:hAnsi="宋体" w:cs="宋体"/>
                <w:color w:val="000000"/>
                <w:kern w:val="0"/>
                <w:sz w:val="24"/>
              </w:rPr>
              <w:t>部门财务管理制度建立情况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0EC1">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EC6F">
            <w:pPr>
              <w:widowControl/>
              <w:jc w:val="left"/>
              <w:textAlignment w:val="center"/>
              <w:rPr>
                <w:rFonts w:ascii="宋体" w:hAnsi="宋体" w:cs="宋体"/>
                <w:color w:val="000000"/>
                <w:kern w:val="0"/>
                <w:sz w:val="24"/>
              </w:rPr>
            </w:pPr>
          </w:p>
        </w:tc>
      </w:tr>
      <w:tr w14:paraId="334AC8FF">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864F9">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63D6F">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B349">
            <w:pPr>
              <w:widowControl/>
              <w:jc w:val="center"/>
              <w:textAlignment w:val="center"/>
              <w:rPr>
                <w:rFonts w:ascii="宋体" w:hAnsi="宋体" w:cs="宋体"/>
                <w:color w:val="000000"/>
                <w:sz w:val="24"/>
              </w:rPr>
            </w:pPr>
            <w:r>
              <w:rPr>
                <w:rFonts w:hint="eastAsia" w:ascii="宋体" w:hAnsi="宋体" w:cs="宋体"/>
                <w:color w:val="000000"/>
                <w:kern w:val="0"/>
                <w:sz w:val="24"/>
              </w:rPr>
              <w:t>财务岗位设置</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49F">
            <w:pPr>
              <w:widowControl/>
              <w:jc w:val="center"/>
              <w:textAlignment w:val="center"/>
              <w:rPr>
                <w:rFonts w:ascii="宋体" w:hAnsi="宋体" w:cs="宋体"/>
                <w:color w:val="000000"/>
                <w:sz w:val="24"/>
              </w:rPr>
            </w:pPr>
            <w:r>
              <w:rPr>
                <w:rFonts w:hint="eastAsia" w:ascii="宋体" w:hAnsi="宋体" w:cs="宋体"/>
                <w:color w:val="000000"/>
                <w:kern w:val="0"/>
                <w:sz w:val="24"/>
              </w:rPr>
              <w:t>2</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1A78">
            <w:pPr>
              <w:widowControl/>
              <w:jc w:val="left"/>
              <w:textAlignment w:val="center"/>
              <w:rPr>
                <w:rFonts w:ascii="宋体" w:hAnsi="宋体" w:cs="宋体"/>
                <w:color w:val="000000"/>
                <w:sz w:val="24"/>
              </w:rPr>
            </w:pPr>
            <w:r>
              <w:rPr>
                <w:rFonts w:hint="eastAsia" w:ascii="宋体" w:hAnsi="宋体" w:cs="宋体"/>
                <w:color w:val="000000"/>
                <w:kern w:val="0"/>
                <w:sz w:val="24"/>
              </w:rPr>
              <w:t>部门财务岗位设置是否符合相关财务管理制度要求</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93BCD">
            <w:pPr>
              <w:widowControl/>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9540">
            <w:pPr>
              <w:widowControl/>
              <w:jc w:val="left"/>
              <w:textAlignment w:val="center"/>
              <w:rPr>
                <w:rFonts w:ascii="宋体" w:hAnsi="宋体" w:cs="宋体"/>
                <w:color w:val="000000"/>
                <w:kern w:val="0"/>
                <w:sz w:val="24"/>
              </w:rPr>
            </w:pPr>
          </w:p>
        </w:tc>
      </w:tr>
      <w:tr w14:paraId="55D31A58">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F44C2">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45C51">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919A">
            <w:pPr>
              <w:widowControl/>
              <w:jc w:val="center"/>
              <w:textAlignment w:val="center"/>
              <w:rPr>
                <w:rFonts w:ascii="宋体" w:hAnsi="宋体" w:cs="宋体"/>
                <w:color w:val="000000"/>
                <w:sz w:val="24"/>
              </w:rPr>
            </w:pPr>
            <w:r>
              <w:rPr>
                <w:rFonts w:hint="eastAsia" w:ascii="宋体" w:hAnsi="宋体" w:cs="宋体"/>
                <w:color w:val="000000"/>
                <w:kern w:val="0"/>
                <w:sz w:val="24"/>
              </w:rPr>
              <w:t>资金使用规范</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3B79">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FD0B">
            <w:pPr>
              <w:widowControl/>
              <w:jc w:val="left"/>
              <w:textAlignment w:val="center"/>
              <w:rPr>
                <w:rFonts w:ascii="宋体" w:hAnsi="宋体" w:cs="宋体"/>
                <w:color w:val="000000"/>
                <w:sz w:val="24"/>
              </w:rPr>
            </w:pPr>
            <w:r>
              <w:rPr>
                <w:rFonts w:hint="eastAsia" w:ascii="宋体" w:hAnsi="宋体" w:cs="宋体"/>
                <w:color w:val="000000"/>
                <w:kern w:val="0"/>
                <w:sz w:val="24"/>
              </w:rPr>
              <w:t>部门资金使用是否符合相关财务管理制度规定</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5377">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DA4B">
            <w:pPr>
              <w:widowControl/>
              <w:jc w:val="left"/>
              <w:textAlignment w:val="center"/>
              <w:rPr>
                <w:rFonts w:ascii="宋体" w:hAnsi="宋体" w:cs="宋体"/>
                <w:color w:val="000000"/>
                <w:kern w:val="0"/>
                <w:sz w:val="24"/>
              </w:rPr>
            </w:pPr>
          </w:p>
        </w:tc>
      </w:tr>
      <w:tr w14:paraId="284CDA20">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EE99D">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98503">
            <w:pPr>
              <w:widowControl/>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6C58">
            <w:pPr>
              <w:widowControl/>
              <w:jc w:val="center"/>
              <w:textAlignment w:val="center"/>
              <w:rPr>
                <w:rFonts w:ascii="宋体" w:hAnsi="宋体" w:cs="宋体"/>
                <w:color w:val="000000"/>
                <w:sz w:val="24"/>
              </w:rPr>
            </w:pPr>
            <w:r>
              <w:rPr>
                <w:rFonts w:hint="eastAsia" w:ascii="宋体" w:hAnsi="宋体" w:cs="宋体"/>
                <w:color w:val="000000"/>
                <w:kern w:val="0"/>
                <w:sz w:val="24"/>
              </w:rPr>
              <w:t>人均资产变化率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0627">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E300">
            <w:pPr>
              <w:widowControl/>
              <w:jc w:val="left"/>
              <w:textAlignment w:val="center"/>
              <w:rPr>
                <w:rFonts w:ascii="宋体" w:hAnsi="宋体" w:cs="宋体"/>
                <w:color w:val="000000"/>
                <w:sz w:val="24"/>
              </w:rPr>
            </w:pPr>
            <w:r>
              <w:rPr>
                <w:rFonts w:hint="eastAsia" w:ascii="宋体" w:hAnsi="宋体" w:cs="宋体"/>
                <w:color w:val="000000"/>
                <w:kern w:val="0"/>
                <w:sz w:val="24"/>
              </w:rPr>
              <w:t>部门人均资产变化情况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7278">
            <w:pPr>
              <w:widowControl/>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A476">
            <w:pPr>
              <w:widowControl/>
              <w:jc w:val="left"/>
              <w:textAlignment w:val="center"/>
              <w:rPr>
                <w:rFonts w:ascii="宋体" w:hAnsi="宋体" w:cs="宋体"/>
                <w:color w:val="000000"/>
                <w:kern w:val="0"/>
                <w:sz w:val="24"/>
              </w:rPr>
            </w:pPr>
          </w:p>
        </w:tc>
      </w:tr>
      <w:tr w14:paraId="6881D27B">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C09D">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E7D87">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5709">
            <w:pPr>
              <w:widowControl/>
              <w:jc w:val="center"/>
              <w:textAlignment w:val="center"/>
              <w:rPr>
                <w:rFonts w:ascii="宋体" w:hAnsi="宋体" w:cs="宋体"/>
                <w:color w:val="000000"/>
                <w:sz w:val="24"/>
              </w:rPr>
            </w:pPr>
            <w:r>
              <w:rPr>
                <w:rFonts w:hint="eastAsia" w:ascii="宋体" w:hAnsi="宋体" w:cs="宋体"/>
                <w:color w:val="000000"/>
                <w:kern w:val="0"/>
                <w:sz w:val="24"/>
              </w:rPr>
              <w:t>资产利用率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6CAE">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FCE5">
            <w:pPr>
              <w:widowControl/>
              <w:jc w:val="left"/>
              <w:textAlignment w:val="center"/>
              <w:rPr>
                <w:rFonts w:ascii="宋体" w:hAnsi="宋体" w:cs="宋体"/>
                <w:color w:val="000000"/>
                <w:sz w:val="24"/>
              </w:rPr>
            </w:pPr>
            <w:r>
              <w:rPr>
                <w:rFonts w:hint="eastAsia" w:ascii="宋体" w:hAnsi="宋体" w:cs="宋体"/>
                <w:color w:val="000000"/>
                <w:kern w:val="0"/>
                <w:sz w:val="24"/>
              </w:rPr>
              <w:t>部门资产超最低使用年限情况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14C7">
            <w:pPr>
              <w:widowControl/>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642E">
            <w:pPr>
              <w:widowControl/>
              <w:jc w:val="left"/>
              <w:textAlignment w:val="center"/>
              <w:rPr>
                <w:rFonts w:ascii="宋体" w:hAnsi="宋体" w:cs="宋体"/>
                <w:color w:val="000000"/>
                <w:kern w:val="0"/>
                <w:sz w:val="24"/>
              </w:rPr>
            </w:pPr>
          </w:p>
        </w:tc>
      </w:tr>
      <w:tr w14:paraId="0DB75BA8">
        <w:tblPrEx>
          <w:tblCellMar>
            <w:top w:w="0" w:type="dxa"/>
            <w:left w:w="108" w:type="dxa"/>
            <w:bottom w:w="0" w:type="dxa"/>
            <w:right w:w="108" w:type="dxa"/>
          </w:tblCellMar>
        </w:tblPrEx>
        <w:trPr>
          <w:trHeight w:val="23" w:hRule="atLeast"/>
          <w:jc w:val="center"/>
        </w:trPr>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FC37A">
            <w:pPr>
              <w:widowControl/>
              <w:jc w:val="center"/>
              <w:textAlignment w:val="center"/>
              <w:rPr>
                <w:rFonts w:ascii="宋体" w:hAnsi="宋体" w:cs="宋体"/>
                <w:b/>
                <w:color w:val="000000"/>
                <w:sz w:val="24"/>
              </w:rPr>
            </w:pPr>
            <w:r>
              <w:rPr>
                <w:rFonts w:hint="eastAsia" w:ascii="宋体" w:hAnsi="宋体" w:cs="宋体"/>
                <w:b/>
                <w:color w:val="000000"/>
                <w:kern w:val="0"/>
                <w:sz w:val="24"/>
              </w:rPr>
              <w:t>总体绩效</w:t>
            </w:r>
            <w:r>
              <w:rPr>
                <w:rFonts w:hint="eastAsia" w:ascii="宋体" w:hAnsi="宋体" w:cs="宋体"/>
                <w:b/>
                <w:color w:val="000000"/>
                <w:kern w:val="0"/>
                <w:sz w:val="24"/>
              </w:rPr>
              <w:br w:type="textWrapping"/>
            </w:r>
            <w:r>
              <w:rPr>
                <w:rFonts w:hint="eastAsia" w:ascii="宋体" w:hAnsi="宋体" w:cs="宋体"/>
                <w:b/>
                <w:color w:val="000000"/>
                <w:kern w:val="0"/>
                <w:sz w:val="24"/>
              </w:rPr>
              <w:t>（65分）</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4F94">
            <w:pPr>
              <w:widowControl/>
              <w:jc w:val="center"/>
              <w:textAlignment w:val="center"/>
              <w:rPr>
                <w:rFonts w:ascii="宋体" w:hAnsi="宋体" w:cs="宋体"/>
                <w:b/>
                <w:color w:val="000000"/>
                <w:sz w:val="24"/>
              </w:rPr>
            </w:pPr>
            <w:r>
              <w:rPr>
                <w:rFonts w:hint="eastAsia" w:ascii="宋体" w:hAnsi="宋体" w:cs="宋体"/>
                <w:b/>
                <w:color w:val="000000"/>
                <w:kern w:val="0"/>
                <w:sz w:val="24"/>
              </w:rPr>
              <w:t>资产管理</w:t>
            </w:r>
            <w:r>
              <w:rPr>
                <w:rFonts w:hint="eastAsia" w:ascii="宋体" w:hAnsi="宋体" w:cs="宋体"/>
                <w:b/>
                <w:color w:val="000000"/>
                <w:kern w:val="0"/>
                <w:sz w:val="24"/>
              </w:rPr>
              <w:br w:type="textWrapping"/>
            </w:r>
            <w:r>
              <w:rPr>
                <w:rFonts w:hint="eastAsia" w:ascii="宋体" w:hAnsi="宋体" w:cs="宋体"/>
                <w:b/>
                <w:color w:val="000000"/>
                <w:kern w:val="0"/>
                <w:sz w:val="24"/>
              </w:rPr>
              <w:t>（9分）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FDF4">
            <w:pPr>
              <w:widowControl/>
              <w:jc w:val="center"/>
              <w:textAlignment w:val="center"/>
              <w:rPr>
                <w:rFonts w:ascii="宋体" w:hAnsi="宋体" w:cs="宋体"/>
                <w:color w:val="000000"/>
                <w:sz w:val="24"/>
              </w:rPr>
            </w:pPr>
            <w:r>
              <w:rPr>
                <w:rFonts w:hint="eastAsia" w:ascii="宋体" w:hAnsi="宋体" w:cs="宋体"/>
                <w:color w:val="000000"/>
                <w:kern w:val="0"/>
                <w:sz w:val="24"/>
              </w:rPr>
              <w:t>资产盘活率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8658">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507B">
            <w:pPr>
              <w:widowControl/>
              <w:jc w:val="left"/>
              <w:textAlignment w:val="center"/>
              <w:rPr>
                <w:rFonts w:ascii="宋体" w:hAnsi="宋体" w:cs="宋体"/>
                <w:color w:val="000000"/>
                <w:sz w:val="24"/>
              </w:rPr>
            </w:pPr>
            <w:r>
              <w:rPr>
                <w:rFonts w:hint="eastAsia" w:ascii="宋体" w:hAnsi="宋体" w:cs="宋体"/>
                <w:color w:val="000000"/>
                <w:kern w:val="0"/>
                <w:sz w:val="24"/>
              </w:rPr>
              <w:t>部门闲置一年以上的资产盘活情况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DF6E">
            <w:pPr>
              <w:widowControl/>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B297">
            <w:pPr>
              <w:widowControl/>
              <w:jc w:val="left"/>
              <w:textAlignment w:val="center"/>
              <w:rPr>
                <w:rFonts w:ascii="宋体" w:hAnsi="宋体" w:cs="宋体"/>
                <w:color w:val="000000"/>
                <w:kern w:val="0"/>
                <w:sz w:val="24"/>
              </w:rPr>
            </w:pPr>
          </w:p>
        </w:tc>
      </w:tr>
      <w:tr w14:paraId="292D99ED">
        <w:tblPrEx>
          <w:tblCellMar>
            <w:top w:w="0" w:type="dxa"/>
            <w:left w:w="108" w:type="dxa"/>
            <w:bottom w:w="0" w:type="dxa"/>
            <w:right w:w="108" w:type="dxa"/>
          </w:tblCellMar>
        </w:tblPrEx>
        <w:trPr>
          <w:trHeight w:val="374"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63955">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46AD6">
            <w:pPr>
              <w:widowControl/>
              <w:jc w:val="center"/>
              <w:textAlignment w:val="center"/>
              <w:rPr>
                <w:rFonts w:ascii="宋体" w:hAnsi="宋体" w:cs="宋体"/>
                <w:b/>
                <w:color w:val="000000"/>
                <w:sz w:val="24"/>
              </w:rPr>
            </w:pPr>
            <w:r>
              <w:rPr>
                <w:rFonts w:hint="eastAsia" w:ascii="宋体" w:hAnsi="宋体" w:cs="宋体"/>
                <w:b/>
                <w:color w:val="000000"/>
                <w:kern w:val="0"/>
                <w:sz w:val="24"/>
              </w:rPr>
              <w:t>采购管理</w:t>
            </w:r>
            <w:r>
              <w:rPr>
                <w:rFonts w:hint="eastAsia" w:ascii="宋体" w:hAnsi="宋体" w:cs="宋体"/>
                <w:b/>
                <w:color w:val="000000"/>
                <w:kern w:val="0"/>
                <w:sz w:val="24"/>
              </w:rPr>
              <w:br w:type="textWrapping"/>
            </w:r>
            <w:r>
              <w:rPr>
                <w:rFonts w:hint="eastAsia" w:ascii="宋体" w:hAnsi="宋体" w:cs="宋体"/>
                <w:b/>
                <w:color w:val="000000"/>
                <w:kern w:val="0"/>
                <w:sz w:val="24"/>
              </w:rPr>
              <w:t>（6分）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FC99">
            <w:pPr>
              <w:widowControl/>
              <w:jc w:val="center"/>
              <w:textAlignment w:val="center"/>
              <w:rPr>
                <w:rFonts w:ascii="宋体" w:hAnsi="宋体" w:cs="宋体"/>
                <w:color w:val="000000"/>
                <w:sz w:val="24"/>
              </w:rPr>
            </w:pPr>
            <w:r>
              <w:rPr>
                <w:rFonts w:hint="eastAsia" w:ascii="宋体" w:hAnsi="宋体" w:cs="宋体"/>
                <w:color w:val="000000"/>
                <w:kern w:val="0"/>
                <w:sz w:val="24"/>
              </w:rPr>
              <w:t>支持中小企业发展</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3AD2">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E94D">
            <w:pPr>
              <w:widowControl/>
              <w:jc w:val="left"/>
              <w:textAlignment w:val="center"/>
              <w:rPr>
                <w:rFonts w:ascii="宋体" w:hAnsi="宋体" w:cs="宋体"/>
                <w:color w:val="000000"/>
                <w:sz w:val="24"/>
              </w:rPr>
            </w:pPr>
            <w:r>
              <w:rPr>
                <w:rFonts w:hint="eastAsia" w:ascii="宋体" w:hAnsi="宋体" w:cs="宋体"/>
                <w:color w:val="000000"/>
                <w:kern w:val="0"/>
                <w:sz w:val="24"/>
              </w:rPr>
              <w:t>部门是否严格执行政府采购促进中小企业发展相关管理办法</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8FAE">
            <w:pPr>
              <w:widowControl/>
              <w:jc w:val="left"/>
              <w:textAlignment w:val="center"/>
              <w:rPr>
                <w:rFonts w:ascii="宋体" w:hAnsi="宋体" w:cs="宋体"/>
                <w:color w:val="000000"/>
                <w:kern w:val="0"/>
                <w:sz w:val="24"/>
              </w:rPr>
            </w:pPr>
            <w:r>
              <w:rPr>
                <w:rFonts w:hint="eastAsia" w:ascii="宋体" w:hAnsi="宋体" w:cs="宋体"/>
                <w:color w:val="000000"/>
                <w:kern w:val="0"/>
                <w:sz w:val="18"/>
                <w:szCs w:val="18"/>
              </w:rPr>
              <w:t>不涉及</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27EE">
            <w:pPr>
              <w:widowControl/>
              <w:jc w:val="left"/>
              <w:textAlignment w:val="center"/>
              <w:rPr>
                <w:rFonts w:ascii="宋体" w:hAnsi="宋体" w:cs="宋体"/>
                <w:color w:val="000000"/>
                <w:kern w:val="0"/>
                <w:sz w:val="24"/>
              </w:rPr>
            </w:pPr>
          </w:p>
        </w:tc>
      </w:tr>
      <w:tr w14:paraId="169F000C">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7685B">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722CF">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BF10">
            <w:pPr>
              <w:widowControl/>
              <w:jc w:val="center"/>
              <w:textAlignment w:val="center"/>
              <w:rPr>
                <w:rFonts w:ascii="宋体" w:hAnsi="宋体" w:cs="宋体"/>
                <w:color w:val="000000"/>
                <w:sz w:val="24"/>
              </w:rPr>
            </w:pPr>
            <w:r>
              <w:rPr>
                <w:rFonts w:hint="eastAsia" w:ascii="宋体" w:hAnsi="宋体" w:cs="宋体"/>
                <w:color w:val="000000"/>
                <w:kern w:val="0"/>
                <w:sz w:val="24"/>
              </w:rPr>
              <w:t>采购执行率</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1C268">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AAA1">
            <w:pPr>
              <w:widowControl/>
              <w:jc w:val="left"/>
              <w:textAlignment w:val="center"/>
              <w:rPr>
                <w:rFonts w:ascii="宋体" w:hAnsi="宋体" w:cs="宋体"/>
                <w:color w:val="000000"/>
                <w:sz w:val="24"/>
              </w:rPr>
            </w:pPr>
            <w:r>
              <w:rPr>
                <w:rFonts w:hint="eastAsia" w:ascii="宋体" w:hAnsi="宋体" w:cs="宋体"/>
                <w:color w:val="000000"/>
                <w:kern w:val="0"/>
                <w:sz w:val="24"/>
              </w:rPr>
              <w:t>部门政府采购项目资金支付比例情况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2ABB">
            <w:pPr>
              <w:widowControl/>
              <w:jc w:val="left"/>
              <w:textAlignment w:val="center"/>
              <w:rPr>
                <w:rFonts w:ascii="宋体" w:hAnsi="宋体" w:cs="宋体"/>
                <w:color w:val="000000"/>
                <w:kern w:val="0"/>
                <w:sz w:val="24"/>
              </w:rPr>
            </w:pPr>
            <w:r>
              <w:rPr>
                <w:rFonts w:hint="eastAsia" w:ascii="宋体" w:hAnsi="宋体" w:cs="宋体"/>
                <w:color w:val="000000"/>
                <w:kern w:val="0"/>
                <w:sz w:val="24"/>
              </w:rPr>
              <w:t>2</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70E8">
            <w:pPr>
              <w:widowControl/>
              <w:jc w:val="left"/>
              <w:textAlignment w:val="center"/>
              <w:rPr>
                <w:rFonts w:ascii="宋体" w:hAnsi="宋体" w:cs="宋体"/>
                <w:color w:val="000000"/>
                <w:kern w:val="0"/>
                <w:sz w:val="24"/>
              </w:rPr>
            </w:pPr>
          </w:p>
        </w:tc>
      </w:tr>
      <w:tr w14:paraId="6111B3F8">
        <w:tblPrEx>
          <w:tblCellMar>
            <w:top w:w="0" w:type="dxa"/>
            <w:left w:w="108" w:type="dxa"/>
            <w:bottom w:w="0" w:type="dxa"/>
            <w:right w:w="108" w:type="dxa"/>
          </w:tblCellMar>
        </w:tblPrEx>
        <w:trPr>
          <w:trHeight w:val="23" w:hRule="atLeast"/>
          <w:jc w:val="center"/>
        </w:trPr>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48BFB">
            <w:pPr>
              <w:widowControl/>
              <w:jc w:val="center"/>
              <w:textAlignment w:val="center"/>
              <w:rPr>
                <w:rFonts w:ascii="宋体" w:hAnsi="宋体" w:cs="宋体"/>
                <w:b/>
                <w:color w:val="000000"/>
                <w:sz w:val="24"/>
              </w:rPr>
            </w:pPr>
            <w:r>
              <w:rPr>
                <w:rFonts w:hint="eastAsia" w:ascii="宋体" w:hAnsi="宋体" w:cs="宋体"/>
                <w:b/>
                <w:color w:val="000000"/>
                <w:kern w:val="0"/>
                <w:sz w:val="24"/>
              </w:rPr>
              <w:t>项目绩效</w:t>
            </w:r>
            <w:r>
              <w:rPr>
                <w:rFonts w:hint="eastAsia" w:ascii="宋体" w:hAnsi="宋体" w:cs="宋体"/>
                <w:b/>
                <w:color w:val="000000"/>
                <w:kern w:val="0"/>
                <w:sz w:val="24"/>
              </w:rPr>
              <w:br w:type="textWrapping"/>
            </w:r>
            <w:r>
              <w:rPr>
                <w:rFonts w:hint="eastAsia" w:ascii="宋体" w:hAnsi="宋体" w:cs="宋体"/>
                <w:b/>
                <w:color w:val="000000"/>
                <w:kern w:val="0"/>
                <w:sz w:val="24"/>
              </w:rPr>
              <w:t>（35分）</w:t>
            </w:r>
          </w:p>
        </w:tc>
        <w:tc>
          <w:tcPr>
            <w:tcW w:w="1467" w:type="dxa"/>
            <w:vMerge w:val="restart"/>
            <w:tcBorders>
              <w:top w:val="single" w:color="000000" w:sz="4" w:space="0"/>
              <w:left w:val="single" w:color="000000" w:sz="4" w:space="0"/>
              <w:bottom w:val="nil"/>
              <w:right w:val="single" w:color="000000" w:sz="4" w:space="0"/>
            </w:tcBorders>
            <w:shd w:val="clear" w:color="auto" w:fill="auto"/>
            <w:vAlign w:val="center"/>
          </w:tcPr>
          <w:p w14:paraId="556DE3FB">
            <w:pPr>
              <w:widowControl/>
              <w:jc w:val="center"/>
              <w:textAlignment w:val="center"/>
              <w:rPr>
                <w:rFonts w:ascii="宋体" w:hAnsi="宋体" w:cs="宋体"/>
                <w:b/>
                <w:color w:val="000000"/>
                <w:sz w:val="24"/>
              </w:rPr>
            </w:pPr>
            <w:r>
              <w:rPr>
                <w:rFonts w:hint="eastAsia" w:ascii="宋体" w:hAnsi="宋体" w:cs="宋体"/>
                <w:b/>
                <w:color w:val="000000"/>
                <w:kern w:val="0"/>
                <w:sz w:val="24"/>
              </w:rPr>
              <w:t>项目决策</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DFF5">
            <w:pPr>
              <w:widowControl/>
              <w:jc w:val="center"/>
              <w:textAlignment w:val="center"/>
              <w:rPr>
                <w:rFonts w:ascii="宋体" w:hAnsi="宋体" w:cs="宋体"/>
                <w:color w:val="000000"/>
                <w:sz w:val="24"/>
              </w:rPr>
            </w:pPr>
            <w:r>
              <w:rPr>
                <w:rFonts w:hint="eastAsia" w:ascii="宋体" w:hAnsi="宋体" w:cs="宋体"/>
                <w:color w:val="000000"/>
                <w:kern w:val="0"/>
                <w:sz w:val="24"/>
              </w:rPr>
              <w:t>决策程序</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8E86">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A4F4">
            <w:pPr>
              <w:widowControl/>
              <w:jc w:val="left"/>
              <w:textAlignment w:val="center"/>
              <w:rPr>
                <w:rFonts w:ascii="宋体" w:hAnsi="宋体" w:cs="宋体"/>
                <w:color w:val="000000"/>
                <w:sz w:val="24"/>
              </w:rPr>
            </w:pPr>
            <w:r>
              <w:rPr>
                <w:rFonts w:hint="eastAsia" w:ascii="宋体" w:hAnsi="宋体" w:cs="宋体"/>
                <w:color w:val="000000"/>
                <w:kern w:val="0"/>
                <w:sz w:val="24"/>
              </w:rPr>
              <w:t>部门预算项目设立是否按规定履行评估论证、申报程序</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FF4C">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D80C">
            <w:pPr>
              <w:widowControl/>
              <w:jc w:val="left"/>
              <w:textAlignment w:val="center"/>
              <w:rPr>
                <w:rFonts w:ascii="宋体" w:hAnsi="宋体" w:cs="宋体"/>
                <w:color w:val="000000"/>
                <w:kern w:val="0"/>
                <w:sz w:val="24"/>
              </w:rPr>
            </w:pPr>
          </w:p>
        </w:tc>
      </w:tr>
      <w:tr w14:paraId="238340E6">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5310">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nil"/>
              <w:right w:val="single" w:color="000000" w:sz="4" w:space="0"/>
            </w:tcBorders>
            <w:shd w:val="clear" w:color="auto" w:fill="auto"/>
            <w:vAlign w:val="center"/>
          </w:tcPr>
          <w:p w14:paraId="762ED537">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5AD5">
            <w:pPr>
              <w:widowControl/>
              <w:jc w:val="center"/>
              <w:textAlignment w:val="center"/>
              <w:rPr>
                <w:rFonts w:ascii="宋体" w:hAnsi="宋体" w:cs="宋体"/>
                <w:color w:val="000000"/>
                <w:sz w:val="24"/>
              </w:rPr>
            </w:pPr>
            <w:r>
              <w:rPr>
                <w:rFonts w:hint="eastAsia" w:ascii="宋体" w:hAnsi="宋体" w:cs="宋体"/>
                <w:color w:val="000000"/>
                <w:kern w:val="0"/>
                <w:sz w:val="24"/>
              </w:rPr>
              <w:t>目标设置</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AF58">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FA17">
            <w:pPr>
              <w:widowControl/>
              <w:jc w:val="left"/>
              <w:textAlignment w:val="center"/>
              <w:rPr>
                <w:rFonts w:ascii="宋体" w:hAnsi="宋体" w:cs="宋体"/>
                <w:color w:val="000000"/>
                <w:sz w:val="24"/>
              </w:rPr>
            </w:pPr>
            <w:r>
              <w:rPr>
                <w:rFonts w:hint="eastAsia" w:ascii="宋体" w:hAnsi="宋体" w:cs="宋体"/>
                <w:color w:val="000000"/>
                <w:kern w:val="0"/>
                <w:sz w:val="24"/>
              </w:rPr>
              <w:t>部门预算项目绩效目标与计划期内的任务量、预算安排的资金量匹配情况，绩效目标设置是否科学合理、规范完整、量化细化、预算匹配</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728F">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97B8">
            <w:pPr>
              <w:widowControl/>
              <w:jc w:val="left"/>
              <w:textAlignment w:val="center"/>
              <w:rPr>
                <w:rFonts w:ascii="宋体" w:hAnsi="宋体" w:cs="宋体"/>
                <w:color w:val="000000"/>
                <w:kern w:val="0"/>
                <w:sz w:val="24"/>
              </w:rPr>
            </w:pPr>
          </w:p>
        </w:tc>
      </w:tr>
      <w:tr w14:paraId="61A63087">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95387">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nil"/>
              <w:right w:val="single" w:color="000000" w:sz="4" w:space="0"/>
            </w:tcBorders>
            <w:shd w:val="clear" w:color="auto" w:fill="auto"/>
            <w:vAlign w:val="center"/>
          </w:tcPr>
          <w:p w14:paraId="5241547A">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5345">
            <w:pPr>
              <w:widowControl/>
              <w:jc w:val="center"/>
              <w:textAlignment w:val="center"/>
              <w:rPr>
                <w:rFonts w:ascii="宋体" w:hAnsi="宋体" w:cs="宋体"/>
                <w:color w:val="000000"/>
                <w:sz w:val="24"/>
              </w:rPr>
            </w:pPr>
            <w:r>
              <w:rPr>
                <w:rFonts w:hint="eastAsia" w:ascii="宋体" w:hAnsi="宋体" w:cs="宋体"/>
                <w:color w:val="000000"/>
                <w:kern w:val="0"/>
                <w:sz w:val="24"/>
              </w:rPr>
              <w:t>项目入库</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A5DF">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8E0D">
            <w:pPr>
              <w:widowControl/>
              <w:jc w:val="left"/>
              <w:textAlignment w:val="center"/>
              <w:rPr>
                <w:rFonts w:ascii="宋体" w:hAnsi="宋体" w:cs="宋体"/>
                <w:color w:val="000000"/>
                <w:sz w:val="24"/>
              </w:rPr>
            </w:pPr>
            <w:r>
              <w:rPr>
                <w:rFonts w:hint="eastAsia" w:ascii="宋体" w:hAnsi="宋体" w:cs="宋体"/>
                <w:color w:val="000000"/>
                <w:kern w:val="0"/>
                <w:sz w:val="24"/>
              </w:rPr>
              <w:t>部门预算项目是否在规定时间完成项目入库</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AB73">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3B90">
            <w:pPr>
              <w:widowControl/>
              <w:jc w:val="left"/>
              <w:textAlignment w:val="center"/>
              <w:rPr>
                <w:rFonts w:ascii="宋体" w:hAnsi="宋体" w:cs="宋体"/>
                <w:color w:val="000000"/>
                <w:kern w:val="0"/>
                <w:sz w:val="24"/>
              </w:rPr>
            </w:pPr>
          </w:p>
        </w:tc>
      </w:tr>
      <w:tr w14:paraId="61876909">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1E6FB">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nil"/>
              <w:right w:val="single" w:color="000000" w:sz="4" w:space="0"/>
            </w:tcBorders>
            <w:shd w:val="clear" w:color="auto" w:fill="auto"/>
            <w:vAlign w:val="center"/>
          </w:tcPr>
          <w:p w14:paraId="4D59BCAD">
            <w:pPr>
              <w:widowControl/>
              <w:jc w:val="center"/>
              <w:textAlignment w:val="center"/>
              <w:rPr>
                <w:rFonts w:ascii="宋体" w:hAnsi="宋体" w:cs="宋体"/>
                <w:b/>
                <w:color w:val="000000"/>
                <w:sz w:val="24"/>
              </w:rPr>
            </w:pPr>
            <w:r>
              <w:rPr>
                <w:rFonts w:hint="eastAsia" w:ascii="宋体" w:hAnsi="宋体" w:cs="宋体"/>
                <w:b/>
                <w:color w:val="000000"/>
                <w:kern w:val="0"/>
                <w:sz w:val="24"/>
              </w:rPr>
              <w:t>项目执行</w:t>
            </w:r>
            <w:r>
              <w:rPr>
                <w:rFonts w:hint="eastAsia" w:ascii="宋体" w:hAnsi="宋体" w:cs="宋体"/>
                <w:b/>
                <w:color w:val="000000"/>
                <w:kern w:val="0"/>
                <w:sz w:val="24"/>
              </w:rPr>
              <w:br w:type="textWrapping"/>
            </w:r>
            <w:r>
              <w:rPr>
                <w:rFonts w:hint="eastAsia" w:ascii="宋体" w:hAnsi="宋体" w:cs="宋体"/>
                <w:b/>
                <w:color w:val="000000"/>
                <w:kern w:val="0"/>
                <w:sz w:val="24"/>
              </w:rPr>
              <w:t>（12分）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211E0">
            <w:pPr>
              <w:widowControl/>
              <w:jc w:val="center"/>
              <w:textAlignment w:val="center"/>
              <w:rPr>
                <w:rFonts w:ascii="宋体" w:hAnsi="宋体" w:cs="宋体"/>
                <w:color w:val="000000"/>
                <w:sz w:val="24"/>
              </w:rPr>
            </w:pPr>
            <w:r>
              <w:rPr>
                <w:rFonts w:hint="eastAsia" w:ascii="宋体" w:hAnsi="宋体" w:cs="宋体"/>
                <w:color w:val="000000"/>
                <w:kern w:val="0"/>
                <w:sz w:val="24"/>
              </w:rPr>
              <w:t>执行同向</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11F5">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9FBD">
            <w:pPr>
              <w:widowControl/>
              <w:jc w:val="left"/>
              <w:textAlignment w:val="center"/>
              <w:rPr>
                <w:rFonts w:ascii="宋体" w:hAnsi="宋体" w:cs="宋体"/>
                <w:color w:val="000000"/>
                <w:sz w:val="24"/>
              </w:rPr>
            </w:pPr>
            <w:r>
              <w:rPr>
                <w:rFonts w:hint="eastAsia" w:ascii="宋体" w:hAnsi="宋体" w:cs="宋体"/>
                <w:color w:val="000000"/>
                <w:kern w:val="0"/>
                <w:sz w:val="24"/>
              </w:rPr>
              <w:t>部门预算项目实际列支内容是否与绩效目标设置方向相符</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C13E">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5017">
            <w:pPr>
              <w:widowControl/>
              <w:jc w:val="left"/>
              <w:textAlignment w:val="center"/>
              <w:rPr>
                <w:rFonts w:ascii="宋体" w:hAnsi="宋体" w:cs="宋体"/>
                <w:color w:val="000000"/>
                <w:kern w:val="0"/>
                <w:sz w:val="24"/>
              </w:rPr>
            </w:pPr>
          </w:p>
        </w:tc>
      </w:tr>
      <w:tr w14:paraId="178A6BC0">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E54A1">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nil"/>
              <w:right w:val="single" w:color="000000" w:sz="4" w:space="0"/>
            </w:tcBorders>
            <w:shd w:val="clear" w:color="auto" w:fill="auto"/>
            <w:vAlign w:val="center"/>
          </w:tcPr>
          <w:p w14:paraId="354EF37C">
            <w:pPr>
              <w:widowControl/>
              <w:jc w:val="center"/>
              <w:rPr>
                <w:rFonts w:ascii="宋体" w:hAnsi="宋体" w:cs="宋体"/>
                <w:b/>
                <w:color w:val="000000"/>
                <w:sz w:val="24"/>
              </w:rPr>
            </w:pPr>
          </w:p>
        </w:tc>
        <w:tc>
          <w:tcPr>
            <w:tcW w:w="1671" w:type="dxa"/>
            <w:tcBorders>
              <w:top w:val="single" w:color="000000" w:sz="4" w:space="0"/>
              <w:left w:val="single" w:color="000000" w:sz="4" w:space="0"/>
              <w:bottom w:val="nil"/>
              <w:right w:val="single" w:color="000000" w:sz="4" w:space="0"/>
            </w:tcBorders>
            <w:shd w:val="clear" w:color="auto" w:fill="auto"/>
            <w:vAlign w:val="center"/>
          </w:tcPr>
          <w:p w14:paraId="117F56A6">
            <w:pPr>
              <w:widowControl/>
              <w:jc w:val="center"/>
              <w:textAlignment w:val="center"/>
              <w:rPr>
                <w:rFonts w:ascii="宋体" w:hAnsi="宋体" w:cs="宋体"/>
                <w:color w:val="000000"/>
                <w:sz w:val="24"/>
              </w:rPr>
            </w:pPr>
            <w:r>
              <w:rPr>
                <w:rFonts w:hint="eastAsia" w:ascii="宋体" w:hAnsi="宋体" w:cs="宋体"/>
                <w:color w:val="000000"/>
                <w:kern w:val="0"/>
                <w:sz w:val="24"/>
              </w:rPr>
              <w:t>项目调整</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ADFA">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64F2A">
            <w:pPr>
              <w:widowControl/>
              <w:jc w:val="left"/>
              <w:textAlignment w:val="center"/>
              <w:rPr>
                <w:rFonts w:ascii="宋体" w:hAnsi="宋体" w:cs="宋体"/>
                <w:color w:val="000000"/>
                <w:sz w:val="24"/>
              </w:rPr>
            </w:pPr>
            <w:r>
              <w:rPr>
                <w:rFonts w:hint="eastAsia" w:ascii="宋体" w:hAnsi="宋体" w:cs="宋体"/>
                <w:color w:val="000000"/>
                <w:kern w:val="0"/>
                <w:sz w:val="24"/>
              </w:rPr>
              <w:t>部门预算项目是否采取对应调整措施</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5FEC">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3CBE">
            <w:pPr>
              <w:widowControl/>
              <w:jc w:val="left"/>
              <w:textAlignment w:val="center"/>
              <w:rPr>
                <w:rFonts w:ascii="宋体" w:hAnsi="宋体" w:cs="宋体"/>
                <w:color w:val="000000"/>
                <w:kern w:val="0"/>
                <w:sz w:val="24"/>
              </w:rPr>
            </w:pPr>
          </w:p>
        </w:tc>
      </w:tr>
      <w:tr w14:paraId="1A7EF85C">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AD52B">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nil"/>
              <w:right w:val="single" w:color="000000" w:sz="4" w:space="0"/>
            </w:tcBorders>
            <w:shd w:val="clear" w:color="auto" w:fill="auto"/>
            <w:vAlign w:val="center"/>
          </w:tcPr>
          <w:p w14:paraId="71C369AC">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BA6B">
            <w:pPr>
              <w:widowControl/>
              <w:jc w:val="center"/>
              <w:textAlignment w:val="center"/>
              <w:rPr>
                <w:rFonts w:ascii="宋体" w:hAnsi="宋体" w:cs="宋体"/>
                <w:color w:val="000000"/>
                <w:sz w:val="24"/>
              </w:rPr>
            </w:pPr>
            <w:r>
              <w:rPr>
                <w:rFonts w:hint="eastAsia" w:ascii="宋体" w:hAnsi="宋体" w:cs="宋体"/>
                <w:color w:val="000000"/>
                <w:kern w:val="0"/>
                <w:sz w:val="24"/>
              </w:rPr>
              <w:t>执行结果</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E779">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F3F4">
            <w:pPr>
              <w:widowControl/>
              <w:jc w:val="left"/>
              <w:textAlignment w:val="center"/>
              <w:rPr>
                <w:rFonts w:ascii="宋体" w:hAnsi="宋体" w:cs="宋体"/>
                <w:color w:val="000000"/>
                <w:sz w:val="24"/>
              </w:rPr>
            </w:pPr>
            <w:r>
              <w:rPr>
                <w:rFonts w:hint="eastAsia" w:ascii="宋体" w:hAnsi="宋体" w:cs="宋体"/>
                <w:color w:val="000000"/>
                <w:kern w:val="0"/>
                <w:sz w:val="24"/>
              </w:rPr>
              <w:t>部门预算项目预算执行情况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BF7B">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05AC0">
            <w:pPr>
              <w:widowControl/>
              <w:jc w:val="left"/>
              <w:textAlignment w:val="center"/>
              <w:rPr>
                <w:rFonts w:ascii="宋体" w:hAnsi="宋体" w:cs="宋体"/>
                <w:color w:val="000000"/>
                <w:kern w:val="0"/>
                <w:sz w:val="24"/>
              </w:rPr>
            </w:pPr>
          </w:p>
        </w:tc>
      </w:tr>
      <w:tr w14:paraId="05EFE12A">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A3EC">
            <w:pPr>
              <w:widowControl/>
              <w:jc w:val="center"/>
              <w:rPr>
                <w:rFonts w:ascii="宋体" w:hAnsi="宋体" w:cs="宋体"/>
                <w:b/>
                <w:color w:val="000000"/>
                <w:sz w:val="24"/>
              </w:rPr>
            </w:pP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49E44">
            <w:pPr>
              <w:widowControl/>
              <w:jc w:val="center"/>
              <w:textAlignment w:val="center"/>
              <w:rPr>
                <w:rFonts w:ascii="宋体" w:hAnsi="宋体" w:cs="宋体"/>
                <w:b/>
                <w:color w:val="000000"/>
                <w:sz w:val="24"/>
              </w:rPr>
            </w:pPr>
            <w:r>
              <w:rPr>
                <w:rFonts w:hint="eastAsia" w:ascii="宋体" w:hAnsi="宋体" w:cs="宋体"/>
                <w:b/>
                <w:color w:val="000000"/>
                <w:kern w:val="0"/>
                <w:sz w:val="24"/>
              </w:rPr>
              <w:t>目标实现</w:t>
            </w:r>
            <w:r>
              <w:rPr>
                <w:rFonts w:hint="eastAsia" w:ascii="宋体" w:hAnsi="宋体" w:cs="宋体"/>
                <w:b/>
                <w:color w:val="000000"/>
                <w:kern w:val="0"/>
                <w:sz w:val="24"/>
              </w:rPr>
              <w:br w:type="textWrapping"/>
            </w:r>
            <w:r>
              <w:rPr>
                <w:rFonts w:hint="eastAsia" w:ascii="宋体" w:hAnsi="宋体" w:cs="宋体"/>
                <w:b/>
                <w:color w:val="000000"/>
                <w:kern w:val="0"/>
                <w:sz w:val="24"/>
              </w:rPr>
              <w:t>（11分）</w:t>
            </w: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96F1">
            <w:pPr>
              <w:widowControl/>
              <w:jc w:val="center"/>
              <w:textAlignment w:val="center"/>
              <w:rPr>
                <w:rFonts w:ascii="宋体" w:hAnsi="宋体" w:cs="宋体"/>
                <w:color w:val="000000"/>
                <w:sz w:val="24"/>
              </w:rPr>
            </w:pPr>
            <w:r>
              <w:rPr>
                <w:rFonts w:hint="eastAsia" w:ascii="宋体" w:hAnsi="宋体" w:cs="宋体"/>
                <w:color w:val="000000"/>
                <w:kern w:val="0"/>
                <w:sz w:val="24"/>
              </w:rPr>
              <w:t>目标完成</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CE95">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39D2">
            <w:pPr>
              <w:widowControl/>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部门预算项目绩效目标数量指标完成情况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ED6A">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57F0">
            <w:pPr>
              <w:widowControl/>
              <w:jc w:val="left"/>
              <w:textAlignment w:val="center"/>
              <w:rPr>
                <w:rFonts w:ascii="宋体" w:hAnsi="宋体" w:cs="宋体"/>
                <w:color w:val="000000"/>
                <w:kern w:val="0"/>
                <w:sz w:val="24"/>
              </w:rPr>
            </w:pPr>
          </w:p>
        </w:tc>
      </w:tr>
      <w:tr w14:paraId="45FB7977">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B402C">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83004">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2B4F">
            <w:pPr>
              <w:widowControl/>
              <w:jc w:val="center"/>
              <w:textAlignment w:val="center"/>
              <w:rPr>
                <w:rFonts w:ascii="宋体" w:hAnsi="宋体" w:cs="宋体"/>
                <w:color w:val="000000"/>
                <w:sz w:val="24"/>
              </w:rPr>
            </w:pPr>
            <w:r>
              <w:rPr>
                <w:rFonts w:hint="eastAsia" w:ascii="宋体" w:hAnsi="宋体" w:cs="宋体"/>
                <w:color w:val="000000"/>
                <w:kern w:val="0"/>
                <w:sz w:val="24"/>
              </w:rPr>
              <w:t>目标偏离</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0E57F">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BC4D">
            <w:pPr>
              <w:widowControl/>
              <w:jc w:val="left"/>
              <w:textAlignment w:val="center"/>
              <w:rPr>
                <w:rFonts w:ascii="宋体" w:hAnsi="宋体" w:cs="宋体"/>
                <w:color w:val="000000"/>
                <w:sz w:val="24"/>
              </w:rPr>
            </w:pPr>
            <w:r>
              <w:rPr>
                <w:rFonts w:hint="eastAsia" w:ascii="宋体" w:hAnsi="宋体" w:cs="宋体"/>
                <w:color w:val="000000"/>
                <w:kern w:val="0"/>
                <w:sz w:val="24"/>
              </w:rPr>
              <w:t>部门预算项目绩效目标数量指标实现程度与预期目标的偏离情况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E90A">
            <w:pPr>
              <w:widowControl/>
              <w:jc w:val="left"/>
              <w:textAlignment w:val="center"/>
              <w:rPr>
                <w:rFonts w:ascii="宋体" w:hAnsi="宋体" w:cs="宋体"/>
                <w:color w:val="000000"/>
                <w:kern w:val="0"/>
                <w:sz w:val="24"/>
              </w:rPr>
            </w:pPr>
            <w:r>
              <w:rPr>
                <w:rFonts w:hint="eastAsia" w:ascii="宋体" w:hAnsi="宋体" w:cs="宋体"/>
                <w:color w:val="000000"/>
                <w:kern w:val="0"/>
                <w:sz w:val="24"/>
              </w:rPr>
              <w:t>4</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988B">
            <w:pPr>
              <w:widowControl/>
              <w:jc w:val="left"/>
              <w:textAlignment w:val="center"/>
              <w:rPr>
                <w:rFonts w:ascii="宋体" w:hAnsi="宋体" w:cs="宋体"/>
                <w:color w:val="000000"/>
                <w:kern w:val="0"/>
                <w:sz w:val="24"/>
              </w:rPr>
            </w:pPr>
          </w:p>
        </w:tc>
      </w:tr>
      <w:tr w14:paraId="7F0DF204">
        <w:tblPrEx>
          <w:tblCellMar>
            <w:top w:w="0" w:type="dxa"/>
            <w:left w:w="108" w:type="dxa"/>
            <w:bottom w:w="0" w:type="dxa"/>
            <w:right w:w="108" w:type="dxa"/>
          </w:tblCellMar>
        </w:tblPrEx>
        <w:trPr>
          <w:trHeight w:val="23" w:hRule="atLeast"/>
          <w:jc w:val="center"/>
        </w:trPr>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00E58">
            <w:pPr>
              <w:widowControl/>
              <w:jc w:val="center"/>
              <w:rPr>
                <w:rFonts w:ascii="宋体" w:hAnsi="宋体" w:cs="宋体"/>
                <w:b/>
                <w:color w:val="000000"/>
                <w:sz w:val="24"/>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73D01">
            <w:pPr>
              <w:widowControl/>
              <w:jc w:val="center"/>
              <w:rPr>
                <w:rFonts w:ascii="宋体" w:hAnsi="宋体" w:cs="宋体"/>
                <w:b/>
                <w:color w:val="000000"/>
                <w:sz w:val="24"/>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5F5F">
            <w:pPr>
              <w:widowControl/>
              <w:jc w:val="center"/>
              <w:textAlignment w:val="center"/>
              <w:rPr>
                <w:rFonts w:ascii="宋体" w:hAnsi="宋体" w:cs="宋体"/>
                <w:color w:val="000000"/>
                <w:sz w:val="24"/>
              </w:rPr>
            </w:pPr>
            <w:r>
              <w:rPr>
                <w:rFonts w:hint="eastAsia" w:ascii="宋体" w:hAnsi="宋体" w:cs="宋体"/>
                <w:color w:val="000000"/>
                <w:kern w:val="0"/>
                <w:sz w:val="24"/>
              </w:rPr>
              <w:t>实现效果</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A5AC">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DB36">
            <w:pPr>
              <w:widowControl/>
              <w:jc w:val="left"/>
              <w:textAlignment w:val="center"/>
              <w:rPr>
                <w:rFonts w:ascii="宋体" w:hAnsi="宋体" w:cs="宋体"/>
                <w:color w:val="000000"/>
                <w:sz w:val="24"/>
              </w:rPr>
            </w:pPr>
            <w:r>
              <w:rPr>
                <w:rFonts w:hint="eastAsia" w:ascii="宋体" w:hAnsi="宋体" w:cs="宋体"/>
                <w:color w:val="000000"/>
                <w:kern w:val="0"/>
                <w:sz w:val="24"/>
              </w:rPr>
              <w:t>部门预算项目绩效目标效益指标实施效果</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2785">
            <w:pPr>
              <w:widowControl/>
              <w:jc w:val="left"/>
              <w:textAlignment w:val="center"/>
              <w:rPr>
                <w:rFonts w:ascii="宋体" w:hAnsi="宋体" w:cs="宋体"/>
                <w:color w:val="000000"/>
                <w:kern w:val="0"/>
                <w:sz w:val="24"/>
              </w:rPr>
            </w:pPr>
            <w:r>
              <w:rPr>
                <w:rFonts w:hint="eastAsia" w:ascii="宋体" w:hAnsi="宋体" w:cs="宋体"/>
                <w:color w:val="000000"/>
                <w:kern w:val="0"/>
                <w:sz w:val="24"/>
              </w:rPr>
              <w:t>3</w:t>
            </w: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BAF1">
            <w:pPr>
              <w:widowControl/>
              <w:jc w:val="left"/>
              <w:textAlignment w:val="center"/>
              <w:rPr>
                <w:rFonts w:ascii="宋体" w:hAnsi="宋体" w:cs="宋体"/>
                <w:color w:val="000000"/>
                <w:kern w:val="0"/>
                <w:sz w:val="24"/>
              </w:rPr>
            </w:pPr>
          </w:p>
        </w:tc>
      </w:tr>
      <w:tr w14:paraId="0991A02C">
        <w:tblPrEx>
          <w:tblCellMar>
            <w:top w:w="0" w:type="dxa"/>
            <w:left w:w="108" w:type="dxa"/>
            <w:bottom w:w="0" w:type="dxa"/>
            <w:right w:w="108" w:type="dxa"/>
          </w:tblCellMar>
        </w:tblPrEx>
        <w:trPr>
          <w:trHeight w:val="429" w:hRule="atLeast"/>
          <w:jc w:val="center"/>
        </w:trPr>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10CD">
            <w:pPr>
              <w:widowControl/>
              <w:jc w:val="center"/>
              <w:textAlignment w:val="center"/>
              <w:rPr>
                <w:rFonts w:ascii="宋体" w:hAnsi="宋体" w:cs="宋体"/>
                <w:b/>
                <w:color w:val="000000"/>
                <w:sz w:val="24"/>
              </w:rPr>
            </w:pPr>
            <w:r>
              <w:rPr>
                <w:rFonts w:hint="eastAsia" w:ascii="宋体" w:hAnsi="宋体" w:cs="宋体"/>
                <w:b/>
                <w:color w:val="000000"/>
                <w:kern w:val="0"/>
                <w:sz w:val="24"/>
              </w:rPr>
              <w:t>扣分（10</w:t>
            </w:r>
            <w:r>
              <w:rPr>
                <w:rFonts w:hint="eastAsia" w:ascii="宋体" w:hAnsi="宋体" w:cs="宋体"/>
                <w:b/>
                <w:color w:val="000000"/>
                <w:kern w:val="0"/>
                <w:sz w:val="24"/>
                <w:lang w:eastAsia="zh-CN"/>
              </w:rPr>
              <w:t>分</w:t>
            </w:r>
            <w:r>
              <w:rPr>
                <w:rFonts w:hint="eastAsia" w:ascii="宋体" w:hAnsi="宋体" w:cs="宋体"/>
                <w:b/>
                <w:color w:val="000000"/>
                <w:kern w:val="0"/>
                <w:sz w:val="24"/>
              </w:rPr>
              <w:t>分）</w:t>
            </w:r>
          </w:p>
        </w:tc>
        <w:tc>
          <w:tcPr>
            <w:tcW w:w="3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0FA93">
            <w:pPr>
              <w:widowControl/>
              <w:jc w:val="center"/>
              <w:textAlignment w:val="center"/>
              <w:rPr>
                <w:rFonts w:ascii="宋体" w:hAnsi="宋体" w:cs="宋体"/>
                <w:color w:val="000000"/>
                <w:sz w:val="24"/>
              </w:rPr>
            </w:pPr>
            <w:r>
              <w:rPr>
                <w:rFonts w:hint="eastAsia" w:ascii="宋体" w:hAnsi="宋体" w:cs="宋体"/>
                <w:color w:val="000000"/>
                <w:kern w:val="0"/>
                <w:sz w:val="24"/>
              </w:rPr>
              <w:t>被评价部门配合度</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AC97">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4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4D4B">
            <w:pPr>
              <w:widowControl/>
              <w:jc w:val="left"/>
              <w:textAlignment w:val="center"/>
              <w:rPr>
                <w:rFonts w:ascii="宋体" w:hAnsi="宋体" w:cs="宋体"/>
                <w:color w:val="000000"/>
                <w:sz w:val="24"/>
              </w:rPr>
            </w:pPr>
            <w:r>
              <w:rPr>
                <w:rFonts w:hint="eastAsia" w:ascii="宋体" w:hAnsi="宋体" w:cs="宋体"/>
                <w:color w:val="000000"/>
                <w:kern w:val="0"/>
                <w:sz w:val="24"/>
              </w:rPr>
              <w:t>被评价对象工作配合情况</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A7E6">
            <w:pPr>
              <w:widowControl/>
              <w:jc w:val="left"/>
              <w:textAlignment w:val="center"/>
              <w:rPr>
                <w:rFonts w:ascii="宋体" w:hAnsi="宋体" w:cs="宋体"/>
                <w:color w:val="000000"/>
                <w:kern w:val="0"/>
                <w:sz w:val="24"/>
              </w:rPr>
            </w:pPr>
          </w:p>
        </w:tc>
        <w:tc>
          <w:tcPr>
            <w:tcW w:w="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AD51">
            <w:pPr>
              <w:widowControl/>
              <w:jc w:val="left"/>
              <w:textAlignment w:val="center"/>
              <w:rPr>
                <w:rFonts w:ascii="宋体" w:hAnsi="宋体" w:cs="宋体"/>
                <w:color w:val="000000"/>
                <w:kern w:val="0"/>
                <w:sz w:val="24"/>
              </w:rPr>
            </w:pPr>
          </w:p>
        </w:tc>
      </w:tr>
    </w:tbl>
    <w:p w14:paraId="26AEBD44">
      <w:pPr>
        <w:pStyle w:val="8"/>
        <w:rPr>
          <w:rFonts w:hint="eastAsia" w:ascii="Times New Roman" w:hAnsi="Times New Roman" w:cs="宋体"/>
          <w:color w:val="FF0000"/>
          <w:kern w:val="0"/>
          <w:sz w:val="32"/>
          <w:szCs w:val="32"/>
          <w:highlight w:val="yellow"/>
          <w:shd w:val="clear" w:color="auto" w:fill="FFFFFF"/>
          <w:lang w:val="zh-CN"/>
        </w:rPr>
      </w:pPr>
    </w:p>
    <w:p w14:paraId="3AF196FC">
      <w:pPr>
        <w:rPr>
          <w:rFonts w:hint="eastAsia" w:ascii="Times New Roman" w:hAnsi="Times New Roman" w:eastAsia="仿宋_GB2312" w:cs="仿宋_GB2312"/>
          <w:b w:val="0"/>
          <w:bCs w:val="0"/>
          <w:kern w:val="0"/>
          <w:position w:val="0"/>
          <w:sz w:val="32"/>
          <w:szCs w:val="32"/>
          <w:highlight w:val="none"/>
          <w:lang w:val="en-US" w:eastAsia="zh-CN" w:bidi="ar-SA"/>
        </w:rPr>
      </w:pPr>
      <w:bookmarkStart w:id="47" w:name="_Toc15396618"/>
    </w:p>
    <w:p w14:paraId="2AE0ADAA">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45"/>
      <w:bookmarkEnd w:id="47"/>
      <w:bookmarkStart w:id="48" w:name="_Toc15396619"/>
    </w:p>
    <w:p w14:paraId="6ECDD76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11358CD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8"/>
    </w:p>
    <w:p w14:paraId="64F48AB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9" w:name="_Toc15396620"/>
      <w:r>
        <w:rPr>
          <w:rFonts w:hint="eastAsia" w:ascii="Times New Roman" w:hAnsi="Times New Roman" w:eastAsia="仿宋_GB2312" w:cs="仿宋_GB2312"/>
          <w:color w:val="auto"/>
          <w:sz w:val="32"/>
          <w:szCs w:val="32"/>
          <w:highlight w:val="none"/>
        </w:rPr>
        <w:t>二、收入决算表</w:t>
      </w:r>
      <w:bookmarkEnd w:id="49"/>
    </w:p>
    <w:p w14:paraId="559BAC6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1"/>
      <w:r>
        <w:rPr>
          <w:rFonts w:hint="eastAsia" w:ascii="Times New Roman" w:hAnsi="Times New Roman" w:eastAsia="仿宋_GB2312" w:cs="仿宋_GB2312"/>
          <w:color w:val="auto"/>
          <w:sz w:val="32"/>
          <w:szCs w:val="32"/>
          <w:highlight w:val="none"/>
        </w:rPr>
        <w:t>三、支出决算表</w:t>
      </w:r>
      <w:bookmarkEnd w:id="50"/>
    </w:p>
    <w:p w14:paraId="67E59D2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2"/>
      <w:r>
        <w:rPr>
          <w:rFonts w:hint="eastAsia" w:ascii="Times New Roman" w:hAnsi="Times New Roman" w:eastAsia="仿宋_GB2312" w:cs="仿宋_GB2312"/>
          <w:color w:val="auto"/>
          <w:sz w:val="32"/>
          <w:szCs w:val="32"/>
          <w:highlight w:val="none"/>
        </w:rPr>
        <w:t>四、财政拨款收入支出决算总表</w:t>
      </w:r>
      <w:bookmarkEnd w:id="51"/>
    </w:p>
    <w:p w14:paraId="30C5AE6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3"/>
      <w:r>
        <w:rPr>
          <w:rFonts w:hint="eastAsia" w:ascii="Times New Roman" w:hAnsi="Times New Roman" w:eastAsia="仿宋_GB2312" w:cs="仿宋_GB2312"/>
          <w:color w:val="auto"/>
          <w:sz w:val="32"/>
          <w:szCs w:val="32"/>
          <w:highlight w:val="none"/>
        </w:rPr>
        <w:t>五、财政拨款支出决算明细表</w:t>
      </w:r>
      <w:bookmarkEnd w:id="52"/>
      <w:bookmarkStart w:id="53" w:name="_Toc15396624"/>
    </w:p>
    <w:p w14:paraId="0FC4C8A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3"/>
    </w:p>
    <w:p w14:paraId="5491DA6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5"/>
      <w:r>
        <w:rPr>
          <w:rFonts w:hint="eastAsia" w:ascii="Times New Roman" w:hAnsi="Times New Roman" w:eastAsia="仿宋_GB2312" w:cs="仿宋_GB2312"/>
          <w:color w:val="auto"/>
          <w:sz w:val="32"/>
          <w:szCs w:val="32"/>
          <w:highlight w:val="none"/>
        </w:rPr>
        <w:t>七、一般公共预算财政拨款支出决算明细表</w:t>
      </w:r>
      <w:bookmarkEnd w:id="54"/>
    </w:p>
    <w:p w14:paraId="68569C0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6"/>
      <w:r>
        <w:rPr>
          <w:rFonts w:hint="eastAsia" w:ascii="Times New Roman" w:hAnsi="Times New Roman" w:eastAsia="仿宋_GB2312" w:cs="仿宋_GB2312"/>
          <w:color w:val="auto"/>
          <w:sz w:val="32"/>
          <w:szCs w:val="32"/>
          <w:highlight w:val="none"/>
        </w:rPr>
        <w:t>八、一般公共预算财政拨款基本支出决算表</w:t>
      </w:r>
      <w:bookmarkEnd w:id="55"/>
    </w:p>
    <w:p w14:paraId="1B1A2E29">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7"/>
      <w:r>
        <w:rPr>
          <w:rFonts w:hint="eastAsia" w:ascii="Times New Roman" w:hAnsi="Times New Roman" w:eastAsia="仿宋_GB2312" w:cs="仿宋_GB2312"/>
          <w:color w:val="auto"/>
          <w:sz w:val="32"/>
          <w:szCs w:val="32"/>
          <w:highlight w:val="none"/>
        </w:rPr>
        <w:t>九、一般公共预算财政拨款项目支出决算表</w:t>
      </w:r>
      <w:bookmarkEnd w:id="56"/>
    </w:p>
    <w:p w14:paraId="5553A3E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8"/>
      <w:r>
        <w:rPr>
          <w:rFonts w:hint="eastAsia" w:ascii="Times New Roman" w:hAnsi="Times New Roman" w:eastAsia="仿宋_GB2312" w:cs="仿宋_GB2312"/>
          <w:color w:val="auto"/>
          <w:sz w:val="32"/>
          <w:szCs w:val="32"/>
          <w:highlight w:val="none"/>
        </w:rPr>
        <w:t>十、</w:t>
      </w:r>
      <w:bookmarkEnd w:id="57"/>
      <w:r>
        <w:rPr>
          <w:rFonts w:hint="eastAsia" w:ascii="Times New Roman" w:hAnsi="Times New Roman" w:eastAsia="仿宋_GB2312" w:cs="仿宋_GB2312"/>
          <w:color w:val="auto"/>
          <w:sz w:val="32"/>
          <w:szCs w:val="32"/>
          <w:highlight w:val="none"/>
        </w:rPr>
        <w:t>政府性基金预算财政拨款收入支出决算表</w:t>
      </w:r>
    </w:p>
    <w:p w14:paraId="1FA4907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9"/>
      <w:r>
        <w:rPr>
          <w:rFonts w:hint="eastAsia" w:ascii="Times New Roman" w:hAnsi="Times New Roman" w:eastAsia="仿宋_GB2312" w:cs="仿宋_GB2312"/>
          <w:color w:val="auto"/>
          <w:sz w:val="32"/>
          <w:szCs w:val="32"/>
          <w:highlight w:val="none"/>
        </w:rPr>
        <w:t>十一、</w:t>
      </w:r>
      <w:bookmarkEnd w:id="5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7BF344C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30"/>
      <w:r>
        <w:rPr>
          <w:rFonts w:hint="eastAsia" w:ascii="Times New Roman" w:hAnsi="Times New Roman" w:eastAsia="仿宋_GB2312" w:cs="仿宋_GB2312"/>
          <w:color w:val="auto"/>
          <w:sz w:val="32"/>
          <w:szCs w:val="32"/>
          <w:highlight w:val="none"/>
        </w:rPr>
        <w:t>十二、</w:t>
      </w:r>
      <w:bookmarkEnd w:id="59"/>
      <w:r>
        <w:rPr>
          <w:rFonts w:hint="eastAsia" w:ascii="Times New Roman" w:hAnsi="Times New Roman" w:eastAsia="仿宋_GB2312" w:cs="仿宋_GB2312"/>
          <w:color w:val="auto"/>
          <w:sz w:val="32"/>
          <w:szCs w:val="32"/>
          <w:highlight w:val="none"/>
          <w:lang w:eastAsia="zh-CN"/>
        </w:rPr>
        <w:t>国有资本经营预算财政拨款支出决算表</w:t>
      </w:r>
    </w:p>
    <w:p w14:paraId="4921EA1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0" w:name="_Toc15396631"/>
      <w:r>
        <w:rPr>
          <w:rFonts w:hint="eastAsia" w:ascii="Times New Roman" w:hAnsi="Times New Roman" w:eastAsia="仿宋_GB2312" w:cs="仿宋_GB2312"/>
          <w:color w:val="auto"/>
          <w:sz w:val="32"/>
          <w:szCs w:val="32"/>
          <w:highlight w:val="none"/>
        </w:rPr>
        <w:t>十三、</w:t>
      </w:r>
      <w:bookmarkEnd w:id="60"/>
      <w:r>
        <w:rPr>
          <w:rFonts w:hint="eastAsia" w:ascii="Times New Roman" w:hAnsi="Times New Roman" w:eastAsia="仿宋_GB2312" w:cs="仿宋_GB2312"/>
          <w:color w:val="auto"/>
          <w:sz w:val="32"/>
          <w:szCs w:val="32"/>
          <w:highlight w:val="none"/>
          <w:lang w:eastAsia="zh-CN"/>
        </w:rPr>
        <w:t>财政拨款“三公”经费支出决算表</w:t>
      </w:r>
    </w:p>
    <w:p w14:paraId="1D8D5A46">
      <w:pPr>
        <w:rPr>
          <w:rFonts w:hint="eastAsia" w:ascii="Times New Roman" w:hAnsi="Times New Roman"/>
          <w:lang w:eastAsia="zh-CN"/>
        </w:rPr>
      </w:pPr>
    </w:p>
    <w:sectPr>
      <w:footerReference r:id="rId9" w:type="first"/>
      <w:footerReference r:id="rId8"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32FBF">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35FB5">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635FB5">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794948E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9B61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3C3D9">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33C3D9">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C3538">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EF7777">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4EF7777">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735D169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D60FB">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6EF6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B6EF6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87063">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72AC0F">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72AC0F">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3F2CC9DF">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4E00B">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42DA6">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3A42DA6">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0EC8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560F9"/>
    <w:multiLevelType w:val="singleLevel"/>
    <w:tmpl w:val="BD7560F9"/>
    <w:lvl w:ilvl="0" w:tentative="0">
      <w:start w:val="2"/>
      <w:numFmt w:val="chineseCounting"/>
      <w:suff w:val="nothing"/>
      <w:lvlText w:val="（%1）"/>
      <w:lvlJc w:val="left"/>
      <w:rPr>
        <w:rFonts w:hint="eastAsia"/>
      </w:rPr>
    </w:lvl>
  </w:abstractNum>
  <w:abstractNum w:abstractNumId="1">
    <w:nsid w:val="BF7F84B5"/>
    <w:multiLevelType w:val="singleLevel"/>
    <w:tmpl w:val="BF7F84B5"/>
    <w:lvl w:ilvl="0" w:tentative="0">
      <w:start w:val="2"/>
      <w:numFmt w:val="decimal"/>
      <w:lvlText w:val="%1."/>
      <w:lvlJc w:val="left"/>
      <w:pPr>
        <w:tabs>
          <w:tab w:val="left" w:pos="312"/>
        </w:tabs>
      </w:pPr>
    </w:lvl>
  </w:abstractNum>
  <w:abstractNum w:abstractNumId="2">
    <w:nsid w:val="DD7EB97F"/>
    <w:multiLevelType w:val="singleLevel"/>
    <w:tmpl w:val="DD7EB97F"/>
    <w:lvl w:ilvl="0" w:tentative="0">
      <w:start w:val="1"/>
      <w:numFmt w:val="chineseCounting"/>
      <w:suff w:val="nothing"/>
      <w:lvlText w:val="%1、"/>
      <w:lvlJc w:val="left"/>
      <w:rPr>
        <w:rFonts w:hint="eastAsia"/>
      </w:rPr>
    </w:lvl>
  </w:abstractNum>
  <w:abstractNum w:abstractNumId="3">
    <w:nsid w:val="EF94508E"/>
    <w:multiLevelType w:val="singleLevel"/>
    <w:tmpl w:val="EF94508E"/>
    <w:lvl w:ilvl="0" w:tentative="0">
      <w:start w:val="1"/>
      <w:numFmt w:val="decimal"/>
      <w:lvlText w:val="%1."/>
      <w:lvlJc w:val="left"/>
      <w:pPr>
        <w:tabs>
          <w:tab w:val="left" w:pos="312"/>
        </w:tabs>
      </w:pPr>
    </w:lvl>
  </w:abstractNum>
  <w:abstractNum w:abstractNumId="4">
    <w:nsid w:val="6FB34028"/>
    <w:multiLevelType w:val="singleLevel"/>
    <w:tmpl w:val="6FB34028"/>
    <w:lvl w:ilvl="0" w:tentative="0">
      <w:start w:val="2"/>
      <w:numFmt w:val="chineseCounting"/>
      <w:suff w:val="nothing"/>
      <w:lvlText w:val="（%1）"/>
      <w:lvlJc w:val="left"/>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MTk0NGI5YjcxNmIwNzM1ODFiNjg4ZmExMTBkYm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DAAB7F"/>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DD904E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2F3766"/>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EA4C2"/>
    <w:rsid w:val="3F7F7599"/>
    <w:rsid w:val="3FEFE189"/>
    <w:rsid w:val="3FF4CAE0"/>
    <w:rsid w:val="3FF7B227"/>
    <w:rsid w:val="3FFD65BB"/>
    <w:rsid w:val="44E268DA"/>
    <w:rsid w:val="450D13D7"/>
    <w:rsid w:val="45506656"/>
    <w:rsid w:val="47FB0977"/>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7E67AB9"/>
    <w:rsid w:val="5AF92295"/>
    <w:rsid w:val="5B250254"/>
    <w:rsid w:val="5B8A3113"/>
    <w:rsid w:val="5BDD79E6"/>
    <w:rsid w:val="5BF561CA"/>
    <w:rsid w:val="5BFF1A6E"/>
    <w:rsid w:val="5BFF5DFC"/>
    <w:rsid w:val="5CD71FC4"/>
    <w:rsid w:val="5D1F11B5"/>
    <w:rsid w:val="5D695134"/>
    <w:rsid w:val="5DAE1B18"/>
    <w:rsid w:val="5DE7D9E5"/>
    <w:rsid w:val="5ECEC941"/>
    <w:rsid w:val="5FBF9FF3"/>
    <w:rsid w:val="5FCD4E2C"/>
    <w:rsid w:val="5FEF0599"/>
    <w:rsid w:val="5FEF394A"/>
    <w:rsid w:val="5FF67715"/>
    <w:rsid w:val="62BF3928"/>
    <w:rsid w:val="63B3701E"/>
    <w:rsid w:val="647F5392"/>
    <w:rsid w:val="65E66580"/>
    <w:rsid w:val="65FFA739"/>
    <w:rsid w:val="664B1D71"/>
    <w:rsid w:val="664B4E8E"/>
    <w:rsid w:val="67277B67"/>
    <w:rsid w:val="67AA3209"/>
    <w:rsid w:val="698D0931"/>
    <w:rsid w:val="6A7FE5F3"/>
    <w:rsid w:val="6B053271"/>
    <w:rsid w:val="6B9ED87C"/>
    <w:rsid w:val="6BDD78B3"/>
    <w:rsid w:val="6BDF5675"/>
    <w:rsid w:val="6C4A05C8"/>
    <w:rsid w:val="6C8742B8"/>
    <w:rsid w:val="6DBF5E93"/>
    <w:rsid w:val="6DFF077E"/>
    <w:rsid w:val="6E714EF0"/>
    <w:rsid w:val="6E7E3605"/>
    <w:rsid w:val="6E7FDCC7"/>
    <w:rsid w:val="6ED6A62E"/>
    <w:rsid w:val="6EE00B15"/>
    <w:rsid w:val="6EE6BEFD"/>
    <w:rsid w:val="6F6FB3EB"/>
    <w:rsid w:val="6F8731EA"/>
    <w:rsid w:val="6FCE6052"/>
    <w:rsid w:val="6FD57C00"/>
    <w:rsid w:val="6FD9DB57"/>
    <w:rsid w:val="6FDF1D37"/>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D7B973"/>
    <w:rsid w:val="73FA497D"/>
    <w:rsid w:val="744731E5"/>
    <w:rsid w:val="74BBD01D"/>
    <w:rsid w:val="74ED5379"/>
    <w:rsid w:val="75302736"/>
    <w:rsid w:val="75D7489A"/>
    <w:rsid w:val="75DEEEC2"/>
    <w:rsid w:val="75E32345"/>
    <w:rsid w:val="75FD92F6"/>
    <w:rsid w:val="76E3355F"/>
    <w:rsid w:val="76FF5125"/>
    <w:rsid w:val="776F6FFA"/>
    <w:rsid w:val="778769C8"/>
    <w:rsid w:val="77A75DCA"/>
    <w:rsid w:val="77D73248"/>
    <w:rsid w:val="77DC22F5"/>
    <w:rsid w:val="783E271A"/>
    <w:rsid w:val="78616DE9"/>
    <w:rsid w:val="78E875D7"/>
    <w:rsid w:val="79086DAD"/>
    <w:rsid w:val="79D7FD79"/>
    <w:rsid w:val="79EE5BA4"/>
    <w:rsid w:val="7A894339"/>
    <w:rsid w:val="7ABB1449"/>
    <w:rsid w:val="7AD284E8"/>
    <w:rsid w:val="7AFF7572"/>
    <w:rsid w:val="7B6C7DFB"/>
    <w:rsid w:val="7BAAB269"/>
    <w:rsid w:val="7BBFBED0"/>
    <w:rsid w:val="7BC3E394"/>
    <w:rsid w:val="7C1F3737"/>
    <w:rsid w:val="7CBFC87B"/>
    <w:rsid w:val="7CCFB941"/>
    <w:rsid w:val="7CFE0F48"/>
    <w:rsid w:val="7D272ABC"/>
    <w:rsid w:val="7D5B3A0E"/>
    <w:rsid w:val="7D7DA7D8"/>
    <w:rsid w:val="7D7EC23E"/>
    <w:rsid w:val="7DFF8A51"/>
    <w:rsid w:val="7DFFA084"/>
    <w:rsid w:val="7E8ADEBF"/>
    <w:rsid w:val="7EEF11D3"/>
    <w:rsid w:val="7EFE4840"/>
    <w:rsid w:val="7EFEC9F8"/>
    <w:rsid w:val="7F0971A6"/>
    <w:rsid w:val="7F1D62E7"/>
    <w:rsid w:val="7F2F280B"/>
    <w:rsid w:val="7F3F679B"/>
    <w:rsid w:val="7F3FC5B4"/>
    <w:rsid w:val="7F4FC4EF"/>
    <w:rsid w:val="7F5E4D54"/>
    <w:rsid w:val="7F6E0135"/>
    <w:rsid w:val="7F79F205"/>
    <w:rsid w:val="7FA30C79"/>
    <w:rsid w:val="7FA79C44"/>
    <w:rsid w:val="7FAF8ABF"/>
    <w:rsid w:val="7FB7269E"/>
    <w:rsid w:val="7FBB2C3E"/>
    <w:rsid w:val="7FC96657"/>
    <w:rsid w:val="7FDA9588"/>
    <w:rsid w:val="7FDF220F"/>
    <w:rsid w:val="7FEDC5F7"/>
    <w:rsid w:val="7FEDD9DE"/>
    <w:rsid w:val="7FF5890D"/>
    <w:rsid w:val="7FF74DD4"/>
    <w:rsid w:val="7FF93490"/>
    <w:rsid w:val="99FF2014"/>
    <w:rsid w:val="9EE94E51"/>
    <w:rsid w:val="9FBF11E9"/>
    <w:rsid w:val="A6DD0D7F"/>
    <w:rsid w:val="ACFF4FBB"/>
    <w:rsid w:val="ADC6F725"/>
    <w:rsid w:val="AEFFA311"/>
    <w:rsid w:val="B7CF06AB"/>
    <w:rsid w:val="B7CFA926"/>
    <w:rsid w:val="B7F8786B"/>
    <w:rsid w:val="BABB6AA1"/>
    <w:rsid w:val="BB2F4199"/>
    <w:rsid w:val="BCFFB442"/>
    <w:rsid w:val="BD079C78"/>
    <w:rsid w:val="BD733540"/>
    <w:rsid w:val="BDB7C031"/>
    <w:rsid w:val="BF3735D5"/>
    <w:rsid w:val="BF7CCA97"/>
    <w:rsid w:val="BF7F09AC"/>
    <w:rsid w:val="BFD475C3"/>
    <w:rsid w:val="BFDE5EA6"/>
    <w:rsid w:val="CDAFFB58"/>
    <w:rsid w:val="CF6FC6F3"/>
    <w:rsid w:val="CFD3D3D7"/>
    <w:rsid w:val="CFDF1009"/>
    <w:rsid w:val="D6DF00FD"/>
    <w:rsid w:val="D7D7B16A"/>
    <w:rsid w:val="D8D6DB89"/>
    <w:rsid w:val="DB6F4CAB"/>
    <w:rsid w:val="DB777682"/>
    <w:rsid w:val="DD1FB521"/>
    <w:rsid w:val="DEFBFEAE"/>
    <w:rsid w:val="DF1F3B80"/>
    <w:rsid w:val="DF6F9789"/>
    <w:rsid w:val="DFE9BE81"/>
    <w:rsid w:val="DFFDD77F"/>
    <w:rsid w:val="DFFFA9E8"/>
    <w:rsid w:val="E5F4E9DC"/>
    <w:rsid w:val="E70FE695"/>
    <w:rsid w:val="EB2E368B"/>
    <w:rsid w:val="ECFED1BC"/>
    <w:rsid w:val="ED1D69BB"/>
    <w:rsid w:val="ED2BE612"/>
    <w:rsid w:val="ED7FD312"/>
    <w:rsid w:val="EF2E1AC6"/>
    <w:rsid w:val="EF53993F"/>
    <w:rsid w:val="EF6FD633"/>
    <w:rsid w:val="EFBFB2F4"/>
    <w:rsid w:val="EFBFFA21"/>
    <w:rsid w:val="EFF589F5"/>
    <w:rsid w:val="EFFD7AD0"/>
    <w:rsid w:val="F2BEBCB8"/>
    <w:rsid w:val="F36FB518"/>
    <w:rsid w:val="F3DE1A04"/>
    <w:rsid w:val="F3F722E5"/>
    <w:rsid w:val="F4FBCD07"/>
    <w:rsid w:val="F6E9AA6A"/>
    <w:rsid w:val="F8D6A72E"/>
    <w:rsid w:val="FA5F1E70"/>
    <w:rsid w:val="FA5FDB97"/>
    <w:rsid w:val="FB71783D"/>
    <w:rsid w:val="FB7F486A"/>
    <w:rsid w:val="FBFF5B2E"/>
    <w:rsid w:val="FBFF5F60"/>
    <w:rsid w:val="FD7FFE2B"/>
    <w:rsid w:val="FDD49382"/>
    <w:rsid w:val="FDEE196B"/>
    <w:rsid w:val="FDFE6575"/>
    <w:rsid w:val="FE858147"/>
    <w:rsid w:val="FEBF9930"/>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45276636868809"/>
          <c:y val="0.161920951976201"/>
          <c:w val="0.930345494080696"/>
          <c:h val="0.638631534211645"/>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1943.43</c:v>
                </c:pt>
                <c:pt idx="1">
                  <c:v>1943.43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2074.24</c:v>
                </c:pt>
                <c:pt idx="1">
                  <c:v>2074.24</c:v>
                </c:pt>
              </c:numCache>
            </c:numRef>
          </c:val>
        </c:ser>
        <c:dLbls>
          <c:showLegendKey val="0"/>
          <c:showVal val="1"/>
          <c:showCatName val="0"/>
          <c:showSerName val="0"/>
          <c:showPercent val="0"/>
          <c:showBubbleSize val="0"/>
        </c:dLbls>
        <c:gapWidth val="219"/>
        <c:overlap val="-27"/>
        <c:axId val="961590556"/>
        <c:axId val="411115280"/>
      </c:barChart>
      <c:catAx>
        <c:axId val="9615905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115280"/>
        <c:crosses val="autoZero"/>
        <c:auto val="1"/>
        <c:lblAlgn val="ctr"/>
        <c:lblOffset val="100"/>
        <c:noMultiLvlLbl val="0"/>
      </c:catAx>
      <c:valAx>
        <c:axId val="41111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5905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98e3b3b-2332-4e66-9fb9-3478d8b2e99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2024年收入决算情况</a:t>
            </a:r>
          </a:p>
        </c:rich>
      </c:tx>
      <c:layout/>
      <c:overlay val="0"/>
      <c:spPr>
        <a:noFill/>
        <a:ln>
          <a:noFill/>
        </a:ln>
        <a:effectLst/>
      </c:spPr>
    </c:title>
    <c:autoTitleDeleted val="0"/>
    <c:plotArea>
      <c:layout>
        <c:manualLayout>
          <c:layoutTarget val="inner"/>
          <c:xMode val="edge"/>
          <c:yMode val="edge"/>
          <c:x val="0.301159700410727"/>
          <c:y val="0.258818529536762"/>
          <c:w val="0.394781348151727"/>
          <c:h val="0.69443263918402"/>
        </c:manualLayout>
      </c:layout>
      <c:pieChart>
        <c:varyColors val="1"/>
        <c:ser>
          <c:idx val="0"/>
          <c:order val="0"/>
          <c:tx>
            <c:strRef>
              <c:f>Sheet1!$B$1</c:f>
              <c:strCache>
                <c:ptCount val="1"/>
                <c:pt idx="0">
                  <c:v>2024年收入情况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一般公共预算财政拨款收入</c:v>
                </c:pt>
                <c:pt idx="1">
                  <c:v>其他收入</c:v>
                </c:pt>
              </c:strCache>
            </c:strRef>
          </c:cat>
          <c:val>
            <c:numRef>
              <c:f>Sheet1!$B$2:$B$3</c:f>
              <c:numCache>
                <c:formatCode>General</c:formatCode>
                <c:ptCount val="2"/>
                <c:pt idx="0">
                  <c:v>1625.55</c:v>
                </c:pt>
                <c:pt idx="1">
                  <c:v>448.69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b925c24-f09d-4fd8-80d0-012d6670f61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2024年支出决算情况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1429.35</c:v>
                </c:pt>
                <c:pt idx="1">
                  <c:v>567.15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90779a-009b-44a3-81e4-fb378ed307e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年度财政拨款收入、支出决算情况</a:t>
            </a:r>
            <a:endParaRPr altLang="en-US"/>
          </a:p>
        </c:rich>
      </c:tx>
      <c:layout>
        <c:manualLayout>
          <c:xMode val="edge"/>
          <c:yMode val="edge"/>
          <c:x val="0.196786663445277"/>
          <c:y val="0.0127496812579686"/>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1943.43</c:v>
                </c:pt>
                <c:pt idx="1">
                  <c:v>1943.43</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1625.55</c:v>
                </c:pt>
                <c:pt idx="1">
                  <c:v>1625.55</c:v>
                </c:pt>
              </c:numCache>
            </c:numRef>
          </c:val>
        </c:ser>
        <c:dLbls>
          <c:showLegendKey val="0"/>
          <c:showVal val="0"/>
          <c:showCatName val="0"/>
          <c:showSerName val="0"/>
          <c:showPercent val="0"/>
          <c:showBubbleSize val="0"/>
        </c:dLbls>
        <c:gapWidth val="246"/>
        <c:overlap val="-28"/>
        <c:axId val="926467595"/>
        <c:axId val="14029806"/>
      </c:barChart>
      <c:catAx>
        <c:axId val="9264675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029806"/>
        <c:crosses val="autoZero"/>
        <c:auto val="1"/>
        <c:lblAlgn val="ctr"/>
        <c:lblOffset val="100"/>
        <c:noMultiLvlLbl val="0"/>
      </c:catAx>
      <c:valAx>
        <c:axId val="1402980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64675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9e4c2b8-8a4a-4436-843f-b8ac75959f3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251026818072"/>
          <c:y val="0.0280492987675308"/>
        </c:manualLayout>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2024年度一般公共预算财政拨款支出</c:v>
                </c:pt>
              </c:strCache>
            </c:strRef>
          </c:tx>
          <c:spPr>
            <a:solidFill>
              <a:schemeClr val="accent1"/>
            </a:solidFill>
            <a:ln>
              <a:noFill/>
            </a:ln>
            <a:effectLst/>
          </c:spPr>
          <c:invertIfNegative val="0"/>
          <c:dLbls>
            <c:delete val="1"/>
          </c:dLbls>
          <c:cat>
            <c:strRef>
              <c:f>Sheet1!$A$2:$A$3</c:f>
              <c:strCache>
                <c:ptCount val="2"/>
                <c:pt idx="0">
                  <c:v>2024年度一般公共预算财政拨款支出</c:v>
                </c:pt>
                <c:pt idx="1">
                  <c:v>2023年度一般公共预算财政拨款支出</c:v>
                </c:pt>
              </c:strCache>
            </c:strRef>
          </c:cat>
          <c:val>
            <c:numRef>
              <c:f>Sheet1!$B$2:$B$3</c:f>
              <c:numCache>
                <c:formatCode>General</c:formatCode>
                <c:ptCount val="2"/>
                <c:pt idx="0">
                  <c:v>1625.55</c:v>
                </c:pt>
                <c:pt idx="1">
                  <c:v>1625.55</c:v>
                </c:pt>
              </c:numCache>
            </c:numRef>
          </c:val>
        </c:ser>
        <c:ser>
          <c:idx val="1"/>
          <c:order val="1"/>
          <c:tx>
            <c:strRef>
              <c:f>Sheet1!$C$1</c:f>
              <c:strCache>
                <c:ptCount val="1"/>
                <c:pt idx="0">
                  <c:v>2023年度一般公共预算财政拨款支出</c:v>
                </c:pt>
              </c:strCache>
            </c:strRef>
          </c:tx>
          <c:spPr>
            <a:solidFill>
              <a:schemeClr val="accent2"/>
            </a:solidFill>
            <a:ln>
              <a:noFill/>
            </a:ln>
            <a:effectLst/>
          </c:spPr>
          <c:invertIfNegative val="0"/>
          <c:dLbls>
            <c:delete val="1"/>
          </c:dLbls>
          <c:cat>
            <c:strRef>
              <c:f>Sheet1!$A$2:$A$3</c:f>
              <c:strCache>
                <c:ptCount val="2"/>
                <c:pt idx="0">
                  <c:v>2024年度一般公共预算财政拨款支出</c:v>
                </c:pt>
                <c:pt idx="1">
                  <c:v>2023年度一般公共预算财政拨款支出</c:v>
                </c:pt>
              </c:strCache>
            </c:strRef>
          </c:cat>
          <c:val>
            <c:numRef>
              <c:f>Sheet1!$C$2:$C$3</c:f>
              <c:numCache>
                <c:formatCode>General</c:formatCode>
                <c:ptCount val="2"/>
                <c:pt idx="0">
                  <c:v>1551.91</c:v>
                </c:pt>
                <c:pt idx="1">
                  <c:v>1551.91</c:v>
                </c:pt>
              </c:numCache>
            </c:numRef>
          </c:val>
        </c:ser>
        <c:dLbls>
          <c:showLegendKey val="0"/>
          <c:showVal val="0"/>
          <c:showCatName val="0"/>
          <c:showSerName val="0"/>
          <c:showPercent val="0"/>
          <c:showBubbleSize val="0"/>
        </c:dLbls>
        <c:gapWidth val="246"/>
        <c:overlap val="-28"/>
        <c:axId val="760601016"/>
        <c:axId val="615035237"/>
      </c:barChart>
      <c:catAx>
        <c:axId val="7606010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035237"/>
        <c:crosses val="autoZero"/>
        <c:auto val="1"/>
        <c:lblAlgn val="ctr"/>
        <c:lblOffset val="100"/>
        <c:noMultiLvlLbl val="0"/>
      </c:catAx>
      <c:valAx>
        <c:axId val="615035237"/>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06010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7815093-f2d0-49c0-85cf-129481c6a701}"/>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Sheet1!$A$2:$A$5</c:f>
              <c:strCache>
                <c:ptCount val="4"/>
                <c:pt idx="0">
                  <c:v>公共安全支出</c:v>
                </c:pt>
                <c:pt idx="1">
                  <c:v>社会保障和就业支出</c:v>
                </c:pt>
                <c:pt idx="2">
                  <c:v>卫生健康支出</c:v>
                </c:pt>
                <c:pt idx="3">
                  <c:v>住房保障支出</c:v>
                </c:pt>
              </c:strCache>
            </c:strRef>
          </c:cat>
          <c:val>
            <c:numRef>
              <c:f>Sheet1!$B$2:$B$5</c:f>
              <c:numCache>
                <c:formatCode>General</c:formatCode>
                <c:ptCount val="4"/>
                <c:pt idx="0">
                  <c:v>1348.97</c:v>
                </c:pt>
                <c:pt idx="1">
                  <c:v>138.33</c:v>
                </c:pt>
                <c:pt idx="2">
                  <c:v>53.18</c:v>
                </c:pt>
                <c:pt idx="3">
                  <c:v>85.09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122916163324475"/>
          <c:y val="0.1342966425839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f8761ef-706c-4527-a596-d0b5be9db10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“三公经费”财政拨款支出情况</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公务用车运行维护费</c:v>
                </c:pt>
                <c:pt idx="1">
                  <c:v>公务接待费</c:v>
                </c:pt>
              </c:strCache>
            </c:strRef>
          </c:cat>
          <c:val>
            <c:numRef>
              <c:f>Sheet1!$B$2:$B$3</c:f>
              <c:numCache>
                <c:formatCode>General</c:formatCode>
                <c:ptCount val="2"/>
                <c:pt idx="0">
                  <c:v>107.73</c:v>
                </c:pt>
                <c:pt idx="1">
                  <c:v>1.69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141b4e4-5a0b-4e5f-8f62-9c0a683a5b9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1478</Words>
  <Characters>1940</Characters>
  <Lines>61</Lines>
  <Paragraphs>17</Paragraphs>
  <TotalTime>5</TotalTime>
  <ScaleCrop>false</ScaleCrop>
  <LinksUpToDate>false</LinksUpToDate>
  <CharactersWithSpaces>1966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2020-08-14T01:49:00Z</dcterms:created>
  <dc:creator>曹颖</dc:creator>
  <cp:lastModifiedBy>壤塘县人民法院</cp:lastModifiedBy>
  <cp:lastPrinted>2025-09-09T09:42:00Z</cp:lastPrinted>
  <dcterms:modified xsi:type="dcterms:W3CDTF">2025-09-09T10:07:49Z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eyJoZGlkIjoiZjgyZTYzMTA3NzY2YmZhNmUzM2U5NDVmZjU1OTBkN2YiLCJ1c2VySWQiOiI4NDg2MzYyODUifQ==</vt:lpwstr>
  </property>
</Properties>
</file>