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9CC4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center"/>
        <w:rPr>
          <w:rFonts w:ascii="方正小标宋简体" w:hAnsi="方正小标宋简体" w:eastAsia="方正小标宋简体" w:cs="方正小标宋简体"/>
          <w:color w:val="000000"/>
          <w:sz w:val="72"/>
          <w:szCs w:val="72"/>
        </w:rPr>
      </w:pPr>
    </w:p>
    <w:p w14:paraId="0FC3783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center"/>
        <w:rPr>
          <w:rFonts w:ascii="方正小标宋简体" w:hAnsi="方正小标宋简体" w:eastAsia="方正小标宋简体" w:cs="方正小标宋简体"/>
          <w:color w:val="000000"/>
          <w:sz w:val="72"/>
          <w:szCs w:val="72"/>
        </w:rPr>
      </w:pPr>
    </w:p>
    <w:p w14:paraId="58877FA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center"/>
      </w:pPr>
      <w:r>
        <w:rPr>
          <w:rFonts w:ascii="方正小标宋简体" w:hAnsi="方正小标宋简体" w:eastAsia="方正小标宋简体" w:cs="方正小标宋简体"/>
          <w:color w:val="000000"/>
          <w:sz w:val="72"/>
          <w:szCs w:val="72"/>
        </w:rPr>
        <w:t>2023年度四川省</w:t>
      </w:r>
    </w:p>
    <w:p w14:paraId="76AA715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pPr>
      <w:r>
        <w:rPr>
          <w:rFonts w:hint="eastAsia" w:ascii="方正小标宋简体" w:hAnsi="方正小标宋简体" w:eastAsia="方正小标宋简体" w:cs="方正小标宋简体"/>
          <w:color w:val="000000"/>
          <w:sz w:val="72"/>
          <w:szCs w:val="72"/>
        </w:rPr>
        <w:t>壤塘县人民法院</w:t>
      </w:r>
    </w:p>
    <w:p w14:paraId="2E03441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pPr>
      <w:r>
        <w:rPr>
          <w:rFonts w:hint="eastAsia" w:ascii="方正小标宋简体" w:hAnsi="方正小标宋简体" w:eastAsia="方正小标宋简体" w:cs="方正小标宋简体"/>
          <w:color w:val="000000"/>
          <w:sz w:val="72"/>
          <w:szCs w:val="72"/>
        </w:rPr>
        <w:t>单位决算</w:t>
      </w:r>
    </w:p>
    <w:p w14:paraId="15B42C7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pPr>
      <w:r>
        <w:t> </w:t>
      </w:r>
    </w:p>
    <w:p w14:paraId="6D8E4CA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420"/>
      </w:pPr>
      <w:r>
        <w:rPr>
          <w:rFonts w:hint="eastAsia" w:ascii="宋体" w:hAnsi="宋体" w:eastAsia="宋体" w:cs="宋体"/>
          <w:color w:val="000000"/>
          <w:sz w:val="32"/>
          <w:szCs w:val="32"/>
        </w:rPr>
        <w:t>保密审查情况：已审查，内容审定</w:t>
      </w:r>
    </w:p>
    <w:p w14:paraId="2598E9E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420"/>
      </w:pPr>
      <w:r>
        <w:rPr>
          <w:rFonts w:hint="eastAsia" w:ascii="宋体" w:hAnsi="宋体" w:eastAsia="宋体" w:cs="宋体"/>
          <w:color w:val="000000"/>
          <w:sz w:val="32"/>
          <w:szCs w:val="32"/>
        </w:rPr>
        <w:t>部门主要负责人审签情况：已审签，同意对外公开</w:t>
      </w:r>
    </w:p>
    <w:p w14:paraId="58F435B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p w14:paraId="75380B7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0AEE92D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4695834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30A9B13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69C0F8E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688DBE7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48E6D2D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1B3A931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7013190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ascii="黑体" w:hAnsi="宋体" w:eastAsia="黑体" w:cs="黑体"/>
          <w:color w:val="000000"/>
          <w:sz w:val="48"/>
          <w:szCs w:val="48"/>
        </w:rPr>
      </w:pPr>
    </w:p>
    <w:p w14:paraId="317D3FA1">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ascii="黑体" w:hAnsi="宋体" w:eastAsia="黑体" w:cs="黑体"/>
          <w:color w:val="000000"/>
          <w:sz w:val="48"/>
          <w:szCs w:val="48"/>
        </w:rPr>
        <w:t>目</w:t>
      </w:r>
      <w:r>
        <w:rPr>
          <w:rFonts w:hint="eastAsia" w:ascii="黑体" w:hAnsi="宋体" w:eastAsia="黑体" w:cs="黑体"/>
          <w:color w:val="000000"/>
          <w:sz w:val="48"/>
          <w:szCs w:val="48"/>
        </w:rPr>
        <w:t> 录</w:t>
      </w:r>
    </w:p>
    <w:p w14:paraId="6B69BC9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sz w:val="28"/>
          <w:szCs w:val="28"/>
        </w:rPr>
      </w:pPr>
      <w:r>
        <w:t> </w:t>
      </w:r>
      <w:r>
        <w:rPr>
          <w:rFonts w:hint="default" w:ascii="Times New Roman" w:hAnsi="Times New Roman" w:cs="Times New Roman"/>
          <w:color w:val="000000"/>
          <w:sz w:val="28"/>
          <w:szCs w:val="28"/>
        </w:rPr>
        <w:t>公开时间：2024年9月</w:t>
      </w:r>
      <w:r>
        <w:rPr>
          <w:rFonts w:hint="eastAsia" w:ascii="Times New Roman" w:hAnsi="Times New Roman" w:cs="Times New Roman"/>
          <w:color w:val="000000"/>
          <w:sz w:val="28"/>
          <w:szCs w:val="28"/>
          <w:lang w:val="en-US" w:eastAsia="zh-CN"/>
        </w:rPr>
        <w:t>1</w:t>
      </w:r>
      <w:r>
        <w:rPr>
          <w:rFonts w:hint="default" w:ascii="Times New Roman" w:hAnsi="Times New Roman" w:cs="Times New Roman"/>
          <w:color w:val="000000"/>
          <w:sz w:val="28"/>
          <w:szCs w:val="28"/>
        </w:rPr>
        <w:t>8日</w:t>
      </w:r>
    </w:p>
    <w:p w14:paraId="22D349B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t> </w:t>
      </w:r>
    </w:p>
    <w:p w14:paraId="287153A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rPr>
          <w:sz w:val="28"/>
          <w:szCs w:val="28"/>
        </w:rPr>
      </w:pPr>
      <w:r>
        <w:rPr>
          <w:rFonts w:ascii="仿宋" w:hAnsi="仿宋" w:eastAsia="仿宋" w:cs="仿宋"/>
          <w:color w:val="000000"/>
          <w:sz w:val="28"/>
          <w:szCs w:val="28"/>
        </w:rPr>
        <w:t>第一部分</w:t>
      </w:r>
      <w:r>
        <w:rPr>
          <w:rFonts w:hint="eastAsia" w:ascii="仿宋" w:hAnsi="仿宋" w:eastAsia="仿宋" w:cs="仿宋"/>
          <w:color w:val="000000"/>
          <w:sz w:val="28"/>
          <w:szCs w:val="28"/>
        </w:rPr>
        <w:t> 单位概况</w:t>
      </w:r>
    </w:p>
    <w:p w14:paraId="6CDE425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ascii="Calibri" w:hAnsi="Calibri" w:cs="Calibri"/>
          <w:color w:val="000000"/>
          <w:sz w:val="28"/>
          <w:szCs w:val="28"/>
        </w:rPr>
        <w:t>一、</w:t>
      </w:r>
      <w:r>
        <w:rPr>
          <w:rFonts w:hint="default" w:ascii="Calibri" w:hAnsi="Calibri" w:cs="Calibri"/>
          <w:color w:val="000000"/>
          <w:sz w:val="28"/>
          <w:szCs w:val="28"/>
        </w:rPr>
        <w:t>主要职责·····················································1</w:t>
      </w:r>
    </w:p>
    <w:p w14:paraId="4A76B8F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二、机构设置····················································2</w:t>
      </w:r>
    </w:p>
    <w:p w14:paraId="587AFA0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rPr>
          <w:sz w:val="28"/>
          <w:szCs w:val="28"/>
        </w:rPr>
      </w:pPr>
      <w:r>
        <w:rPr>
          <w:rFonts w:hint="eastAsia" w:ascii="仿宋" w:hAnsi="仿宋" w:eastAsia="仿宋" w:cs="仿宋"/>
          <w:color w:val="000000"/>
          <w:sz w:val="28"/>
          <w:szCs w:val="28"/>
        </w:rPr>
        <w:t>第二部分 2023年度单位决算情况说明</w:t>
      </w:r>
    </w:p>
    <w:p w14:paraId="1D535DA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一、收入支出决算总体情况说明····································4</w:t>
      </w:r>
    </w:p>
    <w:p w14:paraId="3A8934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二、收入决算情况说明············································4</w:t>
      </w:r>
    </w:p>
    <w:p w14:paraId="77972CB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三、支出决算情况说明············································5</w:t>
      </w:r>
    </w:p>
    <w:p w14:paraId="17EFC72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四、财政拨款收入支出决算总体情况说明·····························6</w:t>
      </w:r>
    </w:p>
    <w:p w14:paraId="107286B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五、一般公共预算财政拨款支出决算情况说明·························7</w:t>
      </w:r>
    </w:p>
    <w:p w14:paraId="2A6F5FA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六、一般公共预算财政拨款基本支出决算情况说明·····················9</w:t>
      </w:r>
    </w:p>
    <w:p w14:paraId="1D4511F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七、财政拨款“三公”经费支出决算情况说明·························10</w:t>
      </w:r>
    </w:p>
    <w:p w14:paraId="2BB2B39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八、政府性基金预算支出决算情况说明······························12</w:t>
      </w:r>
    </w:p>
    <w:p w14:paraId="0D64607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九、国有资本经营预算支出决算情况说明····························13</w:t>
      </w:r>
    </w:p>
    <w:p w14:paraId="3316B7B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十、其他重要事项的情况说明······································13</w:t>
      </w:r>
    </w:p>
    <w:p w14:paraId="4A0425B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rPr>
          <w:sz w:val="28"/>
          <w:szCs w:val="28"/>
        </w:rPr>
      </w:pPr>
      <w:r>
        <w:rPr>
          <w:rFonts w:hint="eastAsia" w:ascii="仿宋" w:hAnsi="仿宋" w:eastAsia="仿宋" w:cs="仿宋"/>
          <w:color w:val="000000"/>
          <w:sz w:val="28"/>
          <w:szCs w:val="28"/>
        </w:rPr>
        <w:t>第三部分 名词解释················································</w:t>
      </w:r>
      <w:r>
        <w:rPr>
          <w:rFonts w:hint="default" w:ascii="Calibri" w:hAnsi="Calibri" w:cs="Calibri"/>
          <w:color w:val="000000"/>
          <w:sz w:val="28"/>
          <w:szCs w:val="28"/>
        </w:rPr>
        <w:t>·15</w:t>
      </w:r>
      <w:r>
        <w:rPr>
          <w:rFonts w:hint="eastAsia" w:ascii="仿宋" w:hAnsi="仿宋" w:eastAsia="仿宋" w:cs="仿宋"/>
          <w:color w:val="000000"/>
          <w:sz w:val="28"/>
          <w:szCs w:val="28"/>
        </w:rPr>
        <w:t>第四部分 附件····················································</w:t>
      </w:r>
      <w:r>
        <w:rPr>
          <w:rFonts w:hint="default" w:ascii="Calibri" w:hAnsi="Calibri" w:cs="Calibri"/>
          <w:color w:val="000000"/>
          <w:sz w:val="28"/>
          <w:szCs w:val="28"/>
        </w:rPr>
        <w:t>·19</w:t>
      </w:r>
      <w:r>
        <w:rPr>
          <w:rFonts w:hint="eastAsia" w:ascii="仿宋" w:hAnsi="仿宋" w:eastAsia="仿宋" w:cs="仿宋"/>
          <w:color w:val="000000"/>
          <w:sz w:val="28"/>
          <w:szCs w:val="28"/>
        </w:rPr>
        <w:t>第五部分 附表····················································</w:t>
      </w:r>
      <w:r>
        <w:rPr>
          <w:rFonts w:hint="default" w:ascii="Calibri" w:hAnsi="Calibri" w:cs="Calibri"/>
          <w:color w:val="000000"/>
          <w:sz w:val="28"/>
          <w:szCs w:val="28"/>
        </w:rPr>
        <w:t>·20</w:t>
      </w:r>
    </w:p>
    <w:p w14:paraId="5DA1B65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一、收入支出决算总表</w:t>
      </w:r>
    </w:p>
    <w:p w14:paraId="47F41AA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二、收入决算表</w:t>
      </w:r>
    </w:p>
    <w:p w14:paraId="7432CA8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三、支出决算表</w:t>
      </w:r>
    </w:p>
    <w:p w14:paraId="424C9EC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四、财政拨款收入支出决算总表</w:t>
      </w:r>
    </w:p>
    <w:p w14:paraId="6F03397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五、财政拨款支出决算明细表</w:t>
      </w:r>
    </w:p>
    <w:p w14:paraId="1F14962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六、一般公共预算财政拨款支出决算表</w:t>
      </w:r>
    </w:p>
    <w:p w14:paraId="175ADC4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七、一般公共预算财政拨款支出决算明细表</w:t>
      </w:r>
    </w:p>
    <w:p w14:paraId="33F874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八、一般公共预算财政拨款基本支出决算明细表</w:t>
      </w:r>
      <w:r>
        <w:rPr>
          <w:sz w:val="28"/>
          <w:szCs w:val="28"/>
        </w:rPr>
        <w:t> </w:t>
      </w:r>
    </w:p>
    <w:p w14:paraId="0AC5361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九、一般公共预算财政拨款项目支出决算表</w:t>
      </w:r>
    </w:p>
    <w:p w14:paraId="574BC0F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十、政府性基金预算财政拨款收入支出决算表</w:t>
      </w:r>
    </w:p>
    <w:p w14:paraId="65F4085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十一、国有资本经营预算财政拨款收入支出决算表</w:t>
      </w:r>
    </w:p>
    <w:p w14:paraId="4645CB4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十二、国有资本经营预算财政拨款支出决算表</w:t>
      </w:r>
    </w:p>
    <w:p w14:paraId="4A84916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十三、财政拨款“三公”经费支出决算表</w:t>
      </w:r>
    </w:p>
    <w:p w14:paraId="5B1DA11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sz w:val="28"/>
          <w:szCs w:val="28"/>
        </w:rPr>
      </w:pPr>
      <w:r>
        <w:rPr>
          <w:sz w:val="28"/>
          <w:szCs w:val="28"/>
        </w:rPr>
        <w:t> </w:t>
      </w:r>
    </w:p>
    <w:p w14:paraId="684327C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p w14:paraId="3A3AF5BE">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340" w:beforeAutospacing="0" w:after="330" w:afterAutospacing="0" w:line="576" w:lineRule="auto"/>
        <w:jc w:val="center"/>
      </w:pPr>
      <w:r>
        <w:rPr>
          <w:rFonts w:hint="eastAsia" w:ascii="黑体" w:hAnsi="宋体" w:eastAsia="黑体" w:cs="黑体"/>
          <w:color w:val="000000"/>
          <w:sz w:val="44"/>
          <w:szCs w:val="44"/>
        </w:rPr>
        <w:t>第一部分 单位概况</w:t>
      </w:r>
    </w:p>
    <w:p w14:paraId="6FC7FC4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rPr>
          <w:rFonts w:ascii="方正黑体_GBK" w:hAnsi="方正黑体_GBK" w:eastAsia="方正黑体_GBK" w:cs="方正黑体_GBK"/>
          <w:color w:val="000000"/>
          <w:sz w:val="32"/>
          <w:szCs w:val="32"/>
        </w:rPr>
      </w:pPr>
    </w:p>
    <w:p w14:paraId="0E7998A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pPr>
      <w:bookmarkStart w:id="0" w:name="_GoBack"/>
      <w:bookmarkEnd w:id="0"/>
      <w:r>
        <w:rPr>
          <w:rFonts w:ascii="方正黑体_GBK" w:hAnsi="方正黑体_GBK" w:eastAsia="方正黑体_GBK" w:cs="方正黑体_GBK"/>
          <w:color w:val="000000"/>
          <w:sz w:val="32"/>
          <w:szCs w:val="32"/>
        </w:rPr>
        <w:t>一、主要职责</w:t>
      </w:r>
    </w:p>
    <w:p w14:paraId="5007629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00" w:beforeAutospacing="0" w:after="100" w:afterAutospacing="0" w:line="0" w:lineRule="atLeast"/>
        <w:ind w:left="0" w:right="0" w:firstLine="643"/>
      </w:pPr>
      <w:r>
        <w:rPr>
          <w:rFonts w:ascii="仿宋" w:hAnsi="仿宋" w:eastAsia="仿宋" w:cs="仿宋"/>
          <w:b/>
          <w:bCs/>
          <w:color w:val="000000"/>
          <w:sz w:val="32"/>
          <w:szCs w:val="32"/>
        </w:rPr>
        <w:t>综合办公室</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负责协助院领导组织、协调、处理司法政务，负责综合性办文办会、文秘、信息、宣传、保密、档案、代表委员联络、决议事项督办、社会综合治理，负责本院财务管理、诉讼费监督管理，后勤物资装备配置及管理，办公用房和法庭建设维护，信息系统建设、运行、维护和管理保障，以及其他与政务后勤保障相关的工作；负责庭审翻译工作，双语裁判文书翻译工作，日常接待及其他翻译工作；负责案件评查、司法公开等审判管理工作，负责审判委员会、调研、案例等工作。</w:t>
      </w:r>
    </w:p>
    <w:p w14:paraId="0E55F32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643"/>
      </w:pPr>
      <w:r>
        <w:rPr>
          <w:rFonts w:hint="eastAsia" w:ascii="仿宋" w:hAnsi="仿宋" w:eastAsia="仿宋" w:cs="仿宋"/>
          <w:b/>
          <w:bCs/>
          <w:color w:val="000000"/>
          <w:sz w:val="32"/>
          <w:szCs w:val="32"/>
        </w:rPr>
        <w:t>政治部（督察室）：</w:t>
      </w:r>
      <w:r>
        <w:rPr>
          <w:rFonts w:hint="eastAsia" w:ascii="仿宋" w:hAnsi="仿宋" w:eastAsia="仿宋" w:cs="仿宋"/>
          <w:color w:val="000000"/>
          <w:sz w:val="32"/>
          <w:szCs w:val="32"/>
        </w:rPr>
        <w:t>负责干警思想政治建设、队伍建设、机构编制管理、干部人事管理、教育培训、表彰奖励、文化建设、人民陪审员管理，履行内部监督职能、协助党组抓好全院党风、党纪和廉政建设，承担其他与组织人事管理相关的工作。</w:t>
      </w:r>
    </w:p>
    <w:p w14:paraId="23A9691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643"/>
      </w:pPr>
      <w:r>
        <w:rPr>
          <w:rFonts w:hint="eastAsia" w:ascii="仿宋" w:hAnsi="仿宋" w:eastAsia="仿宋" w:cs="仿宋"/>
          <w:b/>
          <w:bCs/>
          <w:color w:val="000000"/>
          <w:sz w:val="32"/>
          <w:szCs w:val="32"/>
        </w:rPr>
        <w:t>立案庭（诉讼服务中心）</w:t>
      </w:r>
      <w:r>
        <w:rPr>
          <w:rFonts w:hint="eastAsia" w:ascii="仿宋" w:hAnsi="仿宋" w:eastAsia="仿宋" w:cs="仿宋"/>
          <w:color w:val="000000"/>
          <w:sz w:val="32"/>
          <w:szCs w:val="32"/>
        </w:rPr>
        <w:t>：负责本院诉讼服务大厅等窗口的管理工作；负责本院的各类案件登记立案及立案审查工作；负责诉前调解、立案调解、信访接待、诉非衔接、诉讼辅导、案件繁简分流、案件速裁、多元化解矛盾纠纷等工作；依法实施诉前保全、起诉时提起的证据保全措施；依法审理支付令、督促等程序性案件并作出裁决；对应由本院受理的申诉、申请再审案件进行审查，并决定是否再审立案；负责办理减、免、缓诉讼费的审批手续；负责本院各类案件的材料收转、案件查询、法律咨询、12368诉讼服务热线等工作，司法评估、拍卖、鉴定，以及其他与立案、信访有关的工作事宜。</w:t>
      </w:r>
    </w:p>
    <w:p w14:paraId="2063D6E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643"/>
        <w:jc w:val="both"/>
      </w:pPr>
      <w:r>
        <w:rPr>
          <w:rFonts w:hint="eastAsia" w:ascii="仿宋" w:hAnsi="仿宋" w:eastAsia="仿宋" w:cs="仿宋"/>
          <w:b/>
          <w:bCs/>
          <w:color w:val="000000"/>
          <w:sz w:val="32"/>
          <w:szCs w:val="32"/>
        </w:rPr>
        <w:t>综合审判庭（环境资源审判庭）：</w:t>
      </w:r>
      <w:r>
        <w:rPr>
          <w:rFonts w:hint="eastAsia" w:ascii="仿宋" w:hAnsi="仿宋" w:eastAsia="仿宋" w:cs="仿宋"/>
          <w:color w:val="000000"/>
          <w:sz w:val="32"/>
          <w:szCs w:val="32"/>
        </w:rPr>
        <w:t>依法审理本院各类刑事、民事、行政等案件；依法审理破坏资源、污染环境、与环境资源相关等涉及环境资源保护等案件；依法审理申诉、申请再审及审判监督案件；负责总结审判工作经验，以及其他与审判相关的工作。</w:t>
      </w:r>
    </w:p>
    <w:p w14:paraId="534440A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643"/>
      </w:pPr>
      <w:r>
        <w:rPr>
          <w:rFonts w:hint="eastAsia" w:ascii="仿宋" w:hAnsi="仿宋" w:eastAsia="仿宋" w:cs="仿宋"/>
          <w:b/>
          <w:bCs/>
          <w:color w:val="000000"/>
          <w:sz w:val="32"/>
          <w:szCs w:val="32"/>
        </w:rPr>
        <w:t>执行局：</w:t>
      </w:r>
      <w:r>
        <w:rPr>
          <w:rFonts w:hint="eastAsia" w:ascii="仿宋" w:hAnsi="仿宋" w:eastAsia="仿宋" w:cs="仿宋"/>
          <w:color w:val="000000"/>
          <w:sz w:val="32"/>
          <w:szCs w:val="32"/>
        </w:rPr>
        <w:t>负责办理本院各类执行案件，总结执行工作经验，以及其他与执行相关的工作。</w:t>
      </w:r>
    </w:p>
    <w:p w14:paraId="23978EB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420"/>
      </w:pPr>
      <w:r>
        <w:rPr>
          <w:rFonts w:hint="eastAsia" w:ascii="仿宋" w:hAnsi="仿宋" w:eastAsia="仿宋" w:cs="仿宋"/>
          <w:b/>
          <w:bCs/>
          <w:color w:val="000000"/>
          <w:sz w:val="32"/>
          <w:szCs w:val="32"/>
        </w:rPr>
        <w:t>司法警察大队</w:t>
      </w:r>
      <w:r>
        <w:rPr>
          <w:rFonts w:hint="eastAsia" w:ascii="仿宋" w:hAnsi="仿宋" w:eastAsia="仿宋" w:cs="仿宋"/>
          <w:color w:val="000000"/>
          <w:sz w:val="32"/>
          <w:szCs w:val="32"/>
        </w:rPr>
        <w:t>：负责司法警察、警务工作、警卫法庭、押解人犯、送达有关法律文书、执行死刑。</w:t>
      </w:r>
    </w:p>
    <w:p w14:paraId="7BD84F2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rPr>
          <w:rFonts w:hint="default" w:ascii="方正黑体_GBK" w:hAnsi="方正黑体_GBK" w:eastAsia="方正黑体_GBK" w:cs="方正黑体_GBK"/>
          <w:color w:val="000000"/>
          <w:sz w:val="32"/>
          <w:szCs w:val="32"/>
        </w:rPr>
      </w:pPr>
    </w:p>
    <w:p w14:paraId="606DB36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pPr>
      <w:r>
        <w:rPr>
          <w:rFonts w:hint="default" w:ascii="方正黑体_GBK" w:hAnsi="方正黑体_GBK" w:eastAsia="方正黑体_GBK" w:cs="方正黑体_GBK"/>
          <w:color w:val="000000"/>
          <w:sz w:val="32"/>
          <w:szCs w:val="32"/>
        </w:rPr>
        <w:t>二、机构设置</w:t>
      </w:r>
    </w:p>
    <w:p w14:paraId="59634CF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960" w:firstLineChars="300"/>
      </w:pPr>
      <w:r>
        <w:rPr>
          <w:rFonts w:ascii="仿宋" w:hAnsi="仿宋" w:eastAsia="仿宋" w:cs="仿宋"/>
          <w:color w:val="000000"/>
          <w:sz w:val="32"/>
          <w:szCs w:val="32"/>
        </w:rPr>
        <w:t>本单位本年度纳入本套决算编制范围的独立编制机构数共1个，与上年相比无变化；独立核算机构数共1个，与上年相比无变化。</w:t>
      </w:r>
      <w:r>
        <w:rPr>
          <w:rFonts w:hint="eastAsia" w:ascii="仿宋" w:hAnsi="仿宋" w:eastAsia="仿宋" w:cs="仿宋"/>
          <w:color w:val="000000"/>
          <w:sz w:val="32"/>
          <w:szCs w:val="32"/>
        </w:rPr>
        <w:t xml:space="preserve">               </w:t>
      </w:r>
    </w:p>
    <w:p w14:paraId="177F2A4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960" w:firstLineChars="300"/>
        <w:rPr>
          <w:rFonts w:hint="default" w:eastAsia="仿宋"/>
          <w:lang w:val="en-US" w:eastAsia="zh-CN"/>
        </w:rPr>
      </w:pPr>
      <w:r>
        <w:rPr>
          <w:rFonts w:hint="eastAsia" w:ascii="仿宋" w:hAnsi="仿宋" w:eastAsia="仿宋" w:cs="仿宋"/>
          <w:color w:val="000000"/>
          <w:sz w:val="32"/>
          <w:szCs w:val="32"/>
        </w:rPr>
        <w:t>本单位本年度年末实有人数为</w:t>
      </w:r>
      <w:r>
        <w:rPr>
          <w:rFonts w:hint="eastAsia" w:ascii="仿宋" w:hAnsi="仿宋" w:eastAsia="仿宋" w:cs="仿宋"/>
          <w:color w:val="000000"/>
          <w:sz w:val="32"/>
          <w:szCs w:val="32"/>
          <w:lang w:val="en-US" w:eastAsia="zh-CN"/>
        </w:rPr>
        <w:t>39</w:t>
      </w:r>
      <w:r>
        <w:rPr>
          <w:rFonts w:hint="eastAsia" w:ascii="仿宋" w:hAnsi="仿宋" w:eastAsia="仿宋" w:cs="仿宋"/>
          <w:color w:val="000000"/>
          <w:sz w:val="32"/>
          <w:szCs w:val="32"/>
        </w:rPr>
        <w:t>人，比上年减少3人；变动原因为</w:t>
      </w:r>
      <w:r>
        <w:rPr>
          <w:rFonts w:hint="eastAsia" w:ascii="仿宋" w:hAnsi="仿宋" w:eastAsia="仿宋" w:cs="仿宋"/>
          <w:color w:val="000000"/>
          <w:sz w:val="32"/>
          <w:szCs w:val="32"/>
          <w:lang w:val="en-US" w:eastAsia="zh-CN"/>
        </w:rPr>
        <w:t>3人调离壤塘法院</w:t>
      </w:r>
      <w:r>
        <w:rPr>
          <w:rFonts w:hint="eastAsia" w:ascii="仿宋" w:hAnsi="仿宋" w:eastAsia="仿宋" w:cs="仿宋"/>
          <w:color w:val="000000"/>
          <w:sz w:val="32"/>
          <w:szCs w:val="32"/>
        </w:rPr>
        <w:t>。年末实有其他人数为1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人，与上年相比增加</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人，</w:t>
      </w:r>
      <w:r>
        <w:rPr>
          <w:rFonts w:hint="eastAsia" w:ascii="仿宋" w:hAnsi="仿宋" w:eastAsia="仿宋" w:cs="仿宋"/>
          <w:color w:val="000000"/>
          <w:sz w:val="32"/>
          <w:szCs w:val="32"/>
          <w:lang w:eastAsia="zh-CN"/>
        </w:rPr>
        <w:t>新招录书记员</w:t>
      </w:r>
      <w:r>
        <w:rPr>
          <w:rFonts w:hint="eastAsia" w:ascii="仿宋" w:hAnsi="仿宋" w:eastAsia="仿宋" w:cs="仿宋"/>
          <w:color w:val="000000"/>
          <w:sz w:val="32"/>
          <w:szCs w:val="32"/>
          <w:lang w:val="en-US" w:eastAsia="zh-CN"/>
        </w:rPr>
        <w:t>2名。</w:t>
      </w:r>
    </w:p>
    <w:p w14:paraId="76B74A5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color w:val="000000"/>
          <w:sz w:val="32"/>
          <w:szCs w:val="32"/>
        </w:rPr>
        <w:br w:type="page"/>
      </w:r>
      <w:r>
        <w:rPr>
          <w:rFonts w:hint="eastAsia" w:ascii="仿宋" w:hAnsi="仿宋" w:eastAsia="仿宋" w:cs="仿宋"/>
          <w:color w:val="000000"/>
          <w:sz w:val="32"/>
          <w:szCs w:val="32"/>
        </w:rPr>
        <w:t> </w:t>
      </w:r>
      <w:r>
        <w:rPr>
          <w:rFonts w:hint="eastAsia" w:ascii="黑体" w:hAnsi="宋体" w:eastAsia="黑体" w:cs="黑体"/>
          <w:color w:val="000000"/>
          <w:sz w:val="44"/>
          <w:szCs w:val="44"/>
        </w:rPr>
        <w:t>第二部分 2023年度单位决算情况说明</w:t>
      </w:r>
    </w:p>
    <w:p w14:paraId="394CF49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t> </w:t>
      </w:r>
    </w:p>
    <w:p w14:paraId="4C26A59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firstLine="640" w:firstLineChars="200"/>
        <w:jc w:val="left"/>
      </w:pPr>
      <w:r>
        <w:rPr>
          <w:rFonts w:hint="eastAsia" w:ascii="黑体" w:hAnsi="宋体" w:eastAsia="黑体" w:cs="黑体"/>
          <w:color w:val="000000"/>
          <w:sz w:val="32"/>
          <w:szCs w:val="32"/>
        </w:rPr>
        <w:t>一、收入支出决算总体情况说明</w:t>
      </w:r>
    </w:p>
    <w:p w14:paraId="668A9AA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2023年度总收入为1943.43万元，较2022年增加</w:t>
      </w:r>
      <w:r>
        <w:rPr>
          <w:rFonts w:hint="eastAsia" w:ascii="Times New Roman" w:hAnsi="Times New Roman" w:cs="Times New Roman"/>
          <w:color w:val="000000"/>
          <w:sz w:val="32"/>
          <w:szCs w:val="32"/>
          <w:lang w:val="en-US" w:eastAsia="zh-CN"/>
        </w:rPr>
        <w:t>1622.12</w:t>
      </w:r>
      <w:r>
        <w:rPr>
          <w:rFonts w:hint="default" w:ascii="Times New Roman" w:hAnsi="Times New Roman" w:cs="Times New Roman"/>
          <w:color w:val="000000"/>
          <w:sz w:val="32"/>
          <w:szCs w:val="32"/>
        </w:rPr>
        <w:t>万元，上升</w:t>
      </w:r>
      <w:r>
        <w:rPr>
          <w:rFonts w:hint="eastAsia" w:ascii="Times New Roman" w:hAnsi="Times New Roman" w:cs="Times New Roman"/>
          <w:color w:val="000000"/>
          <w:sz w:val="32"/>
          <w:szCs w:val="32"/>
          <w:lang w:val="en-US" w:eastAsia="zh-CN"/>
        </w:rPr>
        <w:t>19.81</w:t>
      </w:r>
      <w:r>
        <w:rPr>
          <w:rFonts w:hint="default" w:ascii="Times New Roman" w:hAnsi="Times New Roman" w:cs="Times New Roman"/>
          <w:color w:val="000000"/>
          <w:sz w:val="32"/>
          <w:szCs w:val="32"/>
        </w:rPr>
        <w:t>%；总支出为</w:t>
      </w:r>
      <w:r>
        <w:rPr>
          <w:rFonts w:hint="eastAsia" w:ascii="Times New Roman" w:hAnsi="Times New Roman" w:cs="Times New Roman"/>
          <w:color w:val="000000"/>
          <w:sz w:val="32"/>
          <w:szCs w:val="32"/>
          <w:lang w:val="en-US" w:eastAsia="zh-CN"/>
        </w:rPr>
        <w:t>1943.43</w:t>
      </w:r>
      <w:r>
        <w:rPr>
          <w:rFonts w:hint="default" w:ascii="Times New Roman" w:hAnsi="Times New Roman" w:cs="Times New Roman"/>
          <w:color w:val="000000"/>
          <w:sz w:val="32"/>
          <w:szCs w:val="32"/>
        </w:rPr>
        <w:t>万元，较2022年增加</w:t>
      </w:r>
      <w:r>
        <w:rPr>
          <w:rFonts w:hint="eastAsia" w:ascii="Times New Roman" w:hAnsi="Times New Roman" w:cs="Times New Roman"/>
          <w:color w:val="000000"/>
          <w:sz w:val="32"/>
          <w:szCs w:val="32"/>
          <w:lang w:val="en-US" w:eastAsia="zh-CN"/>
        </w:rPr>
        <w:t>1622.12</w:t>
      </w:r>
      <w:r>
        <w:rPr>
          <w:rFonts w:hint="default" w:ascii="Times New Roman" w:hAnsi="Times New Roman" w:cs="Times New Roman"/>
          <w:color w:val="000000"/>
          <w:sz w:val="32"/>
          <w:szCs w:val="32"/>
        </w:rPr>
        <w:t>万元，上升</w:t>
      </w:r>
      <w:r>
        <w:rPr>
          <w:rFonts w:hint="eastAsia" w:ascii="Times New Roman" w:hAnsi="Times New Roman" w:cs="Times New Roman"/>
          <w:color w:val="000000"/>
          <w:sz w:val="32"/>
          <w:szCs w:val="32"/>
          <w:lang w:val="en-US" w:eastAsia="zh-CN"/>
        </w:rPr>
        <w:t>19.81</w:t>
      </w:r>
      <w:r>
        <w:rPr>
          <w:rFonts w:hint="default" w:ascii="Times New Roman" w:hAnsi="Times New Roman" w:cs="Times New Roman"/>
          <w:color w:val="000000"/>
          <w:sz w:val="32"/>
          <w:szCs w:val="32"/>
        </w:rPr>
        <w:t>%，</w:t>
      </w:r>
      <w:r>
        <w:rPr>
          <w:rFonts w:hint="eastAsia" w:ascii="Times New Roman" w:hAnsi="Times New Roman" w:cs="Times New Roman"/>
          <w:color w:val="000000"/>
          <w:sz w:val="32"/>
          <w:szCs w:val="32"/>
          <w:lang w:eastAsia="zh-CN"/>
        </w:rPr>
        <w:t>主要</w:t>
      </w:r>
      <w:r>
        <w:rPr>
          <w:rFonts w:ascii="仿宋" w:hAnsi="仿宋" w:eastAsia="仿宋" w:cs="仿宋"/>
          <w:color w:val="000000"/>
          <w:sz w:val="32"/>
          <w:szCs w:val="32"/>
        </w:rPr>
        <w:t>原因</w:t>
      </w:r>
      <w:r>
        <w:rPr>
          <w:rFonts w:hint="eastAsia" w:ascii="仿宋" w:hAnsi="仿宋" w:eastAsia="仿宋" w:cs="仿宋"/>
          <w:color w:val="000000"/>
          <w:sz w:val="32"/>
          <w:szCs w:val="32"/>
        </w:rPr>
        <w:t>人员经费增加，其他收入增加。</w:t>
      </w:r>
    </w:p>
    <w:p w14:paraId="7658546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t> </w:t>
      </w:r>
    </w:p>
    <w:p w14:paraId="760C6B9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pPr>
      <w:r>
        <w:rPr>
          <w:rFonts w:hint="eastAsia" w:ascii="仿宋" w:hAnsi="仿宋" w:eastAsia="仿宋" w:cs="仿宋"/>
          <w:color w:val="000000"/>
          <w:sz w:val="32"/>
          <w:szCs w:val="32"/>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rFonts w:hint="eastAsia" w:ascii="仿宋" w:hAnsi="仿宋" w:eastAsia="仿宋" w:cs="仿宋"/>
          <w:color w:val="000000"/>
          <w:sz w:val="32"/>
          <w:szCs w:val="32"/>
        </w:rPr>
        <w:t>（图1：收、支决算总计变动情况图）（柱状图）</w:t>
      </w:r>
    </w:p>
    <w:p w14:paraId="31A96C2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firstLine="640" w:firstLineChars="200"/>
        <w:jc w:val="both"/>
      </w:pPr>
      <w:r>
        <w:rPr>
          <w:rFonts w:hint="eastAsia" w:ascii="黑体" w:hAnsi="宋体" w:eastAsia="黑体" w:cs="黑体"/>
          <w:color w:val="000000"/>
          <w:sz w:val="32"/>
          <w:szCs w:val="32"/>
        </w:rPr>
        <w:t>二、收入决算情况说明</w:t>
      </w:r>
    </w:p>
    <w:p w14:paraId="18E70A0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2023年度本年收入合计</w:t>
      </w:r>
      <w:r>
        <w:rPr>
          <w:rFonts w:hint="eastAsia" w:ascii="Times New Roman" w:hAnsi="Times New Roman" w:cs="Times New Roman"/>
          <w:color w:val="000000"/>
          <w:sz w:val="32"/>
          <w:szCs w:val="32"/>
          <w:lang w:val="en-US" w:eastAsia="zh-CN"/>
        </w:rPr>
        <w:t>1943.43</w:t>
      </w:r>
      <w:r>
        <w:rPr>
          <w:rFonts w:hint="default" w:ascii="Times New Roman" w:hAnsi="Times New Roman" w:cs="Times New Roman"/>
          <w:color w:val="000000"/>
          <w:sz w:val="32"/>
          <w:szCs w:val="32"/>
        </w:rPr>
        <w:t>万元，其中：一般公共预算财政拨款收入</w:t>
      </w:r>
      <w:r>
        <w:rPr>
          <w:rFonts w:hint="eastAsia" w:ascii="Times New Roman" w:hAnsi="Times New Roman" w:cs="Times New Roman"/>
          <w:color w:val="000000"/>
          <w:sz w:val="32"/>
          <w:szCs w:val="32"/>
          <w:lang w:val="en-US" w:eastAsia="zh-CN"/>
        </w:rPr>
        <w:t>1551.91</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79.85</w:t>
      </w:r>
      <w:r>
        <w:rPr>
          <w:rFonts w:hint="default" w:ascii="Times New Roman" w:hAnsi="Times New Roman" w:cs="Times New Roman"/>
          <w:color w:val="000000"/>
          <w:sz w:val="32"/>
          <w:szCs w:val="32"/>
        </w:rPr>
        <w:t>%；政府性基金预算财政拨款收入0万元，占0%；国有资本经营预算财政拨款收入0万元，占0%；上级补助收入0万元，占0%；事业收入0万元，占0%；经营收入0万元，占0%；附属单位上缴收入0万元，占0%；其他收入</w:t>
      </w:r>
      <w:r>
        <w:rPr>
          <w:rFonts w:hint="eastAsia" w:ascii="Times New Roman" w:hAnsi="Times New Roman" w:cs="Times New Roman"/>
          <w:color w:val="000000"/>
          <w:sz w:val="32"/>
          <w:szCs w:val="32"/>
          <w:lang w:val="en-US" w:eastAsia="zh-CN"/>
        </w:rPr>
        <w:t>391.52</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20.15</w:t>
      </w:r>
      <w:r>
        <w:rPr>
          <w:rFonts w:hint="default" w:ascii="Times New Roman" w:hAnsi="Times New Roman" w:cs="Times New Roman"/>
          <w:color w:val="000000"/>
          <w:sz w:val="32"/>
          <w:szCs w:val="32"/>
        </w:rPr>
        <w:t>%。</w:t>
      </w:r>
    </w:p>
    <w:p w14:paraId="2E09D8C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（注：数据来源于财决01表，仅罗列本单位涉及的收入。）</w:t>
      </w:r>
    </w:p>
    <w:p w14:paraId="4436B3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pPr>
      <w:r>
        <w:rPr>
          <w:rFonts w:hint="eastAsia" w:ascii="仿宋" w:hAnsi="仿宋" w:eastAsia="仿宋" w:cs="仿宋"/>
          <w:color w:val="000000"/>
          <w:sz w:val="32"/>
          <w:szCs w:val="32"/>
        </w:rPr>
        <w:drawing>
          <wp:inline distT="0" distB="0" distL="114300" distR="114300">
            <wp:extent cx="5256530" cy="2988310"/>
            <wp:effectExtent l="5080" t="4445" r="15240"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rFonts w:hint="eastAsia" w:ascii="仿宋" w:hAnsi="仿宋" w:eastAsia="仿宋" w:cs="仿宋"/>
          <w:color w:val="000000"/>
          <w:sz w:val="32"/>
          <w:szCs w:val="32"/>
        </w:rPr>
        <w:t>（图2：收入决算结构图）（饼状图）</w:t>
      </w:r>
    </w:p>
    <w:p w14:paraId="58F30FD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4D5EDA8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640" w:firstLine="420"/>
        <w:jc w:val="both"/>
      </w:pPr>
      <w:r>
        <w:rPr>
          <w:rFonts w:hint="eastAsia" w:ascii="黑体" w:hAnsi="宋体" w:eastAsia="黑体" w:cs="黑体"/>
          <w:color w:val="000000"/>
          <w:sz w:val="32"/>
          <w:szCs w:val="32"/>
        </w:rPr>
        <w:t>三、支出决算情况说明</w:t>
      </w:r>
    </w:p>
    <w:p w14:paraId="72EF968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2023年度本年支出合计</w:t>
      </w:r>
      <w:r>
        <w:rPr>
          <w:rFonts w:hint="eastAsia" w:ascii="Times New Roman" w:hAnsi="Times New Roman" w:cs="Times New Roman"/>
          <w:color w:val="000000"/>
          <w:sz w:val="32"/>
          <w:szCs w:val="32"/>
          <w:lang w:val="en-US" w:eastAsia="zh-CN"/>
        </w:rPr>
        <w:t>1943.43</w:t>
      </w:r>
      <w:r>
        <w:rPr>
          <w:rFonts w:hint="default" w:ascii="Times New Roman" w:hAnsi="Times New Roman" w:cs="Times New Roman"/>
          <w:color w:val="000000"/>
          <w:sz w:val="32"/>
          <w:szCs w:val="32"/>
        </w:rPr>
        <w:t>万元，其中：基本支出</w:t>
      </w:r>
      <w:r>
        <w:rPr>
          <w:rFonts w:hint="eastAsia" w:ascii="Times New Roman" w:hAnsi="Times New Roman" w:cs="Times New Roman"/>
          <w:color w:val="000000"/>
          <w:sz w:val="32"/>
          <w:szCs w:val="32"/>
          <w:lang w:val="en-US" w:eastAsia="zh-CN"/>
        </w:rPr>
        <w:t>1456.99</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74.97</w:t>
      </w:r>
      <w:r>
        <w:rPr>
          <w:rFonts w:hint="default" w:ascii="Times New Roman" w:hAnsi="Times New Roman" w:cs="Times New Roman"/>
          <w:color w:val="000000"/>
          <w:sz w:val="32"/>
          <w:szCs w:val="32"/>
        </w:rPr>
        <w:t>%；项目支出</w:t>
      </w:r>
      <w:r>
        <w:rPr>
          <w:rFonts w:hint="eastAsia" w:ascii="Times New Roman" w:hAnsi="Times New Roman" w:cs="Times New Roman"/>
          <w:color w:val="000000"/>
          <w:sz w:val="32"/>
          <w:szCs w:val="32"/>
          <w:lang w:val="en-US" w:eastAsia="zh-CN"/>
        </w:rPr>
        <w:t>486.43</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25.03</w:t>
      </w:r>
      <w:r>
        <w:rPr>
          <w:rFonts w:hint="default" w:ascii="Times New Roman" w:hAnsi="Times New Roman" w:cs="Times New Roman"/>
          <w:color w:val="000000"/>
          <w:sz w:val="32"/>
          <w:szCs w:val="32"/>
        </w:rPr>
        <w:t>%；上缴上级支出0万元，占0%；经营支出0万元，占0%；对附属单位补助支出0万元，占0%。</w:t>
      </w:r>
    </w:p>
    <w:p w14:paraId="53E2E1C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（注：数据来源于财决04表，仅罗列本单位涉及的支出。）</w:t>
      </w:r>
    </w:p>
    <w:p w14:paraId="63E53FB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eastAsiaTheme="minorEastAsia"/>
          <w:lang w:eastAsia="zh-CN"/>
        </w:rPr>
      </w:pPr>
      <w:r>
        <w:t> </w:t>
      </w:r>
      <w:r>
        <w:rPr>
          <w:rFonts w:hint="eastAsia" w:eastAsiaTheme="minorEastAsia"/>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E32956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0FCC44E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pPr>
      <w:r>
        <w:rPr>
          <w:rFonts w:hint="eastAsia" w:ascii="仿宋" w:hAnsi="仿宋" w:eastAsia="仿宋" w:cs="仿宋"/>
          <w:color w:val="000000"/>
          <w:sz w:val="32"/>
          <w:szCs w:val="32"/>
        </w:rPr>
        <w:t>（图3：支出决算结构图）（饼状图）</w:t>
      </w:r>
    </w:p>
    <w:p w14:paraId="566F99C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5024E1D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黑体" w:hAnsi="宋体" w:eastAsia="黑体" w:cs="黑体"/>
          <w:color w:val="000000"/>
          <w:sz w:val="32"/>
          <w:szCs w:val="32"/>
        </w:rPr>
        <w:t>四、财政拨款收入支出决算总体情况说明</w:t>
      </w:r>
    </w:p>
    <w:p w14:paraId="4412F68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2023年度财政拨款收、支总计均为</w:t>
      </w:r>
      <w:r>
        <w:rPr>
          <w:rFonts w:hint="eastAsia" w:ascii="Times New Roman" w:hAnsi="Times New Roman" w:cs="Times New Roman"/>
          <w:color w:val="000000"/>
          <w:sz w:val="32"/>
          <w:szCs w:val="32"/>
          <w:lang w:val="en-US" w:eastAsia="zh-CN"/>
        </w:rPr>
        <w:t>1943.43</w:t>
      </w:r>
      <w:r>
        <w:rPr>
          <w:rFonts w:hint="default" w:ascii="Times New Roman" w:hAnsi="Times New Roman" w:cs="Times New Roman"/>
          <w:color w:val="000000"/>
          <w:sz w:val="32"/>
          <w:szCs w:val="32"/>
        </w:rPr>
        <w:t>万元，较  2022年增加</w:t>
      </w:r>
      <w:r>
        <w:rPr>
          <w:rFonts w:hint="eastAsia" w:ascii="Times New Roman" w:hAnsi="Times New Roman" w:cs="Times New Roman"/>
          <w:color w:val="000000"/>
          <w:sz w:val="32"/>
          <w:szCs w:val="32"/>
          <w:lang w:val="en-US" w:eastAsia="zh-CN"/>
        </w:rPr>
        <w:t>321.31</w:t>
      </w:r>
      <w:r>
        <w:rPr>
          <w:rFonts w:hint="default" w:ascii="Times New Roman" w:hAnsi="Times New Roman" w:cs="Times New Roman"/>
          <w:color w:val="000000"/>
          <w:sz w:val="32"/>
          <w:szCs w:val="32"/>
        </w:rPr>
        <w:t>万元，上升</w:t>
      </w:r>
      <w:r>
        <w:rPr>
          <w:rFonts w:hint="eastAsia" w:ascii="Times New Roman" w:hAnsi="Times New Roman" w:cs="Times New Roman"/>
          <w:color w:val="000000"/>
          <w:sz w:val="32"/>
          <w:szCs w:val="32"/>
          <w:lang w:val="en-US" w:eastAsia="zh-CN"/>
        </w:rPr>
        <w:t>19.81</w:t>
      </w:r>
      <w:r>
        <w:rPr>
          <w:rFonts w:hint="default" w:ascii="Times New Roman" w:hAnsi="Times New Roman" w:cs="Times New Roman"/>
          <w:color w:val="000000"/>
          <w:sz w:val="32"/>
          <w:szCs w:val="32"/>
        </w:rPr>
        <w:t>%；总支出为</w:t>
      </w:r>
      <w:r>
        <w:rPr>
          <w:rFonts w:hint="eastAsia" w:ascii="Times New Roman" w:hAnsi="Times New Roman" w:cs="Times New Roman"/>
          <w:color w:val="000000"/>
          <w:sz w:val="32"/>
          <w:szCs w:val="32"/>
          <w:lang w:val="en-US" w:eastAsia="zh-CN"/>
        </w:rPr>
        <w:t>1943.43</w:t>
      </w:r>
      <w:r>
        <w:rPr>
          <w:rFonts w:hint="default" w:ascii="Times New Roman" w:hAnsi="Times New Roman" w:cs="Times New Roman"/>
          <w:color w:val="000000"/>
          <w:sz w:val="32"/>
          <w:szCs w:val="32"/>
        </w:rPr>
        <w:t>万元，较2022年增加</w:t>
      </w:r>
      <w:r>
        <w:rPr>
          <w:rFonts w:hint="eastAsia" w:ascii="Times New Roman" w:hAnsi="Times New Roman" w:cs="Times New Roman"/>
          <w:color w:val="000000"/>
          <w:sz w:val="32"/>
          <w:szCs w:val="32"/>
          <w:lang w:val="en-US" w:eastAsia="zh-CN"/>
        </w:rPr>
        <w:t>321.31</w:t>
      </w:r>
      <w:r>
        <w:rPr>
          <w:rFonts w:hint="default" w:ascii="Times New Roman" w:hAnsi="Times New Roman" w:cs="Times New Roman"/>
          <w:color w:val="000000"/>
          <w:sz w:val="32"/>
          <w:szCs w:val="32"/>
        </w:rPr>
        <w:t>万元，上升</w:t>
      </w:r>
      <w:r>
        <w:rPr>
          <w:rFonts w:hint="eastAsia" w:ascii="Times New Roman" w:hAnsi="Times New Roman" w:cs="Times New Roman"/>
          <w:color w:val="000000"/>
          <w:sz w:val="32"/>
          <w:szCs w:val="32"/>
          <w:lang w:val="en-US" w:eastAsia="zh-CN"/>
        </w:rPr>
        <w:t>19.81</w:t>
      </w:r>
      <w:r>
        <w:rPr>
          <w:rFonts w:hint="default" w:ascii="Times New Roman" w:hAnsi="Times New Roman" w:cs="Times New Roman"/>
          <w:color w:val="000000"/>
          <w:sz w:val="32"/>
          <w:szCs w:val="32"/>
        </w:rPr>
        <w:t>%，主要原因是</w:t>
      </w:r>
      <w:r>
        <w:rPr>
          <w:rFonts w:hint="eastAsia" w:ascii="Times New Roman" w:hAnsi="Times New Roman" w:cs="Times New Roman"/>
          <w:color w:val="000000"/>
          <w:sz w:val="32"/>
          <w:szCs w:val="32"/>
          <w:lang w:eastAsia="zh-CN"/>
        </w:rPr>
        <w:t>公务经费增加，人员经费增加，总收入和总支出增加</w:t>
      </w:r>
      <w:r>
        <w:rPr>
          <w:rFonts w:hint="default" w:ascii="Times New Roman" w:hAnsi="Times New Roman" w:cs="Times New Roman"/>
          <w:color w:val="000000"/>
          <w:sz w:val="32"/>
          <w:szCs w:val="32"/>
        </w:rPr>
        <w:t>。</w:t>
      </w:r>
    </w:p>
    <w:p w14:paraId="32BE246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pPr>
      <w:r>
        <w:rPr>
          <w:rFonts w:hint="eastAsia" w:ascii="仿宋" w:hAnsi="仿宋" w:eastAsia="仿宋" w:cs="仿宋"/>
          <w:b/>
          <w:bCs/>
          <w:color w:val="000000"/>
          <w:sz w:val="32"/>
          <w:szCs w:val="32"/>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hint="eastAsia" w:ascii="仿宋" w:hAnsi="仿宋" w:eastAsia="仿宋" w:cs="仿宋"/>
          <w:b/>
          <w:bCs/>
          <w:color w:val="000000"/>
          <w:sz w:val="32"/>
          <w:szCs w:val="32"/>
        </w:rPr>
        <w:t>（注：数据来源于财决01-1表）</w:t>
      </w:r>
    </w:p>
    <w:p w14:paraId="661CD29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t> </w:t>
      </w:r>
    </w:p>
    <w:p w14:paraId="07D066A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color w:val="000000"/>
          <w:sz w:val="32"/>
          <w:szCs w:val="32"/>
        </w:rPr>
        <w:t>（图4：财政拨款收、支决算总计变动情况）（柱状图）</w:t>
      </w:r>
    </w:p>
    <w:p w14:paraId="35BC620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1FC8608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黑体" w:hAnsi="宋体" w:eastAsia="黑体" w:cs="黑体"/>
          <w:color w:val="000000"/>
          <w:sz w:val="32"/>
          <w:szCs w:val="32"/>
        </w:rPr>
        <w:t>五、</w:t>
      </w:r>
      <w:r>
        <w:rPr>
          <w:rFonts w:hint="eastAsia" w:ascii="黑体" w:hAnsi="宋体" w:eastAsia="黑体" w:cs="黑体"/>
          <w:b/>
          <w:bCs/>
          <w:color w:val="000000"/>
          <w:sz w:val="32"/>
          <w:szCs w:val="32"/>
        </w:rPr>
        <w:t>一</w:t>
      </w:r>
      <w:r>
        <w:rPr>
          <w:rFonts w:hint="eastAsia" w:ascii="黑体" w:hAnsi="宋体" w:eastAsia="黑体" w:cs="黑体"/>
          <w:color w:val="000000"/>
          <w:sz w:val="32"/>
          <w:szCs w:val="32"/>
        </w:rPr>
        <w:t>般公共预算财政拨款支出决算情况说明</w:t>
      </w:r>
    </w:p>
    <w:p w14:paraId="3698553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（一）一般公共预算财政拨款支出决算总体情况</w:t>
      </w:r>
    </w:p>
    <w:p w14:paraId="30E5779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eastAsia="仿宋"/>
          <w:lang w:eastAsia="zh-CN"/>
        </w:rPr>
      </w:pPr>
      <w:r>
        <w:rPr>
          <w:rFonts w:hint="default" w:ascii="Times New Roman" w:hAnsi="Times New Roman" w:cs="Times New Roman"/>
          <w:color w:val="000000"/>
          <w:sz w:val="32"/>
          <w:szCs w:val="32"/>
        </w:rPr>
        <w:t>2023年度一般公共预算财政拨款支出</w:t>
      </w:r>
      <w:r>
        <w:rPr>
          <w:rFonts w:hint="eastAsia" w:ascii="Times New Roman" w:hAnsi="Times New Roman" w:cs="Times New Roman"/>
          <w:color w:val="000000"/>
          <w:sz w:val="32"/>
          <w:szCs w:val="32"/>
          <w:lang w:val="en-US" w:eastAsia="zh-CN"/>
        </w:rPr>
        <w:t>1551.91</w:t>
      </w:r>
      <w:r>
        <w:rPr>
          <w:rFonts w:hint="default" w:ascii="Times New Roman" w:hAnsi="Times New Roman" w:cs="Times New Roman"/>
          <w:color w:val="000000"/>
          <w:sz w:val="32"/>
          <w:szCs w:val="32"/>
        </w:rPr>
        <w:t>万元，占本年支出合计的</w:t>
      </w:r>
      <w:r>
        <w:rPr>
          <w:rFonts w:hint="eastAsia" w:ascii="Times New Roman" w:hAnsi="Times New Roman" w:cs="Times New Roman"/>
          <w:color w:val="000000"/>
          <w:sz w:val="32"/>
          <w:szCs w:val="32"/>
          <w:lang w:val="en-US" w:eastAsia="zh-CN"/>
        </w:rPr>
        <w:t>79.85</w:t>
      </w:r>
      <w:r>
        <w:rPr>
          <w:rFonts w:hint="default" w:ascii="Times New Roman" w:hAnsi="Times New Roman" w:cs="Times New Roman"/>
          <w:color w:val="000000"/>
          <w:sz w:val="32"/>
          <w:szCs w:val="32"/>
        </w:rPr>
        <w:t>%。较2022年增加</w:t>
      </w:r>
      <w:r>
        <w:rPr>
          <w:rFonts w:hint="eastAsia" w:ascii="Times New Roman" w:hAnsi="Times New Roman" w:cs="Times New Roman"/>
          <w:color w:val="000000"/>
          <w:sz w:val="32"/>
          <w:szCs w:val="32"/>
          <w:lang w:val="en-US" w:eastAsia="zh-CN"/>
        </w:rPr>
        <w:t>321.75</w:t>
      </w:r>
      <w:r>
        <w:rPr>
          <w:rFonts w:hint="default" w:ascii="Times New Roman" w:hAnsi="Times New Roman" w:cs="Times New Roman"/>
          <w:color w:val="000000"/>
          <w:sz w:val="32"/>
          <w:szCs w:val="32"/>
        </w:rPr>
        <w:t>万元，上升</w:t>
      </w:r>
      <w:r>
        <w:rPr>
          <w:rFonts w:hint="eastAsia" w:ascii="Times New Roman" w:hAnsi="Times New Roman" w:cs="Times New Roman"/>
          <w:color w:val="000000"/>
          <w:sz w:val="32"/>
          <w:szCs w:val="32"/>
          <w:lang w:val="en-US" w:eastAsia="zh-CN"/>
        </w:rPr>
        <w:t>26.16</w:t>
      </w:r>
      <w:r>
        <w:rPr>
          <w:rFonts w:hint="default" w:ascii="Times New Roman" w:hAnsi="Times New Roman" w:cs="Times New Roman"/>
          <w:color w:val="000000"/>
          <w:sz w:val="32"/>
          <w:szCs w:val="32"/>
        </w:rPr>
        <w:t>%，主要原因是</w:t>
      </w:r>
      <w:r>
        <w:rPr>
          <w:rFonts w:ascii="仿宋" w:hAnsi="仿宋" w:eastAsia="仿宋" w:cs="仿宋"/>
          <w:color w:val="000000"/>
          <w:sz w:val="32"/>
          <w:szCs w:val="32"/>
        </w:rPr>
        <w:t>主要变动原因是本年度司法绩效未发放，</w:t>
      </w:r>
      <w:r>
        <w:rPr>
          <w:rFonts w:hint="eastAsia" w:ascii="仿宋" w:hAnsi="仿宋" w:eastAsia="仿宋" w:cs="仿宋"/>
          <w:color w:val="000000"/>
          <w:sz w:val="32"/>
          <w:szCs w:val="32"/>
          <w:lang w:val="en-US" w:eastAsia="zh-CN"/>
        </w:rPr>
        <w:t>4名在职干警调离壤塘法院。</w:t>
      </w:r>
    </w:p>
    <w:p w14:paraId="12F464C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rPr>
          <w:rFonts w:hint="eastAsia" w:ascii="仿宋" w:hAnsi="仿宋" w:eastAsia="仿宋" w:cs="仿宋"/>
          <w:b/>
          <w:bCs/>
          <w:color w:val="000000"/>
          <w:sz w:val="32"/>
          <w:szCs w:val="32"/>
        </w:rPr>
      </w:pPr>
    </w:p>
    <w:p w14:paraId="34D4949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rPr>
          <w:rFonts w:hint="eastAsia" w:ascii="仿宋" w:hAnsi="仿宋" w:eastAsia="仿宋" w:cs="仿宋"/>
          <w:b/>
          <w:bCs/>
          <w:color w:val="000000"/>
          <w:sz w:val="32"/>
          <w:szCs w:val="32"/>
        </w:rPr>
      </w:pPr>
    </w:p>
    <w:p w14:paraId="657FE50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rPr>
          <w:rFonts w:hint="eastAsia" w:ascii="仿宋" w:hAnsi="仿宋" w:eastAsia="仿宋" w:cs="仿宋"/>
          <w:b/>
          <w:bCs/>
          <w:color w:val="000000"/>
          <w:sz w:val="32"/>
          <w:szCs w:val="32"/>
        </w:rPr>
      </w:pPr>
    </w:p>
    <w:p w14:paraId="461E585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rPr>
          <w:rFonts w:hint="eastAsia" w:ascii="仿宋" w:hAnsi="仿宋" w:eastAsia="仿宋" w:cs="仿宋"/>
          <w:b/>
          <w:bCs/>
          <w:color w:val="000000"/>
          <w:sz w:val="32"/>
          <w:szCs w:val="32"/>
        </w:rPr>
      </w:pPr>
    </w:p>
    <w:p w14:paraId="1E293A2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rPr>
          <w:rFonts w:hint="eastAsia" w:ascii="仿宋" w:hAnsi="仿宋" w:eastAsia="仿宋" w:cs="仿宋"/>
          <w:b/>
          <w:bCs/>
          <w:color w:val="000000"/>
          <w:sz w:val="32"/>
          <w:szCs w:val="32"/>
        </w:rPr>
      </w:pPr>
    </w:p>
    <w:p w14:paraId="1F0B6E5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rPr>
          <w:rFonts w:hint="eastAsia" w:ascii="仿宋" w:hAnsi="仿宋" w:eastAsia="仿宋" w:cs="仿宋"/>
          <w:b/>
          <w:bCs/>
          <w:color w:val="000000"/>
          <w:sz w:val="32"/>
          <w:szCs w:val="32"/>
        </w:rPr>
      </w:pPr>
    </w:p>
    <w:p w14:paraId="0A4737B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center"/>
      </w:pPr>
      <w:r>
        <w:rPr>
          <w:rFonts w:hint="eastAsia" w:ascii="仿宋" w:hAnsi="仿宋" w:eastAsia="仿宋" w:cs="仿宋"/>
          <w:b/>
          <w:bCs/>
          <w:color w:val="000000"/>
          <w:sz w:val="32"/>
          <w:szCs w:val="32"/>
        </w:rPr>
        <w:t>一般公共预算财政拨款支出决算</w:t>
      </w:r>
      <w:r>
        <w:rPr>
          <w:rFonts w:hint="eastAsia" w:ascii="仿宋" w:hAnsi="仿宋" w:eastAsia="仿宋" w:cs="仿宋"/>
          <w:b/>
          <w:bCs/>
          <w:color w:val="000000"/>
          <w:sz w:val="32"/>
          <w:szCs w:val="32"/>
          <w:lang w:eastAsia="zh-CN"/>
        </w:rPr>
        <w:t>情况</w:t>
      </w:r>
      <w:r>
        <w:rPr>
          <w:rFonts w:hint="eastAsia" w:ascii="仿宋" w:hAnsi="仿宋" w:eastAsia="仿宋" w:cs="仿宋"/>
          <w:color w:val="000000"/>
          <w:sz w:val="32"/>
          <w:szCs w:val="32"/>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ascii="仿宋" w:hAnsi="仿宋" w:eastAsia="仿宋" w:cs="仿宋"/>
          <w:color w:val="000000"/>
          <w:sz w:val="32"/>
          <w:szCs w:val="32"/>
        </w:rPr>
        <w:t>（图5：一般公共预算财政拨款支出决算变动情况）（柱状图）</w:t>
      </w:r>
    </w:p>
    <w:p w14:paraId="0912BE7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71EB131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（二）一般公共预算财政拨款支出决算结构情况</w:t>
      </w:r>
    </w:p>
    <w:p w14:paraId="42A593A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2023年度一般公共预算财政拨款支出</w:t>
      </w:r>
      <w:r>
        <w:rPr>
          <w:rFonts w:hint="eastAsia" w:ascii="Times New Roman" w:hAnsi="Times New Roman" w:cs="Times New Roman"/>
          <w:color w:val="000000"/>
          <w:sz w:val="32"/>
          <w:szCs w:val="32"/>
          <w:lang w:val="en-US" w:eastAsia="zh-CN"/>
        </w:rPr>
        <w:t>1551.91</w:t>
      </w:r>
      <w:r>
        <w:rPr>
          <w:rFonts w:hint="default" w:ascii="Times New Roman" w:hAnsi="Times New Roman" w:cs="Times New Roman"/>
          <w:color w:val="000000"/>
          <w:sz w:val="32"/>
          <w:szCs w:val="32"/>
        </w:rPr>
        <w:t>万元，主要用于以下方面:</w:t>
      </w:r>
      <w:r>
        <w:rPr>
          <w:rFonts w:hint="eastAsia" w:ascii="Times New Roman" w:hAnsi="Times New Roman" w:cs="Times New Roman"/>
          <w:color w:val="000000"/>
          <w:sz w:val="32"/>
          <w:szCs w:val="32"/>
          <w:lang w:eastAsia="zh-CN"/>
        </w:rPr>
        <w:t>一般公共服务支出</w:t>
      </w:r>
      <w:r>
        <w:rPr>
          <w:rFonts w:hint="eastAsia" w:ascii="Times New Roman" w:hAnsi="Times New Roman" w:cs="Times New Roman"/>
          <w:color w:val="000000"/>
          <w:sz w:val="32"/>
          <w:szCs w:val="32"/>
          <w:lang w:val="en-US" w:eastAsia="zh-CN"/>
        </w:rPr>
        <w:t>2万元，占0.13%；</w:t>
      </w:r>
      <w:r>
        <w:rPr>
          <w:rFonts w:hint="default" w:ascii="Times New Roman" w:hAnsi="Times New Roman" w:cs="Times New Roman"/>
          <w:b/>
          <w:bCs/>
          <w:color w:val="000000"/>
          <w:sz w:val="32"/>
          <w:szCs w:val="32"/>
        </w:rPr>
        <w:t>公共安全支出</w:t>
      </w:r>
      <w:r>
        <w:rPr>
          <w:rFonts w:hint="eastAsia" w:ascii="Times New Roman" w:hAnsi="Times New Roman" w:cs="Times New Roman"/>
          <w:color w:val="000000"/>
          <w:sz w:val="32"/>
          <w:szCs w:val="32"/>
          <w:lang w:val="en-US" w:eastAsia="zh-CN"/>
        </w:rPr>
        <w:t>1260.45</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81.22</w:t>
      </w:r>
      <w:r>
        <w:rPr>
          <w:rFonts w:hint="default" w:ascii="Times New Roman" w:hAnsi="Times New Roman" w:cs="Times New Roman"/>
          <w:color w:val="000000"/>
          <w:sz w:val="32"/>
          <w:szCs w:val="32"/>
        </w:rPr>
        <w:t>%；</w:t>
      </w:r>
      <w:r>
        <w:rPr>
          <w:rFonts w:hint="default" w:ascii="Times New Roman" w:hAnsi="Times New Roman" w:cs="Times New Roman"/>
          <w:b/>
          <w:bCs/>
          <w:color w:val="000000"/>
          <w:sz w:val="32"/>
          <w:szCs w:val="32"/>
        </w:rPr>
        <w:t>社会保障和就业支出</w:t>
      </w:r>
      <w:r>
        <w:rPr>
          <w:rFonts w:hint="eastAsia" w:ascii="Times New Roman" w:hAnsi="Times New Roman" w:cs="Times New Roman"/>
          <w:color w:val="000000"/>
          <w:sz w:val="32"/>
          <w:szCs w:val="32"/>
          <w:lang w:val="en-US" w:eastAsia="zh-CN"/>
        </w:rPr>
        <w:t>144.16</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9.29</w:t>
      </w:r>
      <w:r>
        <w:rPr>
          <w:rFonts w:hint="default" w:ascii="Times New Roman" w:hAnsi="Times New Roman" w:cs="Times New Roman"/>
          <w:color w:val="000000"/>
          <w:sz w:val="32"/>
          <w:szCs w:val="32"/>
        </w:rPr>
        <w:t>%；</w:t>
      </w:r>
      <w:r>
        <w:rPr>
          <w:rFonts w:hint="default" w:ascii="Times New Roman" w:hAnsi="Times New Roman" w:cs="Times New Roman"/>
          <w:b/>
          <w:bCs/>
          <w:color w:val="000000"/>
          <w:sz w:val="32"/>
          <w:szCs w:val="32"/>
        </w:rPr>
        <w:t>卫生健康支出</w:t>
      </w:r>
      <w:r>
        <w:rPr>
          <w:rFonts w:hint="eastAsia" w:ascii="Times New Roman" w:hAnsi="Times New Roman" w:cs="Times New Roman"/>
          <w:color w:val="000000"/>
          <w:sz w:val="32"/>
          <w:szCs w:val="32"/>
          <w:lang w:val="en-US" w:eastAsia="zh-CN"/>
        </w:rPr>
        <w:t>54.46</w:t>
      </w:r>
      <w:r>
        <w:rPr>
          <w:rFonts w:hint="default" w:ascii="Times New Roman" w:hAnsi="Times New Roman" w:cs="Times New Roman"/>
          <w:color w:val="000000"/>
          <w:sz w:val="32"/>
          <w:szCs w:val="32"/>
        </w:rPr>
        <w:t>万元，占3.</w:t>
      </w:r>
      <w:r>
        <w:rPr>
          <w:rFonts w:hint="eastAsia" w:ascii="Times New Roman" w:hAnsi="Times New Roman" w:cs="Times New Roman"/>
          <w:color w:val="000000"/>
          <w:sz w:val="32"/>
          <w:szCs w:val="32"/>
          <w:lang w:val="en-US" w:eastAsia="zh-CN"/>
        </w:rPr>
        <w:t>51</w:t>
      </w:r>
      <w:r>
        <w:rPr>
          <w:rFonts w:hint="default" w:ascii="Times New Roman" w:hAnsi="Times New Roman" w:cs="Times New Roman"/>
          <w:color w:val="000000"/>
          <w:sz w:val="32"/>
          <w:szCs w:val="32"/>
        </w:rPr>
        <w:t>%；</w:t>
      </w:r>
      <w:r>
        <w:rPr>
          <w:rFonts w:hint="default" w:ascii="Times New Roman" w:hAnsi="Times New Roman" w:cs="Times New Roman"/>
          <w:b/>
          <w:bCs/>
          <w:color w:val="000000"/>
          <w:sz w:val="32"/>
          <w:szCs w:val="32"/>
        </w:rPr>
        <w:t>住房保障支出</w:t>
      </w:r>
      <w:r>
        <w:rPr>
          <w:rFonts w:hint="eastAsia" w:ascii="Times New Roman" w:hAnsi="Times New Roman" w:cs="Times New Roman"/>
          <w:color w:val="000000"/>
          <w:sz w:val="32"/>
          <w:szCs w:val="32"/>
          <w:lang w:val="en-US" w:eastAsia="zh-CN"/>
        </w:rPr>
        <w:t>90.84</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5.85</w:t>
      </w:r>
      <w:r>
        <w:rPr>
          <w:rFonts w:hint="default" w:ascii="Times New Roman" w:hAnsi="Times New Roman" w:cs="Times New Roman"/>
          <w:color w:val="000000"/>
          <w:sz w:val="32"/>
          <w:szCs w:val="32"/>
        </w:rPr>
        <w:t>%。</w:t>
      </w:r>
    </w:p>
    <w:p w14:paraId="03CD122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b/>
          <w:bCs/>
          <w:color w:val="000000"/>
          <w:sz w:val="32"/>
          <w:szCs w:val="32"/>
        </w:rPr>
        <w:t>（注：数据来源于财决01-1表，仅罗列本单位涉及的全部功能分类科目，至类级。）</w:t>
      </w:r>
    </w:p>
    <w:p w14:paraId="02ADFD5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color w:val="000000"/>
          <w:sz w:val="32"/>
          <w:szCs w:val="32"/>
        </w:rPr>
        <w:drawing>
          <wp:inline distT="0" distB="0" distL="114300" distR="114300">
            <wp:extent cx="4850765" cy="2988310"/>
            <wp:effectExtent l="5080" t="4445" r="20955" b="1714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ascii="仿宋" w:hAnsi="仿宋" w:eastAsia="仿宋" w:cs="仿宋"/>
          <w:color w:val="000000"/>
          <w:sz w:val="32"/>
          <w:szCs w:val="32"/>
        </w:rPr>
        <w:t>（图6：一般公共预算财政拨款支出决算结构）（饼状图）</w:t>
      </w:r>
    </w:p>
    <w:p w14:paraId="5F61A1E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21CD887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（三）一般公共预算财政拨款支出决算具体情况</w:t>
      </w:r>
    </w:p>
    <w:p w14:paraId="2AFCB1B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2023年度一般公共预算支出决算数为</w:t>
      </w:r>
      <w:r>
        <w:rPr>
          <w:rFonts w:hint="eastAsia" w:ascii="Times New Roman" w:hAnsi="Times New Roman" w:eastAsia="仿宋" w:cs="Times New Roman"/>
          <w:color w:val="000000"/>
          <w:sz w:val="32"/>
          <w:szCs w:val="32"/>
          <w:lang w:val="en-US" w:eastAsia="zh-CN"/>
        </w:rPr>
        <w:t>1551.91</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完成预算100%。其中：</w:t>
      </w:r>
    </w:p>
    <w:p w14:paraId="19A4868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rPr>
          <w:rFonts w:hint="eastAsia" w:ascii="仿宋" w:hAnsi="仿宋" w:eastAsia="仿宋" w:cs="仿宋"/>
          <w:b/>
          <w:bCs/>
          <w:color w:val="000000"/>
          <w:sz w:val="32"/>
          <w:szCs w:val="32"/>
        </w:rPr>
      </w:pPr>
      <w:r>
        <w:rPr>
          <w:rFonts w:hint="eastAsia" w:ascii="仿宋" w:hAnsi="仿宋" w:eastAsia="仿宋" w:cs="仿宋"/>
          <w:b/>
          <w:bCs/>
          <w:color w:val="000000"/>
          <w:sz w:val="32"/>
          <w:szCs w:val="32"/>
        </w:rPr>
        <w:t>1</w:t>
      </w:r>
      <w:r>
        <w:rPr>
          <w:rFonts w:hint="eastAsia" w:ascii="仿宋" w:hAnsi="仿宋" w:eastAsia="仿宋" w:cs="仿宋"/>
          <w:b/>
          <w:bCs/>
          <w:color w:val="000000"/>
          <w:sz w:val="32"/>
          <w:szCs w:val="32"/>
          <w:lang w:eastAsia="zh-CN"/>
        </w:rPr>
        <w:t>、一般公共服务支出（类）一般行政管理事务（项）：支出决算为</w:t>
      </w:r>
      <w:r>
        <w:rPr>
          <w:rFonts w:hint="eastAsia" w:ascii="仿宋" w:hAnsi="仿宋" w:eastAsia="仿宋" w:cs="仿宋"/>
          <w:b/>
          <w:bCs/>
          <w:color w:val="000000"/>
          <w:sz w:val="32"/>
          <w:szCs w:val="32"/>
          <w:lang w:val="en-US" w:eastAsia="zh-CN"/>
        </w:rPr>
        <w:t>2万元，完成预算100%。</w:t>
      </w:r>
    </w:p>
    <w:p w14:paraId="3EF1E7A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lang w:val="en-US" w:eastAsia="zh-CN"/>
        </w:rPr>
        <w:t>2、</w:t>
      </w:r>
      <w:r>
        <w:rPr>
          <w:rFonts w:hint="eastAsia" w:ascii="仿宋" w:hAnsi="仿宋" w:eastAsia="仿宋" w:cs="仿宋"/>
          <w:b/>
          <w:bCs/>
          <w:color w:val="000000"/>
          <w:sz w:val="32"/>
          <w:szCs w:val="32"/>
        </w:rPr>
        <w:t>公共安全支出（类）法院（款）行政运行（项）:</w:t>
      </w:r>
      <w:r>
        <w:rPr>
          <w:rFonts w:ascii="仿宋_GB2312" w:eastAsia="仿宋_GB2312" w:cs="仿宋_GB2312"/>
          <w:color w:val="000000"/>
          <w:sz w:val="32"/>
          <w:szCs w:val="32"/>
        </w:rPr>
        <w:t>支出</w:t>
      </w:r>
      <w:r>
        <w:rPr>
          <w:rFonts w:hint="default" w:ascii="Times New Roman" w:hAnsi="Times New Roman" w:cs="Times New Roman"/>
          <w:color w:val="000000"/>
          <w:sz w:val="32"/>
          <w:szCs w:val="32"/>
        </w:rPr>
        <w:t>决算为</w:t>
      </w:r>
      <w:r>
        <w:rPr>
          <w:rFonts w:hint="eastAsia" w:ascii="Times New Roman" w:hAnsi="Times New Roman" w:cs="Times New Roman"/>
          <w:color w:val="000000"/>
          <w:sz w:val="32"/>
          <w:szCs w:val="32"/>
          <w:lang w:val="en-US" w:eastAsia="zh-CN"/>
        </w:rPr>
        <w:t>787.6</w:t>
      </w:r>
      <w:r>
        <w:rPr>
          <w:rFonts w:hint="default" w:ascii="Times New Roman" w:hAnsi="Times New Roman" w:cs="Times New Roman"/>
          <w:color w:val="000000"/>
          <w:sz w:val="32"/>
          <w:szCs w:val="32"/>
        </w:rPr>
        <w:t>万元，完成预算100%。</w:t>
      </w:r>
    </w:p>
    <w:p w14:paraId="76D07AD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rPr>
        <w:t>2.公共安全支出（类）法院（款）一般行政管理事务（项）:</w:t>
      </w:r>
      <w:r>
        <w:rPr>
          <w:rFonts w:hint="default" w:ascii="Times New Roman" w:hAnsi="Times New Roman" w:cs="Times New Roman"/>
          <w:color w:val="000000"/>
          <w:sz w:val="32"/>
          <w:szCs w:val="32"/>
        </w:rPr>
        <w:t>支出决算为</w:t>
      </w:r>
      <w:r>
        <w:rPr>
          <w:rFonts w:hint="eastAsia" w:ascii="Times New Roman" w:hAnsi="Times New Roman" w:cs="Times New Roman"/>
          <w:color w:val="000000"/>
          <w:sz w:val="32"/>
          <w:szCs w:val="32"/>
          <w:lang w:val="en-US" w:eastAsia="zh-CN"/>
        </w:rPr>
        <w:t>472.85</w:t>
      </w:r>
      <w:r>
        <w:rPr>
          <w:rFonts w:hint="default" w:ascii="Times New Roman" w:hAnsi="Times New Roman" w:cs="Times New Roman"/>
          <w:color w:val="000000"/>
          <w:sz w:val="32"/>
          <w:szCs w:val="32"/>
        </w:rPr>
        <w:t>万元，完成预算100%。</w:t>
      </w:r>
    </w:p>
    <w:p w14:paraId="0F60624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3.社会保障和就业支出（类）行政事业单位养老支出（款）机关事业单位基本养老保险缴费支出（项）:</w:t>
      </w:r>
      <w:r>
        <w:rPr>
          <w:rFonts w:hint="eastAsia" w:ascii="仿宋" w:hAnsi="仿宋" w:eastAsia="仿宋" w:cs="仿宋"/>
          <w:color w:val="000000"/>
          <w:sz w:val="32"/>
          <w:szCs w:val="32"/>
        </w:rPr>
        <w:t>支出决算</w:t>
      </w:r>
      <w:r>
        <w:rPr>
          <w:rFonts w:hint="default" w:ascii="Times New Roman" w:hAnsi="Times New Roman" w:cs="Times New Roman"/>
          <w:color w:val="000000"/>
          <w:sz w:val="32"/>
          <w:szCs w:val="32"/>
        </w:rPr>
        <w:t>为</w:t>
      </w:r>
      <w:r>
        <w:rPr>
          <w:rFonts w:hint="eastAsia" w:ascii="Times New Roman" w:hAnsi="Times New Roman" w:cs="Times New Roman"/>
          <w:color w:val="000000"/>
          <w:sz w:val="32"/>
          <w:szCs w:val="32"/>
          <w:lang w:val="en-US" w:eastAsia="zh-CN"/>
        </w:rPr>
        <w:t>96.1</w:t>
      </w:r>
      <w:r>
        <w:rPr>
          <w:rFonts w:hint="default" w:ascii="Times New Roman" w:hAnsi="Times New Roman" w:cs="Times New Roman"/>
          <w:color w:val="000000"/>
          <w:sz w:val="32"/>
          <w:szCs w:val="32"/>
        </w:rPr>
        <w:t>万元，完成预算100%。</w:t>
      </w:r>
    </w:p>
    <w:p w14:paraId="0B0CBD0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4. 社会保障和就业支出（类）行政事业单位养老支出（款）机关事业单位职业年金缴费支出（项）:</w:t>
      </w:r>
      <w:r>
        <w:rPr>
          <w:rFonts w:hint="default" w:ascii="仿宋_GB2312" w:eastAsia="仿宋_GB2312" w:cs="仿宋_GB2312"/>
          <w:color w:val="000000"/>
          <w:sz w:val="32"/>
          <w:szCs w:val="32"/>
        </w:rPr>
        <w:t>支出决算为</w:t>
      </w:r>
      <w:r>
        <w:rPr>
          <w:rFonts w:hint="eastAsia" w:ascii="Times New Roman" w:hAnsi="Times New Roman" w:eastAsia="仿宋_GB2312" w:cs="Times New Roman"/>
          <w:color w:val="000000"/>
          <w:sz w:val="32"/>
          <w:szCs w:val="32"/>
          <w:lang w:val="en-US" w:eastAsia="zh-CN"/>
        </w:rPr>
        <w:t>48.05</w:t>
      </w:r>
      <w:r>
        <w:rPr>
          <w:rFonts w:hint="default" w:ascii="Times New Roman" w:hAnsi="Times New Roman" w:cs="Times New Roman"/>
          <w:color w:val="000000"/>
          <w:sz w:val="32"/>
          <w:szCs w:val="32"/>
        </w:rPr>
        <w:t>万元，完成预算100%。</w:t>
      </w:r>
    </w:p>
    <w:p w14:paraId="78FCDEF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rPr>
        <w:t>5.卫生健康支出（类）行政事业单位医疗（款）行政单位医疗（项）:</w:t>
      </w:r>
      <w:r>
        <w:rPr>
          <w:rFonts w:hint="default" w:ascii="Times New Roman" w:hAnsi="Times New Roman" w:cs="Times New Roman"/>
          <w:color w:val="000000"/>
          <w:sz w:val="32"/>
          <w:szCs w:val="32"/>
        </w:rPr>
        <w:t>支出决算为</w:t>
      </w:r>
      <w:r>
        <w:rPr>
          <w:rFonts w:hint="eastAsia" w:ascii="Times New Roman" w:hAnsi="Times New Roman" w:cs="Times New Roman"/>
          <w:color w:val="000000"/>
          <w:sz w:val="32"/>
          <w:szCs w:val="32"/>
          <w:lang w:val="en-US" w:eastAsia="zh-CN"/>
        </w:rPr>
        <w:t>44.78</w:t>
      </w:r>
      <w:r>
        <w:rPr>
          <w:rFonts w:hint="default" w:ascii="Times New Roman" w:hAnsi="Times New Roman" w:cs="Times New Roman"/>
          <w:color w:val="000000"/>
          <w:sz w:val="32"/>
          <w:szCs w:val="32"/>
        </w:rPr>
        <w:t>万元，完成预算100%</w:t>
      </w:r>
      <w:r>
        <w:rPr>
          <w:rFonts w:hint="default" w:ascii="仿宋_GB2312" w:eastAsia="仿宋_GB2312" w:cs="仿宋_GB2312"/>
          <w:color w:val="000000"/>
          <w:sz w:val="32"/>
          <w:szCs w:val="32"/>
        </w:rPr>
        <w:t>。</w:t>
      </w:r>
    </w:p>
    <w:p w14:paraId="629B2D5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rPr>
        <w:t>6.卫生健康支出（类）行政事业单位医疗（款）公务员医疗补助（项）:</w:t>
      </w:r>
      <w:r>
        <w:rPr>
          <w:rFonts w:hint="default" w:ascii="仿宋_GB2312" w:eastAsia="仿宋_GB2312" w:cs="仿宋_GB2312"/>
          <w:color w:val="000000"/>
          <w:sz w:val="32"/>
          <w:szCs w:val="32"/>
        </w:rPr>
        <w:t>支出</w:t>
      </w:r>
      <w:r>
        <w:rPr>
          <w:rFonts w:hint="default" w:ascii="Times New Roman" w:hAnsi="Times New Roman" w:cs="Times New Roman"/>
          <w:color w:val="000000"/>
          <w:sz w:val="32"/>
          <w:szCs w:val="32"/>
        </w:rPr>
        <w:t>决算为</w:t>
      </w:r>
      <w:r>
        <w:rPr>
          <w:rFonts w:hint="eastAsia" w:ascii="Times New Roman" w:hAnsi="Times New Roman" w:cs="Times New Roman"/>
          <w:color w:val="000000"/>
          <w:sz w:val="32"/>
          <w:szCs w:val="32"/>
          <w:lang w:val="en-US" w:eastAsia="zh-CN"/>
        </w:rPr>
        <w:t>9.68</w:t>
      </w:r>
      <w:r>
        <w:rPr>
          <w:rFonts w:hint="default" w:ascii="Times New Roman" w:hAnsi="Times New Roman" w:cs="Times New Roman"/>
          <w:color w:val="000000"/>
          <w:sz w:val="32"/>
          <w:szCs w:val="32"/>
        </w:rPr>
        <w:t>万元，完成预算100%</w:t>
      </w:r>
      <w:r>
        <w:rPr>
          <w:rFonts w:hint="default" w:ascii="仿宋_GB2312" w:eastAsia="仿宋_GB2312" w:cs="仿宋_GB2312"/>
          <w:color w:val="000000"/>
          <w:sz w:val="32"/>
          <w:szCs w:val="32"/>
        </w:rPr>
        <w:t>。</w:t>
      </w:r>
    </w:p>
    <w:p w14:paraId="3C3409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rPr>
        <w:t>7. 住房保障支出（类）住房改革支出（款）住房公积金（项）:</w:t>
      </w:r>
      <w:r>
        <w:rPr>
          <w:rFonts w:hint="default" w:ascii="仿宋_GB2312" w:eastAsia="仿宋_GB2312" w:cs="仿宋_GB2312"/>
          <w:color w:val="000000"/>
          <w:sz w:val="32"/>
          <w:szCs w:val="32"/>
        </w:rPr>
        <w:t>支出决算</w:t>
      </w:r>
      <w:r>
        <w:rPr>
          <w:rFonts w:hint="default" w:ascii="Times New Roman" w:hAnsi="Times New Roman" w:cs="Times New Roman"/>
          <w:color w:val="000000"/>
          <w:sz w:val="32"/>
          <w:szCs w:val="32"/>
        </w:rPr>
        <w:t>为</w:t>
      </w:r>
      <w:r>
        <w:rPr>
          <w:rFonts w:hint="eastAsia" w:ascii="Times New Roman" w:hAnsi="Times New Roman" w:cs="Times New Roman"/>
          <w:color w:val="000000"/>
          <w:sz w:val="32"/>
          <w:szCs w:val="32"/>
          <w:lang w:val="en-US" w:eastAsia="zh-CN"/>
        </w:rPr>
        <w:t>90.84</w:t>
      </w:r>
      <w:r>
        <w:rPr>
          <w:rFonts w:hint="default" w:ascii="Times New Roman" w:hAnsi="Times New Roman" w:cs="Times New Roman"/>
          <w:color w:val="000000"/>
          <w:sz w:val="32"/>
          <w:szCs w:val="32"/>
        </w:rPr>
        <w:t>万元，完成预算100%。</w:t>
      </w:r>
    </w:p>
    <w:p w14:paraId="0FE5431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13DA104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13"/>
        </w:tabs>
        <w:spacing w:before="0" w:beforeAutospacing="0" w:after="0" w:afterAutospacing="0" w:line="0" w:lineRule="atLeast"/>
        <w:ind w:left="0" w:firstLine="640"/>
        <w:jc w:val="both"/>
      </w:pPr>
      <w:r>
        <w:rPr>
          <w:rFonts w:hint="eastAsia" w:ascii="黑体" w:hAnsi="宋体" w:eastAsia="黑体" w:cs="黑体"/>
          <w:color w:val="000000"/>
          <w:sz w:val="32"/>
          <w:szCs w:val="32"/>
        </w:rPr>
        <w:t>六</w:t>
      </w:r>
      <w:r>
        <w:rPr>
          <w:rFonts w:hint="eastAsia" w:ascii="黑体" w:hAnsi="宋体" w:eastAsia="黑体" w:cs="黑体"/>
          <w:b/>
          <w:bCs/>
          <w:color w:val="000000"/>
          <w:sz w:val="32"/>
          <w:szCs w:val="32"/>
        </w:rPr>
        <w:t>、一</w:t>
      </w:r>
      <w:r>
        <w:rPr>
          <w:rFonts w:hint="eastAsia" w:ascii="黑体" w:hAnsi="宋体" w:eastAsia="黑体" w:cs="黑体"/>
          <w:color w:val="000000"/>
          <w:sz w:val="32"/>
          <w:szCs w:val="32"/>
        </w:rPr>
        <w:t>般公共预算财政拨款基本支出决算情况说明</w:t>
      </w:r>
      <w:r>
        <w:rPr>
          <w:rFonts w:hint="eastAsia" w:ascii="黑体" w:hAnsi="宋体" w:eastAsia="黑体" w:cs="黑体"/>
          <w:color w:val="000000"/>
          <w:sz w:val="32"/>
          <w:szCs w:val="32"/>
        </w:rPr>
        <w:tab/>
      </w:r>
    </w:p>
    <w:p w14:paraId="6FC84E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2023年度一般公共预算财政拨款基本支出</w:t>
      </w:r>
      <w:r>
        <w:rPr>
          <w:rFonts w:hint="eastAsia" w:ascii="Times New Roman" w:hAnsi="Times New Roman" w:cs="Times New Roman"/>
          <w:color w:val="000000"/>
          <w:sz w:val="32"/>
          <w:szCs w:val="32"/>
          <w:lang w:val="en-US" w:eastAsia="zh-CN"/>
        </w:rPr>
        <w:t>1551.91</w:t>
      </w:r>
      <w:r>
        <w:rPr>
          <w:rFonts w:hint="default" w:ascii="Times New Roman" w:hAnsi="Times New Roman" w:cs="Times New Roman"/>
          <w:color w:val="000000"/>
          <w:sz w:val="32"/>
          <w:szCs w:val="32"/>
        </w:rPr>
        <w:t>万元，其中：</w:t>
      </w:r>
    </w:p>
    <w:p w14:paraId="2A325A7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人员经费</w:t>
      </w:r>
      <w:r>
        <w:rPr>
          <w:rFonts w:hint="eastAsia" w:ascii="Times New Roman" w:hAnsi="Times New Roman" w:cs="Times New Roman"/>
          <w:color w:val="000000"/>
          <w:sz w:val="32"/>
          <w:szCs w:val="32"/>
          <w:lang w:val="en-US" w:eastAsia="zh-CN"/>
        </w:rPr>
        <w:t>979.63</w:t>
      </w:r>
      <w:r>
        <w:rPr>
          <w:rFonts w:hint="default" w:ascii="Times New Roman" w:hAnsi="Times New Roman" w:cs="Times New Roman"/>
          <w:color w:val="000000"/>
          <w:sz w:val="32"/>
          <w:szCs w:val="32"/>
        </w:rPr>
        <w:t>万元，主要包括：基本工资、津贴补贴、伙食补助费、机关事业单位基本养老保险缴费、职业年金缴费、</w:t>
      </w:r>
      <w:r>
        <w:rPr>
          <w:rFonts w:hint="eastAsia" w:ascii="Times New Roman" w:hAnsi="Times New Roman" w:cs="Times New Roman"/>
          <w:color w:val="000000"/>
          <w:sz w:val="32"/>
          <w:szCs w:val="32"/>
          <w:lang w:eastAsia="zh-CN"/>
        </w:rPr>
        <w:t>职工基本医疗保险缴费、公务员医疗补助缴费、</w:t>
      </w:r>
      <w:r>
        <w:rPr>
          <w:rFonts w:hint="default" w:ascii="Times New Roman" w:hAnsi="Times New Roman" w:cs="Times New Roman"/>
          <w:color w:val="000000"/>
          <w:sz w:val="32"/>
          <w:szCs w:val="32"/>
        </w:rPr>
        <w:t>其他社会保障缴费、住房公积金</w:t>
      </w:r>
      <w:r>
        <w:rPr>
          <w:rFonts w:hint="eastAsia" w:ascii="Times New Roman" w:hAnsi="Times New Roman" w:cs="Times New Roman"/>
          <w:color w:val="000000"/>
          <w:sz w:val="32"/>
          <w:szCs w:val="32"/>
          <w:lang w:eastAsia="zh-CN"/>
        </w:rPr>
        <w:t>、</w:t>
      </w:r>
      <w:r>
        <w:rPr>
          <w:rFonts w:hint="default" w:ascii="Times New Roman" w:hAnsi="Times New Roman" w:cs="Times New Roman"/>
          <w:color w:val="000000"/>
          <w:sz w:val="32"/>
          <w:szCs w:val="32"/>
        </w:rPr>
        <w:t>其他工资福利支出</w:t>
      </w:r>
      <w:r>
        <w:rPr>
          <w:rFonts w:hint="eastAsia" w:ascii="Times New Roman" w:hAnsi="Times New Roman" w:cs="Times New Roman"/>
          <w:color w:val="000000"/>
          <w:sz w:val="32"/>
          <w:szCs w:val="32"/>
          <w:lang w:eastAsia="zh-CN"/>
        </w:rPr>
        <w:t>、生活补助、救济费等</w:t>
      </w:r>
      <w:r>
        <w:rPr>
          <w:rFonts w:hint="default" w:ascii="Times New Roman" w:hAnsi="Times New Roman" w:cs="Times New Roman"/>
          <w:color w:val="000000"/>
          <w:sz w:val="32"/>
          <w:szCs w:val="32"/>
        </w:rPr>
        <w:t>。</w:t>
      </w:r>
      <w:r>
        <w:rPr>
          <w:rFonts w:hint="default" w:ascii="Times New Roman" w:hAnsi="Times New Roman" w:cs="Times New Roman"/>
          <w:color w:val="000000"/>
          <w:sz w:val="32"/>
          <w:szCs w:val="32"/>
        </w:rPr>
        <w:br w:type="textWrapping"/>
      </w:r>
      <w:r>
        <w:rPr>
          <w:rFonts w:hint="default" w:ascii="Times New Roman" w:hAnsi="Times New Roman" w:cs="Times New Roman"/>
          <w:color w:val="000000"/>
          <w:sz w:val="32"/>
          <w:szCs w:val="32"/>
        </w:rPr>
        <w:t>   公用经费</w:t>
      </w:r>
      <w:r>
        <w:rPr>
          <w:rFonts w:hint="eastAsia" w:ascii="Times New Roman" w:hAnsi="Times New Roman" w:cs="Times New Roman"/>
          <w:color w:val="000000"/>
          <w:sz w:val="32"/>
          <w:szCs w:val="32"/>
          <w:lang w:val="en-US" w:eastAsia="zh-CN"/>
        </w:rPr>
        <w:t>97.42</w:t>
      </w:r>
      <w:r>
        <w:rPr>
          <w:rFonts w:hint="default" w:ascii="Times New Roman" w:hAnsi="Times New Roman" w:cs="Times New Roman"/>
          <w:color w:val="000000"/>
          <w:sz w:val="32"/>
          <w:szCs w:val="32"/>
        </w:rPr>
        <w:t>万元，主要包括：办公费、电费、邮电费、取暖费、物业管理费、差旅费、维修（护）费、培训费、公务接待费、劳务费、委托业务费、福利费、公务用车运行维护费、其他商品和服务支出</w:t>
      </w:r>
      <w:r>
        <w:rPr>
          <w:rFonts w:hint="eastAsia" w:ascii="Times New Roman" w:hAnsi="Times New Roman" w:cs="Times New Roman"/>
          <w:color w:val="000000"/>
          <w:sz w:val="32"/>
          <w:szCs w:val="32"/>
          <w:lang w:eastAsia="zh-CN"/>
        </w:rPr>
        <w:t>等</w:t>
      </w:r>
      <w:r>
        <w:rPr>
          <w:rFonts w:hint="default" w:ascii="Times New Roman" w:hAnsi="Times New Roman" w:cs="Times New Roman"/>
          <w:color w:val="000000"/>
          <w:sz w:val="32"/>
          <w:szCs w:val="32"/>
        </w:rPr>
        <w:t>。</w:t>
      </w:r>
    </w:p>
    <w:p w14:paraId="2D6B239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5"/>
        <w:jc w:val="both"/>
      </w:pPr>
      <w:r>
        <w:rPr>
          <w:rFonts w:hint="eastAsia" w:ascii="仿宋" w:hAnsi="仿宋" w:eastAsia="仿宋" w:cs="仿宋"/>
          <w:b/>
          <w:bCs/>
          <w:color w:val="000000"/>
          <w:sz w:val="32"/>
          <w:szCs w:val="32"/>
        </w:rPr>
        <w:t>（注：数据来源于财决07表和财决08-1表，仅罗列本单位实际支出涉及的经济分类科目。）</w:t>
      </w:r>
    </w:p>
    <w:p w14:paraId="08B1682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2956363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黑体" w:hAnsi="宋体" w:eastAsia="黑体" w:cs="黑体"/>
          <w:color w:val="000000"/>
          <w:sz w:val="32"/>
          <w:szCs w:val="32"/>
        </w:rPr>
        <w:t>七、财政拨款</w:t>
      </w:r>
      <w:r>
        <w:rPr>
          <w:rFonts w:hint="eastAsia" w:ascii="黑体" w:hAnsi="宋体" w:eastAsia="黑体" w:cs="黑体"/>
          <w:b/>
          <w:bCs/>
          <w:color w:val="000000"/>
          <w:sz w:val="32"/>
          <w:szCs w:val="32"/>
        </w:rPr>
        <w:t>“</w:t>
      </w:r>
      <w:r>
        <w:rPr>
          <w:rFonts w:hint="eastAsia" w:ascii="黑体" w:hAnsi="宋体" w:eastAsia="黑体" w:cs="黑体"/>
          <w:color w:val="000000"/>
          <w:sz w:val="32"/>
          <w:szCs w:val="32"/>
        </w:rPr>
        <w:t>三公”经费支出决算情况说明</w:t>
      </w:r>
    </w:p>
    <w:p w14:paraId="1F9A9FE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b/>
          <w:bCs/>
          <w:color w:val="000000"/>
          <w:sz w:val="32"/>
          <w:szCs w:val="32"/>
        </w:rPr>
        <w:t>（一）“三公”经费财政拨款支出决算总体情况说明</w:t>
      </w:r>
    </w:p>
    <w:p w14:paraId="44CF9A7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2023年度“三公”经费财政拨款支出决算为</w:t>
      </w:r>
      <w:r>
        <w:rPr>
          <w:rFonts w:hint="eastAsia" w:ascii="Times New Roman" w:hAnsi="Times New Roman" w:cs="Times New Roman"/>
          <w:color w:val="000000"/>
          <w:sz w:val="32"/>
          <w:szCs w:val="32"/>
          <w:lang w:val="en-US" w:eastAsia="zh-CN"/>
        </w:rPr>
        <w:t>6.71</w:t>
      </w:r>
      <w:r>
        <w:rPr>
          <w:rFonts w:hint="default" w:ascii="Times New Roman" w:hAnsi="Times New Roman" w:cs="Times New Roman"/>
          <w:color w:val="000000"/>
          <w:sz w:val="32"/>
          <w:szCs w:val="32"/>
        </w:rPr>
        <w:t>万元，完成预算99.08%，较上年度</w:t>
      </w:r>
      <w:r>
        <w:rPr>
          <w:rFonts w:hint="eastAsia" w:ascii="Times New Roman" w:hAnsi="Times New Roman" w:cs="Times New Roman"/>
          <w:color w:val="000000"/>
          <w:sz w:val="32"/>
          <w:szCs w:val="32"/>
          <w:lang w:eastAsia="zh-CN"/>
        </w:rPr>
        <w:t>增加</w:t>
      </w:r>
      <w:r>
        <w:rPr>
          <w:rFonts w:hint="eastAsia" w:ascii="Times New Roman" w:hAnsi="Times New Roman" w:cs="Times New Roman"/>
          <w:color w:val="000000"/>
          <w:sz w:val="32"/>
          <w:szCs w:val="32"/>
          <w:lang w:val="en-US" w:eastAsia="zh-CN"/>
        </w:rPr>
        <w:t>4.87</w:t>
      </w:r>
      <w:r>
        <w:rPr>
          <w:rFonts w:hint="default" w:ascii="Times New Roman" w:hAnsi="Times New Roman" w:cs="Times New Roman"/>
          <w:color w:val="000000"/>
          <w:sz w:val="32"/>
          <w:szCs w:val="32"/>
        </w:rPr>
        <w:t>万元，</w:t>
      </w:r>
      <w:r>
        <w:rPr>
          <w:rFonts w:hint="eastAsia" w:ascii="Times New Roman" w:hAnsi="Times New Roman" w:cs="Times New Roman"/>
          <w:color w:val="000000"/>
          <w:sz w:val="32"/>
          <w:szCs w:val="32"/>
          <w:lang w:eastAsia="zh-CN"/>
        </w:rPr>
        <w:t>上升</w:t>
      </w:r>
      <w:r>
        <w:rPr>
          <w:rFonts w:hint="eastAsia" w:ascii="Times New Roman" w:hAnsi="Times New Roman" w:cs="Times New Roman"/>
          <w:color w:val="000000"/>
          <w:sz w:val="32"/>
          <w:szCs w:val="32"/>
          <w:lang w:val="en-US" w:eastAsia="zh-CN"/>
        </w:rPr>
        <w:t>265.67</w:t>
      </w:r>
      <w:r>
        <w:rPr>
          <w:rFonts w:hint="default" w:ascii="Times New Roman" w:hAnsi="Times New Roman" w:cs="Times New Roman"/>
          <w:color w:val="000000"/>
          <w:sz w:val="32"/>
          <w:szCs w:val="32"/>
        </w:rPr>
        <w:t>%。主要原因是</w:t>
      </w:r>
      <w:r>
        <w:rPr>
          <w:rFonts w:hint="eastAsia" w:ascii="Times New Roman" w:hAnsi="Times New Roman" w:cs="Times New Roman"/>
          <w:color w:val="000000"/>
          <w:sz w:val="32"/>
          <w:szCs w:val="32"/>
          <w:lang w:eastAsia="zh-CN"/>
        </w:rPr>
        <w:t>车辆老旧，修理费用及保险费用较高</w:t>
      </w:r>
      <w:r>
        <w:rPr>
          <w:rFonts w:hint="default" w:ascii="Times New Roman" w:hAnsi="Times New Roman" w:cs="Times New Roman"/>
          <w:color w:val="000000"/>
          <w:sz w:val="32"/>
          <w:szCs w:val="32"/>
        </w:rPr>
        <w:t>。</w:t>
      </w:r>
    </w:p>
    <w:p w14:paraId="3D00C36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b/>
          <w:bCs/>
          <w:color w:val="000000"/>
          <w:sz w:val="32"/>
          <w:szCs w:val="32"/>
        </w:rPr>
        <w:t>（注：上述“预算”口径为全年预算数，包括一般公共预算和政府性基金预算财政拨款支出决算情况。）</w:t>
      </w:r>
    </w:p>
    <w:p w14:paraId="0CDF79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b/>
          <w:bCs/>
          <w:color w:val="000000"/>
          <w:sz w:val="32"/>
          <w:szCs w:val="32"/>
        </w:rPr>
        <w:t>（二）“三公”经费财政拨款支出决算具体情况说明</w:t>
      </w:r>
    </w:p>
    <w:p w14:paraId="4C3B61F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2023年度“三公”经费财政拨款支出决算中，因公出国（境）费支出决算0万元，占0%；公务用车购置及运行维护费支出决算</w:t>
      </w:r>
      <w:r>
        <w:rPr>
          <w:rFonts w:hint="eastAsia" w:ascii="Times New Roman" w:hAnsi="Times New Roman" w:cs="Times New Roman"/>
          <w:color w:val="000000"/>
          <w:sz w:val="32"/>
          <w:szCs w:val="32"/>
          <w:lang w:val="en-US" w:eastAsia="zh-CN"/>
        </w:rPr>
        <w:t>4.79</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71.39</w:t>
      </w:r>
      <w:r>
        <w:rPr>
          <w:rFonts w:hint="default" w:ascii="Times New Roman" w:hAnsi="Times New Roman" w:cs="Times New Roman"/>
          <w:color w:val="000000"/>
          <w:sz w:val="32"/>
          <w:szCs w:val="32"/>
        </w:rPr>
        <w:t>%，其中，公务用车购置支出决算0万元，运行维护费支出决算</w:t>
      </w:r>
      <w:r>
        <w:rPr>
          <w:rFonts w:hint="eastAsia" w:ascii="Times New Roman" w:hAnsi="Times New Roman" w:cs="Times New Roman"/>
          <w:color w:val="000000"/>
          <w:sz w:val="32"/>
          <w:szCs w:val="32"/>
          <w:lang w:val="en-US" w:eastAsia="zh-CN"/>
        </w:rPr>
        <w:t>4.79</w:t>
      </w:r>
      <w:r>
        <w:rPr>
          <w:rFonts w:hint="default" w:ascii="Times New Roman" w:hAnsi="Times New Roman" w:cs="Times New Roman"/>
          <w:color w:val="000000"/>
          <w:sz w:val="32"/>
          <w:szCs w:val="32"/>
        </w:rPr>
        <w:t>万元；公务接待费支出决算</w:t>
      </w:r>
      <w:r>
        <w:rPr>
          <w:rFonts w:hint="eastAsia" w:ascii="Times New Roman" w:hAnsi="Times New Roman" w:cs="Times New Roman"/>
          <w:color w:val="000000"/>
          <w:sz w:val="32"/>
          <w:szCs w:val="32"/>
          <w:lang w:val="en-US" w:eastAsia="zh-CN"/>
        </w:rPr>
        <w:t>1.92</w:t>
      </w:r>
      <w:r>
        <w:rPr>
          <w:rFonts w:hint="default" w:ascii="Times New Roman" w:hAnsi="Times New Roman" w:cs="Times New Roman"/>
          <w:color w:val="000000"/>
          <w:sz w:val="32"/>
          <w:szCs w:val="32"/>
        </w:rPr>
        <w:t>万元，占</w:t>
      </w:r>
      <w:r>
        <w:rPr>
          <w:rFonts w:hint="eastAsia" w:ascii="Times New Roman" w:hAnsi="Times New Roman" w:cs="Times New Roman"/>
          <w:color w:val="000000"/>
          <w:sz w:val="32"/>
          <w:szCs w:val="32"/>
          <w:lang w:val="en-US" w:eastAsia="zh-CN"/>
        </w:rPr>
        <w:t>28.61</w:t>
      </w:r>
      <w:r>
        <w:rPr>
          <w:rFonts w:hint="default" w:ascii="Times New Roman" w:hAnsi="Times New Roman" w:cs="Times New Roman"/>
          <w:color w:val="000000"/>
          <w:sz w:val="32"/>
          <w:szCs w:val="32"/>
        </w:rPr>
        <w:t>%。</w:t>
      </w:r>
      <w:r>
        <w:rPr>
          <w:rFonts w:hint="eastAsia" w:ascii="仿宋" w:hAnsi="仿宋" w:eastAsia="仿宋" w:cs="仿宋"/>
          <w:color w:val="000000"/>
          <w:sz w:val="32"/>
          <w:szCs w:val="32"/>
        </w:rPr>
        <w:t>具体情况如下：</w:t>
      </w:r>
    </w:p>
    <w:p w14:paraId="37364DD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eastAsia" w:ascii="仿宋" w:hAnsi="仿宋" w:eastAsia="仿宋" w:cs="仿宋"/>
          <w:color w:val="000000"/>
          <w:sz w:val="32"/>
          <w:szCs w:val="32"/>
        </w:rPr>
      </w:pPr>
      <w:r>
        <w:rPr>
          <w:rFonts w:hint="eastAsia" w:ascii="仿宋" w:hAnsi="仿宋" w:eastAsia="仿宋" w:cs="仿宋"/>
          <w:color w:val="000000"/>
          <w:sz w:val="32"/>
          <w:szCs w:val="32"/>
        </w:rPr>
        <w:drawing>
          <wp:inline distT="0" distB="0" distL="114300" distR="114300">
            <wp:extent cx="5256530" cy="2988310"/>
            <wp:effectExtent l="5080" t="4445" r="15240" b="1714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仿宋" w:hAnsi="仿宋" w:eastAsia="仿宋" w:cs="仿宋"/>
          <w:color w:val="000000"/>
          <w:sz w:val="32"/>
          <w:szCs w:val="32"/>
        </w:rPr>
        <w:t>（图7：“三公”经费财政拨款支出结构）（饼状图）</w:t>
      </w:r>
    </w:p>
    <w:p w14:paraId="019B36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640"/>
        <w:jc w:val="both"/>
      </w:pPr>
      <w:r>
        <w:rPr>
          <w:rFonts w:ascii="仿宋" w:hAnsi="仿宋" w:eastAsia="仿宋" w:cs="仿宋"/>
          <w:color w:val="000000"/>
          <w:sz w:val="32"/>
          <w:szCs w:val="32"/>
        </w:rPr>
        <w:t>1.因公出国（境）经费支出0万元，完成预算0%。全年安排因公出国（境）团组0次，</w:t>
      </w:r>
      <w:r>
        <w:rPr>
          <w:rFonts w:ascii="仿宋_GB2312" w:eastAsia="仿宋_GB2312" w:cs="仿宋_GB2312"/>
          <w:color w:val="000000"/>
          <w:sz w:val="32"/>
          <w:szCs w:val="32"/>
        </w:rPr>
        <w:t>出国（境）</w:t>
      </w:r>
      <w:r>
        <w:rPr>
          <w:rFonts w:hint="default" w:ascii="仿宋_GB2312" w:eastAsia="仿宋_GB2312" w:cs="仿宋_GB2312"/>
          <w:color w:val="000000"/>
          <w:sz w:val="32"/>
          <w:szCs w:val="32"/>
        </w:rPr>
        <w:t>0人。</w:t>
      </w:r>
    </w:p>
    <w:p w14:paraId="649A67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color w:val="000000"/>
          <w:sz w:val="32"/>
          <w:szCs w:val="32"/>
        </w:rPr>
        <w:t>2.公务用车购置及运行维护费支出</w:t>
      </w:r>
      <w:r>
        <w:rPr>
          <w:rFonts w:hint="eastAsia" w:ascii="仿宋" w:hAnsi="仿宋" w:eastAsia="仿宋" w:cs="仿宋"/>
          <w:color w:val="000000"/>
          <w:sz w:val="32"/>
          <w:szCs w:val="32"/>
          <w:lang w:val="en-US" w:eastAsia="zh-CN"/>
        </w:rPr>
        <w:t>4.79</w:t>
      </w:r>
      <w:r>
        <w:rPr>
          <w:rFonts w:hint="eastAsia" w:ascii="仿宋" w:hAnsi="仿宋" w:eastAsia="仿宋" w:cs="仿宋"/>
          <w:color w:val="000000"/>
          <w:sz w:val="32"/>
          <w:szCs w:val="32"/>
        </w:rPr>
        <w:t>万元,完成预算100%。公务用车购置及运行维护费支出决算比</w:t>
      </w:r>
      <w:r>
        <w:rPr>
          <w:rFonts w:hint="eastAsia" w:ascii="仿宋" w:hAnsi="仿宋" w:eastAsia="仿宋" w:cs="仿宋"/>
          <w:color w:val="000000"/>
          <w:sz w:val="32"/>
          <w:szCs w:val="32"/>
          <w:lang w:val="en-US" w:eastAsia="zh-CN"/>
        </w:rPr>
        <w:t>2022</w:t>
      </w:r>
      <w:r>
        <w:rPr>
          <w:rFonts w:hint="eastAsia" w:ascii="仿宋" w:hAnsi="仿宋" w:eastAsia="仿宋" w:cs="仿宋"/>
          <w:color w:val="000000"/>
          <w:sz w:val="32"/>
          <w:szCs w:val="32"/>
        </w:rPr>
        <w:t>相比</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lang w:val="en-US" w:eastAsia="zh-CN"/>
        </w:rPr>
        <w:t>4.29</w:t>
      </w:r>
      <w:r>
        <w:rPr>
          <w:rFonts w:hint="eastAsia" w:ascii="仿宋" w:hAnsi="仿宋" w:eastAsia="仿宋" w:cs="仿宋"/>
          <w:color w:val="000000"/>
          <w:sz w:val="32"/>
          <w:szCs w:val="32"/>
        </w:rPr>
        <w:t>万元，主要原因为</w:t>
      </w:r>
      <w:r>
        <w:rPr>
          <w:rFonts w:hint="eastAsia" w:ascii="仿宋" w:hAnsi="仿宋" w:eastAsia="仿宋" w:cs="仿宋"/>
          <w:color w:val="000000"/>
          <w:sz w:val="32"/>
          <w:szCs w:val="32"/>
          <w:lang w:eastAsia="zh-CN"/>
        </w:rPr>
        <w:t>我院公务用车年久失修，修理费及保险费较高</w:t>
      </w:r>
      <w:r>
        <w:rPr>
          <w:rFonts w:hint="eastAsia" w:ascii="仿宋" w:hAnsi="仿宋" w:eastAsia="仿宋" w:cs="仿宋"/>
          <w:color w:val="000000"/>
          <w:sz w:val="32"/>
          <w:szCs w:val="32"/>
        </w:rPr>
        <w:t>；</w:t>
      </w:r>
    </w:p>
    <w:p w14:paraId="0A83859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color w:val="000000"/>
          <w:sz w:val="32"/>
          <w:szCs w:val="32"/>
        </w:rPr>
        <w:t>截至2022年12月底，单位共有公务用车10辆，电瓶巡逻车1辆。其中：商务车2辆、越野车6辆、其他车辆2辆。</w:t>
      </w:r>
    </w:p>
    <w:p w14:paraId="2DBDF9F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.公务接待费支出</w:t>
      </w:r>
      <w:r>
        <w:rPr>
          <w:rFonts w:hint="eastAsia" w:ascii="仿宋" w:hAnsi="仿宋" w:eastAsia="仿宋" w:cs="仿宋"/>
          <w:color w:val="000000"/>
          <w:sz w:val="32"/>
          <w:szCs w:val="32"/>
          <w:lang w:val="en-US" w:eastAsia="zh-CN"/>
        </w:rPr>
        <w:t>1.92</w:t>
      </w:r>
      <w:r>
        <w:rPr>
          <w:rFonts w:hint="eastAsia" w:ascii="仿宋" w:hAnsi="仿宋" w:eastAsia="仿宋" w:cs="仿宋"/>
          <w:color w:val="000000"/>
          <w:sz w:val="32"/>
          <w:szCs w:val="32"/>
        </w:rPr>
        <w:t>万元，完成预算100%。公务接待费支出决算比202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lang w:val="en-US" w:eastAsia="zh-CN"/>
        </w:rPr>
        <w:t>0.58</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上升</w:t>
      </w:r>
      <w:r>
        <w:rPr>
          <w:rFonts w:hint="eastAsia" w:ascii="仿宋" w:hAnsi="仿宋" w:eastAsia="仿宋" w:cs="仿宋"/>
          <w:color w:val="000000"/>
          <w:sz w:val="32"/>
          <w:szCs w:val="32"/>
          <w:lang w:val="en-US" w:eastAsia="zh-CN"/>
        </w:rPr>
        <w:t>43.28</w:t>
      </w:r>
      <w:r>
        <w:rPr>
          <w:rFonts w:hint="eastAsia" w:ascii="仿宋" w:hAnsi="仿宋" w:eastAsia="仿宋" w:cs="仿宋"/>
          <w:color w:val="000000"/>
          <w:sz w:val="32"/>
          <w:szCs w:val="32"/>
        </w:rPr>
        <w:t>%。主要原因为为</w:t>
      </w:r>
      <w:r>
        <w:rPr>
          <w:rFonts w:hint="eastAsia" w:ascii="仿宋" w:hAnsi="仿宋" w:eastAsia="仿宋" w:cs="仿宋"/>
          <w:color w:val="000000"/>
          <w:sz w:val="32"/>
          <w:szCs w:val="32"/>
          <w:lang w:eastAsia="zh-CN"/>
        </w:rPr>
        <w:t>公务经费增加，人员经费较往年增长</w:t>
      </w:r>
      <w:r>
        <w:rPr>
          <w:rFonts w:hint="eastAsia" w:ascii="仿宋" w:hAnsi="仿宋" w:eastAsia="仿宋" w:cs="仿宋"/>
          <w:color w:val="000000"/>
          <w:sz w:val="32"/>
          <w:szCs w:val="32"/>
        </w:rPr>
        <w:t>。</w:t>
      </w:r>
    </w:p>
    <w:p w14:paraId="08E966B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color w:val="000000"/>
          <w:sz w:val="32"/>
          <w:szCs w:val="32"/>
        </w:rPr>
        <w:t>5.国内公务接待支出</w:t>
      </w:r>
      <w:r>
        <w:rPr>
          <w:rFonts w:hint="eastAsia" w:ascii="仿宋" w:hAnsi="仿宋" w:eastAsia="仿宋" w:cs="仿宋"/>
          <w:color w:val="000000"/>
          <w:sz w:val="32"/>
          <w:szCs w:val="32"/>
          <w:lang w:val="en-US" w:eastAsia="zh-CN"/>
        </w:rPr>
        <w:t>1.92</w:t>
      </w:r>
      <w:r>
        <w:rPr>
          <w:rFonts w:hint="eastAsia" w:ascii="仿宋" w:hAnsi="仿宋" w:eastAsia="仿宋" w:cs="仿宋"/>
          <w:color w:val="000000"/>
          <w:sz w:val="32"/>
          <w:szCs w:val="32"/>
        </w:rPr>
        <w:t>万元，主要用于上级法院、绵阳对口援建单位，其他有法院执行公务用餐费。</w:t>
      </w:r>
    </w:p>
    <w:p w14:paraId="1E2AFE7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center"/>
        <w:rPr>
          <w:rFonts w:hint="eastAsia" w:ascii="仿宋" w:hAnsi="仿宋" w:eastAsia="仿宋" w:cs="仿宋"/>
          <w:color w:val="000000"/>
          <w:sz w:val="32"/>
          <w:szCs w:val="32"/>
        </w:rPr>
      </w:pPr>
    </w:p>
    <w:p w14:paraId="50492DD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黑体" w:hAnsi="宋体" w:eastAsia="黑体" w:cs="黑体"/>
          <w:color w:val="000000"/>
          <w:sz w:val="32"/>
          <w:szCs w:val="32"/>
        </w:rPr>
      </w:pPr>
    </w:p>
    <w:p w14:paraId="61F4616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黑体" w:hAnsi="宋体" w:eastAsia="黑体" w:cs="黑体"/>
          <w:color w:val="000000"/>
          <w:sz w:val="32"/>
          <w:szCs w:val="32"/>
        </w:rPr>
      </w:pPr>
    </w:p>
    <w:p w14:paraId="5A730D7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黑体" w:hAnsi="宋体" w:eastAsia="黑体" w:cs="黑体"/>
          <w:color w:val="000000"/>
          <w:sz w:val="32"/>
          <w:szCs w:val="32"/>
        </w:rPr>
      </w:pPr>
    </w:p>
    <w:p w14:paraId="0ADC0BA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黑体" w:hAnsi="宋体" w:eastAsia="黑体" w:cs="黑体"/>
          <w:color w:val="000000"/>
          <w:sz w:val="32"/>
          <w:szCs w:val="32"/>
        </w:rPr>
        <w:t>八、政府性基金预算支出决算情况说明</w:t>
      </w:r>
    </w:p>
    <w:p w14:paraId="0CAD95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2023年度政府性基金预算财政拨款支出0万元。</w:t>
      </w:r>
    </w:p>
    <w:p w14:paraId="2CD8D97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t> </w:t>
      </w:r>
    </w:p>
    <w:p w14:paraId="6D3C668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黑体" w:hAnsi="宋体" w:eastAsia="黑体" w:cs="黑体"/>
          <w:color w:val="000000"/>
          <w:sz w:val="32"/>
          <w:szCs w:val="32"/>
        </w:rPr>
        <w:t>九、国有资本经营预算支出决算情况说明</w:t>
      </w:r>
    </w:p>
    <w:p w14:paraId="5A43D8F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2023年度国有资本经营预算财政拨款支出0万元。</w:t>
      </w:r>
    </w:p>
    <w:p w14:paraId="5AD1838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880"/>
        <w:jc w:val="center"/>
      </w:pPr>
      <w:r>
        <w:t> </w:t>
      </w:r>
    </w:p>
    <w:p w14:paraId="0F2C573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黑体" w:hAnsi="宋体" w:eastAsia="黑体" w:cs="黑体"/>
          <w:color w:val="000000"/>
          <w:sz w:val="32"/>
          <w:szCs w:val="32"/>
        </w:rPr>
        <w:t>十、其他重要事项的情况说明</w:t>
      </w:r>
    </w:p>
    <w:p w14:paraId="4EAA7BE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pP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一</w:t>
      </w:r>
      <w:r>
        <w:rPr>
          <w:rFonts w:hint="eastAsia" w:ascii="仿宋" w:hAnsi="仿宋" w:eastAsia="仿宋" w:cs="仿宋"/>
          <w:b/>
          <w:bCs/>
          <w:color w:val="000000"/>
          <w:sz w:val="32"/>
          <w:szCs w:val="32"/>
        </w:rPr>
        <w:t>）政府采购支出情况</w:t>
      </w:r>
    </w:p>
    <w:p w14:paraId="243F69C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eastAsiaTheme="minorEastAsia"/>
          <w:lang w:val="en-US" w:eastAsia="zh-CN"/>
        </w:rPr>
      </w:pPr>
      <w:r>
        <w:rPr>
          <w:rFonts w:hint="default" w:ascii="Times New Roman" w:hAnsi="Times New Roman" w:cs="Times New Roman"/>
          <w:color w:val="000000"/>
          <w:sz w:val="32"/>
          <w:szCs w:val="32"/>
        </w:rPr>
        <w:t>2023年度，</w:t>
      </w:r>
      <w:r>
        <w:rPr>
          <w:rFonts w:hint="eastAsia" w:ascii="Times New Roman" w:hAnsi="Times New Roman" w:cs="Times New Roman"/>
          <w:color w:val="000000"/>
          <w:sz w:val="32"/>
          <w:szCs w:val="32"/>
          <w:lang w:eastAsia="zh-CN"/>
        </w:rPr>
        <w:t>壤塘县</w:t>
      </w:r>
      <w:r>
        <w:rPr>
          <w:rFonts w:hint="default" w:ascii="Times New Roman" w:hAnsi="Times New Roman" w:cs="Times New Roman"/>
          <w:color w:val="000000"/>
          <w:sz w:val="32"/>
          <w:szCs w:val="32"/>
        </w:rPr>
        <w:t>人民法院政府采购支出总额</w:t>
      </w:r>
      <w:r>
        <w:rPr>
          <w:rFonts w:hint="eastAsia" w:ascii="Times New Roman" w:hAnsi="Times New Roman" w:cs="Times New Roman"/>
          <w:color w:val="000000"/>
          <w:sz w:val="32"/>
          <w:szCs w:val="32"/>
          <w:lang w:val="en-US" w:eastAsia="zh-CN"/>
        </w:rPr>
        <w:t>77.34</w:t>
      </w:r>
      <w:r>
        <w:rPr>
          <w:rFonts w:hint="default" w:ascii="Times New Roman" w:hAnsi="Times New Roman" w:cs="Times New Roman"/>
          <w:color w:val="000000"/>
          <w:sz w:val="32"/>
          <w:szCs w:val="32"/>
        </w:rPr>
        <w:t>万元，其中：</w:t>
      </w:r>
      <w:r>
        <w:rPr>
          <w:rFonts w:hint="eastAsia" w:ascii="Times New Roman" w:hAnsi="Times New Roman" w:cs="Times New Roman"/>
          <w:color w:val="000000"/>
          <w:sz w:val="32"/>
          <w:szCs w:val="32"/>
          <w:lang w:eastAsia="zh-CN"/>
        </w:rPr>
        <w:t>办公设备购置</w:t>
      </w:r>
      <w:r>
        <w:rPr>
          <w:rFonts w:hint="eastAsia" w:ascii="Times New Roman" w:hAnsi="Times New Roman" w:cs="Times New Roman"/>
          <w:color w:val="000000"/>
          <w:sz w:val="32"/>
          <w:szCs w:val="32"/>
          <w:lang w:val="en-US" w:eastAsia="zh-CN"/>
        </w:rPr>
        <w:t>65.76万元，其他资本性支出11.58万元。</w:t>
      </w:r>
    </w:p>
    <w:p w14:paraId="699AB77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pPr>
      <w:r>
        <w:rPr>
          <w:rFonts w:hint="eastAsia" w:ascii="仿宋" w:hAnsi="仿宋" w:eastAsia="仿宋" w:cs="仿宋"/>
          <w:b/>
          <w:bCs/>
          <w:color w:val="000000"/>
          <w:sz w:val="32"/>
          <w:szCs w:val="32"/>
        </w:rPr>
        <w:t>（注：数据来源于财决附03表）</w:t>
      </w:r>
    </w:p>
    <w:p w14:paraId="75CD9EF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pPr>
      <w:r>
        <w:rPr>
          <w:rFonts w:hint="eastAsia" w:ascii="仿宋" w:hAnsi="仿宋" w:eastAsia="仿宋" w:cs="仿宋"/>
          <w:b/>
          <w:bCs/>
          <w:color w:val="000000"/>
          <w:sz w:val="32"/>
          <w:szCs w:val="32"/>
        </w:rPr>
        <w:t>（三）国有资产占有使用情况</w:t>
      </w:r>
    </w:p>
    <w:p w14:paraId="7FFF02B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640"/>
        <w:jc w:val="both"/>
      </w:pPr>
      <w:r>
        <w:rPr>
          <w:rFonts w:ascii="仿宋" w:hAnsi="仿宋" w:eastAsia="仿宋" w:cs="仿宋"/>
          <w:color w:val="000000"/>
          <w:sz w:val="32"/>
          <w:szCs w:val="32"/>
        </w:rPr>
        <w:t>截止202</w:t>
      </w:r>
      <w:r>
        <w:rPr>
          <w:rFonts w:hint="eastAsia" w:ascii="仿宋" w:hAnsi="仿宋" w:eastAsia="仿宋" w:cs="仿宋"/>
          <w:color w:val="000000"/>
          <w:sz w:val="32"/>
          <w:szCs w:val="32"/>
        </w:rPr>
        <w:t>2年12月31日，</w:t>
      </w:r>
      <w:r>
        <w:rPr>
          <w:rFonts w:hint="eastAsia" w:ascii="仿宋" w:hAnsi="仿宋" w:eastAsia="仿宋" w:cs="仿宋"/>
          <w:color w:val="000000"/>
          <w:sz w:val="32"/>
          <w:szCs w:val="32"/>
          <w:lang w:eastAsia="zh-CN"/>
        </w:rPr>
        <w:t>壤塘县人民法</w:t>
      </w:r>
      <w:r>
        <w:rPr>
          <w:rFonts w:hint="eastAsia" w:ascii="仿宋" w:hAnsi="仿宋" w:eastAsia="仿宋" w:cs="仿宋"/>
          <w:color w:val="000000"/>
          <w:sz w:val="32"/>
          <w:szCs w:val="32"/>
        </w:rPr>
        <w:t>院共有车辆11辆，其中3辆为特种用车，7辆为一般执法执勤用车，一辆电瓶巡逻车不占车编。</w:t>
      </w:r>
    </w:p>
    <w:p w14:paraId="7EA549F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321"/>
      </w:pPr>
      <w:r>
        <w:rPr>
          <w:rFonts w:hint="eastAsia" w:ascii="仿宋" w:hAnsi="仿宋" w:eastAsia="仿宋" w:cs="仿宋"/>
          <w:b/>
          <w:bCs/>
          <w:color w:val="000000"/>
          <w:sz w:val="32"/>
          <w:szCs w:val="32"/>
        </w:rPr>
        <w:t>（注：数据来源于财决附03表，按部门决算报表填报数据罗列车辆情况。）</w:t>
      </w:r>
    </w:p>
    <w:p w14:paraId="25207A3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firstLine="643" w:firstLineChars="200"/>
      </w:pPr>
      <w:r>
        <w:rPr>
          <w:rFonts w:hint="eastAsia" w:ascii="仿宋" w:hAnsi="仿宋" w:eastAsia="仿宋" w:cs="仿宋"/>
          <w:b/>
          <w:bCs/>
          <w:color w:val="000000"/>
          <w:sz w:val="32"/>
          <w:szCs w:val="32"/>
        </w:rPr>
        <w:t>（四）预算绩效管理情况</w:t>
      </w:r>
    </w:p>
    <w:p w14:paraId="14567D5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w:hAnsi="Times New Roman" w:cs="Times New Roman"/>
          <w:color w:val="000000"/>
          <w:sz w:val="32"/>
          <w:szCs w:val="32"/>
        </w:rPr>
        <w:t>根据预算绩效管理要求，本单位在2023年度预算编制阶段，组织对27个项目开展了预算事前绩效评估，对27个项目编制了绩效目标，预算执行过程中，选取27个项目开展绩效监控，组织对27个项目开展绩效自评，绩效自评表详见第四部分附件。</w:t>
      </w:r>
    </w:p>
    <w:p w14:paraId="39991C4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ind w:left="0" w:firstLine="420"/>
        <w:jc w:val="both"/>
      </w:pPr>
      <w:r>
        <w:t> </w:t>
      </w:r>
    </w:p>
    <w:p w14:paraId="74259B7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黑体" w:hAnsi="宋体" w:eastAsia="黑体" w:cs="黑体"/>
          <w:color w:val="000000"/>
          <w:sz w:val="32"/>
          <w:szCs w:val="32"/>
        </w:rPr>
        <w:t>十一、空表说明</w:t>
      </w:r>
    </w:p>
    <w:p w14:paraId="01661A9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3"/>
        <w:jc w:val="both"/>
        <w:rPr>
          <w:rFonts w:hint="default" w:ascii="仿宋_GB2312" w:eastAsia="仿宋_GB2312" w:cs="仿宋_GB2312"/>
          <w:b/>
          <w:bCs/>
          <w:color w:val="000000"/>
          <w:sz w:val="32"/>
          <w:szCs w:val="32"/>
        </w:rPr>
      </w:pPr>
      <w:r>
        <w:rPr>
          <w:rFonts w:hint="eastAsia" w:ascii="仿宋_GB2312" w:eastAsia="仿宋_GB2312" w:cs="仿宋_GB2312"/>
          <w:b/>
          <w:bCs/>
          <w:color w:val="000000"/>
          <w:sz w:val="32"/>
          <w:szCs w:val="32"/>
          <w:lang w:eastAsia="zh-CN"/>
        </w:rPr>
        <w:t>（一）</w:t>
      </w:r>
      <w:r>
        <w:rPr>
          <w:rFonts w:hint="default" w:ascii="仿宋_GB2312" w:eastAsia="仿宋_GB2312" w:cs="仿宋_GB2312"/>
          <w:b/>
          <w:bCs/>
          <w:color w:val="000000"/>
          <w:sz w:val="32"/>
          <w:szCs w:val="32"/>
        </w:rPr>
        <w:t>政府性基金预算财政拨款收入支出决算表</w:t>
      </w:r>
    </w:p>
    <w:p w14:paraId="7CF569F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1280"/>
        <w:jc w:val="both"/>
      </w:pPr>
      <w:r>
        <w:rPr>
          <w:rFonts w:hint="default" w:ascii="仿宋_GB2312" w:eastAsia="仿宋_GB2312" w:cs="仿宋_GB2312"/>
          <w:color w:val="000000"/>
          <w:sz w:val="32"/>
          <w:szCs w:val="32"/>
        </w:rPr>
        <w:t>我院无相关资金收入支出，该表为空表。</w:t>
      </w:r>
    </w:p>
    <w:p w14:paraId="0176573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1280"/>
        <w:jc w:val="both"/>
        <w:rPr>
          <w:rFonts w:hint="eastAsia" w:ascii="黑体" w:hAnsi="宋体" w:eastAsia="黑体" w:cs="黑体"/>
          <w:color w:val="000000"/>
          <w:sz w:val="44"/>
          <w:szCs w:val="44"/>
        </w:rPr>
      </w:pPr>
    </w:p>
    <w:p w14:paraId="1BE82C6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1280"/>
        <w:jc w:val="both"/>
        <w:rPr>
          <w:rFonts w:hint="eastAsia" w:ascii="黑体" w:hAnsi="宋体" w:eastAsia="黑体" w:cs="黑体"/>
          <w:color w:val="000000"/>
          <w:sz w:val="44"/>
          <w:szCs w:val="44"/>
        </w:rPr>
      </w:pPr>
    </w:p>
    <w:p w14:paraId="1C6E6F8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1280"/>
        <w:jc w:val="both"/>
        <w:rPr>
          <w:rFonts w:hint="eastAsia" w:ascii="黑体" w:hAnsi="宋体" w:eastAsia="黑体" w:cs="黑体"/>
          <w:color w:val="000000"/>
          <w:sz w:val="44"/>
          <w:szCs w:val="44"/>
        </w:rPr>
      </w:pPr>
    </w:p>
    <w:p w14:paraId="6C0C57D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1280"/>
        <w:jc w:val="both"/>
      </w:pPr>
      <w:r>
        <w:rPr>
          <w:rFonts w:hint="eastAsia" w:ascii="黑体" w:hAnsi="宋体" w:eastAsia="黑体" w:cs="黑体"/>
          <w:color w:val="000000"/>
          <w:sz w:val="44"/>
          <w:szCs w:val="44"/>
        </w:rPr>
        <w:t>第三部分  名词解释</w:t>
      </w:r>
    </w:p>
    <w:p w14:paraId="7675D85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t> </w:t>
      </w:r>
    </w:p>
    <w:p w14:paraId="3EED41B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1.财政拨款收入：指单位从同级财政部门取得的财政预算资金。</w:t>
      </w:r>
    </w:p>
    <w:p w14:paraId="79DB9E0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2.事业收入：指事业单位开展专业业务活动及辅助活动取得的收入。如…（二级预算单位事业收入情况）等。</w:t>
      </w:r>
    </w:p>
    <w:p w14:paraId="245662A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3.经营收入：指事业单位在专业业务活动及其辅助活动之外开展非独立核算经营活动取得的收入。如…（二级预算单位经营收入情况）等。</w:t>
      </w:r>
    </w:p>
    <w:p w14:paraId="661389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4.其他收入：指单位取得的除上述收入以外的各项收入。主要是…（收入类型）等。 </w:t>
      </w:r>
    </w:p>
    <w:p w14:paraId="10162A2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5.使用非财政拨款结余（含专用结余）：指事业单位使用以前年度积累的非财政拨款结余弥补当年收支差额的金额。 </w:t>
      </w:r>
    </w:p>
    <w:p w14:paraId="33A3541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6.年初结转和结余：指以前年度尚未完成、结转到本年按有关规定继续使用的资金。 </w:t>
      </w:r>
    </w:p>
    <w:p w14:paraId="3E141C7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7.结余分配：指事业单位按照会计制度规定缴纳的所得税、提取的专用结余以及转入非财政拨款结余的金额等。</w:t>
      </w:r>
    </w:p>
    <w:p w14:paraId="1DCF0BF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8.年末结转和结余：指单位按有关规定结转到下年或以后年度继续使用的资金。</w:t>
      </w:r>
    </w:p>
    <w:p w14:paraId="6849E32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9、公共安全（类）法院（款）行政运行（项）: 指法院（包括实行公务员管理的事业单位）的基本支出。</w:t>
      </w:r>
    </w:p>
    <w:p w14:paraId="0F7E987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10、公共安全（类）法院（款）一般行政管理事务（项）: 指行政单位（包括实行公务员管理的事业单位）未单独设置项级科目的其他项目支出。本单位列支的是中央政法转移支付的经费。</w:t>
      </w:r>
    </w:p>
    <w:p w14:paraId="7540636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11、公共安全（类）法院（款）案件执行（项）: 指指反应人民法院对刑事、民事、行政、涉外等案件执行活动和对  各种非诉执行活动的支出。</w:t>
      </w:r>
    </w:p>
    <w:p w14:paraId="7FB722D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12、公共安全支出（类）法院（款）其他法院支出（项）：指反应除上述项目外其他用于法院方面的支出。</w:t>
      </w:r>
    </w:p>
    <w:p w14:paraId="4915C4F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13.社会保障和就业（类）行政事业单位离退休（款）机关事业单位基本养老保险缴费（项）: 指机关事业单位实施养老保险制度由单位缴纳的基本养老保险费支出。</w:t>
      </w:r>
    </w:p>
    <w:p w14:paraId="09C046E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14、社会保障和就业（类）行政事业单位离退休（款）机关事业单位职业年金缴费（项）: 指机关事业单位实施养老保险制度由单位实际缴纳的职业年金支出。</w:t>
      </w:r>
    </w:p>
    <w:p w14:paraId="02D7E44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15、医疗卫生与计划生育（类）行政事业单位医疗（款）行政单位医疗（项）:指财政部门集中安排的行政单位基本医疗保险缴费经费，未参加医疗保险的行政单位的公费医疗经费，按国家规定享受离休人员、红军老战士待遇人员的医疗经费。</w:t>
      </w:r>
    </w:p>
    <w:p w14:paraId="6541978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16、医疗卫生与计划生育（类）行政事业单位医疗（款）事业单位医疗（项）:指财政部门集中安排的事业单位基本医疗保险缴费经费，未参加医疗保险的事业单位的公费医疗经费，按国家规定享受离休人员待遇的医疗经费。</w:t>
      </w:r>
    </w:p>
    <w:p w14:paraId="0DA7342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17、医疗卫生与计划生育（类）行政事业单位医疗（款）公务员医疗补助（项）:指财政部门集中安排的公务员医疗补助经费。</w:t>
      </w:r>
    </w:p>
    <w:p w14:paraId="649C4D9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18、医疗卫生与计划生育（类）行政事业单位医疗（款）其他行政事业单位医疗（项）:指除上述项目以外的其他用于行政事业单位医疗方面的支出。</w:t>
      </w:r>
    </w:p>
    <w:p w14:paraId="450C701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19、住房保障（类）住房改革（款）住房公积金（项）:指行政事业单位按人力资源和社会保障部、财政部规定的基本工资和津贴补贴以及规定比例为职工缴纳的住房公积金。</w:t>
      </w:r>
    </w:p>
    <w:p w14:paraId="67DBDA7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left="0" w:firstLine="640"/>
      </w:pPr>
      <w:r>
        <w:rPr>
          <w:rFonts w:hint="default" w:ascii="Times New Roman" w:hAnsi="Times New Roman" w:cs="Times New Roman"/>
          <w:color w:val="000000"/>
          <w:sz w:val="32"/>
          <w:szCs w:val="32"/>
          <w:shd w:val="clear" w:fill="FFFFFF"/>
        </w:rPr>
        <w:t>20、住房保障（类）住房改革（款）购房补贴（项）:指铵房改政策规定，行政事业单位向符合条件职工（含离退休人员）、军队（含武警）向转役复原离退休人员发放的用于购买住房的补贴。</w:t>
      </w:r>
    </w:p>
    <w:p w14:paraId="6F1505F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eastAsia" w:ascii="仿宋" w:hAnsi="仿宋" w:eastAsia="仿宋" w:cs="仿宋"/>
          <w:b/>
          <w:bCs/>
          <w:color w:val="000000"/>
          <w:sz w:val="32"/>
          <w:szCs w:val="32"/>
        </w:rPr>
        <w:t>（解释本单位决算报表中涉及的全部功能分类科目至项级，不涉及的科目请自行删除。请参照《2023年政府收支分类科目》增减内容。）</w:t>
      </w:r>
    </w:p>
    <w:p w14:paraId="1A51EF6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rPr>
          <w:rFonts w:hint="default" w:ascii="仿宋_GB2312" w:eastAsia="仿宋_GB2312" w:cs="仿宋_GB2312"/>
          <w:color w:val="000000"/>
          <w:sz w:val="32"/>
          <w:szCs w:val="32"/>
        </w:rPr>
      </w:pPr>
    </w:p>
    <w:p w14:paraId="63A51AF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pPr>
      <w:r>
        <w:rPr>
          <w:rFonts w:hint="default" w:ascii="仿宋_GB2312" w:eastAsia="仿宋_GB2312" w:cs="仿宋_GB2312"/>
          <w:color w:val="000000"/>
          <w:sz w:val="32"/>
          <w:szCs w:val="32"/>
        </w:rPr>
        <w:t>21.基本支出：指为保障机构正常运转、完成日常工作任务而发生的人员支出和公用支出。</w:t>
      </w:r>
    </w:p>
    <w:p w14:paraId="0B01AD2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pPr>
      <w:r>
        <w:rPr>
          <w:rFonts w:hint="default" w:ascii="仿宋_GB2312" w:eastAsia="仿宋_GB2312" w:cs="仿宋_GB2312"/>
          <w:color w:val="000000"/>
          <w:sz w:val="32"/>
          <w:szCs w:val="32"/>
        </w:rPr>
        <w:t>22.项目支出：指在基本支出之外为完成特定行政任务和事业发展目标所发生的支出。 </w:t>
      </w:r>
    </w:p>
    <w:p w14:paraId="022AD73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0"/>
        <w:jc w:val="both"/>
      </w:pPr>
      <w:r>
        <w:rPr>
          <w:rFonts w:hint="default" w:ascii="仿宋_GB2312" w:eastAsia="仿宋_GB2312" w:cs="仿宋_GB2312"/>
          <w:color w:val="000000"/>
          <w:sz w:val="32"/>
          <w:szCs w:val="32"/>
        </w:rPr>
        <w:t>23.经营支出：指事业单位在专业业务活动及其辅助活动之外开展非独立核算经营活动发生的支出。</w:t>
      </w:r>
    </w:p>
    <w:p w14:paraId="63BC6E0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24.“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2A094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仿宋_GB2312" w:eastAsia="仿宋_GB2312" w:cs="仿宋_GB2312"/>
          <w:color w:val="000000"/>
          <w:sz w:val="32"/>
          <w:szCs w:val="32"/>
        </w:rPr>
        <w:t>25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87B269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rPr>
        <w:t>（名词解释部分请根据各单位实际列支情况罗列，并根据本单位职责职能增减名词解释内容。）</w:t>
      </w:r>
    </w:p>
    <w:p w14:paraId="6E34F8E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宋体" w:hAnsi="宋体" w:eastAsia="宋体" w:cs="宋体"/>
          <w:b/>
          <w:bCs/>
          <w:color w:val="000000"/>
          <w:sz w:val="44"/>
          <w:szCs w:val="44"/>
        </w:rPr>
        <w:br w:type="page"/>
      </w:r>
      <w:r>
        <w:rPr>
          <w:rFonts w:hint="eastAsia" w:ascii="宋体" w:hAnsi="宋体" w:eastAsia="宋体" w:cs="宋体"/>
          <w:b/>
          <w:bCs/>
          <w:color w:val="000000"/>
          <w:sz w:val="44"/>
          <w:szCs w:val="44"/>
        </w:rPr>
        <w:t> </w:t>
      </w:r>
      <w:r>
        <w:rPr>
          <w:rFonts w:hint="eastAsia" w:ascii="黑体" w:hAnsi="宋体" w:eastAsia="黑体" w:cs="黑体"/>
          <w:color w:val="000000"/>
          <w:sz w:val="44"/>
          <w:szCs w:val="44"/>
        </w:rPr>
        <w:t>第四部分 附件</w:t>
      </w:r>
    </w:p>
    <w:p w14:paraId="1593B29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pPr>
      <w:r>
        <w:t> </w:t>
      </w:r>
    </w:p>
    <w:p w14:paraId="63AF4C5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default" w:ascii="Calibri" w:hAnsi="Calibri" w:cs="Calibri"/>
          <w:color w:val="000000"/>
          <w:sz w:val="32"/>
          <w:szCs w:val="32"/>
        </w:rPr>
        <w:t>部门预算项目支出绩效自评表（2023年度）</w:t>
      </w:r>
    </w:p>
    <w:p w14:paraId="603BB27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line="0" w:lineRule="atLeast"/>
        <w:ind w:left="0" w:firstLine="960"/>
        <w:jc w:val="both"/>
      </w:pPr>
      <w:r>
        <w:t> </w:t>
      </w:r>
    </w:p>
    <w:p w14:paraId="7BF4E09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line="0" w:lineRule="atLeast"/>
        <w:ind w:left="0" w:firstLine="960"/>
        <w:jc w:val="both"/>
      </w:pPr>
      <w:r>
        <w:rPr>
          <w:rFonts w:hint="default" w:ascii="仿宋_GB2312" w:eastAsia="仿宋_GB2312" w:cs="仿宋_GB2312"/>
          <w:color w:val="000000"/>
          <w:sz w:val="32"/>
          <w:szCs w:val="32"/>
        </w:rPr>
        <w:t>详见附件</w:t>
      </w:r>
    </w:p>
    <w:p w14:paraId="0298439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524432D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102769A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rPr>
          <w:rFonts w:hint="default" w:ascii="仿宋_GB2312" w:eastAsia="仿宋_GB2312" w:cs="仿宋_GB2312"/>
          <w:color w:val="000000"/>
          <w:sz w:val="32"/>
          <w:szCs w:val="32"/>
        </w:rPr>
        <w:t> </w:t>
      </w:r>
    </w:p>
    <w:p w14:paraId="75B3092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677AF95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0417654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043BE0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3AA8F59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2E5F701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0662B10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712051C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2AA4D85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40" w:afterAutospacing="0" w:line="273" w:lineRule="auto"/>
        <w:jc w:val="both"/>
      </w:pPr>
      <w:r>
        <w:t> </w:t>
      </w:r>
    </w:p>
    <w:p w14:paraId="5375CA0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黑体" w:hAnsi="宋体" w:eastAsia="黑体" w:cs="黑体"/>
          <w:color w:val="000000"/>
          <w:sz w:val="44"/>
          <w:szCs w:val="44"/>
        </w:rPr>
        <w:br w:type="page"/>
      </w:r>
      <w:r>
        <w:rPr>
          <w:rFonts w:hint="eastAsia" w:ascii="黑体" w:hAnsi="宋体" w:eastAsia="黑体" w:cs="黑体"/>
          <w:color w:val="000000"/>
          <w:sz w:val="44"/>
          <w:szCs w:val="44"/>
        </w:rPr>
        <w:t> </w:t>
      </w:r>
    </w:p>
    <w:p w14:paraId="454B031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黑体" w:hAnsi="宋体" w:eastAsia="黑体" w:cs="黑体"/>
          <w:color w:val="000000"/>
          <w:sz w:val="44"/>
          <w:szCs w:val="44"/>
        </w:rPr>
        <w:t>第五部分 附表</w:t>
      </w:r>
    </w:p>
    <w:p w14:paraId="53775910">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一、收入支出决算总表</w:t>
      </w:r>
    </w:p>
    <w:p w14:paraId="0068CF2C">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二、收入决算表</w:t>
      </w:r>
    </w:p>
    <w:p w14:paraId="57CFC25D">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三、支出决算表</w:t>
      </w:r>
    </w:p>
    <w:p w14:paraId="073EFD54">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四、财政拨款收入支出决算总表</w:t>
      </w:r>
    </w:p>
    <w:p w14:paraId="10DF3400">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五、财政拨款支出决算明细表</w:t>
      </w:r>
    </w:p>
    <w:p w14:paraId="34EEC72A">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六、一般公共预算财政拨款支出决算表</w:t>
      </w:r>
    </w:p>
    <w:p w14:paraId="73A2C31D">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七、一般公共预算财政拨款支出决算明细表</w:t>
      </w:r>
    </w:p>
    <w:p w14:paraId="233000BF">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八、一般公共预算财政拨款基本支出决算表</w:t>
      </w:r>
    </w:p>
    <w:p w14:paraId="31CC1DD7">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九、一般公共预算财政拨款项目支出决算表</w:t>
      </w:r>
    </w:p>
    <w:p w14:paraId="0B7E11D6">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十、政府性基金预算财政拨款收入支出决算表</w:t>
      </w:r>
    </w:p>
    <w:p w14:paraId="5941A4CD">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十一、国有资本经营预算财政拨款收入支出决算表</w:t>
      </w:r>
    </w:p>
    <w:p w14:paraId="6236DADF">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十二、国有资本经营预算财政拨款支出决算表</w:t>
      </w:r>
    </w:p>
    <w:p w14:paraId="6AD88295">
      <w:pPr>
        <w:pStyle w:val="2"/>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jc w:val="both"/>
      </w:pPr>
      <w:r>
        <w:rPr>
          <w:rFonts w:hint="eastAsia" w:ascii="仿宋" w:hAnsi="仿宋" w:eastAsia="仿宋" w:cs="仿宋"/>
          <w:color w:val="000000"/>
          <w:sz w:val="32"/>
          <w:szCs w:val="32"/>
        </w:rPr>
        <w:t>十三、财政拨款“三公”经费支出决算表</w:t>
      </w:r>
    </w:p>
    <w:p w14:paraId="602F3CE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5F12B7-8BEF-48DF-B169-03EB86DC534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7C0060B-7CD2-4895-BE01-F3EDBAA86E85}"/>
  </w:font>
  <w:font w:name="方正小标宋简体">
    <w:panose1 w:val="02000000000000000000"/>
    <w:charset w:val="86"/>
    <w:family w:val="auto"/>
    <w:pitch w:val="default"/>
    <w:sig w:usb0="00000001" w:usb1="08000000" w:usb2="00000000" w:usb3="00000000" w:csb0="00040000" w:csb1="00000000"/>
    <w:embedRegular r:id="rId3" w:fontKey="{FBF7CEE0-F507-452A-A651-870516B7C0D9}"/>
  </w:font>
  <w:font w:name="仿宋">
    <w:panose1 w:val="02010609060101010101"/>
    <w:charset w:val="86"/>
    <w:family w:val="auto"/>
    <w:pitch w:val="default"/>
    <w:sig w:usb0="800002BF" w:usb1="38CF7CFA" w:usb2="00000016" w:usb3="00000000" w:csb0="00040001" w:csb1="00000000"/>
    <w:embedRegular r:id="rId4" w:fontKey="{9B64856C-BA73-4646-91A8-2FE54EB427CD}"/>
  </w:font>
  <w:font w:name="方正黑体_GBK">
    <w:altName w:val="微软雅黑"/>
    <w:panose1 w:val="00000000000000000000"/>
    <w:charset w:val="00"/>
    <w:family w:val="auto"/>
    <w:pitch w:val="default"/>
    <w:sig w:usb0="00000000" w:usb1="00000000" w:usb2="00000000" w:usb3="00000000" w:csb0="00000000" w:csb1="00000000"/>
    <w:embedRegular r:id="rId5" w:fontKey="{32118A8B-B353-48C5-9D1A-C30770A860F9}"/>
  </w:font>
  <w:font w:name="仿宋_GB2312">
    <w:panose1 w:val="02010609030101010101"/>
    <w:charset w:val="86"/>
    <w:family w:val="auto"/>
    <w:pitch w:val="default"/>
    <w:sig w:usb0="00000001" w:usb1="080E0000" w:usb2="00000000" w:usb3="00000000" w:csb0="00040000" w:csb1="00000000"/>
    <w:embedRegular r:id="rId6" w:fontKey="{DDE2E587-7129-4B0A-BD6D-E348C6FAAC5E}"/>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2Yjk5MjExNzViMzRjZjAwNzRkMzYyODkyNTRhNTcifQ=="/>
  </w:docVars>
  <w:rsids>
    <w:rsidRoot w:val="123A3188"/>
    <w:rsid w:val="123A3188"/>
    <w:rsid w:val="7E4D5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hart" Target="charts/chart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0445276636868809"/>
          <c:y val="0.161920951976201"/>
          <c:w val="0.930345494080696"/>
          <c:h val="0.638631534211645"/>
        </c:manualLayout>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1622.12</c:v>
                </c:pt>
                <c:pt idx="1">
                  <c:v>1622.12</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1943.43</c:v>
                </c:pt>
                <c:pt idx="1">
                  <c:v>1943.43</c:v>
                </c:pt>
              </c:numCache>
            </c:numRef>
          </c:val>
        </c:ser>
        <c:dLbls>
          <c:showLegendKey val="0"/>
          <c:showVal val="0"/>
          <c:showCatName val="0"/>
          <c:showSerName val="0"/>
          <c:showPercent val="0"/>
          <c:showBubbleSize val="0"/>
        </c:dLbls>
        <c:gapWidth val="246"/>
        <c:overlap val="-28"/>
        <c:axId val="961590556"/>
        <c:axId val="411115280"/>
      </c:barChart>
      <c:catAx>
        <c:axId val="9615905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1115280"/>
        <c:crosses val="autoZero"/>
        <c:auto val="1"/>
        <c:lblAlgn val="ctr"/>
        <c:lblOffset val="100"/>
        <c:noMultiLvlLbl val="0"/>
      </c:catAx>
      <c:valAx>
        <c:axId val="41111528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15905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2023年收入决算情况</a:t>
            </a:r>
          </a:p>
        </c:rich>
      </c:tx>
      <c:layout/>
      <c:overlay val="0"/>
      <c:spPr>
        <a:noFill/>
        <a:ln>
          <a:noFill/>
        </a:ln>
        <a:effectLst/>
      </c:spPr>
    </c:title>
    <c:autoTitleDeleted val="0"/>
    <c:plotArea>
      <c:layout>
        <c:manualLayout>
          <c:layoutTarget val="inner"/>
          <c:xMode val="edge"/>
          <c:yMode val="edge"/>
          <c:x val="0.301159700410727"/>
          <c:y val="0.258818529536762"/>
          <c:w val="0.394781348151727"/>
          <c:h val="0.69443263918402"/>
        </c:manualLayout>
      </c:layout>
      <c:pieChart>
        <c:varyColors val="1"/>
        <c:ser>
          <c:idx val="0"/>
          <c:order val="0"/>
          <c:tx>
            <c:strRef>
              <c:f>Sheet1!$B$1</c:f>
              <c:strCache>
                <c:ptCount val="1"/>
                <c:pt idx="0">
                  <c:v>2023年收入情况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1551.91</c:v>
                </c:pt>
                <c:pt idx="1">
                  <c:v>391.52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2023年支出决算情况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1456.99</c:v>
                </c:pt>
                <c:pt idx="1">
                  <c:v>486.43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1622.12</c:v>
                </c:pt>
                <c:pt idx="1">
                  <c:v>1622.12</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1943.43</c:v>
                </c:pt>
                <c:pt idx="1">
                  <c:v>1943.43</c:v>
                </c:pt>
              </c:numCache>
            </c:numRef>
          </c:val>
        </c:ser>
        <c:dLbls>
          <c:showLegendKey val="0"/>
          <c:showVal val="0"/>
          <c:showCatName val="0"/>
          <c:showSerName val="0"/>
          <c:showPercent val="0"/>
          <c:showBubbleSize val="0"/>
        </c:dLbls>
        <c:gapWidth val="246"/>
        <c:overlap val="-28"/>
        <c:axId val="926467595"/>
        <c:axId val="14029806"/>
      </c:barChart>
      <c:catAx>
        <c:axId val="9264675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029806"/>
        <c:crosses val="autoZero"/>
        <c:auto val="1"/>
        <c:lblAlgn val="ctr"/>
        <c:lblOffset val="100"/>
        <c:noMultiLvlLbl val="0"/>
      </c:catAx>
      <c:valAx>
        <c:axId val="1402980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646759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251026818072"/>
          <c:y val="0.0280492987675308"/>
        </c:manualLayout>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2022年度一般公共预算财政拨款支出</c:v>
                </c:pt>
              </c:strCache>
            </c:strRef>
          </c:tx>
          <c:spPr>
            <a:solidFill>
              <a:schemeClr val="accent1"/>
            </a:solidFill>
            <a:ln>
              <a:noFill/>
            </a:ln>
            <a:effectLst/>
          </c:spPr>
          <c:invertIfNegative val="0"/>
          <c:dLbls>
            <c:delete val="1"/>
          </c:dLbls>
          <c:cat>
            <c:strRef>
              <c:f>Sheet1!$A$2:$A$3</c:f>
              <c:strCache>
                <c:ptCount val="2"/>
                <c:pt idx="0">
                  <c:v>2022年度一般公共预算财政拨款支出</c:v>
                </c:pt>
                <c:pt idx="1">
                  <c:v>2023年度一般公共预算财政拨款支出</c:v>
                </c:pt>
              </c:strCache>
            </c:strRef>
          </c:cat>
          <c:val>
            <c:numRef>
              <c:f>Sheet1!$B$2:$B$3</c:f>
              <c:numCache>
                <c:formatCode>General</c:formatCode>
                <c:ptCount val="2"/>
                <c:pt idx="0">
                  <c:v>1230.16</c:v>
                </c:pt>
                <c:pt idx="1">
                  <c:v>1230.16</c:v>
                </c:pt>
              </c:numCache>
            </c:numRef>
          </c:val>
        </c:ser>
        <c:ser>
          <c:idx val="1"/>
          <c:order val="1"/>
          <c:tx>
            <c:strRef>
              <c:f>Sheet1!$C$1</c:f>
              <c:strCache>
                <c:ptCount val="1"/>
                <c:pt idx="0">
                  <c:v>2023年度一般公共预算财政拨款支出</c:v>
                </c:pt>
              </c:strCache>
            </c:strRef>
          </c:tx>
          <c:spPr>
            <a:solidFill>
              <a:schemeClr val="accent2"/>
            </a:solidFill>
            <a:ln>
              <a:noFill/>
            </a:ln>
            <a:effectLst/>
          </c:spPr>
          <c:invertIfNegative val="0"/>
          <c:dLbls>
            <c:delete val="1"/>
          </c:dLbls>
          <c:cat>
            <c:strRef>
              <c:f>Sheet1!$A$2:$A$3</c:f>
              <c:strCache>
                <c:ptCount val="2"/>
                <c:pt idx="0">
                  <c:v>2022年度一般公共预算财政拨款支出</c:v>
                </c:pt>
                <c:pt idx="1">
                  <c:v>2023年度一般公共预算财政拨款支出</c:v>
                </c:pt>
              </c:strCache>
            </c:strRef>
          </c:cat>
          <c:val>
            <c:numRef>
              <c:f>Sheet1!$C$2:$C$3</c:f>
              <c:numCache>
                <c:formatCode>General</c:formatCode>
                <c:ptCount val="2"/>
                <c:pt idx="0">
                  <c:v>1551.91</c:v>
                </c:pt>
                <c:pt idx="1">
                  <c:v>1551.91</c:v>
                </c:pt>
              </c:numCache>
            </c:numRef>
          </c:val>
        </c:ser>
        <c:dLbls>
          <c:showLegendKey val="0"/>
          <c:showVal val="0"/>
          <c:showCatName val="0"/>
          <c:showSerName val="0"/>
          <c:showPercent val="0"/>
          <c:showBubbleSize val="0"/>
        </c:dLbls>
        <c:gapWidth val="246"/>
        <c:overlap val="-28"/>
        <c:axId val="760601016"/>
        <c:axId val="615035237"/>
      </c:barChart>
      <c:catAx>
        <c:axId val="76060101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35237"/>
        <c:crosses val="autoZero"/>
        <c:auto val="1"/>
        <c:lblAlgn val="ctr"/>
        <c:lblOffset val="100"/>
        <c:noMultiLvlLbl val="0"/>
      </c:catAx>
      <c:valAx>
        <c:axId val="615035237"/>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06010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General</c:formatCode>
                <c:ptCount val="5"/>
                <c:pt idx="0">
                  <c:v>2</c:v>
                </c:pt>
                <c:pt idx="1">
                  <c:v>1260.45</c:v>
                </c:pt>
                <c:pt idx="2">
                  <c:v>144.16</c:v>
                </c:pt>
                <c:pt idx="3">
                  <c:v>54.46</c:v>
                </c:pt>
                <c:pt idx="4">
                  <c:v>90.84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122916163324475"/>
          <c:y val="0.1342966425839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公务用车运行维护费</c:v>
                </c:pt>
                <c:pt idx="1">
                  <c:v>公务接待费</c:v>
                </c:pt>
              </c:strCache>
            </c:strRef>
          </c:cat>
          <c:val>
            <c:numRef>
              <c:f>Sheet1!$B$2:$B$3</c:f>
              <c:numCache>
                <c:formatCode>General</c:formatCode>
                <c:ptCount val="2"/>
                <c:pt idx="0">
                  <c:v>8.2</c:v>
                </c:pt>
                <c:pt idx="1">
                  <c:v>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6171</Words>
  <Characters>7124</Characters>
  <Lines>0</Lines>
  <Paragraphs>0</Paragraphs>
  <TotalTime>264</TotalTime>
  <ScaleCrop>false</ScaleCrop>
  <LinksUpToDate>false</LinksUpToDate>
  <CharactersWithSpaces>7195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2024-09-18T08:50:00Z</dcterms:created>
  <dc:creator>壤塘县人民法院</dc:creator>
  <cp:lastModifiedBy>壤塘县人民法院</cp:lastModifiedBy>
  <dcterms:modified xsi:type="dcterms:W3CDTF">2024-09-19T03:41:07Z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5EF8933F420342A588B9B471A8BB35C4_11</vt:lpwstr>
  </property>
</Properties>
</file>