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9C5F4">
      <w:pPr>
        <w:spacing w:line="600" w:lineRule="exact"/>
        <w:jc w:val="left"/>
        <w:outlineLvl w:val="0"/>
        <w:rPr>
          <w:rFonts w:ascii="方正小标宋简体" w:hAnsi="宋体" w:eastAsia="方正小标宋简体"/>
          <w:szCs w:val="21"/>
        </w:rPr>
      </w:pPr>
    </w:p>
    <w:p w14:paraId="56179BBA">
      <w:pPr>
        <w:pStyle w:val="5"/>
        <w:spacing w:before="93"/>
      </w:pPr>
    </w:p>
    <w:p w14:paraId="00172FEE">
      <w:pPr>
        <w:spacing w:line="600" w:lineRule="exact"/>
        <w:jc w:val="center"/>
        <w:outlineLvl w:val="0"/>
        <w:rPr>
          <w:rFonts w:ascii="方正小标宋简体" w:hAnsi="宋体" w:eastAsia="方正小标宋简体"/>
          <w:sz w:val="72"/>
          <w:szCs w:val="72"/>
        </w:rPr>
      </w:pPr>
    </w:p>
    <w:p w14:paraId="59546186">
      <w:pPr>
        <w:spacing w:line="600" w:lineRule="exact"/>
        <w:jc w:val="center"/>
        <w:outlineLvl w:val="0"/>
        <w:rPr>
          <w:rFonts w:ascii="方正小标宋简体" w:hAnsi="宋体" w:eastAsia="方正小标宋简体"/>
          <w:sz w:val="72"/>
          <w:szCs w:val="72"/>
        </w:rPr>
      </w:pPr>
    </w:p>
    <w:p w14:paraId="0A15840D">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0" w:name="_Toc15377425"/>
      <w:bookmarkStart w:id="1" w:name="_Toc21314"/>
      <w:bookmarkStart w:id="2" w:name="_Toc15378441"/>
      <w:bookmarkStart w:id="3" w:name="_Toc15396597"/>
      <w:bookmarkStart w:id="4" w:name="_Toc15377193"/>
      <w:bookmarkStart w:id="5" w:name="_Toc15396475"/>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5"/>
    </w:p>
    <w:p w14:paraId="4B878F8D">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bookmarkStart w:id="6" w:name="_Toc15993"/>
      <w:r>
        <w:rPr>
          <w:rFonts w:hint="eastAsia" w:ascii="方正小标宋简体" w:hAnsi="方正小标宋简体" w:eastAsia="方正小标宋简体" w:cs="方正小标宋简体"/>
          <w:sz w:val="72"/>
          <w:szCs w:val="72"/>
        </w:rPr>
        <w:t>四川省</w:t>
      </w:r>
      <w:r>
        <w:rPr>
          <w:rFonts w:hint="eastAsia" w:ascii="方正小标宋简体" w:hAnsi="方正小标宋简体" w:eastAsia="方正小标宋简体" w:cs="方正小标宋简体"/>
          <w:sz w:val="72"/>
          <w:szCs w:val="72"/>
          <w:lang w:val="en-US" w:eastAsia="zh-CN"/>
        </w:rPr>
        <w:t>红原县人民法院</w:t>
      </w:r>
      <w:bookmarkEnd w:id="6"/>
    </w:p>
    <w:p w14:paraId="1DC20814">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6941"/>
      <w:r>
        <w:rPr>
          <w:rFonts w:hint="eastAsia" w:ascii="方正小标宋简体" w:hAnsi="方正小标宋简体" w:eastAsia="方正小标宋简体" w:cs="方正小标宋简体"/>
          <w:sz w:val="72"/>
          <w:szCs w:val="72"/>
          <w:lang w:val="en-US" w:eastAsia="zh-CN"/>
        </w:rPr>
        <w:t>部门</w:t>
      </w:r>
      <w:r>
        <w:rPr>
          <w:rFonts w:hint="eastAsia" w:ascii="方正小标宋简体" w:hAnsi="方正小标宋简体" w:eastAsia="方正小标宋简体" w:cs="方正小标宋简体"/>
          <w:sz w:val="72"/>
          <w:szCs w:val="72"/>
        </w:rPr>
        <w:t>决算</w:t>
      </w:r>
      <w:bookmarkEnd w:id="7"/>
    </w:p>
    <w:p w14:paraId="64F94FEC">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14:paraId="7C869131">
      <w:pPr>
        <w:pStyle w:val="18"/>
      </w:pPr>
    </w:p>
    <w:p w14:paraId="469B2117">
      <w:pPr>
        <w:keepNext w:val="0"/>
        <w:keepLines w:val="0"/>
        <w:pageBreakBefore w:val="0"/>
        <w:widowControl w:val="0"/>
        <w:kinsoku/>
        <w:wordWrap/>
        <w:overflowPunct/>
        <w:topLinePunct w:val="0"/>
        <w:autoSpaceDE/>
        <w:autoSpaceDN/>
        <w:bidi w:val="0"/>
        <w:adjustRightInd/>
        <w:snapToGrid/>
        <w:spacing w:line="200" w:lineRule="atLeast"/>
        <w:jc w:val="center"/>
        <w:rPr>
          <w:rFonts w:hint="eastAsia" w:ascii="黑体" w:hAnsi="黑体" w:eastAsia="黑体"/>
          <w:sz w:val="44"/>
          <w:szCs w:val="44"/>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14:paraId="1981E63B">
      <w:pPr>
        <w:keepNext w:val="0"/>
        <w:keepLines w:val="0"/>
        <w:pageBreakBefore w:val="0"/>
        <w:widowControl w:val="0"/>
        <w:kinsoku/>
        <w:wordWrap/>
        <w:overflowPunct/>
        <w:topLinePunct w:val="0"/>
        <w:autoSpaceDE/>
        <w:autoSpaceDN/>
        <w:bidi w:val="0"/>
        <w:adjustRightInd/>
        <w:snapToGrid/>
        <w:spacing w:line="200" w:lineRule="atLeast"/>
        <w:jc w:val="center"/>
        <w:rPr>
          <w:rFonts w:ascii="黑体" w:hAnsi="黑体" w:eastAsia="黑体" w:cstheme="minorBidi"/>
          <w:sz w:val="48"/>
          <w:szCs w:val="48"/>
        </w:rPr>
      </w:pPr>
      <w:r>
        <w:rPr>
          <w:rFonts w:hint="eastAsia" w:ascii="黑体" w:hAnsi="黑体" w:eastAsia="黑体"/>
          <w:sz w:val="48"/>
          <w:szCs w:val="48"/>
        </w:rPr>
        <w:t>目录</w:t>
      </w:r>
    </w:p>
    <w:p w14:paraId="2B86B9DE">
      <w:pPr>
        <w:pStyle w:val="11"/>
        <w:keepNext w:val="0"/>
        <w:keepLines w:val="0"/>
        <w:pageBreakBefore w:val="0"/>
        <w:widowControl w:val="0"/>
        <w:kinsoku/>
        <w:wordWrap/>
        <w:overflowPunct/>
        <w:topLinePunct w:val="0"/>
        <w:autoSpaceDE/>
        <w:autoSpaceDN/>
        <w:bidi w:val="0"/>
        <w:adjustRightInd/>
        <w:snapToGrid/>
        <w:spacing w:line="200" w:lineRule="atLeast"/>
      </w:pPr>
      <w:r>
        <w:rPr>
          <w:rFonts w:hint="eastAsia" w:ascii="仿宋_GB2312" w:hAnsi="仿宋_GB2312" w:eastAsia="仿宋_GB2312" w:cs="仿宋_GB2312"/>
          <w:sz w:val="32"/>
          <w:szCs w:val="32"/>
        </w:rPr>
        <w:t>公开时间：202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年9月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r>
        <w:fldChar w:fldCharType="begin"/>
      </w:r>
      <w:r>
        <w:instrText xml:space="preserve">TOC \o "1-2" \h \u </w:instrText>
      </w:r>
      <w:r>
        <w:fldChar w:fldCharType="separate"/>
      </w:r>
    </w:p>
    <w:p w14:paraId="03F1D271">
      <w:pPr>
        <w:rPr>
          <w:rFonts w:hint="eastAsia" w:ascii="黑体" w:hAnsi="Cambria" w:eastAsia="黑体" w:cs="Times New Roman"/>
          <w:bCs/>
          <w:kern w:val="2"/>
          <w:sz w:val="24"/>
          <w:szCs w:val="24"/>
          <w:lang w:val="en-US" w:eastAsia="zh-CN" w:bidi="ar-SA"/>
        </w:rPr>
      </w:pPr>
      <w:r>
        <w:rPr>
          <w:rFonts w:hint="eastAsia" w:ascii="黑体" w:hAnsi="Cambria" w:eastAsia="黑体" w:cs="Times New Roman"/>
          <w:bCs/>
          <w:kern w:val="2"/>
          <w:sz w:val="24"/>
          <w:szCs w:val="24"/>
          <w:lang w:val="en-US" w:eastAsia="zh-CN" w:bidi="ar-SA"/>
        </w:rPr>
        <w:fldChar w:fldCharType="begin"/>
      </w:r>
      <w:r>
        <w:rPr>
          <w:rFonts w:hint="eastAsia" w:ascii="黑体" w:hAnsi="Cambria" w:eastAsia="黑体" w:cs="Times New Roman"/>
          <w:bCs/>
          <w:kern w:val="2"/>
          <w:sz w:val="24"/>
          <w:szCs w:val="24"/>
          <w:lang w:val="en-US" w:eastAsia="zh-CN" w:bidi="ar-SA"/>
        </w:rPr>
        <w:instrText xml:space="preserve"> HYPERLINK \l _Toc5000 </w:instrText>
      </w:r>
      <w:r>
        <w:rPr>
          <w:rFonts w:hint="eastAsia" w:ascii="黑体" w:hAnsi="Cambria" w:eastAsia="黑体" w:cs="Times New Roman"/>
          <w:bCs/>
          <w:kern w:val="2"/>
          <w:sz w:val="24"/>
          <w:szCs w:val="24"/>
          <w:lang w:val="en-US" w:eastAsia="zh-CN" w:bidi="ar-SA"/>
        </w:rPr>
        <w:fldChar w:fldCharType="separate"/>
      </w:r>
    </w:p>
    <w:p w14:paraId="266EE460">
      <w:pPr>
        <w:pStyle w:val="7"/>
        <w:bidi w:val="0"/>
        <w:ind w:left="-210" w:leftChars="-100"/>
        <w:jc w:val="left"/>
        <w:rPr>
          <w:rFonts w:hint="eastAsia"/>
          <w:sz w:val="30"/>
          <w:szCs w:val="30"/>
          <w:lang w:val="en-US" w:eastAsia="zh-CN"/>
        </w:rPr>
      </w:pPr>
      <w:r>
        <w:rPr>
          <w:rFonts w:hint="eastAsia"/>
          <w:sz w:val="30"/>
          <w:szCs w:val="30"/>
          <w:lang w:val="en-US" w:eastAsia="zh-CN"/>
        </w:rPr>
        <w:t>第一部分 部门概况</w:t>
      </w:r>
      <w:r>
        <w:rPr>
          <w:rFonts w:hint="eastAsia"/>
          <w:sz w:val="30"/>
          <w:szCs w:val="30"/>
          <w:lang w:val="en-US" w:eastAsia="zh-CN"/>
        </w:rPr>
        <w:tab/>
      </w:r>
      <w:r>
        <w:rPr>
          <w:rFonts w:hint="eastAsia"/>
          <w:sz w:val="30"/>
          <w:szCs w:val="30"/>
          <w:lang w:val="en-US" w:eastAsia="zh-CN"/>
        </w:rPr>
        <w:t>1</w:t>
      </w:r>
    </w:p>
    <w:p w14:paraId="2AB59AF8">
      <w:pPr>
        <w:pStyle w:val="7"/>
        <w:bidi w:val="0"/>
        <w:ind w:left="-210" w:leftChars="-100"/>
        <w:jc w:val="left"/>
        <w:rPr>
          <w:rFonts w:hint="eastAsia"/>
          <w:sz w:val="30"/>
          <w:szCs w:val="30"/>
          <w:lang w:val="en-US" w:eastAsia="zh-CN"/>
        </w:rPr>
      </w:pPr>
      <w:r>
        <w:rPr>
          <w:rFonts w:hint="eastAsia"/>
          <w:sz w:val="30"/>
          <w:szCs w:val="30"/>
          <w:lang w:val="en-US" w:eastAsia="zh-CN"/>
        </w:rPr>
        <w:t>一、部门职责</w:t>
      </w:r>
      <w:r>
        <w:rPr>
          <w:rFonts w:hint="eastAsia"/>
          <w:sz w:val="30"/>
          <w:szCs w:val="30"/>
          <w:lang w:val="en-US" w:eastAsia="zh-CN"/>
        </w:rPr>
        <w:tab/>
      </w:r>
      <w:r>
        <w:rPr>
          <w:rFonts w:hint="eastAsia"/>
          <w:sz w:val="30"/>
          <w:szCs w:val="30"/>
          <w:lang w:val="en-US" w:eastAsia="zh-CN"/>
        </w:rPr>
        <w:t>1</w:t>
      </w:r>
    </w:p>
    <w:p w14:paraId="60535B8A">
      <w:pPr>
        <w:pStyle w:val="7"/>
        <w:bidi w:val="0"/>
        <w:ind w:left="-210" w:leftChars="-100"/>
        <w:jc w:val="left"/>
        <w:rPr>
          <w:rFonts w:hint="eastAsia"/>
          <w:sz w:val="30"/>
          <w:szCs w:val="30"/>
          <w:lang w:val="en-US" w:eastAsia="zh-CN"/>
        </w:rPr>
      </w:pPr>
      <w:r>
        <w:rPr>
          <w:rFonts w:hint="eastAsia"/>
          <w:sz w:val="30"/>
          <w:szCs w:val="30"/>
          <w:lang w:val="en-US" w:eastAsia="zh-CN"/>
        </w:rPr>
        <w:t>二、机构设置</w:t>
      </w:r>
      <w:r>
        <w:rPr>
          <w:rFonts w:hint="eastAsia"/>
          <w:sz w:val="30"/>
          <w:szCs w:val="30"/>
          <w:lang w:val="en-US" w:eastAsia="zh-CN"/>
        </w:rPr>
        <w:tab/>
      </w:r>
      <w:r>
        <w:rPr>
          <w:rFonts w:hint="eastAsia"/>
          <w:sz w:val="30"/>
          <w:szCs w:val="30"/>
          <w:lang w:val="en-US" w:eastAsia="zh-CN"/>
        </w:rPr>
        <w:t>1</w:t>
      </w:r>
    </w:p>
    <w:p w14:paraId="438B2624">
      <w:pPr>
        <w:pStyle w:val="7"/>
        <w:bidi w:val="0"/>
        <w:ind w:left="-210" w:leftChars="-100"/>
        <w:jc w:val="left"/>
        <w:rPr>
          <w:rFonts w:hint="eastAsia"/>
          <w:sz w:val="30"/>
          <w:szCs w:val="30"/>
          <w:lang w:val="en-US" w:eastAsia="zh-CN"/>
        </w:rPr>
      </w:pPr>
      <w:r>
        <w:rPr>
          <w:rFonts w:hint="eastAsia"/>
          <w:sz w:val="30"/>
          <w:szCs w:val="30"/>
          <w:lang w:val="en-US" w:eastAsia="zh-CN"/>
        </w:rPr>
        <w:t>第二部分 2024年度部门决算情况说明</w:t>
      </w:r>
      <w:r>
        <w:rPr>
          <w:rFonts w:hint="eastAsia"/>
          <w:sz w:val="30"/>
          <w:szCs w:val="30"/>
          <w:lang w:val="en-US" w:eastAsia="zh-CN"/>
        </w:rPr>
        <w:tab/>
      </w:r>
      <w:r>
        <w:rPr>
          <w:rFonts w:hint="eastAsia"/>
          <w:sz w:val="30"/>
          <w:szCs w:val="30"/>
          <w:lang w:val="en-US" w:eastAsia="zh-CN"/>
        </w:rPr>
        <w:t>2</w:t>
      </w:r>
    </w:p>
    <w:p w14:paraId="5CD04E0C">
      <w:pPr>
        <w:pStyle w:val="7"/>
        <w:bidi w:val="0"/>
        <w:ind w:left="-210" w:leftChars="-100"/>
        <w:jc w:val="left"/>
        <w:rPr>
          <w:rFonts w:hint="eastAsia"/>
          <w:sz w:val="30"/>
          <w:szCs w:val="30"/>
          <w:lang w:val="en-US" w:eastAsia="zh-CN"/>
        </w:rPr>
      </w:pPr>
      <w:r>
        <w:rPr>
          <w:rFonts w:hint="eastAsia"/>
          <w:sz w:val="30"/>
          <w:szCs w:val="30"/>
          <w:lang w:val="en-US" w:eastAsia="zh-CN"/>
        </w:rPr>
        <w:t>一、 收入支出决算总体情况说明</w:t>
      </w:r>
      <w:r>
        <w:rPr>
          <w:rFonts w:hint="eastAsia"/>
          <w:sz w:val="30"/>
          <w:szCs w:val="30"/>
          <w:lang w:val="en-US" w:eastAsia="zh-CN"/>
        </w:rPr>
        <w:tab/>
      </w:r>
      <w:r>
        <w:rPr>
          <w:rFonts w:hint="eastAsia"/>
          <w:sz w:val="30"/>
          <w:szCs w:val="30"/>
          <w:lang w:val="en-US" w:eastAsia="zh-CN"/>
        </w:rPr>
        <w:t>2</w:t>
      </w:r>
    </w:p>
    <w:p w14:paraId="1093DC62">
      <w:pPr>
        <w:pStyle w:val="7"/>
        <w:bidi w:val="0"/>
        <w:ind w:left="-210" w:leftChars="-100"/>
        <w:jc w:val="left"/>
        <w:rPr>
          <w:rFonts w:hint="eastAsia"/>
          <w:sz w:val="30"/>
          <w:szCs w:val="30"/>
          <w:lang w:val="en-US" w:eastAsia="zh-CN"/>
        </w:rPr>
      </w:pPr>
      <w:r>
        <w:rPr>
          <w:rFonts w:hint="eastAsia"/>
          <w:sz w:val="30"/>
          <w:szCs w:val="30"/>
          <w:lang w:val="en-US" w:eastAsia="zh-CN"/>
        </w:rPr>
        <w:t>二、 收入决算情况说明</w:t>
      </w:r>
      <w:r>
        <w:rPr>
          <w:rFonts w:hint="eastAsia"/>
          <w:sz w:val="30"/>
          <w:szCs w:val="30"/>
          <w:lang w:val="en-US" w:eastAsia="zh-CN"/>
        </w:rPr>
        <w:tab/>
      </w:r>
      <w:r>
        <w:rPr>
          <w:rFonts w:hint="eastAsia"/>
          <w:sz w:val="30"/>
          <w:szCs w:val="30"/>
          <w:lang w:val="en-US" w:eastAsia="zh-CN"/>
        </w:rPr>
        <w:t>2</w:t>
      </w:r>
    </w:p>
    <w:p w14:paraId="606F1010">
      <w:pPr>
        <w:pStyle w:val="7"/>
        <w:bidi w:val="0"/>
        <w:ind w:left="-210" w:leftChars="-100"/>
        <w:jc w:val="left"/>
        <w:rPr>
          <w:rFonts w:hint="eastAsia"/>
          <w:sz w:val="30"/>
          <w:szCs w:val="30"/>
          <w:lang w:val="en-US" w:eastAsia="zh-CN"/>
        </w:rPr>
      </w:pPr>
      <w:r>
        <w:rPr>
          <w:rFonts w:hint="eastAsia"/>
          <w:sz w:val="30"/>
          <w:szCs w:val="30"/>
          <w:lang w:val="en-US" w:eastAsia="zh-CN"/>
        </w:rPr>
        <w:t>三、 支出决算情况说明</w:t>
      </w:r>
      <w:r>
        <w:rPr>
          <w:rFonts w:hint="eastAsia"/>
          <w:sz w:val="30"/>
          <w:szCs w:val="30"/>
          <w:lang w:val="en-US" w:eastAsia="zh-CN"/>
        </w:rPr>
        <w:tab/>
      </w:r>
      <w:r>
        <w:rPr>
          <w:rFonts w:hint="eastAsia"/>
          <w:sz w:val="30"/>
          <w:szCs w:val="30"/>
          <w:lang w:val="en-US" w:eastAsia="zh-CN"/>
        </w:rPr>
        <w:t>3</w:t>
      </w:r>
    </w:p>
    <w:p w14:paraId="66814DDD">
      <w:pPr>
        <w:pStyle w:val="7"/>
        <w:bidi w:val="0"/>
        <w:ind w:left="-210" w:leftChars="-100"/>
        <w:jc w:val="left"/>
        <w:rPr>
          <w:rFonts w:hint="eastAsia"/>
          <w:sz w:val="30"/>
          <w:szCs w:val="30"/>
          <w:lang w:val="en-US" w:eastAsia="zh-CN"/>
        </w:rPr>
      </w:pPr>
      <w:r>
        <w:rPr>
          <w:rFonts w:hint="eastAsia"/>
          <w:sz w:val="30"/>
          <w:szCs w:val="30"/>
          <w:lang w:val="en-US" w:eastAsia="zh-CN"/>
        </w:rPr>
        <w:t>四、财政拨款收入支出决算总体情况说明</w:t>
      </w:r>
      <w:r>
        <w:rPr>
          <w:rFonts w:hint="eastAsia"/>
          <w:sz w:val="30"/>
          <w:szCs w:val="30"/>
          <w:lang w:val="en-US" w:eastAsia="zh-CN"/>
        </w:rPr>
        <w:tab/>
      </w:r>
      <w:r>
        <w:rPr>
          <w:rFonts w:hint="eastAsia"/>
          <w:sz w:val="30"/>
          <w:szCs w:val="30"/>
          <w:lang w:val="en-US" w:eastAsia="zh-CN"/>
        </w:rPr>
        <w:t>4</w:t>
      </w:r>
    </w:p>
    <w:p w14:paraId="0238DB27">
      <w:pPr>
        <w:pStyle w:val="7"/>
        <w:bidi w:val="0"/>
        <w:ind w:left="-210" w:leftChars="-100"/>
        <w:jc w:val="left"/>
        <w:rPr>
          <w:rFonts w:hint="eastAsia"/>
          <w:sz w:val="30"/>
          <w:szCs w:val="30"/>
          <w:lang w:val="en-US" w:eastAsia="zh-CN"/>
        </w:rPr>
      </w:pPr>
      <w:r>
        <w:rPr>
          <w:rFonts w:hint="eastAsia"/>
          <w:sz w:val="30"/>
          <w:szCs w:val="30"/>
          <w:lang w:val="en-US" w:eastAsia="zh-CN"/>
        </w:rPr>
        <w:t>五、一般公共预算财政拨款支出决算情况说明</w:t>
      </w:r>
      <w:r>
        <w:rPr>
          <w:rFonts w:hint="eastAsia"/>
          <w:sz w:val="30"/>
          <w:szCs w:val="30"/>
          <w:lang w:val="en-US" w:eastAsia="zh-CN"/>
        </w:rPr>
        <w:tab/>
      </w:r>
      <w:r>
        <w:rPr>
          <w:rFonts w:hint="eastAsia"/>
          <w:sz w:val="30"/>
          <w:szCs w:val="30"/>
          <w:lang w:val="en-US" w:eastAsia="zh-CN"/>
        </w:rPr>
        <w:t>4</w:t>
      </w:r>
    </w:p>
    <w:p w14:paraId="42F3842E">
      <w:pPr>
        <w:pStyle w:val="7"/>
        <w:bidi w:val="0"/>
        <w:ind w:left="-210" w:leftChars="-100"/>
        <w:jc w:val="left"/>
        <w:rPr>
          <w:rFonts w:hint="eastAsia"/>
          <w:sz w:val="30"/>
          <w:szCs w:val="30"/>
          <w:lang w:val="en-US" w:eastAsia="zh-CN"/>
        </w:rPr>
      </w:pPr>
      <w:r>
        <w:rPr>
          <w:rFonts w:hint="eastAsia"/>
          <w:sz w:val="30"/>
          <w:szCs w:val="30"/>
          <w:lang w:val="en-US" w:eastAsia="zh-CN"/>
        </w:rPr>
        <w:t>（一）一般公共预算财政拨款支出决算总体情况</w:t>
      </w:r>
      <w:r>
        <w:rPr>
          <w:rFonts w:hint="eastAsia"/>
          <w:sz w:val="30"/>
          <w:szCs w:val="30"/>
          <w:lang w:val="en-US" w:eastAsia="zh-CN"/>
        </w:rPr>
        <w:tab/>
      </w:r>
      <w:r>
        <w:rPr>
          <w:rFonts w:hint="eastAsia"/>
          <w:sz w:val="30"/>
          <w:szCs w:val="30"/>
          <w:lang w:val="en-US" w:eastAsia="zh-CN"/>
        </w:rPr>
        <w:t>4</w:t>
      </w:r>
    </w:p>
    <w:p w14:paraId="4FFB6774">
      <w:pPr>
        <w:pStyle w:val="7"/>
        <w:bidi w:val="0"/>
        <w:ind w:left="-210" w:leftChars="-100"/>
        <w:jc w:val="left"/>
        <w:rPr>
          <w:rFonts w:hint="eastAsia"/>
          <w:sz w:val="30"/>
          <w:szCs w:val="30"/>
          <w:lang w:val="en-US" w:eastAsia="zh-CN"/>
        </w:rPr>
      </w:pPr>
      <w:r>
        <w:rPr>
          <w:rFonts w:hint="eastAsia"/>
          <w:sz w:val="30"/>
          <w:szCs w:val="30"/>
          <w:lang w:val="en-US" w:eastAsia="zh-CN"/>
        </w:rPr>
        <w:t>（二）一般公共预算财政拨款支出决算结构情况</w:t>
      </w:r>
      <w:r>
        <w:rPr>
          <w:rFonts w:hint="eastAsia"/>
          <w:sz w:val="30"/>
          <w:szCs w:val="30"/>
          <w:lang w:val="en-US" w:eastAsia="zh-CN"/>
        </w:rPr>
        <w:tab/>
      </w:r>
      <w:r>
        <w:rPr>
          <w:rFonts w:hint="eastAsia"/>
          <w:sz w:val="30"/>
          <w:szCs w:val="30"/>
          <w:lang w:val="en-US" w:eastAsia="zh-CN"/>
        </w:rPr>
        <w:t>5</w:t>
      </w:r>
    </w:p>
    <w:p w14:paraId="5CBC96D6">
      <w:pPr>
        <w:pStyle w:val="7"/>
        <w:bidi w:val="0"/>
        <w:ind w:left="-210" w:leftChars="-100"/>
        <w:jc w:val="left"/>
        <w:rPr>
          <w:rFonts w:hint="eastAsia"/>
          <w:sz w:val="30"/>
          <w:szCs w:val="30"/>
          <w:lang w:val="en-US" w:eastAsia="zh-CN"/>
        </w:rPr>
      </w:pPr>
      <w:r>
        <w:rPr>
          <w:rFonts w:hint="eastAsia"/>
          <w:sz w:val="30"/>
          <w:szCs w:val="30"/>
          <w:lang w:val="en-US" w:eastAsia="zh-CN"/>
        </w:rPr>
        <w:t>（三）一般公共预算财政拨款支出决算具体情况</w:t>
      </w:r>
      <w:r>
        <w:rPr>
          <w:rFonts w:hint="eastAsia"/>
          <w:sz w:val="30"/>
          <w:szCs w:val="30"/>
          <w:lang w:val="en-US" w:eastAsia="zh-CN"/>
        </w:rPr>
        <w:tab/>
      </w:r>
      <w:r>
        <w:rPr>
          <w:rFonts w:hint="eastAsia"/>
          <w:sz w:val="30"/>
          <w:szCs w:val="30"/>
          <w:lang w:val="en-US" w:eastAsia="zh-CN"/>
        </w:rPr>
        <w:t>6</w:t>
      </w:r>
    </w:p>
    <w:p w14:paraId="7449F0B0">
      <w:pPr>
        <w:pStyle w:val="7"/>
        <w:bidi w:val="0"/>
        <w:ind w:left="-210" w:leftChars="-100"/>
        <w:jc w:val="left"/>
        <w:rPr>
          <w:rFonts w:hint="eastAsia"/>
          <w:sz w:val="30"/>
          <w:szCs w:val="30"/>
          <w:lang w:val="en-US" w:eastAsia="zh-CN"/>
        </w:rPr>
      </w:pPr>
      <w:r>
        <w:rPr>
          <w:rFonts w:hint="eastAsia"/>
          <w:sz w:val="30"/>
          <w:szCs w:val="30"/>
          <w:lang w:val="en-US" w:eastAsia="zh-CN"/>
        </w:rPr>
        <w:t>六、一般公共预算财政拨款基本支出决算情况说明</w:t>
      </w:r>
      <w:r>
        <w:rPr>
          <w:rFonts w:hint="eastAsia"/>
          <w:sz w:val="30"/>
          <w:szCs w:val="30"/>
          <w:lang w:val="en-US" w:eastAsia="zh-CN"/>
        </w:rPr>
        <w:tab/>
      </w:r>
      <w:r>
        <w:rPr>
          <w:rFonts w:hint="eastAsia"/>
          <w:sz w:val="30"/>
          <w:szCs w:val="30"/>
          <w:lang w:val="en-US" w:eastAsia="zh-CN"/>
        </w:rPr>
        <w:t>6</w:t>
      </w:r>
    </w:p>
    <w:p w14:paraId="5F0230C0">
      <w:pPr>
        <w:pStyle w:val="7"/>
        <w:bidi w:val="0"/>
        <w:ind w:left="-210" w:leftChars="-100"/>
        <w:jc w:val="left"/>
        <w:rPr>
          <w:rFonts w:hint="eastAsia"/>
          <w:sz w:val="30"/>
          <w:szCs w:val="30"/>
          <w:lang w:val="en-US" w:eastAsia="zh-CN"/>
        </w:rPr>
      </w:pPr>
      <w:r>
        <w:rPr>
          <w:rFonts w:hint="eastAsia"/>
          <w:sz w:val="30"/>
          <w:szCs w:val="30"/>
          <w:lang w:val="en-US" w:eastAsia="zh-CN"/>
        </w:rPr>
        <w:t>七、财政拨款“三公”经费支出决算情况说明</w:t>
      </w:r>
      <w:r>
        <w:rPr>
          <w:rFonts w:hint="eastAsia"/>
          <w:sz w:val="30"/>
          <w:szCs w:val="30"/>
          <w:lang w:val="en-US" w:eastAsia="zh-CN"/>
        </w:rPr>
        <w:tab/>
      </w:r>
      <w:r>
        <w:rPr>
          <w:rFonts w:hint="eastAsia"/>
          <w:sz w:val="30"/>
          <w:szCs w:val="30"/>
          <w:lang w:val="en-US" w:eastAsia="zh-CN"/>
        </w:rPr>
        <w:t>7</w:t>
      </w:r>
    </w:p>
    <w:p w14:paraId="170403F7">
      <w:pPr>
        <w:pStyle w:val="7"/>
        <w:bidi w:val="0"/>
        <w:ind w:left="-210" w:leftChars="-100"/>
        <w:jc w:val="left"/>
        <w:rPr>
          <w:rFonts w:hint="eastAsia"/>
          <w:sz w:val="30"/>
          <w:szCs w:val="30"/>
          <w:lang w:val="en-US" w:eastAsia="zh-CN"/>
        </w:rPr>
      </w:pPr>
      <w:r>
        <w:rPr>
          <w:rFonts w:hint="eastAsia"/>
          <w:sz w:val="30"/>
          <w:szCs w:val="30"/>
          <w:lang w:val="en-US" w:eastAsia="zh-CN"/>
        </w:rPr>
        <w:t>（一）“三公”经费财政拨款支出决算总体情况说明</w:t>
      </w:r>
      <w:r>
        <w:rPr>
          <w:rFonts w:hint="eastAsia"/>
          <w:sz w:val="30"/>
          <w:szCs w:val="30"/>
          <w:lang w:val="en-US" w:eastAsia="zh-CN"/>
        </w:rPr>
        <w:tab/>
      </w:r>
      <w:r>
        <w:rPr>
          <w:rFonts w:hint="eastAsia"/>
          <w:sz w:val="30"/>
          <w:szCs w:val="30"/>
          <w:lang w:val="en-US" w:eastAsia="zh-CN"/>
        </w:rPr>
        <w:t>7</w:t>
      </w:r>
    </w:p>
    <w:p w14:paraId="539C79CC">
      <w:pPr>
        <w:pStyle w:val="7"/>
        <w:bidi w:val="0"/>
        <w:ind w:left="-210" w:leftChars="-100"/>
        <w:jc w:val="left"/>
        <w:rPr>
          <w:rFonts w:hint="eastAsia"/>
          <w:sz w:val="30"/>
          <w:szCs w:val="30"/>
          <w:lang w:val="en-US" w:eastAsia="zh-CN"/>
        </w:rPr>
      </w:pPr>
      <w:r>
        <w:rPr>
          <w:rFonts w:hint="eastAsia"/>
          <w:sz w:val="30"/>
          <w:szCs w:val="30"/>
          <w:lang w:val="en-US" w:eastAsia="zh-CN"/>
        </w:rPr>
        <w:t>（二）“三公”经费财政拨款支出决算具体情况说明</w:t>
      </w:r>
      <w:r>
        <w:rPr>
          <w:rFonts w:hint="eastAsia"/>
          <w:sz w:val="30"/>
          <w:szCs w:val="30"/>
          <w:lang w:val="en-US" w:eastAsia="zh-CN"/>
        </w:rPr>
        <w:tab/>
      </w:r>
      <w:r>
        <w:rPr>
          <w:rFonts w:hint="eastAsia"/>
          <w:sz w:val="30"/>
          <w:szCs w:val="30"/>
          <w:lang w:val="en-US" w:eastAsia="zh-CN"/>
        </w:rPr>
        <w:t>7</w:t>
      </w:r>
    </w:p>
    <w:p w14:paraId="5ADDE93A">
      <w:pPr>
        <w:pStyle w:val="7"/>
        <w:bidi w:val="0"/>
        <w:ind w:left="-210" w:leftChars="-100"/>
        <w:jc w:val="left"/>
        <w:rPr>
          <w:rFonts w:hint="eastAsia"/>
          <w:sz w:val="30"/>
          <w:szCs w:val="30"/>
          <w:lang w:val="en-US" w:eastAsia="zh-CN"/>
        </w:rPr>
      </w:pPr>
      <w:r>
        <w:rPr>
          <w:rFonts w:hint="eastAsia"/>
          <w:sz w:val="30"/>
          <w:szCs w:val="30"/>
          <w:lang w:val="en-US" w:eastAsia="zh-CN"/>
        </w:rPr>
        <w:t>八、政府性基金预算支出决算情况说明</w:t>
      </w:r>
      <w:r>
        <w:rPr>
          <w:rFonts w:hint="eastAsia"/>
          <w:sz w:val="30"/>
          <w:szCs w:val="30"/>
          <w:lang w:val="en-US" w:eastAsia="zh-CN"/>
        </w:rPr>
        <w:tab/>
      </w:r>
      <w:r>
        <w:rPr>
          <w:rFonts w:hint="eastAsia"/>
          <w:sz w:val="30"/>
          <w:szCs w:val="30"/>
          <w:lang w:val="en-US" w:eastAsia="zh-CN"/>
        </w:rPr>
        <w:t>9</w:t>
      </w:r>
    </w:p>
    <w:p w14:paraId="7284E493">
      <w:pPr>
        <w:pStyle w:val="7"/>
        <w:bidi w:val="0"/>
        <w:ind w:left="-210" w:leftChars="-100"/>
        <w:jc w:val="left"/>
        <w:rPr>
          <w:rFonts w:hint="eastAsia"/>
          <w:sz w:val="30"/>
          <w:szCs w:val="30"/>
          <w:lang w:val="en-US" w:eastAsia="zh-CN"/>
        </w:rPr>
      </w:pPr>
      <w:r>
        <w:rPr>
          <w:rFonts w:hint="eastAsia"/>
          <w:sz w:val="30"/>
          <w:szCs w:val="30"/>
          <w:lang w:val="en-US" w:eastAsia="zh-CN"/>
        </w:rPr>
        <w:t>九、 国有资本经营预算支出决算情况说明</w:t>
      </w:r>
      <w:r>
        <w:rPr>
          <w:rFonts w:hint="eastAsia"/>
          <w:sz w:val="30"/>
          <w:szCs w:val="30"/>
          <w:lang w:val="en-US" w:eastAsia="zh-CN"/>
        </w:rPr>
        <w:tab/>
      </w:r>
      <w:r>
        <w:rPr>
          <w:rFonts w:hint="eastAsia"/>
          <w:sz w:val="30"/>
          <w:szCs w:val="30"/>
          <w:lang w:val="en-US" w:eastAsia="zh-CN"/>
        </w:rPr>
        <w:t>9</w:t>
      </w:r>
    </w:p>
    <w:p w14:paraId="2DD3073F">
      <w:pPr>
        <w:pStyle w:val="7"/>
        <w:bidi w:val="0"/>
        <w:ind w:left="-210" w:leftChars="-100"/>
        <w:jc w:val="left"/>
        <w:rPr>
          <w:rFonts w:hint="eastAsia"/>
          <w:sz w:val="30"/>
          <w:szCs w:val="30"/>
          <w:lang w:val="en-US" w:eastAsia="zh-CN"/>
        </w:rPr>
      </w:pPr>
      <w:r>
        <w:rPr>
          <w:rFonts w:hint="eastAsia"/>
          <w:sz w:val="30"/>
          <w:szCs w:val="30"/>
          <w:lang w:val="en-US" w:eastAsia="zh-CN"/>
        </w:rPr>
        <w:t>十、 其他重要事项的情况说明</w:t>
      </w:r>
      <w:r>
        <w:rPr>
          <w:rFonts w:hint="eastAsia"/>
          <w:sz w:val="30"/>
          <w:szCs w:val="30"/>
          <w:lang w:val="en-US" w:eastAsia="zh-CN"/>
        </w:rPr>
        <w:tab/>
      </w:r>
      <w:r>
        <w:rPr>
          <w:rFonts w:hint="eastAsia"/>
          <w:sz w:val="30"/>
          <w:szCs w:val="30"/>
          <w:lang w:val="en-US" w:eastAsia="zh-CN"/>
        </w:rPr>
        <w:t>9</w:t>
      </w:r>
    </w:p>
    <w:p w14:paraId="2CFB2CCB">
      <w:pPr>
        <w:pStyle w:val="7"/>
        <w:bidi w:val="0"/>
        <w:ind w:left="-210" w:leftChars="-100"/>
        <w:jc w:val="left"/>
        <w:rPr>
          <w:rFonts w:hint="eastAsia"/>
          <w:sz w:val="30"/>
          <w:szCs w:val="30"/>
          <w:lang w:val="en-US" w:eastAsia="zh-CN"/>
        </w:rPr>
        <w:sectPr>
          <w:footerReference r:id="rId6" w:type="first"/>
          <w:footerReference r:id="rId5" w:type="default"/>
          <w:pgSz w:w="11906" w:h="16838"/>
          <w:pgMar w:top="1440" w:right="1800" w:bottom="1440" w:left="1800" w:header="851" w:footer="992" w:gutter="0"/>
          <w:pgNumType w:fmt="numberInDash" w:start="1"/>
          <w:cols w:space="425" w:num="1"/>
          <w:docGrid w:type="lines" w:linePitch="312" w:charSpace="0"/>
        </w:sectPr>
      </w:pPr>
    </w:p>
    <w:p w14:paraId="4B46533E">
      <w:pPr>
        <w:pStyle w:val="7"/>
        <w:bidi w:val="0"/>
        <w:ind w:left="-210" w:leftChars="-100"/>
        <w:jc w:val="left"/>
        <w:rPr>
          <w:rFonts w:hint="eastAsia"/>
          <w:sz w:val="30"/>
          <w:szCs w:val="30"/>
          <w:lang w:val="en-US" w:eastAsia="zh-CN"/>
        </w:rPr>
      </w:pPr>
      <w:r>
        <w:rPr>
          <w:rFonts w:hint="eastAsia"/>
          <w:sz w:val="30"/>
          <w:szCs w:val="30"/>
          <w:lang w:val="en-US" w:eastAsia="zh-CN"/>
        </w:rPr>
        <w:t>（一）机关运行经费支出情况</w:t>
      </w:r>
      <w:r>
        <w:rPr>
          <w:rFonts w:hint="eastAsia"/>
          <w:sz w:val="30"/>
          <w:szCs w:val="30"/>
          <w:lang w:val="en-US" w:eastAsia="zh-CN"/>
        </w:rPr>
        <w:tab/>
      </w:r>
      <w:r>
        <w:rPr>
          <w:rFonts w:hint="eastAsia"/>
          <w:sz w:val="30"/>
          <w:szCs w:val="30"/>
          <w:lang w:val="en-US" w:eastAsia="zh-CN"/>
        </w:rPr>
        <w:t>9</w:t>
      </w:r>
    </w:p>
    <w:p w14:paraId="4435C5DD">
      <w:pPr>
        <w:pStyle w:val="7"/>
        <w:bidi w:val="0"/>
        <w:ind w:left="-210" w:leftChars="-100"/>
        <w:jc w:val="left"/>
        <w:rPr>
          <w:rFonts w:hint="eastAsia"/>
          <w:sz w:val="30"/>
          <w:szCs w:val="30"/>
          <w:lang w:val="en-US" w:eastAsia="zh-CN"/>
        </w:rPr>
      </w:pPr>
      <w:r>
        <w:rPr>
          <w:rFonts w:hint="eastAsia"/>
          <w:sz w:val="30"/>
          <w:szCs w:val="30"/>
          <w:lang w:val="en-US" w:eastAsia="zh-CN"/>
        </w:rPr>
        <w:t>（二）政府采购支出情况</w:t>
      </w:r>
      <w:r>
        <w:rPr>
          <w:rFonts w:hint="eastAsia"/>
          <w:sz w:val="30"/>
          <w:szCs w:val="30"/>
          <w:lang w:val="en-US" w:eastAsia="zh-CN"/>
        </w:rPr>
        <w:tab/>
      </w:r>
      <w:r>
        <w:rPr>
          <w:rFonts w:hint="eastAsia"/>
          <w:sz w:val="30"/>
          <w:szCs w:val="30"/>
          <w:lang w:val="en-US" w:eastAsia="zh-CN"/>
        </w:rPr>
        <w:t>10</w:t>
      </w:r>
    </w:p>
    <w:p w14:paraId="3B3D7E42">
      <w:pPr>
        <w:pStyle w:val="7"/>
        <w:bidi w:val="0"/>
        <w:ind w:left="-210" w:leftChars="-100"/>
        <w:jc w:val="left"/>
        <w:rPr>
          <w:rFonts w:hint="eastAsia"/>
          <w:sz w:val="30"/>
          <w:szCs w:val="30"/>
          <w:lang w:val="en-US" w:eastAsia="zh-CN"/>
        </w:rPr>
      </w:pPr>
      <w:r>
        <w:rPr>
          <w:rFonts w:hint="eastAsia"/>
          <w:sz w:val="30"/>
          <w:szCs w:val="30"/>
          <w:lang w:val="en-US" w:eastAsia="zh-CN"/>
        </w:rPr>
        <w:t>（三）国有资产占有使用情况</w:t>
      </w:r>
      <w:r>
        <w:rPr>
          <w:rFonts w:hint="eastAsia"/>
          <w:sz w:val="30"/>
          <w:szCs w:val="30"/>
          <w:lang w:val="en-US" w:eastAsia="zh-CN"/>
        </w:rPr>
        <w:tab/>
      </w:r>
      <w:r>
        <w:rPr>
          <w:rFonts w:hint="eastAsia"/>
          <w:sz w:val="30"/>
          <w:szCs w:val="30"/>
          <w:lang w:val="en-US" w:eastAsia="zh-CN"/>
        </w:rPr>
        <w:t>10</w:t>
      </w:r>
    </w:p>
    <w:p w14:paraId="7BAF59BE">
      <w:pPr>
        <w:pStyle w:val="7"/>
        <w:bidi w:val="0"/>
        <w:ind w:left="-210" w:leftChars="-100"/>
        <w:jc w:val="left"/>
        <w:rPr>
          <w:rFonts w:hint="eastAsia"/>
          <w:sz w:val="30"/>
          <w:szCs w:val="30"/>
          <w:lang w:val="en-US" w:eastAsia="zh-CN"/>
        </w:rPr>
      </w:pPr>
      <w:r>
        <w:rPr>
          <w:rFonts w:hint="eastAsia"/>
          <w:sz w:val="30"/>
          <w:szCs w:val="30"/>
          <w:lang w:val="en-US" w:eastAsia="zh-CN"/>
        </w:rPr>
        <w:t>（四）预算绩效管理情况</w:t>
      </w:r>
      <w:r>
        <w:rPr>
          <w:rFonts w:hint="eastAsia"/>
          <w:sz w:val="30"/>
          <w:szCs w:val="30"/>
          <w:lang w:val="en-US" w:eastAsia="zh-CN"/>
        </w:rPr>
        <w:tab/>
      </w:r>
      <w:r>
        <w:rPr>
          <w:rFonts w:hint="eastAsia"/>
          <w:sz w:val="30"/>
          <w:szCs w:val="30"/>
          <w:lang w:val="en-US" w:eastAsia="zh-CN"/>
        </w:rPr>
        <w:t>11</w:t>
      </w:r>
    </w:p>
    <w:p w14:paraId="68FB2D89">
      <w:pPr>
        <w:pStyle w:val="7"/>
        <w:bidi w:val="0"/>
        <w:ind w:left="-210" w:leftChars="-100"/>
        <w:jc w:val="left"/>
        <w:rPr>
          <w:rFonts w:hint="eastAsia"/>
          <w:sz w:val="30"/>
          <w:szCs w:val="30"/>
          <w:lang w:val="en-US" w:eastAsia="zh-CN"/>
        </w:rPr>
      </w:pPr>
      <w:r>
        <w:rPr>
          <w:rFonts w:hint="eastAsia"/>
          <w:sz w:val="30"/>
          <w:szCs w:val="30"/>
          <w:lang w:val="en-US" w:eastAsia="zh-CN"/>
        </w:rPr>
        <w:t>第三部分 名词解释</w:t>
      </w:r>
      <w:r>
        <w:rPr>
          <w:rFonts w:hint="eastAsia"/>
          <w:sz w:val="30"/>
          <w:szCs w:val="30"/>
          <w:lang w:val="en-US" w:eastAsia="zh-CN"/>
        </w:rPr>
        <w:tab/>
      </w:r>
      <w:r>
        <w:rPr>
          <w:rFonts w:hint="eastAsia"/>
          <w:sz w:val="30"/>
          <w:szCs w:val="30"/>
          <w:lang w:val="en-US" w:eastAsia="zh-CN"/>
        </w:rPr>
        <w:t>12</w:t>
      </w:r>
    </w:p>
    <w:p w14:paraId="6E17F022">
      <w:pPr>
        <w:pStyle w:val="7"/>
        <w:bidi w:val="0"/>
        <w:ind w:left="-210" w:leftChars="-100"/>
        <w:jc w:val="left"/>
        <w:rPr>
          <w:rFonts w:hint="eastAsia"/>
          <w:sz w:val="30"/>
          <w:szCs w:val="30"/>
          <w:lang w:val="en-US" w:eastAsia="zh-CN"/>
        </w:rPr>
      </w:pPr>
      <w:r>
        <w:rPr>
          <w:rFonts w:hint="eastAsia"/>
          <w:sz w:val="30"/>
          <w:szCs w:val="30"/>
          <w:lang w:val="en-US" w:eastAsia="zh-CN"/>
        </w:rPr>
        <w:t>第四部分 附件</w:t>
      </w:r>
      <w:r>
        <w:rPr>
          <w:rFonts w:hint="eastAsia"/>
          <w:sz w:val="30"/>
          <w:szCs w:val="30"/>
          <w:lang w:val="en-US" w:eastAsia="zh-CN"/>
        </w:rPr>
        <w:tab/>
      </w:r>
      <w:r>
        <w:rPr>
          <w:rFonts w:hint="eastAsia"/>
          <w:sz w:val="30"/>
          <w:szCs w:val="30"/>
          <w:lang w:val="en-US" w:eastAsia="zh-CN"/>
        </w:rPr>
        <w:t>14</w:t>
      </w:r>
    </w:p>
    <w:p w14:paraId="5334095D">
      <w:pPr>
        <w:pStyle w:val="7"/>
        <w:bidi w:val="0"/>
        <w:ind w:left="-210" w:leftChars="-100"/>
        <w:jc w:val="left"/>
        <w:rPr>
          <w:rFonts w:hint="eastAsia"/>
          <w:sz w:val="30"/>
          <w:szCs w:val="30"/>
          <w:lang w:val="en-US" w:eastAsia="zh-CN"/>
        </w:rPr>
      </w:pPr>
      <w:r>
        <w:rPr>
          <w:rFonts w:hint="eastAsia"/>
          <w:sz w:val="30"/>
          <w:szCs w:val="30"/>
          <w:lang w:val="en-US" w:eastAsia="zh-CN"/>
        </w:rPr>
        <w:t>附件 2024年度部门预算绩效评价报告</w:t>
      </w:r>
      <w:r>
        <w:rPr>
          <w:rFonts w:hint="eastAsia"/>
          <w:sz w:val="30"/>
          <w:szCs w:val="30"/>
          <w:lang w:val="en-US" w:eastAsia="zh-CN"/>
        </w:rPr>
        <w:tab/>
      </w:r>
      <w:r>
        <w:rPr>
          <w:rFonts w:hint="eastAsia"/>
          <w:sz w:val="30"/>
          <w:szCs w:val="30"/>
          <w:lang w:val="en-US" w:eastAsia="zh-CN"/>
        </w:rPr>
        <w:t>14</w:t>
      </w:r>
    </w:p>
    <w:p w14:paraId="1ED669FE">
      <w:pPr>
        <w:pStyle w:val="7"/>
        <w:bidi w:val="0"/>
        <w:ind w:left="-210" w:leftChars="-100"/>
        <w:jc w:val="left"/>
        <w:rPr>
          <w:rFonts w:hint="eastAsia"/>
          <w:sz w:val="30"/>
          <w:szCs w:val="30"/>
          <w:lang w:val="en-US" w:eastAsia="zh-CN"/>
        </w:rPr>
      </w:pPr>
      <w:r>
        <w:rPr>
          <w:rFonts w:hint="eastAsia"/>
          <w:sz w:val="30"/>
          <w:szCs w:val="30"/>
          <w:lang w:val="en-US" w:eastAsia="zh-CN"/>
        </w:rPr>
        <w:t>附件 部门预算项目支出绩效自评表（2024年度）</w:t>
      </w:r>
      <w:r>
        <w:rPr>
          <w:rFonts w:hint="eastAsia"/>
          <w:sz w:val="30"/>
          <w:szCs w:val="30"/>
          <w:lang w:val="en-US" w:eastAsia="zh-CN"/>
        </w:rPr>
        <w:tab/>
      </w:r>
      <w:r>
        <w:rPr>
          <w:rFonts w:hint="eastAsia"/>
          <w:sz w:val="30"/>
          <w:szCs w:val="30"/>
          <w:lang w:val="en-US" w:eastAsia="zh-CN"/>
        </w:rPr>
        <w:t>23</w:t>
      </w:r>
    </w:p>
    <w:p w14:paraId="182A2C44">
      <w:pPr>
        <w:pStyle w:val="7"/>
        <w:bidi w:val="0"/>
        <w:ind w:left="-210" w:leftChars="-100"/>
        <w:jc w:val="left"/>
        <w:rPr>
          <w:rFonts w:hint="eastAsia"/>
          <w:sz w:val="30"/>
          <w:szCs w:val="30"/>
          <w:lang w:val="en-US" w:eastAsia="zh-CN"/>
        </w:rPr>
      </w:pPr>
      <w:r>
        <w:rPr>
          <w:rFonts w:hint="eastAsia"/>
          <w:sz w:val="30"/>
          <w:szCs w:val="30"/>
          <w:lang w:val="en-US" w:eastAsia="zh-CN"/>
        </w:rPr>
        <w:t xml:space="preserve">    第五部分 附表</w:t>
      </w:r>
      <w:r>
        <w:rPr>
          <w:rFonts w:hint="eastAsia"/>
          <w:sz w:val="30"/>
          <w:szCs w:val="30"/>
          <w:lang w:val="en-US" w:eastAsia="zh-CN"/>
        </w:rPr>
        <w:tab/>
      </w:r>
      <w:r>
        <w:rPr>
          <w:rFonts w:hint="eastAsia"/>
          <w:sz w:val="30"/>
          <w:szCs w:val="30"/>
          <w:lang w:val="en-US" w:eastAsia="zh-CN"/>
        </w:rPr>
        <w:t>42</w:t>
      </w:r>
    </w:p>
    <w:p w14:paraId="18847911">
      <w:pPr>
        <w:pStyle w:val="7"/>
        <w:bidi w:val="0"/>
        <w:ind w:left="-210" w:leftChars="-100"/>
        <w:jc w:val="left"/>
        <w:rPr>
          <w:rFonts w:hint="eastAsia"/>
          <w:sz w:val="30"/>
          <w:szCs w:val="30"/>
          <w:lang w:val="en-US" w:eastAsia="zh-CN"/>
        </w:rPr>
      </w:pPr>
      <w:r>
        <w:rPr>
          <w:rFonts w:hint="eastAsia"/>
          <w:sz w:val="30"/>
          <w:szCs w:val="30"/>
          <w:lang w:val="en-US" w:eastAsia="zh-CN"/>
        </w:rPr>
        <w:t>一、收入支出决算总表</w:t>
      </w:r>
      <w:r>
        <w:rPr>
          <w:rFonts w:hint="eastAsia"/>
          <w:sz w:val="30"/>
          <w:szCs w:val="30"/>
          <w:lang w:val="en-US" w:eastAsia="zh-CN"/>
        </w:rPr>
        <w:tab/>
      </w:r>
      <w:r>
        <w:rPr>
          <w:rFonts w:hint="eastAsia"/>
          <w:sz w:val="30"/>
          <w:szCs w:val="30"/>
          <w:lang w:val="en-US" w:eastAsia="zh-CN"/>
        </w:rPr>
        <w:t>42</w:t>
      </w:r>
    </w:p>
    <w:p w14:paraId="7AD9595D">
      <w:pPr>
        <w:pStyle w:val="7"/>
        <w:bidi w:val="0"/>
        <w:ind w:left="-210" w:leftChars="-100"/>
        <w:jc w:val="left"/>
        <w:rPr>
          <w:rFonts w:hint="eastAsia"/>
          <w:sz w:val="30"/>
          <w:szCs w:val="30"/>
          <w:lang w:val="en-US" w:eastAsia="zh-CN"/>
        </w:rPr>
      </w:pPr>
      <w:r>
        <w:rPr>
          <w:rFonts w:hint="eastAsia"/>
          <w:sz w:val="30"/>
          <w:szCs w:val="30"/>
          <w:lang w:val="en-US" w:eastAsia="zh-CN"/>
        </w:rPr>
        <w:t>二、收入决算表</w:t>
      </w:r>
      <w:r>
        <w:rPr>
          <w:rFonts w:hint="eastAsia"/>
          <w:sz w:val="30"/>
          <w:szCs w:val="30"/>
          <w:lang w:val="en-US" w:eastAsia="zh-CN"/>
        </w:rPr>
        <w:tab/>
      </w:r>
      <w:r>
        <w:rPr>
          <w:rFonts w:hint="eastAsia"/>
          <w:sz w:val="30"/>
          <w:szCs w:val="30"/>
          <w:lang w:val="en-US" w:eastAsia="zh-CN"/>
        </w:rPr>
        <w:t>42</w:t>
      </w:r>
    </w:p>
    <w:p w14:paraId="29AB3701">
      <w:pPr>
        <w:pStyle w:val="7"/>
        <w:bidi w:val="0"/>
        <w:ind w:left="-210" w:leftChars="-100"/>
        <w:jc w:val="left"/>
        <w:rPr>
          <w:rFonts w:hint="eastAsia"/>
          <w:sz w:val="30"/>
          <w:szCs w:val="30"/>
          <w:lang w:val="en-US" w:eastAsia="zh-CN"/>
        </w:rPr>
      </w:pPr>
      <w:r>
        <w:rPr>
          <w:rFonts w:hint="eastAsia"/>
          <w:sz w:val="30"/>
          <w:szCs w:val="30"/>
          <w:lang w:val="en-US" w:eastAsia="zh-CN"/>
        </w:rPr>
        <w:t>三、支出决算表</w:t>
      </w:r>
      <w:r>
        <w:rPr>
          <w:rFonts w:hint="eastAsia"/>
          <w:sz w:val="30"/>
          <w:szCs w:val="30"/>
          <w:lang w:val="en-US" w:eastAsia="zh-CN"/>
        </w:rPr>
        <w:tab/>
      </w:r>
      <w:r>
        <w:rPr>
          <w:rFonts w:hint="eastAsia"/>
          <w:sz w:val="30"/>
          <w:szCs w:val="30"/>
          <w:lang w:val="en-US" w:eastAsia="zh-CN"/>
        </w:rPr>
        <w:t>42</w:t>
      </w:r>
    </w:p>
    <w:p w14:paraId="1544F517">
      <w:pPr>
        <w:pStyle w:val="7"/>
        <w:bidi w:val="0"/>
        <w:ind w:left="-210" w:leftChars="-100"/>
        <w:jc w:val="left"/>
        <w:rPr>
          <w:rFonts w:hint="eastAsia"/>
          <w:sz w:val="30"/>
          <w:szCs w:val="30"/>
          <w:lang w:val="en-US" w:eastAsia="zh-CN"/>
        </w:rPr>
      </w:pPr>
      <w:r>
        <w:rPr>
          <w:rFonts w:hint="eastAsia"/>
          <w:sz w:val="30"/>
          <w:szCs w:val="30"/>
          <w:lang w:val="en-US" w:eastAsia="zh-CN"/>
        </w:rPr>
        <w:t>四、财政拨款收入支出决算总表</w:t>
      </w:r>
      <w:r>
        <w:rPr>
          <w:rFonts w:hint="eastAsia"/>
          <w:sz w:val="30"/>
          <w:szCs w:val="30"/>
          <w:lang w:val="en-US" w:eastAsia="zh-CN"/>
        </w:rPr>
        <w:tab/>
      </w:r>
      <w:r>
        <w:rPr>
          <w:rFonts w:hint="eastAsia"/>
          <w:sz w:val="30"/>
          <w:szCs w:val="30"/>
          <w:lang w:val="en-US" w:eastAsia="zh-CN"/>
        </w:rPr>
        <w:t>42</w:t>
      </w:r>
    </w:p>
    <w:p w14:paraId="680EBC4B">
      <w:pPr>
        <w:pStyle w:val="7"/>
        <w:bidi w:val="0"/>
        <w:ind w:left="-210" w:leftChars="-100"/>
        <w:jc w:val="left"/>
        <w:rPr>
          <w:rFonts w:hint="eastAsia"/>
          <w:sz w:val="30"/>
          <w:szCs w:val="30"/>
          <w:lang w:val="en-US" w:eastAsia="zh-CN"/>
        </w:rPr>
      </w:pPr>
      <w:r>
        <w:rPr>
          <w:rFonts w:hint="eastAsia"/>
          <w:sz w:val="30"/>
          <w:szCs w:val="30"/>
          <w:lang w:val="en-US" w:eastAsia="zh-CN"/>
        </w:rPr>
        <w:t>五、财政拨款支出决算明细表</w:t>
      </w:r>
      <w:r>
        <w:rPr>
          <w:rFonts w:hint="eastAsia"/>
          <w:sz w:val="30"/>
          <w:szCs w:val="30"/>
          <w:lang w:val="en-US" w:eastAsia="zh-CN"/>
        </w:rPr>
        <w:tab/>
      </w:r>
      <w:r>
        <w:rPr>
          <w:rFonts w:hint="eastAsia"/>
          <w:sz w:val="30"/>
          <w:szCs w:val="30"/>
          <w:lang w:val="en-US" w:eastAsia="zh-CN"/>
        </w:rPr>
        <w:t>42</w:t>
      </w:r>
    </w:p>
    <w:p w14:paraId="0A9DB372">
      <w:pPr>
        <w:pStyle w:val="7"/>
        <w:bidi w:val="0"/>
        <w:ind w:left="-210" w:leftChars="-100"/>
        <w:jc w:val="left"/>
        <w:rPr>
          <w:rFonts w:hint="eastAsia"/>
          <w:sz w:val="30"/>
          <w:szCs w:val="30"/>
          <w:lang w:val="en-US" w:eastAsia="zh-CN"/>
        </w:rPr>
      </w:pPr>
      <w:r>
        <w:rPr>
          <w:rFonts w:hint="eastAsia"/>
          <w:sz w:val="30"/>
          <w:szCs w:val="30"/>
          <w:lang w:val="en-US" w:eastAsia="zh-CN"/>
        </w:rPr>
        <w:t>六、一般公共预算财政拨款支出决算表</w:t>
      </w:r>
      <w:r>
        <w:rPr>
          <w:rFonts w:hint="eastAsia"/>
          <w:sz w:val="30"/>
          <w:szCs w:val="30"/>
          <w:lang w:val="en-US" w:eastAsia="zh-CN"/>
        </w:rPr>
        <w:tab/>
      </w:r>
      <w:r>
        <w:rPr>
          <w:rFonts w:hint="eastAsia"/>
          <w:sz w:val="30"/>
          <w:szCs w:val="30"/>
          <w:lang w:val="en-US" w:eastAsia="zh-CN"/>
        </w:rPr>
        <w:t>42</w:t>
      </w:r>
    </w:p>
    <w:p w14:paraId="5B250BD0">
      <w:pPr>
        <w:pStyle w:val="7"/>
        <w:bidi w:val="0"/>
        <w:ind w:left="-210" w:leftChars="-100"/>
        <w:jc w:val="left"/>
        <w:rPr>
          <w:rFonts w:hint="eastAsia"/>
          <w:sz w:val="30"/>
          <w:szCs w:val="30"/>
          <w:lang w:val="en-US" w:eastAsia="zh-CN"/>
        </w:rPr>
      </w:pPr>
      <w:r>
        <w:rPr>
          <w:rFonts w:hint="eastAsia"/>
          <w:sz w:val="30"/>
          <w:szCs w:val="30"/>
          <w:lang w:val="en-US" w:eastAsia="zh-CN"/>
        </w:rPr>
        <w:t>七、一般公共预算财政拨款支出决算明细表</w:t>
      </w:r>
      <w:r>
        <w:rPr>
          <w:rFonts w:hint="eastAsia"/>
          <w:sz w:val="30"/>
          <w:szCs w:val="30"/>
          <w:lang w:val="en-US" w:eastAsia="zh-CN"/>
        </w:rPr>
        <w:tab/>
      </w:r>
      <w:r>
        <w:rPr>
          <w:rFonts w:hint="eastAsia"/>
          <w:sz w:val="30"/>
          <w:szCs w:val="30"/>
          <w:lang w:val="en-US" w:eastAsia="zh-CN"/>
        </w:rPr>
        <w:t>42</w:t>
      </w:r>
    </w:p>
    <w:p w14:paraId="76323E97">
      <w:pPr>
        <w:pStyle w:val="7"/>
        <w:bidi w:val="0"/>
        <w:ind w:left="-210" w:leftChars="-100"/>
        <w:jc w:val="left"/>
        <w:rPr>
          <w:rFonts w:hint="eastAsia"/>
          <w:sz w:val="30"/>
          <w:szCs w:val="30"/>
          <w:lang w:val="en-US" w:eastAsia="zh-CN"/>
        </w:rPr>
      </w:pPr>
      <w:r>
        <w:rPr>
          <w:rFonts w:hint="eastAsia"/>
          <w:sz w:val="30"/>
          <w:szCs w:val="30"/>
          <w:lang w:val="en-US" w:eastAsia="zh-CN"/>
        </w:rPr>
        <w:t>八、一般公共预算财政拨款基本支出决算表</w:t>
      </w:r>
      <w:r>
        <w:rPr>
          <w:rFonts w:hint="eastAsia"/>
          <w:sz w:val="30"/>
          <w:szCs w:val="30"/>
          <w:lang w:val="en-US" w:eastAsia="zh-CN"/>
        </w:rPr>
        <w:tab/>
      </w:r>
      <w:r>
        <w:rPr>
          <w:rFonts w:hint="eastAsia"/>
          <w:sz w:val="30"/>
          <w:szCs w:val="30"/>
          <w:lang w:val="en-US" w:eastAsia="zh-CN"/>
        </w:rPr>
        <w:t>42</w:t>
      </w:r>
    </w:p>
    <w:p w14:paraId="4CA7FD3D">
      <w:pPr>
        <w:pStyle w:val="7"/>
        <w:bidi w:val="0"/>
        <w:ind w:left="-210" w:leftChars="-100"/>
        <w:jc w:val="left"/>
        <w:rPr>
          <w:rFonts w:hint="eastAsia"/>
          <w:sz w:val="30"/>
          <w:szCs w:val="30"/>
          <w:lang w:val="en-US" w:eastAsia="zh-CN"/>
        </w:rPr>
      </w:pPr>
      <w:r>
        <w:rPr>
          <w:rFonts w:hint="eastAsia"/>
          <w:sz w:val="30"/>
          <w:szCs w:val="30"/>
          <w:lang w:val="en-US" w:eastAsia="zh-CN"/>
        </w:rPr>
        <w:t>九、一般公共预算财政拨款项目支出决算表</w:t>
      </w:r>
      <w:r>
        <w:rPr>
          <w:rFonts w:hint="eastAsia"/>
          <w:sz w:val="30"/>
          <w:szCs w:val="30"/>
          <w:lang w:val="en-US" w:eastAsia="zh-CN"/>
        </w:rPr>
        <w:tab/>
      </w:r>
      <w:r>
        <w:rPr>
          <w:rFonts w:hint="eastAsia"/>
          <w:sz w:val="30"/>
          <w:szCs w:val="30"/>
          <w:lang w:val="en-US" w:eastAsia="zh-CN"/>
        </w:rPr>
        <w:t>42</w:t>
      </w:r>
    </w:p>
    <w:p w14:paraId="7FEF71E4">
      <w:pPr>
        <w:pStyle w:val="7"/>
        <w:bidi w:val="0"/>
        <w:ind w:left="-210" w:leftChars="-100"/>
        <w:jc w:val="left"/>
        <w:rPr>
          <w:rFonts w:hint="eastAsia"/>
          <w:sz w:val="30"/>
          <w:szCs w:val="30"/>
          <w:lang w:val="en-US" w:eastAsia="zh-CN"/>
        </w:rPr>
      </w:pPr>
      <w:r>
        <w:rPr>
          <w:rFonts w:hint="eastAsia"/>
          <w:sz w:val="30"/>
          <w:szCs w:val="30"/>
          <w:lang w:val="en-US" w:eastAsia="zh-CN"/>
        </w:rPr>
        <w:t>十、政府性基金预算财政拨款收入支出决算表</w:t>
      </w:r>
      <w:r>
        <w:rPr>
          <w:rFonts w:hint="eastAsia"/>
          <w:sz w:val="30"/>
          <w:szCs w:val="30"/>
          <w:lang w:val="en-US" w:eastAsia="zh-CN"/>
        </w:rPr>
        <w:tab/>
      </w:r>
      <w:r>
        <w:rPr>
          <w:rFonts w:hint="eastAsia"/>
          <w:sz w:val="30"/>
          <w:szCs w:val="30"/>
          <w:lang w:val="en-US" w:eastAsia="zh-CN"/>
        </w:rPr>
        <w:t>42</w:t>
      </w:r>
    </w:p>
    <w:p w14:paraId="7EEC72F7">
      <w:pPr>
        <w:pStyle w:val="7"/>
        <w:bidi w:val="0"/>
        <w:ind w:left="-210" w:leftChars="-100"/>
        <w:jc w:val="left"/>
        <w:rPr>
          <w:rFonts w:hint="eastAsia"/>
          <w:sz w:val="30"/>
          <w:szCs w:val="30"/>
          <w:lang w:val="en-US" w:eastAsia="zh-CN"/>
        </w:rPr>
      </w:pPr>
      <w:r>
        <w:rPr>
          <w:rFonts w:hint="eastAsia"/>
          <w:sz w:val="30"/>
          <w:szCs w:val="30"/>
          <w:lang w:val="en-US" w:eastAsia="zh-CN"/>
        </w:rPr>
        <w:t>十一、国有资本经营预算财政拨款收入支出决算表</w:t>
      </w:r>
      <w:r>
        <w:rPr>
          <w:rFonts w:hint="eastAsia"/>
          <w:sz w:val="30"/>
          <w:szCs w:val="30"/>
          <w:lang w:val="en-US" w:eastAsia="zh-CN"/>
        </w:rPr>
        <w:tab/>
      </w:r>
      <w:r>
        <w:rPr>
          <w:rFonts w:hint="eastAsia"/>
          <w:sz w:val="30"/>
          <w:szCs w:val="30"/>
          <w:lang w:val="en-US" w:eastAsia="zh-CN"/>
        </w:rPr>
        <w:t>42</w:t>
      </w:r>
    </w:p>
    <w:p w14:paraId="6CAE71AD">
      <w:pPr>
        <w:pStyle w:val="7"/>
        <w:bidi w:val="0"/>
        <w:ind w:left="-210" w:leftChars="-100"/>
        <w:jc w:val="left"/>
        <w:rPr>
          <w:rFonts w:hint="eastAsia"/>
          <w:sz w:val="30"/>
          <w:szCs w:val="30"/>
          <w:lang w:val="en-US" w:eastAsia="zh-CN"/>
        </w:rPr>
      </w:pPr>
      <w:r>
        <w:rPr>
          <w:rFonts w:hint="eastAsia"/>
          <w:sz w:val="30"/>
          <w:szCs w:val="30"/>
          <w:lang w:val="en-US" w:eastAsia="zh-CN"/>
        </w:rPr>
        <w:t>十二、国有资本经营预算财政拨款支出决算表</w:t>
      </w:r>
      <w:r>
        <w:rPr>
          <w:rFonts w:hint="eastAsia"/>
          <w:sz w:val="30"/>
          <w:szCs w:val="30"/>
          <w:lang w:val="en-US" w:eastAsia="zh-CN"/>
        </w:rPr>
        <w:tab/>
      </w:r>
      <w:r>
        <w:rPr>
          <w:rFonts w:hint="eastAsia"/>
          <w:sz w:val="30"/>
          <w:szCs w:val="30"/>
          <w:lang w:val="en-US" w:eastAsia="zh-CN"/>
        </w:rPr>
        <w:t>42</w:t>
      </w:r>
    </w:p>
    <w:p w14:paraId="4C6A273F">
      <w:pPr>
        <w:pStyle w:val="7"/>
        <w:bidi w:val="0"/>
        <w:ind w:left="-210" w:leftChars="-100"/>
        <w:jc w:val="left"/>
        <w:rPr>
          <w:rFonts w:hint="eastAsia" w:ascii="黑体" w:hAnsi="Cambria" w:eastAsia="黑体" w:cs="Times New Roman"/>
          <w:bCs/>
          <w:kern w:val="2"/>
          <w:szCs w:val="32"/>
          <w:lang w:val="en-US" w:eastAsia="zh-CN" w:bidi="ar-SA"/>
        </w:rPr>
      </w:pPr>
      <w:r>
        <w:rPr>
          <w:rFonts w:hint="eastAsia"/>
          <w:sz w:val="30"/>
          <w:szCs w:val="30"/>
          <w:lang w:val="en-US" w:eastAsia="zh-CN"/>
        </w:rPr>
        <w:t>十三、财政拨款“三公”经费支出决算表</w:t>
      </w:r>
      <w:r>
        <w:rPr>
          <w:rFonts w:hint="eastAsia"/>
          <w:sz w:val="30"/>
          <w:szCs w:val="30"/>
          <w:lang w:val="en-US" w:eastAsia="zh-CN"/>
        </w:rPr>
        <w:tab/>
      </w:r>
      <w:r>
        <w:rPr>
          <w:rFonts w:hint="eastAsia"/>
          <w:sz w:val="30"/>
          <w:szCs w:val="30"/>
          <w:lang w:val="en-US" w:eastAsia="zh-CN"/>
        </w:rPr>
        <w:t>42</w:t>
      </w:r>
    </w:p>
    <w:p w14:paraId="72C9634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val="0"/>
        <w:spacing w:line="240" w:lineRule="exact"/>
        <w:ind w:left="0" w:leftChars="0" w:firstLine="0" w:firstLineChars="0"/>
        <w:outlineLvl w:val="0"/>
        <w:rPr>
          <w:rFonts w:hint="eastAsia" w:ascii="黑体" w:hAnsi="Cambria" w:eastAsia="黑体" w:cs="Times New Roman"/>
          <w:bCs/>
          <w:kern w:val="2"/>
          <w:sz w:val="24"/>
          <w:szCs w:val="24"/>
          <w:lang w:val="en-US" w:eastAsia="zh-CN" w:bidi="ar-SA"/>
        </w:rPr>
        <w:sectPr>
          <w:footerReference r:id="rId7" w:type="default"/>
          <w:pgSz w:w="11906" w:h="16838"/>
          <w:pgMar w:top="1440" w:right="1800" w:bottom="1440" w:left="1800" w:header="851" w:footer="992" w:gutter="0"/>
          <w:pgNumType w:fmt="numberInDash" w:start="1"/>
          <w:cols w:space="425" w:num="1"/>
          <w:docGrid w:type="lines" w:linePitch="312" w:charSpace="0"/>
        </w:sectPr>
      </w:pPr>
    </w:p>
    <w:p w14:paraId="1BE3A296">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val="0"/>
        <w:spacing w:line="240" w:lineRule="exact"/>
        <w:ind w:left="0" w:leftChars="0" w:firstLine="0" w:firstLineChars="0"/>
        <w:outlineLvl w:val="0"/>
        <w:rPr>
          <w:rFonts w:hint="default"/>
          <w:sz w:val="24"/>
          <w:szCs w:val="24"/>
          <w:lang w:val="en-US"/>
        </w:rPr>
      </w:pPr>
      <w:r>
        <w:rPr>
          <w:rFonts w:hint="eastAsia" w:ascii="黑体" w:hAnsi="Cambria" w:eastAsia="黑体" w:cs="Times New Roman"/>
          <w:bCs/>
          <w:kern w:val="2"/>
          <w:sz w:val="24"/>
          <w:szCs w:val="24"/>
          <w:lang w:val="en-US" w:eastAsia="zh-CN" w:bidi="ar-SA"/>
        </w:rPr>
        <w:fldChar w:fldCharType="end"/>
      </w:r>
    </w:p>
    <w:p w14:paraId="252E2CC3">
      <w:pPr>
        <w:keepNext w:val="0"/>
        <w:keepLines w:val="0"/>
        <w:pageBreakBefore w:val="0"/>
        <w:widowControl w:val="0"/>
        <w:kinsoku/>
        <w:wordWrap/>
        <w:overflowPunct/>
        <w:topLinePunct w:val="0"/>
        <w:autoSpaceDE/>
        <w:autoSpaceDN/>
        <w:bidi w:val="0"/>
        <w:adjustRightInd/>
        <w:snapToGrid/>
        <w:spacing w:line="200" w:lineRule="atLeast"/>
        <w:jc w:val="center"/>
        <w:rPr>
          <w:rFonts w:hint="eastAsia" w:ascii="黑体" w:hAnsi="黑体" w:eastAsia="黑体" w:cs="黑体"/>
          <w:sz w:val="44"/>
          <w:szCs w:val="44"/>
        </w:rPr>
      </w:pPr>
      <w:r>
        <w:fldChar w:fldCharType="end"/>
      </w:r>
      <w:bookmarkStart w:id="8" w:name="_Toc946"/>
      <w:r>
        <w:rPr>
          <w:rFonts w:hint="eastAsia" w:ascii="黑体" w:hAnsi="黑体" w:eastAsia="黑体" w:cs="黑体"/>
          <w:sz w:val="44"/>
          <w:szCs w:val="44"/>
          <w:lang w:val="en-US" w:eastAsia="zh-CN"/>
        </w:rPr>
        <w:t>第一部分 部门</w:t>
      </w:r>
      <w:r>
        <w:rPr>
          <w:rStyle w:val="27"/>
          <w:rFonts w:hint="eastAsia" w:ascii="黑体" w:hAnsi="黑体" w:eastAsia="黑体" w:cs="黑体"/>
          <w:b w:val="0"/>
          <w:bCs w:val="0"/>
          <w:sz w:val="44"/>
          <w:szCs w:val="44"/>
        </w:rPr>
        <w:t>概况</w:t>
      </w:r>
      <w:bookmarkEnd w:id="8"/>
    </w:p>
    <w:p w14:paraId="45E9E0A2"/>
    <w:p w14:paraId="471941C9">
      <w:pPr>
        <w:pStyle w:val="3"/>
        <w:keepNext/>
        <w:keepLines w:val="0"/>
        <w:pageBreakBefore w:val="0"/>
        <w:widowControl/>
        <w:numPr>
          <w:ilvl w:val="0"/>
          <w:numId w:val="0"/>
        </w:numPr>
        <w:kinsoku/>
        <w:wordWrap w:val="0"/>
        <w:overflowPunct/>
        <w:topLinePunct/>
        <w:autoSpaceDE/>
        <w:autoSpaceDN/>
        <w:bidi w:val="0"/>
        <w:adjustRightInd/>
        <w:snapToGrid/>
        <w:spacing w:before="0" w:after="0" w:line="560" w:lineRule="exact"/>
        <w:ind w:firstLine="640" w:firstLineChars="200"/>
        <w:jc w:val="left"/>
        <w:rPr>
          <w:rFonts w:hint="eastAsia" w:ascii="黑体" w:hAnsi="黑体" w:eastAsia="黑体" w:cs="黑体"/>
          <w:b w:val="0"/>
          <w:bCs w:val="0"/>
          <w:sz w:val="32"/>
          <w:szCs w:val="32"/>
        </w:rPr>
      </w:pPr>
      <w:bookmarkStart w:id="9" w:name="_Toc22942"/>
      <w:r>
        <w:rPr>
          <w:rStyle w:val="28"/>
          <w:rFonts w:hint="eastAsia" w:ascii="黑体" w:hAnsi="黑体" w:eastAsia="黑体" w:cs="黑体"/>
          <w:b w:val="0"/>
          <w:bCs w:val="0"/>
          <w:lang w:val="en-US" w:eastAsia="zh-CN"/>
        </w:rPr>
        <w:t>一、</w:t>
      </w:r>
      <w:r>
        <w:rPr>
          <w:rStyle w:val="28"/>
          <w:rFonts w:hint="eastAsia" w:ascii="黑体" w:hAnsi="黑体" w:eastAsia="黑体" w:cs="黑体"/>
          <w:b w:val="0"/>
          <w:bCs w:val="0"/>
        </w:rPr>
        <w:t>主要职责</w:t>
      </w:r>
      <w:bookmarkEnd w:id="9"/>
    </w:p>
    <w:p w14:paraId="42DC7D67">
      <w:pPr>
        <w:pStyle w:val="3"/>
        <w:keepNext/>
        <w:keepLines w:val="0"/>
        <w:pageBreakBefore w:val="0"/>
        <w:widowControl/>
        <w:numPr>
          <w:ilvl w:val="0"/>
          <w:numId w:val="0"/>
        </w:numPr>
        <w:kinsoku/>
        <w:wordWrap w:val="0"/>
        <w:overflowPunct/>
        <w:topLinePunct/>
        <w:autoSpaceDE/>
        <w:autoSpaceDN/>
        <w:bidi w:val="0"/>
        <w:adjustRightInd/>
        <w:snapToGrid/>
        <w:spacing w:before="0" w:after="0" w:line="560" w:lineRule="exact"/>
        <w:ind w:firstLine="640" w:firstLineChars="200"/>
        <w:jc w:val="left"/>
        <w:rPr>
          <w:rFonts w:hint="eastAsia" w:ascii="仿宋_GB2312" w:hAnsi="仿宋_GB2312" w:eastAsia="仿宋_GB2312" w:cs="仿宋_GB2312"/>
          <w:b w:val="0"/>
          <w:bCs w:val="0"/>
          <w:sz w:val="32"/>
          <w:szCs w:val="32"/>
        </w:rPr>
      </w:pPr>
      <w:bookmarkStart w:id="10" w:name="_Toc3214"/>
      <w:r>
        <w:rPr>
          <w:rFonts w:hint="eastAsia" w:ascii="仿宋_GB2312" w:hAnsi="仿宋_GB2312" w:eastAsia="仿宋_GB2312" w:cs="仿宋_GB2312"/>
          <w:b w:val="0"/>
          <w:bCs w:val="0"/>
          <w:sz w:val="32"/>
          <w:szCs w:val="32"/>
        </w:rPr>
        <w:t>法院作为国家审判机关，在各级党委、政府的指导下依法独立行使审判权，对县人民代表大会及其常务委员会负责并报告工作。人民法院作为国家的司法机关，承担着维护社会公平正义、保障公民权益、维护法律尊严的重要职责。它的主要职能包括审判、执行和监督，通过司法权力的行使，维护社会秩序，保护人民的合法权益，促进社会稳定和经济发展。</w:t>
      </w:r>
      <w:bookmarkEnd w:id="10"/>
    </w:p>
    <w:p w14:paraId="21950034">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全年共受理各类案件</w:t>
      </w:r>
      <w:r>
        <w:rPr>
          <w:rFonts w:hint="eastAsia" w:ascii="仿宋_GB2312" w:hAnsi="仿宋_GB2312" w:eastAsia="仿宋_GB2312" w:cs="仿宋_GB2312"/>
          <w:b/>
          <w:bCs/>
          <w:kern w:val="2"/>
          <w:sz w:val="32"/>
          <w:szCs w:val="32"/>
          <w:lang w:val="en-US" w:eastAsia="zh-CN" w:bidi="ar-SA"/>
        </w:rPr>
        <w:t>456</w:t>
      </w:r>
      <w:r>
        <w:rPr>
          <w:rFonts w:hint="eastAsia" w:ascii="仿宋_GB2312" w:hAnsi="仿宋_GB2312" w:eastAsia="仿宋_GB2312" w:cs="仿宋_GB2312"/>
          <w:b w:val="0"/>
          <w:bCs w:val="0"/>
          <w:kern w:val="2"/>
          <w:sz w:val="32"/>
          <w:szCs w:val="32"/>
          <w:lang w:val="en-US" w:eastAsia="zh-CN" w:bidi="ar-SA"/>
        </w:rPr>
        <w:t>件，审（执）结</w:t>
      </w:r>
      <w:r>
        <w:rPr>
          <w:rFonts w:hint="eastAsia" w:ascii="仿宋_GB2312" w:hAnsi="仿宋_GB2312" w:eastAsia="仿宋_GB2312" w:cs="仿宋_GB2312"/>
          <w:b/>
          <w:bCs/>
          <w:kern w:val="2"/>
          <w:sz w:val="32"/>
          <w:szCs w:val="32"/>
          <w:lang w:val="en-US" w:eastAsia="zh-CN" w:bidi="ar-SA"/>
        </w:rPr>
        <w:t>442</w:t>
      </w:r>
      <w:r>
        <w:rPr>
          <w:rFonts w:hint="eastAsia" w:ascii="仿宋_GB2312" w:hAnsi="仿宋_GB2312" w:eastAsia="仿宋_GB2312" w:cs="仿宋_GB2312"/>
          <w:b w:val="0"/>
          <w:bCs w:val="0"/>
          <w:kern w:val="2"/>
          <w:sz w:val="32"/>
          <w:szCs w:val="32"/>
          <w:lang w:val="en-US" w:eastAsia="zh-CN" w:bidi="ar-SA"/>
        </w:rPr>
        <w:t>件，综合结案率为</w:t>
      </w:r>
      <w:r>
        <w:rPr>
          <w:rFonts w:hint="eastAsia" w:ascii="仿宋_GB2312" w:hAnsi="仿宋_GB2312" w:eastAsia="仿宋_GB2312" w:cs="仿宋_GB2312"/>
          <w:b/>
          <w:bCs/>
          <w:kern w:val="2"/>
          <w:sz w:val="32"/>
          <w:szCs w:val="32"/>
          <w:lang w:val="en-US" w:eastAsia="zh-CN" w:bidi="ar-SA"/>
        </w:rPr>
        <w:t>96.92</w:t>
      </w:r>
      <w:r>
        <w:rPr>
          <w:rFonts w:hint="eastAsia" w:ascii="仿宋_GB2312" w:hAnsi="仿宋_GB2312" w:eastAsia="仿宋_GB2312" w:cs="仿宋_GB2312"/>
          <w:b w:val="0"/>
          <w:bCs w:val="0"/>
          <w:kern w:val="2"/>
          <w:sz w:val="32"/>
          <w:szCs w:val="32"/>
          <w:lang w:val="en-US" w:eastAsia="zh-CN" w:bidi="ar-SA"/>
        </w:rPr>
        <w:t>%，受理各类刑事案件</w:t>
      </w:r>
      <w:r>
        <w:rPr>
          <w:rFonts w:hint="eastAsia" w:ascii="仿宋_GB2312" w:hAnsi="仿宋_GB2312" w:eastAsia="仿宋_GB2312" w:cs="仿宋_GB2312"/>
          <w:b/>
          <w:bCs/>
          <w:kern w:val="2"/>
          <w:sz w:val="32"/>
          <w:szCs w:val="32"/>
          <w:lang w:val="en-US" w:eastAsia="zh-CN" w:bidi="ar-SA"/>
        </w:rPr>
        <w:t>45</w:t>
      </w:r>
      <w:r>
        <w:rPr>
          <w:rFonts w:hint="eastAsia" w:ascii="仿宋_GB2312" w:hAnsi="仿宋_GB2312" w:eastAsia="仿宋_GB2312" w:cs="仿宋_GB2312"/>
          <w:b w:val="0"/>
          <w:bCs w:val="0"/>
          <w:kern w:val="2"/>
          <w:sz w:val="32"/>
          <w:szCs w:val="32"/>
          <w:lang w:val="en-US" w:eastAsia="zh-CN" w:bidi="ar-SA"/>
        </w:rPr>
        <w:t>件，审结</w:t>
      </w:r>
      <w:r>
        <w:rPr>
          <w:rFonts w:hint="eastAsia" w:ascii="仿宋_GB2312" w:hAnsi="仿宋_GB2312" w:eastAsia="仿宋_GB2312" w:cs="仿宋_GB2312"/>
          <w:b/>
          <w:bCs/>
          <w:kern w:val="2"/>
          <w:sz w:val="32"/>
          <w:szCs w:val="32"/>
          <w:lang w:val="en-US" w:eastAsia="zh-CN" w:bidi="ar-SA"/>
        </w:rPr>
        <w:t>45</w:t>
      </w:r>
      <w:r>
        <w:rPr>
          <w:rFonts w:hint="eastAsia" w:ascii="仿宋_GB2312" w:hAnsi="仿宋_GB2312" w:eastAsia="仿宋_GB2312" w:cs="仿宋_GB2312"/>
          <w:b w:val="0"/>
          <w:bCs w:val="0"/>
          <w:kern w:val="2"/>
          <w:sz w:val="32"/>
          <w:szCs w:val="32"/>
          <w:lang w:val="en-US" w:eastAsia="zh-CN" w:bidi="ar-SA"/>
        </w:rPr>
        <w:t>件，结案率为</w:t>
      </w:r>
      <w:r>
        <w:rPr>
          <w:rFonts w:hint="eastAsia" w:ascii="仿宋_GB2312" w:hAnsi="仿宋_GB2312" w:eastAsia="仿宋_GB2312" w:cs="仿宋_GB2312"/>
          <w:b/>
          <w:bCs/>
          <w:kern w:val="2"/>
          <w:sz w:val="32"/>
          <w:szCs w:val="32"/>
          <w:lang w:val="en-US" w:eastAsia="zh-CN" w:bidi="ar-SA"/>
        </w:rPr>
        <w:t>100.00</w:t>
      </w:r>
      <w:r>
        <w:rPr>
          <w:rFonts w:hint="eastAsia" w:ascii="仿宋_GB2312" w:hAnsi="仿宋_GB2312" w:eastAsia="仿宋_GB2312" w:cs="仿宋_GB2312"/>
          <w:b w:val="0"/>
          <w:bCs w:val="0"/>
          <w:kern w:val="2"/>
          <w:sz w:val="32"/>
          <w:szCs w:val="32"/>
          <w:lang w:val="en-US" w:eastAsia="zh-CN" w:bidi="ar-SA"/>
        </w:rPr>
        <w:t>%。受理各类民商事案件</w:t>
      </w:r>
      <w:r>
        <w:rPr>
          <w:rFonts w:hint="eastAsia" w:ascii="仿宋_GB2312" w:hAnsi="仿宋_GB2312" w:eastAsia="仿宋_GB2312" w:cs="仿宋_GB2312"/>
          <w:b/>
          <w:bCs/>
          <w:kern w:val="2"/>
          <w:sz w:val="32"/>
          <w:szCs w:val="32"/>
          <w:lang w:val="en-US" w:eastAsia="zh-CN" w:bidi="ar-SA"/>
        </w:rPr>
        <w:t>303</w:t>
      </w:r>
      <w:r>
        <w:rPr>
          <w:rFonts w:hint="eastAsia" w:ascii="仿宋_GB2312" w:hAnsi="仿宋_GB2312" w:eastAsia="仿宋_GB2312" w:cs="仿宋_GB2312"/>
          <w:b w:val="0"/>
          <w:bCs w:val="0"/>
          <w:kern w:val="2"/>
          <w:sz w:val="32"/>
          <w:szCs w:val="32"/>
          <w:lang w:val="en-US" w:eastAsia="zh-CN" w:bidi="ar-SA"/>
        </w:rPr>
        <w:t>件，审结</w:t>
      </w:r>
      <w:r>
        <w:rPr>
          <w:rFonts w:hint="eastAsia" w:ascii="仿宋_GB2312" w:hAnsi="仿宋_GB2312" w:eastAsia="仿宋_GB2312" w:cs="仿宋_GB2312"/>
          <w:b/>
          <w:bCs/>
          <w:kern w:val="2"/>
          <w:sz w:val="32"/>
          <w:szCs w:val="32"/>
          <w:lang w:val="en-US" w:eastAsia="zh-CN" w:bidi="ar-SA"/>
        </w:rPr>
        <w:t>292</w:t>
      </w:r>
      <w:r>
        <w:rPr>
          <w:rFonts w:hint="eastAsia" w:ascii="仿宋_GB2312" w:hAnsi="仿宋_GB2312" w:eastAsia="仿宋_GB2312" w:cs="仿宋_GB2312"/>
          <w:b w:val="0"/>
          <w:bCs w:val="0"/>
          <w:kern w:val="2"/>
          <w:sz w:val="32"/>
          <w:szCs w:val="32"/>
          <w:lang w:val="en-US" w:eastAsia="zh-CN" w:bidi="ar-SA"/>
        </w:rPr>
        <w:t>件，结案率为</w:t>
      </w:r>
      <w:r>
        <w:rPr>
          <w:rFonts w:hint="eastAsia" w:ascii="仿宋_GB2312" w:hAnsi="仿宋_GB2312" w:eastAsia="仿宋_GB2312" w:cs="仿宋_GB2312"/>
          <w:b/>
          <w:bCs/>
          <w:kern w:val="2"/>
          <w:sz w:val="32"/>
          <w:szCs w:val="32"/>
          <w:lang w:val="en-US" w:eastAsia="zh-CN" w:bidi="ar-SA"/>
        </w:rPr>
        <w:t>96.37</w:t>
      </w:r>
      <w:r>
        <w:rPr>
          <w:rFonts w:hint="eastAsia" w:ascii="仿宋_GB2312" w:hAnsi="仿宋_GB2312" w:eastAsia="仿宋_GB2312" w:cs="仿宋_GB2312"/>
          <w:b w:val="0"/>
          <w:bCs w:val="0"/>
          <w:kern w:val="2"/>
          <w:sz w:val="32"/>
          <w:szCs w:val="32"/>
          <w:lang w:val="en-US" w:eastAsia="zh-CN" w:bidi="ar-SA"/>
        </w:rPr>
        <w:t>%，受理执行案件</w:t>
      </w:r>
      <w:r>
        <w:rPr>
          <w:rFonts w:hint="eastAsia" w:ascii="仿宋_GB2312" w:hAnsi="仿宋_GB2312" w:eastAsia="仿宋_GB2312" w:cs="仿宋_GB2312"/>
          <w:b/>
          <w:bCs/>
          <w:kern w:val="2"/>
          <w:sz w:val="32"/>
          <w:szCs w:val="32"/>
          <w:lang w:val="en-US" w:eastAsia="zh-CN" w:bidi="ar-SA"/>
        </w:rPr>
        <w:t>108</w:t>
      </w:r>
      <w:r>
        <w:rPr>
          <w:rFonts w:hint="eastAsia" w:ascii="仿宋_GB2312" w:hAnsi="仿宋_GB2312" w:eastAsia="仿宋_GB2312" w:cs="仿宋_GB2312"/>
          <w:b w:val="0"/>
          <w:bCs w:val="0"/>
          <w:kern w:val="2"/>
          <w:sz w:val="32"/>
          <w:szCs w:val="32"/>
          <w:lang w:val="en-US" w:eastAsia="zh-CN" w:bidi="ar-SA"/>
        </w:rPr>
        <w:t>件，执结</w:t>
      </w:r>
      <w:r>
        <w:rPr>
          <w:rFonts w:hint="eastAsia" w:ascii="仿宋_GB2312" w:hAnsi="仿宋_GB2312" w:eastAsia="仿宋_GB2312" w:cs="仿宋_GB2312"/>
          <w:b/>
          <w:bCs/>
          <w:kern w:val="2"/>
          <w:sz w:val="32"/>
          <w:szCs w:val="32"/>
          <w:lang w:val="en-US" w:eastAsia="zh-CN" w:bidi="ar-SA"/>
        </w:rPr>
        <w:t>105</w:t>
      </w:r>
      <w:r>
        <w:rPr>
          <w:rFonts w:hint="eastAsia" w:ascii="仿宋_GB2312" w:hAnsi="仿宋_GB2312" w:eastAsia="仿宋_GB2312" w:cs="仿宋_GB2312"/>
          <w:b w:val="0"/>
          <w:bCs w:val="0"/>
          <w:kern w:val="2"/>
          <w:sz w:val="32"/>
          <w:szCs w:val="32"/>
          <w:lang w:val="en-US" w:eastAsia="zh-CN" w:bidi="ar-SA"/>
        </w:rPr>
        <w:t>件，结案率为</w:t>
      </w:r>
      <w:r>
        <w:rPr>
          <w:rFonts w:hint="eastAsia" w:ascii="仿宋_GB2312" w:hAnsi="仿宋_GB2312" w:eastAsia="仿宋_GB2312" w:cs="仿宋_GB2312"/>
          <w:b/>
          <w:bCs/>
          <w:kern w:val="2"/>
          <w:sz w:val="32"/>
          <w:szCs w:val="32"/>
          <w:lang w:val="en-US" w:eastAsia="zh-CN" w:bidi="ar-SA"/>
        </w:rPr>
        <w:t>97.22</w:t>
      </w:r>
      <w:r>
        <w:rPr>
          <w:rFonts w:hint="eastAsia"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无财产可供执行案件终本合格率</w:t>
      </w:r>
      <w:r>
        <w:rPr>
          <w:rFonts w:hint="default" w:ascii="仿宋_GB2312" w:hAnsi="仿宋_GB2312" w:eastAsia="仿宋_GB2312" w:cs="仿宋_GB2312"/>
          <w:b/>
          <w:bCs/>
          <w:kern w:val="2"/>
          <w:sz w:val="32"/>
          <w:szCs w:val="32"/>
          <w:lang w:val="en-US" w:eastAsia="zh-CN" w:bidi="ar-SA"/>
        </w:rPr>
        <w:t>100</w:t>
      </w:r>
      <w:r>
        <w:rPr>
          <w:rFonts w:hint="default" w:ascii="仿宋_GB2312" w:hAnsi="仿宋_GB2312" w:eastAsia="仿宋_GB2312" w:cs="仿宋_GB2312"/>
          <w:b w:val="0"/>
          <w:bCs w:val="0"/>
          <w:kern w:val="2"/>
          <w:sz w:val="32"/>
          <w:szCs w:val="32"/>
          <w:lang w:val="en-US" w:eastAsia="zh-CN" w:bidi="ar-SA"/>
        </w:rPr>
        <w:t xml:space="preserve"> %，执行信访办结率</w:t>
      </w:r>
      <w:r>
        <w:rPr>
          <w:rFonts w:hint="default" w:ascii="仿宋_GB2312" w:hAnsi="仿宋_GB2312" w:eastAsia="仿宋_GB2312" w:cs="仿宋_GB2312"/>
          <w:b/>
          <w:bCs/>
          <w:kern w:val="2"/>
          <w:sz w:val="32"/>
          <w:szCs w:val="32"/>
          <w:lang w:val="en-US" w:eastAsia="zh-CN" w:bidi="ar-SA"/>
        </w:rPr>
        <w:t>100</w:t>
      </w:r>
      <w:r>
        <w:rPr>
          <w:rFonts w:hint="default"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，圆满完成全年各项目标任务。</w:t>
      </w:r>
    </w:p>
    <w:p w14:paraId="105D8F69">
      <w:pPr>
        <w:pStyle w:val="3"/>
        <w:keepNext/>
        <w:keepLines w:val="0"/>
        <w:pageBreakBefore w:val="0"/>
        <w:widowControl/>
        <w:numPr>
          <w:ilvl w:val="0"/>
          <w:numId w:val="0"/>
        </w:numPr>
        <w:kinsoku/>
        <w:wordWrap w:val="0"/>
        <w:overflowPunct/>
        <w:topLinePunct/>
        <w:autoSpaceDE/>
        <w:autoSpaceDN/>
        <w:bidi w:val="0"/>
        <w:adjustRightInd/>
        <w:snapToGrid/>
        <w:spacing w:before="0" w:after="0" w:line="560" w:lineRule="exact"/>
        <w:ind w:firstLine="640" w:firstLineChars="200"/>
        <w:jc w:val="left"/>
        <w:rPr>
          <w:rStyle w:val="28"/>
          <w:rFonts w:hint="eastAsia" w:ascii="黑体" w:hAnsi="黑体" w:eastAsia="黑体" w:cs="黑体"/>
          <w:b w:val="0"/>
          <w:bCs w:val="0"/>
          <w:lang w:val="en-US" w:eastAsia="zh-CN"/>
        </w:rPr>
      </w:pPr>
      <w:bookmarkStart w:id="11" w:name="_Toc7634"/>
      <w:r>
        <w:rPr>
          <w:rStyle w:val="28"/>
          <w:rFonts w:hint="eastAsia" w:ascii="黑体" w:hAnsi="黑体" w:eastAsia="黑体" w:cs="黑体"/>
          <w:b w:val="0"/>
          <w:bCs w:val="0"/>
          <w:lang w:val="en-US" w:eastAsia="zh-CN"/>
        </w:rPr>
        <w:t>二、机构设置</w:t>
      </w:r>
      <w:bookmarkEnd w:id="11"/>
    </w:p>
    <w:p w14:paraId="2AF7F24A">
      <w:pPr>
        <w:keepNext/>
        <w:keepLines w:val="0"/>
        <w:pageBreakBefore w:val="0"/>
        <w:widowControl/>
        <w:kinsoku/>
        <w:wordWrap w:val="0"/>
        <w:overflowPunct/>
        <w:topLinePunct/>
        <w:autoSpaceDE/>
        <w:autoSpaceDN/>
        <w:bidi w:val="0"/>
        <w:adjustRightInd/>
        <w:snapToGrid/>
        <w:spacing w:line="560" w:lineRule="exact"/>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本单位本年度纳入本套决算编制范围的独立编制机构数共</w:t>
      </w: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个，比上年增加</w:t>
      </w:r>
      <w:r>
        <w:rPr>
          <w:rFonts w:hint="eastAsia" w:ascii="仿宋_GB2312" w:hAnsi="仿宋_GB2312" w:eastAsia="仿宋_GB2312" w:cs="仿宋_GB2312"/>
          <w:b/>
          <w:bCs/>
          <w:kern w:val="2"/>
          <w:sz w:val="32"/>
          <w:szCs w:val="32"/>
          <w:lang w:val="en-US" w:eastAsia="zh-CN" w:bidi="ar-SA"/>
        </w:rPr>
        <w:t>0</w:t>
      </w:r>
      <w:r>
        <w:rPr>
          <w:rFonts w:hint="eastAsia" w:ascii="仿宋_GB2312" w:hAnsi="仿宋_GB2312" w:eastAsia="仿宋_GB2312" w:cs="仿宋_GB2312"/>
          <w:b w:val="0"/>
          <w:bCs w:val="0"/>
          <w:kern w:val="2"/>
          <w:sz w:val="32"/>
          <w:szCs w:val="32"/>
          <w:lang w:val="en-US" w:eastAsia="zh-CN" w:bidi="ar-SA"/>
        </w:rPr>
        <w:t>个；独立核算机构数共</w:t>
      </w: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个，比上年增加</w:t>
      </w:r>
      <w:r>
        <w:rPr>
          <w:rFonts w:hint="eastAsia" w:ascii="仿宋_GB2312" w:hAnsi="仿宋_GB2312" w:eastAsia="仿宋_GB2312" w:cs="仿宋_GB2312"/>
          <w:b/>
          <w:bCs/>
          <w:kern w:val="2"/>
          <w:sz w:val="32"/>
          <w:szCs w:val="32"/>
          <w:lang w:val="en-US" w:eastAsia="zh-CN" w:bidi="ar-SA"/>
        </w:rPr>
        <w:t>0</w:t>
      </w:r>
      <w:r>
        <w:rPr>
          <w:rFonts w:hint="eastAsia" w:ascii="仿宋_GB2312" w:hAnsi="仿宋_GB2312" w:eastAsia="仿宋_GB2312" w:cs="仿宋_GB2312"/>
          <w:b w:val="0"/>
          <w:bCs w:val="0"/>
          <w:kern w:val="2"/>
          <w:sz w:val="32"/>
          <w:szCs w:val="32"/>
          <w:lang w:val="en-US" w:eastAsia="zh-CN" w:bidi="ar-SA"/>
        </w:rPr>
        <w:t>个。</w:t>
      </w:r>
    </w:p>
    <w:p w14:paraId="5DE4C302">
      <w:pPr>
        <w:keepNext w:val="0"/>
        <w:keepLines w:val="0"/>
        <w:pageBreakBefore w:val="0"/>
        <w:numPr>
          <w:ilvl w:val="0"/>
          <w:numId w:val="0"/>
        </w:numPr>
        <w:kinsoku/>
        <w:wordWrap w:val="0"/>
        <w:overflowPunct/>
        <w:topLinePunct/>
        <w:autoSpaceDE/>
        <w:autoSpaceDN/>
        <w:bidi w:val="0"/>
        <w:adjustRightInd/>
        <w:snapToGrid/>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本单位本年度年末实有人数为</w:t>
      </w:r>
      <w:r>
        <w:rPr>
          <w:rFonts w:hint="eastAsia" w:ascii="仿宋_GB2312" w:hAnsi="仿宋_GB2312" w:eastAsia="仿宋_GB2312" w:cs="仿宋_GB2312"/>
          <w:b/>
          <w:bCs/>
          <w:kern w:val="2"/>
          <w:sz w:val="32"/>
          <w:szCs w:val="32"/>
          <w:lang w:val="en-US" w:eastAsia="zh-CN" w:bidi="ar-SA"/>
        </w:rPr>
        <w:t>37</w:t>
      </w:r>
      <w:r>
        <w:rPr>
          <w:rFonts w:hint="eastAsia" w:ascii="仿宋_GB2312" w:hAnsi="仿宋_GB2312" w:eastAsia="仿宋_GB2312" w:cs="仿宋_GB2312"/>
          <w:sz w:val="32"/>
          <w:szCs w:val="32"/>
        </w:rPr>
        <w:t>人，比上年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sz w:val="32"/>
          <w:szCs w:val="32"/>
        </w:rPr>
        <w:t>人；年末实有离退休人数为</w:t>
      </w:r>
      <w:r>
        <w:rPr>
          <w:rFonts w:hint="eastAsia" w:ascii="仿宋_GB2312" w:hAnsi="仿宋_GB2312" w:eastAsia="仿宋_GB2312" w:cs="仿宋_GB2312"/>
          <w:b/>
          <w:bCs/>
          <w:kern w:val="2"/>
          <w:sz w:val="32"/>
          <w:szCs w:val="32"/>
          <w:lang w:val="en-US" w:eastAsia="zh-CN" w:bidi="ar-SA"/>
        </w:rPr>
        <w:t>14</w:t>
      </w:r>
      <w:r>
        <w:rPr>
          <w:rFonts w:hint="eastAsia" w:ascii="仿宋_GB2312" w:hAnsi="仿宋_GB2312" w:eastAsia="仿宋_GB2312" w:cs="仿宋_GB2312"/>
          <w:sz w:val="32"/>
          <w:szCs w:val="32"/>
        </w:rPr>
        <w:t>人，比上年增加</w:t>
      </w: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sz w:val="32"/>
          <w:szCs w:val="32"/>
        </w:rPr>
        <w:t>人；年末实有其他人数为</w:t>
      </w:r>
      <w:r>
        <w:rPr>
          <w:rFonts w:hint="eastAsia" w:ascii="仿宋_GB2312" w:hAnsi="仿宋_GB2312" w:eastAsia="仿宋_GB2312" w:cs="仿宋_GB2312"/>
          <w:b/>
          <w:bCs/>
          <w:kern w:val="2"/>
          <w:sz w:val="32"/>
          <w:szCs w:val="32"/>
          <w:lang w:val="en-US" w:eastAsia="zh-CN" w:bidi="ar-SA"/>
        </w:rPr>
        <w:t>19</w:t>
      </w:r>
      <w:r>
        <w:rPr>
          <w:rFonts w:hint="eastAsia" w:ascii="仿宋_GB2312" w:hAnsi="仿宋_GB2312" w:eastAsia="仿宋_GB2312" w:cs="仿宋_GB2312"/>
          <w:sz w:val="32"/>
          <w:szCs w:val="32"/>
        </w:rPr>
        <w:t>人，比上年增加</w:t>
      </w:r>
      <w:r>
        <w:rPr>
          <w:rFonts w:hint="eastAsia" w:ascii="仿宋_GB2312" w:hAnsi="仿宋_GB2312" w:eastAsia="仿宋_GB2312" w:cs="仿宋_GB2312"/>
          <w:b/>
          <w:bCs/>
          <w:kern w:val="2"/>
          <w:sz w:val="32"/>
          <w:szCs w:val="32"/>
          <w:lang w:val="en-US" w:eastAsia="zh-CN" w:bidi="ar-SA"/>
        </w:rPr>
        <w:t>0</w:t>
      </w:r>
      <w:r>
        <w:rPr>
          <w:rFonts w:hint="eastAsia" w:ascii="仿宋_GB2312" w:hAnsi="仿宋_GB2312" w:eastAsia="仿宋_GB2312" w:cs="仿宋_GB2312"/>
          <w:sz w:val="32"/>
          <w:szCs w:val="32"/>
        </w:rPr>
        <w:t>人。</w:t>
      </w:r>
    </w:p>
    <w:p w14:paraId="717B6712">
      <w:pPr>
        <w:keepNext/>
        <w:keepLines w:val="0"/>
        <w:pageBreakBefore w:val="0"/>
        <w:widowControl/>
        <w:kinsoku/>
        <w:wordWrap w:val="0"/>
        <w:overflowPunct/>
        <w:topLinePunct/>
        <w:autoSpaceDE/>
        <w:autoSpaceDN/>
        <w:bidi w:val="0"/>
        <w:adjustRightInd/>
        <w:snapToGrid/>
        <w:spacing w:line="560" w:lineRule="exact"/>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br w:type="page"/>
      </w:r>
    </w:p>
    <w:p w14:paraId="72DE18A8">
      <w:pPr>
        <w:keepNext/>
        <w:keepLines/>
        <w:pageBreakBefore w:val="0"/>
        <w:widowControl/>
        <w:kinsoku/>
        <w:wordWrap w:val="0"/>
        <w:overflowPunct/>
        <w:topLinePunct/>
        <w:autoSpaceDE/>
        <w:autoSpaceDN/>
        <w:bidi w:val="0"/>
        <w:snapToGrid/>
        <w:spacing w:before="0" w:after="0" w:line="560" w:lineRule="exact"/>
        <w:ind w:right="440" w:firstLine="0" w:firstLineChars="0"/>
        <w:jc w:val="center"/>
        <w:outlineLvl w:val="9"/>
        <w:rPr>
          <w:rStyle w:val="27"/>
          <w:rFonts w:hint="eastAsia" w:ascii="黑体" w:hAnsi="黑体" w:eastAsia="黑体" w:cs="黑体"/>
          <w:b w:val="0"/>
          <w:bCs/>
          <w:sz w:val="44"/>
          <w:szCs w:val="44"/>
        </w:rPr>
      </w:pPr>
      <w:bookmarkStart w:id="12" w:name="_Toc15377204"/>
      <w:bookmarkStart w:id="13" w:name="_Toc21310"/>
      <w:bookmarkStart w:id="14" w:name="_Toc15396602"/>
      <w:r>
        <w:rPr>
          <w:rFonts w:hint="eastAsia" w:ascii="黑体" w:hAnsi="黑体" w:eastAsia="黑体" w:cs="黑体"/>
          <w:b w:val="0"/>
          <w:sz w:val="44"/>
          <w:szCs w:val="44"/>
        </w:rPr>
        <w:t>第二部分 202</w:t>
      </w:r>
      <w:r>
        <w:rPr>
          <w:rFonts w:hint="eastAsia" w:ascii="黑体" w:hAnsi="黑体" w:eastAsia="黑体" w:cs="黑体"/>
          <w:b w:val="0"/>
          <w:sz w:val="44"/>
          <w:szCs w:val="44"/>
          <w:lang w:val="en-US" w:eastAsia="zh-CN"/>
        </w:rPr>
        <w:t>4</w:t>
      </w:r>
      <w:r>
        <w:rPr>
          <w:rFonts w:hint="eastAsia" w:ascii="黑体" w:hAnsi="黑体" w:eastAsia="黑体" w:cs="黑体"/>
          <w:b w:val="0"/>
          <w:sz w:val="44"/>
          <w:szCs w:val="44"/>
        </w:rPr>
        <w:t>年度</w:t>
      </w:r>
      <w:r>
        <w:rPr>
          <w:rFonts w:hint="eastAsia" w:ascii="黑体" w:hAnsi="黑体" w:eastAsia="黑体" w:cs="黑体"/>
          <w:b w:val="0"/>
          <w:sz w:val="44"/>
          <w:szCs w:val="44"/>
          <w:lang w:val="en-US" w:eastAsia="zh-CN"/>
        </w:rPr>
        <w:t>部门</w:t>
      </w:r>
      <w:r>
        <w:rPr>
          <w:rStyle w:val="27"/>
          <w:rFonts w:hint="eastAsia" w:ascii="黑体" w:hAnsi="黑体" w:eastAsia="黑体" w:cs="黑体"/>
          <w:b w:val="0"/>
          <w:bCs/>
          <w:sz w:val="44"/>
          <w:szCs w:val="44"/>
        </w:rPr>
        <w:t>决算情况说明</w:t>
      </w:r>
      <w:bookmarkEnd w:id="12"/>
      <w:bookmarkEnd w:id="13"/>
      <w:bookmarkEnd w:id="14"/>
    </w:p>
    <w:p w14:paraId="427CC620">
      <w:pPr>
        <w:keepNext/>
        <w:keepLines/>
        <w:pageBreakBefore w:val="0"/>
        <w:widowControl/>
        <w:kinsoku/>
        <w:wordWrap w:val="0"/>
        <w:overflowPunct/>
        <w:topLinePunct/>
        <w:autoSpaceDE/>
        <w:autoSpaceDN/>
        <w:bidi w:val="0"/>
        <w:snapToGrid/>
        <w:spacing w:line="560" w:lineRule="exact"/>
        <w:ind w:firstLine="0" w:firstLineChars="0"/>
        <w:jc w:val="left"/>
        <w:outlineLvl w:val="9"/>
      </w:pPr>
    </w:p>
    <w:p w14:paraId="2BF5DC76">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Style w:val="28"/>
          <w:rFonts w:ascii="黑体" w:hAnsi="黑体" w:eastAsia="黑体"/>
          <w:b w:val="0"/>
        </w:rPr>
      </w:pPr>
      <w:bookmarkStart w:id="15" w:name="_Toc15396603"/>
      <w:bookmarkStart w:id="16" w:name="_Toc15377205"/>
      <w:bookmarkStart w:id="17" w:name="_Toc262"/>
      <w:r>
        <w:rPr>
          <w:rFonts w:hint="eastAsia" w:ascii="黑体" w:hAnsi="黑体" w:eastAsia="黑体"/>
          <w:sz w:val="32"/>
          <w:szCs w:val="32"/>
          <w:lang w:val="en-US" w:eastAsia="zh-CN"/>
        </w:rPr>
        <w:t>一、</w:t>
      </w:r>
      <w:r>
        <w:rPr>
          <w:rFonts w:hint="eastAsia" w:ascii="黑体" w:hAnsi="黑体" w:eastAsia="黑体"/>
          <w:sz w:val="32"/>
          <w:szCs w:val="32"/>
        </w:rPr>
        <w:t>收</w:t>
      </w:r>
      <w:r>
        <w:rPr>
          <w:rStyle w:val="28"/>
          <w:rFonts w:hint="eastAsia" w:ascii="黑体" w:hAnsi="黑体" w:eastAsia="黑体"/>
          <w:b w:val="0"/>
        </w:rPr>
        <w:t>入支出决算总体情况说明</w:t>
      </w:r>
      <w:bookmarkEnd w:id="15"/>
      <w:bookmarkEnd w:id="16"/>
      <w:bookmarkEnd w:id="17"/>
    </w:p>
    <w:p w14:paraId="519FBBEE">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年度收</w:t>
      </w:r>
      <w:r>
        <w:rPr>
          <w:rFonts w:hint="eastAsia" w:ascii="仿宋_GB2312" w:hAnsi="仿宋_GB2312" w:eastAsia="仿宋_GB2312" w:cs="仿宋_GB2312"/>
          <w:b w:val="0"/>
          <w:bCs w:val="0"/>
          <w:sz w:val="32"/>
          <w:szCs w:val="32"/>
          <w:lang w:eastAsia="zh-CN"/>
        </w:rPr>
        <w:t>入</w:t>
      </w:r>
      <w:r>
        <w:rPr>
          <w:rFonts w:hint="eastAsia" w:ascii="仿宋_GB2312" w:hAnsi="仿宋_GB2312" w:eastAsia="仿宋_GB2312" w:cs="仿宋_GB2312"/>
          <w:b w:val="0"/>
          <w:bCs w:val="0"/>
          <w:sz w:val="32"/>
          <w:szCs w:val="32"/>
        </w:rPr>
        <w:t>为</w:t>
      </w:r>
      <w:r>
        <w:rPr>
          <w:rFonts w:hint="eastAsia" w:ascii="仿宋_GB2312" w:hAnsi="仿宋_GB2312" w:eastAsia="仿宋_GB2312" w:cs="仿宋_GB2312"/>
          <w:b/>
          <w:bCs/>
          <w:sz w:val="32"/>
          <w:szCs w:val="32"/>
          <w:lang w:val="en-US" w:eastAsia="zh-CN"/>
        </w:rPr>
        <w:t>2084.20</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eastAsia="zh-CN"/>
        </w:rPr>
        <w:t>，较</w:t>
      </w:r>
      <w:r>
        <w:rPr>
          <w:rFonts w:hint="eastAsia" w:ascii="仿宋_GB2312" w:hAnsi="仿宋_GB2312" w:eastAsia="仿宋_GB2312" w:cs="仿宋_GB2312"/>
          <w:b w:val="0"/>
          <w:bCs w:val="0"/>
          <w:sz w:val="32"/>
          <w:szCs w:val="32"/>
          <w:lang w:val="en-US" w:eastAsia="zh-CN"/>
        </w:rPr>
        <w:t>2023</w:t>
      </w:r>
      <w:r>
        <w:rPr>
          <w:rFonts w:hint="eastAsia" w:ascii="仿宋_GB2312" w:hAnsi="仿宋_GB2312" w:eastAsia="仿宋_GB2312" w:cs="仿宋_GB2312"/>
          <w:b w:val="0"/>
          <w:bCs w:val="0"/>
          <w:sz w:val="32"/>
          <w:szCs w:val="32"/>
        </w:rPr>
        <w:t>增加</w:t>
      </w:r>
      <w:r>
        <w:rPr>
          <w:rFonts w:hint="eastAsia" w:ascii="仿宋_GB2312" w:hAnsi="仿宋_GB2312" w:eastAsia="仿宋_GB2312" w:cs="仿宋_GB2312"/>
          <w:b/>
          <w:bCs/>
          <w:sz w:val="32"/>
          <w:szCs w:val="32"/>
          <w:lang w:val="en-US" w:eastAsia="zh-CN"/>
        </w:rPr>
        <w:t>38.47</w:t>
      </w:r>
      <w:r>
        <w:rPr>
          <w:rFonts w:hint="eastAsia" w:ascii="仿宋_GB2312" w:hAnsi="仿宋_GB2312" w:eastAsia="仿宋_GB2312" w:cs="仿宋_GB2312"/>
          <w:b w:val="0"/>
          <w:bCs w:val="0"/>
          <w:sz w:val="32"/>
          <w:szCs w:val="32"/>
        </w:rPr>
        <w:t>万元，增长</w:t>
      </w:r>
      <w:r>
        <w:rPr>
          <w:rFonts w:hint="eastAsia" w:ascii="仿宋_GB2312" w:hAnsi="仿宋_GB2312" w:eastAsia="仿宋_GB2312" w:cs="仿宋_GB2312"/>
          <w:b w:val="0"/>
          <w:bCs w:val="0"/>
          <w:sz w:val="32"/>
          <w:szCs w:val="32"/>
          <w:lang w:val="en-US" w:eastAsia="zh-CN"/>
        </w:rPr>
        <w:t>为</w:t>
      </w:r>
      <w:r>
        <w:rPr>
          <w:rFonts w:hint="eastAsia" w:ascii="仿宋_GB2312" w:hAnsi="仿宋_GB2312" w:eastAsia="仿宋_GB2312" w:cs="仿宋_GB2312"/>
          <w:b/>
          <w:bCs/>
          <w:sz w:val="32"/>
          <w:szCs w:val="32"/>
          <w:lang w:val="en-US" w:eastAsia="zh-CN"/>
        </w:rPr>
        <w:t>1.88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。2024年支出总计2084.20万元包括</w:t>
      </w:r>
      <w:r>
        <w:rPr>
          <w:rFonts w:hint="eastAsia" w:ascii="仿宋_GB2312" w:hAnsi="仿宋_GB2312" w:eastAsia="仿宋_GB2312" w:cs="仿宋_GB2312"/>
          <w:b w:val="0"/>
          <w:bCs w:val="0"/>
          <w:sz w:val="32"/>
          <w:szCs w:val="32"/>
          <w:lang w:val="en-US" w:eastAsia="zh-CN"/>
        </w:rPr>
        <w:t>2023年结转的援助资金</w:t>
      </w:r>
      <w:r>
        <w:rPr>
          <w:rFonts w:hint="eastAsia" w:ascii="仿宋_GB2312" w:hAnsi="仿宋_GB2312" w:eastAsia="仿宋_GB2312" w:cs="仿宋_GB2312"/>
          <w:b/>
          <w:bCs/>
          <w:sz w:val="32"/>
          <w:szCs w:val="32"/>
          <w:lang w:val="en-US" w:eastAsia="zh-CN"/>
        </w:rPr>
        <w:t>60.11</w:t>
      </w:r>
      <w:r>
        <w:rPr>
          <w:rFonts w:hint="eastAsia" w:ascii="仿宋_GB2312" w:hAnsi="仿宋_GB2312" w:eastAsia="仿宋_GB2312" w:cs="仿宋_GB2312"/>
          <w:b w:val="0"/>
          <w:bCs w:val="0"/>
          <w:sz w:val="32"/>
          <w:szCs w:val="32"/>
          <w:lang w:val="en-US" w:eastAsia="zh-CN"/>
        </w:rPr>
        <w:t>万元和2024年度</w:t>
      </w:r>
      <w:r>
        <w:rPr>
          <w:rFonts w:hint="eastAsia" w:ascii="仿宋_GB2312" w:hAnsi="仿宋_GB2312" w:eastAsia="仿宋_GB2312" w:cs="仿宋_GB2312"/>
          <w:b w:val="0"/>
          <w:bCs w:val="0"/>
          <w:sz w:val="32"/>
          <w:szCs w:val="32"/>
          <w:lang w:eastAsia="zh-CN"/>
        </w:rPr>
        <w:t>支出为</w:t>
      </w:r>
      <w:r>
        <w:rPr>
          <w:rFonts w:hint="eastAsia" w:ascii="仿宋_GB2312" w:hAnsi="仿宋_GB2312" w:eastAsia="仿宋_GB2312" w:cs="仿宋_GB2312"/>
          <w:b/>
          <w:bCs/>
          <w:sz w:val="32"/>
          <w:szCs w:val="32"/>
          <w:lang w:val="en-US" w:eastAsia="zh-CN"/>
        </w:rPr>
        <w:t>2024.09</w:t>
      </w:r>
      <w:r>
        <w:rPr>
          <w:rFonts w:hint="eastAsia" w:ascii="仿宋_GB2312" w:hAnsi="仿宋_GB2312" w:eastAsia="仿宋_GB2312" w:cs="仿宋_GB2312"/>
          <w:b w:val="0"/>
          <w:bCs w:val="0"/>
          <w:sz w:val="32"/>
          <w:szCs w:val="32"/>
          <w:lang w:val="en-US" w:eastAsia="zh-CN"/>
        </w:rPr>
        <w:t>万元，</w:t>
      </w:r>
      <w:r>
        <w:rPr>
          <w:rFonts w:hint="eastAsia" w:ascii="仿宋_GB2312" w:hAnsi="仿宋_GB2312" w:eastAsia="仿宋_GB2312" w:cs="仿宋_GB2312"/>
          <w:b w:val="0"/>
          <w:bCs w:val="0"/>
          <w:sz w:val="32"/>
          <w:szCs w:val="32"/>
          <w:lang w:eastAsia="zh-CN"/>
        </w:rPr>
        <w:t>较</w:t>
      </w:r>
      <w:r>
        <w:rPr>
          <w:rFonts w:hint="eastAsia" w:ascii="仿宋_GB2312" w:hAnsi="仿宋_GB2312" w:eastAsia="仿宋_GB2312" w:cs="仿宋_GB2312"/>
          <w:b w:val="0"/>
          <w:bCs w:val="0"/>
          <w:sz w:val="32"/>
          <w:szCs w:val="32"/>
          <w:lang w:val="en-US" w:eastAsia="zh-CN"/>
        </w:rPr>
        <w:t>2023年度减少</w:t>
      </w:r>
      <w:r>
        <w:rPr>
          <w:rFonts w:hint="eastAsia" w:ascii="仿宋_GB2312" w:hAnsi="仿宋_GB2312" w:eastAsia="仿宋_GB2312" w:cs="仿宋_GB2312"/>
          <w:b/>
          <w:bCs/>
          <w:sz w:val="32"/>
          <w:szCs w:val="32"/>
          <w:lang w:val="en-US" w:eastAsia="zh-CN"/>
        </w:rPr>
        <w:t>21.64</w:t>
      </w:r>
      <w:r>
        <w:rPr>
          <w:rFonts w:hint="eastAsia" w:ascii="仿宋_GB2312" w:hAnsi="仿宋_GB2312" w:eastAsia="仿宋_GB2312" w:cs="仿宋_GB2312"/>
          <w:b w:val="0"/>
          <w:bCs w:val="0"/>
          <w:sz w:val="32"/>
          <w:szCs w:val="32"/>
          <w:lang w:val="en-US" w:eastAsia="zh-CN"/>
        </w:rPr>
        <w:t>万元</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减少</w:t>
      </w:r>
      <w:r>
        <w:rPr>
          <w:rFonts w:hint="eastAsia" w:ascii="仿宋_GB2312" w:hAnsi="仿宋_GB2312" w:eastAsia="仿宋_GB2312" w:cs="仿宋_GB2312"/>
          <w:b w:val="0"/>
          <w:bCs w:val="0"/>
          <w:sz w:val="32"/>
          <w:szCs w:val="32"/>
          <w:lang w:val="en-US" w:eastAsia="zh-CN"/>
        </w:rPr>
        <w:t>为</w:t>
      </w:r>
      <w:r>
        <w:rPr>
          <w:rFonts w:hint="eastAsia" w:ascii="仿宋_GB2312" w:hAnsi="仿宋_GB2312" w:eastAsia="仿宋_GB2312" w:cs="仿宋_GB2312"/>
          <w:b/>
          <w:bCs/>
          <w:sz w:val="32"/>
          <w:szCs w:val="32"/>
          <w:lang w:val="en-US" w:eastAsia="zh-CN"/>
        </w:rPr>
        <w:t>1.06</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，总体来说收支无显著增减变化。</w:t>
      </w:r>
    </w:p>
    <w:p w14:paraId="2F9732D6">
      <w:pPr>
        <w:keepNext/>
        <w:keepLines w:val="0"/>
        <w:pageBreakBefore w:val="0"/>
        <w:widowControl/>
        <w:kinsoku/>
        <w:wordWrap w:val="0"/>
        <w:overflowPunct/>
        <w:topLinePunct/>
        <w:autoSpaceDE/>
        <w:autoSpaceDN/>
        <w:bidi w:val="0"/>
        <w:adjustRightInd/>
        <w:snapToGrid/>
        <w:spacing w:line="560" w:lineRule="exact"/>
        <w:ind w:firstLine="0" w:firstLineChars="0"/>
        <w:jc w:val="center"/>
        <w:outlineLvl w:val="9"/>
        <w:rPr>
          <w:rFonts w:ascii="仿宋_GB2312" w:eastAsia="仿宋_GB2312"/>
          <w:sz w:val="32"/>
          <w:szCs w:val="32"/>
        </w:rPr>
      </w:pPr>
      <w:r>
        <w:rPr>
          <w:rFonts w:hint="eastAsia" w:ascii="仿宋_GB2312" w:hAnsi="仿宋_GB2312" w:eastAsia="仿宋_GB2312" w:cs="仿宋_GB2312"/>
          <w:b w:val="0"/>
          <w:bCs w:val="0"/>
          <w:sz w:val="32"/>
          <w:szCs w:val="32"/>
        </w:rPr>
        <w:t>（图1：收、支决算总计变动情况图）（柱状图）</w:t>
      </w:r>
    </w:p>
    <w:p w14:paraId="59188F54">
      <w:pPr>
        <w:pStyle w:val="18"/>
        <w:rPr>
          <w:rFonts w:ascii="仿宋_GB2312" w:eastAsia="仿宋_GB2312"/>
          <w:sz w:val="32"/>
          <w:szCs w:val="32"/>
        </w:rPr>
      </w:pPr>
      <w:r>
        <w:rPr>
          <w:rFonts w:hint="eastAsia" w:eastAsia="宋体"/>
          <w:shd w:val="clear" w:fill="FFFFFF"/>
          <w:lang w:val="en-US" w:eastAsia="zh-CN"/>
        </w:rPr>
        <w:t xml:space="preserve"> </w:t>
      </w:r>
      <w:r>
        <w:rPr>
          <w:rFonts w:ascii="仿宋_GB2312" w:eastAsia="仿宋_GB2312"/>
          <w:sz w:val="32"/>
          <w:szCs w:val="32"/>
        </w:rPr>
        <w:drawing>
          <wp:inline distT="0" distB="0" distL="114300" distR="114300">
            <wp:extent cx="5271770" cy="3051810"/>
            <wp:effectExtent l="0" t="0" r="5080" b="15240"/>
            <wp:docPr id="14" name="图片 1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4"/>
                    <pic:cNvPicPr>
                      <a:picLocks noChangeAspect="1"/>
                    </pic:cNvPicPr>
                  </pic:nvPicPr>
                  <pic:blipFill>
                    <a:blip r:embed="rId10"/>
                    <a:stretch>
                      <a:fillRect/>
                    </a:stretch>
                  </pic:blipFill>
                  <pic:spPr>
                    <a:xfrm>
                      <a:off x="0" y="0"/>
                      <a:ext cx="5271770" cy="3051810"/>
                    </a:xfrm>
                    <a:prstGeom prst="rect">
                      <a:avLst/>
                    </a:prstGeom>
                  </pic:spPr>
                </pic:pic>
              </a:graphicData>
            </a:graphic>
          </wp:inline>
        </w:drawing>
      </w:r>
    </w:p>
    <w:p w14:paraId="577898D9"/>
    <w:p w14:paraId="406F2A92">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Style w:val="28"/>
          <w:rFonts w:ascii="黑体" w:hAnsi="黑体" w:eastAsia="黑体"/>
          <w:b w:val="0"/>
        </w:rPr>
      </w:pPr>
      <w:bookmarkStart w:id="18" w:name="_Toc15377206"/>
      <w:bookmarkStart w:id="19" w:name="_Toc15396604"/>
      <w:bookmarkStart w:id="20" w:name="_Toc12408"/>
      <w:r>
        <w:rPr>
          <w:rFonts w:hint="eastAsia" w:ascii="黑体" w:hAnsi="黑体" w:eastAsia="黑体"/>
          <w:sz w:val="32"/>
          <w:szCs w:val="32"/>
          <w:lang w:val="en-US" w:eastAsia="zh-CN"/>
        </w:rPr>
        <w:t>二、</w:t>
      </w:r>
      <w:r>
        <w:rPr>
          <w:rFonts w:hint="eastAsia" w:ascii="黑体" w:hAnsi="黑体" w:eastAsia="黑体"/>
          <w:sz w:val="32"/>
          <w:szCs w:val="32"/>
        </w:rPr>
        <w:t>收</w:t>
      </w:r>
      <w:r>
        <w:rPr>
          <w:rStyle w:val="28"/>
          <w:rFonts w:hint="eastAsia" w:ascii="黑体" w:hAnsi="黑体" w:eastAsia="黑体"/>
          <w:b w:val="0"/>
        </w:rPr>
        <w:t>入决算情况说明</w:t>
      </w:r>
      <w:bookmarkEnd w:id="18"/>
      <w:bookmarkEnd w:id="19"/>
      <w:bookmarkEnd w:id="20"/>
    </w:p>
    <w:p w14:paraId="11B0A848">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sz w:val="32"/>
          <w:szCs w:val="32"/>
          <w:lang w:eastAsia="zh-CN"/>
        </w:rPr>
      </w:pPr>
      <w:bookmarkStart w:id="21" w:name="_Toc20207"/>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年度本年收入合计</w:t>
      </w:r>
      <w:r>
        <w:rPr>
          <w:rFonts w:hint="eastAsia" w:ascii="仿宋_GB2312" w:hAnsi="仿宋_GB2312" w:eastAsia="仿宋_GB2312" w:cs="仿宋_GB2312"/>
          <w:b/>
          <w:sz w:val="32"/>
          <w:szCs w:val="32"/>
          <w:lang w:val="en-US" w:eastAsia="zh-CN"/>
        </w:rPr>
        <w:t>2084.20</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b/>
          <w:sz w:val="32"/>
          <w:szCs w:val="32"/>
          <w:lang w:val="en-US" w:eastAsia="zh-CN"/>
        </w:rPr>
        <w:t>1600.08</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76.77</w:t>
      </w:r>
      <w:r>
        <w:rPr>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sz w:val="32"/>
          <w:szCs w:val="32"/>
        </w:rPr>
        <w:t>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rPr>
        <w:t>；事业收入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val="0"/>
          <w:sz w:val="32"/>
          <w:szCs w:val="32"/>
          <w:lang w:val="en-US" w:eastAsia="zh-CN"/>
        </w:rPr>
        <w:t>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rPr>
        <w:t>；经营收入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val="0"/>
          <w:sz w:val="32"/>
          <w:szCs w:val="32"/>
          <w:lang w:val="en-US" w:eastAsia="zh-CN"/>
        </w:rPr>
        <w:t>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val="0"/>
          <w:sz w:val="32"/>
          <w:szCs w:val="32"/>
          <w:lang w:val="en-US" w:eastAsia="zh-CN"/>
        </w:rPr>
        <w:t>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rPr>
        <w:t>；其他收入</w:t>
      </w:r>
      <w:r>
        <w:rPr>
          <w:rFonts w:hint="eastAsia" w:ascii="仿宋_GB2312" w:hAnsi="仿宋_GB2312" w:eastAsia="仿宋_GB2312" w:cs="仿宋_GB2312"/>
          <w:b/>
          <w:sz w:val="32"/>
          <w:szCs w:val="32"/>
          <w:lang w:val="en-US" w:eastAsia="zh-CN"/>
        </w:rPr>
        <w:t>484.12</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val="0"/>
          <w:sz w:val="32"/>
          <w:szCs w:val="32"/>
          <w:lang w:val="en-US" w:eastAsia="zh-CN"/>
        </w:rPr>
        <w:t>23.23</w:t>
      </w:r>
      <w:r>
        <w:rPr>
          <w:rFonts w:hint="eastAsia" w:ascii="仿宋_GB2312" w:hAnsi="仿宋_GB2312" w:eastAsia="仿宋_GB2312" w:cs="仿宋_GB2312"/>
          <w:b w:val="0"/>
          <w:bCs/>
          <w:sz w:val="32"/>
          <w:szCs w:val="32"/>
          <w:lang w:val="en-US" w:eastAsia="zh-CN"/>
        </w:rPr>
        <w:t>%</w:t>
      </w:r>
      <w:bookmarkEnd w:id="21"/>
      <w:r>
        <w:rPr>
          <w:rFonts w:hint="eastAsia" w:ascii="仿宋_GB2312" w:hAnsi="仿宋_GB2312" w:eastAsia="仿宋_GB2312" w:cs="仿宋_GB2312"/>
          <w:sz w:val="32"/>
          <w:szCs w:val="32"/>
          <w:lang w:eastAsia="zh-CN"/>
        </w:rPr>
        <w:t>。</w:t>
      </w:r>
    </w:p>
    <w:p w14:paraId="140E8240">
      <w:pPr>
        <w:keepNext/>
        <w:keepLines w:val="0"/>
        <w:pageBreakBefore w:val="0"/>
        <w:widowControl/>
        <w:kinsoku/>
        <w:wordWrap w:val="0"/>
        <w:overflowPunct/>
        <w:topLinePunct/>
        <w:autoSpaceDE/>
        <w:autoSpaceDN/>
        <w:bidi w:val="0"/>
        <w:adjustRightInd/>
        <w:snapToGrid/>
        <w:spacing w:line="560" w:lineRule="exact"/>
        <w:jc w:val="left"/>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（注：数据来源于财决</w:t>
      </w:r>
      <w:r>
        <w:rPr>
          <w:rFonts w:hint="eastAsia" w:ascii="仿宋_GB2312" w:hAnsi="仿宋_GB2312" w:eastAsia="仿宋_GB2312" w:cs="仿宋_GB2312"/>
          <w:b/>
          <w:bCs w:val="0"/>
          <w:sz w:val="32"/>
          <w:szCs w:val="32"/>
          <w:lang w:val="en-US" w:eastAsia="zh-CN"/>
        </w:rPr>
        <w:t>GK</w:t>
      </w:r>
      <w:r>
        <w:rPr>
          <w:rFonts w:hint="eastAsia" w:ascii="仿宋_GB2312" w:hAnsi="仿宋_GB2312" w:eastAsia="仿宋_GB2312" w:cs="仿宋_GB2312"/>
          <w:b/>
          <w:bCs w:val="0"/>
          <w:sz w:val="32"/>
          <w:szCs w:val="32"/>
        </w:rPr>
        <w:t>0</w:t>
      </w: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表，仅罗列本单位涉及的收入）</w:t>
      </w:r>
    </w:p>
    <w:p w14:paraId="4670EBC3">
      <w:pPr>
        <w:keepNext/>
        <w:keepLines/>
        <w:pageBreakBefore w:val="0"/>
        <w:widowControl/>
        <w:kinsoku/>
        <w:wordWrap w:val="0"/>
        <w:overflowPunct/>
        <w:topLinePunct/>
        <w:autoSpaceDE/>
        <w:autoSpaceDN/>
        <w:bidi w:val="0"/>
        <w:snapToGrid/>
        <w:spacing w:line="560" w:lineRule="exact"/>
        <w:ind w:firstLine="0" w:firstLineChars="0"/>
        <w:jc w:val="center"/>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（图2：收入决算结构图）（饼状图）</w:t>
      </w:r>
    </w:p>
    <w:p w14:paraId="40131CF6">
      <w:pPr>
        <w:pStyle w:val="18"/>
        <w:keepNext/>
        <w:keepLines/>
        <w:pageBreakBefore w:val="0"/>
        <w:kinsoku/>
        <w:overflowPunct/>
        <w:autoSpaceDE/>
        <w:autoSpaceDN/>
        <w:bidi w:val="0"/>
        <w:adjustRightInd/>
        <w:snapToGrid/>
        <w:spacing w:line="240" w:lineRule="auto"/>
        <w:rPr>
          <w:rFonts w:hint="eastAsia" w:ascii="黑体" w:hAnsi="黑体" w:eastAsia="黑体" w:cs="Times New Roman"/>
          <w:sz w:val="32"/>
          <w:szCs w:val="32"/>
          <w:lang w:val="en-US" w:eastAsia="zh-CN"/>
        </w:rPr>
      </w:pPr>
      <w:r>
        <w:rPr>
          <w:rFonts w:hint="eastAsia" w:ascii="仿宋_GB2312" w:eastAsia="仿宋_GB2312"/>
          <w:sz w:val="32"/>
          <w:szCs w:val="32"/>
          <w:lang w:eastAsia="zh-CN"/>
        </w:rPr>
        <w:drawing>
          <wp:inline distT="0" distB="0" distL="114300" distR="114300">
            <wp:extent cx="5267325" cy="3076575"/>
            <wp:effectExtent l="0" t="0" r="9525" b="9525"/>
            <wp:docPr id="15" name="图片 1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5"/>
                    <pic:cNvPicPr>
                      <a:picLocks noChangeAspect="1"/>
                    </pic:cNvPicPr>
                  </pic:nvPicPr>
                  <pic:blipFill>
                    <a:blip r:embed="rId11"/>
                    <a:stretch>
                      <a:fillRect/>
                    </a:stretch>
                  </pic:blipFill>
                  <pic:spPr>
                    <a:xfrm>
                      <a:off x="0" y="0"/>
                      <a:ext cx="5267325" cy="3076575"/>
                    </a:xfrm>
                    <a:prstGeom prst="rect">
                      <a:avLst/>
                    </a:prstGeom>
                  </pic:spPr>
                </pic:pic>
              </a:graphicData>
            </a:graphic>
          </wp:inline>
        </w:drawing>
      </w:r>
    </w:p>
    <w:p w14:paraId="627BF7A6">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三、支出决算情况说明</w:t>
      </w:r>
    </w:p>
    <w:p w14:paraId="50A6281C">
      <w:pPr>
        <w:keepNext/>
        <w:keepLines w:val="0"/>
        <w:pageBreakBefore w:val="0"/>
        <w:widowControl/>
        <w:kinsoku/>
        <w:wordWrap w:val="0"/>
        <w:overflowPunct/>
        <w:topLinePunct/>
        <w:autoSpaceDE/>
        <w:autoSpaceDN/>
        <w:bidi w:val="0"/>
        <w:adjustRightInd/>
        <w:snapToGrid/>
        <w:spacing w:line="560" w:lineRule="exact"/>
        <w:ind w:left="0" w:firstLine="640" w:firstLineChars="200"/>
        <w:jc w:val="left"/>
        <w:outlineLvl w:val="9"/>
        <w:rPr>
          <w:rFonts w:hint="eastAsia" w:ascii="仿宋_GB2312" w:hAnsi="仿宋_GB2312" w:eastAsia="仿宋_GB2312" w:cs="仿宋_GB2312"/>
          <w:sz w:val="32"/>
          <w:szCs w:val="32"/>
          <w:lang w:eastAsia="zh-CN"/>
        </w:rPr>
      </w:pPr>
      <w:bookmarkStart w:id="22" w:name="_Toc704"/>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年度本年支出合计</w:t>
      </w:r>
      <w:r>
        <w:rPr>
          <w:rFonts w:hint="eastAsia" w:ascii="仿宋_GB2312" w:hAnsi="仿宋_GB2312" w:eastAsia="仿宋_GB2312" w:cs="仿宋_GB2312"/>
          <w:b/>
          <w:sz w:val="32"/>
          <w:szCs w:val="32"/>
          <w:lang w:val="en-US" w:eastAsia="zh-CN"/>
        </w:rPr>
        <w:t>2024.09</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基本支出</w:t>
      </w:r>
      <w:r>
        <w:rPr>
          <w:rFonts w:hint="eastAsia" w:ascii="仿宋_GB2312" w:hAnsi="仿宋_GB2312" w:eastAsia="仿宋_GB2312" w:cs="仿宋_GB2312"/>
          <w:b/>
          <w:sz w:val="32"/>
          <w:szCs w:val="32"/>
          <w:lang w:val="en-US" w:eastAsia="zh-CN"/>
        </w:rPr>
        <w:t>1470.46</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72.65</w:t>
      </w:r>
      <w:r>
        <w:rPr>
          <w:rFonts w:hint="eastAsia" w:ascii="仿宋_GB2312" w:hAnsi="仿宋_GB2312" w:eastAsia="仿宋_GB2312" w:cs="仿宋_GB2312"/>
          <w:sz w:val="32"/>
          <w:szCs w:val="32"/>
        </w:rPr>
        <w:t>%；项目支出</w:t>
      </w:r>
      <w:r>
        <w:rPr>
          <w:rFonts w:hint="eastAsia" w:ascii="仿宋_GB2312" w:hAnsi="仿宋_GB2312" w:eastAsia="仿宋_GB2312" w:cs="仿宋_GB2312"/>
          <w:b/>
          <w:sz w:val="32"/>
          <w:szCs w:val="32"/>
          <w:lang w:val="en-US" w:eastAsia="zh-CN"/>
        </w:rPr>
        <w:t>553.63</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27.35</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w:t>
      </w:r>
      <w:bookmarkEnd w:id="22"/>
    </w:p>
    <w:p w14:paraId="7599537F">
      <w:pPr>
        <w:keepNext/>
        <w:keepLines w:val="0"/>
        <w:pageBreakBefore w:val="0"/>
        <w:widowControl/>
        <w:kinsoku/>
        <w:wordWrap w:val="0"/>
        <w:overflowPunct/>
        <w:topLinePunct/>
        <w:autoSpaceDE/>
        <w:autoSpaceDN/>
        <w:bidi w:val="0"/>
        <w:adjustRightInd/>
        <w:snapToGrid/>
        <w:spacing w:line="560" w:lineRule="exact"/>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（注：数据来源于财决</w:t>
      </w:r>
      <w:r>
        <w:rPr>
          <w:rFonts w:hint="eastAsia" w:ascii="仿宋_GB2312" w:hAnsi="仿宋_GB2312" w:eastAsia="仿宋_GB2312" w:cs="仿宋_GB2312"/>
          <w:b/>
          <w:sz w:val="32"/>
          <w:szCs w:val="32"/>
          <w:lang w:val="en-US" w:eastAsia="zh-CN"/>
        </w:rPr>
        <w:t>GK03</w:t>
      </w:r>
      <w:r>
        <w:rPr>
          <w:rFonts w:hint="eastAsia" w:ascii="仿宋_GB2312" w:hAnsi="仿宋_GB2312" w:eastAsia="仿宋_GB2312" w:cs="仿宋_GB2312"/>
          <w:b/>
          <w:sz w:val="32"/>
          <w:szCs w:val="32"/>
        </w:rPr>
        <w:t>表，仅罗列本单位涉及的支出。）</w:t>
      </w:r>
    </w:p>
    <w:p w14:paraId="08DDD7E7">
      <w:pPr>
        <w:keepNext/>
        <w:keepLines w:val="0"/>
        <w:pageBreakBefore w:val="0"/>
        <w:widowControl/>
        <w:kinsoku/>
        <w:wordWrap w:val="0"/>
        <w:overflowPunct/>
        <w:topLinePunct/>
        <w:autoSpaceDE/>
        <w:autoSpaceDN/>
        <w:bidi w:val="0"/>
        <w:adjustRightInd/>
        <w:snapToGrid/>
        <w:spacing w:line="560" w:lineRule="exact"/>
        <w:ind w:left="0" w:firstLine="0" w:firstLineChars="0"/>
        <w:jc w:val="center"/>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（图3：支出决算结构图）（饼状图）</w:t>
      </w:r>
    </w:p>
    <w:p w14:paraId="53B1397C">
      <w:pPr>
        <w:pStyle w:val="18"/>
      </w:pPr>
      <w:r>
        <w:rPr>
          <w:rFonts w:hint="eastAsia" w:ascii="仿宋" w:eastAsia="仿宋"/>
          <w:sz w:val="32"/>
          <w:szCs w:val="32"/>
          <w:lang w:val="en-US" w:eastAsia="zh-CN"/>
        </w:rPr>
        <w:t xml:space="preserve">  </w:t>
      </w:r>
      <w:bookmarkStart w:id="81" w:name="_GoBack"/>
      <w:r>
        <w:drawing>
          <wp:inline distT="0" distB="0" distL="114300" distR="114300">
            <wp:extent cx="5271770" cy="2863850"/>
            <wp:effectExtent l="0" t="0" r="5080" b="12700"/>
            <wp:docPr id="16" name="图片 1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6"/>
                    <pic:cNvPicPr>
                      <a:picLocks noChangeAspect="1"/>
                    </pic:cNvPicPr>
                  </pic:nvPicPr>
                  <pic:blipFill>
                    <a:blip r:embed="rId12"/>
                    <a:stretch>
                      <a:fillRect/>
                    </a:stretch>
                  </pic:blipFill>
                  <pic:spPr>
                    <a:xfrm>
                      <a:off x="0" y="0"/>
                      <a:ext cx="5271770" cy="2863850"/>
                    </a:xfrm>
                    <a:prstGeom prst="rect">
                      <a:avLst/>
                    </a:prstGeom>
                  </pic:spPr>
                </pic:pic>
              </a:graphicData>
            </a:graphic>
          </wp:inline>
        </w:drawing>
      </w:r>
      <w:bookmarkEnd w:id="81"/>
    </w:p>
    <w:p w14:paraId="29C81D97">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bookmarkStart w:id="23" w:name="_Toc15377208"/>
      <w:bookmarkStart w:id="24" w:name="_Toc2415"/>
      <w:bookmarkStart w:id="25" w:name="_Toc15396606"/>
      <w:r>
        <w:rPr>
          <w:rFonts w:hint="eastAsia" w:ascii="黑体" w:hAnsi="黑体" w:eastAsia="黑体" w:cs="Times New Roman"/>
          <w:sz w:val="32"/>
          <w:szCs w:val="32"/>
          <w:lang w:val="en-US" w:eastAsia="zh-CN"/>
        </w:rPr>
        <w:t>四、财政拨款收入支出决算总体情况说明</w:t>
      </w:r>
      <w:bookmarkEnd w:id="23"/>
      <w:bookmarkEnd w:id="24"/>
      <w:bookmarkEnd w:id="25"/>
    </w:p>
    <w:p w14:paraId="76739759">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年度财政拨款收、支总计均为</w:t>
      </w:r>
      <w:r>
        <w:rPr>
          <w:rFonts w:hint="eastAsia" w:ascii="仿宋_GB2312" w:hAnsi="仿宋_GB2312" w:eastAsia="仿宋_GB2312" w:cs="仿宋_GB2312"/>
          <w:b/>
          <w:sz w:val="32"/>
          <w:szCs w:val="32"/>
          <w:lang w:val="en-US" w:eastAsia="zh-CN"/>
        </w:rPr>
        <w:t>1600.08</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b/>
          <w:bCs/>
          <w:sz w:val="32"/>
          <w:szCs w:val="32"/>
          <w:lang w:val="en-US" w:eastAsia="zh-CN"/>
        </w:rPr>
        <w:t>1643.40</w:t>
      </w:r>
      <w:r>
        <w:rPr>
          <w:rFonts w:hint="eastAsia" w:ascii="仿宋_GB2312" w:hAnsi="仿宋_GB2312" w:eastAsia="仿宋_GB2312" w:cs="仿宋_GB2312"/>
          <w:sz w:val="32"/>
          <w:szCs w:val="32"/>
        </w:rPr>
        <w:t>万元相比，财政拨款收、支总计各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sz w:val="32"/>
          <w:szCs w:val="32"/>
          <w:lang w:val="en-US" w:eastAsia="zh-CN"/>
        </w:rPr>
        <w:t>43.32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sz w:val="32"/>
          <w:szCs w:val="32"/>
          <w:lang w:val="en-US" w:eastAsia="zh-CN"/>
        </w:rPr>
        <w:t>2.64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lang w:eastAsia="zh-CN"/>
        </w:rPr>
        <w:t>。</w:t>
      </w:r>
    </w:p>
    <w:p w14:paraId="3D2CA3B1">
      <w:pPr>
        <w:keepNext/>
        <w:keepLines w:val="0"/>
        <w:pageBreakBefore w:val="0"/>
        <w:widowControl/>
        <w:kinsoku/>
        <w:wordWrap w:val="0"/>
        <w:overflowPunct/>
        <w:topLinePunct/>
        <w:autoSpaceDE/>
        <w:autoSpaceDN/>
        <w:bidi w:val="0"/>
        <w:adjustRightInd/>
        <w:snapToGrid/>
        <w:spacing w:line="560" w:lineRule="exact"/>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（注：数据来源于财决</w:t>
      </w:r>
      <w:r>
        <w:rPr>
          <w:rFonts w:hint="eastAsia" w:ascii="仿宋_GB2312" w:hAnsi="仿宋_GB2312" w:eastAsia="仿宋_GB2312" w:cs="仿宋_GB2312"/>
          <w:b/>
          <w:sz w:val="32"/>
          <w:szCs w:val="32"/>
          <w:lang w:val="en-US" w:eastAsia="zh-CN"/>
        </w:rPr>
        <w:t>GK04</w:t>
      </w:r>
      <w:r>
        <w:rPr>
          <w:rFonts w:hint="eastAsia" w:ascii="仿宋_GB2312" w:hAnsi="仿宋_GB2312" w:eastAsia="仿宋_GB2312" w:cs="仿宋_GB2312"/>
          <w:b/>
          <w:sz w:val="32"/>
          <w:szCs w:val="32"/>
        </w:rPr>
        <w:t>表）</w:t>
      </w:r>
    </w:p>
    <w:p w14:paraId="4E347BF6">
      <w:pPr>
        <w:keepNext/>
        <w:keepLines w:val="0"/>
        <w:pageBreakBefore w:val="0"/>
        <w:widowControl/>
        <w:kinsoku/>
        <w:wordWrap w:val="0"/>
        <w:overflowPunct/>
        <w:topLinePunct/>
        <w:autoSpaceDE/>
        <w:autoSpaceDN/>
        <w:bidi w:val="0"/>
        <w:adjustRightInd/>
        <w:snapToGrid/>
        <w:spacing w:line="560" w:lineRule="exact"/>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（图4：财政拨款收、支决算总计变动情况）（柱状图）</w:t>
      </w:r>
    </w:p>
    <w:p w14:paraId="35C12217">
      <w:pPr>
        <w:pStyle w:val="18"/>
        <w:jc w:val="center"/>
        <w:rPr>
          <w:rFonts w:hint="eastAsia" w:eastAsia="黑体"/>
          <w:lang w:eastAsia="zh-CN"/>
        </w:rPr>
      </w:pPr>
      <w:r>
        <w:rPr>
          <w:rFonts w:hint="eastAsia" w:eastAsia="黑体"/>
          <w:lang w:eastAsia="zh-CN"/>
        </w:rPr>
        <w:drawing>
          <wp:inline distT="0" distB="0" distL="114300" distR="114300">
            <wp:extent cx="5273040" cy="2523490"/>
            <wp:effectExtent l="0" t="0" r="3810" b="10160"/>
            <wp:docPr id="10" name="图片 1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
                    <pic:cNvPicPr>
                      <a:picLocks noChangeAspect="1"/>
                    </pic:cNvPicPr>
                  </pic:nvPicPr>
                  <pic:blipFill>
                    <a:blip r:embed="rId13"/>
                    <a:stretch>
                      <a:fillRect/>
                    </a:stretch>
                  </pic:blipFill>
                  <pic:spPr>
                    <a:xfrm>
                      <a:off x="0" y="0"/>
                      <a:ext cx="5273040" cy="2523490"/>
                    </a:xfrm>
                    <a:prstGeom prst="rect">
                      <a:avLst/>
                    </a:prstGeom>
                  </pic:spPr>
                </pic:pic>
              </a:graphicData>
            </a:graphic>
          </wp:inline>
        </w:drawing>
      </w:r>
    </w:p>
    <w:p w14:paraId="2EAA6B97">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bookmarkStart w:id="26" w:name="_Toc15396607"/>
      <w:bookmarkStart w:id="27" w:name="_Toc3716"/>
      <w:bookmarkStart w:id="28" w:name="_Toc15377209"/>
      <w:r>
        <w:rPr>
          <w:rFonts w:hint="eastAsia" w:ascii="黑体" w:hAnsi="黑体" w:eastAsia="黑体" w:cs="Times New Roman"/>
          <w:sz w:val="32"/>
          <w:szCs w:val="32"/>
          <w:lang w:val="en-US" w:eastAsia="zh-CN"/>
        </w:rPr>
        <w:t>五、一般公共预算财政拨款支出决算情况说明</w:t>
      </w:r>
      <w:bookmarkEnd w:id="26"/>
      <w:bookmarkEnd w:id="27"/>
      <w:bookmarkEnd w:id="28"/>
    </w:p>
    <w:p w14:paraId="43023340">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3" w:firstLineChars="200"/>
        <w:jc w:val="left"/>
        <w:outlineLvl w:val="9"/>
        <w:rPr>
          <w:rFonts w:hint="eastAsia" w:ascii="仿宋_GB2312" w:hAnsi="仿宋_GB2312" w:eastAsia="仿宋_GB2312" w:cs="仿宋_GB2312"/>
          <w:b/>
          <w:sz w:val="32"/>
          <w:szCs w:val="32"/>
        </w:rPr>
      </w:pPr>
      <w:bookmarkStart w:id="29" w:name="_Toc15377210"/>
      <w:r>
        <w:rPr>
          <w:rFonts w:hint="eastAsia" w:ascii="仿宋_GB2312" w:hAnsi="仿宋_GB2312" w:eastAsia="仿宋_GB2312" w:cs="仿宋_GB2312"/>
          <w:b/>
          <w:sz w:val="32"/>
          <w:szCs w:val="32"/>
        </w:rPr>
        <w:t>（一）一般公共预算财政拨款支出决算总体情况</w:t>
      </w:r>
      <w:bookmarkEnd w:id="29"/>
    </w:p>
    <w:p w14:paraId="55FBCB57">
      <w:pPr>
        <w:keepNext w:val="0"/>
        <w:keepLines w:val="0"/>
        <w:pageBreakBefore w:val="0"/>
        <w:widowControl w:val="0"/>
        <w:kinsoku/>
        <w:wordWrap/>
        <w:overflowPunct/>
        <w:topLinePunct w:val="0"/>
        <w:autoSpaceDE/>
        <w:autoSpaceDN/>
        <w:bidi w:val="0"/>
        <w:adjustRightInd/>
        <w:snapToGrid/>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b/>
          <w:sz w:val="32"/>
          <w:szCs w:val="32"/>
          <w:lang w:val="en-US" w:eastAsia="zh-CN"/>
        </w:rPr>
        <w:t>1600.08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b/>
          <w:sz w:val="32"/>
          <w:szCs w:val="32"/>
          <w:lang w:val="en-US" w:eastAsia="zh-CN"/>
        </w:rPr>
        <w:t>79.05</w:t>
      </w:r>
      <w:r>
        <w:rPr>
          <w:rFonts w:hint="eastAsia" w:ascii="仿宋_GB2312" w:hAnsi="仿宋_GB2312" w:eastAsia="仿宋_GB2312" w:cs="仿宋_GB2312"/>
          <w:sz w:val="32"/>
          <w:szCs w:val="32"/>
        </w:rPr>
        <w:t>%。与202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b/>
          <w:bCs/>
          <w:sz w:val="32"/>
          <w:szCs w:val="32"/>
          <w:lang w:val="en-US" w:eastAsia="zh-CN"/>
        </w:rPr>
        <w:t>1643.40</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相比，一般公共预算财政拨款支出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sz w:val="32"/>
          <w:szCs w:val="32"/>
          <w:lang w:val="en-US" w:eastAsia="zh-CN"/>
        </w:rPr>
        <w:t>43.38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sz w:val="32"/>
          <w:szCs w:val="32"/>
          <w:lang w:val="en-US" w:eastAsia="zh-CN"/>
        </w:rPr>
        <w:t>2.64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。（图5：一般公共预算财政拨款支出决算变动情况）（柱状图）</w:t>
      </w:r>
    </w:p>
    <w:p w14:paraId="66D22A09">
      <w:pPr>
        <w:pStyle w:val="18"/>
        <w:spacing w:before="0" w:after="0" w:line="240" w:lineRule="auto"/>
        <w:rPr>
          <w:rFonts w:hint="eastAsia"/>
          <w:lang w:eastAsia="zh-CN"/>
        </w:rPr>
      </w:pPr>
      <w:r>
        <w:rPr>
          <w:rFonts w:hint="eastAsia"/>
          <w:lang w:eastAsia="zh-CN"/>
        </w:rPr>
        <w:drawing>
          <wp:inline distT="0" distB="0" distL="114300" distR="114300">
            <wp:extent cx="5271770" cy="3070860"/>
            <wp:effectExtent l="0" t="0" r="5080" b="15240"/>
            <wp:docPr id="11" name="图片 1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2"/>
                    <pic:cNvPicPr>
                      <a:picLocks noChangeAspect="1"/>
                    </pic:cNvPicPr>
                  </pic:nvPicPr>
                  <pic:blipFill>
                    <a:blip r:embed="rId14"/>
                    <a:stretch>
                      <a:fillRect/>
                    </a:stretch>
                  </pic:blipFill>
                  <pic:spPr>
                    <a:xfrm>
                      <a:off x="0" y="0"/>
                      <a:ext cx="5271770" cy="3070860"/>
                    </a:xfrm>
                    <a:prstGeom prst="rect">
                      <a:avLst/>
                    </a:prstGeom>
                  </pic:spPr>
                </pic:pic>
              </a:graphicData>
            </a:graphic>
          </wp:inline>
        </w:drawing>
      </w:r>
    </w:p>
    <w:p w14:paraId="3732FE5D">
      <w:pPr>
        <w:numPr>
          <w:ilvl w:val="0"/>
          <w:numId w:val="1"/>
        </w:numPr>
        <w:spacing w:line="600" w:lineRule="exact"/>
        <w:ind w:firstLine="643" w:firstLineChars="200"/>
        <w:outlineLvl w:val="2"/>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一般公共预算财政拨款支出决算结构情况</w:t>
      </w:r>
    </w:p>
    <w:p w14:paraId="254A25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outlineLvl w:val="2"/>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2023年度一般公共预算财政拨款支出</w:t>
      </w:r>
      <w:r>
        <w:rPr>
          <w:rFonts w:hint="eastAsia" w:ascii="仿宋_GB2312" w:hAnsi="仿宋_GB2312" w:eastAsia="仿宋_GB2312" w:cs="仿宋_GB2312"/>
          <w:b/>
          <w:sz w:val="32"/>
          <w:szCs w:val="32"/>
          <w:lang w:val="en-US" w:eastAsia="zh-CN"/>
        </w:rPr>
        <w:t>1600.08</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公共安全支出</w:t>
      </w:r>
      <w:r>
        <w:rPr>
          <w:rFonts w:hint="eastAsia" w:ascii="仿宋_GB2312" w:hAnsi="仿宋_GB2312" w:eastAsia="仿宋_GB2312" w:cs="仿宋_GB2312"/>
          <w:b/>
          <w:bCs/>
          <w:sz w:val="32"/>
          <w:szCs w:val="32"/>
          <w:lang w:val="en-US" w:eastAsia="zh-CN"/>
        </w:rPr>
        <w:t>1304.95</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sz w:val="32"/>
          <w:szCs w:val="32"/>
          <w:lang w:val="en-US" w:eastAsia="zh-CN"/>
        </w:rPr>
        <w:t>81.56</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val="en-US" w:eastAsia="zh-CN"/>
        </w:rPr>
        <w:t>144.16</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sz w:val="32"/>
          <w:szCs w:val="32"/>
          <w:lang w:val="en-US" w:eastAsia="zh-CN"/>
        </w:rPr>
        <w:t>9.01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b/>
          <w:bCs/>
          <w:sz w:val="32"/>
          <w:szCs w:val="32"/>
          <w:lang w:val="en-US" w:eastAsia="zh-CN"/>
        </w:rPr>
        <w:t>56.75</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sz w:val="32"/>
          <w:szCs w:val="32"/>
          <w:lang w:val="en-US" w:eastAsia="zh-CN"/>
        </w:rPr>
        <w:t>3.55</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val="en-US" w:eastAsia="zh-CN"/>
        </w:rPr>
        <w:t>94.22</w:t>
      </w:r>
      <w:r>
        <w:rPr>
          <w:rFonts w:hint="eastAsia" w:ascii="仿宋_GB2312" w:hAnsi="仿宋_GB2312" w:eastAsia="仿宋_GB2312" w:cs="仿宋_GB2312"/>
          <w:sz w:val="32"/>
          <w:szCs w:val="32"/>
        </w:rPr>
        <w:t>万元，占</w:t>
      </w:r>
      <w:r>
        <w:rPr>
          <w:rFonts w:hint="eastAsia" w:ascii="仿宋_GB2312" w:hAnsi="仿宋_GB2312" w:eastAsia="仿宋_GB2312" w:cs="仿宋_GB2312"/>
          <w:b/>
          <w:bCs/>
          <w:sz w:val="32"/>
          <w:szCs w:val="32"/>
          <w:lang w:val="en-US" w:eastAsia="zh-CN"/>
        </w:rPr>
        <w:t>5.88</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（注：数据来源于财决</w:t>
      </w:r>
      <w:r>
        <w:rPr>
          <w:rFonts w:hint="eastAsia" w:ascii="仿宋_GB2312" w:hAnsi="仿宋_GB2312" w:eastAsia="仿宋_GB2312" w:cs="仿宋_GB2312"/>
          <w:b/>
          <w:sz w:val="32"/>
          <w:szCs w:val="32"/>
          <w:lang w:val="en-US" w:eastAsia="zh-CN"/>
        </w:rPr>
        <w:t>GK04</w:t>
      </w:r>
      <w:r>
        <w:rPr>
          <w:rFonts w:hint="eastAsia" w:ascii="仿宋_GB2312" w:hAnsi="仿宋_GB2312" w:eastAsia="仿宋_GB2312" w:cs="仿宋_GB2312"/>
          <w:b/>
          <w:sz w:val="32"/>
          <w:szCs w:val="32"/>
        </w:rPr>
        <w:t>表，仅罗列本单位涉及的全部功能分类科目，至类级。）</w:t>
      </w:r>
    </w:p>
    <w:p w14:paraId="081DA278">
      <w:pPr>
        <w:numPr>
          <w:ilvl w:val="0"/>
          <w:numId w:val="0"/>
        </w:numPr>
        <w:spacing w:line="600" w:lineRule="exact"/>
        <w:jc w:val="center"/>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（图6：一般公共预算财政拨款支出决算结构）（饼状图）</w:t>
      </w:r>
    </w:p>
    <w:p w14:paraId="01AB52E9">
      <w:pPr>
        <w:keepNext/>
        <w:keepLines w:val="0"/>
        <w:pageBreakBefore w:val="0"/>
        <w:widowControl/>
        <w:kinsoku/>
        <w:wordWrap w:val="0"/>
        <w:overflowPunct/>
        <w:topLinePunct/>
        <w:autoSpaceDE/>
        <w:autoSpaceDN/>
        <w:bidi w:val="0"/>
        <w:adjustRightInd/>
        <w:snapToGrid/>
        <w:spacing w:line="240" w:lineRule="auto"/>
        <w:ind w:firstLine="0" w:firstLineChars="0"/>
        <w:jc w:val="left"/>
        <w:outlineLvl w:val="9"/>
        <w:rPr>
          <w:rFonts w:hint="eastAsia" w:ascii="仿宋_GB2312" w:hAnsi="仿宋_GB2312" w:eastAsia="仿宋_GB2312" w:cs="仿宋_GB2312"/>
          <w:sz w:val="32"/>
          <w:szCs w:val="32"/>
          <w:lang w:val="en-US" w:eastAsia="zh-CN"/>
        </w:rPr>
      </w:pPr>
      <w:bookmarkStart w:id="30" w:name="_Toc15377212"/>
      <w:r>
        <w:rPr>
          <w:rFonts w:hint="eastAsia" w:ascii="仿宋_GB2312" w:hAnsi="仿宋_GB2312" w:eastAsia="仿宋_GB2312" w:cs="仿宋_GB2312"/>
          <w:sz w:val="32"/>
          <w:szCs w:val="32"/>
          <w:lang w:val="en-US" w:eastAsia="zh-CN"/>
        </w:rPr>
        <w:drawing>
          <wp:inline distT="0" distB="0" distL="114300" distR="114300">
            <wp:extent cx="5270500" cy="3314065"/>
            <wp:effectExtent l="0" t="0" r="6350" b="635"/>
            <wp:docPr id="13" name="图片 1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3"/>
                    <pic:cNvPicPr>
                      <a:picLocks noChangeAspect="1"/>
                    </pic:cNvPicPr>
                  </pic:nvPicPr>
                  <pic:blipFill>
                    <a:blip r:embed="rId15"/>
                    <a:stretch>
                      <a:fillRect/>
                    </a:stretch>
                  </pic:blipFill>
                  <pic:spPr>
                    <a:xfrm>
                      <a:off x="0" y="0"/>
                      <a:ext cx="5270500" cy="3314065"/>
                    </a:xfrm>
                    <a:prstGeom prst="rect">
                      <a:avLst/>
                    </a:prstGeom>
                  </pic:spPr>
                </pic:pic>
              </a:graphicData>
            </a:graphic>
          </wp:inline>
        </w:drawing>
      </w:r>
    </w:p>
    <w:p w14:paraId="1ABFD4F1">
      <w:pPr>
        <w:keepNext/>
        <w:keepLines w:val="0"/>
        <w:pageBreakBefore w:val="0"/>
        <w:widowControl/>
        <w:kinsoku/>
        <w:wordWrap w:val="0"/>
        <w:overflowPunct/>
        <w:topLinePunct/>
        <w:autoSpaceDE/>
        <w:autoSpaceDN/>
        <w:bidi w:val="0"/>
        <w:adjustRightInd/>
        <w:snapToGrid/>
        <w:spacing w:line="240" w:lineRule="auto"/>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sz w:val="32"/>
          <w:szCs w:val="32"/>
        </w:rPr>
        <w:t>（三）一般公共预算财政拨款支出决算具体情况</w:t>
      </w:r>
      <w:bookmarkEnd w:id="30"/>
    </w:p>
    <w:p w14:paraId="09B418CA">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b w:val="0"/>
          <w:bCs/>
          <w:sz w:val="32"/>
          <w:szCs w:val="32"/>
        </w:rPr>
      </w:pPr>
      <w:bookmarkStart w:id="31" w:name="_Toc15378460"/>
      <w:bookmarkStart w:id="32" w:name="_Toc15377444"/>
      <w:bookmarkStart w:id="33" w:name="_Toc15377213"/>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年度一般公共预算支出决算数为</w:t>
      </w:r>
      <w:r>
        <w:rPr>
          <w:rFonts w:hint="eastAsia" w:ascii="仿宋_GB2312" w:hAnsi="仿宋_GB2312" w:eastAsia="仿宋_GB2312" w:cs="仿宋_GB2312"/>
          <w:b/>
          <w:bCs w:val="0"/>
          <w:sz w:val="32"/>
          <w:szCs w:val="32"/>
          <w:lang w:val="en-US" w:eastAsia="zh-CN"/>
        </w:rPr>
        <w:t>1600.08</w:t>
      </w:r>
      <w:r>
        <w:rPr>
          <w:rFonts w:hint="eastAsia" w:ascii="仿宋_GB2312" w:hAnsi="仿宋_GB2312" w:eastAsia="仿宋_GB2312" w:cs="仿宋_GB2312"/>
          <w:b w:val="0"/>
          <w:bCs/>
          <w:sz w:val="32"/>
          <w:szCs w:val="32"/>
          <w:lang w:val="en-US" w:eastAsia="zh-CN"/>
        </w:rPr>
        <w:t>万元</w:t>
      </w:r>
      <w:r>
        <w:rPr>
          <w:rFonts w:hint="eastAsia" w:ascii="仿宋_GB2312" w:hAnsi="仿宋_GB2312" w:eastAsia="仿宋_GB2312" w:cs="仿宋_GB2312"/>
          <w:b w:val="0"/>
          <w:bCs/>
          <w:sz w:val="32"/>
          <w:szCs w:val="32"/>
        </w:rPr>
        <w:t>，</w:t>
      </w:r>
      <w:r>
        <w:rPr>
          <w:rStyle w:val="16"/>
          <w:rFonts w:hint="eastAsia" w:ascii="仿宋_GB2312" w:hAnsi="仿宋_GB2312" w:eastAsia="仿宋_GB2312" w:cs="仿宋_GB2312"/>
          <w:b w:val="0"/>
          <w:bCs/>
          <w:sz w:val="32"/>
          <w:szCs w:val="32"/>
        </w:rPr>
        <w:t>完成预算</w:t>
      </w:r>
      <w:r>
        <w:rPr>
          <w:rStyle w:val="16"/>
          <w:rFonts w:hint="eastAsia" w:ascii="仿宋_GB2312" w:hAnsi="仿宋_GB2312" w:eastAsia="仿宋_GB2312" w:cs="仿宋_GB2312"/>
          <w:b/>
          <w:bCs w:val="0"/>
          <w:sz w:val="32"/>
          <w:szCs w:val="32"/>
          <w:lang w:val="en-US" w:eastAsia="zh-CN"/>
        </w:rPr>
        <w:t>98.75</w:t>
      </w:r>
      <w:r>
        <w:rPr>
          <w:rStyle w:val="16"/>
          <w:rFonts w:hint="eastAsia" w:ascii="仿宋_GB2312" w:hAnsi="仿宋_GB2312" w:eastAsia="仿宋_GB2312" w:cs="仿宋_GB2312"/>
          <w:b w:val="0"/>
          <w:bCs/>
          <w:sz w:val="32"/>
          <w:szCs w:val="32"/>
          <w:lang w:val="en-US" w:eastAsia="zh-CN"/>
        </w:rPr>
        <w:t>%</w:t>
      </w:r>
      <w:r>
        <w:rPr>
          <w:rStyle w:val="16"/>
          <w:rFonts w:hint="eastAsia" w:ascii="仿宋_GB2312" w:hAnsi="仿宋_GB2312" w:eastAsia="仿宋_GB2312" w:cs="仿宋_GB2312"/>
          <w:b w:val="0"/>
          <w:bCs/>
          <w:sz w:val="32"/>
          <w:szCs w:val="32"/>
        </w:rPr>
        <w:t>。其中：</w:t>
      </w:r>
      <w:bookmarkEnd w:id="31"/>
      <w:bookmarkEnd w:id="32"/>
      <w:bookmarkEnd w:id="33"/>
    </w:p>
    <w:p w14:paraId="04E0AF39">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Style w:val="16"/>
          <w:rFonts w:hint="eastAsia" w:ascii="仿宋_GB2312" w:hAnsi="仿宋_GB2312" w:eastAsia="仿宋_GB2312" w:cs="仿宋_GB2312"/>
          <w:b w:val="0"/>
          <w:bCs w:val="0"/>
          <w:sz w:val="32"/>
          <w:szCs w:val="32"/>
        </w:rPr>
      </w:pPr>
      <w:r>
        <w:rPr>
          <w:rStyle w:val="16"/>
          <w:rFonts w:hint="eastAsia" w:ascii="仿宋_GB2312" w:hAnsi="仿宋_GB2312" w:eastAsia="仿宋_GB2312" w:cs="仿宋_GB2312"/>
          <w:b w:val="0"/>
          <w:bCs w:val="0"/>
          <w:sz w:val="32"/>
          <w:szCs w:val="32"/>
        </w:rPr>
        <w:t>1.公共安全</w:t>
      </w:r>
      <w:r>
        <w:rPr>
          <w:rStyle w:val="16"/>
          <w:rFonts w:hint="eastAsia" w:ascii="仿宋_GB2312" w:hAnsi="仿宋_GB2312" w:eastAsia="仿宋_GB2312" w:cs="仿宋_GB2312"/>
          <w:b w:val="0"/>
          <w:bCs w:val="0"/>
          <w:sz w:val="32"/>
          <w:szCs w:val="32"/>
          <w:lang w:val="en-US" w:eastAsia="zh-CN"/>
        </w:rPr>
        <w:t>支出</w:t>
      </w:r>
      <w:r>
        <w:rPr>
          <w:rStyle w:val="16"/>
          <w:rFonts w:hint="eastAsia" w:ascii="仿宋_GB2312" w:hAnsi="仿宋_GB2312" w:eastAsia="仿宋_GB2312" w:cs="仿宋_GB2312"/>
          <w:b w:val="0"/>
          <w:bCs w:val="0"/>
          <w:sz w:val="32"/>
          <w:szCs w:val="32"/>
        </w:rPr>
        <w:t>: 支出决算为</w:t>
      </w:r>
      <w:r>
        <w:rPr>
          <w:rStyle w:val="16"/>
          <w:rFonts w:hint="eastAsia" w:ascii="仿宋_GB2312" w:hAnsi="仿宋_GB2312" w:eastAsia="仿宋_GB2312" w:cs="仿宋_GB2312"/>
          <w:b/>
          <w:bCs/>
          <w:sz w:val="32"/>
          <w:szCs w:val="32"/>
          <w:lang w:val="en-US" w:eastAsia="zh-CN"/>
        </w:rPr>
        <w:t>1304.95</w:t>
      </w:r>
      <w:r>
        <w:rPr>
          <w:rStyle w:val="16"/>
          <w:rFonts w:hint="eastAsia" w:ascii="仿宋_GB2312" w:hAnsi="仿宋_GB2312" w:eastAsia="仿宋_GB2312" w:cs="仿宋_GB2312"/>
          <w:b w:val="0"/>
          <w:bCs w:val="0"/>
          <w:sz w:val="32"/>
          <w:szCs w:val="32"/>
        </w:rPr>
        <w:t>元，完成预算</w:t>
      </w:r>
      <w:r>
        <w:rPr>
          <w:rStyle w:val="16"/>
          <w:rFonts w:hint="eastAsia" w:ascii="仿宋_GB2312" w:hAnsi="仿宋_GB2312" w:eastAsia="仿宋_GB2312" w:cs="仿宋_GB2312"/>
          <w:b/>
          <w:bCs/>
          <w:sz w:val="32"/>
          <w:szCs w:val="32"/>
          <w:lang w:val="en-US" w:eastAsia="zh-CN"/>
        </w:rPr>
        <w:t>98.49</w:t>
      </w:r>
      <w:r>
        <w:rPr>
          <w:rStyle w:val="16"/>
          <w:rFonts w:hint="eastAsia" w:ascii="仿宋_GB2312" w:hAnsi="仿宋_GB2312" w:eastAsia="仿宋_GB2312" w:cs="仿宋_GB2312"/>
          <w:b w:val="0"/>
          <w:bCs w:val="0"/>
          <w:sz w:val="32"/>
          <w:szCs w:val="32"/>
        </w:rPr>
        <w:t>%；</w:t>
      </w:r>
    </w:p>
    <w:p w14:paraId="2E192B8D">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Style w:val="16"/>
          <w:rFonts w:hint="eastAsia" w:ascii="仿宋_GB2312" w:hAnsi="仿宋_GB2312" w:eastAsia="仿宋_GB2312" w:cs="仿宋_GB2312"/>
          <w:b w:val="0"/>
          <w:bCs w:val="0"/>
          <w:sz w:val="32"/>
          <w:szCs w:val="32"/>
        </w:rPr>
      </w:pPr>
      <w:r>
        <w:rPr>
          <w:rStyle w:val="16"/>
          <w:rFonts w:hint="eastAsia" w:ascii="仿宋_GB2312" w:hAnsi="仿宋_GB2312" w:eastAsia="仿宋_GB2312" w:cs="仿宋_GB2312"/>
          <w:b w:val="0"/>
          <w:bCs w:val="0"/>
          <w:sz w:val="32"/>
          <w:szCs w:val="32"/>
        </w:rPr>
        <w:t>2.社会保障和就业</w:t>
      </w:r>
      <w:r>
        <w:rPr>
          <w:rStyle w:val="16"/>
          <w:rFonts w:hint="eastAsia" w:ascii="仿宋_GB2312" w:hAnsi="仿宋_GB2312" w:eastAsia="仿宋_GB2312" w:cs="仿宋_GB2312"/>
          <w:b w:val="0"/>
          <w:bCs w:val="0"/>
          <w:sz w:val="32"/>
          <w:szCs w:val="32"/>
          <w:lang w:val="en-US" w:eastAsia="zh-CN"/>
        </w:rPr>
        <w:t>支出</w:t>
      </w:r>
      <w:r>
        <w:rPr>
          <w:rStyle w:val="16"/>
          <w:rFonts w:hint="eastAsia" w:ascii="仿宋_GB2312" w:hAnsi="仿宋_GB2312" w:eastAsia="仿宋_GB2312" w:cs="仿宋_GB2312"/>
          <w:b w:val="0"/>
          <w:bCs w:val="0"/>
          <w:sz w:val="32"/>
          <w:szCs w:val="32"/>
        </w:rPr>
        <w:t>: 支出决算为</w:t>
      </w:r>
      <w:r>
        <w:rPr>
          <w:rStyle w:val="16"/>
          <w:rFonts w:hint="eastAsia" w:ascii="仿宋_GB2312" w:hAnsi="仿宋_GB2312" w:eastAsia="仿宋_GB2312" w:cs="仿宋_GB2312"/>
          <w:b/>
          <w:bCs/>
          <w:sz w:val="32"/>
          <w:szCs w:val="32"/>
          <w:lang w:val="en-US" w:eastAsia="zh-CN"/>
        </w:rPr>
        <w:t>144.16</w:t>
      </w:r>
      <w:r>
        <w:rPr>
          <w:rStyle w:val="16"/>
          <w:rFonts w:hint="eastAsia" w:ascii="仿宋_GB2312" w:hAnsi="仿宋_GB2312" w:eastAsia="仿宋_GB2312" w:cs="仿宋_GB2312"/>
          <w:b w:val="0"/>
          <w:bCs w:val="0"/>
          <w:sz w:val="32"/>
          <w:szCs w:val="32"/>
        </w:rPr>
        <w:t>万元，完成预算</w:t>
      </w:r>
      <w:r>
        <w:rPr>
          <w:rStyle w:val="16"/>
          <w:rFonts w:hint="eastAsia" w:ascii="仿宋_GB2312" w:hAnsi="仿宋_GB2312" w:eastAsia="仿宋_GB2312" w:cs="仿宋_GB2312"/>
          <w:b/>
          <w:bCs/>
          <w:sz w:val="32"/>
          <w:szCs w:val="32"/>
        </w:rPr>
        <w:t>100</w:t>
      </w:r>
      <w:r>
        <w:rPr>
          <w:rStyle w:val="16"/>
          <w:rFonts w:hint="eastAsia" w:ascii="仿宋_GB2312" w:hAnsi="仿宋_GB2312" w:eastAsia="仿宋_GB2312" w:cs="仿宋_GB2312"/>
          <w:b w:val="0"/>
          <w:bCs w:val="0"/>
          <w:sz w:val="32"/>
          <w:szCs w:val="32"/>
        </w:rPr>
        <w:t>%；</w:t>
      </w:r>
    </w:p>
    <w:p w14:paraId="2CBCA154">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Style w:val="16"/>
          <w:rFonts w:hint="eastAsia" w:ascii="仿宋_GB2312" w:hAnsi="仿宋_GB2312" w:eastAsia="仿宋_GB2312" w:cs="仿宋_GB2312"/>
          <w:b w:val="0"/>
          <w:bCs w:val="0"/>
          <w:sz w:val="32"/>
          <w:szCs w:val="32"/>
        </w:rPr>
      </w:pPr>
      <w:r>
        <w:rPr>
          <w:rStyle w:val="16"/>
          <w:rFonts w:hint="eastAsia" w:ascii="仿宋_GB2312" w:hAnsi="仿宋_GB2312" w:eastAsia="仿宋_GB2312" w:cs="仿宋_GB2312"/>
          <w:b w:val="0"/>
          <w:bCs w:val="0"/>
          <w:sz w:val="32"/>
          <w:szCs w:val="32"/>
        </w:rPr>
        <w:t>3.卫生健康</w:t>
      </w:r>
      <w:r>
        <w:rPr>
          <w:rStyle w:val="16"/>
          <w:rFonts w:hint="eastAsia" w:ascii="仿宋_GB2312" w:hAnsi="仿宋_GB2312" w:eastAsia="仿宋_GB2312" w:cs="仿宋_GB2312"/>
          <w:b w:val="0"/>
          <w:bCs w:val="0"/>
          <w:sz w:val="32"/>
          <w:szCs w:val="32"/>
          <w:lang w:val="en-US" w:eastAsia="zh-CN"/>
        </w:rPr>
        <w:t>支出</w:t>
      </w:r>
      <w:r>
        <w:rPr>
          <w:rStyle w:val="16"/>
          <w:rFonts w:hint="eastAsia" w:ascii="仿宋_GB2312" w:hAnsi="仿宋_GB2312" w:eastAsia="仿宋_GB2312" w:cs="仿宋_GB2312"/>
          <w:b w:val="0"/>
          <w:bCs w:val="0"/>
          <w:sz w:val="32"/>
          <w:szCs w:val="32"/>
        </w:rPr>
        <w:t>:支出决算为</w:t>
      </w:r>
      <w:r>
        <w:rPr>
          <w:rStyle w:val="16"/>
          <w:rFonts w:hint="eastAsia" w:ascii="仿宋_GB2312" w:hAnsi="仿宋_GB2312" w:eastAsia="仿宋_GB2312" w:cs="仿宋_GB2312"/>
          <w:b/>
          <w:bCs/>
          <w:sz w:val="32"/>
          <w:szCs w:val="32"/>
          <w:lang w:val="en-US" w:eastAsia="zh-CN"/>
        </w:rPr>
        <w:t>56.75</w:t>
      </w:r>
      <w:r>
        <w:rPr>
          <w:rStyle w:val="16"/>
          <w:rFonts w:hint="eastAsia" w:ascii="仿宋_GB2312" w:hAnsi="仿宋_GB2312" w:eastAsia="仿宋_GB2312" w:cs="仿宋_GB2312"/>
          <w:b w:val="0"/>
          <w:bCs w:val="0"/>
          <w:sz w:val="32"/>
          <w:szCs w:val="32"/>
        </w:rPr>
        <w:t>万元，完成预算</w:t>
      </w:r>
      <w:r>
        <w:rPr>
          <w:rStyle w:val="16"/>
          <w:rFonts w:hint="eastAsia" w:ascii="仿宋_GB2312" w:hAnsi="仿宋_GB2312" w:eastAsia="仿宋_GB2312" w:cs="仿宋_GB2312"/>
          <w:b/>
          <w:bCs/>
          <w:sz w:val="32"/>
          <w:szCs w:val="32"/>
        </w:rPr>
        <w:t>100</w:t>
      </w:r>
      <w:r>
        <w:rPr>
          <w:rStyle w:val="16"/>
          <w:rFonts w:hint="eastAsia" w:ascii="仿宋_GB2312" w:hAnsi="仿宋_GB2312" w:eastAsia="仿宋_GB2312" w:cs="仿宋_GB2312"/>
          <w:b w:val="0"/>
          <w:bCs w:val="0"/>
          <w:sz w:val="32"/>
          <w:szCs w:val="32"/>
        </w:rPr>
        <w:t>%；</w:t>
      </w:r>
    </w:p>
    <w:p w14:paraId="16B7E776">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Style w:val="16"/>
          <w:rFonts w:hint="eastAsia" w:ascii="仿宋_GB2312" w:hAnsi="仿宋_GB2312" w:eastAsia="仿宋_GB2312" w:cs="仿宋_GB2312"/>
          <w:b w:val="0"/>
          <w:bCs w:val="0"/>
          <w:sz w:val="32"/>
          <w:szCs w:val="32"/>
        </w:rPr>
      </w:pPr>
      <w:r>
        <w:rPr>
          <w:rStyle w:val="16"/>
          <w:rFonts w:hint="eastAsia" w:ascii="仿宋_GB2312" w:hAnsi="仿宋_GB2312" w:eastAsia="仿宋_GB2312" w:cs="仿宋_GB2312"/>
          <w:b w:val="0"/>
          <w:bCs w:val="0"/>
          <w:sz w:val="32"/>
          <w:szCs w:val="32"/>
        </w:rPr>
        <w:t>4.住房保障</w:t>
      </w:r>
      <w:r>
        <w:rPr>
          <w:rStyle w:val="16"/>
          <w:rFonts w:hint="eastAsia" w:ascii="仿宋_GB2312" w:hAnsi="仿宋_GB2312" w:eastAsia="仿宋_GB2312" w:cs="仿宋_GB2312"/>
          <w:b w:val="0"/>
          <w:bCs w:val="0"/>
          <w:sz w:val="32"/>
          <w:szCs w:val="32"/>
          <w:lang w:val="en-US" w:eastAsia="zh-CN"/>
        </w:rPr>
        <w:t>支出</w:t>
      </w:r>
      <w:r>
        <w:rPr>
          <w:rStyle w:val="16"/>
          <w:rFonts w:hint="eastAsia" w:ascii="仿宋_GB2312" w:hAnsi="仿宋_GB2312" w:eastAsia="仿宋_GB2312" w:cs="仿宋_GB2312"/>
          <w:b w:val="0"/>
          <w:bCs w:val="0"/>
          <w:sz w:val="32"/>
          <w:szCs w:val="32"/>
        </w:rPr>
        <w:t>：支出决算为</w:t>
      </w:r>
      <w:r>
        <w:rPr>
          <w:rStyle w:val="16"/>
          <w:rFonts w:hint="eastAsia" w:ascii="仿宋_GB2312" w:hAnsi="仿宋_GB2312" w:eastAsia="仿宋_GB2312" w:cs="仿宋_GB2312"/>
          <w:b/>
          <w:bCs/>
          <w:sz w:val="32"/>
          <w:szCs w:val="32"/>
          <w:lang w:val="en-US" w:eastAsia="zh-CN"/>
        </w:rPr>
        <w:t>94.22</w:t>
      </w:r>
      <w:r>
        <w:rPr>
          <w:rStyle w:val="16"/>
          <w:rFonts w:hint="eastAsia" w:ascii="仿宋_GB2312" w:hAnsi="仿宋_GB2312" w:eastAsia="仿宋_GB2312" w:cs="仿宋_GB2312"/>
          <w:b w:val="0"/>
          <w:bCs w:val="0"/>
          <w:sz w:val="32"/>
          <w:szCs w:val="32"/>
        </w:rPr>
        <w:t>万元，完成预算</w:t>
      </w:r>
      <w:r>
        <w:rPr>
          <w:rStyle w:val="16"/>
          <w:rFonts w:hint="eastAsia" w:ascii="仿宋_GB2312" w:hAnsi="仿宋_GB2312" w:eastAsia="仿宋_GB2312" w:cs="仿宋_GB2312"/>
          <w:b/>
          <w:bCs/>
          <w:sz w:val="32"/>
          <w:szCs w:val="32"/>
        </w:rPr>
        <w:t>100</w:t>
      </w:r>
      <w:r>
        <w:rPr>
          <w:rStyle w:val="16"/>
          <w:rFonts w:hint="eastAsia" w:ascii="仿宋_GB2312" w:hAnsi="仿宋_GB2312" w:eastAsia="仿宋_GB2312" w:cs="仿宋_GB2312"/>
          <w:b w:val="0"/>
          <w:bCs w:val="0"/>
          <w:sz w:val="32"/>
          <w:szCs w:val="32"/>
        </w:rPr>
        <w:t>%。</w:t>
      </w:r>
    </w:p>
    <w:p w14:paraId="06ADD2D3">
      <w:pPr>
        <w:keepNext/>
        <w:keepLines w:val="0"/>
        <w:pageBreakBefore w:val="0"/>
        <w:widowControl/>
        <w:kinsoku/>
        <w:wordWrap w:val="0"/>
        <w:overflowPunct/>
        <w:topLinePunct/>
        <w:autoSpaceDE/>
        <w:autoSpaceDN/>
        <w:bidi w:val="0"/>
        <w:adjustRightInd/>
        <w:snapToGrid/>
        <w:spacing w:line="560" w:lineRule="exact"/>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（注：数据来源于财决</w:t>
      </w:r>
      <w:r>
        <w:rPr>
          <w:rFonts w:hint="eastAsia" w:ascii="仿宋_GB2312" w:hAnsi="仿宋_GB2312" w:eastAsia="仿宋_GB2312" w:cs="仿宋_GB2312"/>
          <w:b/>
          <w:bCs/>
          <w:sz w:val="32"/>
          <w:szCs w:val="32"/>
          <w:lang w:val="en-US" w:eastAsia="zh-CN"/>
        </w:rPr>
        <w:t>GK04</w:t>
      </w:r>
      <w:r>
        <w:rPr>
          <w:rFonts w:hint="eastAsia" w:ascii="仿宋_GB2312" w:hAnsi="仿宋_GB2312" w:eastAsia="仿宋_GB2312" w:cs="仿宋_GB2312"/>
          <w:b/>
          <w:bCs/>
          <w:sz w:val="32"/>
          <w:szCs w:val="32"/>
        </w:rPr>
        <w:t>表，仅罗列本单位涉及的全部功能分类科目，至项级。上述“预算”口径为全年预算数。增减变动原因为决算数&lt;项级&gt;和全年预算数&lt;项级&gt;比较，与预算数持平可以不写原因。）</w:t>
      </w:r>
    </w:p>
    <w:p w14:paraId="65C3D09A">
      <w:pPr>
        <w:keepNext/>
        <w:keepLines w:val="0"/>
        <w:pageBreakBefore w:val="0"/>
        <w:widowControl/>
        <w:tabs>
          <w:tab w:val="right" w:pos="8306"/>
        </w:tabs>
        <w:kinsoku/>
        <w:wordWrap w:val="0"/>
        <w:overflowPunct/>
        <w:topLinePunct/>
        <w:autoSpaceDE/>
        <w:autoSpaceDN/>
        <w:bidi w:val="0"/>
        <w:adjustRightInd/>
        <w:snapToGrid/>
        <w:spacing w:line="560" w:lineRule="exact"/>
        <w:ind w:firstLine="640" w:firstLineChars="200"/>
        <w:jc w:val="left"/>
        <w:outlineLvl w:val="9"/>
        <w:rPr>
          <w:rStyle w:val="28"/>
          <w:rFonts w:hint="eastAsia" w:ascii="仿宋_GB2312" w:hAnsi="仿宋_GB2312" w:eastAsia="仿宋_GB2312" w:cs="仿宋_GB2312"/>
        </w:rPr>
      </w:pPr>
      <w:bookmarkStart w:id="34" w:name="_Toc15396608"/>
      <w:bookmarkStart w:id="35" w:name="_Toc15377214"/>
      <w:bookmarkStart w:id="36" w:name="_Toc27716"/>
      <w:r>
        <w:rPr>
          <w:rFonts w:hint="eastAsia" w:ascii="黑体" w:hAnsi="黑体" w:eastAsia="黑体" w:cs="Times New Roman"/>
          <w:kern w:val="2"/>
          <w:sz w:val="32"/>
          <w:szCs w:val="32"/>
          <w:lang w:val="en-US" w:eastAsia="zh-CN" w:bidi="ar-SA"/>
        </w:rPr>
        <w:t>六、一般公共预算财政拨款基本支出决算情况说明</w:t>
      </w:r>
      <w:bookmarkEnd w:id="34"/>
      <w:bookmarkEnd w:id="35"/>
      <w:bookmarkEnd w:id="36"/>
      <w:r>
        <w:rPr>
          <w:rStyle w:val="28"/>
          <w:rFonts w:hint="eastAsia" w:ascii="仿宋_GB2312" w:hAnsi="仿宋_GB2312" w:eastAsia="仿宋_GB2312" w:cs="仿宋_GB2312"/>
          <w:b w:val="0"/>
        </w:rPr>
        <w:tab/>
      </w:r>
    </w:p>
    <w:p w14:paraId="05B3D445">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年度一般公共预算财政拨款基本支出</w:t>
      </w:r>
      <w:r>
        <w:rPr>
          <w:rFonts w:hint="eastAsia" w:ascii="仿宋_GB2312" w:hAnsi="仿宋_GB2312" w:eastAsia="仿宋_GB2312" w:cs="仿宋_GB2312"/>
          <w:b/>
          <w:sz w:val="32"/>
          <w:szCs w:val="32"/>
          <w:lang w:val="en-US" w:eastAsia="zh-CN"/>
        </w:rPr>
        <w:t>1046.45</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b/>
          <w:sz w:val="32"/>
          <w:szCs w:val="32"/>
          <w:lang w:val="en-US" w:eastAsia="zh-CN"/>
        </w:rPr>
        <w:t>943.70</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b/>
          <w:sz w:val="32"/>
          <w:szCs w:val="32"/>
          <w:lang w:val="en-US" w:eastAsia="zh-CN"/>
        </w:rPr>
        <w:t>102.75</w:t>
      </w:r>
      <w:r>
        <w:rPr>
          <w:rFonts w:hint="eastAsia" w:ascii="仿宋_GB2312" w:hAnsi="仿宋_GB2312" w:eastAsia="仿宋_GB2312" w:cs="仿宋_GB2312"/>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2D5F497">
      <w:pPr>
        <w:keepNext/>
        <w:keepLines w:val="0"/>
        <w:pageBreakBefore w:val="0"/>
        <w:widowControl/>
        <w:kinsoku/>
        <w:wordWrap w:val="0"/>
        <w:overflowPunct/>
        <w:topLinePunct/>
        <w:autoSpaceDE/>
        <w:autoSpaceDN/>
        <w:bidi w:val="0"/>
        <w:adjustRightInd/>
        <w:snapToGrid/>
        <w:spacing w:line="560" w:lineRule="exact"/>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w:t>
      </w:r>
      <w:r>
        <w:rPr>
          <w:rFonts w:hint="eastAsia" w:ascii="仿宋_GB2312" w:hAnsi="仿宋_GB2312" w:eastAsia="仿宋_GB2312" w:cs="仿宋_GB2312"/>
          <w:b/>
          <w:sz w:val="32"/>
          <w:szCs w:val="32"/>
          <w:lang w:val="en-US" w:eastAsia="zh-CN"/>
        </w:rPr>
        <w:t>GK</w:t>
      </w:r>
      <w:r>
        <w:rPr>
          <w:rFonts w:hint="eastAsia" w:ascii="仿宋_GB2312" w:hAnsi="仿宋_GB2312" w:eastAsia="仿宋_GB2312" w:cs="仿宋_GB2312"/>
          <w:b/>
          <w:sz w:val="32"/>
          <w:szCs w:val="32"/>
        </w:rPr>
        <w:t>08表，仅罗列本单位实际支出涉及的经济分类科目。）</w:t>
      </w:r>
    </w:p>
    <w:p w14:paraId="6FE423C1">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bookmarkStart w:id="37" w:name="_Toc15377215"/>
      <w:bookmarkStart w:id="38" w:name="_Toc4406"/>
      <w:bookmarkStart w:id="39" w:name="_Toc15396609"/>
      <w:r>
        <w:rPr>
          <w:rFonts w:hint="eastAsia" w:ascii="黑体" w:hAnsi="黑体" w:eastAsia="黑体" w:cs="Times New Roman"/>
          <w:sz w:val="32"/>
          <w:szCs w:val="32"/>
          <w:lang w:val="en-US" w:eastAsia="zh-CN"/>
        </w:rPr>
        <w:t>七、财政拨款“三公”经费支出决算情况说明</w:t>
      </w:r>
      <w:bookmarkEnd w:id="37"/>
      <w:bookmarkEnd w:id="38"/>
      <w:bookmarkEnd w:id="39"/>
    </w:p>
    <w:p w14:paraId="36447F6D">
      <w:pPr>
        <w:keepNext/>
        <w:keepLines/>
        <w:pageBreakBefore w:val="0"/>
        <w:widowControl/>
        <w:kinsoku/>
        <w:wordWrap w:val="0"/>
        <w:overflowPunct/>
        <w:topLinePunct/>
        <w:autoSpaceDE/>
        <w:autoSpaceDN/>
        <w:bidi w:val="0"/>
        <w:snapToGrid/>
        <w:spacing w:line="560" w:lineRule="exact"/>
        <w:ind w:firstLine="643" w:firstLineChars="200"/>
        <w:jc w:val="left"/>
        <w:outlineLvl w:val="9"/>
        <w:rPr>
          <w:rFonts w:hint="eastAsia" w:ascii="仿宋_GB2312" w:hAnsi="仿宋_GB2312" w:eastAsia="仿宋_GB2312" w:cs="仿宋_GB2312"/>
          <w:b/>
          <w:sz w:val="32"/>
          <w:szCs w:val="32"/>
        </w:rPr>
      </w:pPr>
      <w:bookmarkStart w:id="40" w:name="_Toc15377216"/>
      <w:r>
        <w:rPr>
          <w:rFonts w:hint="eastAsia" w:ascii="仿宋_GB2312" w:hAnsi="仿宋_GB2312" w:eastAsia="仿宋_GB2312" w:cs="仿宋_GB2312"/>
          <w:b/>
          <w:sz w:val="32"/>
          <w:szCs w:val="32"/>
        </w:rPr>
        <w:t>（一）“三公”经费财政拨款支出决算总体情况说明</w:t>
      </w:r>
      <w:bookmarkEnd w:id="40"/>
    </w:p>
    <w:p w14:paraId="378AE130">
      <w:pPr>
        <w:keepNext/>
        <w:keepLines/>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年度“三公”经费财政拨款支出决算为</w:t>
      </w:r>
      <w:r>
        <w:rPr>
          <w:rFonts w:hint="eastAsia" w:ascii="仿宋_GB2312" w:hAnsi="仿宋_GB2312" w:eastAsia="仿宋_GB2312" w:cs="仿宋_GB2312"/>
          <w:b/>
          <w:sz w:val="32"/>
          <w:szCs w:val="32"/>
          <w:lang w:val="en-US" w:eastAsia="zh-CN"/>
        </w:rPr>
        <w:t>24.24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b/>
          <w:sz w:val="32"/>
          <w:szCs w:val="32"/>
        </w:rPr>
        <w:t>100</w:t>
      </w:r>
      <w:r>
        <w:rPr>
          <w:rFonts w:hint="eastAsia" w:ascii="仿宋_GB2312" w:hAnsi="仿宋_GB2312" w:eastAsia="仿宋_GB2312" w:cs="仿宋_GB2312"/>
          <w:sz w:val="32"/>
          <w:szCs w:val="32"/>
        </w:rPr>
        <w:t>%，较上年度增加</w:t>
      </w:r>
      <w:r>
        <w:rPr>
          <w:rFonts w:hint="eastAsia" w:ascii="仿宋_GB2312" w:hAnsi="仿宋_GB2312" w:eastAsia="仿宋_GB2312" w:cs="仿宋_GB2312"/>
          <w:b/>
          <w:bCs/>
          <w:sz w:val="32"/>
          <w:szCs w:val="32"/>
          <w:lang w:val="en-US" w:eastAsia="zh-CN"/>
        </w:rPr>
        <w:t>11.66</w:t>
      </w:r>
      <w:r>
        <w:rPr>
          <w:rFonts w:hint="eastAsia" w:ascii="仿宋_GB2312" w:hAnsi="仿宋_GB2312" w:eastAsia="仿宋_GB2312" w:cs="仿宋_GB2312"/>
          <w:sz w:val="32"/>
          <w:szCs w:val="32"/>
        </w:rPr>
        <w:t>万元，增长</w:t>
      </w:r>
      <w:r>
        <w:rPr>
          <w:rFonts w:hint="eastAsia" w:ascii="仿宋_GB2312" w:hAnsi="仿宋_GB2312" w:eastAsia="仿宋_GB2312" w:cs="仿宋_GB2312"/>
          <w:b/>
          <w:bCs/>
          <w:sz w:val="32"/>
          <w:szCs w:val="32"/>
          <w:lang w:val="en-US" w:eastAsia="zh-CN"/>
        </w:rPr>
        <w:t>84.33</w:t>
      </w:r>
      <w:r>
        <w:rPr>
          <w:rFonts w:hint="eastAsia" w:ascii="仿宋_GB2312" w:hAnsi="仿宋_GB2312" w:eastAsia="仿宋_GB2312" w:cs="仿宋_GB2312"/>
          <w:sz w:val="32"/>
          <w:szCs w:val="32"/>
        </w:rPr>
        <w:t>%。决主要原因</w:t>
      </w:r>
      <w:r>
        <w:rPr>
          <w:rFonts w:hint="eastAsia" w:ascii="仿宋_GB2312" w:hAnsi="仿宋_GB2312" w:eastAsia="仿宋_GB2312" w:cs="仿宋_GB2312"/>
          <w:sz w:val="32"/>
          <w:szCs w:val="32"/>
          <w:lang w:eastAsia="zh-CN"/>
        </w:rPr>
        <w:t>获批新增购买执法执勤用车和本年度按上级主管部门要求的干部培训增多</w:t>
      </w:r>
      <w:r>
        <w:rPr>
          <w:rFonts w:hint="eastAsia" w:ascii="仿宋_GB2312" w:hAnsi="仿宋_GB2312" w:eastAsia="仿宋_GB2312" w:cs="仿宋_GB2312"/>
          <w:sz w:val="32"/>
          <w:szCs w:val="32"/>
        </w:rPr>
        <w:t>。</w:t>
      </w:r>
    </w:p>
    <w:p w14:paraId="3ED17E6B">
      <w:pPr>
        <w:keepNext/>
        <w:keepLines/>
        <w:pageBreakBefore w:val="0"/>
        <w:widowControl/>
        <w:kinsoku/>
        <w:wordWrap w:val="0"/>
        <w:overflowPunct/>
        <w:topLinePunct/>
        <w:autoSpaceDE/>
        <w:autoSpaceDN/>
        <w:bidi w:val="0"/>
        <w:snapToGrid/>
        <w:spacing w:line="560" w:lineRule="exact"/>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（注：上述“预算”口径为全年预算数，包括一般公共预算和政府性基金预算财政拨款支出决算情况。）</w:t>
      </w:r>
    </w:p>
    <w:p w14:paraId="2D5F9828">
      <w:pPr>
        <w:keepNext/>
        <w:keepLines/>
        <w:pageBreakBefore w:val="0"/>
        <w:widowControl/>
        <w:kinsoku/>
        <w:wordWrap w:val="0"/>
        <w:overflowPunct/>
        <w:topLinePunct/>
        <w:autoSpaceDE/>
        <w:autoSpaceDN/>
        <w:bidi w:val="0"/>
        <w:snapToGrid/>
        <w:spacing w:line="240" w:lineRule="auto"/>
        <w:ind w:firstLine="643" w:firstLineChars="200"/>
        <w:jc w:val="left"/>
        <w:outlineLvl w:val="9"/>
        <w:rPr>
          <w:rFonts w:hint="eastAsia" w:ascii="仿宋_GB2312" w:hAnsi="仿宋_GB2312" w:eastAsia="仿宋_GB2312" w:cs="仿宋_GB2312"/>
          <w:b/>
          <w:sz w:val="32"/>
          <w:szCs w:val="32"/>
        </w:rPr>
      </w:pPr>
      <w:bookmarkStart w:id="41" w:name="_Toc15377217"/>
      <w:r>
        <w:rPr>
          <w:rFonts w:hint="eastAsia" w:ascii="仿宋_GB2312" w:hAnsi="仿宋_GB2312" w:eastAsia="仿宋_GB2312" w:cs="仿宋_GB2312"/>
          <w:b/>
          <w:sz w:val="32"/>
          <w:szCs w:val="32"/>
        </w:rPr>
        <w:t>（二）“三公”经费财政拨款支出决算具体情况说明</w:t>
      </w:r>
      <w:bookmarkEnd w:id="41"/>
    </w:p>
    <w:p w14:paraId="1FC313B3">
      <w:pPr>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年度“三公”经费财政拨款支出决算中，因公出国（境）费支出决算</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b/>
          <w:sz w:val="32"/>
          <w:szCs w:val="32"/>
          <w:lang w:val="en-US" w:eastAsia="zh-CN"/>
        </w:rPr>
        <w:t>24.24</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97.7</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b/>
          <w:sz w:val="32"/>
          <w:szCs w:val="32"/>
          <w:lang w:val="en-US" w:eastAsia="zh-CN"/>
        </w:rPr>
        <w:t>0.56</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lang w:val="en-US" w:eastAsia="zh-CN"/>
        </w:rPr>
        <w:t>0.30</w:t>
      </w:r>
      <w:r>
        <w:rPr>
          <w:rFonts w:hint="eastAsia" w:ascii="仿宋_GB2312" w:hAnsi="仿宋_GB2312" w:eastAsia="仿宋_GB2312" w:cs="仿宋_GB2312"/>
          <w:sz w:val="32"/>
          <w:szCs w:val="32"/>
        </w:rPr>
        <w:t>%。具体情况如下：</w:t>
      </w:r>
    </w:p>
    <w:p w14:paraId="042E03F1">
      <w:pPr>
        <w:keepNext/>
        <w:keepLines/>
        <w:pageBreakBefore w:val="0"/>
        <w:widowControl/>
        <w:kinsoku/>
        <w:wordWrap w:val="0"/>
        <w:overflowPunct/>
        <w:topLinePunct/>
        <w:autoSpaceDE/>
        <w:autoSpaceDN/>
        <w:bidi w:val="0"/>
        <w:snapToGrid/>
        <w:spacing w:line="560" w:lineRule="exact"/>
        <w:ind w:firstLine="0" w:firstLineChars="0"/>
        <w:jc w:val="center"/>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（图7：“三公”经费财政拨款支出结构）（饼状图）</w:t>
      </w:r>
    </w:p>
    <w:p w14:paraId="4A798B17">
      <w:pPr>
        <w:pStyle w:val="18"/>
        <w:rPr>
          <w:rFonts w:hint="eastAsia" w:ascii="仿宋_GB2312" w:hAnsi="仿宋_GB2312" w:eastAsia="仿宋_GB2312" w:cs="仿宋_GB2312"/>
          <w:b/>
          <w:sz w:val="32"/>
          <w:szCs w:val="32"/>
        </w:rPr>
      </w:pPr>
      <w:r>
        <w:rPr>
          <w:rFonts w:hint="eastAsia" w:ascii="华文仿宋" w:hAnsi="华文仿宋" w:eastAsia="华文仿宋" w:cs="华文仿宋"/>
          <w:b w:val="0"/>
          <w:bCs w:val="0"/>
          <w:kern w:val="0"/>
          <w:sz w:val="30"/>
          <w:szCs w:val="30"/>
          <w:shd w:val="clear" w:fill="FFFFFF"/>
          <w:lang w:val="en-US" w:eastAsia="zh-CN"/>
        </w:rPr>
        <w:drawing>
          <wp:anchor distT="0" distB="0" distL="114300" distR="114300" simplePos="0" relativeHeight="251659264" behindDoc="0" locked="0" layoutInCell="1" allowOverlap="1">
            <wp:simplePos x="0" y="0"/>
            <wp:positionH relativeFrom="column">
              <wp:posOffset>-83820</wp:posOffset>
            </wp:positionH>
            <wp:positionV relativeFrom="paragraph">
              <wp:posOffset>189865</wp:posOffset>
            </wp:positionV>
            <wp:extent cx="5408930" cy="2782570"/>
            <wp:effectExtent l="4445" t="4445" r="15875" b="13335"/>
            <wp:wrapTopAndBottom/>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华文仿宋" w:hAnsi="华文仿宋" w:eastAsia="华文仿宋" w:cs="华文仿宋"/>
          <w:b w:val="0"/>
          <w:bCs w:val="0"/>
          <w:kern w:val="0"/>
          <w:sz w:val="30"/>
          <w:szCs w:val="30"/>
          <w:shd w:val="clear" w:fill="FFFFFF"/>
          <w:lang w:val="en-US" w:eastAsia="zh-CN"/>
        </w:rPr>
        <w:t xml:space="preserve">    </w:t>
      </w:r>
      <w:r>
        <w:rPr>
          <w:rFonts w:hint="eastAsia" w:ascii="仿宋_GB2312" w:hAnsi="仿宋_GB2312" w:eastAsia="仿宋_GB2312" w:cs="仿宋_GB2312"/>
          <w:b/>
          <w:sz w:val="32"/>
          <w:szCs w:val="32"/>
        </w:rPr>
        <w:t>1.因公出国（境）经费支出0</w:t>
      </w:r>
      <w:r>
        <w:rPr>
          <w:rFonts w:hint="eastAsia" w:ascii="仿宋_GB2312" w:hAnsi="仿宋_GB2312" w:eastAsia="仿宋_GB2312" w:cs="仿宋_GB2312"/>
          <w:sz w:val="32"/>
          <w:szCs w:val="32"/>
        </w:rPr>
        <w:t>万元，</w:t>
      </w:r>
      <w:r>
        <w:rPr>
          <w:rStyle w:val="16"/>
          <w:rFonts w:hint="eastAsia" w:ascii="仿宋_GB2312" w:hAnsi="仿宋_GB2312" w:eastAsia="仿宋_GB2312" w:cs="仿宋_GB2312"/>
          <w:b w:val="0"/>
          <w:bCs/>
          <w:sz w:val="32"/>
          <w:szCs w:val="32"/>
        </w:rPr>
        <w:t>完成预算</w:t>
      </w:r>
      <w:r>
        <w:rPr>
          <w:rStyle w:val="16"/>
          <w:rFonts w:hint="eastAsia" w:ascii="仿宋_GB2312" w:hAnsi="仿宋_GB2312" w:eastAsia="仿宋_GB2312" w:cs="仿宋_GB2312"/>
          <w:b/>
          <w:bCs/>
          <w:sz w:val="32"/>
          <w:szCs w:val="32"/>
        </w:rPr>
        <w:t>0</w:t>
      </w:r>
      <w:r>
        <w:rPr>
          <w:rStyle w:val="16"/>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人。因公出国（境）支出决算比2022年增加</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b/>
          <w:bCs/>
          <w:i w:val="0"/>
          <w:iCs w:val="0"/>
          <w:sz w:val="32"/>
          <w:szCs w:val="32"/>
          <w:lang w:val="en-US" w:eastAsia="zh-CN"/>
        </w:rPr>
        <w:t>0</w:t>
      </w:r>
      <w:r>
        <w:rPr>
          <w:rFonts w:hint="eastAsia" w:ascii="仿宋_GB2312" w:hAnsi="仿宋_GB2312" w:eastAsia="仿宋_GB2312" w:cs="仿宋_GB2312"/>
          <w:sz w:val="32"/>
          <w:szCs w:val="32"/>
        </w:rPr>
        <w:t>%。</w:t>
      </w:r>
    </w:p>
    <w:p w14:paraId="3C92162A">
      <w:pPr>
        <w:keepNext/>
        <w:keepLines/>
        <w:pageBreakBefore w:val="0"/>
        <w:widowControl/>
        <w:kinsoku/>
        <w:wordWrap w:val="0"/>
        <w:overflowPunct/>
        <w:topLinePunct/>
        <w:autoSpaceDE/>
        <w:autoSpaceDN/>
        <w:bidi w:val="0"/>
        <w:adjustRightInd/>
        <w:snapToGrid/>
        <w:spacing w:line="560" w:lineRule="exact"/>
        <w:ind w:firstLine="643" w:firstLineChars="200"/>
        <w:jc w:val="left"/>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b/>
          <w:sz w:val="32"/>
          <w:szCs w:val="32"/>
          <w:lang w:val="en-US" w:eastAsia="zh-CN"/>
        </w:rPr>
        <w:t>24.24</w:t>
      </w:r>
      <w:r>
        <w:rPr>
          <w:rFonts w:hint="eastAsia" w:ascii="仿宋_GB2312" w:hAnsi="仿宋_GB2312" w:eastAsia="仿宋_GB2312" w:cs="仿宋_GB2312"/>
          <w:sz w:val="32"/>
          <w:szCs w:val="32"/>
        </w:rPr>
        <w:t>万元,</w:t>
      </w:r>
      <w:r>
        <w:rPr>
          <w:rStyle w:val="16"/>
          <w:rFonts w:hint="eastAsia" w:ascii="仿宋_GB2312" w:hAnsi="仿宋_GB2312" w:eastAsia="仿宋_GB2312" w:cs="仿宋_GB2312"/>
          <w:b w:val="0"/>
          <w:bCs/>
          <w:sz w:val="32"/>
          <w:szCs w:val="32"/>
        </w:rPr>
        <w:t>完成预算</w:t>
      </w:r>
      <w:r>
        <w:rPr>
          <w:rStyle w:val="16"/>
          <w:rFonts w:hint="eastAsia" w:ascii="仿宋_GB2312" w:hAnsi="仿宋_GB2312" w:eastAsia="仿宋_GB2312" w:cs="仿宋_GB2312"/>
          <w:bCs/>
          <w:sz w:val="32"/>
          <w:szCs w:val="32"/>
        </w:rPr>
        <w:t>100</w:t>
      </w:r>
      <w:r>
        <w:rPr>
          <w:rStyle w:val="16"/>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b/>
          <w:bCs/>
          <w:sz w:val="32"/>
          <w:szCs w:val="32"/>
          <w:lang w:val="en-US" w:eastAsia="zh-CN"/>
        </w:rPr>
        <w:t>12.16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增加</w:t>
      </w:r>
      <w:r>
        <w:rPr>
          <w:rFonts w:hint="eastAsia" w:ascii="仿宋_GB2312" w:hAnsi="仿宋_GB2312" w:eastAsia="仿宋_GB2312" w:cs="仿宋_GB2312"/>
          <w:b/>
          <w:bCs/>
          <w:sz w:val="32"/>
          <w:szCs w:val="32"/>
          <w:lang w:val="en-US" w:eastAsia="zh-CN"/>
        </w:rPr>
        <w:t>12.08</w:t>
      </w:r>
      <w:r>
        <w:rPr>
          <w:rFonts w:hint="eastAsia" w:ascii="仿宋_GB2312" w:hAnsi="仿宋_GB2312" w:eastAsia="仿宋_GB2312" w:cs="仿宋_GB2312"/>
          <w:sz w:val="32"/>
          <w:szCs w:val="32"/>
        </w:rPr>
        <w:t>万元，增长</w:t>
      </w:r>
      <w:r>
        <w:rPr>
          <w:rFonts w:hint="eastAsia" w:ascii="仿宋_GB2312" w:hAnsi="仿宋_GB2312" w:eastAsia="仿宋_GB2312" w:cs="仿宋_GB2312"/>
          <w:b/>
          <w:bCs/>
          <w:sz w:val="32"/>
          <w:szCs w:val="32"/>
          <w:lang w:val="en-US" w:eastAsia="zh-CN"/>
        </w:rPr>
        <w:t>99.34</w:t>
      </w:r>
      <w:r>
        <w:rPr>
          <w:rFonts w:hint="eastAsia" w:ascii="仿宋_GB2312" w:hAnsi="仿宋_GB2312" w:eastAsia="仿宋_GB2312" w:cs="仿宋_GB2312"/>
          <w:sz w:val="32"/>
          <w:szCs w:val="32"/>
        </w:rPr>
        <w:t>%。主要原因是获批新增购买执法执勤用车</w:t>
      </w:r>
      <w:r>
        <w:rPr>
          <w:rFonts w:hint="eastAsia" w:ascii="仿宋_GB2312" w:hAnsi="仿宋_GB2312" w:eastAsia="仿宋_GB2312" w:cs="仿宋_GB2312"/>
          <w:sz w:val="32"/>
          <w:szCs w:val="32"/>
          <w:lang w:eastAsia="zh-CN"/>
        </w:rPr>
        <w:t>。</w:t>
      </w:r>
    </w:p>
    <w:p w14:paraId="17FE0F76">
      <w:pPr>
        <w:keepNext/>
        <w:keepLines/>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公务用车购置支出0</w:t>
      </w:r>
      <w:r>
        <w:rPr>
          <w:rFonts w:hint="eastAsia" w:ascii="仿宋_GB2312" w:hAnsi="仿宋_GB2312" w:eastAsia="仿宋_GB2312" w:cs="仿宋_GB2312"/>
          <w:sz w:val="32"/>
          <w:szCs w:val="32"/>
        </w:rPr>
        <w:t>万元。截至202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年12月31日，单位共有公务用车</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辆，其中：轿车</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辆、越野车</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辆、警车</w:t>
      </w:r>
      <w:r>
        <w:rPr>
          <w:rFonts w:hint="eastAsia" w:ascii="仿宋_GB2312" w:hAnsi="仿宋_GB2312" w:eastAsia="仿宋_GB2312" w:cs="仿宋_GB2312"/>
          <w:b/>
          <w:bCs/>
          <w:sz w:val="32"/>
          <w:szCs w:val="32"/>
        </w:rPr>
        <w:t>6</w:t>
      </w:r>
      <w:r>
        <w:rPr>
          <w:rFonts w:hint="eastAsia" w:ascii="仿宋_GB2312" w:hAnsi="仿宋_GB2312" w:eastAsia="仿宋_GB2312" w:cs="仿宋_GB2312"/>
          <w:sz w:val="32"/>
          <w:szCs w:val="32"/>
        </w:rPr>
        <w:t>辆。</w:t>
      </w:r>
    </w:p>
    <w:p w14:paraId="17636806">
      <w:pPr>
        <w:keepNext/>
        <w:keepLines w:val="0"/>
        <w:pageBreakBefore w:val="0"/>
        <w:widowControl/>
        <w:kinsoku/>
        <w:wordWrap w:val="0"/>
        <w:overflowPunct/>
        <w:topLinePunct/>
        <w:autoSpaceDE/>
        <w:autoSpaceDN/>
        <w:bidi w:val="0"/>
        <w:adjustRightInd/>
        <w:snapToGrid/>
        <w:spacing w:line="560" w:lineRule="exact"/>
        <w:ind w:firstLine="643" w:firstLineChars="200"/>
        <w:jc w:val="left"/>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b/>
          <w:sz w:val="32"/>
          <w:szCs w:val="32"/>
          <w:lang w:val="en-US" w:eastAsia="zh-CN"/>
        </w:rPr>
        <w:t>11.60</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val="en-US" w:eastAsia="zh-CN"/>
        </w:rPr>
        <w:t>下乡、</w:t>
      </w:r>
      <w:r>
        <w:rPr>
          <w:rFonts w:hint="eastAsia" w:ascii="仿宋_GB2312" w:hAnsi="仿宋_GB2312" w:eastAsia="仿宋_GB2312" w:cs="仿宋_GB2312"/>
          <w:sz w:val="32"/>
          <w:szCs w:val="32"/>
        </w:rPr>
        <w:t>出差、培训等所需的公务用车燃料费、维修费、过路过桥费、保险费等支出</w:t>
      </w:r>
      <w:r>
        <w:rPr>
          <w:rFonts w:hint="eastAsia" w:ascii="仿宋_GB2312" w:hAnsi="仿宋_GB2312" w:eastAsia="仿宋_GB2312" w:cs="仿宋_GB2312"/>
          <w:sz w:val="32"/>
          <w:szCs w:val="32"/>
          <w:lang w:eastAsia="zh-CN"/>
        </w:rPr>
        <w:t>。</w:t>
      </w:r>
    </w:p>
    <w:p w14:paraId="05A4EA2E">
      <w:pPr>
        <w:keepNext/>
        <w:keepLines w:val="0"/>
        <w:pageBreakBefore w:val="0"/>
        <w:widowControl/>
        <w:numPr>
          <w:ilvl w:val="0"/>
          <w:numId w:val="0"/>
        </w:numPr>
        <w:kinsoku/>
        <w:wordWrap w:val="0"/>
        <w:overflowPunct/>
        <w:topLinePunct/>
        <w:autoSpaceDE/>
        <w:autoSpaceDN/>
        <w:bidi w:val="0"/>
        <w:adjustRightInd/>
        <w:snapToGrid/>
        <w:spacing w:line="560" w:lineRule="exact"/>
        <w:ind w:firstLine="643"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公务接待费支出0</w:t>
      </w:r>
      <w:r>
        <w:rPr>
          <w:rFonts w:hint="eastAsia" w:ascii="仿宋_GB2312" w:hAnsi="仿宋_GB2312" w:eastAsia="仿宋_GB2312" w:cs="仿宋_GB2312"/>
          <w:b/>
          <w:sz w:val="32"/>
          <w:szCs w:val="32"/>
          <w:lang w:val="en-US" w:eastAsia="zh-CN"/>
        </w:rPr>
        <w:t>.56</w:t>
      </w:r>
      <w:r>
        <w:rPr>
          <w:rFonts w:hint="eastAsia" w:ascii="仿宋_GB2312" w:hAnsi="仿宋_GB2312" w:eastAsia="仿宋_GB2312" w:cs="仿宋_GB2312"/>
          <w:sz w:val="32"/>
          <w:szCs w:val="32"/>
        </w:rPr>
        <w:t>万元，</w:t>
      </w:r>
      <w:r>
        <w:rPr>
          <w:rStyle w:val="16"/>
          <w:rFonts w:hint="eastAsia" w:ascii="仿宋_GB2312" w:hAnsi="仿宋_GB2312" w:eastAsia="仿宋_GB2312" w:cs="仿宋_GB2312"/>
          <w:b w:val="0"/>
          <w:bCs/>
          <w:sz w:val="32"/>
          <w:szCs w:val="32"/>
        </w:rPr>
        <w:t>完成预算</w:t>
      </w:r>
      <w:r>
        <w:rPr>
          <w:rStyle w:val="16"/>
          <w:rFonts w:hint="eastAsia" w:ascii="仿宋_GB2312" w:hAnsi="仿宋_GB2312" w:eastAsia="仿宋_GB2312" w:cs="仿宋_GB2312"/>
          <w:b/>
          <w:bCs w:val="0"/>
          <w:sz w:val="32"/>
          <w:szCs w:val="32"/>
        </w:rPr>
        <w:t>100</w:t>
      </w:r>
      <w:r>
        <w:rPr>
          <w:rStyle w:val="16"/>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b/>
          <w:bCs/>
          <w:sz w:val="32"/>
          <w:szCs w:val="32"/>
          <w:lang w:val="en-US" w:eastAsia="zh-CN"/>
        </w:rPr>
        <w:t>0.99</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sz w:val="32"/>
          <w:szCs w:val="32"/>
          <w:lang w:val="en-US" w:eastAsia="zh-CN"/>
        </w:rPr>
        <w:t>0.43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b/>
          <w:bCs/>
          <w:sz w:val="32"/>
          <w:szCs w:val="32"/>
          <w:lang w:val="en-US" w:eastAsia="zh-CN"/>
        </w:rPr>
        <w:t>43.43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主要是</w:t>
      </w:r>
      <w:r>
        <w:rPr>
          <w:rFonts w:hint="eastAsia" w:ascii="仿宋_GB2312" w:hAnsi="仿宋_GB2312" w:eastAsia="仿宋_GB2312" w:cs="仿宋_GB2312"/>
          <w:sz w:val="32"/>
          <w:szCs w:val="32"/>
        </w:rPr>
        <w:t>厉行节约，减少不必要接待</w:t>
      </w:r>
      <w:r>
        <w:rPr>
          <w:rFonts w:hint="eastAsia" w:ascii="仿宋_GB2312" w:hAnsi="仿宋_GB2312" w:eastAsia="仿宋_GB2312" w:cs="仿宋_GB2312"/>
          <w:sz w:val="32"/>
          <w:szCs w:val="32"/>
          <w:lang w:eastAsia="zh-CN"/>
        </w:rPr>
        <w:t>。</w:t>
      </w:r>
    </w:p>
    <w:p w14:paraId="185CE2DB">
      <w:pPr>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b/>
          <w:color w:val="auto"/>
          <w:sz w:val="32"/>
          <w:szCs w:val="32"/>
        </w:rPr>
        <w:t>国内公务接待支出0.</w:t>
      </w:r>
      <w:r>
        <w:rPr>
          <w:rFonts w:hint="eastAsia" w:ascii="仿宋_GB2312" w:hAnsi="仿宋_GB2312" w:eastAsia="仿宋_GB2312" w:cs="仿宋_GB2312"/>
          <w:b/>
          <w:color w:val="auto"/>
          <w:sz w:val="32"/>
          <w:szCs w:val="32"/>
          <w:lang w:val="en-US" w:eastAsia="zh-CN"/>
        </w:rPr>
        <w:t>56</w:t>
      </w:r>
      <w:r>
        <w:rPr>
          <w:rFonts w:hint="eastAsia" w:ascii="仿宋_GB2312" w:hAnsi="仿宋_GB2312" w:eastAsia="仿宋_GB2312" w:cs="仿宋_GB2312"/>
          <w:color w:val="auto"/>
          <w:sz w:val="32"/>
          <w:szCs w:val="32"/>
        </w:rPr>
        <w:t>万元，主要用于执行公务、开展业务活动开支的用餐费。国内公务接待</w:t>
      </w: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color w:val="auto"/>
          <w:sz w:val="32"/>
          <w:szCs w:val="32"/>
        </w:rPr>
        <w:t>批次，</w:t>
      </w:r>
      <w:r>
        <w:rPr>
          <w:rFonts w:hint="eastAsia" w:ascii="仿宋_GB2312" w:hAnsi="仿宋_GB2312" w:eastAsia="仿宋_GB2312" w:cs="仿宋_GB2312"/>
          <w:b/>
          <w:bCs/>
          <w:color w:val="auto"/>
          <w:sz w:val="32"/>
          <w:szCs w:val="32"/>
          <w:lang w:val="en-US" w:eastAsia="zh-CN"/>
        </w:rPr>
        <w:t>56</w:t>
      </w:r>
      <w:r>
        <w:rPr>
          <w:rFonts w:hint="eastAsia" w:ascii="仿宋_GB2312" w:hAnsi="仿宋_GB2312" w:eastAsia="仿宋_GB2312" w:cs="仿宋_GB2312"/>
          <w:color w:val="auto"/>
          <w:sz w:val="32"/>
          <w:szCs w:val="32"/>
        </w:rPr>
        <w:t>人次（不包括陪同人员），共计支出</w:t>
      </w:r>
      <w:r>
        <w:rPr>
          <w:rFonts w:hint="eastAsia" w:ascii="仿宋_GB2312" w:hAnsi="仿宋_GB2312" w:eastAsia="仿宋_GB2312" w:cs="仿宋_GB2312"/>
          <w:b/>
          <w:bCs/>
          <w:color w:val="auto"/>
          <w:sz w:val="32"/>
          <w:szCs w:val="32"/>
          <w:lang w:val="en-US" w:eastAsia="zh-CN"/>
        </w:rPr>
        <w:t>0.56</w:t>
      </w:r>
      <w:r>
        <w:rPr>
          <w:rFonts w:hint="eastAsia" w:ascii="仿宋_GB2312" w:hAnsi="仿宋_GB2312" w:eastAsia="仿宋_GB2312" w:cs="仿宋_GB2312"/>
          <w:color w:val="auto"/>
          <w:sz w:val="32"/>
          <w:szCs w:val="32"/>
        </w:rPr>
        <w:t>万元，具体内容包括：</w:t>
      </w:r>
      <w:r>
        <w:rPr>
          <w:rFonts w:hint="eastAsia" w:ascii="仿宋_GB2312" w:hAnsi="仿宋_GB2312" w:eastAsia="仿宋_GB2312" w:cs="仿宋_GB2312"/>
          <w:color w:val="auto"/>
          <w:sz w:val="32"/>
          <w:szCs w:val="32"/>
          <w:lang w:val="en-US" w:eastAsia="zh-CN"/>
        </w:rPr>
        <w:t>接待四川省梓潼县人民法院刘东一行交流学习餐费</w:t>
      </w:r>
      <w:r>
        <w:rPr>
          <w:rFonts w:hint="eastAsia" w:ascii="仿宋_GB2312" w:hAnsi="仿宋_GB2312" w:eastAsia="仿宋_GB2312" w:cs="仿宋_GB2312"/>
          <w:b/>
          <w:bCs/>
          <w:color w:val="auto"/>
          <w:sz w:val="32"/>
          <w:szCs w:val="32"/>
          <w:lang w:val="en-US" w:eastAsia="zh-CN"/>
        </w:rPr>
        <w:t>0.10</w:t>
      </w:r>
      <w:r>
        <w:rPr>
          <w:rFonts w:hint="eastAsia" w:ascii="仿宋_GB2312" w:hAnsi="仿宋_GB2312" w:eastAsia="仿宋_GB2312" w:cs="仿宋_GB2312"/>
          <w:color w:val="auto"/>
          <w:sz w:val="32"/>
          <w:szCs w:val="32"/>
          <w:lang w:val="en-US" w:eastAsia="zh-CN"/>
        </w:rPr>
        <w:t>万元，接待若尔盖人民法院刘鑫一行开展法庭和和法官工作室建设情况调研餐费</w:t>
      </w:r>
      <w:r>
        <w:rPr>
          <w:rFonts w:hint="eastAsia" w:ascii="仿宋_GB2312" w:hAnsi="仿宋_GB2312" w:eastAsia="仿宋_GB2312" w:cs="仿宋_GB2312"/>
          <w:b/>
          <w:color w:val="auto"/>
          <w:sz w:val="32"/>
          <w:szCs w:val="32"/>
          <w:lang w:val="en-US" w:eastAsia="zh-CN"/>
        </w:rPr>
        <w:t>0.13</w:t>
      </w:r>
      <w:r>
        <w:rPr>
          <w:rFonts w:hint="eastAsia" w:ascii="仿宋_GB2312" w:hAnsi="仿宋_GB2312" w:eastAsia="仿宋_GB2312" w:cs="仿宋_GB2312"/>
          <w:color w:val="auto"/>
          <w:sz w:val="32"/>
          <w:szCs w:val="32"/>
          <w:lang w:val="en-US" w:eastAsia="zh-CN"/>
        </w:rPr>
        <w:t>万元，各类案件办理、破产工作、督导工作</w:t>
      </w:r>
      <w:r>
        <w:rPr>
          <w:rFonts w:hint="eastAsia" w:ascii="仿宋_GB2312" w:hAnsi="仿宋_GB2312" w:eastAsia="仿宋_GB2312" w:cs="仿宋_GB2312"/>
          <w:b/>
          <w:color w:val="auto"/>
          <w:sz w:val="32"/>
          <w:szCs w:val="32"/>
          <w:lang w:val="en-US" w:eastAsia="zh-CN"/>
        </w:rPr>
        <w:t>0.20</w:t>
      </w:r>
      <w:r>
        <w:rPr>
          <w:rFonts w:hint="eastAsia" w:ascii="仿宋_GB2312" w:hAnsi="仿宋_GB2312" w:eastAsia="仿宋_GB2312" w:cs="仿宋_GB2312"/>
          <w:color w:val="auto"/>
          <w:sz w:val="32"/>
          <w:szCs w:val="32"/>
          <w:lang w:val="en-US" w:eastAsia="zh-CN"/>
        </w:rPr>
        <w:t>万元，党建工作交流学习接待餐费</w:t>
      </w:r>
      <w:r>
        <w:rPr>
          <w:rFonts w:hint="eastAsia" w:ascii="仿宋_GB2312" w:hAnsi="仿宋_GB2312" w:eastAsia="仿宋_GB2312" w:cs="仿宋_GB2312"/>
          <w:b/>
          <w:bCs/>
          <w:color w:val="auto"/>
          <w:sz w:val="32"/>
          <w:szCs w:val="32"/>
          <w:lang w:val="en-US" w:eastAsia="zh-CN"/>
        </w:rPr>
        <w:t>0.08</w:t>
      </w:r>
      <w:r>
        <w:rPr>
          <w:rFonts w:hint="eastAsia" w:ascii="仿宋_GB2312" w:hAnsi="仿宋_GB2312" w:eastAsia="仿宋_GB2312" w:cs="仿宋_GB2312"/>
          <w:color w:val="auto"/>
          <w:sz w:val="32"/>
          <w:szCs w:val="32"/>
          <w:lang w:val="en-US" w:eastAsia="zh-CN"/>
        </w:rPr>
        <w:t>万元，档案管理工作接待餐费</w:t>
      </w:r>
      <w:r>
        <w:rPr>
          <w:rFonts w:hint="eastAsia" w:ascii="仿宋_GB2312" w:hAnsi="仿宋_GB2312" w:eastAsia="仿宋_GB2312" w:cs="仿宋_GB2312"/>
          <w:b/>
          <w:bCs/>
          <w:color w:val="auto"/>
          <w:sz w:val="32"/>
          <w:szCs w:val="32"/>
          <w:lang w:val="en-US" w:eastAsia="zh-CN"/>
        </w:rPr>
        <w:t>0.05</w:t>
      </w:r>
      <w:r>
        <w:rPr>
          <w:rFonts w:hint="eastAsia" w:ascii="仿宋_GB2312" w:hAnsi="仿宋_GB2312" w:eastAsia="仿宋_GB2312" w:cs="仿宋_GB2312"/>
          <w:color w:val="auto"/>
          <w:sz w:val="32"/>
          <w:szCs w:val="32"/>
          <w:lang w:val="en-US" w:eastAsia="zh-CN"/>
        </w:rPr>
        <w:t>万元。</w:t>
      </w:r>
    </w:p>
    <w:p w14:paraId="17C0FC12">
      <w:pPr>
        <w:keepNext/>
        <w:keepLines w:val="0"/>
        <w:pageBreakBefore w:val="0"/>
        <w:widowControl/>
        <w:kinsoku/>
        <w:wordWrap w:val="0"/>
        <w:overflowPunct/>
        <w:topLinePunct/>
        <w:autoSpaceDE/>
        <w:autoSpaceDN/>
        <w:bidi w:val="0"/>
        <w:adjustRightInd/>
        <w:snapToGrid/>
        <w:spacing w:line="560" w:lineRule="exact"/>
        <w:ind w:firstLine="643"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外事接待支出0</w:t>
      </w:r>
      <w:r>
        <w:rPr>
          <w:rFonts w:hint="eastAsia" w:ascii="仿宋_GB2312" w:hAnsi="仿宋_GB2312" w:eastAsia="仿宋_GB2312" w:cs="仿宋_GB2312"/>
          <w:sz w:val="32"/>
          <w:szCs w:val="32"/>
        </w:rPr>
        <w:t>万元。</w:t>
      </w:r>
    </w:p>
    <w:p w14:paraId="782A1D36">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bookmarkStart w:id="42" w:name="_Toc6204"/>
      <w:r>
        <w:rPr>
          <w:rFonts w:hint="eastAsia" w:ascii="黑体" w:hAnsi="黑体" w:eastAsia="黑体" w:cs="Times New Roman"/>
          <w:sz w:val="32"/>
          <w:szCs w:val="32"/>
          <w:lang w:val="en-US" w:eastAsia="zh-CN"/>
        </w:rPr>
        <w:t>八、政府性基金预算支出决算情况说明</w:t>
      </w:r>
      <w:bookmarkEnd w:id="42"/>
    </w:p>
    <w:p w14:paraId="62EA2159">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年度政府性基金预算财政拨款支出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w:t>
      </w:r>
    </w:p>
    <w:p w14:paraId="5FB2971B">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bookmarkStart w:id="43" w:name="_Toc15377219"/>
      <w:bookmarkStart w:id="44" w:name="_Toc15396611"/>
      <w:bookmarkStart w:id="45" w:name="_Toc20551"/>
      <w:r>
        <w:rPr>
          <w:rFonts w:hint="eastAsia" w:ascii="黑体" w:hAnsi="黑体" w:eastAsia="黑体" w:cs="Times New Roman"/>
          <w:sz w:val="32"/>
          <w:szCs w:val="32"/>
          <w:lang w:val="en-US" w:eastAsia="zh-CN"/>
        </w:rPr>
        <w:t>九、国有资本经营预算支出决算情况说明</w:t>
      </w:r>
      <w:bookmarkEnd w:id="43"/>
      <w:bookmarkEnd w:id="44"/>
      <w:bookmarkEnd w:id="45"/>
    </w:p>
    <w:p w14:paraId="05C88530">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年度国有资本经营预算财政拨款支出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w:t>
      </w:r>
    </w:p>
    <w:p w14:paraId="4D6F47B5">
      <w:pPr>
        <w:pStyle w:val="26"/>
        <w:keepNext/>
        <w:keepLines w:val="0"/>
        <w:pageBreakBefore w:val="0"/>
        <w:widowControl/>
        <w:numPr>
          <w:ilvl w:val="0"/>
          <w:numId w:val="0"/>
        </w:numPr>
        <w:kinsoku/>
        <w:wordWrap w:val="0"/>
        <w:overflowPunct/>
        <w:topLinePunct/>
        <w:autoSpaceDE/>
        <w:autoSpaceDN/>
        <w:bidi w:val="0"/>
        <w:adjustRightInd/>
        <w:snapToGrid/>
        <w:spacing w:line="560" w:lineRule="exact"/>
        <w:ind w:firstLine="640" w:firstLineChars="200"/>
        <w:jc w:val="left"/>
        <w:outlineLvl w:val="9"/>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十、其他重要事项的情况说明</w:t>
      </w:r>
    </w:p>
    <w:p w14:paraId="40BDE70D">
      <w:pPr>
        <w:keepNext/>
        <w:keepLines w:val="0"/>
        <w:pageBreakBefore w:val="0"/>
        <w:widowControl/>
        <w:kinsoku/>
        <w:wordWrap w:val="0"/>
        <w:overflowPunct/>
        <w:topLinePunct/>
        <w:autoSpaceDE/>
        <w:autoSpaceDN/>
        <w:bidi w:val="0"/>
        <w:snapToGrid/>
        <w:spacing w:line="560" w:lineRule="exact"/>
        <w:ind w:firstLine="643" w:firstLineChars="200"/>
        <w:jc w:val="left"/>
        <w:outlineLvl w:val="9"/>
        <w:rPr>
          <w:rFonts w:hint="eastAsia" w:ascii="仿宋_GB2312" w:hAnsi="仿宋_GB2312" w:eastAsia="仿宋_GB2312" w:cs="仿宋_GB2312"/>
          <w:sz w:val="32"/>
          <w:szCs w:val="32"/>
        </w:rPr>
      </w:pPr>
      <w:bookmarkStart w:id="46" w:name="_Toc15377222"/>
      <w:r>
        <w:rPr>
          <w:rFonts w:hint="eastAsia" w:ascii="仿宋_GB2312" w:hAnsi="仿宋_GB2312" w:eastAsia="仿宋_GB2312" w:cs="仿宋_GB2312"/>
          <w:b/>
          <w:sz w:val="32"/>
          <w:szCs w:val="32"/>
        </w:rPr>
        <w:t>（一）机关运行经费支出情况</w:t>
      </w:r>
      <w:bookmarkEnd w:id="46"/>
    </w:p>
    <w:p w14:paraId="51E6698F">
      <w:pPr>
        <w:keepNext/>
        <w:keepLines w:val="0"/>
        <w:pageBreakBefore w:val="0"/>
        <w:widowControl/>
        <w:kinsoku/>
        <w:wordWrap w:val="0"/>
        <w:overflowPunct/>
        <w:topLinePunct/>
        <w:autoSpaceDE/>
        <w:autoSpaceDN/>
        <w:bidi w:val="0"/>
        <w:adjustRightInd/>
        <w:snapToGrid/>
        <w:spacing w:line="560" w:lineRule="exact"/>
        <w:ind w:firstLine="640" w:firstLineChars="200"/>
        <w:jc w:val="left"/>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年度，阿坝州红原县人民法院机关运行经费支出</w:t>
      </w:r>
      <w:r>
        <w:rPr>
          <w:rFonts w:hint="eastAsia" w:ascii="仿宋_GB2312" w:hAnsi="仿宋_GB2312" w:eastAsia="仿宋_GB2312" w:cs="仿宋_GB2312"/>
          <w:b/>
          <w:color w:val="auto"/>
          <w:sz w:val="32"/>
          <w:szCs w:val="32"/>
          <w:lang w:val="en-US" w:eastAsia="zh-CN"/>
        </w:rPr>
        <w:t>102.75</w:t>
      </w:r>
      <w:r>
        <w:rPr>
          <w:rFonts w:hint="eastAsia" w:ascii="仿宋_GB2312" w:hAnsi="仿宋_GB2312" w:eastAsia="仿宋_GB2312" w:cs="仿宋_GB2312"/>
          <w:color w:val="auto"/>
          <w:sz w:val="32"/>
          <w:szCs w:val="32"/>
        </w:rPr>
        <w:t>万元，比202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年度减</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b/>
          <w:bCs/>
          <w:color w:val="auto"/>
          <w:sz w:val="32"/>
          <w:szCs w:val="32"/>
          <w:lang w:val="en-US" w:eastAsia="zh-CN"/>
        </w:rPr>
        <w:t>14.56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b/>
          <w:bCs/>
          <w:i w:val="0"/>
          <w:iCs w:val="0"/>
          <w:color w:val="auto"/>
          <w:sz w:val="32"/>
          <w:szCs w:val="32"/>
          <w:lang w:val="en-US" w:eastAsia="zh-CN"/>
        </w:rPr>
        <w:t>16.50</w:t>
      </w:r>
      <w:r>
        <w:rPr>
          <w:rFonts w:hint="eastAsia" w:ascii="仿宋_GB2312" w:hAnsi="仿宋_GB2312" w:eastAsia="仿宋_GB2312" w:cs="仿宋_GB2312"/>
          <w:b/>
          <w:bCs/>
          <w:i w:val="0"/>
          <w:iCs w:val="0"/>
          <w:color w:val="auto"/>
          <w:sz w:val="32"/>
          <w:szCs w:val="32"/>
        </w:rPr>
        <w:t>%</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获批新增购买执法执勤用车</w:t>
      </w:r>
      <w:r>
        <w:rPr>
          <w:rFonts w:hint="eastAsia" w:ascii="仿宋_GB2312" w:hAnsi="仿宋_GB2312" w:eastAsia="仿宋_GB2312" w:cs="仿宋_GB2312"/>
          <w:color w:val="auto"/>
          <w:sz w:val="32"/>
          <w:szCs w:val="32"/>
        </w:rPr>
        <w:t>。</w:t>
      </w:r>
    </w:p>
    <w:p w14:paraId="659C66D0">
      <w:pPr>
        <w:keepNext/>
        <w:keepLines w:val="0"/>
        <w:pageBreakBefore w:val="0"/>
        <w:widowControl/>
        <w:kinsoku/>
        <w:wordWrap w:val="0"/>
        <w:overflowPunct/>
        <w:topLinePunct/>
        <w:autoSpaceDE/>
        <w:autoSpaceDN/>
        <w:bidi w:val="0"/>
        <w:snapToGrid/>
        <w:spacing w:line="560" w:lineRule="exact"/>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w:t>
      </w:r>
      <w:r>
        <w:rPr>
          <w:rFonts w:hint="eastAsia" w:ascii="仿宋_GB2312" w:hAnsi="仿宋_GB2312" w:eastAsia="仿宋_GB2312" w:cs="仿宋_GB2312"/>
          <w:b/>
          <w:sz w:val="32"/>
          <w:szCs w:val="32"/>
          <w:lang w:val="en-US" w:eastAsia="zh-CN"/>
        </w:rPr>
        <w:t>GK08</w:t>
      </w:r>
      <w:r>
        <w:rPr>
          <w:rFonts w:hint="eastAsia" w:ascii="仿宋_GB2312" w:hAnsi="仿宋_GB2312" w:eastAsia="仿宋_GB2312" w:cs="仿宋_GB2312"/>
          <w:b/>
          <w:sz w:val="32"/>
          <w:szCs w:val="32"/>
        </w:rPr>
        <w:t>表）</w:t>
      </w:r>
    </w:p>
    <w:p w14:paraId="24C3525F">
      <w:pPr>
        <w:keepNext/>
        <w:keepLines w:val="0"/>
        <w:pageBreakBefore w:val="0"/>
        <w:widowControl/>
        <w:kinsoku/>
        <w:wordWrap w:val="0"/>
        <w:overflowPunct/>
        <w:topLinePunct/>
        <w:autoSpaceDE/>
        <w:autoSpaceDN/>
        <w:bidi w:val="0"/>
        <w:adjustRightInd w:val="0"/>
        <w:snapToGrid/>
        <w:spacing w:line="560" w:lineRule="exact"/>
        <w:ind w:firstLine="643" w:firstLineChars="200"/>
        <w:jc w:val="left"/>
        <w:outlineLvl w:val="9"/>
        <w:rPr>
          <w:rFonts w:hint="eastAsia" w:ascii="仿宋_GB2312" w:hAnsi="仿宋_GB2312" w:eastAsia="仿宋_GB2312" w:cs="仿宋_GB2312"/>
          <w:b/>
          <w:sz w:val="32"/>
          <w:szCs w:val="32"/>
        </w:rPr>
      </w:pPr>
      <w:bookmarkStart w:id="47" w:name="_Toc15377223"/>
      <w:r>
        <w:rPr>
          <w:rFonts w:hint="eastAsia" w:ascii="仿宋_GB2312" w:hAnsi="仿宋_GB2312" w:eastAsia="仿宋_GB2312" w:cs="仿宋_GB2312"/>
          <w:b/>
          <w:sz w:val="32"/>
          <w:szCs w:val="32"/>
        </w:rPr>
        <w:t>（二）政府采购支出情况</w:t>
      </w:r>
      <w:bookmarkEnd w:id="47"/>
    </w:p>
    <w:p w14:paraId="0D317BFD">
      <w:pPr>
        <w:keepNext/>
        <w:keepLines w:val="0"/>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年度，阿坝州红原县人民法院政府采购支出总额</w:t>
      </w:r>
      <w:r>
        <w:rPr>
          <w:rFonts w:hint="eastAsia" w:ascii="仿宋_GB2312" w:hAnsi="仿宋_GB2312" w:eastAsia="仿宋_GB2312" w:cs="仿宋_GB2312"/>
          <w:b/>
          <w:bCs/>
          <w:color w:val="auto"/>
          <w:sz w:val="32"/>
          <w:szCs w:val="32"/>
        </w:rPr>
        <w:t>148</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8</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val="0"/>
          <w:bCs w:val="0"/>
          <w:color w:val="auto"/>
          <w:sz w:val="32"/>
          <w:szCs w:val="32"/>
        </w:rPr>
        <w:t>万元，其中：政府采购货物支出</w:t>
      </w:r>
      <w:r>
        <w:rPr>
          <w:rFonts w:hint="eastAsia" w:ascii="仿宋_GB2312" w:hAnsi="仿宋_GB2312" w:eastAsia="仿宋_GB2312" w:cs="仿宋_GB2312"/>
          <w:b/>
          <w:bCs/>
          <w:color w:val="auto"/>
          <w:sz w:val="32"/>
          <w:szCs w:val="32"/>
          <w:lang w:val="en-US" w:eastAsia="zh-CN"/>
        </w:rPr>
        <w:t>147.74</w:t>
      </w:r>
      <w:r>
        <w:rPr>
          <w:rFonts w:hint="eastAsia" w:ascii="仿宋_GB2312" w:hAnsi="仿宋_GB2312" w:eastAsia="仿宋_GB2312" w:cs="仿宋_GB2312"/>
          <w:b w:val="0"/>
          <w:bCs w:val="0"/>
          <w:color w:val="auto"/>
          <w:sz w:val="32"/>
          <w:szCs w:val="32"/>
        </w:rPr>
        <w:t>万元、政府采购工程支出</w:t>
      </w:r>
      <w:r>
        <w:rPr>
          <w:rFonts w:hint="eastAsia" w:ascii="仿宋_GB2312" w:hAnsi="仿宋_GB2312" w:eastAsia="仿宋_GB2312" w:cs="仿宋_GB2312"/>
          <w:b/>
          <w:bCs/>
          <w:color w:val="auto"/>
          <w:sz w:val="32"/>
          <w:szCs w:val="32"/>
          <w:lang w:val="en-US" w:eastAsia="zh-CN"/>
        </w:rPr>
        <w:t>0</w:t>
      </w:r>
      <w:r>
        <w:rPr>
          <w:rFonts w:hint="eastAsia" w:ascii="仿宋_GB2312" w:hAnsi="仿宋_GB2312" w:eastAsia="仿宋_GB2312" w:cs="仿宋_GB2312"/>
          <w:b w:val="0"/>
          <w:bCs w:val="0"/>
          <w:color w:val="auto"/>
          <w:sz w:val="32"/>
          <w:szCs w:val="32"/>
        </w:rPr>
        <w:t>万元、政府采购服务支出</w:t>
      </w:r>
      <w:r>
        <w:rPr>
          <w:rFonts w:hint="eastAsia" w:ascii="仿宋_GB2312" w:hAnsi="仿宋_GB2312" w:eastAsia="仿宋_GB2312" w:cs="仿宋_GB2312"/>
          <w:b/>
          <w:bCs/>
          <w:color w:val="auto"/>
          <w:sz w:val="32"/>
          <w:szCs w:val="32"/>
          <w:lang w:val="en-US" w:eastAsia="zh-CN"/>
        </w:rPr>
        <w:t>1.09</w:t>
      </w:r>
      <w:r>
        <w:rPr>
          <w:rFonts w:hint="eastAsia" w:ascii="仿宋_GB2312" w:hAnsi="仿宋_GB2312" w:eastAsia="仿宋_GB2312" w:cs="仿宋_GB2312"/>
          <w:b w:val="0"/>
          <w:bCs w:val="0"/>
          <w:color w:val="auto"/>
          <w:sz w:val="32"/>
          <w:szCs w:val="32"/>
        </w:rPr>
        <w:t>万元。主要用于红原县人民法院信息化建设项目</w:t>
      </w:r>
      <w:r>
        <w:rPr>
          <w:rFonts w:hint="eastAsia" w:ascii="仿宋_GB2312" w:hAnsi="仿宋_GB2312" w:eastAsia="仿宋_GB2312" w:cs="仿宋_GB2312"/>
          <w:b w:val="0"/>
          <w:bCs w:val="0"/>
          <w:color w:val="auto"/>
          <w:sz w:val="32"/>
          <w:szCs w:val="32"/>
          <w:lang w:val="en-US" w:eastAsia="zh-CN"/>
        </w:rPr>
        <w:t>尾款</w:t>
      </w:r>
      <w:r>
        <w:rPr>
          <w:rFonts w:hint="eastAsia" w:ascii="仿宋_GB2312" w:hAnsi="仿宋_GB2312" w:eastAsia="仿宋_GB2312" w:cs="仿宋_GB2312"/>
          <w:b/>
          <w:bCs/>
          <w:color w:val="auto"/>
          <w:sz w:val="32"/>
          <w:szCs w:val="32"/>
          <w:lang w:val="en-US" w:eastAsia="zh-CN"/>
        </w:rPr>
        <w:t>4.18</w:t>
      </w:r>
      <w:r>
        <w:rPr>
          <w:rFonts w:hint="eastAsia" w:ascii="仿宋_GB2312" w:hAnsi="仿宋_GB2312" w:eastAsia="仿宋_GB2312" w:cs="仿宋_GB2312"/>
          <w:b w:val="0"/>
          <w:bCs w:val="0"/>
          <w:color w:val="auto"/>
          <w:sz w:val="32"/>
          <w:szCs w:val="32"/>
          <w:lang w:val="en-US" w:eastAsia="zh-CN"/>
        </w:rPr>
        <w:t>万元，红原县人民法院智慧法院建设项目</w:t>
      </w:r>
      <w:r>
        <w:rPr>
          <w:rFonts w:hint="eastAsia" w:ascii="仿宋_GB2312" w:hAnsi="仿宋_GB2312" w:eastAsia="仿宋_GB2312" w:cs="仿宋_GB2312"/>
          <w:b/>
          <w:bCs/>
          <w:color w:val="auto"/>
          <w:sz w:val="32"/>
          <w:szCs w:val="32"/>
          <w:lang w:val="en-US" w:eastAsia="zh-CN"/>
        </w:rPr>
        <w:t>93.36</w:t>
      </w:r>
      <w:r>
        <w:rPr>
          <w:rFonts w:hint="eastAsia" w:ascii="仿宋_GB2312" w:hAnsi="仿宋_GB2312" w:eastAsia="仿宋_GB2312" w:cs="仿宋_GB2312"/>
          <w:b w:val="0"/>
          <w:bCs w:val="0"/>
          <w:color w:val="auto"/>
          <w:sz w:val="32"/>
          <w:szCs w:val="32"/>
          <w:lang w:val="en-US" w:eastAsia="zh-CN"/>
        </w:rPr>
        <w:t>万元，红原县人民法院2024年LED建设项目</w:t>
      </w:r>
      <w:r>
        <w:rPr>
          <w:rFonts w:hint="eastAsia" w:ascii="仿宋_GB2312" w:hAnsi="仿宋_GB2312" w:eastAsia="仿宋_GB2312" w:cs="仿宋_GB2312"/>
          <w:b/>
          <w:bCs/>
          <w:color w:val="auto"/>
          <w:sz w:val="32"/>
          <w:szCs w:val="32"/>
          <w:lang w:val="en-US" w:eastAsia="zh-CN"/>
        </w:rPr>
        <w:t>20.00</w:t>
      </w:r>
      <w:r>
        <w:rPr>
          <w:rFonts w:hint="eastAsia" w:ascii="仿宋_GB2312" w:hAnsi="仿宋_GB2312" w:eastAsia="仿宋_GB2312" w:cs="仿宋_GB2312"/>
          <w:b w:val="0"/>
          <w:bCs w:val="0"/>
          <w:color w:val="auto"/>
          <w:sz w:val="32"/>
          <w:szCs w:val="32"/>
          <w:lang w:val="en-US" w:eastAsia="zh-CN"/>
        </w:rPr>
        <w:t>万元，国产台式计算机</w:t>
      </w:r>
      <w:r>
        <w:rPr>
          <w:rFonts w:hint="eastAsia" w:ascii="仿宋_GB2312" w:hAnsi="仿宋_GB2312" w:eastAsia="仿宋_GB2312" w:cs="仿宋_GB2312"/>
          <w:b/>
          <w:bCs/>
          <w:color w:val="auto"/>
          <w:sz w:val="32"/>
          <w:szCs w:val="32"/>
          <w:lang w:val="en-US" w:eastAsia="zh-CN"/>
        </w:rPr>
        <w:t>11.80</w:t>
      </w:r>
      <w:r>
        <w:rPr>
          <w:rFonts w:hint="eastAsia" w:ascii="仿宋_GB2312" w:hAnsi="仿宋_GB2312" w:eastAsia="仿宋_GB2312" w:cs="仿宋_GB2312"/>
          <w:b w:val="0"/>
          <w:bCs w:val="0"/>
          <w:color w:val="auto"/>
          <w:sz w:val="32"/>
          <w:szCs w:val="32"/>
          <w:lang w:val="en-US" w:eastAsia="zh-CN"/>
        </w:rPr>
        <w:t>万元，国产便携式计算机</w:t>
      </w:r>
      <w:r>
        <w:rPr>
          <w:rFonts w:hint="eastAsia" w:ascii="仿宋_GB2312" w:hAnsi="仿宋_GB2312" w:eastAsia="仿宋_GB2312" w:cs="仿宋_GB2312"/>
          <w:b/>
          <w:bCs/>
          <w:color w:val="auto"/>
          <w:sz w:val="32"/>
          <w:szCs w:val="32"/>
          <w:lang w:val="en-US" w:eastAsia="zh-CN"/>
        </w:rPr>
        <w:t>7.38万</w:t>
      </w:r>
      <w:r>
        <w:rPr>
          <w:rFonts w:hint="eastAsia" w:ascii="仿宋_GB2312" w:hAnsi="仿宋_GB2312" w:eastAsia="仿宋_GB2312" w:cs="仿宋_GB2312"/>
          <w:b w:val="0"/>
          <w:bCs w:val="0"/>
          <w:color w:val="auto"/>
          <w:sz w:val="32"/>
          <w:szCs w:val="32"/>
          <w:lang w:val="en-US" w:eastAsia="zh-CN"/>
        </w:rPr>
        <w:t>元，国产A4彩色打印机</w:t>
      </w:r>
      <w:r>
        <w:rPr>
          <w:rFonts w:hint="eastAsia" w:ascii="仿宋_GB2312" w:hAnsi="仿宋_GB2312" w:eastAsia="仿宋_GB2312" w:cs="仿宋_GB2312"/>
          <w:b/>
          <w:bCs/>
          <w:color w:val="auto"/>
          <w:sz w:val="32"/>
          <w:szCs w:val="32"/>
          <w:lang w:val="en-US" w:eastAsia="zh-CN"/>
        </w:rPr>
        <w:t>4.10</w:t>
      </w:r>
      <w:r>
        <w:rPr>
          <w:rFonts w:hint="eastAsia" w:ascii="仿宋_GB2312" w:hAnsi="仿宋_GB2312" w:eastAsia="仿宋_GB2312" w:cs="仿宋_GB2312"/>
          <w:b w:val="0"/>
          <w:bCs w:val="0"/>
          <w:color w:val="auto"/>
          <w:sz w:val="32"/>
          <w:szCs w:val="32"/>
          <w:lang w:val="en-US" w:eastAsia="zh-CN"/>
        </w:rPr>
        <w:t>万元，国产服务器</w:t>
      </w:r>
      <w:r>
        <w:rPr>
          <w:rFonts w:hint="eastAsia" w:ascii="仿宋_GB2312" w:hAnsi="仿宋_GB2312" w:eastAsia="仿宋_GB2312" w:cs="仿宋_GB2312"/>
          <w:b/>
          <w:bCs/>
          <w:color w:val="auto"/>
          <w:sz w:val="32"/>
          <w:szCs w:val="32"/>
          <w:lang w:val="en-US" w:eastAsia="zh-CN"/>
        </w:rPr>
        <w:t>6.92</w:t>
      </w:r>
      <w:r>
        <w:rPr>
          <w:rFonts w:hint="eastAsia" w:ascii="仿宋_GB2312" w:hAnsi="仿宋_GB2312" w:eastAsia="仿宋_GB2312" w:cs="仿宋_GB2312"/>
          <w:b w:val="0"/>
          <w:bCs w:val="0"/>
          <w:color w:val="auto"/>
          <w:sz w:val="32"/>
          <w:szCs w:val="32"/>
          <w:lang w:val="en-US" w:eastAsia="zh-CN"/>
        </w:rPr>
        <w:t>万元，车辆保险</w:t>
      </w:r>
      <w:r>
        <w:rPr>
          <w:rFonts w:hint="eastAsia" w:ascii="仿宋_GB2312" w:hAnsi="仿宋_GB2312" w:eastAsia="仿宋_GB2312" w:cs="仿宋_GB2312"/>
          <w:b/>
          <w:bCs/>
          <w:color w:val="auto"/>
          <w:sz w:val="32"/>
          <w:szCs w:val="32"/>
          <w:lang w:val="en-US" w:eastAsia="zh-CN"/>
        </w:rPr>
        <w:t>1.09</w:t>
      </w:r>
      <w:r>
        <w:rPr>
          <w:rFonts w:hint="eastAsia" w:ascii="仿宋_GB2312" w:hAnsi="仿宋_GB2312" w:eastAsia="仿宋_GB2312" w:cs="仿宋_GB2312"/>
          <w:b w:val="0"/>
          <w:bCs w:val="0"/>
          <w:color w:val="auto"/>
          <w:sz w:val="32"/>
          <w:szCs w:val="32"/>
          <w:lang w:val="en-US" w:eastAsia="zh-CN"/>
        </w:rPr>
        <w:t>万元。</w:t>
      </w:r>
      <w:r>
        <w:rPr>
          <w:rFonts w:hint="eastAsia" w:ascii="仿宋_GB2312" w:hAnsi="仿宋_GB2312" w:eastAsia="仿宋_GB2312" w:cs="仿宋_GB2312"/>
          <w:b w:val="0"/>
          <w:bCs w:val="0"/>
          <w:color w:val="auto"/>
          <w:sz w:val="32"/>
          <w:szCs w:val="32"/>
        </w:rPr>
        <w:t>授予中小企业合同金额</w:t>
      </w:r>
      <w:r>
        <w:rPr>
          <w:rFonts w:hint="eastAsia" w:ascii="仿宋_GB2312" w:hAnsi="仿宋_GB2312" w:eastAsia="仿宋_GB2312" w:cs="仿宋_GB2312"/>
          <w:b/>
          <w:bCs/>
          <w:color w:val="auto"/>
          <w:sz w:val="32"/>
          <w:szCs w:val="32"/>
          <w:lang w:val="en-US" w:eastAsia="zh-CN"/>
        </w:rPr>
        <w:t>0</w:t>
      </w:r>
      <w:r>
        <w:rPr>
          <w:rFonts w:hint="eastAsia" w:ascii="仿宋_GB2312" w:hAnsi="仿宋_GB2312" w:eastAsia="仿宋_GB2312" w:cs="仿宋_GB2312"/>
          <w:b w:val="0"/>
          <w:bCs w:val="0"/>
          <w:color w:val="auto"/>
          <w:sz w:val="32"/>
          <w:szCs w:val="32"/>
        </w:rPr>
        <w:t>万元，占政府采购支出总额的</w:t>
      </w:r>
      <w:r>
        <w:rPr>
          <w:rFonts w:hint="eastAsia" w:ascii="仿宋_GB2312" w:hAnsi="仿宋_GB2312" w:eastAsia="仿宋_GB2312" w:cs="仿宋_GB2312"/>
          <w:b/>
          <w:bCs/>
          <w:color w:val="auto"/>
          <w:sz w:val="32"/>
          <w:szCs w:val="32"/>
          <w:lang w:val="en-US" w:eastAsia="zh-CN"/>
        </w:rPr>
        <w:t>0</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，其中：授予小微企业合同金额</w:t>
      </w:r>
      <w:r>
        <w:rPr>
          <w:rFonts w:hint="eastAsia" w:ascii="仿宋_GB2312" w:hAnsi="仿宋_GB2312" w:eastAsia="仿宋_GB2312" w:cs="仿宋_GB2312"/>
          <w:b/>
          <w:bCs/>
          <w:color w:val="auto"/>
          <w:sz w:val="32"/>
          <w:szCs w:val="32"/>
          <w:lang w:val="en-US" w:eastAsia="zh-CN"/>
        </w:rPr>
        <w:t>0</w:t>
      </w:r>
      <w:r>
        <w:rPr>
          <w:rFonts w:hint="eastAsia" w:ascii="仿宋_GB2312" w:hAnsi="仿宋_GB2312" w:eastAsia="仿宋_GB2312" w:cs="仿宋_GB2312"/>
          <w:b w:val="0"/>
          <w:bCs w:val="0"/>
          <w:color w:val="auto"/>
          <w:sz w:val="32"/>
          <w:szCs w:val="32"/>
        </w:rPr>
        <w:t>万元，占政府采购支出总额的</w:t>
      </w:r>
      <w:r>
        <w:rPr>
          <w:rFonts w:hint="eastAsia" w:ascii="仿宋_GB2312" w:hAnsi="仿宋_GB2312" w:eastAsia="仿宋_GB2312" w:cs="仿宋_GB2312"/>
          <w:b/>
          <w:bCs/>
          <w:color w:val="auto"/>
          <w:sz w:val="32"/>
          <w:szCs w:val="32"/>
          <w:lang w:val="en-US" w:eastAsia="zh-CN"/>
        </w:rPr>
        <w:t>0</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w:t>
      </w:r>
    </w:p>
    <w:p w14:paraId="62DE8F55">
      <w:pPr>
        <w:keepNext/>
        <w:keepLines w:val="0"/>
        <w:pageBreakBefore w:val="0"/>
        <w:widowControl/>
        <w:kinsoku/>
        <w:wordWrap w:val="0"/>
        <w:overflowPunct/>
        <w:topLinePunct/>
        <w:autoSpaceDE/>
        <w:autoSpaceDN/>
        <w:bidi w:val="0"/>
        <w:snapToGrid/>
        <w:spacing w:line="560" w:lineRule="exact"/>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（注：数据来源于财决附03表）</w:t>
      </w:r>
    </w:p>
    <w:p w14:paraId="2BF64F53">
      <w:pPr>
        <w:keepNext/>
        <w:keepLines w:val="0"/>
        <w:pageBreakBefore w:val="0"/>
        <w:widowControl/>
        <w:kinsoku/>
        <w:wordWrap w:val="0"/>
        <w:overflowPunct/>
        <w:topLinePunct/>
        <w:autoSpaceDE/>
        <w:autoSpaceDN/>
        <w:bidi w:val="0"/>
        <w:adjustRightInd w:val="0"/>
        <w:snapToGrid/>
        <w:spacing w:line="560" w:lineRule="exact"/>
        <w:ind w:firstLine="643" w:firstLineChars="200"/>
        <w:jc w:val="left"/>
        <w:outlineLvl w:val="9"/>
        <w:rPr>
          <w:rFonts w:hint="eastAsia" w:ascii="仿宋_GB2312" w:hAnsi="仿宋_GB2312" w:eastAsia="仿宋_GB2312" w:cs="仿宋_GB2312"/>
          <w:b/>
          <w:sz w:val="32"/>
          <w:szCs w:val="32"/>
        </w:rPr>
      </w:pPr>
      <w:bookmarkStart w:id="48" w:name="_Toc15377224"/>
      <w:r>
        <w:rPr>
          <w:rFonts w:hint="eastAsia" w:ascii="仿宋_GB2312" w:hAnsi="仿宋_GB2312" w:eastAsia="仿宋_GB2312" w:cs="仿宋_GB2312"/>
          <w:b/>
          <w:sz w:val="32"/>
          <w:szCs w:val="32"/>
        </w:rPr>
        <w:t>（三）国有资产占有使用情况</w:t>
      </w:r>
      <w:bookmarkEnd w:id="48"/>
    </w:p>
    <w:p w14:paraId="4A1319D2">
      <w:pPr>
        <w:keepNext/>
        <w:keepLines w:val="0"/>
        <w:pageBreakBefore w:val="0"/>
        <w:widowControl/>
        <w:kinsoku/>
        <w:wordWrap w:val="0"/>
        <w:overflowPunct/>
        <w:topLinePunct/>
        <w:autoSpaceDE/>
        <w:autoSpaceDN/>
        <w:bidi w:val="0"/>
        <w:adjustRightInd w:val="0"/>
        <w:snapToGrid/>
        <w:spacing w:line="560" w:lineRule="exact"/>
        <w:ind w:firstLine="640" w:firstLineChars="200"/>
        <w:jc w:val="left"/>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截至202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年12月31日，阿坝州红原县人民法院共有车辆</w:t>
      </w:r>
      <w:r>
        <w:rPr>
          <w:rFonts w:hint="eastAsia" w:ascii="仿宋_GB2312" w:hAnsi="仿宋_GB2312" w:eastAsia="仿宋_GB2312" w:cs="仿宋_GB2312"/>
          <w:b/>
          <w:bCs/>
          <w:sz w:val="32"/>
          <w:szCs w:val="32"/>
        </w:rPr>
        <w:t>8</w:t>
      </w:r>
      <w:r>
        <w:rPr>
          <w:rFonts w:hint="eastAsia" w:ascii="仿宋_GB2312" w:hAnsi="仿宋_GB2312" w:eastAsia="仿宋_GB2312" w:cs="仿宋_GB2312"/>
          <w:b w:val="0"/>
          <w:bCs w:val="0"/>
          <w:sz w:val="32"/>
          <w:szCs w:val="32"/>
        </w:rPr>
        <w:t>辆，其中：主要领导干部用车</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val="0"/>
          <w:bCs w:val="0"/>
          <w:sz w:val="32"/>
          <w:szCs w:val="32"/>
        </w:rPr>
        <w:t>辆、机要通信用车</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val="0"/>
          <w:bCs w:val="0"/>
          <w:sz w:val="32"/>
          <w:szCs w:val="32"/>
        </w:rPr>
        <w:t>辆、应急保障用车</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val="0"/>
          <w:bCs w:val="0"/>
          <w:sz w:val="32"/>
          <w:szCs w:val="32"/>
        </w:rPr>
        <w:t>辆、其他用车</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val="0"/>
          <w:bCs w:val="0"/>
          <w:sz w:val="32"/>
          <w:szCs w:val="32"/>
        </w:rPr>
        <w:t>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其他用车主要是用于</w:t>
      </w:r>
      <w:r>
        <w:rPr>
          <w:rFonts w:hint="eastAsia" w:ascii="仿宋_GB2312" w:hAnsi="仿宋_GB2312" w:eastAsia="仿宋_GB2312" w:cs="仿宋_GB2312"/>
          <w:b w:val="0"/>
          <w:bCs w:val="0"/>
          <w:sz w:val="32"/>
          <w:szCs w:val="32"/>
          <w:lang w:val="en-US" w:eastAsia="zh-CN"/>
        </w:rPr>
        <w:t>执法办案</w:t>
      </w:r>
      <w:r>
        <w:rPr>
          <w:rFonts w:hint="eastAsia" w:ascii="仿宋_GB2312" w:hAnsi="仿宋_GB2312" w:eastAsia="仿宋_GB2312" w:cs="仿宋_GB2312"/>
          <w:b w:val="0"/>
          <w:bCs w:val="0"/>
          <w:sz w:val="32"/>
          <w:szCs w:val="32"/>
        </w:rPr>
        <w:t>辆。单价</w:t>
      </w:r>
      <w:r>
        <w:rPr>
          <w:rFonts w:hint="eastAsia" w:ascii="仿宋_GB2312" w:hAnsi="仿宋_GB2312" w:eastAsia="仿宋_GB2312" w:cs="仿宋_GB2312"/>
          <w:b/>
          <w:bCs/>
          <w:sz w:val="32"/>
          <w:szCs w:val="32"/>
        </w:rPr>
        <w:t>100</w:t>
      </w:r>
      <w:r>
        <w:rPr>
          <w:rFonts w:hint="eastAsia" w:ascii="仿宋_GB2312" w:hAnsi="仿宋_GB2312" w:eastAsia="仿宋_GB2312" w:cs="仿宋_GB2312"/>
          <w:b w:val="0"/>
          <w:bCs w:val="0"/>
          <w:sz w:val="32"/>
          <w:szCs w:val="32"/>
        </w:rPr>
        <w:t>万元以上设备（不含车辆）0台（套）。</w:t>
      </w:r>
    </w:p>
    <w:p w14:paraId="05993346">
      <w:pPr>
        <w:keepNext/>
        <w:keepLines w:val="0"/>
        <w:pageBreakBefore w:val="0"/>
        <w:widowControl/>
        <w:kinsoku/>
        <w:wordWrap w:val="0"/>
        <w:overflowPunct/>
        <w:topLinePunct/>
        <w:autoSpaceDE/>
        <w:autoSpaceDN/>
        <w:bidi w:val="0"/>
        <w:adjustRightInd w:val="0"/>
        <w:snapToGrid/>
        <w:spacing w:line="560" w:lineRule="exact"/>
        <w:ind w:firstLine="640" w:firstLineChars="200"/>
        <w:jc w:val="left"/>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截至202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年12月31日，阿坝州红原县人民法院共有固定资产原值</w:t>
      </w:r>
      <w:r>
        <w:rPr>
          <w:rFonts w:hint="eastAsia" w:ascii="仿宋_GB2312" w:hAnsi="仿宋_GB2312" w:eastAsia="仿宋_GB2312" w:cs="仿宋_GB2312"/>
          <w:b/>
          <w:bCs/>
          <w:sz w:val="32"/>
          <w:szCs w:val="32"/>
          <w:lang w:val="en-US" w:eastAsia="zh-CN"/>
        </w:rPr>
        <w:t>4370.24</w:t>
      </w:r>
      <w:r>
        <w:rPr>
          <w:rFonts w:hint="eastAsia" w:ascii="仿宋_GB2312" w:hAnsi="仿宋_GB2312" w:eastAsia="仿宋_GB2312" w:cs="仿宋_GB2312"/>
          <w:b w:val="0"/>
          <w:bCs w:val="0"/>
          <w:sz w:val="32"/>
          <w:szCs w:val="32"/>
        </w:rPr>
        <w:t>万元，固定资产累计折旧</w:t>
      </w:r>
      <w:r>
        <w:rPr>
          <w:rFonts w:hint="eastAsia" w:ascii="仿宋_GB2312" w:hAnsi="仿宋_GB2312" w:eastAsia="仿宋_GB2312" w:cs="仿宋_GB2312"/>
          <w:b/>
          <w:bCs/>
          <w:sz w:val="32"/>
          <w:szCs w:val="32"/>
          <w:lang w:val="en-US" w:eastAsia="zh-CN"/>
        </w:rPr>
        <w:t>2038.04</w:t>
      </w:r>
      <w:r>
        <w:rPr>
          <w:rFonts w:hint="eastAsia" w:ascii="仿宋_GB2312" w:hAnsi="仿宋_GB2312" w:eastAsia="仿宋_GB2312" w:cs="仿宋_GB2312"/>
          <w:b w:val="0"/>
          <w:bCs w:val="0"/>
          <w:sz w:val="32"/>
          <w:szCs w:val="32"/>
        </w:rPr>
        <w:t>万元，固定资产净值</w:t>
      </w:r>
      <w:r>
        <w:rPr>
          <w:rFonts w:hint="eastAsia" w:ascii="仿宋_GB2312" w:hAnsi="仿宋_GB2312" w:eastAsia="仿宋_GB2312" w:cs="仿宋_GB2312"/>
          <w:b/>
          <w:bCs/>
          <w:sz w:val="32"/>
          <w:szCs w:val="32"/>
          <w:lang w:val="en-US" w:eastAsia="zh-CN"/>
        </w:rPr>
        <w:t>2355.70</w:t>
      </w:r>
      <w:r>
        <w:rPr>
          <w:rFonts w:hint="eastAsia" w:ascii="仿宋_GB2312" w:hAnsi="仿宋_GB2312" w:eastAsia="仿宋_GB2312" w:cs="仿宋_GB2312"/>
          <w:b w:val="0"/>
          <w:bCs w:val="0"/>
          <w:sz w:val="32"/>
          <w:szCs w:val="32"/>
        </w:rPr>
        <w:t>万元；无形资产原值</w:t>
      </w:r>
      <w:r>
        <w:rPr>
          <w:rFonts w:hint="eastAsia" w:ascii="仿宋_GB2312" w:hAnsi="仿宋_GB2312" w:eastAsia="仿宋_GB2312" w:cs="仿宋_GB2312"/>
          <w:b/>
          <w:bCs/>
          <w:sz w:val="32"/>
          <w:szCs w:val="32"/>
          <w:lang w:val="en-US" w:eastAsia="zh-CN"/>
        </w:rPr>
        <w:t>95.24</w:t>
      </w:r>
      <w:r>
        <w:rPr>
          <w:rFonts w:hint="eastAsia" w:ascii="仿宋_GB2312" w:hAnsi="仿宋_GB2312" w:eastAsia="仿宋_GB2312" w:cs="仿宋_GB2312"/>
          <w:b w:val="0"/>
          <w:bCs w:val="0"/>
          <w:sz w:val="32"/>
          <w:szCs w:val="32"/>
        </w:rPr>
        <w:t>万元，无形资产累计摊销</w:t>
      </w:r>
      <w:r>
        <w:rPr>
          <w:rFonts w:hint="eastAsia" w:ascii="仿宋_GB2312" w:hAnsi="仿宋_GB2312" w:eastAsia="仿宋_GB2312" w:cs="仿宋_GB2312"/>
          <w:b/>
          <w:bCs/>
          <w:sz w:val="32"/>
          <w:szCs w:val="32"/>
          <w:lang w:val="en-US" w:eastAsia="zh-CN"/>
        </w:rPr>
        <w:t>35.18</w:t>
      </w:r>
      <w:r>
        <w:rPr>
          <w:rFonts w:hint="eastAsia" w:ascii="仿宋_GB2312" w:hAnsi="仿宋_GB2312" w:eastAsia="仿宋_GB2312" w:cs="仿宋_GB2312"/>
          <w:b w:val="0"/>
          <w:bCs w:val="0"/>
          <w:sz w:val="32"/>
          <w:szCs w:val="32"/>
        </w:rPr>
        <w:t>万元，无形资产净值</w:t>
      </w:r>
      <w:r>
        <w:rPr>
          <w:rFonts w:hint="eastAsia" w:ascii="仿宋_GB2312" w:hAnsi="仿宋_GB2312" w:eastAsia="仿宋_GB2312" w:cs="仿宋_GB2312"/>
          <w:b/>
          <w:bCs/>
          <w:sz w:val="32"/>
          <w:szCs w:val="32"/>
          <w:lang w:val="en-US" w:eastAsia="zh-CN"/>
        </w:rPr>
        <w:t>60.06</w:t>
      </w:r>
      <w:r>
        <w:rPr>
          <w:rFonts w:hint="eastAsia" w:ascii="仿宋_GB2312" w:hAnsi="仿宋_GB2312" w:eastAsia="仿宋_GB2312" w:cs="仿宋_GB2312"/>
          <w:b w:val="0"/>
          <w:bCs w:val="0"/>
          <w:sz w:val="32"/>
          <w:szCs w:val="32"/>
        </w:rPr>
        <w:t>万元。</w:t>
      </w:r>
    </w:p>
    <w:p w14:paraId="33EE5B24">
      <w:pPr>
        <w:keepNext/>
        <w:keepLines w:val="0"/>
        <w:pageBreakBefore w:val="0"/>
        <w:widowControl/>
        <w:kinsoku/>
        <w:wordWrap w:val="0"/>
        <w:overflowPunct/>
        <w:topLinePunct/>
        <w:autoSpaceDE/>
        <w:autoSpaceDN/>
        <w:bidi w:val="0"/>
        <w:adjustRightInd w:val="0"/>
        <w:snapToGrid/>
        <w:spacing w:line="560" w:lineRule="exact"/>
        <w:ind w:firstLine="0" w:firstLineChars="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（注：数据来源于财决附03表，按单位决算报表填报数据罗列车辆情况。）</w:t>
      </w:r>
    </w:p>
    <w:p w14:paraId="2A494403">
      <w:pPr>
        <w:keepNext/>
        <w:keepLines w:val="0"/>
        <w:pageBreakBefore w:val="0"/>
        <w:widowControl/>
        <w:kinsoku/>
        <w:wordWrap w:val="0"/>
        <w:overflowPunct/>
        <w:topLinePunct/>
        <w:autoSpaceDE/>
        <w:autoSpaceDN/>
        <w:bidi w:val="0"/>
        <w:adjustRightInd w:val="0"/>
        <w:snapToGrid/>
        <w:spacing w:line="560" w:lineRule="exact"/>
        <w:ind w:firstLine="643" w:firstLineChars="20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（四）预算绩效管理情况</w:t>
      </w:r>
    </w:p>
    <w:p w14:paraId="5A484944">
      <w:pPr>
        <w:keepNext/>
        <w:keepLines w:val="0"/>
        <w:pageBreakBefore w:val="0"/>
        <w:widowControl/>
        <w:kinsoku/>
        <w:wordWrap w:val="0"/>
        <w:overflowPunct/>
        <w:topLinePunct/>
        <w:autoSpaceDE/>
        <w:autoSpaceDN/>
        <w:bidi w:val="0"/>
        <w:adjustRightInd w:val="0"/>
        <w:snapToGrid/>
        <w:spacing w:line="560" w:lineRule="exact"/>
        <w:ind w:firstLine="640" w:firstLineChars="200"/>
        <w:jc w:val="left"/>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根据预算绩效管理要求，本单位在202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年度预算编制阶段，组织对工资性支出等</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val="0"/>
          <w:bCs w:val="0"/>
          <w:sz w:val="32"/>
          <w:szCs w:val="32"/>
        </w:rPr>
        <w:t>个项目开展了预算事前绩效评估，对</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val="0"/>
          <w:bCs w:val="0"/>
          <w:sz w:val="32"/>
          <w:szCs w:val="32"/>
        </w:rPr>
        <w:t>个项目编制了绩效目标，预算执行过程中，选取</w:t>
      </w:r>
      <w:r>
        <w:rPr>
          <w:rFonts w:hint="eastAsia" w:ascii="仿宋_GB2312" w:hAnsi="仿宋_GB2312" w:eastAsia="仿宋_GB2312" w:cs="仿宋_GB2312"/>
          <w:b/>
          <w:bCs/>
          <w:color w:val="auto"/>
          <w:sz w:val="32"/>
          <w:szCs w:val="32"/>
          <w:lang w:val="en-US" w:eastAsia="zh-CN"/>
        </w:rPr>
        <w:t>17</w:t>
      </w:r>
      <w:r>
        <w:rPr>
          <w:rFonts w:hint="eastAsia" w:ascii="仿宋_GB2312" w:hAnsi="仿宋_GB2312" w:eastAsia="仿宋_GB2312" w:cs="仿宋_GB2312"/>
          <w:b w:val="0"/>
          <w:bCs w:val="0"/>
          <w:sz w:val="32"/>
          <w:szCs w:val="32"/>
        </w:rPr>
        <w:t>个项目开展绩效监控，组织对</w:t>
      </w:r>
      <w:r>
        <w:rPr>
          <w:rFonts w:hint="eastAsia" w:ascii="仿宋_GB2312" w:hAnsi="仿宋_GB2312" w:eastAsia="仿宋_GB2312" w:cs="仿宋_GB2312"/>
          <w:b/>
          <w:bCs/>
          <w:color w:val="auto"/>
          <w:sz w:val="32"/>
          <w:szCs w:val="32"/>
          <w:lang w:val="en-US" w:eastAsia="zh-CN"/>
        </w:rPr>
        <w:t>17</w:t>
      </w:r>
      <w:r>
        <w:rPr>
          <w:rFonts w:hint="eastAsia" w:ascii="仿宋_GB2312" w:hAnsi="仿宋_GB2312" w:eastAsia="仿宋_GB2312" w:cs="仿宋_GB2312"/>
          <w:b w:val="0"/>
          <w:bCs w:val="0"/>
          <w:sz w:val="32"/>
          <w:szCs w:val="32"/>
        </w:rPr>
        <w:t>个项目开展绩效自评，自评得分为</w:t>
      </w:r>
      <w:r>
        <w:rPr>
          <w:rFonts w:hint="eastAsia" w:ascii="仿宋_GB2312" w:hAnsi="仿宋_GB2312" w:eastAsia="仿宋_GB2312" w:cs="仿宋_GB2312"/>
          <w:b/>
          <w:bCs/>
          <w:color w:val="auto"/>
          <w:sz w:val="32"/>
          <w:szCs w:val="32"/>
          <w:lang w:val="en-US" w:eastAsia="zh-CN"/>
        </w:rPr>
        <w:t>90.91</w:t>
      </w:r>
      <w:r>
        <w:rPr>
          <w:rFonts w:hint="eastAsia" w:ascii="仿宋_GB2312" w:hAnsi="仿宋_GB2312" w:eastAsia="仿宋_GB2312" w:cs="仿宋_GB2312"/>
          <w:b w:val="0"/>
          <w:bCs w:val="0"/>
          <w:sz w:val="32"/>
          <w:szCs w:val="32"/>
        </w:rPr>
        <w:t>分</w:t>
      </w:r>
      <w:r>
        <w:rPr>
          <w:rFonts w:hint="eastAsia" w:ascii="仿宋_GB2312" w:hAnsi="仿宋_GB2312" w:eastAsia="仿宋_GB2312" w:cs="仿宋_GB2312"/>
          <w:b w:val="0"/>
          <w:bCs w:val="0"/>
          <w:sz w:val="32"/>
          <w:szCs w:val="32"/>
          <w:lang w:eastAsia="zh-CN"/>
        </w:rPr>
        <w:t>， 按照保密相关规定，我院项目绩效自评</w:t>
      </w:r>
      <w:r>
        <w:rPr>
          <w:rFonts w:hint="eastAsia" w:ascii="仿宋_GB2312" w:hAnsi="仿宋_GB2312" w:eastAsia="仿宋_GB2312" w:cs="仿宋_GB2312"/>
          <w:b w:val="0"/>
          <w:bCs w:val="0"/>
          <w:sz w:val="32"/>
          <w:szCs w:val="32"/>
          <w:lang w:val="en-US" w:eastAsia="zh-CN"/>
        </w:rPr>
        <w:t>部分信息</w:t>
      </w:r>
      <w:r>
        <w:rPr>
          <w:rFonts w:hint="eastAsia" w:ascii="仿宋_GB2312" w:hAnsi="仿宋_GB2312" w:eastAsia="仿宋_GB2312" w:cs="仿宋_GB2312"/>
          <w:b w:val="0"/>
          <w:bCs w:val="0"/>
          <w:sz w:val="32"/>
          <w:szCs w:val="32"/>
          <w:lang w:eastAsia="zh-CN"/>
        </w:rPr>
        <w:t>不予公开。</w:t>
      </w:r>
    </w:p>
    <w:p w14:paraId="75AED0A6">
      <w:pPr>
        <w:keepNext/>
        <w:keepLines w:val="0"/>
        <w:pageBreakBefore w:val="0"/>
        <w:widowControl/>
        <w:kinsoku/>
        <w:wordWrap w:val="0"/>
        <w:overflowPunct/>
        <w:topLinePunct/>
        <w:autoSpaceDE/>
        <w:autoSpaceDN/>
        <w:bidi w:val="0"/>
        <w:adjustRightInd w:val="0"/>
        <w:snapToGrid/>
        <w:spacing w:line="560" w:lineRule="exact"/>
        <w:ind w:firstLine="640" w:firstLineChars="200"/>
        <w:jc w:val="left"/>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绩效自评表详见第四部分附件。</w:t>
      </w:r>
    </w:p>
    <w:p w14:paraId="1A6C8BCA">
      <w:pPr>
        <w:keepNext/>
        <w:keepLines w:val="0"/>
        <w:pageBreakBefore w:val="0"/>
        <w:widowControl/>
        <w:kinsoku/>
        <w:wordWrap w:val="0"/>
        <w:overflowPunct/>
        <w:topLinePunct/>
        <w:autoSpaceDE w:val="0"/>
        <w:autoSpaceDN w:val="0"/>
        <w:bidi w:val="0"/>
        <w:adjustRightInd/>
        <w:snapToGrid/>
        <w:spacing w:line="560" w:lineRule="exact"/>
        <w:ind w:firstLine="0" w:firstLineChars="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63DD87B">
      <w:pPr>
        <w:keepNext/>
        <w:keepLines/>
        <w:pageBreakBefore w:val="0"/>
        <w:widowControl/>
        <w:numPr>
          <w:ilvl w:val="0"/>
          <w:numId w:val="2"/>
        </w:numPr>
        <w:kinsoku/>
        <w:wordWrap w:val="0"/>
        <w:overflowPunct/>
        <w:topLinePunct/>
        <w:autoSpaceDE/>
        <w:autoSpaceDN/>
        <w:bidi w:val="0"/>
        <w:snapToGrid/>
        <w:spacing w:line="560" w:lineRule="exact"/>
        <w:ind w:firstLine="0" w:firstLineChars="0"/>
        <w:jc w:val="center"/>
        <w:outlineLvl w:val="9"/>
        <w:rPr>
          <w:rFonts w:ascii="宋体"/>
          <w:b/>
          <w:sz w:val="44"/>
          <w:szCs w:val="44"/>
        </w:rPr>
      </w:pPr>
      <w:bookmarkStart w:id="49" w:name="_Toc17840"/>
      <w:bookmarkStart w:id="50" w:name="_Toc15396613"/>
      <w:bookmarkStart w:id="51" w:name="_Toc15377225"/>
      <w:r>
        <w:rPr>
          <w:rFonts w:hint="eastAsia" w:ascii="黑体" w:hAnsi="黑体" w:eastAsia="黑体"/>
          <w:sz w:val="44"/>
          <w:szCs w:val="44"/>
        </w:rPr>
        <w:t>名</w:t>
      </w:r>
      <w:r>
        <w:rPr>
          <w:rStyle w:val="27"/>
          <w:rFonts w:hint="eastAsia" w:ascii="黑体" w:hAnsi="黑体" w:eastAsia="黑体"/>
          <w:b w:val="0"/>
        </w:rPr>
        <w:t>词解释</w:t>
      </w:r>
      <w:bookmarkEnd w:id="49"/>
      <w:bookmarkEnd w:id="50"/>
      <w:bookmarkEnd w:id="51"/>
    </w:p>
    <w:p w14:paraId="5FBD0E4A">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1.财政拨款收入：指单位从同级财政部门取得的财政预算资金。</w:t>
      </w:r>
    </w:p>
    <w:p w14:paraId="784176D7">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2.事业收入：指事业单位开展专业业务活动及辅助活动取得的收入。</w:t>
      </w:r>
    </w:p>
    <w:p w14:paraId="36A22A30">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3.经营收入：指事业单位在专业业务活动及其辅助活动之外开展非独立核算经营活动取得的收入。</w:t>
      </w:r>
    </w:p>
    <w:p w14:paraId="360E0846">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4.其他收入：指单位取得的除上述收入以外的各项收入。</w:t>
      </w:r>
    </w:p>
    <w:p w14:paraId="3E45BAAF">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 xml:space="preserve">5.使用非财政拨款结余：指事业单位使用以前年度积累的非财政拨款结余弥补当年收支差额的金额。 </w:t>
      </w:r>
    </w:p>
    <w:p w14:paraId="3E95F29C">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 xml:space="preserve">6.年初结转和结余：指以前年度尚未完成、结转到本年按有关规定继续使用的资金。 </w:t>
      </w:r>
    </w:p>
    <w:p w14:paraId="16690D67">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7.结余分配：指事业单位按照会计制度规定缴纳的所得税、提取的专用结余以及转入非财政拨款结余的金额等。</w:t>
      </w:r>
    </w:p>
    <w:p w14:paraId="1BBFCAC0">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8.年末结转和结余：指单位按有关规定结转到下年或以后年度继续使用的资金。</w:t>
      </w:r>
    </w:p>
    <w:p w14:paraId="0B4F3B63">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9.公共安全：反映政府维护社会公共安全方面的支出。</w:t>
      </w:r>
    </w:p>
    <w:p w14:paraId="31CF6CC0">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10.社会保障和就业：反映政府在社会保障与就业方面的支出。</w:t>
      </w:r>
    </w:p>
    <w:p w14:paraId="5B7F5B1C">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11.卫生健康：反映政府卫生健康方面的支出。</w:t>
      </w:r>
    </w:p>
    <w:p w14:paraId="17CD1AE9">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12.住房保障：集中反映政府用于住房方面的支出。</w:t>
      </w:r>
    </w:p>
    <w:p w14:paraId="59C3E0AC">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13.基本支出：指为保障机构正常运转、完成日常工作任务而发生的人员支出和公用支出。</w:t>
      </w:r>
    </w:p>
    <w:p w14:paraId="0EB3C61C">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 xml:space="preserve">14.项目支出：指在基本支出之外为完成特定行政任务和事业发展目标所发生的支出。 </w:t>
      </w:r>
    </w:p>
    <w:p w14:paraId="3C89D201">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15.经营支出：指事业单位在专业业务活动及其辅助活动之外开展非独立核算经营活动发生的支出。</w:t>
      </w:r>
    </w:p>
    <w:p w14:paraId="11ADDF0D">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hint="eastAsia" w:ascii="仿宋_GB2312" w:eastAsia="仿宋_GB2312"/>
          <w:color w:val="auto"/>
          <w:sz w:val="32"/>
          <w:szCs w:val="32"/>
        </w:rPr>
      </w:pPr>
      <w:r>
        <w:rPr>
          <w:rFonts w:hint="eastAsia" w:ascii="仿宋_GB2312" w:eastAsia="仿宋_GB2312"/>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7E3CEB9">
      <w:pPr>
        <w:pStyle w:val="25"/>
        <w:keepNext/>
        <w:keepLines/>
        <w:pageBreakBefore w:val="0"/>
        <w:widowControl/>
        <w:kinsoku/>
        <w:wordWrap w:val="0"/>
        <w:overflowPunct/>
        <w:topLinePunct/>
        <w:autoSpaceDE/>
        <w:autoSpaceDN/>
        <w:bidi w:val="0"/>
        <w:snapToGrid/>
        <w:spacing w:line="560" w:lineRule="exact"/>
        <w:ind w:firstLine="640" w:firstLineChars="200"/>
        <w:jc w:val="left"/>
        <w:outlineLvl w:val="9"/>
        <w:rPr>
          <w:rFonts w:ascii="仿宋_GB2312" w:eastAsia="仿宋_GB2312" w:cs="黑体"/>
          <w:color w:val="auto"/>
          <w:sz w:val="32"/>
          <w:szCs w:val="32"/>
        </w:rPr>
      </w:pPr>
      <w:r>
        <w:rPr>
          <w:rFonts w:hint="eastAsia" w:ascii="仿宋_GB2312" w:eastAsia="仿宋_GB2312"/>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76FAFE3">
      <w:pPr>
        <w:keepNext/>
        <w:keepLines/>
        <w:pageBreakBefore w:val="0"/>
        <w:widowControl/>
        <w:kinsoku/>
        <w:wordWrap w:val="0"/>
        <w:overflowPunct/>
        <w:topLinePunct/>
        <w:autoSpaceDE/>
        <w:autoSpaceDN/>
        <w:bidi w:val="0"/>
        <w:snapToGrid/>
        <w:spacing w:line="560" w:lineRule="exact"/>
        <w:ind w:firstLine="0" w:firstLineChars="0"/>
        <w:jc w:val="left"/>
        <w:outlineLvl w:val="9"/>
        <w:rPr>
          <w:rFonts w:ascii="仿宋" w:hAnsi="仿宋" w:eastAsia="仿宋"/>
          <w:b/>
          <w:sz w:val="32"/>
          <w:szCs w:val="32"/>
        </w:rPr>
      </w:pPr>
      <w:r>
        <w:rPr>
          <w:rFonts w:hint="eastAsia" w:ascii="仿宋" w:hAnsi="仿宋" w:eastAsia="仿宋"/>
          <w:b/>
          <w:sz w:val="32"/>
          <w:szCs w:val="32"/>
        </w:rPr>
        <w:t>（名词解释部分请根据各单位实际列支情况罗列，并根据本单位职责职能增减名词解释内容。）</w:t>
      </w:r>
    </w:p>
    <w:p w14:paraId="61E7953D">
      <w:pPr>
        <w:keepNext w:val="0"/>
        <w:keepLines w:val="0"/>
        <w:pageBreakBefore w:val="0"/>
        <w:widowControl w:val="0"/>
        <w:kinsoku/>
        <w:wordWrap w:val="0"/>
        <w:overflowPunct/>
        <w:topLinePunct/>
        <w:autoSpaceDE/>
        <w:autoSpaceDN/>
        <w:bidi w:val="0"/>
        <w:snapToGrid/>
        <w:spacing w:line="560" w:lineRule="exact"/>
        <w:ind w:firstLine="0" w:firstLineChars="0"/>
        <w:jc w:val="center"/>
        <w:outlineLvl w:val="9"/>
        <w:rPr>
          <w:rFonts w:hint="eastAsia" w:ascii="仿宋_GB2312" w:hAnsi="仿宋_GB2312" w:eastAsia="仿宋_GB2312" w:cs="仿宋_GB2312"/>
          <w:sz w:val="32"/>
          <w:szCs w:val="32"/>
        </w:rPr>
      </w:pPr>
      <w:r>
        <w:rPr>
          <w:rFonts w:ascii="宋体"/>
          <w:b/>
          <w:sz w:val="44"/>
          <w:szCs w:val="44"/>
        </w:rPr>
        <w:br w:type="page"/>
      </w:r>
      <w:bookmarkStart w:id="52" w:name="_Toc15396614"/>
      <w:bookmarkStart w:id="53" w:name="_Toc27449"/>
      <w:r>
        <w:rPr>
          <w:rFonts w:hint="eastAsia" w:ascii="黑体" w:hAnsi="黑体" w:eastAsia="黑体"/>
          <w:sz w:val="44"/>
          <w:szCs w:val="44"/>
        </w:rPr>
        <w:t>第</w:t>
      </w:r>
      <w:r>
        <w:rPr>
          <w:rStyle w:val="27"/>
          <w:rFonts w:hint="eastAsia" w:ascii="黑体" w:hAnsi="黑体" w:eastAsia="黑体"/>
          <w:b w:val="0"/>
        </w:rPr>
        <w:t>四部分 附件</w:t>
      </w:r>
      <w:bookmarkEnd w:id="52"/>
      <w:bookmarkEnd w:id="53"/>
    </w:p>
    <w:p w14:paraId="3301967B">
      <w:pPr>
        <w:keepNext w:val="0"/>
        <w:keepLines w:val="0"/>
        <w:pageBreakBefore w:val="0"/>
        <w:widowControl w:val="0"/>
        <w:kinsoku/>
        <w:overflowPunct/>
        <w:autoSpaceDE/>
        <w:autoSpaceDN/>
        <w:bidi w:val="0"/>
        <w:spacing w:line="572" w:lineRule="exact"/>
        <w:jc w:val="left"/>
        <w:outlineLvl w:val="0"/>
        <w:rPr>
          <w:rFonts w:hint="eastAsia"/>
        </w:rPr>
      </w:pPr>
      <w:bookmarkStart w:id="54" w:name="_Toc1494"/>
      <w:bookmarkStart w:id="55" w:name="_Toc25125"/>
      <w:r>
        <w:rPr>
          <w:rFonts w:hint="eastAsia" w:ascii="黑体" w:eastAsia="黑体" w:cs="黑体"/>
          <w:sz w:val="32"/>
          <w:szCs w:val="32"/>
        </w:rPr>
        <w:t>附件</w:t>
      </w:r>
      <w:bookmarkEnd w:id="54"/>
      <w:bookmarkEnd w:id="55"/>
    </w:p>
    <w:p w14:paraId="6B3DAFF4">
      <w:pPr>
        <w:keepNext w:val="0"/>
        <w:keepLines w:val="0"/>
        <w:pageBreakBefore w:val="0"/>
        <w:widowControl w:val="0"/>
        <w:kinsoku/>
        <w:overflowPunct/>
        <w:autoSpaceDE/>
        <w:autoSpaceDN/>
        <w:bidi w:val="0"/>
        <w:spacing w:line="560" w:lineRule="exact"/>
        <w:contextualSpacing/>
        <w:jc w:val="center"/>
        <w:rPr>
          <w:rFonts w:hint="eastAsia" w:ascii="方正小标宋简体" w:hAnsi="方正小标宋简体" w:eastAsia="方正小标宋简体" w:cs="方正小标宋简体"/>
          <w:b w:val="0"/>
          <w:bCs/>
          <w:sz w:val="32"/>
          <w:szCs w:val="32"/>
          <w:shd w:val="clear" w:color="auto" w:fill="FFFFFF"/>
        </w:rPr>
      </w:pPr>
      <w:r>
        <w:rPr>
          <w:rFonts w:hint="eastAsia" w:ascii="方正小标宋简体" w:hAnsi="方正小标宋简体" w:eastAsia="方正小标宋简体" w:cs="方正小标宋简体"/>
          <w:b w:val="0"/>
          <w:bCs/>
          <w:sz w:val="32"/>
          <w:szCs w:val="32"/>
          <w:shd w:val="clear" w:color="auto" w:fill="FFFFFF"/>
        </w:rPr>
        <w:t>202</w:t>
      </w:r>
      <w:r>
        <w:rPr>
          <w:rFonts w:hint="eastAsia" w:ascii="方正小标宋简体" w:hAnsi="方正小标宋简体" w:eastAsia="方正小标宋简体" w:cs="方正小标宋简体"/>
          <w:b w:val="0"/>
          <w:bCs/>
          <w:sz w:val="32"/>
          <w:szCs w:val="32"/>
          <w:shd w:val="clear" w:color="auto" w:fill="FFFFFF"/>
          <w:lang w:val="en-US" w:eastAsia="zh-CN"/>
        </w:rPr>
        <w:t>4</w:t>
      </w:r>
      <w:r>
        <w:rPr>
          <w:rFonts w:hint="eastAsia" w:ascii="方正小标宋简体" w:hAnsi="方正小标宋简体" w:eastAsia="方正小标宋简体" w:cs="方正小标宋简体"/>
          <w:b w:val="0"/>
          <w:bCs/>
          <w:sz w:val="32"/>
          <w:szCs w:val="32"/>
          <w:shd w:val="clear" w:color="auto" w:fill="FFFFFF"/>
        </w:rPr>
        <w:t>年度</w:t>
      </w:r>
      <w:r>
        <w:rPr>
          <w:rFonts w:hint="eastAsia" w:ascii="方正小标宋简体" w:hAnsi="方正小标宋简体" w:eastAsia="方正小标宋简体" w:cs="方正小标宋简体"/>
          <w:b w:val="0"/>
          <w:bCs/>
          <w:sz w:val="32"/>
          <w:szCs w:val="32"/>
          <w:shd w:val="clear" w:color="auto" w:fill="FFFFFF"/>
          <w:lang w:val="en-US" w:eastAsia="zh-CN"/>
        </w:rPr>
        <w:t>部门</w:t>
      </w:r>
      <w:r>
        <w:rPr>
          <w:rFonts w:hint="eastAsia" w:ascii="方正小标宋简体" w:hAnsi="方正小标宋简体" w:eastAsia="方正小标宋简体" w:cs="方正小标宋简体"/>
          <w:b w:val="0"/>
          <w:bCs/>
          <w:sz w:val="32"/>
          <w:szCs w:val="32"/>
          <w:shd w:val="clear" w:color="auto" w:fill="FFFFFF"/>
        </w:rPr>
        <w:t>预算绩效评价报告</w:t>
      </w:r>
    </w:p>
    <w:p w14:paraId="085ECF8E">
      <w:pPr>
        <w:keepNext w:val="0"/>
        <w:keepLines w:val="0"/>
        <w:pageBreakBefore w:val="0"/>
        <w:widowControl w:val="0"/>
        <w:numPr>
          <w:ilvl w:val="0"/>
          <w:numId w:val="3"/>
        </w:numPr>
        <w:kinsoku/>
        <w:overflowPunct/>
        <w:autoSpaceDE/>
        <w:autoSpaceDN/>
        <w:bidi w:val="0"/>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部门基本情况</w:t>
      </w:r>
    </w:p>
    <w:p w14:paraId="3C9C3352">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机构组成</w:t>
      </w:r>
    </w:p>
    <w:p w14:paraId="434919EE">
      <w:pPr>
        <w:keepNext w:val="0"/>
        <w:keepLines w:val="0"/>
        <w:pageBreakBefore w:val="0"/>
        <w:widowControl w:val="0"/>
        <w:numPr>
          <w:ilvl w:val="0"/>
          <w:numId w:val="0"/>
        </w:numPr>
        <w:kinsoku/>
        <w:overflowPunct/>
        <w:autoSpaceDE/>
        <w:autoSpaceDN/>
        <w:bidi w:val="0"/>
        <w:adjustRightInd w:val="0"/>
        <w:snapToGrid w:val="0"/>
        <w:spacing w:line="560"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红原县人民法院现有内设机构6个，涉及综合办公室、政治部（督察室）、综合审判庭（环境资源审判庭）、立案庭（诉讼服务中心）、执行局、法警大队；2个派出法庭：刷经寺人民法庭、流动法庭。</w:t>
      </w:r>
    </w:p>
    <w:p w14:paraId="5315E7AE">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（二）机构职能</w:t>
      </w:r>
    </w:p>
    <w:p w14:paraId="1F4908CD">
      <w:pPr>
        <w:keepNext w:val="0"/>
        <w:keepLines w:val="0"/>
        <w:pageBreakBefore w:val="0"/>
        <w:kinsoku/>
        <w:wordWrap w:val="0"/>
        <w:overflowPunct/>
        <w:topLinePunct/>
        <w:autoSpaceDE/>
        <w:autoSpaceDN/>
        <w:bidi w:val="0"/>
        <w:spacing w:line="560" w:lineRule="exact"/>
        <w:ind w:left="0" w:leftChars="0" w:firstLine="960" w:firstLineChars="300"/>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lang w:eastAsia="zh-CN"/>
        </w:rPr>
        <w:t>法院</w:t>
      </w:r>
      <w:r>
        <w:rPr>
          <w:rFonts w:hint="eastAsia" w:ascii="方正仿宋_GB2312" w:hAnsi="方正仿宋_GB2312" w:eastAsia="方正仿宋_GB2312" w:cs="方正仿宋_GB2312"/>
          <w:sz w:val="32"/>
        </w:rPr>
        <w:t>作为国家审判机关，在各级党委、政府的指导下依法独立行使审判权，对县人民代表大会及其常务委员会负责并报告工作。人民法院作为国家的司法机关，承担着维护社会公平正义、保障公民权益、维护法律尊严的重要职责。它的主要职能包括审判、执行和监督，通过司法权力的行使，维护社会秩序，保护人民的合法权益，促进社会稳定和经济发展。</w:t>
      </w:r>
    </w:p>
    <w:p w14:paraId="350B4C02">
      <w:pPr>
        <w:keepNext w:val="0"/>
        <w:keepLines w:val="0"/>
        <w:pageBreakBefore w:val="0"/>
        <w:kinsoku/>
        <w:wordWrap w:val="0"/>
        <w:overflowPunct/>
        <w:topLinePunct/>
        <w:autoSpaceDE/>
        <w:autoSpaceDN/>
        <w:bidi w:val="0"/>
        <w:spacing w:line="560" w:lineRule="exact"/>
        <w:ind w:left="0" w:leftChars="0" w:firstLine="643"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（1）综合办公室。</w:t>
      </w:r>
      <w:r>
        <w:rPr>
          <w:rFonts w:hint="eastAsia" w:ascii="仿宋_GB2312" w:hAnsi="仿宋_GB2312" w:eastAsia="仿宋_GB2312" w:cs="仿宋_GB2312"/>
          <w:color w:val="000000"/>
          <w:kern w:val="0"/>
          <w:sz w:val="32"/>
          <w:szCs w:val="32"/>
          <w:shd w:val="clear" w:color="auto" w:fill="FFFFFF"/>
          <w:lang w:val="en-US" w:eastAsia="zh-CN"/>
        </w:rPr>
        <w:t>主要职责：负责协助院领导组织协调处理司法政务，负责综合性办文办会、文秘、信息、宣传、保密、档案、代表委员联络、决议事项督办、社会综合治理；负责本院财务管理、诉讼费监督管理，后勤物资装备配置及管理，办公用房和法庭建设维护，信息系统建设、运行、维护和管理保障；负责案件评查、司法公开等审判管理工作，负责审判委员会、调研、案例等工作，以及其他与审判管理、司法事务、后勤保障相关的工作。</w:t>
      </w:r>
    </w:p>
    <w:p w14:paraId="5376C0D5">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left="0" w:leftChars="0" w:firstLine="643"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（2）政治部（督察室）。</w:t>
      </w:r>
      <w:r>
        <w:rPr>
          <w:rFonts w:hint="eastAsia" w:ascii="仿宋_GB2312" w:hAnsi="仿宋_GB2312" w:eastAsia="仿宋_GB2312" w:cs="仿宋_GB2312"/>
          <w:color w:val="000000"/>
          <w:kern w:val="0"/>
          <w:sz w:val="32"/>
          <w:szCs w:val="32"/>
          <w:shd w:val="clear" w:color="auto" w:fill="FFFFFF"/>
          <w:lang w:val="en-US" w:eastAsia="zh-CN"/>
        </w:rPr>
        <w:t>主要职责：负责法院干警思想政治建设、队伍建设、机构编制管理、干部人事管理、教育培训、表彰奖励、党建、文化建设、人民陪审员管理、内部监督管理，以及其他与组织人事管理相关的工作。</w:t>
      </w:r>
    </w:p>
    <w:p w14:paraId="67D9E955">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left="0" w:leftChars="0" w:firstLine="643"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（3）立案庭（诉讼服务中心）。</w:t>
      </w:r>
      <w:r>
        <w:rPr>
          <w:rFonts w:hint="eastAsia" w:ascii="仿宋_GB2312" w:hAnsi="仿宋_GB2312" w:eastAsia="仿宋_GB2312" w:cs="仿宋_GB2312"/>
          <w:color w:val="000000"/>
          <w:kern w:val="0"/>
          <w:sz w:val="32"/>
          <w:szCs w:val="32"/>
          <w:shd w:val="clear" w:color="auto" w:fill="FFFFFF"/>
          <w:lang w:val="en-US" w:eastAsia="zh-CN"/>
        </w:rPr>
        <w:t>主要职责：负责本院诉讼服务大厅等窗口的管理工作；负责本院的各类案件登记立案及立案审查工作；负责诉前调解、立案调解、信访接待、诉非衔接、诉讼辅导、案件繁简分流、案件速裁、多元化解矛盾纠纷等工作；依法实施诉前保全、起诉时提起的证据保全措施；依法审理支付令、督促等程序性案件并作出裁决；对应由本院受理的申诉、申请再审案件进行审查，并决定是否再审立案；负责办理减、免、缓诉讼费的审批手续；负责本院各类案件的材料收转、案件查询、法律咨询、12368诉讼服务热线，以及其他与立案、信访有关的工作事宜。</w:t>
      </w:r>
    </w:p>
    <w:p w14:paraId="6309E8F9">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left="0" w:leftChars="0" w:firstLine="643"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（4）综合审判庭（环境资源审判庭）。</w:t>
      </w:r>
      <w:r>
        <w:rPr>
          <w:rFonts w:hint="eastAsia" w:ascii="仿宋_GB2312" w:hAnsi="仿宋_GB2312" w:eastAsia="仿宋_GB2312" w:cs="仿宋_GB2312"/>
          <w:color w:val="000000"/>
          <w:kern w:val="0"/>
          <w:sz w:val="32"/>
          <w:szCs w:val="32"/>
          <w:shd w:val="clear" w:color="auto" w:fill="FFFFFF"/>
          <w:lang w:val="en-US" w:eastAsia="zh-CN"/>
        </w:rPr>
        <w:t>主要职责：依法审理本院受理的各类民事、刑事、行政案件及国家赔偿案件；依法审查行政机关申请强制执行其具体行政行为的案件；依法审理申诉、申请再审及审判监督案件；依法审理污染环境、破坏资源、环境资源监管失职渎职等与环境资源保护相关的刑事案件；依法审理与环境资源保护相关的物权、合同和侵权案件、行政案件等；总结审判工作经验，指导人民法庭，办理其他与审判有关的工作。</w:t>
      </w:r>
    </w:p>
    <w:p w14:paraId="5F41EAEB">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left="0" w:leftChars="0" w:firstLine="643"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（5）执行局。</w:t>
      </w:r>
      <w:r>
        <w:rPr>
          <w:rFonts w:hint="eastAsia" w:ascii="仿宋_GB2312" w:hAnsi="仿宋_GB2312" w:eastAsia="仿宋_GB2312" w:cs="仿宋_GB2312"/>
          <w:color w:val="000000"/>
          <w:kern w:val="0"/>
          <w:sz w:val="32"/>
          <w:szCs w:val="32"/>
          <w:shd w:val="clear" w:color="auto" w:fill="FFFFFF"/>
          <w:lang w:val="en-US" w:eastAsia="zh-CN"/>
        </w:rPr>
        <w:t>主要职责：负责执行本院发生法律效力的判决、裁定以及调解协议中有关财产的规定；执行法律规定的由本院执行的其他法律文书；办理委托移送执行和协助执行事宜；司法评估、拍卖、鉴定。</w:t>
      </w:r>
    </w:p>
    <w:p w14:paraId="3E70DDA8">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人民法庭不纳入内设机构改革范围，改革期间冻结对人民法庭的设置审批工作。司法警察大队暂维持不变，待最高人民法院另行明确后再统一规范。</w:t>
      </w:r>
    </w:p>
    <w:p w14:paraId="183F0E39">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Times New Roman" w:hAnsi="Times New Roman" w:eastAsia="仿宋_GB2312" w:cs="Times New Roman"/>
          <w:sz w:val="32"/>
        </w:rPr>
      </w:pPr>
      <w:r>
        <w:rPr>
          <w:rFonts w:hint="eastAsia" w:ascii="仿宋_GB2312" w:hAnsi="仿宋_GB2312" w:eastAsia="仿宋_GB2312" w:cs="仿宋_GB2312"/>
          <w:color w:val="000000"/>
          <w:kern w:val="0"/>
          <w:sz w:val="32"/>
          <w:szCs w:val="32"/>
          <w:shd w:val="clear" w:color="auto" w:fill="FFFFFF"/>
          <w:lang w:val="en-US" w:eastAsia="zh-CN"/>
        </w:rPr>
        <w:t>纪检监察机构，按照党的纪律检查体制和国家监察体制改革要求设置。应当明确专职人员履行内部监督职责。</w:t>
      </w:r>
    </w:p>
    <w:p w14:paraId="1C98C34C">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rPr>
        <w:t>人员概况</w:t>
      </w:r>
    </w:p>
    <w:p w14:paraId="35415CF4">
      <w:pPr>
        <w:keepNext w:val="0"/>
        <w:keepLines w:val="0"/>
        <w:pageBreakBefore w:val="0"/>
        <w:numPr>
          <w:ilvl w:val="0"/>
          <w:numId w:val="0"/>
        </w:numPr>
        <w:kinsoku/>
        <w:wordWrap w:val="0"/>
        <w:overflowPunct/>
        <w:topLinePunct/>
        <w:autoSpaceDE/>
        <w:autoSpaceDN/>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年末，本单位本年度年末实有人数为</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人，比上年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人；年末实有离退休人数为</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人，比上年增加</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人；年末实有其他人数为19人，比上年增加0人。</w:t>
      </w:r>
    </w:p>
    <w:p w14:paraId="4E7F6698">
      <w:pPr>
        <w:keepNext w:val="0"/>
        <w:keepLines w:val="0"/>
        <w:pageBreakBefore w:val="0"/>
        <w:widowControl w:val="0"/>
        <w:numPr>
          <w:ilvl w:val="0"/>
          <w:numId w:val="0"/>
        </w:numPr>
        <w:kinsoku/>
        <w:overflowPunct/>
        <w:autoSpaceDE/>
        <w:autoSpaceDN/>
        <w:bidi w:val="0"/>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二、部门资金收支情况</w:t>
      </w:r>
    </w:p>
    <w:p w14:paraId="0D412E34">
      <w:pPr>
        <w:keepNext w:val="0"/>
        <w:keepLines w:val="0"/>
        <w:pageBreakBefore w:val="0"/>
        <w:widowControl/>
        <w:kinsoku/>
        <w:wordWrap w:val="0"/>
        <w:overflowPunct/>
        <w:topLinePunct/>
        <w:autoSpaceDE/>
        <w:autoSpaceDN/>
        <w:bidi w:val="0"/>
        <w:adjustRightInd w:val="0"/>
        <w:snapToGrid w:val="0"/>
        <w:spacing w:line="560" w:lineRule="exact"/>
        <w:ind w:left="0" w:leftChars="0"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收入情况</w:t>
      </w:r>
    </w:p>
    <w:p w14:paraId="409158CD">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sz w:val="32"/>
          <w:szCs w:val="32"/>
          <w:lang w:val="en-US" w:eastAsia="zh-CN"/>
        </w:rPr>
        <w:t>红原县人民法院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年年初预算收入的年初预算数为</w:t>
      </w:r>
      <w:r>
        <w:rPr>
          <w:rFonts w:hint="default" w:ascii="仿宋_GB2312" w:hAnsi="仿宋" w:eastAsia="仿宋_GB2312" w:cs="仿宋_GB2312"/>
          <w:kern w:val="2"/>
          <w:sz w:val="32"/>
          <w:szCs w:val="32"/>
        </w:rPr>
        <w:t>2084.20</w:t>
      </w:r>
      <w:r>
        <w:rPr>
          <w:rFonts w:hint="eastAsia" w:ascii="仿宋_GB2312" w:hAnsi="仿宋_GB2312" w:eastAsia="仿宋_GB2312" w:cs="仿宋_GB2312"/>
          <w:sz w:val="32"/>
          <w:szCs w:val="32"/>
        </w:rPr>
        <w:t>万元、决算报表收入数为</w:t>
      </w:r>
      <w:r>
        <w:rPr>
          <w:rFonts w:hint="eastAsia" w:ascii="仿宋_GB2312" w:hAnsi="仿宋_GB2312" w:eastAsia="仿宋_GB2312" w:cs="仿宋_GB2312"/>
          <w:sz w:val="32"/>
          <w:szCs w:val="32"/>
          <w:lang w:val="en-US" w:eastAsia="zh-CN"/>
        </w:rPr>
        <w:t>2084.20</w:t>
      </w:r>
      <w:r>
        <w:rPr>
          <w:rFonts w:hint="eastAsia" w:ascii="仿宋_GB2312" w:hAnsi="仿宋_GB2312" w:eastAsia="仿宋_GB2312" w:cs="仿宋_GB2312"/>
          <w:sz w:val="32"/>
          <w:szCs w:val="32"/>
        </w:rPr>
        <w:t>万元。</w:t>
      </w:r>
    </w:p>
    <w:p w14:paraId="7F442A2E">
      <w:pPr>
        <w:keepNext w:val="0"/>
        <w:keepLines w:val="0"/>
        <w:pageBreakBefore w:val="0"/>
        <w:widowControl/>
        <w:kinsoku/>
        <w:wordWrap w:val="0"/>
        <w:overflowPunct/>
        <w:topLinePunct/>
        <w:autoSpaceDE/>
        <w:autoSpaceDN/>
        <w:bidi w:val="0"/>
        <w:adjustRightInd w:val="0"/>
        <w:snapToGrid w:val="0"/>
        <w:spacing w:line="560" w:lineRule="exact"/>
        <w:ind w:left="0" w:leftChars="0"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en-US" w:eastAsia="zh-CN"/>
        </w:rPr>
        <w:t>二）</w:t>
      </w:r>
      <w:r>
        <w:rPr>
          <w:rFonts w:hint="eastAsia" w:ascii="Times New Roman" w:hAnsi="Times New Roman" w:eastAsia="楷体_GB2312" w:cs="Times New Roman"/>
          <w:b/>
          <w:bCs/>
          <w:color w:val="000000"/>
          <w:kern w:val="0"/>
          <w:sz w:val="32"/>
          <w:szCs w:val="32"/>
          <w:shd w:val="clear" w:color="auto" w:fill="FFFFFF"/>
          <w:lang w:val="zh-CN"/>
        </w:rPr>
        <w:t>支出情况</w:t>
      </w:r>
    </w:p>
    <w:p w14:paraId="0098F056">
      <w:pPr>
        <w:keepNext w:val="0"/>
        <w:keepLines w:val="0"/>
        <w:pageBreakBefore w:val="0"/>
        <w:widowControl/>
        <w:kinsoku/>
        <w:wordWrap w:val="0"/>
        <w:overflowPunct/>
        <w:topLinePunct/>
        <w:autoSpaceDE/>
        <w:autoSpaceDN/>
        <w:bidi w:val="0"/>
        <w:adjustRightInd w:val="0"/>
        <w:snapToGrid w:val="0"/>
        <w:spacing w:line="560" w:lineRule="exact"/>
        <w:ind w:firstLine="640" w:firstLineChars="200"/>
        <w:contextualSpacing/>
        <w:jc w:val="left"/>
        <w:rPr>
          <w:rFonts w:hint="eastAsia" w:ascii="仿宋_GB2312" w:hAnsi="仿宋_GB2312" w:eastAsia="仿宋_GB2312" w:cs="仿宋_GB2312"/>
          <w:color w:val="FF0000"/>
          <w:kern w:val="2"/>
          <w:sz w:val="32"/>
          <w:szCs w:val="32"/>
          <w:lang w:eastAsia="zh-CN"/>
        </w:rPr>
      </w:pPr>
      <w:r>
        <w:rPr>
          <w:rFonts w:hint="eastAsia" w:ascii="仿宋_GB2312" w:hAnsi="仿宋_GB2312" w:eastAsia="仿宋_GB2312" w:cs="仿宋_GB2312"/>
          <w:sz w:val="32"/>
          <w:szCs w:val="32"/>
          <w:lang w:val="en-US" w:eastAsia="zh-CN"/>
        </w:rPr>
        <w:t>红原县人民法院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年年初预算支出</w:t>
      </w:r>
      <w:r>
        <w:rPr>
          <w:rFonts w:hint="eastAsia" w:ascii="仿宋_GB2312" w:hAnsi="仿宋_GB2312" w:eastAsia="仿宋_GB2312" w:cs="仿宋_GB2312"/>
          <w:sz w:val="32"/>
          <w:szCs w:val="32"/>
          <w:lang w:val="en-US" w:eastAsia="zh-CN"/>
        </w:rPr>
        <w:t>数为</w:t>
      </w:r>
      <w:r>
        <w:rPr>
          <w:rFonts w:hint="default" w:ascii="仿宋_GB2312" w:hAnsi="仿宋" w:eastAsia="仿宋_GB2312" w:cs="仿宋_GB2312"/>
          <w:kern w:val="2"/>
          <w:sz w:val="32"/>
          <w:szCs w:val="32"/>
        </w:rPr>
        <w:t>2084.20</w:t>
      </w:r>
      <w:r>
        <w:rPr>
          <w:rFonts w:hint="eastAsia" w:ascii="仿宋_GB2312" w:hAnsi="仿宋_GB2312" w:eastAsia="仿宋_GB2312" w:cs="仿宋_GB2312"/>
          <w:sz w:val="32"/>
          <w:szCs w:val="32"/>
        </w:rPr>
        <w:t>万元、决算报表支出</w:t>
      </w:r>
      <w:r>
        <w:rPr>
          <w:rFonts w:hint="eastAsia" w:ascii="仿宋_GB2312" w:hAnsi="仿宋_GB2312" w:eastAsia="仿宋_GB2312" w:cs="仿宋_GB2312"/>
          <w:kern w:val="2"/>
          <w:sz w:val="32"/>
          <w:szCs w:val="32"/>
        </w:rPr>
        <w:t>数为</w:t>
      </w:r>
      <w:r>
        <w:rPr>
          <w:rFonts w:hint="eastAsia" w:ascii="仿宋_GB2312" w:hAnsi="仿宋_GB2312" w:eastAsia="仿宋_GB2312" w:cs="仿宋_GB2312"/>
          <w:kern w:val="2"/>
          <w:sz w:val="32"/>
          <w:szCs w:val="32"/>
          <w:lang w:val="en-US" w:eastAsia="zh-CN"/>
        </w:rPr>
        <w:t>2024.09</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p>
    <w:p w14:paraId="4C69A1BE">
      <w:pPr>
        <w:keepNext w:val="0"/>
        <w:keepLines w:val="0"/>
        <w:pageBreakBefore w:val="0"/>
        <w:widowControl/>
        <w:kinsoku/>
        <w:wordWrap w:val="0"/>
        <w:overflowPunct/>
        <w:topLinePunct/>
        <w:autoSpaceDE/>
        <w:autoSpaceDN/>
        <w:bidi w:val="0"/>
        <w:adjustRightInd w:val="0"/>
        <w:snapToGrid w:val="0"/>
        <w:spacing w:line="560" w:lineRule="exact"/>
        <w:ind w:left="0" w:leftChars="0"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（三）结余分配和结转结余情况</w:t>
      </w:r>
    </w:p>
    <w:p w14:paraId="436E1EA0">
      <w:pPr>
        <w:keepNext w:val="0"/>
        <w:keepLines w:val="0"/>
        <w:pageBreakBefore w:val="0"/>
        <w:widowControl w:val="0"/>
        <w:kinsoku/>
        <w:wordWrap w:val="0"/>
        <w:overflowPunct/>
        <w:topLinePunct/>
        <w:autoSpaceDE/>
        <w:autoSpaceDN/>
        <w:bidi w:val="0"/>
        <w:snapToGrid/>
        <w:spacing w:line="560" w:lineRule="exact"/>
        <w:ind w:firstLine="640"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红原县人民法院202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年决算报表结转结余数为</w:t>
      </w:r>
      <w:r>
        <w:rPr>
          <w:rFonts w:hint="eastAsia" w:ascii="仿宋_GB2312" w:hAnsi="仿宋_GB2312" w:eastAsia="仿宋_GB2312" w:cs="仿宋_GB2312"/>
          <w:b w:val="0"/>
          <w:bCs w:val="0"/>
          <w:color w:val="auto"/>
          <w:sz w:val="32"/>
          <w:szCs w:val="32"/>
          <w:lang w:val="en-US" w:eastAsia="zh-CN"/>
        </w:rPr>
        <w:t>60.11</w:t>
      </w:r>
      <w:r>
        <w:rPr>
          <w:rFonts w:hint="eastAsia" w:ascii="仿宋_GB2312" w:hAnsi="仿宋_GB2312" w:eastAsia="仿宋_GB2312" w:cs="仿宋_GB2312"/>
          <w:sz w:val="32"/>
          <w:szCs w:val="32"/>
        </w:rPr>
        <w:t>。</w:t>
      </w:r>
    </w:p>
    <w:p w14:paraId="30C7CFBC">
      <w:pPr>
        <w:keepNext w:val="0"/>
        <w:keepLines w:val="0"/>
        <w:pageBreakBefore w:val="0"/>
        <w:widowControl w:val="0"/>
        <w:numPr>
          <w:ilvl w:val="0"/>
          <w:numId w:val="0"/>
        </w:numPr>
        <w:kinsoku/>
        <w:overflowPunct/>
        <w:autoSpaceDE/>
        <w:autoSpaceDN/>
        <w:bidi w:val="0"/>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三、部门预算绩效分析</w:t>
      </w:r>
    </w:p>
    <w:p w14:paraId="239DB950">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（一）部门预算总体绩效分析</w:t>
      </w:r>
    </w:p>
    <w:p w14:paraId="2E2488E4">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zh-CN"/>
        </w:rPr>
        <w:t>履职效能</w:t>
      </w:r>
    </w:p>
    <w:p w14:paraId="61E79198">
      <w:pPr>
        <w:keepNext w:val="0"/>
        <w:keepLines w:val="0"/>
        <w:pageBreakBefore w:val="0"/>
        <w:widowControl w:val="0"/>
        <w:kinsoku/>
        <w:wordWrap w:val="0"/>
        <w:overflowPunct/>
        <w:topLinePunct/>
        <w:autoSpaceDE/>
        <w:autoSpaceDN/>
        <w:bidi w:val="0"/>
        <w:spacing w:after="0" w:line="560" w:lineRule="exact"/>
        <w:ind w:left="0" w:leftChars="0" w:firstLine="640" w:firstLineChars="200"/>
        <w:jc w:val="both"/>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我院各部门履职效能自评分数为15分，满分15分。全部符合指标值，具体如下：</w:t>
      </w:r>
    </w:p>
    <w:p w14:paraId="48AA3EDA">
      <w:pPr>
        <w:keepNext w:val="0"/>
        <w:keepLines w:val="0"/>
        <w:pageBreakBefore w:val="0"/>
        <w:widowControl w:val="0"/>
        <w:kinsoku/>
        <w:wordWrap w:val="0"/>
        <w:overflowPunct/>
        <w:topLinePunct/>
        <w:autoSpaceDE/>
        <w:autoSpaceDN/>
        <w:bidi w:val="0"/>
        <w:spacing w:after="0" w:line="560" w:lineRule="exact"/>
        <w:ind w:left="0" w:leftChars="0" w:firstLine="640" w:firstLineChars="200"/>
        <w:jc w:val="both"/>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（1）数量指标。全年共受理各类案件</w:t>
      </w:r>
      <w:r>
        <w:rPr>
          <w:rFonts w:hint="eastAsia" w:ascii="仿宋_GB2312" w:hAnsi="仿宋_GB2312" w:eastAsia="仿宋_GB2312" w:cs="仿宋_GB2312"/>
          <w:color w:val="000000"/>
          <w:kern w:val="0"/>
          <w:sz w:val="32"/>
          <w:szCs w:val="32"/>
          <w:shd w:val="clear" w:color="auto" w:fill="FFFFFF"/>
          <w:lang w:val="en-US" w:eastAsia="zh-CN" w:bidi="ar-SA"/>
        </w:rPr>
        <w:t>456</w:t>
      </w:r>
      <w:r>
        <w:rPr>
          <w:rFonts w:hint="eastAsia" w:ascii="仿宋_GB2312" w:hAnsi="仿宋_GB2312" w:eastAsia="仿宋_GB2312" w:cs="仿宋_GB2312"/>
          <w:color w:val="000000"/>
          <w:kern w:val="0"/>
          <w:sz w:val="32"/>
          <w:szCs w:val="32"/>
          <w:shd w:val="clear" w:color="auto" w:fill="FFFFFF"/>
          <w:lang w:val="zh-CN" w:eastAsia="zh-CN" w:bidi="ar-SA"/>
        </w:rPr>
        <w:t>件，同比下降</w:t>
      </w:r>
      <w:r>
        <w:rPr>
          <w:rFonts w:hint="eastAsia" w:ascii="仿宋_GB2312" w:hAnsi="仿宋_GB2312" w:eastAsia="仿宋_GB2312" w:cs="仿宋_GB2312"/>
          <w:color w:val="000000"/>
          <w:kern w:val="0"/>
          <w:sz w:val="32"/>
          <w:szCs w:val="32"/>
          <w:shd w:val="clear" w:color="auto" w:fill="FFFFFF"/>
          <w:lang w:val="en-US" w:eastAsia="zh-CN" w:bidi="ar-SA"/>
        </w:rPr>
        <w:t>35</w:t>
      </w:r>
      <w:r>
        <w:rPr>
          <w:rFonts w:hint="eastAsia" w:ascii="仿宋_GB2312" w:hAnsi="仿宋_GB2312" w:eastAsia="仿宋_GB2312" w:cs="仿宋_GB2312"/>
          <w:color w:val="000000"/>
          <w:kern w:val="0"/>
          <w:sz w:val="32"/>
          <w:szCs w:val="32"/>
          <w:shd w:val="clear" w:color="auto" w:fill="FFFFFF"/>
          <w:lang w:val="zh-CN" w:eastAsia="zh-CN" w:bidi="ar-SA"/>
        </w:rPr>
        <w:t>件，降幅</w:t>
      </w:r>
      <w:r>
        <w:rPr>
          <w:rFonts w:hint="eastAsia" w:ascii="仿宋_GB2312" w:hAnsi="仿宋_GB2312" w:eastAsia="仿宋_GB2312" w:cs="仿宋_GB2312"/>
          <w:color w:val="000000"/>
          <w:kern w:val="0"/>
          <w:sz w:val="32"/>
          <w:szCs w:val="32"/>
          <w:shd w:val="clear" w:color="auto" w:fill="FFFFFF"/>
          <w:lang w:val="en-US" w:eastAsia="zh-CN" w:bidi="ar-SA"/>
        </w:rPr>
        <w:t>7.14</w:t>
      </w:r>
      <w:r>
        <w:rPr>
          <w:rFonts w:hint="eastAsia" w:ascii="仿宋_GB2312" w:hAnsi="仿宋_GB2312" w:eastAsia="仿宋_GB2312" w:cs="仿宋_GB2312"/>
          <w:color w:val="000000"/>
          <w:kern w:val="0"/>
          <w:sz w:val="32"/>
          <w:szCs w:val="32"/>
          <w:shd w:val="clear" w:color="auto" w:fill="FFFFFF"/>
          <w:lang w:val="zh-CN" w:eastAsia="zh-CN" w:bidi="ar-SA"/>
        </w:rPr>
        <w:t>%，审（执）结</w:t>
      </w:r>
      <w:r>
        <w:rPr>
          <w:rFonts w:hint="eastAsia" w:ascii="仿宋_GB2312" w:hAnsi="仿宋_GB2312" w:eastAsia="仿宋_GB2312" w:cs="仿宋_GB2312"/>
          <w:color w:val="000000"/>
          <w:kern w:val="0"/>
          <w:sz w:val="32"/>
          <w:szCs w:val="32"/>
          <w:shd w:val="clear" w:color="auto" w:fill="FFFFFF"/>
          <w:lang w:val="en-US" w:eastAsia="zh-CN" w:bidi="ar-SA"/>
        </w:rPr>
        <w:t>442</w:t>
      </w:r>
      <w:r>
        <w:rPr>
          <w:rFonts w:hint="eastAsia" w:ascii="仿宋_GB2312" w:hAnsi="仿宋_GB2312" w:eastAsia="仿宋_GB2312" w:cs="仿宋_GB2312"/>
          <w:color w:val="000000"/>
          <w:kern w:val="0"/>
          <w:sz w:val="32"/>
          <w:szCs w:val="32"/>
          <w:shd w:val="clear" w:color="auto" w:fill="FFFFFF"/>
          <w:lang w:val="zh-CN" w:eastAsia="zh-CN" w:bidi="ar-SA"/>
        </w:rPr>
        <w:t>件，同比下降</w:t>
      </w:r>
      <w:r>
        <w:rPr>
          <w:rFonts w:hint="eastAsia" w:ascii="仿宋_GB2312" w:hAnsi="仿宋_GB2312" w:eastAsia="仿宋_GB2312" w:cs="仿宋_GB2312"/>
          <w:color w:val="000000"/>
          <w:kern w:val="0"/>
          <w:sz w:val="32"/>
          <w:szCs w:val="32"/>
          <w:shd w:val="clear" w:color="auto" w:fill="FFFFFF"/>
          <w:lang w:val="en-US" w:eastAsia="zh-CN" w:bidi="ar-SA"/>
        </w:rPr>
        <w:t>4</w:t>
      </w:r>
      <w:r>
        <w:rPr>
          <w:rFonts w:hint="eastAsia" w:ascii="仿宋_GB2312" w:hAnsi="仿宋_GB2312" w:eastAsia="仿宋_GB2312" w:cs="仿宋_GB2312"/>
          <w:color w:val="000000"/>
          <w:kern w:val="0"/>
          <w:sz w:val="32"/>
          <w:szCs w:val="32"/>
          <w:shd w:val="clear" w:color="auto" w:fill="FFFFFF"/>
          <w:lang w:val="zh-CN" w:eastAsia="zh-CN" w:bidi="ar-SA"/>
        </w:rPr>
        <w:t>8件，降幅</w:t>
      </w:r>
      <w:r>
        <w:rPr>
          <w:rFonts w:hint="eastAsia" w:ascii="仿宋_GB2312" w:hAnsi="仿宋_GB2312" w:eastAsia="仿宋_GB2312" w:cs="仿宋_GB2312"/>
          <w:color w:val="000000"/>
          <w:kern w:val="0"/>
          <w:sz w:val="32"/>
          <w:szCs w:val="32"/>
          <w:shd w:val="clear" w:color="auto" w:fill="FFFFFF"/>
          <w:lang w:val="en-US" w:eastAsia="zh-CN" w:bidi="ar-SA"/>
        </w:rPr>
        <w:t>9.80</w:t>
      </w:r>
      <w:r>
        <w:rPr>
          <w:rFonts w:hint="eastAsia" w:ascii="仿宋_GB2312" w:hAnsi="仿宋_GB2312" w:eastAsia="仿宋_GB2312" w:cs="仿宋_GB2312"/>
          <w:color w:val="000000"/>
          <w:kern w:val="0"/>
          <w:sz w:val="32"/>
          <w:szCs w:val="32"/>
          <w:shd w:val="clear" w:color="auto" w:fill="FFFFFF"/>
          <w:lang w:val="zh-CN" w:eastAsia="zh-CN" w:bidi="ar-SA"/>
        </w:rPr>
        <w:t>%，综合结案率为9</w:t>
      </w:r>
      <w:r>
        <w:rPr>
          <w:rFonts w:hint="eastAsia" w:ascii="仿宋_GB2312" w:hAnsi="仿宋_GB2312" w:eastAsia="仿宋_GB2312" w:cs="仿宋_GB2312"/>
          <w:color w:val="000000"/>
          <w:kern w:val="0"/>
          <w:sz w:val="32"/>
          <w:szCs w:val="32"/>
          <w:shd w:val="clear" w:color="auto" w:fill="FFFFFF"/>
          <w:lang w:val="en-US" w:eastAsia="zh-CN" w:bidi="ar-SA"/>
        </w:rPr>
        <w:t>6.92</w:t>
      </w:r>
      <w:r>
        <w:rPr>
          <w:rFonts w:hint="eastAsia" w:ascii="仿宋_GB2312" w:hAnsi="仿宋_GB2312" w:eastAsia="仿宋_GB2312" w:cs="仿宋_GB2312"/>
          <w:color w:val="000000"/>
          <w:kern w:val="0"/>
          <w:sz w:val="32"/>
          <w:szCs w:val="32"/>
          <w:shd w:val="clear" w:color="auto" w:fill="FFFFFF"/>
          <w:lang w:val="zh-CN" w:eastAsia="zh-CN" w:bidi="ar-SA"/>
        </w:rPr>
        <w:t>%，案件综合质效评比在全州两级法院排名靠前。受理各类刑事案件</w:t>
      </w:r>
      <w:r>
        <w:rPr>
          <w:rFonts w:hint="eastAsia" w:ascii="仿宋_GB2312" w:hAnsi="仿宋_GB2312" w:eastAsia="仿宋_GB2312" w:cs="仿宋_GB2312"/>
          <w:color w:val="000000"/>
          <w:kern w:val="0"/>
          <w:sz w:val="32"/>
          <w:szCs w:val="32"/>
          <w:shd w:val="clear" w:color="auto" w:fill="FFFFFF"/>
          <w:lang w:val="en-US" w:eastAsia="zh-CN" w:bidi="ar-SA"/>
        </w:rPr>
        <w:t>45</w:t>
      </w:r>
      <w:r>
        <w:rPr>
          <w:rFonts w:hint="eastAsia" w:ascii="仿宋_GB2312" w:hAnsi="仿宋_GB2312" w:eastAsia="仿宋_GB2312" w:cs="仿宋_GB2312"/>
          <w:color w:val="000000"/>
          <w:kern w:val="0"/>
          <w:sz w:val="32"/>
          <w:szCs w:val="32"/>
          <w:shd w:val="clear" w:color="auto" w:fill="FFFFFF"/>
          <w:lang w:val="zh-CN" w:eastAsia="zh-CN" w:bidi="ar-SA"/>
        </w:rPr>
        <w:t>件，审结</w:t>
      </w:r>
      <w:r>
        <w:rPr>
          <w:rFonts w:hint="eastAsia" w:ascii="仿宋_GB2312" w:hAnsi="仿宋_GB2312" w:eastAsia="仿宋_GB2312" w:cs="仿宋_GB2312"/>
          <w:color w:val="000000"/>
          <w:kern w:val="0"/>
          <w:sz w:val="32"/>
          <w:szCs w:val="32"/>
          <w:shd w:val="clear" w:color="auto" w:fill="FFFFFF"/>
          <w:lang w:val="en-US" w:eastAsia="zh-CN" w:bidi="ar-SA"/>
        </w:rPr>
        <w:t>45</w:t>
      </w:r>
      <w:r>
        <w:rPr>
          <w:rFonts w:hint="eastAsia" w:ascii="仿宋_GB2312" w:hAnsi="仿宋_GB2312" w:eastAsia="仿宋_GB2312" w:cs="仿宋_GB2312"/>
          <w:color w:val="000000"/>
          <w:kern w:val="0"/>
          <w:sz w:val="32"/>
          <w:szCs w:val="32"/>
          <w:shd w:val="clear" w:color="auto" w:fill="FFFFFF"/>
          <w:lang w:val="zh-CN" w:eastAsia="zh-CN" w:bidi="ar-SA"/>
        </w:rPr>
        <w:t>件，结案率为10</w:t>
      </w:r>
      <w:r>
        <w:rPr>
          <w:rFonts w:hint="eastAsia" w:ascii="仿宋_GB2312" w:hAnsi="仿宋_GB2312" w:eastAsia="仿宋_GB2312" w:cs="仿宋_GB2312"/>
          <w:color w:val="000000"/>
          <w:kern w:val="0"/>
          <w:sz w:val="32"/>
          <w:szCs w:val="32"/>
          <w:shd w:val="clear" w:color="auto" w:fill="FFFFFF"/>
          <w:lang w:val="en-US" w:eastAsia="zh-CN" w:bidi="ar-SA"/>
        </w:rPr>
        <w:t>0.0</w:t>
      </w:r>
      <w:r>
        <w:rPr>
          <w:rFonts w:hint="eastAsia" w:ascii="仿宋_GB2312" w:hAnsi="仿宋_GB2312" w:eastAsia="仿宋_GB2312" w:cs="仿宋_GB2312"/>
          <w:color w:val="000000"/>
          <w:kern w:val="0"/>
          <w:sz w:val="32"/>
          <w:szCs w:val="32"/>
          <w:shd w:val="clear" w:color="auto" w:fill="FFFFFF"/>
          <w:lang w:val="zh-CN" w:eastAsia="zh-CN" w:bidi="ar-SA"/>
        </w:rPr>
        <w:t>0%。受理各类民商事案件</w:t>
      </w:r>
      <w:r>
        <w:rPr>
          <w:rFonts w:hint="eastAsia" w:ascii="仿宋_GB2312" w:hAnsi="仿宋_GB2312" w:eastAsia="仿宋_GB2312" w:cs="仿宋_GB2312"/>
          <w:color w:val="000000"/>
          <w:kern w:val="0"/>
          <w:sz w:val="32"/>
          <w:szCs w:val="32"/>
          <w:shd w:val="clear" w:color="auto" w:fill="FFFFFF"/>
          <w:lang w:val="en-US" w:eastAsia="zh-CN" w:bidi="ar-SA"/>
        </w:rPr>
        <w:t>303</w:t>
      </w:r>
      <w:r>
        <w:rPr>
          <w:rFonts w:hint="eastAsia" w:ascii="仿宋_GB2312" w:hAnsi="仿宋_GB2312" w:eastAsia="仿宋_GB2312" w:cs="仿宋_GB2312"/>
          <w:color w:val="000000"/>
          <w:kern w:val="0"/>
          <w:sz w:val="32"/>
          <w:szCs w:val="32"/>
          <w:shd w:val="clear" w:color="auto" w:fill="FFFFFF"/>
          <w:lang w:val="zh-CN" w:eastAsia="zh-CN" w:bidi="ar-SA"/>
        </w:rPr>
        <w:t>件，审结</w:t>
      </w:r>
      <w:r>
        <w:rPr>
          <w:rFonts w:hint="eastAsia" w:ascii="仿宋_GB2312" w:hAnsi="仿宋_GB2312" w:eastAsia="仿宋_GB2312" w:cs="仿宋_GB2312"/>
          <w:color w:val="000000"/>
          <w:kern w:val="0"/>
          <w:sz w:val="32"/>
          <w:szCs w:val="32"/>
          <w:shd w:val="clear" w:color="auto" w:fill="FFFFFF"/>
          <w:lang w:val="en-US" w:eastAsia="zh-CN" w:bidi="ar-SA"/>
        </w:rPr>
        <w:t>292</w:t>
      </w:r>
      <w:r>
        <w:rPr>
          <w:rFonts w:hint="eastAsia" w:ascii="仿宋_GB2312" w:hAnsi="仿宋_GB2312" w:eastAsia="仿宋_GB2312" w:cs="仿宋_GB2312"/>
          <w:color w:val="000000"/>
          <w:kern w:val="0"/>
          <w:sz w:val="32"/>
          <w:szCs w:val="32"/>
          <w:shd w:val="clear" w:color="auto" w:fill="FFFFFF"/>
          <w:lang w:val="zh-CN" w:eastAsia="zh-CN" w:bidi="ar-SA"/>
        </w:rPr>
        <w:t>件，结案率为9</w:t>
      </w:r>
      <w:r>
        <w:rPr>
          <w:rFonts w:hint="eastAsia" w:ascii="仿宋_GB2312" w:hAnsi="仿宋_GB2312" w:eastAsia="仿宋_GB2312" w:cs="仿宋_GB2312"/>
          <w:color w:val="000000"/>
          <w:kern w:val="0"/>
          <w:sz w:val="32"/>
          <w:szCs w:val="32"/>
          <w:shd w:val="clear" w:color="auto" w:fill="FFFFFF"/>
          <w:lang w:val="en-US" w:eastAsia="zh-CN" w:bidi="ar-SA"/>
        </w:rPr>
        <w:t>6.37</w:t>
      </w:r>
      <w:r>
        <w:rPr>
          <w:rFonts w:hint="eastAsia" w:ascii="仿宋_GB2312" w:hAnsi="仿宋_GB2312" w:eastAsia="仿宋_GB2312" w:cs="仿宋_GB2312"/>
          <w:color w:val="000000"/>
          <w:kern w:val="0"/>
          <w:sz w:val="32"/>
          <w:szCs w:val="32"/>
          <w:shd w:val="clear" w:color="auto" w:fill="FFFFFF"/>
          <w:lang w:val="zh-CN" w:eastAsia="zh-CN" w:bidi="ar-SA"/>
        </w:rPr>
        <w:t>%，受理执行案件1</w:t>
      </w:r>
      <w:r>
        <w:rPr>
          <w:rFonts w:hint="eastAsia" w:ascii="仿宋_GB2312" w:hAnsi="仿宋_GB2312" w:eastAsia="仿宋_GB2312" w:cs="仿宋_GB2312"/>
          <w:color w:val="000000"/>
          <w:kern w:val="0"/>
          <w:sz w:val="32"/>
          <w:szCs w:val="32"/>
          <w:shd w:val="clear" w:color="auto" w:fill="FFFFFF"/>
          <w:lang w:val="en-US" w:eastAsia="zh-CN" w:bidi="ar-SA"/>
        </w:rPr>
        <w:t>08</w:t>
      </w:r>
      <w:r>
        <w:rPr>
          <w:rFonts w:hint="eastAsia" w:ascii="仿宋_GB2312" w:hAnsi="仿宋_GB2312" w:eastAsia="仿宋_GB2312" w:cs="仿宋_GB2312"/>
          <w:color w:val="000000"/>
          <w:kern w:val="0"/>
          <w:sz w:val="32"/>
          <w:szCs w:val="32"/>
          <w:shd w:val="clear" w:color="auto" w:fill="FFFFFF"/>
          <w:lang w:val="zh-CN" w:eastAsia="zh-CN" w:bidi="ar-SA"/>
        </w:rPr>
        <w:t>件，执结1</w:t>
      </w:r>
      <w:r>
        <w:rPr>
          <w:rFonts w:hint="eastAsia" w:ascii="仿宋_GB2312" w:hAnsi="仿宋_GB2312" w:eastAsia="仿宋_GB2312" w:cs="仿宋_GB2312"/>
          <w:color w:val="000000"/>
          <w:kern w:val="0"/>
          <w:sz w:val="32"/>
          <w:szCs w:val="32"/>
          <w:shd w:val="clear" w:color="auto" w:fill="FFFFFF"/>
          <w:lang w:val="en-US" w:eastAsia="zh-CN" w:bidi="ar-SA"/>
        </w:rPr>
        <w:t>05</w:t>
      </w:r>
      <w:r>
        <w:rPr>
          <w:rFonts w:hint="eastAsia" w:ascii="仿宋_GB2312" w:hAnsi="仿宋_GB2312" w:eastAsia="仿宋_GB2312" w:cs="仿宋_GB2312"/>
          <w:color w:val="000000"/>
          <w:kern w:val="0"/>
          <w:sz w:val="32"/>
          <w:szCs w:val="32"/>
          <w:shd w:val="clear" w:color="auto" w:fill="FFFFFF"/>
          <w:lang w:val="zh-CN" w:eastAsia="zh-CN" w:bidi="ar-SA"/>
        </w:rPr>
        <w:t>件，结案率为9</w:t>
      </w:r>
      <w:r>
        <w:rPr>
          <w:rFonts w:hint="eastAsia" w:ascii="仿宋_GB2312" w:hAnsi="仿宋_GB2312" w:eastAsia="仿宋_GB2312" w:cs="仿宋_GB2312"/>
          <w:color w:val="000000"/>
          <w:kern w:val="0"/>
          <w:sz w:val="32"/>
          <w:szCs w:val="32"/>
          <w:shd w:val="clear" w:color="auto" w:fill="FFFFFF"/>
          <w:lang w:val="en-US" w:eastAsia="zh-CN" w:bidi="ar-SA"/>
        </w:rPr>
        <w:t>7.22</w:t>
      </w:r>
      <w:r>
        <w:rPr>
          <w:rFonts w:hint="eastAsia" w:ascii="仿宋_GB2312" w:hAnsi="仿宋_GB2312" w:eastAsia="仿宋_GB2312" w:cs="仿宋_GB2312"/>
          <w:color w:val="000000"/>
          <w:kern w:val="0"/>
          <w:sz w:val="32"/>
          <w:szCs w:val="32"/>
          <w:shd w:val="clear" w:color="auto" w:fill="FFFFFF"/>
          <w:lang w:val="zh-CN" w:eastAsia="zh-CN" w:bidi="ar-SA"/>
        </w:rPr>
        <w:t>%。</w:t>
      </w:r>
    </w:p>
    <w:p w14:paraId="7B70CD5F">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（2）质量指标。全年利用转移支付资金实施的项目验收合格率达到100%，首执案件执行到位率</w:t>
      </w:r>
      <w:r>
        <w:rPr>
          <w:rFonts w:hint="eastAsia" w:ascii="仿宋_GB2312" w:hAnsi="仿宋_GB2312" w:eastAsia="仿宋_GB2312" w:cs="仿宋_GB2312"/>
          <w:color w:val="000000"/>
          <w:kern w:val="0"/>
          <w:sz w:val="32"/>
          <w:szCs w:val="32"/>
          <w:shd w:val="clear" w:color="auto" w:fill="FFFFFF"/>
          <w:lang w:val="en-US" w:eastAsia="zh-CN"/>
        </w:rPr>
        <w:t>63.73</w:t>
      </w:r>
      <w:r>
        <w:rPr>
          <w:rFonts w:hint="eastAsia" w:ascii="仿宋_GB2312" w:hAnsi="仿宋_GB2312" w:eastAsia="仿宋_GB2312" w:cs="仿宋_GB2312"/>
          <w:color w:val="000000"/>
          <w:kern w:val="0"/>
          <w:sz w:val="32"/>
          <w:szCs w:val="32"/>
          <w:shd w:val="clear" w:color="auto" w:fill="FFFFFF"/>
          <w:lang w:val="zh-CN"/>
        </w:rPr>
        <w:t>%，一审裁判被改发率0.00%，生效裁判被改发率0.00%。</w:t>
      </w:r>
    </w:p>
    <w:p w14:paraId="3A5A4A16">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（3）时效指标。截至2023年12月31日，全年案件平均审理天数</w:t>
      </w:r>
      <w:r>
        <w:rPr>
          <w:rFonts w:hint="eastAsia" w:ascii="仿宋_GB2312" w:hAnsi="仿宋_GB2312" w:eastAsia="仿宋_GB2312" w:cs="仿宋_GB2312"/>
          <w:color w:val="000000"/>
          <w:kern w:val="0"/>
          <w:sz w:val="32"/>
          <w:szCs w:val="32"/>
          <w:shd w:val="clear" w:color="auto" w:fill="FFFFFF"/>
          <w:lang w:val="en-US" w:eastAsia="zh-CN"/>
        </w:rPr>
        <w:t>48.02</w:t>
      </w:r>
      <w:r>
        <w:rPr>
          <w:rFonts w:hint="eastAsia" w:ascii="仿宋_GB2312" w:hAnsi="仿宋_GB2312" w:eastAsia="仿宋_GB2312" w:cs="仿宋_GB2312"/>
          <w:color w:val="000000"/>
          <w:kern w:val="0"/>
          <w:sz w:val="32"/>
          <w:szCs w:val="32"/>
          <w:shd w:val="clear" w:color="auto" w:fill="FFFFFF"/>
          <w:lang w:val="zh-CN"/>
        </w:rPr>
        <w:t>天，较上年度增加了</w:t>
      </w:r>
      <w:r>
        <w:rPr>
          <w:rFonts w:hint="eastAsia" w:ascii="仿宋_GB2312" w:hAnsi="仿宋_GB2312" w:eastAsia="仿宋_GB2312" w:cs="仿宋_GB2312"/>
          <w:color w:val="000000"/>
          <w:kern w:val="0"/>
          <w:sz w:val="32"/>
          <w:szCs w:val="32"/>
          <w:shd w:val="clear" w:color="auto" w:fill="FFFFFF"/>
          <w:lang w:val="en-US" w:eastAsia="zh-CN"/>
        </w:rPr>
        <w:t>7.01</w:t>
      </w:r>
      <w:r>
        <w:rPr>
          <w:rFonts w:hint="eastAsia" w:ascii="仿宋_GB2312" w:hAnsi="仿宋_GB2312" w:eastAsia="仿宋_GB2312" w:cs="仿宋_GB2312"/>
          <w:color w:val="000000"/>
          <w:kern w:val="0"/>
          <w:sz w:val="32"/>
          <w:szCs w:val="32"/>
          <w:shd w:val="clear" w:color="auto" w:fill="FFFFFF"/>
          <w:lang w:val="zh-CN"/>
        </w:rPr>
        <w:t>天，增加原因为我院法官人数减少。</w:t>
      </w:r>
    </w:p>
    <w:p w14:paraId="7585BD11">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sz w:val="32"/>
          <w:lang w:val="zh-CN"/>
        </w:rPr>
      </w:pPr>
      <w:r>
        <w:rPr>
          <w:rFonts w:hint="eastAsia" w:ascii="仿宋_GB2312" w:hAnsi="仿宋_GB2312" w:eastAsia="仿宋_GB2312" w:cs="仿宋_GB2312"/>
          <w:color w:val="000000"/>
          <w:kern w:val="0"/>
          <w:sz w:val="32"/>
          <w:szCs w:val="32"/>
          <w:shd w:val="clear" w:color="auto" w:fill="FFFFFF"/>
          <w:lang w:val="zh-CN"/>
        </w:rPr>
        <w:t>（4）服务对象满意度指标。全年一审服判息诉率达9</w:t>
      </w:r>
      <w:r>
        <w:rPr>
          <w:rFonts w:hint="eastAsia" w:ascii="仿宋_GB2312" w:hAnsi="仿宋_GB2312" w:eastAsia="仿宋_GB2312" w:cs="仿宋_GB2312"/>
          <w:color w:val="000000"/>
          <w:kern w:val="0"/>
          <w:sz w:val="32"/>
          <w:szCs w:val="32"/>
          <w:shd w:val="clear" w:color="auto" w:fill="FFFFFF"/>
          <w:lang w:val="en-US" w:eastAsia="zh-CN"/>
        </w:rPr>
        <w:t>7.00</w:t>
      </w:r>
      <w:r>
        <w:rPr>
          <w:rFonts w:hint="eastAsia" w:ascii="仿宋_GB2312" w:hAnsi="仿宋_GB2312" w:eastAsia="仿宋_GB2312" w:cs="仿宋_GB2312"/>
          <w:color w:val="000000"/>
          <w:kern w:val="0"/>
          <w:sz w:val="32"/>
          <w:szCs w:val="32"/>
          <w:shd w:val="clear" w:color="auto" w:fill="FFFFFF"/>
          <w:lang w:val="zh-CN"/>
        </w:rPr>
        <w:t>%，完成了年初制定的服判息诉率，社会满意度测评</w:t>
      </w:r>
      <w:r>
        <w:rPr>
          <w:rFonts w:hint="eastAsia" w:ascii="仿宋_GB2312" w:hAnsi="仿宋_GB2312" w:eastAsia="仿宋_GB2312" w:cs="仿宋_GB2312"/>
          <w:color w:val="000000"/>
          <w:kern w:val="0"/>
          <w:sz w:val="32"/>
          <w:szCs w:val="32"/>
          <w:shd w:val="clear" w:color="auto" w:fill="FFFFFF"/>
          <w:lang w:val="en-US" w:eastAsia="zh-CN"/>
        </w:rPr>
        <w:t>100.00%。</w:t>
      </w:r>
    </w:p>
    <w:p w14:paraId="1E68FD95">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zh-CN"/>
        </w:rPr>
        <w:t>预算管理</w:t>
      </w:r>
    </w:p>
    <w:p w14:paraId="0957FAE8">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我院预算管理自评分数为21.26分，满分25分。扣分项具体如下：</w:t>
      </w:r>
    </w:p>
    <w:p w14:paraId="32DBD833">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（1）预算编制中财政拨款存在预算偏离度51.14%，扣分2.05分，主要原因为转移支付项目资金不做年初预算，为资金下达后做项目增加。</w:t>
      </w:r>
    </w:p>
    <w:p w14:paraId="2E19B441">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（2）1-6月和1-10月支出执行进度未分别达到50%和83.33%，1-10月支出预警资金占比5.92%（书记员工资保险74.71万元，工会经费7.20万元，公务用车购置12.60万元，预存基本户手续费0.15万元），扣分1.55分。</w:t>
      </w:r>
    </w:p>
    <w:p w14:paraId="74E68E5D">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（3）当年年终部门预算有注销金额和结余，扣分0.14分，主要原因为当年未支付转移支付资金注销73.01万元，援建资金结余20万元。</w:t>
      </w:r>
    </w:p>
    <w:p w14:paraId="17D924BE">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rPr>
        <w:t>财务管理</w:t>
      </w:r>
    </w:p>
    <w:p w14:paraId="0E0F290B">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shd w:val="clear" w:color="auto" w:fill="FFFFFF"/>
          <w:lang w:val="en-US" w:eastAsia="zh-CN"/>
        </w:rPr>
        <w:t>我院财务管理自评分数10分，满分10分。部门已制定内部财务管理制度等制度机制，合理设置财务工作岗位，明确职责权限，并严格实行不相容岗位分离原则，部门资金使用不存在不符合相关财务管理制度规定现象。</w:t>
      </w:r>
    </w:p>
    <w:p w14:paraId="0AFEBB30">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val="zh-CN" w:eastAsia="zh-CN"/>
        </w:rPr>
        <w:t>资产管理</w:t>
      </w:r>
    </w:p>
    <w:p w14:paraId="4BAA6CB8">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我院资产管理自评分数为8.4分，满分9分，扣0.6分。部门人均资产变化率为3.64%，部门人均资产增长率为3.64%，办公家具超最低使用年限资产利用率为20.63%，办公设备超最低使用年限资产利用率为52.78%，无闲置资产。</w:t>
      </w:r>
    </w:p>
    <w:p w14:paraId="5E65404C">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val="zh-CN" w:eastAsia="zh-CN"/>
        </w:rPr>
        <w:t>采购管理</w:t>
      </w:r>
    </w:p>
    <w:p w14:paraId="28286DDC">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我院采购管理自评分数为5.35分，满分6分。</w:t>
      </w:r>
      <w:r>
        <w:rPr>
          <w:rFonts w:hint="eastAsia" w:ascii="仿宋_GB2312" w:hAnsi="仿宋_GB2312" w:eastAsia="仿宋_GB2312" w:cs="仿宋_GB2312"/>
          <w:color w:val="000000"/>
          <w:kern w:val="0"/>
          <w:sz w:val="32"/>
          <w:szCs w:val="32"/>
          <w:shd w:val="clear" w:color="auto" w:fill="FFFFFF"/>
          <w:lang w:val="zh-CN"/>
        </w:rPr>
        <w:t>部门政府采购项目资金支付比例</w:t>
      </w:r>
      <w:r>
        <w:rPr>
          <w:rFonts w:hint="eastAsia" w:ascii="仿宋_GB2312" w:hAnsi="仿宋_GB2312" w:eastAsia="仿宋_GB2312" w:cs="仿宋_GB2312"/>
          <w:color w:val="000000"/>
          <w:kern w:val="0"/>
          <w:sz w:val="32"/>
          <w:szCs w:val="32"/>
          <w:shd w:val="clear" w:color="auto" w:fill="FFFFFF"/>
          <w:lang w:val="en-US" w:eastAsia="zh-CN"/>
        </w:rPr>
        <w:t>为78.36%，扣0.65分。</w:t>
      </w:r>
    </w:p>
    <w:p w14:paraId="6E780C71">
      <w:pPr>
        <w:keepNext w:val="0"/>
        <w:keepLines w:val="0"/>
        <w:pageBreakBefore w:val="0"/>
        <w:widowControl w:val="0"/>
        <w:numPr>
          <w:ilvl w:val="0"/>
          <w:numId w:val="0"/>
        </w:numPr>
        <w:kinsoku/>
        <w:overflow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（二）部门预算项目绩效分析</w:t>
      </w:r>
    </w:p>
    <w:p w14:paraId="761C7ADB">
      <w:pPr>
        <w:keepNext w:val="0"/>
        <w:keepLines w:val="0"/>
        <w:pageBreakBefore w:val="0"/>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我院</w:t>
      </w:r>
      <w:r>
        <w:rPr>
          <w:rFonts w:hint="eastAsia" w:ascii="仿宋_GB2312" w:hAnsi="仿宋_GB2312" w:eastAsia="仿宋_GB2312" w:cs="仿宋_GB2312"/>
          <w:color w:val="000000"/>
          <w:kern w:val="0"/>
          <w:sz w:val="32"/>
          <w:szCs w:val="32"/>
          <w:shd w:val="clear" w:color="auto" w:fill="FFFFFF"/>
        </w:rPr>
        <w:t>常年项目</w:t>
      </w:r>
      <w:r>
        <w:rPr>
          <w:rFonts w:hint="eastAsia" w:ascii="仿宋_GB2312" w:hAnsi="仿宋_GB2312" w:eastAsia="仿宋_GB2312" w:cs="仿宋_GB2312"/>
          <w:color w:val="000000"/>
          <w:kern w:val="0"/>
          <w:sz w:val="32"/>
          <w:szCs w:val="32"/>
          <w:shd w:val="clear" w:color="auto" w:fill="FFFFFF"/>
          <w:lang w:val="zh-CN"/>
        </w:rPr>
        <w:t>总数</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1033.81</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r>
        <w:rPr>
          <w:rFonts w:hint="eastAsia" w:ascii="仿宋_GB2312" w:hAnsi="仿宋_GB2312" w:eastAsia="仿宋_GB2312" w:cs="仿宋_GB2312"/>
          <w:color w:val="000000"/>
          <w:kern w:val="0"/>
          <w:sz w:val="32"/>
          <w:szCs w:val="32"/>
          <w:shd w:val="clear" w:color="auto" w:fill="FFFFFF"/>
        </w:rPr>
        <w:t>阶段（一次性）项目</w:t>
      </w:r>
      <w:r>
        <w:rPr>
          <w:rFonts w:hint="eastAsia" w:ascii="仿宋_GB2312" w:hAnsi="仿宋_GB2312" w:eastAsia="仿宋_GB2312" w:cs="仿宋_GB2312"/>
          <w:color w:val="000000"/>
          <w:kern w:val="0"/>
          <w:sz w:val="32"/>
          <w:szCs w:val="32"/>
          <w:shd w:val="clear" w:color="auto" w:fill="FFFFFF"/>
          <w:lang w:val="zh-CN"/>
        </w:rPr>
        <w:t>总数</w:t>
      </w:r>
      <w:r>
        <w:rPr>
          <w:rFonts w:hint="eastAsia" w:ascii="仿宋_GB2312" w:hAnsi="仿宋_GB2312" w:eastAsia="仿宋_GB2312" w:cs="仿宋_GB2312"/>
          <w:color w:val="000000"/>
          <w:kern w:val="0"/>
          <w:sz w:val="32"/>
          <w:szCs w:val="32"/>
          <w:shd w:val="clear" w:color="auto" w:fill="FFFFFF"/>
          <w:lang w:val="en-US" w:eastAsia="zh-CN"/>
        </w:rPr>
        <w:t>8</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586.27</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96.59</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5166F431">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1.</w:t>
      </w:r>
      <w:r>
        <w:rPr>
          <w:rFonts w:hint="eastAsia" w:ascii="仿宋_GB2312" w:hAnsi="仿宋_GB2312" w:eastAsia="仿宋_GB2312" w:cs="仿宋_GB2312"/>
          <w:b/>
          <w:bCs/>
          <w:color w:val="000000"/>
          <w:kern w:val="0"/>
          <w:sz w:val="32"/>
          <w:szCs w:val="32"/>
          <w:shd w:val="clear" w:color="auto" w:fill="FFFFFF"/>
          <w:lang w:val="zh-CN"/>
        </w:rPr>
        <w:t>项目决策。</w:t>
      </w:r>
    </w:p>
    <w:p w14:paraId="035ABE9C">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0" w:firstLineChars="0"/>
        <w:contextualSpacing/>
        <w:jc w:val="left"/>
        <w:rPr>
          <w:rFonts w:hint="default"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 xml:space="preserve">  </w:t>
      </w:r>
      <w:r>
        <w:rPr>
          <w:rFonts w:hint="eastAsia" w:ascii="仿宋_GB2312" w:hAnsi="仿宋_GB2312" w:eastAsia="仿宋_GB2312" w:cs="仿宋_GB2312"/>
          <w:b w:val="0"/>
          <w:bCs w:val="0"/>
          <w:color w:val="000000"/>
          <w:kern w:val="0"/>
          <w:sz w:val="32"/>
          <w:szCs w:val="32"/>
          <w:shd w:val="clear" w:color="auto" w:fill="FFFFFF"/>
          <w:lang w:val="en-US" w:eastAsia="zh-CN"/>
        </w:rPr>
        <w:t xml:space="preserve">  我院项目决策自评得分11.38分，满分12分。部门预算项目设立已按规定履行评估论证、申报程序，部门预算项目绩效目标与计划期内的任务量有较小差异、预算安排的资金合理，绩效目标设置科学合理、规范完整、量化细化和预算匹配，部门预算项目未在规定时间完成项目入库。</w:t>
      </w:r>
    </w:p>
    <w:p w14:paraId="281C18C1">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2.</w:t>
      </w:r>
      <w:r>
        <w:rPr>
          <w:rFonts w:hint="eastAsia" w:ascii="仿宋_GB2312" w:hAnsi="仿宋_GB2312" w:eastAsia="仿宋_GB2312" w:cs="仿宋_GB2312"/>
          <w:b/>
          <w:bCs/>
          <w:color w:val="000000"/>
          <w:kern w:val="0"/>
          <w:sz w:val="32"/>
          <w:szCs w:val="32"/>
          <w:shd w:val="clear" w:color="auto" w:fill="FFFFFF"/>
        </w:rPr>
        <w:t>项目执行</w:t>
      </w:r>
      <w:r>
        <w:rPr>
          <w:rFonts w:hint="eastAsia" w:ascii="仿宋_GB2312" w:hAnsi="仿宋_GB2312" w:eastAsia="仿宋_GB2312" w:cs="仿宋_GB2312"/>
          <w:b/>
          <w:bCs/>
          <w:color w:val="000000"/>
          <w:kern w:val="0"/>
          <w:sz w:val="32"/>
          <w:szCs w:val="32"/>
          <w:shd w:val="clear" w:color="auto" w:fill="FFFFFF"/>
          <w:lang w:val="zh-CN"/>
        </w:rPr>
        <w:t>。</w:t>
      </w:r>
    </w:p>
    <w:p w14:paraId="27A3A422">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default"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我院项目执行自评得分11.75分，满分12分。部门预算项目实际列支内容与绩效目标设置方向相符，</w:t>
      </w:r>
      <w:r>
        <w:rPr>
          <w:rFonts w:hint="default" w:ascii="仿宋_GB2312" w:hAnsi="仿宋_GB2312" w:eastAsia="仿宋_GB2312" w:cs="仿宋_GB2312"/>
          <w:b w:val="0"/>
          <w:bCs w:val="0"/>
          <w:color w:val="000000"/>
          <w:kern w:val="0"/>
          <w:sz w:val="32"/>
          <w:szCs w:val="32"/>
          <w:shd w:val="clear" w:color="auto" w:fill="FFFFFF"/>
          <w:lang w:val="en-US" w:eastAsia="zh-CN"/>
        </w:rPr>
        <w:t>部门预算项目</w:t>
      </w:r>
      <w:r>
        <w:rPr>
          <w:rFonts w:hint="eastAsia" w:ascii="仿宋_GB2312" w:hAnsi="仿宋_GB2312" w:eastAsia="仿宋_GB2312" w:cs="仿宋_GB2312"/>
          <w:b w:val="0"/>
          <w:bCs w:val="0"/>
          <w:color w:val="000000"/>
          <w:kern w:val="0"/>
          <w:sz w:val="32"/>
          <w:szCs w:val="32"/>
          <w:shd w:val="clear" w:color="auto" w:fill="FFFFFF"/>
          <w:lang w:val="en-US" w:eastAsia="zh-CN"/>
        </w:rPr>
        <w:t>有</w:t>
      </w:r>
      <w:r>
        <w:rPr>
          <w:rFonts w:hint="default" w:ascii="仿宋_GB2312" w:hAnsi="仿宋_GB2312" w:eastAsia="仿宋_GB2312" w:cs="仿宋_GB2312"/>
          <w:b w:val="0"/>
          <w:bCs w:val="0"/>
          <w:color w:val="000000"/>
          <w:kern w:val="0"/>
          <w:sz w:val="32"/>
          <w:szCs w:val="32"/>
          <w:shd w:val="clear" w:color="auto" w:fill="FFFFFF"/>
          <w:lang w:val="en-US" w:eastAsia="zh-CN"/>
        </w:rPr>
        <w:t>采取对应调整措施</w:t>
      </w:r>
      <w:r>
        <w:rPr>
          <w:rFonts w:hint="eastAsia" w:ascii="仿宋_GB2312" w:hAnsi="仿宋_GB2312" w:eastAsia="仿宋_GB2312" w:cs="仿宋_GB2312"/>
          <w:b w:val="0"/>
          <w:bCs w:val="0"/>
          <w:color w:val="000000"/>
          <w:kern w:val="0"/>
          <w:sz w:val="32"/>
          <w:szCs w:val="32"/>
          <w:shd w:val="clear" w:color="auto" w:fill="FFFFFF"/>
          <w:lang w:val="en-US" w:eastAsia="zh-CN"/>
        </w:rPr>
        <w:t>，部门预算项目预算执行率为96.59%。</w:t>
      </w:r>
    </w:p>
    <w:p w14:paraId="795366A3">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3"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3.</w:t>
      </w:r>
      <w:r>
        <w:rPr>
          <w:rFonts w:hint="eastAsia" w:ascii="仿宋_GB2312" w:hAnsi="仿宋_GB2312" w:eastAsia="仿宋_GB2312" w:cs="仿宋_GB2312"/>
          <w:b/>
          <w:bCs/>
          <w:color w:val="000000"/>
          <w:kern w:val="0"/>
          <w:sz w:val="32"/>
          <w:szCs w:val="32"/>
          <w:shd w:val="clear" w:color="auto" w:fill="FFFFFF"/>
          <w:lang w:val="zh-CN" w:eastAsia="zh-CN"/>
        </w:rPr>
        <w:t>目标实现。</w:t>
      </w:r>
    </w:p>
    <w:p w14:paraId="4D79619B">
      <w:pPr>
        <w:keepNext w:val="0"/>
        <w:keepLines w:val="0"/>
        <w:pageBreakBefore w:val="0"/>
        <w:kinsoku/>
        <w:wordWrap w:val="0"/>
        <w:overflowPunct/>
        <w:topLinePunct/>
        <w:autoSpaceDE/>
        <w:autoSpaceDN/>
        <w:bidi w:val="0"/>
        <w:spacing w:line="560" w:lineRule="exact"/>
        <w:ind w:left="0" w:leftChars="0" w:firstLine="640" w:firstLineChars="200"/>
        <w:rPr>
          <w:rFonts w:hint="eastAsia" w:ascii="方正仿宋_GBK" w:hAnsi="方正仿宋_GBK" w:eastAsia="方正仿宋_GBK" w:cs="方正仿宋_GBK"/>
          <w:b w:val="0"/>
          <w:bCs w:val="0"/>
          <w:color w:val="333333"/>
          <w:sz w:val="32"/>
          <w:szCs w:val="32"/>
          <w:lang w:bidi="ar"/>
        </w:rPr>
      </w:pPr>
      <w:r>
        <w:rPr>
          <w:rFonts w:hint="eastAsia" w:ascii="方正仿宋_GBK" w:hAnsi="方正仿宋_GBK" w:eastAsia="方正仿宋_GBK" w:cs="方正仿宋_GBK"/>
          <w:b w:val="0"/>
          <w:bCs w:val="0"/>
          <w:sz w:val="32"/>
          <w:szCs w:val="32"/>
          <w:lang w:val="en-US" w:eastAsia="zh-CN"/>
        </w:rPr>
        <w:t>我院目标实现自评得分7.77分，满分11分。6个部门预算项目绩效目标数量指标未达标</w:t>
      </w:r>
      <w:r>
        <w:rPr>
          <w:rFonts w:hint="eastAsia" w:ascii="方正仿宋_GBK" w:hAnsi="方正仿宋_GBK" w:eastAsia="方正仿宋_GBK" w:cs="方正仿宋_GBK"/>
          <w:b w:val="0"/>
          <w:bCs w:val="0"/>
          <w:sz w:val="32"/>
          <w:szCs w:val="32"/>
        </w:rPr>
        <w:t>。</w:t>
      </w:r>
    </w:p>
    <w:p w14:paraId="28FC20DB">
      <w:pPr>
        <w:keepNext w:val="0"/>
        <w:keepLines w:val="0"/>
        <w:pageBreakBefore w:val="0"/>
        <w:widowControl w:val="0"/>
        <w:kinsoku/>
        <w:wordWrap w:val="0"/>
        <w:overflowPunct/>
        <w:topLinePunct/>
        <w:autoSpaceDE/>
        <w:autoSpaceDN/>
        <w:bidi w:val="0"/>
        <w:snapToGrid/>
        <w:spacing w:line="560" w:lineRule="exact"/>
        <w:ind w:firstLine="643" w:firstLineChars="200"/>
        <w:jc w:val="left"/>
        <w:outlineLvl w:val="9"/>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rPr>
        <w:t>重点领域绩效分析。</w:t>
      </w:r>
    </w:p>
    <w:p w14:paraId="5DDC0795">
      <w:pPr>
        <w:keepNext w:val="0"/>
        <w:keepLines w:val="0"/>
        <w:pageBreakBefore w:val="0"/>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default"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我院2024年度政府采购项目共8个，按期完成7个，1个因资金下达较晚，影响了政府采购时限未完成。</w:t>
      </w:r>
    </w:p>
    <w:p w14:paraId="7ECFC5C2">
      <w:pPr>
        <w:keepNext w:val="0"/>
        <w:keepLines w:val="0"/>
        <w:pageBreakBefore w:val="0"/>
        <w:widowControl w:val="0"/>
        <w:kinsoku/>
        <w:wordWrap w:val="0"/>
        <w:overflowPunct/>
        <w:topLinePunct/>
        <w:autoSpaceDE/>
        <w:autoSpaceDN/>
        <w:bidi w:val="0"/>
        <w:snapToGrid/>
        <w:spacing w:line="560" w:lineRule="exact"/>
        <w:ind w:firstLine="643" w:firstLineChars="200"/>
        <w:jc w:val="left"/>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zh-CN"/>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val="zh-CN"/>
        </w:rPr>
        <w:t>绩效结果应用情况。</w:t>
      </w:r>
    </w:p>
    <w:p w14:paraId="76EFB57E">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lang w:val="en-US" w:eastAsia="zh-CN" w:bidi="ar"/>
        </w:rPr>
        <w:t>针对此绩效成果，我院已依据项目绩效的实际表现，对资源配置进行了科学合理的调整与优化，旨在确保各类资源得以高效利用。针对绩效表现突出的项目，我院将给予更为坚实的支持与资源倾斜，以进一步促进其稳健持续发展。</w:t>
      </w:r>
    </w:p>
    <w:p w14:paraId="0C78FEC7">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lang w:val="en-US" w:eastAsia="zh-CN" w:bidi="ar"/>
        </w:rPr>
        <w:t>同时，我院致力于建立健全绩效管理体系，明确各项目绩效的具体目标、评估标准及考核流程。通过持续不断地完善绩效管理体系，我们将着力提升项目执行的效率与质量，从而为推动单位的可持续发展奠定坚实基础。</w:t>
      </w:r>
    </w:p>
    <w:p w14:paraId="48CCC960">
      <w:pPr>
        <w:keepNext w:val="0"/>
        <w:keepLines w:val="0"/>
        <w:pageBreakBefore w:val="0"/>
        <w:widowControl w:val="0"/>
        <w:numPr>
          <w:ilvl w:val="0"/>
          <w:numId w:val="0"/>
        </w:numPr>
        <w:kinsoku/>
        <w:wordWrap w:val="0"/>
        <w:overflowPunct/>
        <w:topLinePunct w:val="0"/>
        <w:autoSpaceDE/>
        <w:autoSpaceDN/>
        <w:bidi w:val="0"/>
        <w:adjustRightInd/>
        <w:snapToGrid w:val="0"/>
        <w:spacing w:line="560" w:lineRule="exact"/>
        <w:ind w:firstLine="0" w:firstLineChars="0"/>
        <w:rPr>
          <w:rFonts w:hint="eastAsia" w:ascii="Times New Roman" w:hAnsi="Times New Roman" w:eastAsia="仿宋_GB2312" w:cs="Times New Roman"/>
          <w:sz w:val="32"/>
          <w:szCs w:val="32"/>
          <w:lang w:val="zh-CN" w:eastAsia="zh-CN" w:bidi="ar"/>
        </w:rPr>
      </w:pPr>
      <w:r>
        <w:rPr>
          <w:rFonts w:hint="eastAsia" w:ascii="黑体" w:hAnsi="黑体" w:eastAsia="黑体" w:cs="黑体"/>
          <w:bCs/>
          <w:sz w:val="32"/>
          <w:szCs w:val="32"/>
          <w:lang w:val="en-US" w:eastAsia="zh-CN"/>
        </w:rPr>
        <w:t xml:space="preserve"> </w:t>
      </w:r>
      <w:r>
        <w:rPr>
          <w:rFonts w:hint="eastAsia" w:ascii="仿宋_GB2312" w:hAnsi="Times New Roman" w:eastAsia="仿宋_GB2312" w:cs="Times New Roman"/>
          <w:sz w:val="32"/>
          <w:szCs w:val="32"/>
          <w:lang w:val="en-US" w:eastAsia="zh-CN"/>
        </w:rPr>
        <w:t xml:space="preserve">   按照保密相关规定，绩效自评不予公开。</w:t>
      </w:r>
    </w:p>
    <w:p w14:paraId="62A4A033">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四、评价结论及建议</w:t>
      </w:r>
    </w:p>
    <w:p w14:paraId="05F0DEDF">
      <w:pPr>
        <w:keepNext w:val="0"/>
        <w:keepLines w:val="0"/>
        <w:pageBreakBefore w:val="0"/>
        <w:widowControl/>
        <w:kinsoku/>
        <w:wordWrap w:val="0"/>
        <w:overflowPunct/>
        <w:topLinePunct/>
        <w:autoSpaceDE/>
        <w:autoSpaceDN/>
        <w:bidi w:val="0"/>
        <w:adjustRightInd w:val="0"/>
        <w:snapToGrid w:val="0"/>
        <w:spacing w:line="560" w:lineRule="exact"/>
        <w:ind w:left="0" w:leftChars="0"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（一）评价结论</w:t>
      </w:r>
    </w:p>
    <w:p w14:paraId="3D09C0B9">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综合以上各项分析，我院于2024年度的绩效自评结果为90.91分。</w:t>
      </w:r>
    </w:p>
    <w:p w14:paraId="67A54715">
      <w:pPr>
        <w:keepNext w:val="0"/>
        <w:keepLines w:val="0"/>
        <w:pageBreakBefore w:val="0"/>
        <w:widowControl/>
        <w:numPr>
          <w:ilvl w:val="0"/>
          <w:numId w:val="0"/>
        </w:numPr>
        <w:kinsoku/>
        <w:wordWrap w:val="0"/>
        <w:overflowPunct/>
        <w:topLinePunct/>
        <w:autoSpaceDE/>
        <w:autoSpaceDN/>
        <w:bidi w:val="0"/>
        <w:adjustRightInd w:val="0"/>
        <w:snapToGrid w:val="0"/>
        <w:spacing w:line="560" w:lineRule="exact"/>
        <w:ind w:firstLine="640" w:firstLineChars="200"/>
        <w:contextualSpacing/>
        <w:jc w:val="left"/>
        <w:rPr>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lang w:val="en-US" w:eastAsia="zh-CN" w:bidi="ar"/>
        </w:rPr>
        <w:t>这一评分不仅是对过去一年我院在预算执行、项目管理、资源利用效率以及服务质量等方面综合表现的客观反映，更是我院持续改进、追求卓越的重要动力源泉。</w:t>
      </w:r>
    </w:p>
    <w:p w14:paraId="550A3EA2">
      <w:pPr>
        <w:keepNext w:val="0"/>
        <w:keepLines w:val="0"/>
        <w:pageBreakBefore w:val="0"/>
        <w:widowControl/>
        <w:kinsoku/>
        <w:wordWrap w:val="0"/>
        <w:overflowPunct/>
        <w:topLinePunct/>
        <w:autoSpaceDE/>
        <w:autoSpaceDN/>
        <w:bidi w:val="0"/>
        <w:adjustRightInd w:val="0"/>
        <w:snapToGrid w:val="0"/>
        <w:spacing w:line="560" w:lineRule="exact"/>
        <w:ind w:left="0" w:leftChars="0"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en-US" w:eastAsia="zh-CN"/>
        </w:rPr>
        <w:t>二）</w:t>
      </w:r>
      <w:r>
        <w:rPr>
          <w:rFonts w:ascii="Times New Roman" w:hAnsi="Times New Roman" w:eastAsia="楷体_GB2312" w:cs="Times New Roman"/>
          <w:b/>
          <w:bCs/>
          <w:color w:val="000000"/>
          <w:kern w:val="0"/>
          <w:sz w:val="32"/>
          <w:szCs w:val="32"/>
          <w:shd w:val="clear" w:color="auto" w:fill="FFFFFF"/>
          <w:lang w:val="zh-CN"/>
        </w:rPr>
        <w:t>存在问题</w:t>
      </w:r>
    </w:p>
    <w:p w14:paraId="1442A830">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Times New Roman" w:hAnsi="Times New Roman" w:eastAsia="仿宋_GB2312" w:cs="Times New Roman"/>
          <w:sz w:val="32"/>
          <w:szCs w:val="32"/>
          <w:lang w:val="zh-CN" w:eastAsia="zh-CN" w:bidi="ar"/>
        </w:rPr>
      </w:pPr>
      <w:r>
        <w:rPr>
          <w:rFonts w:hint="eastAsia" w:ascii="Times New Roman" w:hAnsi="Times New Roman" w:eastAsia="仿宋_GB2312" w:cs="Times New Roman"/>
          <w:sz w:val="32"/>
          <w:szCs w:val="32"/>
          <w:lang w:val="zh-CN" w:eastAsia="zh-CN" w:bidi="ar"/>
        </w:rPr>
        <w:t>部分项目绩效目标设置不够准确、细化、量化，导致在评估过程中难以准确衡量目标达成情况。</w:t>
      </w:r>
    </w:p>
    <w:p w14:paraId="0BAE5DA0">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Times New Roman" w:hAnsi="Times New Roman" w:eastAsia="仿宋_GB2312" w:cs="Times New Roman"/>
          <w:sz w:val="32"/>
          <w:szCs w:val="32"/>
          <w:lang w:val="zh-CN" w:eastAsia="zh-CN" w:bidi="ar"/>
        </w:rPr>
      </w:pPr>
      <w:r>
        <w:rPr>
          <w:rFonts w:hint="eastAsia" w:ascii="Times New Roman" w:hAnsi="Times New Roman" w:eastAsia="仿宋_GB2312" w:cs="Times New Roman"/>
          <w:sz w:val="32"/>
          <w:szCs w:val="32"/>
          <w:lang w:val="zh-CN" w:eastAsia="zh-CN" w:bidi="ar"/>
        </w:rPr>
        <w:t>尽管资产管理自评分数较高，但仍存在超最低使用年限资产利用率偏低的情况。</w:t>
      </w:r>
    </w:p>
    <w:p w14:paraId="5C75D6EF">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Times New Roman" w:hAnsi="Times New Roman" w:eastAsia="仿宋_GB2312" w:cs="Times New Roman"/>
          <w:sz w:val="32"/>
          <w:szCs w:val="32"/>
          <w:lang w:val="zh-CN" w:eastAsia="zh-CN" w:bidi="ar"/>
        </w:rPr>
      </w:pPr>
      <w:r>
        <w:rPr>
          <w:rFonts w:hint="eastAsia" w:ascii="Times New Roman" w:hAnsi="Times New Roman" w:eastAsia="仿宋_GB2312" w:cs="Times New Roman"/>
          <w:sz w:val="32"/>
          <w:szCs w:val="32"/>
          <w:lang w:val="zh-CN" w:eastAsia="zh-CN" w:bidi="ar"/>
        </w:rPr>
        <w:t>虽然预算管理整体到位，但在部分经费使用上仍存在不够精细和透明的问题。</w:t>
      </w:r>
    </w:p>
    <w:p w14:paraId="2E00CE0A">
      <w:pPr>
        <w:keepNext w:val="0"/>
        <w:keepLines w:val="0"/>
        <w:pageBreakBefore w:val="0"/>
        <w:widowControl/>
        <w:kinsoku/>
        <w:wordWrap w:val="0"/>
        <w:overflowPunct/>
        <w:topLinePunct/>
        <w:autoSpaceDE/>
        <w:autoSpaceDN/>
        <w:bidi w:val="0"/>
        <w:adjustRightInd w:val="0"/>
        <w:snapToGrid w:val="0"/>
        <w:spacing w:line="560" w:lineRule="exact"/>
        <w:ind w:left="0" w:leftChars="0"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en-US" w:eastAsia="zh-CN"/>
        </w:rPr>
      </w:pPr>
      <w:r>
        <w:rPr>
          <w:rFonts w:hint="eastAsia"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en-US" w:eastAsia="zh-CN"/>
        </w:rPr>
        <w:t>三）</w:t>
      </w:r>
      <w:r>
        <w:rPr>
          <w:rFonts w:ascii="Times New Roman" w:hAnsi="Times New Roman" w:eastAsia="楷体_GB2312" w:cs="Times New Roman"/>
          <w:b/>
          <w:bCs/>
          <w:color w:val="000000"/>
          <w:kern w:val="0"/>
          <w:sz w:val="32"/>
          <w:szCs w:val="32"/>
          <w:shd w:val="clear" w:color="auto" w:fill="FFFFFF"/>
          <w:lang w:val="zh-CN"/>
        </w:rPr>
        <w:t>改进建议</w:t>
      </w:r>
    </w:p>
    <w:p w14:paraId="42F1A5DD">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lang w:val="en-US" w:eastAsia="zh-CN" w:bidi="ar"/>
        </w:rPr>
        <w:t>加强与上级财政部门的沟通，提前掌握转移支付项目和追加资金的预计情况，尽可能减少预算调整，提高预算编制的准确性和前瞻性。同时，加强对预算执行进度的监控，确保各项支出按照既定计划有序进行。</w:t>
      </w:r>
    </w:p>
    <w:p w14:paraId="1B988E6E">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lang w:val="en-US" w:eastAsia="zh-CN" w:bidi="ar"/>
        </w:rPr>
        <w:t>进一步细化支出分类，明确各项支出的合理性和必要性。加强对办公设备购置、信息网络及软件更新等项目的论证和审批，避免重复购置和浪费。同时，探索建立更加科学合理的经费保障机制，确保临聘人员等必要支出得到合理保障，减少因经费来源变化导致的支出增加。</w:t>
      </w:r>
    </w:p>
    <w:p w14:paraId="46B2B8DF">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严格按照政府采购相关规定执行，预留适当比例的采购份额专门面向中小企业采购，并在采购预算中单独列示。加强对政府采购项目资金支付的监管，确保资金支付进度与项目执行进度相匹配。同时，加强与供应商的沟通合作，提高采购效率和质量。</w:t>
      </w:r>
    </w:p>
    <w:p w14:paraId="3EA5E841">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进一步完善项目绩效管理体系。加强项目立项前的评估论证工作，确保项目设立的科学性和合理性。加强项目执行过程中的监控和调整工作，确保项目按照既定目标和计划有序进行。同时，加强对项目绩效目标的考核和评估工作，确保绩效目标得到有效实现。</w:t>
      </w:r>
    </w:p>
    <w:p w14:paraId="16F8847B">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进一步建立健全绩效结果反馈机制。将绩效评价结果与资源配置、预算编制、项目调整等紧密结合起来，形成有效的激励和约束机制。对于绩效表现突出的项目和部门给予表彰和奖励；对于绩效表现不佳的项目和部门及时提出整改意见并督促落实整改措施。通过绩效结果的有效应用推动我院各项工作持续改进和提升。</w:t>
      </w:r>
    </w:p>
    <w:p w14:paraId="3F88DD8F">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在保持现有财务管理水平的基础上继续加强内部控制和风险管理确保资金使用合规高效。同时加强对资产的管理和利用提高资产使用效率减少闲置和浪费现象的发生。通过完善资产管理制度和流程确保资产的安全完整和有效利用。</w:t>
      </w:r>
    </w:p>
    <w:p w14:paraId="6D2D9FBD">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加强相关人员的业务培训和知识更新提高其专业素养和工作能力。同时注重引进和培养高素质的专业人才为预算管理和绩效管理工作提供有力的人才保障。</w:t>
      </w:r>
    </w:p>
    <w:p w14:paraId="4884E117">
      <w:pPr>
        <w:keepNext w:val="0"/>
        <w:keepLines w:val="0"/>
        <w:pageBreakBefore w:val="0"/>
        <w:widowControl/>
        <w:kinsoku/>
        <w:wordWrap w:val="0"/>
        <w:overflowPunct/>
        <w:topLinePunct/>
        <w:autoSpaceDE/>
        <w:autoSpaceDN/>
        <w:bidi w:val="0"/>
        <w:adjustRightInd w:val="0"/>
        <w:snapToGrid w:val="0"/>
        <w:spacing w:line="560" w:lineRule="exact"/>
        <w:ind w:left="0" w:leftChars="0" w:firstLine="640" w:firstLineChars="200"/>
        <w:contextualSpacing/>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利用现代信息技术手段加强预算管理、绩效管理和资产管理的信息化建设实现数据的实时共享和动态监控提高管理效率和准确性。通过信息化建设推动我院管理水平的全面提升为可持续发展提供有力支撑。</w:t>
      </w:r>
    </w:p>
    <w:p w14:paraId="16144D95">
      <w:pPr>
        <w:pStyle w:val="18"/>
        <w:rPr>
          <w:rFonts w:hint="eastAsia" w:ascii="仿宋_GB2312" w:hAnsi="仿宋_GB2312" w:eastAsia="仿宋_GB2312" w:cs="仿宋_GB2312"/>
          <w:sz w:val="32"/>
          <w:szCs w:val="32"/>
        </w:rPr>
      </w:pPr>
    </w:p>
    <w:p w14:paraId="46ED8F16">
      <w:pPr>
        <w:rPr>
          <w:rFonts w:hint="eastAsia" w:ascii="仿宋_GB2312" w:hAnsi="仿宋_GB2312" w:eastAsia="仿宋_GB2312" w:cs="仿宋_GB2312"/>
          <w:sz w:val="32"/>
          <w:szCs w:val="32"/>
        </w:rPr>
      </w:pPr>
    </w:p>
    <w:p w14:paraId="613342D4">
      <w:pPr>
        <w:pStyle w:val="18"/>
        <w:rPr>
          <w:rFonts w:hint="eastAsia" w:ascii="仿宋_GB2312" w:hAnsi="仿宋_GB2312" w:eastAsia="仿宋_GB2312" w:cs="仿宋_GB2312"/>
          <w:sz w:val="32"/>
          <w:szCs w:val="32"/>
        </w:rPr>
      </w:pPr>
    </w:p>
    <w:p w14:paraId="1E7C300C">
      <w:pPr>
        <w:rPr>
          <w:rFonts w:hint="eastAsia" w:ascii="仿宋_GB2312" w:hAnsi="仿宋_GB2312" w:eastAsia="仿宋_GB2312" w:cs="仿宋_GB2312"/>
          <w:sz w:val="32"/>
          <w:szCs w:val="32"/>
        </w:rPr>
      </w:pPr>
    </w:p>
    <w:p w14:paraId="24F42948">
      <w:pPr>
        <w:pStyle w:val="18"/>
        <w:rPr>
          <w:rFonts w:hint="eastAsia" w:ascii="仿宋_GB2312" w:hAnsi="仿宋_GB2312" w:eastAsia="仿宋_GB2312" w:cs="仿宋_GB2312"/>
          <w:sz w:val="32"/>
          <w:szCs w:val="32"/>
        </w:rPr>
      </w:pPr>
    </w:p>
    <w:p w14:paraId="01CBD455">
      <w:pPr>
        <w:rPr>
          <w:rFonts w:hint="eastAsia" w:ascii="仿宋_GB2312" w:hAnsi="仿宋_GB2312" w:eastAsia="仿宋_GB2312" w:cs="仿宋_GB2312"/>
          <w:sz w:val="32"/>
          <w:szCs w:val="32"/>
        </w:rPr>
      </w:pPr>
    </w:p>
    <w:p w14:paraId="3B46A919">
      <w:pPr>
        <w:rPr>
          <w:rFonts w:hint="eastAsia" w:ascii="仿宋_GB2312" w:hAnsi="仿宋_GB2312" w:eastAsia="仿宋_GB2312" w:cs="仿宋_GB2312"/>
          <w:sz w:val="32"/>
          <w:szCs w:val="32"/>
        </w:rPr>
      </w:pPr>
    </w:p>
    <w:p w14:paraId="252C5F77">
      <w:pPr>
        <w:pStyle w:val="18"/>
        <w:rPr>
          <w:rFonts w:hint="eastAsia" w:ascii="黑体" w:hAnsi="黑体" w:eastAsia="黑体" w:cs="黑体"/>
          <w:b w:val="0"/>
          <w:bCs/>
          <w:sz w:val="32"/>
          <w:szCs w:val="32"/>
          <w:lang w:val="en-US" w:eastAsia="zh-CN"/>
        </w:rPr>
      </w:pPr>
    </w:p>
    <w:p w14:paraId="6D9990A4">
      <w:pPr>
        <w:rPr>
          <w:rFonts w:hint="eastAsia"/>
          <w:lang w:val="en-US" w:eastAsia="zh-CN"/>
        </w:rPr>
      </w:pPr>
    </w:p>
    <w:p w14:paraId="6DC77AD4">
      <w:pPr>
        <w:pStyle w:val="18"/>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w:t>
      </w:r>
    </w:p>
    <w:tbl>
      <w:tblPr>
        <w:tblStyle w:val="14"/>
        <w:tblW w:w="4853" w:type="pct"/>
        <w:tblInd w:w="1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623"/>
        <w:gridCol w:w="777"/>
        <w:gridCol w:w="1539"/>
        <w:gridCol w:w="426"/>
        <w:gridCol w:w="666"/>
        <w:gridCol w:w="424"/>
        <w:gridCol w:w="914"/>
        <w:gridCol w:w="486"/>
        <w:gridCol w:w="487"/>
        <w:gridCol w:w="1353"/>
      </w:tblGrid>
      <w:tr w14:paraId="3E774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5AAFBD">
            <w:pPr>
              <w:keepNext w:val="0"/>
              <w:keepLines w:val="0"/>
              <w:widowControl/>
              <w:suppressLineNumbers w:val="0"/>
              <w:jc w:val="center"/>
              <w:rPr>
                <w:rFonts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507C0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F7E7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589E6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51320022T000007106505-2022年中央政法纪检监察转移支付资金（业务装备经费）</w:t>
            </w:r>
          </w:p>
        </w:tc>
      </w:tr>
      <w:tr w14:paraId="76D7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E981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6BDC2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07E10245">
            <w:pPr>
              <w:keepNext w:val="0"/>
              <w:keepLines w:val="0"/>
              <w:widowControl/>
              <w:suppressLineNumbers w:val="0"/>
              <w:jc w:val="left"/>
              <w:rPr>
                <w:rFonts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9621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514C3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FAA8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C62D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A6DF8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02F468">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54596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5EE40">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5C2F5">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A19E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1.借助互联网优势深化诉服体系</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积极参与“互联网+”益民服务行动，利用移动应用、微信小程序、人脸识别建立移动化、网络化互联网庭审平台，进一步深化“互联网+”诉讼服务体系建设。</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2.服务人民群众赢得良好社会反响</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在法院建设多功能法庭系统，形成线上线下一体的多样化司法服务能力，让人民群众少跑路、少花钱、少受累，使司法更加贴近人民群众。</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2AE0DD">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5C0D2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1898">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926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8B0BB2">
            <w:pPr>
              <w:rPr>
                <w:rFonts w:hint="eastAsia" w:ascii="宋体" w:hAnsi="宋体" w:eastAsia="宋体" w:cs="宋体"/>
                <w:i w:val="0"/>
                <w:color w:val="000000"/>
                <w:sz w:val="18"/>
                <w:szCs w:val="18"/>
                <w:u w:val="none"/>
              </w:rPr>
            </w:pPr>
          </w:p>
        </w:tc>
      </w:tr>
      <w:tr w14:paraId="3564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809F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0AE2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ED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E2D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8B7D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F63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3681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873D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5D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EBD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8223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A130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E45C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751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12.64</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ADE1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12.64</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D75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46BA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8981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E547A">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C66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21A8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12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417B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614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12.64</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ED72B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12.64</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6667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07F1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27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5333A">
            <w:pPr>
              <w:rPr>
                <w:rFonts w:hint="default" w:ascii="黑体" w:hAnsi="黑体" w:eastAsia="黑体" w:cs="黑体"/>
                <w:i/>
                <w:color w:val="000000"/>
                <w:sz w:val="18"/>
                <w:szCs w:val="18"/>
                <w:u w:val="none"/>
              </w:rPr>
            </w:pPr>
          </w:p>
        </w:tc>
      </w:tr>
      <w:tr w14:paraId="094A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45C9B">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EC5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C7D0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5BC4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EA544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32A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2E9B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C19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B48F6">
            <w:pPr>
              <w:rPr>
                <w:rFonts w:hint="default" w:ascii="黑体" w:hAnsi="黑体" w:eastAsia="黑体" w:cs="黑体"/>
                <w:i/>
                <w:color w:val="000000"/>
                <w:sz w:val="18"/>
                <w:szCs w:val="18"/>
                <w:u w:val="none"/>
              </w:rPr>
            </w:pPr>
          </w:p>
        </w:tc>
      </w:tr>
      <w:tr w14:paraId="4B9EF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442A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E0C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54C8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2B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C09C4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3D8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D2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A10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64217">
            <w:pPr>
              <w:rPr>
                <w:rFonts w:hint="default" w:ascii="黑体" w:hAnsi="黑体" w:eastAsia="黑体" w:cs="黑体"/>
                <w:i/>
                <w:color w:val="000000"/>
                <w:sz w:val="18"/>
                <w:szCs w:val="18"/>
                <w:u w:val="none"/>
              </w:rPr>
            </w:pPr>
          </w:p>
        </w:tc>
      </w:tr>
      <w:tr w14:paraId="03BA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B567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96B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F34F">
            <w:pPr>
              <w:jc w:val="center"/>
              <w:rPr>
                <w:rFonts w:hint="eastAsia"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5861">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91552">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2E2C5">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FB0C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FE9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17481">
            <w:pPr>
              <w:rPr>
                <w:rFonts w:hint="default" w:ascii="黑体" w:hAnsi="黑体" w:eastAsia="黑体" w:cs="黑体"/>
                <w:i/>
                <w:color w:val="000000"/>
                <w:sz w:val="18"/>
                <w:szCs w:val="18"/>
                <w:u w:val="none"/>
              </w:rPr>
            </w:pPr>
          </w:p>
        </w:tc>
      </w:tr>
      <w:tr w14:paraId="0CBC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69D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A55B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1D0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173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DDC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15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9DE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350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836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662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6FB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EBC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F78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C6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9D5D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928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法官人均办案量</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D5E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D148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C28C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4760">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44.2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0867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6E6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8ED3">
            <w:pPr>
              <w:jc w:val="center"/>
              <w:rPr>
                <w:rFonts w:hint="default" w:ascii="微软雅黑" w:hAnsi="微软雅黑" w:eastAsia="微软雅黑" w:cs="微软雅黑"/>
                <w:i/>
                <w:color w:val="000000"/>
                <w:sz w:val="16"/>
                <w:szCs w:val="16"/>
                <w:u w:val="none"/>
              </w:rPr>
            </w:pPr>
          </w:p>
        </w:tc>
      </w:tr>
      <w:tr w14:paraId="635B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87554">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D1C2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507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DBC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远程开庭、网络开庭案件数、执行指挥中心使用数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9A2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4E2E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CB7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7BB3">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216D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5211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B34FF">
            <w:pPr>
              <w:jc w:val="center"/>
              <w:rPr>
                <w:rFonts w:hint="default" w:ascii="微软雅黑" w:hAnsi="微软雅黑" w:eastAsia="微软雅黑" w:cs="微软雅黑"/>
                <w:i/>
                <w:color w:val="000000"/>
                <w:sz w:val="16"/>
                <w:szCs w:val="16"/>
                <w:u w:val="none"/>
              </w:rPr>
            </w:pPr>
          </w:p>
        </w:tc>
      </w:tr>
      <w:tr w14:paraId="744F9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44451">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93CD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699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B8B4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承办法官及当事人满意度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435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B9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135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DE76">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6C7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956A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3F285">
            <w:pPr>
              <w:jc w:val="center"/>
              <w:rPr>
                <w:rFonts w:hint="default" w:ascii="微软雅黑" w:hAnsi="微软雅黑" w:eastAsia="微软雅黑" w:cs="微软雅黑"/>
                <w:i/>
                <w:color w:val="000000"/>
                <w:sz w:val="16"/>
                <w:szCs w:val="16"/>
                <w:u w:val="none"/>
              </w:rPr>
            </w:pPr>
          </w:p>
        </w:tc>
      </w:tr>
      <w:tr w14:paraId="6744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0D0AC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79E3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0E47">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6C86">
            <w:pPr>
              <w:rPr>
                <w:rFonts w:hint="eastAsia" w:ascii="宋体" w:hAnsi="宋体" w:eastAsia="宋体" w:cs="宋体"/>
                <w:i w:val="0"/>
                <w:color w:val="000000"/>
                <w:sz w:val="18"/>
                <w:szCs w:val="18"/>
                <w:u w:val="none"/>
              </w:rPr>
            </w:pPr>
          </w:p>
        </w:tc>
      </w:tr>
      <w:tr w14:paraId="1F79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3DE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2EDA48">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该项目自评得分为100分，提高了办公办案效率，为人民法院提供高效完善的司法服务，进而更好的服务人民群众，司法为民，提高法院公众影响力。</w:t>
            </w:r>
          </w:p>
        </w:tc>
      </w:tr>
      <w:tr w14:paraId="531FB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8E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8FB35A">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431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6D6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C141D4">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8D0F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23D075">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4E18A9">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443D4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11FB335F">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0EFC163A">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1D25386C">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7461F8A6">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5E682D6B">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4E6CC6A2">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2C02045B">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10A538C0">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2204BB42">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0217DC1E">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47930A03">
            <w:pPr>
              <w:rPr>
                <w:rFonts w:hint="eastAsia" w:ascii="宋体" w:hAnsi="宋体" w:eastAsia="宋体" w:cs="宋体"/>
                <w:i w:val="0"/>
                <w:color w:val="000000"/>
                <w:sz w:val="18"/>
                <w:szCs w:val="18"/>
                <w:u w:val="none"/>
              </w:rPr>
            </w:pPr>
          </w:p>
        </w:tc>
      </w:tr>
      <w:tr w14:paraId="67DA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90F111">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37DD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DD36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F316E3">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51320023R000009914893-工资性支出</w:t>
            </w:r>
          </w:p>
        </w:tc>
      </w:tr>
      <w:tr w14:paraId="6BFDB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A5B96">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BF57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69895D9D">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6D9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0ECBF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57AE2">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CFF7B">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B5B83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7B002B">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6F10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3F440">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79788">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CAAE2D">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5C3B0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严格执行相关政策，保障工资及时、足额发放或社保及时、足额缴纳，预算编制科学合理，无结余。</w:t>
            </w:r>
          </w:p>
        </w:tc>
      </w:tr>
      <w:tr w14:paraId="61C18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1C907">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DC8E9">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11CE4F">
            <w:pPr>
              <w:rPr>
                <w:rFonts w:hint="eastAsia" w:ascii="宋体" w:hAnsi="宋体" w:eastAsia="宋体" w:cs="宋体"/>
                <w:i w:val="0"/>
                <w:color w:val="000000"/>
                <w:sz w:val="18"/>
                <w:szCs w:val="18"/>
                <w:u w:val="none"/>
              </w:rPr>
            </w:pPr>
          </w:p>
        </w:tc>
      </w:tr>
      <w:tr w14:paraId="6358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680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5EB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5B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FDE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C2393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84C4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14B2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186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1B09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CAA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41FD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A8A6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C84F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507.77</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6D41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504.58</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E16EF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504.58</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40F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51F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C0C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52F8A">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C38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B69F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BD36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348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507.77</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5890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504.58</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9222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504.58</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E31F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34DA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134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E010A">
            <w:pPr>
              <w:rPr>
                <w:rFonts w:hint="default" w:ascii="黑体" w:hAnsi="黑体" w:eastAsia="黑体" w:cs="黑体"/>
                <w:i/>
                <w:color w:val="000000"/>
                <w:sz w:val="18"/>
                <w:szCs w:val="18"/>
                <w:u w:val="none"/>
              </w:rPr>
            </w:pPr>
          </w:p>
        </w:tc>
      </w:tr>
      <w:tr w14:paraId="7F76F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442A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D7F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8C91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7ED1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59A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EAD7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7BC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588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684C6">
            <w:pPr>
              <w:rPr>
                <w:rFonts w:hint="default" w:ascii="黑体" w:hAnsi="黑体" w:eastAsia="黑体" w:cs="黑体"/>
                <w:i/>
                <w:color w:val="000000"/>
                <w:sz w:val="18"/>
                <w:szCs w:val="18"/>
                <w:u w:val="none"/>
              </w:rPr>
            </w:pPr>
          </w:p>
        </w:tc>
      </w:tr>
      <w:tr w14:paraId="4EC25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B667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490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5FD7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A10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3029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EDB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C5A9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C9A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D9698">
            <w:pPr>
              <w:rPr>
                <w:rFonts w:hint="default" w:ascii="黑体" w:hAnsi="黑体" w:eastAsia="黑体" w:cs="黑体"/>
                <w:i/>
                <w:color w:val="000000"/>
                <w:sz w:val="18"/>
                <w:szCs w:val="18"/>
                <w:u w:val="none"/>
              </w:rPr>
            </w:pPr>
          </w:p>
        </w:tc>
      </w:tr>
      <w:tr w14:paraId="706C7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52B1C">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284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FC7B">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4790A">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19D52">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FD67D">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941B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FEA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C57E3">
            <w:pPr>
              <w:rPr>
                <w:rFonts w:hint="default" w:ascii="黑体" w:hAnsi="黑体" w:eastAsia="黑体" w:cs="黑体"/>
                <w:i/>
                <w:color w:val="000000"/>
                <w:sz w:val="18"/>
                <w:szCs w:val="18"/>
                <w:u w:val="none"/>
              </w:rPr>
            </w:pPr>
          </w:p>
        </w:tc>
      </w:tr>
      <w:tr w14:paraId="7B95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8749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204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AF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FBCA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92D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1E8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226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FA1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25EB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054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E1C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459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B1F4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10F4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433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991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045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BBB3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8E13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8940A">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AF9B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C095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46D86">
            <w:pPr>
              <w:jc w:val="center"/>
              <w:rPr>
                <w:rFonts w:hint="default" w:ascii="微软雅黑" w:hAnsi="微软雅黑" w:eastAsia="微软雅黑" w:cs="微软雅黑"/>
                <w:i/>
                <w:color w:val="000000"/>
                <w:sz w:val="16"/>
                <w:szCs w:val="16"/>
                <w:u w:val="none"/>
              </w:rPr>
            </w:pPr>
          </w:p>
        </w:tc>
      </w:tr>
      <w:tr w14:paraId="5688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F1B7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F8D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BC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D5A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F2F0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D3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AE86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D992">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82C5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EAB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38B36">
            <w:pPr>
              <w:jc w:val="center"/>
              <w:rPr>
                <w:rFonts w:hint="default" w:ascii="微软雅黑" w:hAnsi="微软雅黑" w:eastAsia="微软雅黑" w:cs="微软雅黑"/>
                <w:i/>
                <w:color w:val="000000"/>
                <w:sz w:val="16"/>
                <w:szCs w:val="16"/>
                <w:u w:val="none"/>
              </w:rPr>
            </w:pPr>
          </w:p>
        </w:tc>
      </w:tr>
      <w:tr w14:paraId="51AC9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1FDF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186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3072C">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C8EEB">
            <w:pPr>
              <w:rPr>
                <w:rFonts w:hint="eastAsia" w:ascii="宋体" w:hAnsi="宋体" w:eastAsia="宋体" w:cs="宋体"/>
                <w:i w:val="0"/>
                <w:color w:val="000000"/>
                <w:sz w:val="18"/>
                <w:szCs w:val="18"/>
                <w:u w:val="none"/>
              </w:rPr>
            </w:pPr>
          </w:p>
        </w:tc>
      </w:tr>
      <w:tr w14:paraId="1F2AB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DE3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C602C1">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该项目自评得分为100分，我单位严格执行相关政策，保障工资及时、足额发放或社保及时、足额缴纳，预算编制科学合理，无资金结余。</w:t>
            </w:r>
          </w:p>
        </w:tc>
      </w:tr>
      <w:tr w14:paraId="6095C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5031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210C12">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3224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EDA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0E4017">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7E3C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049E0">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项目负责人：李祥英</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40AF1C">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46C89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58E074CE">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1C6C7E38">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5320D57C">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51B16483">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6802828B">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2B175CD3">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3255F4C6">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10D88075">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4BC59221">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30908043">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5E90FDAA">
            <w:pPr>
              <w:rPr>
                <w:rFonts w:hint="eastAsia" w:ascii="宋体" w:hAnsi="宋体" w:eastAsia="宋体" w:cs="宋体"/>
                <w:i w:val="0"/>
                <w:color w:val="000000"/>
                <w:sz w:val="18"/>
                <w:szCs w:val="18"/>
                <w:u w:val="none"/>
              </w:rPr>
            </w:pPr>
          </w:p>
        </w:tc>
      </w:tr>
      <w:tr w14:paraId="78E7A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16740D">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3A35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C9DB2">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F2B2D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51320023R000009915221-单位缴费</w:t>
            </w:r>
          </w:p>
        </w:tc>
      </w:tr>
      <w:tr w14:paraId="57079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00D4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5F6212">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7DD2DCEE">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63FD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604ED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D7B9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3B4C2">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0DCBA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078819">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49D95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9654">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4EF48">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FA46A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5D968">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严格执行相关政策，保障工资及时、足额发放或社保及时、足额缴纳，预算编制科学合理，无结余。</w:t>
            </w:r>
          </w:p>
        </w:tc>
      </w:tr>
      <w:tr w14:paraId="09ED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3470F">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5ED6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994D31">
            <w:pPr>
              <w:rPr>
                <w:rFonts w:hint="eastAsia" w:ascii="宋体" w:hAnsi="宋体" w:eastAsia="宋体" w:cs="宋体"/>
                <w:i w:val="0"/>
                <w:color w:val="000000"/>
                <w:sz w:val="18"/>
                <w:szCs w:val="18"/>
                <w:u w:val="none"/>
              </w:rPr>
            </w:pPr>
          </w:p>
        </w:tc>
      </w:tr>
      <w:tr w14:paraId="57B50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AA1B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5CF5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3215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0E99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4AC1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F79D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BAE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1F4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7DE7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A536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5922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67A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A005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306.53</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14CA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305.64</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F0159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305.64</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CD7C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48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E329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532F3">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3BA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A2528">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C90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9668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306.53</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E86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305.64</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6E8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305.64</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4BB8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F99E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564B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B3A55">
            <w:pPr>
              <w:rPr>
                <w:rFonts w:hint="default" w:ascii="黑体" w:hAnsi="黑体" w:eastAsia="黑体" w:cs="黑体"/>
                <w:i/>
                <w:color w:val="000000"/>
                <w:sz w:val="18"/>
                <w:szCs w:val="18"/>
                <w:u w:val="none"/>
              </w:rPr>
            </w:pPr>
          </w:p>
        </w:tc>
      </w:tr>
      <w:tr w14:paraId="161F4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7048A">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D8B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5C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3E7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2AF5E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C811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39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BF3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06D44">
            <w:pPr>
              <w:rPr>
                <w:rFonts w:hint="default" w:ascii="黑体" w:hAnsi="黑体" w:eastAsia="黑体" w:cs="黑体"/>
                <w:i/>
                <w:color w:val="000000"/>
                <w:sz w:val="18"/>
                <w:szCs w:val="18"/>
                <w:u w:val="none"/>
              </w:rPr>
            </w:pPr>
          </w:p>
        </w:tc>
      </w:tr>
      <w:tr w14:paraId="168D0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DEFB2">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E4DD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F585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8BFC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84FD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D17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F1A2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52D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4D6F1">
            <w:pPr>
              <w:rPr>
                <w:rFonts w:hint="default" w:ascii="黑体" w:hAnsi="黑体" w:eastAsia="黑体" w:cs="黑体"/>
                <w:i/>
                <w:color w:val="000000"/>
                <w:sz w:val="18"/>
                <w:szCs w:val="18"/>
                <w:u w:val="none"/>
              </w:rPr>
            </w:pPr>
          </w:p>
        </w:tc>
      </w:tr>
      <w:tr w14:paraId="242C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CBCC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BE0D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944E0">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A0E8">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E25EA">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AC67">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1D6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2B0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B3C5B">
            <w:pPr>
              <w:rPr>
                <w:rFonts w:hint="default" w:ascii="黑体" w:hAnsi="黑体" w:eastAsia="黑体" w:cs="黑体"/>
                <w:i/>
                <w:color w:val="000000"/>
                <w:sz w:val="18"/>
                <w:szCs w:val="18"/>
                <w:u w:val="none"/>
              </w:rPr>
            </w:pPr>
          </w:p>
        </w:tc>
      </w:tr>
      <w:tr w14:paraId="4D405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FB9C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F96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A9DD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B9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77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FDA2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723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5977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5B32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6C7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B7A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AA0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22C5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605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96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0143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9A1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98C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6FFB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2E9B5">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B52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9FAB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9ABF">
            <w:pPr>
              <w:jc w:val="center"/>
              <w:rPr>
                <w:rFonts w:hint="default" w:ascii="微软雅黑" w:hAnsi="微软雅黑" w:eastAsia="微软雅黑" w:cs="微软雅黑"/>
                <w:i/>
                <w:color w:val="000000"/>
                <w:sz w:val="16"/>
                <w:szCs w:val="16"/>
                <w:u w:val="none"/>
              </w:rPr>
            </w:pPr>
          </w:p>
        </w:tc>
      </w:tr>
      <w:tr w14:paraId="7F1C7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042FC">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BF5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0C8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CA4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0E3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542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230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F7A5">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7D2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2CF4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3BDC">
            <w:pPr>
              <w:jc w:val="center"/>
              <w:rPr>
                <w:rFonts w:hint="default" w:ascii="微软雅黑" w:hAnsi="微软雅黑" w:eastAsia="微软雅黑" w:cs="微软雅黑"/>
                <w:i/>
                <w:color w:val="000000"/>
                <w:sz w:val="16"/>
                <w:szCs w:val="16"/>
                <w:u w:val="none"/>
              </w:rPr>
            </w:pPr>
          </w:p>
        </w:tc>
      </w:tr>
      <w:tr w14:paraId="51E5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4B532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9C4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64A94">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CD21">
            <w:pPr>
              <w:rPr>
                <w:rFonts w:hint="eastAsia" w:ascii="宋体" w:hAnsi="宋体" w:eastAsia="宋体" w:cs="宋体"/>
                <w:i w:val="0"/>
                <w:color w:val="000000"/>
                <w:sz w:val="18"/>
                <w:szCs w:val="18"/>
                <w:u w:val="none"/>
              </w:rPr>
            </w:pPr>
          </w:p>
        </w:tc>
      </w:tr>
      <w:tr w14:paraId="6A546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A87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D5747F">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该项目自评得分为100分，我单位严格执行相关政策，保障工资及时、足额发放或社保及时、足额缴纳，预算编制科学合理，无资金结余。</w:t>
            </w:r>
          </w:p>
        </w:tc>
      </w:tr>
      <w:tr w14:paraId="54CF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91BE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28C81A">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9CB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D15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802C83">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683C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D1A3FB">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项目负责人：李祥英</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55CF84">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0A2E4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4F215D2B">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5A98E4B0">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452FEBB9">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52FA7F7F">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7A30C8DB">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37A53F5E">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6A8CF1B4">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1463E62B">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5FBA767B">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3927E801">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72AC8980">
            <w:pPr>
              <w:rPr>
                <w:rFonts w:hint="eastAsia" w:ascii="宋体" w:hAnsi="宋体" w:eastAsia="宋体" w:cs="宋体"/>
                <w:i w:val="0"/>
                <w:color w:val="000000"/>
                <w:sz w:val="18"/>
                <w:szCs w:val="18"/>
                <w:u w:val="none"/>
              </w:rPr>
            </w:pPr>
          </w:p>
        </w:tc>
      </w:tr>
      <w:tr w14:paraId="75E7E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7BF5EA">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6D4D0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9179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29A9B3">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51320023R000009915925-聘用人员经费</w:t>
            </w:r>
          </w:p>
        </w:tc>
      </w:tr>
      <w:tr w14:paraId="599BB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975E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1625B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28C9109D">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4B32A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72D52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601A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69F52">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3066F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B29A8E">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1A04B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45BA9">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BB983">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3B71D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AEB57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严格执行相关政策，保障工资及时、足额发放或社保及时、足额缴纳，预算编制科学合理，无结余。</w:t>
            </w:r>
          </w:p>
        </w:tc>
      </w:tr>
      <w:tr w14:paraId="19594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667D9">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0851">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53E8C7">
            <w:pPr>
              <w:rPr>
                <w:rFonts w:hint="eastAsia" w:ascii="宋体" w:hAnsi="宋体" w:eastAsia="宋体" w:cs="宋体"/>
                <w:i w:val="0"/>
                <w:color w:val="000000"/>
                <w:sz w:val="18"/>
                <w:szCs w:val="18"/>
                <w:u w:val="none"/>
              </w:rPr>
            </w:pPr>
          </w:p>
        </w:tc>
      </w:tr>
      <w:tr w14:paraId="3A8E6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DE32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9291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7791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5A78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41C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715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68E1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0DE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83C6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964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A1C2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4BF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5C1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103.63</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2AA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102.45</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FFF3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102.45</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A01D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C8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619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37DCB6">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A5A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1D25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70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2BC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103.63</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E3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102.45</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BBEC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102.45</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7E9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9D8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490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ABD6B">
            <w:pPr>
              <w:rPr>
                <w:rFonts w:hint="default" w:ascii="黑体" w:hAnsi="黑体" w:eastAsia="黑体" w:cs="黑体"/>
                <w:i/>
                <w:color w:val="000000"/>
                <w:sz w:val="18"/>
                <w:szCs w:val="18"/>
                <w:u w:val="none"/>
              </w:rPr>
            </w:pPr>
          </w:p>
        </w:tc>
      </w:tr>
      <w:tr w14:paraId="6997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84A4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410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8E89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547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D456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6C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9D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B1A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167F1">
            <w:pPr>
              <w:rPr>
                <w:rFonts w:hint="default" w:ascii="黑体" w:hAnsi="黑体" w:eastAsia="黑体" w:cs="黑体"/>
                <w:i/>
                <w:color w:val="000000"/>
                <w:sz w:val="18"/>
                <w:szCs w:val="18"/>
                <w:u w:val="none"/>
              </w:rPr>
            </w:pPr>
          </w:p>
        </w:tc>
      </w:tr>
      <w:tr w14:paraId="23394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7C8D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F5C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DE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6E3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3B75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8D8A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F87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5F6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AC698">
            <w:pPr>
              <w:rPr>
                <w:rFonts w:hint="default" w:ascii="黑体" w:hAnsi="黑体" w:eastAsia="黑体" w:cs="黑体"/>
                <w:i/>
                <w:color w:val="000000"/>
                <w:sz w:val="18"/>
                <w:szCs w:val="18"/>
                <w:u w:val="none"/>
              </w:rPr>
            </w:pPr>
          </w:p>
        </w:tc>
      </w:tr>
      <w:tr w14:paraId="62C4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2562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9CE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14E5C">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3CB20">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4AD59">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D63D0">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66BB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51F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B6D3F">
            <w:pPr>
              <w:rPr>
                <w:rFonts w:hint="default" w:ascii="黑体" w:hAnsi="黑体" w:eastAsia="黑体" w:cs="黑体"/>
                <w:i/>
                <w:color w:val="000000"/>
                <w:sz w:val="18"/>
                <w:szCs w:val="18"/>
                <w:u w:val="none"/>
              </w:rPr>
            </w:pPr>
          </w:p>
        </w:tc>
      </w:tr>
      <w:tr w14:paraId="6A5F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556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F6C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2A71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12F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AFD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AA24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6012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595D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945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49D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E8C2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91C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A816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B5FC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BB85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18C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4AC2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DE77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BA4E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773A">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AD0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C66B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31D3">
            <w:pPr>
              <w:jc w:val="center"/>
              <w:rPr>
                <w:rFonts w:hint="default" w:ascii="微软雅黑" w:hAnsi="微软雅黑" w:eastAsia="微软雅黑" w:cs="微软雅黑"/>
                <w:i/>
                <w:color w:val="000000"/>
                <w:sz w:val="16"/>
                <w:szCs w:val="16"/>
                <w:u w:val="none"/>
              </w:rPr>
            </w:pPr>
          </w:p>
        </w:tc>
      </w:tr>
      <w:tr w14:paraId="26775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5C42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98B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0E9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BE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E53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3583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05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F3E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A77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D4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4B0F">
            <w:pPr>
              <w:jc w:val="center"/>
              <w:rPr>
                <w:rFonts w:hint="default" w:ascii="微软雅黑" w:hAnsi="微软雅黑" w:eastAsia="微软雅黑" w:cs="微软雅黑"/>
                <w:i/>
                <w:color w:val="000000"/>
                <w:sz w:val="16"/>
                <w:szCs w:val="16"/>
                <w:u w:val="none"/>
              </w:rPr>
            </w:pPr>
          </w:p>
        </w:tc>
      </w:tr>
      <w:tr w14:paraId="6DDE9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4EEE0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45B8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B4F3F">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015E8">
            <w:pPr>
              <w:rPr>
                <w:rFonts w:hint="eastAsia" w:ascii="宋体" w:hAnsi="宋体" w:eastAsia="宋体" w:cs="宋体"/>
                <w:i w:val="0"/>
                <w:color w:val="000000"/>
                <w:sz w:val="18"/>
                <w:szCs w:val="18"/>
                <w:u w:val="none"/>
              </w:rPr>
            </w:pPr>
          </w:p>
        </w:tc>
      </w:tr>
      <w:tr w14:paraId="33F0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FF4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1BB829">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该项目自评得分为100分，我单位严格执行相关政策，保障工资及时、足额发放或社保及时、足额缴纳，预算编制科学合理，无资金结余。</w:t>
            </w:r>
          </w:p>
        </w:tc>
      </w:tr>
      <w:tr w14:paraId="2ADA6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AFA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A34EE6">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039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87F4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09D5E6">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4A22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1FEB64">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项目负责人：李祥英</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8E15DC">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3BB17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0F801A81">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0EEED4EA">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18E6ACEC">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17FF88CA">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3A5B9A14">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43B833E1">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2A27E76A">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09EE97D0">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7109C07D">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326BDF96">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21BD3E48">
            <w:pPr>
              <w:rPr>
                <w:rFonts w:hint="eastAsia" w:ascii="宋体" w:hAnsi="宋体" w:eastAsia="宋体" w:cs="宋体"/>
                <w:i w:val="0"/>
                <w:color w:val="000000"/>
                <w:sz w:val="18"/>
                <w:szCs w:val="18"/>
                <w:u w:val="none"/>
              </w:rPr>
            </w:pPr>
          </w:p>
        </w:tc>
      </w:tr>
      <w:tr w14:paraId="7962D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D64FBD">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4209E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2E2C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42227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51320023T000007518860-红原县人民法院信息化建设项目</w:t>
            </w:r>
          </w:p>
        </w:tc>
      </w:tr>
      <w:tr w14:paraId="022C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7C53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4FEE31">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061DA39C">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F5B4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6E272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9F83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D4E94">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9857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5B79D2">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6F825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148E0">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53BB8">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68B77E">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1.借助互联网优势深化诉服体系</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积极参与“互联网+”益民服务行动，利用移动应用、微信小程序、人脸识别建立移动化、网络化互联网庭审平台，进一步深化“互联网+”诉讼服务体系建设。</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2.服务人民群众赢得良好社会反响</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在法院建设多功能法庭系统，形成线上线下一体的多样化司法服务能力，让人民群众少跑路、少花钱、少受累，使司法更加贴近人民群众。</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F4E29">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7BD8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A450F">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376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43E543">
            <w:pPr>
              <w:rPr>
                <w:rFonts w:hint="eastAsia" w:ascii="宋体" w:hAnsi="宋体" w:eastAsia="宋体" w:cs="宋体"/>
                <w:i w:val="0"/>
                <w:color w:val="000000"/>
                <w:sz w:val="18"/>
                <w:szCs w:val="18"/>
                <w:u w:val="none"/>
              </w:rPr>
            </w:pPr>
          </w:p>
        </w:tc>
      </w:tr>
      <w:tr w14:paraId="70C35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E079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639F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540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04A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C8A30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DD5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D9BC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82F9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728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F35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3E3F2">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A7E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646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B8E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4.18</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E33CC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4.18</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A05D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BF2B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00F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C4B6E">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CD8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A26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FCAB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371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FDB3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4.18</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EDEE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4.18</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C8E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FDB2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DA42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27FA4">
            <w:pPr>
              <w:rPr>
                <w:rFonts w:hint="default" w:ascii="黑体" w:hAnsi="黑体" w:eastAsia="黑体" w:cs="黑体"/>
                <w:i/>
                <w:color w:val="000000"/>
                <w:sz w:val="18"/>
                <w:szCs w:val="18"/>
                <w:u w:val="none"/>
              </w:rPr>
            </w:pPr>
          </w:p>
        </w:tc>
      </w:tr>
      <w:tr w14:paraId="1D095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77E1C">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DB9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33C0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89E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443A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8465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259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DDA0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DACA1">
            <w:pPr>
              <w:rPr>
                <w:rFonts w:hint="default" w:ascii="黑体" w:hAnsi="黑体" w:eastAsia="黑体" w:cs="黑体"/>
                <w:i/>
                <w:color w:val="000000"/>
                <w:sz w:val="18"/>
                <w:szCs w:val="18"/>
                <w:u w:val="none"/>
              </w:rPr>
            </w:pPr>
          </w:p>
        </w:tc>
      </w:tr>
      <w:tr w14:paraId="0583A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6A50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C8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52F9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C80C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49ED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D3B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963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C5BE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F0C0">
            <w:pPr>
              <w:rPr>
                <w:rFonts w:hint="default" w:ascii="黑体" w:hAnsi="黑体" w:eastAsia="黑体" w:cs="黑体"/>
                <w:i/>
                <w:color w:val="000000"/>
                <w:sz w:val="18"/>
                <w:szCs w:val="18"/>
                <w:u w:val="none"/>
              </w:rPr>
            </w:pPr>
          </w:p>
        </w:tc>
      </w:tr>
      <w:tr w14:paraId="2251E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55D86">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3C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E8B2">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C8D2">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62CE1">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BABD">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D5CF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1269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A5097">
            <w:pPr>
              <w:rPr>
                <w:rFonts w:hint="default" w:ascii="黑体" w:hAnsi="黑体" w:eastAsia="黑体" w:cs="黑体"/>
                <w:i/>
                <w:color w:val="000000"/>
                <w:sz w:val="18"/>
                <w:szCs w:val="18"/>
                <w:u w:val="none"/>
              </w:rPr>
            </w:pPr>
          </w:p>
        </w:tc>
      </w:tr>
      <w:tr w14:paraId="56993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306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22CB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DDB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9F8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9FC2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40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99C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C06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AF9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6D0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8C37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EF7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D5204">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B2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796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323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法官人均办案量</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74E7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65C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BB9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7FA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44.2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C25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7221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EF8B">
            <w:pPr>
              <w:jc w:val="center"/>
              <w:rPr>
                <w:rFonts w:hint="default" w:ascii="微软雅黑" w:hAnsi="微软雅黑" w:eastAsia="微软雅黑" w:cs="微软雅黑"/>
                <w:i/>
                <w:color w:val="000000"/>
                <w:sz w:val="16"/>
                <w:szCs w:val="16"/>
                <w:u w:val="none"/>
              </w:rPr>
            </w:pPr>
          </w:p>
        </w:tc>
      </w:tr>
      <w:tr w14:paraId="28758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03DA3">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D4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65A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EFE8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远程开庭、网络开庭案件数、执行指挥中心使用数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D76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412D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147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883B">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089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ACDB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85F7">
            <w:pPr>
              <w:jc w:val="center"/>
              <w:rPr>
                <w:rFonts w:hint="default" w:ascii="微软雅黑" w:hAnsi="微软雅黑" w:eastAsia="微软雅黑" w:cs="微软雅黑"/>
                <w:i/>
                <w:color w:val="000000"/>
                <w:sz w:val="16"/>
                <w:szCs w:val="16"/>
                <w:u w:val="none"/>
              </w:rPr>
            </w:pPr>
          </w:p>
        </w:tc>
      </w:tr>
      <w:tr w14:paraId="547FD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E67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AF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174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54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承办法官及当事人满意度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C0D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6493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302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85DE3">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7B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0117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D5E83">
            <w:pPr>
              <w:jc w:val="center"/>
              <w:rPr>
                <w:rFonts w:hint="default" w:ascii="微软雅黑" w:hAnsi="微软雅黑" w:eastAsia="微软雅黑" w:cs="微软雅黑"/>
                <w:i/>
                <w:color w:val="000000"/>
                <w:sz w:val="16"/>
                <w:szCs w:val="16"/>
                <w:u w:val="none"/>
              </w:rPr>
            </w:pPr>
          </w:p>
        </w:tc>
      </w:tr>
      <w:tr w14:paraId="27C8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C39D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171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94DA1">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9374">
            <w:pPr>
              <w:rPr>
                <w:rFonts w:hint="eastAsia" w:ascii="宋体" w:hAnsi="宋体" w:eastAsia="宋体" w:cs="宋体"/>
                <w:i w:val="0"/>
                <w:color w:val="000000"/>
                <w:sz w:val="18"/>
                <w:szCs w:val="18"/>
                <w:u w:val="none"/>
              </w:rPr>
            </w:pPr>
          </w:p>
        </w:tc>
      </w:tr>
      <w:tr w14:paraId="47E9E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C335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8010DD">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该项目自评得分为100分，借助互联网优势深化诉服体系，服务人民群众赢得良好社会反响。</w:t>
            </w:r>
          </w:p>
        </w:tc>
      </w:tr>
      <w:tr w14:paraId="1A07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9C9C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2D311E">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A3C6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07E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57654">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93CD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F5184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523E66">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11DB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71631CFE">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2359D6DF">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071F18BC">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31B8FD7C">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21EFF1FB">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744953FD">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539F91F6">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283BDDCF">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5D07C324">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5F588AB0">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24102D8D">
            <w:pPr>
              <w:rPr>
                <w:rFonts w:hint="eastAsia" w:ascii="宋体" w:hAnsi="宋体" w:eastAsia="宋体" w:cs="宋体"/>
                <w:i w:val="0"/>
                <w:color w:val="000000"/>
                <w:sz w:val="18"/>
                <w:szCs w:val="18"/>
                <w:u w:val="none"/>
              </w:rPr>
            </w:pPr>
          </w:p>
        </w:tc>
      </w:tr>
      <w:tr w14:paraId="4E35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002ACE">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61E36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26169">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6FCD3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51320023T000009648562-2023年上半年业务装备经费</w:t>
            </w:r>
          </w:p>
        </w:tc>
      </w:tr>
      <w:tr w14:paraId="0DCB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504B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2975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099272FE">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CDA6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5963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6518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E7753">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71EC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7CE31F">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7CAD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44299">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EF7E0">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7FA5F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提高办案效率，为人民法院办案提供高效完善的司法服务，进而更好服务人民群众，提高人民群众满意度，司法为民，提高法院公众影响力。</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818CC9">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600EF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6C4C">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E851">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FD91CC">
            <w:pPr>
              <w:rPr>
                <w:rFonts w:hint="eastAsia" w:ascii="宋体" w:hAnsi="宋体" w:eastAsia="宋体" w:cs="宋体"/>
                <w:i w:val="0"/>
                <w:color w:val="000000"/>
                <w:sz w:val="18"/>
                <w:szCs w:val="18"/>
                <w:u w:val="none"/>
              </w:rPr>
            </w:pPr>
          </w:p>
        </w:tc>
      </w:tr>
      <w:tr w14:paraId="15421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13EE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DFCB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1A3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8BC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9AECF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941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07F6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A92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1FD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8EC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72E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9DD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36D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0FA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93.36</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7A8A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93.36</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365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D4EE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8B9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88DA3">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DA4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3298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BD7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E98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FC2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93.36</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6C62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93.36</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37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68D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355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88C61">
            <w:pPr>
              <w:rPr>
                <w:rFonts w:hint="default" w:ascii="黑体" w:hAnsi="黑体" w:eastAsia="黑体" w:cs="黑体"/>
                <w:i/>
                <w:color w:val="000000"/>
                <w:sz w:val="18"/>
                <w:szCs w:val="18"/>
                <w:u w:val="none"/>
              </w:rPr>
            </w:pPr>
          </w:p>
        </w:tc>
      </w:tr>
      <w:tr w14:paraId="3F35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B7B59">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9F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C9D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B5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4722C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9D7E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7D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B2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D7A5E">
            <w:pPr>
              <w:rPr>
                <w:rFonts w:hint="default" w:ascii="黑体" w:hAnsi="黑体" w:eastAsia="黑体" w:cs="黑体"/>
                <w:i/>
                <w:color w:val="000000"/>
                <w:sz w:val="18"/>
                <w:szCs w:val="18"/>
                <w:u w:val="none"/>
              </w:rPr>
            </w:pPr>
          </w:p>
        </w:tc>
      </w:tr>
      <w:tr w14:paraId="7601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D3062">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0AB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443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1DC3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C373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E619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B7E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96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BE8BE">
            <w:pPr>
              <w:rPr>
                <w:rFonts w:hint="default" w:ascii="黑体" w:hAnsi="黑体" w:eastAsia="黑体" w:cs="黑体"/>
                <w:i/>
                <w:color w:val="000000"/>
                <w:sz w:val="18"/>
                <w:szCs w:val="18"/>
                <w:u w:val="none"/>
              </w:rPr>
            </w:pPr>
          </w:p>
        </w:tc>
      </w:tr>
      <w:tr w14:paraId="3C9D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0822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21F7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4D7E">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8029">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692DF">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96A7">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73E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90D7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929B4">
            <w:pPr>
              <w:rPr>
                <w:rFonts w:hint="default" w:ascii="黑体" w:hAnsi="黑体" w:eastAsia="黑体" w:cs="黑体"/>
                <w:i/>
                <w:color w:val="000000"/>
                <w:sz w:val="18"/>
                <w:szCs w:val="18"/>
                <w:u w:val="none"/>
              </w:rPr>
            </w:pPr>
          </w:p>
        </w:tc>
      </w:tr>
      <w:tr w14:paraId="1B549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251B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B9E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E587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26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D09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0137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924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38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29F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AAEF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934B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27CE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8F74C">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70C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E4A4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A3D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法院收案业务数量</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B149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F71E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7F9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58592">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456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F09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072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D39F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法官数量减少，总案件量减少</w:t>
            </w:r>
          </w:p>
        </w:tc>
      </w:tr>
      <w:tr w14:paraId="0EDCB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105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1A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884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DC9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为人民群众提供有效的公共法律服务水平</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4943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E55C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964F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80D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592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002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1EEF3">
            <w:pPr>
              <w:jc w:val="center"/>
              <w:rPr>
                <w:rFonts w:hint="default" w:ascii="微软雅黑" w:hAnsi="微软雅黑" w:eastAsia="微软雅黑" w:cs="微软雅黑"/>
                <w:i/>
                <w:color w:val="000000"/>
                <w:sz w:val="16"/>
                <w:szCs w:val="16"/>
                <w:u w:val="none"/>
              </w:rPr>
            </w:pPr>
          </w:p>
        </w:tc>
      </w:tr>
      <w:tr w14:paraId="3179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912F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B7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0C2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9C01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社会公众满意度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DB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334E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26A3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9C9BC">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AB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861E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7B7F5">
            <w:pPr>
              <w:jc w:val="center"/>
              <w:rPr>
                <w:rFonts w:hint="default" w:ascii="微软雅黑" w:hAnsi="微软雅黑" w:eastAsia="微软雅黑" w:cs="微软雅黑"/>
                <w:i/>
                <w:color w:val="000000"/>
                <w:sz w:val="16"/>
                <w:szCs w:val="16"/>
                <w:u w:val="none"/>
              </w:rPr>
            </w:pPr>
          </w:p>
        </w:tc>
      </w:tr>
      <w:tr w14:paraId="4B9E3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3321B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7F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6CC3">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8749C">
            <w:pPr>
              <w:rPr>
                <w:rFonts w:hint="eastAsia" w:ascii="宋体" w:hAnsi="宋体" w:eastAsia="宋体" w:cs="宋体"/>
                <w:i w:val="0"/>
                <w:color w:val="000000"/>
                <w:sz w:val="18"/>
                <w:szCs w:val="18"/>
                <w:u w:val="none"/>
              </w:rPr>
            </w:pPr>
          </w:p>
        </w:tc>
      </w:tr>
      <w:tr w14:paraId="7379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1FD7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41FB14">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该项目自评得分为97分，提高办公办案效率，为人民法院提供高效完善的司法服务，进而更好的服务人民群众，司法为名，提高法院公众影响力。</w:t>
            </w:r>
          </w:p>
        </w:tc>
      </w:tr>
      <w:tr w14:paraId="18968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63E5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EB1809">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存在问题为案件数未达到480件，主要原因为我院法官人数减少，整体案件量下降。</w:t>
            </w:r>
          </w:p>
        </w:tc>
      </w:tr>
      <w:tr w14:paraId="4DB8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EA0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FED7C">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优化指标值，按照上年度目标设定要求来。</w:t>
            </w:r>
          </w:p>
        </w:tc>
      </w:tr>
      <w:tr w14:paraId="0E46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C563C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06D2D8">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062B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661385D6">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5AEF9112">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4AB4B3C9">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54A3BF43">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1EA572FE">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4E4AA92A">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0BC3925D">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3494FA05">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373A274E">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4D69497D">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34DAC969">
            <w:pPr>
              <w:rPr>
                <w:rFonts w:hint="eastAsia" w:ascii="宋体" w:hAnsi="宋体" w:eastAsia="宋体" w:cs="宋体"/>
                <w:i w:val="0"/>
                <w:color w:val="000000"/>
                <w:sz w:val="18"/>
                <w:szCs w:val="18"/>
                <w:u w:val="none"/>
              </w:rPr>
            </w:pPr>
          </w:p>
        </w:tc>
      </w:tr>
      <w:tr w14:paraId="78AF6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12ABC8">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357E1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423DB">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5335E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51320023Y000009917272-日常公用经费</w:t>
            </w:r>
          </w:p>
        </w:tc>
      </w:tr>
      <w:tr w14:paraId="1F97D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B0D83">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0A8043">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5164EE64">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F5D1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6E29C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D91A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3113E">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BE290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205111">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13F7D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A8F3F">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033E8">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B27BE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A430D6">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严格执行预算，保障单位日常运转。</w:t>
            </w:r>
          </w:p>
        </w:tc>
      </w:tr>
      <w:tr w14:paraId="344E1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50F8">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07E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A2128A">
            <w:pPr>
              <w:rPr>
                <w:rFonts w:hint="eastAsia" w:ascii="宋体" w:hAnsi="宋体" w:eastAsia="宋体" w:cs="宋体"/>
                <w:i w:val="0"/>
                <w:color w:val="000000"/>
                <w:sz w:val="18"/>
                <w:szCs w:val="18"/>
                <w:u w:val="none"/>
              </w:rPr>
            </w:pPr>
          </w:p>
        </w:tc>
      </w:tr>
      <w:tr w14:paraId="72C0F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46C8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FE9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B5E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AF16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6F01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31C1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690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86B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AEC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18C8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6A31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6733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969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120.14</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991C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120.14</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D75E5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120.14</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57E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027A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B4D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0FF78">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CE2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C6A2">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5B54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BE39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120.14</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CACC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120.14</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DD4B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120.14</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754F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2482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471B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22DA8">
            <w:pPr>
              <w:rPr>
                <w:rFonts w:hint="default" w:ascii="黑体" w:hAnsi="黑体" w:eastAsia="黑体" w:cs="黑体"/>
                <w:i/>
                <w:color w:val="000000"/>
                <w:sz w:val="18"/>
                <w:szCs w:val="18"/>
                <w:u w:val="none"/>
              </w:rPr>
            </w:pPr>
          </w:p>
        </w:tc>
      </w:tr>
      <w:tr w14:paraId="580AD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01C9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75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862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EA0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F88C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EAB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B0D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977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0ADE7">
            <w:pPr>
              <w:rPr>
                <w:rFonts w:hint="default" w:ascii="黑体" w:hAnsi="黑体" w:eastAsia="黑体" w:cs="黑体"/>
                <w:i/>
                <w:color w:val="000000"/>
                <w:sz w:val="18"/>
                <w:szCs w:val="18"/>
                <w:u w:val="none"/>
              </w:rPr>
            </w:pPr>
          </w:p>
        </w:tc>
      </w:tr>
      <w:tr w14:paraId="2082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44B14">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D19A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413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A3E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208F6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777E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EB9E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E4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FBBA">
            <w:pPr>
              <w:rPr>
                <w:rFonts w:hint="default" w:ascii="黑体" w:hAnsi="黑体" w:eastAsia="黑体" w:cs="黑体"/>
                <w:i/>
                <w:color w:val="000000"/>
                <w:sz w:val="18"/>
                <w:szCs w:val="18"/>
                <w:u w:val="none"/>
              </w:rPr>
            </w:pPr>
          </w:p>
        </w:tc>
      </w:tr>
      <w:tr w14:paraId="74D42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E286B">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51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CBF85">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12FCB">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27008D">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550F">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690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F35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732BB">
            <w:pPr>
              <w:rPr>
                <w:rFonts w:hint="default" w:ascii="黑体" w:hAnsi="黑体" w:eastAsia="黑体" w:cs="黑体"/>
                <w:i/>
                <w:color w:val="000000"/>
                <w:sz w:val="18"/>
                <w:szCs w:val="18"/>
                <w:u w:val="none"/>
              </w:rPr>
            </w:pPr>
          </w:p>
        </w:tc>
      </w:tr>
      <w:tr w14:paraId="085B0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571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4294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C48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4407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E2C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14C6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75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4D1A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CAB6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08BC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B3D3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E0A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02E97">
            <w:pPr>
              <w:jc w:val="center"/>
              <w:rPr>
                <w:rFonts w:hint="eastAsia" w:ascii="宋体" w:hAnsi="宋体" w:eastAsia="宋体" w:cs="宋体"/>
                <w:i w:val="0"/>
                <w:color w:val="000000"/>
                <w:sz w:val="18"/>
                <w:szCs w:val="18"/>
                <w:u w:val="none"/>
              </w:rPr>
            </w:pP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410B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9CB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DB67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AE9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EE4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0CD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CB33">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FE6A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887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B0BC6">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各部门对年度需求判断不足，支出调剂科目次数较多</w:t>
            </w:r>
          </w:p>
        </w:tc>
      </w:tr>
      <w:tr w14:paraId="6510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764CB">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0C5D0">
            <w:pPr>
              <w:jc w:val="center"/>
              <w:rPr>
                <w:rFonts w:hint="eastAsia" w:ascii="宋体" w:hAnsi="宋体" w:eastAsia="宋体" w:cs="宋体"/>
                <w:i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05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6E9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BA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8277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72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DF9EE">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2427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56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7E6A4">
            <w:pPr>
              <w:jc w:val="center"/>
              <w:rPr>
                <w:rFonts w:hint="default" w:ascii="微软雅黑" w:hAnsi="微软雅黑" w:eastAsia="微软雅黑" w:cs="微软雅黑"/>
                <w:i/>
                <w:color w:val="000000"/>
                <w:sz w:val="16"/>
                <w:szCs w:val="16"/>
                <w:u w:val="none"/>
              </w:rPr>
            </w:pPr>
          </w:p>
        </w:tc>
      </w:tr>
      <w:tr w14:paraId="169A2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9CD0">
            <w:pPr>
              <w:jc w:val="center"/>
              <w:rPr>
                <w:rFonts w:hint="eastAsia" w:ascii="宋体" w:hAnsi="宋体" w:eastAsia="宋体" w:cs="宋体"/>
                <w:i w:val="0"/>
                <w:color w:val="000000"/>
                <w:sz w:val="18"/>
                <w:szCs w:val="18"/>
                <w:u w:val="none"/>
              </w:rPr>
            </w:pP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BA1A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D60F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CF4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2855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D64D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4CE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1679B">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01E6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F9B1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6131">
            <w:pPr>
              <w:jc w:val="center"/>
              <w:rPr>
                <w:rFonts w:hint="default" w:ascii="微软雅黑" w:hAnsi="微软雅黑" w:eastAsia="微软雅黑" w:cs="微软雅黑"/>
                <w:i/>
                <w:color w:val="000000"/>
                <w:sz w:val="16"/>
                <w:szCs w:val="16"/>
                <w:u w:val="none"/>
              </w:rPr>
            </w:pPr>
          </w:p>
        </w:tc>
      </w:tr>
      <w:tr w14:paraId="52D8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313F3">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EF02F">
            <w:pPr>
              <w:jc w:val="center"/>
              <w:rPr>
                <w:rFonts w:hint="eastAsia" w:ascii="宋体" w:hAnsi="宋体" w:eastAsia="宋体" w:cs="宋体"/>
                <w:i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8A6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323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5529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C5B6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CB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9C7F8">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492F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B88E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ED6D9">
            <w:pPr>
              <w:jc w:val="center"/>
              <w:rPr>
                <w:rFonts w:hint="default" w:ascii="微软雅黑" w:hAnsi="微软雅黑" w:eastAsia="微软雅黑" w:cs="微软雅黑"/>
                <w:i/>
                <w:color w:val="000000"/>
                <w:sz w:val="16"/>
                <w:szCs w:val="16"/>
                <w:u w:val="none"/>
              </w:rPr>
            </w:pPr>
          </w:p>
        </w:tc>
      </w:tr>
      <w:tr w14:paraId="6031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6AB5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DC74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AAEB7">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C6483">
            <w:pPr>
              <w:rPr>
                <w:rFonts w:hint="eastAsia" w:ascii="宋体" w:hAnsi="宋体" w:eastAsia="宋体" w:cs="宋体"/>
                <w:i w:val="0"/>
                <w:color w:val="000000"/>
                <w:sz w:val="18"/>
                <w:szCs w:val="18"/>
                <w:u w:val="none"/>
              </w:rPr>
            </w:pPr>
          </w:p>
        </w:tc>
      </w:tr>
      <w:tr w14:paraId="5BD14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F668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9809F1">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该项目自评得分为80分，三公经费得到了有效控制，主要问题在科目调整次数高达41次，没有控制在5次以内，主要原因为需求部门对资金需求提供不准确。</w:t>
            </w:r>
          </w:p>
        </w:tc>
      </w:tr>
      <w:tr w14:paraId="6AA13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158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EA2EEF">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科目调整次数高达41次，没有控制在5次以内，主要原因为需求部门对资金需求提供不准确。</w:t>
            </w:r>
          </w:p>
        </w:tc>
      </w:tr>
      <w:tr w14:paraId="5A521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E2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2BE31E">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预算管理部门按年、按季度收取资金需求清单，并根据实际需求，控制科目调整次数，能合并调整的，需要合并调整。</w:t>
            </w:r>
          </w:p>
        </w:tc>
      </w:tr>
      <w:tr w14:paraId="79DF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352B0D">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59844F">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1A37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1E70DFE2">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2FC53BD9">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1C0CC93D">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3CCE404A">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6168D1CE">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1DF95F0F">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2B32D936">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680B3BF5">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12487564">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129C4677">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384D2A90">
            <w:pPr>
              <w:rPr>
                <w:rFonts w:hint="eastAsia" w:ascii="宋体" w:hAnsi="宋体" w:eastAsia="宋体" w:cs="宋体"/>
                <w:i w:val="0"/>
                <w:color w:val="000000"/>
                <w:sz w:val="18"/>
                <w:szCs w:val="18"/>
                <w:u w:val="none"/>
              </w:rPr>
            </w:pPr>
          </w:p>
        </w:tc>
      </w:tr>
      <w:tr w14:paraId="6E42F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04E7F46">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354E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95D5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68392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51320024R000011525183-乡镇工作补贴</w:t>
            </w:r>
          </w:p>
        </w:tc>
      </w:tr>
      <w:tr w14:paraId="4EE6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1D20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2574E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14BD8985">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8B3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08F1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67B09">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CC6B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8DCFA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3ADCE8">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586C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C607D">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2F525">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191BA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B82606">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严格执行相关政策，保障工资及时、足额发放，预算编制科学合理，无结余资金</w:t>
            </w:r>
          </w:p>
        </w:tc>
      </w:tr>
      <w:tr w14:paraId="032EF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E5371">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6531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CBD284">
            <w:pPr>
              <w:rPr>
                <w:rFonts w:hint="eastAsia" w:ascii="宋体" w:hAnsi="宋体" w:eastAsia="宋体" w:cs="宋体"/>
                <w:i w:val="0"/>
                <w:color w:val="000000"/>
                <w:sz w:val="18"/>
                <w:szCs w:val="18"/>
                <w:u w:val="none"/>
              </w:rPr>
            </w:pPr>
          </w:p>
        </w:tc>
      </w:tr>
      <w:tr w14:paraId="3C0B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C59D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91CE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84BC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11B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E6FC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A423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B6A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349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F1B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FD0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EBC4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A8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62C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C38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5C4D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6279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D94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844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FA6F5">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EB27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0AD28">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BA5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F82E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645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90FB1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F20E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2421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815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6ACAA">
            <w:pPr>
              <w:rPr>
                <w:rFonts w:hint="default" w:ascii="黑体" w:hAnsi="黑体" w:eastAsia="黑体" w:cs="黑体"/>
                <w:i/>
                <w:color w:val="000000"/>
                <w:sz w:val="18"/>
                <w:szCs w:val="18"/>
                <w:u w:val="none"/>
              </w:rPr>
            </w:pPr>
          </w:p>
        </w:tc>
      </w:tr>
      <w:tr w14:paraId="5120E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68171">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64E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FF26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6642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E98C6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9B6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1E0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39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4A8C9">
            <w:pPr>
              <w:rPr>
                <w:rFonts w:hint="default" w:ascii="黑体" w:hAnsi="黑体" w:eastAsia="黑体" w:cs="黑体"/>
                <w:i/>
                <w:color w:val="000000"/>
                <w:sz w:val="18"/>
                <w:szCs w:val="18"/>
                <w:u w:val="none"/>
              </w:rPr>
            </w:pPr>
          </w:p>
        </w:tc>
      </w:tr>
      <w:tr w14:paraId="60719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1923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38D9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382C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0C2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A870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0AA4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C213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F31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DB32F">
            <w:pPr>
              <w:rPr>
                <w:rFonts w:hint="default" w:ascii="黑体" w:hAnsi="黑体" w:eastAsia="黑体" w:cs="黑体"/>
                <w:i/>
                <w:color w:val="000000"/>
                <w:sz w:val="18"/>
                <w:szCs w:val="18"/>
                <w:u w:val="none"/>
              </w:rPr>
            </w:pPr>
          </w:p>
        </w:tc>
      </w:tr>
      <w:tr w14:paraId="72D9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2A503">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A61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7028C">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59415">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301A7">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E58D2">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1CC0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B28E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D3FC4">
            <w:pPr>
              <w:rPr>
                <w:rFonts w:hint="default" w:ascii="黑体" w:hAnsi="黑体" w:eastAsia="黑体" w:cs="黑体"/>
                <w:i/>
                <w:color w:val="000000"/>
                <w:sz w:val="18"/>
                <w:szCs w:val="18"/>
                <w:u w:val="none"/>
              </w:rPr>
            </w:pPr>
          </w:p>
        </w:tc>
      </w:tr>
      <w:tr w14:paraId="545C7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F5B6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285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8093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E96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14B2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7A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4AD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5D9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D10C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762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A3B7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193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4F6D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2EC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95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F6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CCD5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0E9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0E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C33AD">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8A82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F062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757BA">
            <w:pPr>
              <w:jc w:val="center"/>
              <w:rPr>
                <w:rFonts w:hint="default" w:ascii="微软雅黑" w:hAnsi="微软雅黑" w:eastAsia="微软雅黑" w:cs="微软雅黑"/>
                <w:i/>
                <w:color w:val="000000"/>
                <w:sz w:val="16"/>
                <w:szCs w:val="16"/>
                <w:u w:val="none"/>
              </w:rPr>
            </w:pPr>
          </w:p>
        </w:tc>
      </w:tr>
      <w:tr w14:paraId="3F3FE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C99F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A54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223D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674C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153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15B1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249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D4EE">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12AA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03D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DA529">
            <w:pPr>
              <w:jc w:val="center"/>
              <w:rPr>
                <w:rFonts w:hint="default" w:ascii="微软雅黑" w:hAnsi="微软雅黑" w:eastAsia="微软雅黑" w:cs="微软雅黑"/>
                <w:i/>
                <w:color w:val="000000"/>
                <w:sz w:val="16"/>
                <w:szCs w:val="16"/>
                <w:u w:val="none"/>
              </w:rPr>
            </w:pPr>
          </w:p>
        </w:tc>
      </w:tr>
      <w:tr w14:paraId="023DA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20764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A65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55299">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A394C">
            <w:pPr>
              <w:rPr>
                <w:rFonts w:hint="eastAsia" w:ascii="宋体" w:hAnsi="宋体" w:eastAsia="宋体" w:cs="宋体"/>
                <w:i w:val="0"/>
                <w:color w:val="000000"/>
                <w:sz w:val="18"/>
                <w:szCs w:val="18"/>
                <w:u w:val="none"/>
              </w:rPr>
            </w:pPr>
          </w:p>
        </w:tc>
      </w:tr>
      <w:tr w14:paraId="1CFB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C63B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0EFB36">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该项目自评得分为100分，我单位严格执行相关政策，保障工资及时、足额发放，预算编制科学合理，无资金结余。</w:t>
            </w:r>
          </w:p>
        </w:tc>
      </w:tr>
      <w:tr w14:paraId="5BB11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A2B1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8A0024">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1D44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B592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13DC75">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3EE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C7E9D1">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项目负责人：李祥英</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3ADF49">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1360A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029E90C0">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5A309FF3">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5218FA57">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1E2A3377">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5F5581B5">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1FA7F75C">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20CB4C6E">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735C78E0">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7BBBE31D">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7BD0279E">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0991D88B">
            <w:pPr>
              <w:rPr>
                <w:rFonts w:hint="eastAsia" w:ascii="宋体" w:hAnsi="宋体" w:eastAsia="宋体" w:cs="宋体"/>
                <w:i w:val="0"/>
                <w:color w:val="000000"/>
                <w:sz w:val="18"/>
                <w:szCs w:val="18"/>
                <w:u w:val="none"/>
              </w:rPr>
            </w:pPr>
          </w:p>
        </w:tc>
      </w:tr>
      <w:tr w14:paraId="7C075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1EEB8D">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48F6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9E9D4">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A5032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51320024T000010270809-2023年下半年办案业务经费</w:t>
            </w:r>
          </w:p>
        </w:tc>
      </w:tr>
      <w:tr w14:paraId="1C75A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08957">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E4D726">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2B7CE9BA">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58BE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462E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FBF73">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14C9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A9C50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1BBA54">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16E97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BD0A1">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1B886">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786CE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提高办公办案效率，为人民法院提供高效完善的司法服务，进而更好的服务人民群众，司法为民，提高法院公众影响力。</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DC7CFD">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4F40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1E68C">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291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4569EE">
            <w:pPr>
              <w:rPr>
                <w:rFonts w:hint="eastAsia" w:ascii="宋体" w:hAnsi="宋体" w:eastAsia="宋体" w:cs="宋体"/>
                <w:i w:val="0"/>
                <w:color w:val="000000"/>
                <w:sz w:val="18"/>
                <w:szCs w:val="18"/>
                <w:u w:val="none"/>
              </w:rPr>
            </w:pPr>
          </w:p>
        </w:tc>
      </w:tr>
      <w:tr w14:paraId="19C7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877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392D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78E7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F861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D6F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D7C9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EC4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358E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450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5B4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6AB06">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C66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74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CFC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79.10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31435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AEAC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2E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212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6C943">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DF6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CF81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32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E890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CFE9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79.10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5172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24E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7EEA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5568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3CF2A">
            <w:pPr>
              <w:rPr>
                <w:rFonts w:hint="default" w:ascii="黑体" w:hAnsi="黑体" w:eastAsia="黑体" w:cs="黑体"/>
                <w:i/>
                <w:color w:val="000000"/>
                <w:sz w:val="18"/>
                <w:szCs w:val="18"/>
                <w:u w:val="none"/>
              </w:rPr>
            </w:pPr>
          </w:p>
        </w:tc>
      </w:tr>
      <w:tr w14:paraId="54E1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730A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1E1F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36F5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F07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81B7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162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32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C8FF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271A7">
            <w:pPr>
              <w:rPr>
                <w:rFonts w:hint="default" w:ascii="黑体" w:hAnsi="黑体" w:eastAsia="黑体" w:cs="黑体"/>
                <w:i/>
                <w:color w:val="000000"/>
                <w:sz w:val="18"/>
                <w:szCs w:val="18"/>
                <w:u w:val="none"/>
              </w:rPr>
            </w:pPr>
          </w:p>
        </w:tc>
      </w:tr>
      <w:tr w14:paraId="4717B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B21CA">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CCF7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D9C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C97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9941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C4D1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BE11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E41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9C4B9">
            <w:pPr>
              <w:rPr>
                <w:rFonts w:hint="default" w:ascii="黑体" w:hAnsi="黑体" w:eastAsia="黑体" w:cs="黑体"/>
                <w:i/>
                <w:color w:val="000000"/>
                <w:sz w:val="18"/>
                <w:szCs w:val="18"/>
                <w:u w:val="none"/>
              </w:rPr>
            </w:pPr>
          </w:p>
        </w:tc>
      </w:tr>
      <w:tr w14:paraId="43651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83C8B">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F3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929E9">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24DC6">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1C9EE">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8DE9E">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232F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BAA4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7F56A">
            <w:pPr>
              <w:rPr>
                <w:rFonts w:hint="default" w:ascii="黑体" w:hAnsi="黑体" w:eastAsia="黑体" w:cs="黑体"/>
                <w:i/>
                <w:color w:val="000000"/>
                <w:sz w:val="18"/>
                <w:szCs w:val="18"/>
                <w:u w:val="none"/>
              </w:rPr>
            </w:pPr>
          </w:p>
        </w:tc>
      </w:tr>
      <w:tr w14:paraId="2801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2E4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C73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642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8A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699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1E9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995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946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1A19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03E8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E8FE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1106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CF802">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600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0CE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E97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法院收案数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E544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85C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25B3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B149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456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2B2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8915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4EA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法官数量减少，总案件量减少</w:t>
            </w:r>
          </w:p>
        </w:tc>
      </w:tr>
      <w:tr w14:paraId="6888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33F2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E13F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5D8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44E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为人民群众提供有效的公共法律服务水平</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89E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749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65B8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1B1D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09D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527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F9AE">
            <w:pPr>
              <w:jc w:val="center"/>
              <w:rPr>
                <w:rFonts w:hint="default" w:ascii="微软雅黑" w:hAnsi="微软雅黑" w:eastAsia="微软雅黑" w:cs="微软雅黑"/>
                <w:i/>
                <w:color w:val="000000"/>
                <w:sz w:val="16"/>
                <w:szCs w:val="16"/>
                <w:u w:val="none"/>
              </w:rPr>
            </w:pPr>
          </w:p>
        </w:tc>
      </w:tr>
      <w:tr w14:paraId="731F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3FCB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876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B22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24E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社会公众满意度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F90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3C5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E085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47CD">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74C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B04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DC46A">
            <w:pPr>
              <w:jc w:val="center"/>
              <w:rPr>
                <w:rFonts w:hint="default" w:ascii="微软雅黑" w:hAnsi="微软雅黑" w:eastAsia="微软雅黑" w:cs="微软雅黑"/>
                <w:i/>
                <w:color w:val="000000"/>
                <w:sz w:val="16"/>
                <w:szCs w:val="16"/>
                <w:u w:val="none"/>
              </w:rPr>
            </w:pPr>
          </w:p>
        </w:tc>
      </w:tr>
      <w:tr w14:paraId="6C2BF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7B664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736B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9A92">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75EB">
            <w:pPr>
              <w:rPr>
                <w:rFonts w:hint="eastAsia" w:ascii="宋体" w:hAnsi="宋体" w:eastAsia="宋体" w:cs="宋体"/>
                <w:i w:val="0"/>
                <w:color w:val="000000"/>
                <w:sz w:val="18"/>
                <w:szCs w:val="18"/>
                <w:u w:val="none"/>
              </w:rPr>
            </w:pPr>
          </w:p>
        </w:tc>
      </w:tr>
      <w:tr w14:paraId="30D8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46B0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167804">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该项目自评得分为97分，提高办公办案效率，为人民法院提供高效完善的司法服务，进而更好的服务人民群众，司法为名，提高法院公众影响力。</w:t>
            </w:r>
          </w:p>
        </w:tc>
      </w:tr>
      <w:tr w14:paraId="11E0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047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FBCD98">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存在问题为案件数未达到480件，主要原因为我院法官人数减少，整体案件量下降。</w:t>
            </w:r>
          </w:p>
        </w:tc>
      </w:tr>
      <w:tr w14:paraId="0896F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EF4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B10065">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优化指标值，按照上年度目标设定要求来。</w:t>
            </w:r>
          </w:p>
        </w:tc>
      </w:tr>
      <w:tr w14:paraId="09263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222534">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6D3141">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10DBB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163A2729">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1A0FA0BF">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47658DE8">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54B9AAD6">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6043D597">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0CA219BC">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608C74FD">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07BE508D">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40EC3EBF">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487B8F36">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1D27FA92">
            <w:pPr>
              <w:rPr>
                <w:rFonts w:hint="eastAsia" w:ascii="宋体" w:hAnsi="宋体" w:eastAsia="宋体" w:cs="宋体"/>
                <w:i w:val="0"/>
                <w:color w:val="000000"/>
                <w:sz w:val="18"/>
                <w:szCs w:val="18"/>
                <w:u w:val="none"/>
              </w:rPr>
            </w:pPr>
          </w:p>
        </w:tc>
      </w:tr>
      <w:tr w14:paraId="09305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086656">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51C8C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E300E">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A1946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51320024T000011773967-2024年上半年办案业务经费</w:t>
            </w:r>
          </w:p>
        </w:tc>
      </w:tr>
      <w:tr w14:paraId="2BC34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8AAAB">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5D008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3CF3B16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1BF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2D231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28F0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1B821">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FEBD5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7F1294">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65C3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C9DB0">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2D0C">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61BDC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提高办公办案效率，为人民法院提供高效完善的司法服务，进而更好的服务人民群众，做到让人民群众在每一个司法案件中感受到公平公正。</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1C2384">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7640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4BA7">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CF2A">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A7F175">
            <w:pPr>
              <w:rPr>
                <w:rFonts w:hint="eastAsia" w:ascii="宋体" w:hAnsi="宋体" w:eastAsia="宋体" w:cs="宋体"/>
                <w:i w:val="0"/>
                <w:color w:val="000000"/>
                <w:sz w:val="18"/>
                <w:szCs w:val="18"/>
                <w:u w:val="none"/>
              </w:rPr>
            </w:pPr>
          </w:p>
        </w:tc>
      </w:tr>
      <w:tr w14:paraId="5BE6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F126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866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E5C0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412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2715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C90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F01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469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7F42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FE55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76123">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E3E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15A4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D19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190.72</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281B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190.72</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90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B72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6E6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EBCA2">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623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9A54">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CD77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D18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AD1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190.72</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FCE1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190.72</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A74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826B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63E6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56DC5">
            <w:pPr>
              <w:rPr>
                <w:rFonts w:hint="default" w:ascii="黑体" w:hAnsi="黑体" w:eastAsia="黑体" w:cs="黑体"/>
                <w:i/>
                <w:color w:val="000000"/>
                <w:sz w:val="18"/>
                <w:szCs w:val="18"/>
                <w:u w:val="none"/>
              </w:rPr>
            </w:pPr>
          </w:p>
        </w:tc>
      </w:tr>
      <w:tr w14:paraId="02C5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ED11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D7D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ABB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F543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5AB67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777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1C9A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A45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45545">
            <w:pPr>
              <w:rPr>
                <w:rFonts w:hint="default" w:ascii="黑体" w:hAnsi="黑体" w:eastAsia="黑体" w:cs="黑体"/>
                <w:i/>
                <w:color w:val="000000"/>
                <w:sz w:val="18"/>
                <w:szCs w:val="18"/>
                <w:u w:val="none"/>
              </w:rPr>
            </w:pPr>
          </w:p>
        </w:tc>
      </w:tr>
      <w:tr w14:paraId="5B4F7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B195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1B6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21E6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B13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4240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CE66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FDEF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FA06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2C359">
            <w:pPr>
              <w:rPr>
                <w:rFonts w:hint="default" w:ascii="黑体" w:hAnsi="黑体" w:eastAsia="黑体" w:cs="黑体"/>
                <w:i/>
                <w:color w:val="000000"/>
                <w:sz w:val="18"/>
                <w:szCs w:val="18"/>
                <w:u w:val="none"/>
              </w:rPr>
            </w:pPr>
          </w:p>
        </w:tc>
      </w:tr>
      <w:tr w14:paraId="461A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A70ED">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9C4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7BC37">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F1FE6">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B62A6">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CDAE0">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DA07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02D1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FEDEF">
            <w:pPr>
              <w:rPr>
                <w:rFonts w:hint="default" w:ascii="黑体" w:hAnsi="黑体" w:eastAsia="黑体" w:cs="黑体"/>
                <w:i/>
                <w:color w:val="000000"/>
                <w:sz w:val="18"/>
                <w:szCs w:val="18"/>
                <w:u w:val="none"/>
              </w:rPr>
            </w:pPr>
          </w:p>
        </w:tc>
      </w:tr>
      <w:tr w14:paraId="42A3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409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860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8F68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A0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BB9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A5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8BA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C8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7A3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3A66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469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3798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B528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FD20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1E67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CF3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法院收案业务数量</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657C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9A7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F38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DA9C">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456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79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D33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9A4F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法官数量减少，总案件量减少</w:t>
            </w:r>
          </w:p>
        </w:tc>
      </w:tr>
      <w:tr w14:paraId="4DFFE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4F4A6">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294D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1C99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276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为人民群众提供有效的公共法律服务水平</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36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FC24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3B01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71240">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28D0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319D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7F60">
            <w:pPr>
              <w:jc w:val="center"/>
              <w:rPr>
                <w:rFonts w:hint="default" w:ascii="微软雅黑" w:hAnsi="微软雅黑" w:eastAsia="微软雅黑" w:cs="微软雅黑"/>
                <w:i/>
                <w:color w:val="000000"/>
                <w:sz w:val="16"/>
                <w:szCs w:val="16"/>
                <w:u w:val="none"/>
              </w:rPr>
            </w:pPr>
          </w:p>
        </w:tc>
      </w:tr>
      <w:tr w14:paraId="7DC00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57CA7">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A6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999B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466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社会公众满意度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973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CA0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5C26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CC736">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05CA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6BA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1DA05">
            <w:pPr>
              <w:jc w:val="center"/>
              <w:rPr>
                <w:rFonts w:hint="default" w:ascii="微软雅黑" w:hAnsi="微软雅黑" w:eastAsia="微软雅黑" w:cs="微软雅黑"/>
                <w:i/>
                <w:color w:val="000000"/>
                <w:sz w:val="16"/>
                <w:szCs w:val="16"/>
                <w:u w:val="none"/>
              </w:rPr>
            </w:pPr>
          </w:p>
        </w:tc>
      </w:tr>
      <w:tr w14:paraId="23AD9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6A6A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645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8B3E1">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9A4E">
            <w:pPr>
              <w:rPr>
                <w:rFonts w:hint="eastAsia" w:ascii="宋体" w:hAnsi="宋体" w:eastAsia="宋体" w:cs="宋体"/>
                <w:i w:val="0"/>
                <w:color w:val="000000"/>
                <w:sz w:val="18"/>
                <w:szCs w:val="18"/>
                <w:u w:val="none"/>
              </w:rPr>
            </w:pPr>
          </w:p>
        </w:tc>
      </w:tr>
      <w:tr w14:paraId="2F71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1A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7D6753">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该项目自评得分为97分，提高办公办案效率，为人民法院提供高效完善的司法服务，进而更好的服务人民群众，司法为名，提高法院公众影响力。</w:t>
            </w:r>
          </w:p>
        </w:tc>
      </w:tr>
      <w:tr w14:paraId="4A59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810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E36B7B">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存在问题为案件数未达到480件，主要原因为我院法官人数减少，整体案件量下降。</w:t>
            </w:r>
          </w:p>
        </w:tc>
      </w:tr>
      <w:tr w14:paraId="5E3D9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35AD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6DFC3D">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优化指标值，按照上年度目标设定要求来。</w:t>
            </w:r>
          </w:p>
        </w:tc>
      </w:tr>
      <w:tr w14:paraId="28EF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CA58AC">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8EBD16">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07AF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5503A111">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70A1121F">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2D58ECD8">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201776DF">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4B276688">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52233416">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2F3D8D3E">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606782EB">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1A726CEB">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14003BDD">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64E529C9">
            <w:pPr>
              <w:rPr>
                <w:rFonts w:hint="eastAsia" w:ascii="宋体" w:hAnsi="宋体" w:eastAsia="宋体" w:cs="宋体"/>
                <w:i w:val="0"/>
                <w:color w:val="000000"/>
                <w:sz w:val="18"/>
                <w:szCs w:val="18"/>
                <w:u w:val="none"/>
              </w:rPr>
            </w:pPr>
          </w:p>
        </w:tc>
      </w:tr>
      <w:tr w14:paraId="268F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223044">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45E3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3B94E">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84FFB6">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51320024T000011773981-2024年上半年装备经费</w:t>
            </w:r>
          </w:p>
        </w:tc>
      </w:tr>
      <w:tr w14:paraId="3C471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6904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CC649">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6BC9D898">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CD09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7EDAB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3AA4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CC68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E0E46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D2AB8D">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7F704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D9229">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07FEB">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1B4CB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提高办公办案效率，为人民法院提供高效完善的司法服务，进而更好的服务人民群众，做到让人民群众在每一个司法案件中感受到公平公正。</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9119A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16648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1ED93">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4EA0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7A0A41">
            <w:pPr>
              <w:rPr>
                <w:rFonts w:hint="eastAsia" w:ascii="宋体" w:hAnsi="宋体" w:eastAsia="宋体" w:cs="宋体"/>
                <w:i w:val="0"/>
                <w:color w:val="000000"/>
                <w:sz w:val="18"/>
                <w:szCs w:val="18"/>
                <w:u w:val="none"/>
              </w:rPr>
            </w:pPr>
          </w:p>
        </w:tc>
      </w:tr>
      <w:tr w14:paraId="22C90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8B09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6BF4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B237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389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EEE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14F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32D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A3F5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1E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77DB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4801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80B8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89D0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6B6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94.27</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18A5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94.27</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769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185A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F6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56FD0">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869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6B32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948F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755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C4B6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94.27</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2E08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94.27</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47DB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CCC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D18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17639">
            <w:pPr>
              <w:rPr>
                <w:rFonts w:hint="default" w:ascii="黑体" w:hAnsi="黑体" w:eastAsia="黑体" w:cs="黑体"/>
                <w:i/>
                <w:color w:val="000000"/>
                <w:sz w:val="18"/>
                <w:szCs w:val="18"/>
                <w:u w:val="none"/>
              </w:rPr>
            </w:pPr>
          </w:p>
        </w:tc>
      </w:tr>
      <w:tr w14:paraId="595F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B5F0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99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9F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B31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570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9FD7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407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A99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2EA8">
            <w:pPr>
              <w:rPr>
                <w:rFonts w:hint="default" w:ascii="黑体" w:hAnsi="黑体" w:eastAsia="黑体" w:cs="黑体"/>
                <w:i/>
                <w:color w:val="000000"/>
                <w:sz w:val="18"/>
                <w:szCs w:val="18"/>
                <w:u w:val="none"/>
              </w:rPr>
            </w:pPr>
          </w:p>
        </w:tc>
      </w:tr>
      <w:tr w14:paraId="733BA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88511">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571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71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5D0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1E073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5DBD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B48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B090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3CFEC">
            <w:pPr>
              <w:rPr>
                <w:rFonts w:hint="default" w:ascii="黑体" w:hAnsi="黑体" w:eastAsia="黑体" w:cs="黑体"/>
                <w:i/>
                <w:color w:val="000000"/>
                <w:sz w:val="18"/>
                <w:szCs w:val="18"/>
                <w:u w:val="none"/>
              </w:rPr>
            </w:pPr>
          </w:p>
        </w:tc>
      </w:tr>
      <w:tr w14:paraId="3869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681C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CA3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7AD73">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2DAC3">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7747C">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7225">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0C6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7612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B8B9D">
            <w:pPr>
              <w:rPr>
                <w:rFonts w:hint="default" w:ascii="黑体" w:hAnsi="黑体" w:eastAsia="黑体" w:cs="黑体"/>
                <w:i/>
                <w:color w:val="000000"/>
                <w:sz w:val="18"/>
                <w:szCs w:val="18"/>
                <w:u w:val="none"/>
              </w:rPr>
            </w:pPr>
          </w:p>
        </w:tc>
      </w:tr>
      <w:tr w14:paraId="6615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1CDD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1A5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362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FD48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5B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068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1DC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57C8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55F1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1EB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53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1D42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9F81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384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4248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1D77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法院收案业务数量</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B21C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1D9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1BB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44A02">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456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C93C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3136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30A9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法官数量减少，总案件量减少</w:t>
            </w:r>
          </w:p>
        </w:tc>
      </w:tr>
      <w:tr w14:paraId="29D74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AC03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B9A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B3D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F26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为人民群众提供有效的公共法律服务水平</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B7BD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8763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A5E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ED17">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0022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5F5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0ED6B">
            <w:pPr>
              <w:jc w:val="center"/>
              <w:rPr>
                <w:rFonts w:hint="default" w:ascii="微软雅黑" w:hAnsi="微软雅黑" w:eastAsia="微软雅黑" w:cs="微软雅黑"/>
                <w:i/>
                <w:color w:val="000000"/>
                <w:sz w:val="16"/>
                <w:szCs w:val="16"/>
                <w:u w:val="none"/>
              </w:rPr>
            </w:pPr>
          </w:p>
        </w:tc>
      </w:tr>
      <w:tr w14:paraId="0EE4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BE01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16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046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9CD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社会公众满意度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0987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FAB5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4F47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D1942">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3F7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E2A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5B690">
            <w:pPr>
              <w:jc w:val="center"/>
              <w:rPr>
                <w:rFonts w:hint="default" w:ascii="微软雅黑" w:hAnsi="微软雅黑" w:eastAsia="微软雅黑" w:cs="微软雅黑"/>
                <w:i/>
                <w:color w:val="000000"/>
                <w:sz w:val="16"/>
                <w:szCs w:val="16"/>
                <w:u w:val="none"/>
              </w:rPr>
            </w:pPr>
          </w:p>
        </w:tc>
      </w:tr>
      <w:tr w14:paraId="4E5B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D8CF9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9F7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2604">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E31B7">
            <w:pPr>
              <w:rPr>
                <w:rFonts w:hint="eastAsia" w:ascii="宋体" w:hAnsi="宋体" w:eastAsia="宋体" w:cs="宋体"/>
                <w:i w:val="0"/>
                <w:color w:val="000000"/>
                <w:sz w:val="18"/>
                <w:szCs w:val="18"/>
                <w:u w:val="none"/>
              </w:rPr>
            </w:pPr>
          </w:p>
        </w:tc>
      </w:tr>
      <w:tr w14:paraId="3411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7C4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3BD065">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该项目自评得分为97分，提高办公办案效率，为人民法院提供高效完善的司法服务，进而更好的服务人民群众，司法为名，提高法院公众影响力。</w:t>
            </w:r>
          </w:p>
        </w:tc>
      </w:tr>
      <w:tr w14:paraId="15F6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E35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BA7441">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存在问题为案件数未达到480件，主要原因为我院法官人数减少，整体案件量下降。</w:t>
            </w:r>
          </w:p>
        </w:tc>
      </w:tr>
      <w:tr w14:paraId="30A47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EB6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07FBAA">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优化指标值，按照上年度目标设定要求来。</w:t>
            </w:r>
          </w:p>
        </w:tc>
      </w:tr>
      <w:tr w14:paraId="228B8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E2353B">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44A5C1">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1185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679A149B">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7FCC00D4">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2C69F48F">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58925F91">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17C3C87A">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53578AB5">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0020EC5C">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666380E3">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3E66CDA4">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5DC43AF9">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6DDDCECC">
            <w:pPr>
              <w:rPr>
                <w:rFonts w:hint="eastAsia" w:ascii="宋体" w:hAnsi="宋体" w:eastAsia="宋体" w:cs="宋体"/>
                <w:i w:val="0"/>
                <w:color w:val="000000"/>
                <w:sz w:val="18"/>
                <w:szCs w:val="18"/>
                <w:u w:val="none"/>
              </w:rPr>
            </w:pPr>
          </w:p>
        </w:tc>
      </w:tr>
      <w:tr w14:paraId="074F3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E5D846">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4EB8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B201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83BAE5">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51320025T000012445519-2024年下半年ZF转移支付资金</w:t>
            </w:r>
          </w:p>
        </w:tc>
      </w:tr>
      <w:tr w14:paraId="5EB0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DB6D6">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A60A8D">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762AFB3E">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AF94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5A6E6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5F33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F750F">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AAAAE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78CEB0">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4D7A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6EA3E">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2B71D">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E3FAF4">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保障办案业务需求</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B4C77F">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全年受理各类案件456件。其中，受理民事案件303件、审结292件，审结率96.37%；刑事案件45件、审结45件，审结率100.00%；行政案件0件，审结0件；执行案件108件、执结105件，执结率97.22%；案件总数比去年同期下降2.19%。培训38期49人，司法救助人数25人，保障会议次数为6次，业务装备购买设备数量9套。</w:t>
            </w:r>
          </w:p>
        </w:tc>
      </w:tr>
      <w:tr w14:paraId="2C6B5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63A26">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1F6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A8D17E">
            <w:pPr>
              <w:rPr>
                <w:rFonts w:hint="eastAsia" w:ascii="宋体" w:hAnsi="宋体" w:eastAsia="宋体" w:cs="宋体"/>
                <w:i w:val="0"/>
                <w:color w:val="000000"/>
                <w:sz w:val="18"/>
                <w:szCs w:val="18"/>
                <w:u w:val="none"/>
              </w:rPr>
            </w:pPr>
          </w:p>
        </w:tc>
      </w:tr>
      <w:tr w14:paraId="0B7E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198D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09C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708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F2F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1B83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8EE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9099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F5E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6CB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F3E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1322C">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FEE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44AD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8E3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79B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586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7B5F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38C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74D45">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BAF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568CE">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B94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380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FC5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B9BE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568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1B7A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7196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E5D7D">
            <w:pPr>
              <w:rPr>
                <w:rFonts w:hint="default" w:ascii="黑体" w:hAnsi="黑体" w:eastAsia="黑体" w:cs="黑体"/>
                <w:i/>
                <w:color w:val="000000"/>
                <w:sz w:val="18"/>
                <w:szCs w:val="18"/>
                <w:u w:val="none"/>
              </w:rPr>
            </w:pPr>
          </w:p>
        </w:tc>
      </w:tr>
      <w:tr w14:paraId="71E53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1CC0A">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76F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3EC3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3E8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25E7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43F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7A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011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36EBD">
            <w:pPr>
              <w:rPr>
                <w:rFonts w:hint="default" w:ascii="黑体" w:hAnsi="黑体" w:eastAsia="黑体" w:cs="黑体"/>
                <w:i/>
                <w:color w:val="000000"/>
                <w:sz w:val="18"/>
                <w:szCs w:val="18"/>
                <w:u w:val="none"/>
              </w:rPr>
            </w:pPr>
          </w:p>
        </w:tc>
      </w:tr>
      <w:tr w14:paraId="7EBD7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89CF5">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57DD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8AEE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A8F9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E86C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41CA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ED9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891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38E9D">
            <w:pPr>
              <w:rPr>
                <w:rFonts w:hint="default" w:ascii="黑体" w:hAnsi="黑体" w:eastAsia="黑体" w:cs="黑体"/>
                <w:i/>
                <w:color w:val="000000"/>
                <w:sz w:val="18"/>
                <w:szCs w:val="18"/>
                <w:u w:val="none"/>
              </w:rPr>
            </w:pPr>
          </w:p>
        </w:tc>
      </w:tr>
      <w:tr w14:paraId="2209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C1FB6">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E34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8820">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5FFB9">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65C03">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86E1">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52E8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F14E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88D6D">
            <w:pPr>
              <w:rPr>
                <w:rFonts w:hint="default" w:ascii="黑体" w:hAnsi="黑体" w:eastAsia="黑体" w:cs="黑体"/>
                <w:i/>
                <w:color w:val="000000"/>
                <w:sz w:val="18"/>
                <w:szCs w:val="18"/>
                <w:u w:val="none"/>
              </w:rPr>
            </w:pPr>
          </w:p>
        </w:tc>
      </w:tr>
      <w:tr w14:paraId="3E7E7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5976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98C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56FD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42C2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AC5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BBF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2D68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836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134C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EEA3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05D4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2F3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AF09">
            <w:pPr>
              <w:jc w:val="center"/>
              <w:rPr>
                <w:rFonts w:hint="eastAsia" w:ascii="宋体" w:hAnsi="宋体" w:eastAsia="宋体" w:cs="宋体"/>
                <w:i w:val="0"/>
                <w:color w:val="000000"/>
                <w:sz w:val="18"/>
                <w:szCs w:val="18"/>
                <w:u w:val="none"/>
              </w:rPr>
            </w:pP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3305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5EBD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52C0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法官人均结案数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8C4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5638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87E1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件/人</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3D53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44.2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9E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4BE9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7C26">
            <w:pPr>
              <w:jc w:val="center"/>
              <w:rPr>
                <w:rFonts w:hint="default" w:ascii="微软雅黑" w:hAnsi="微软雅黑" w:eastAsia="微软雅黑" w:cs="微软雅黑"/>
                <w:i/>
                <w:color w:val="000000"/>
                <w:sz w:val="16"/>
                <w:szCs w:val="16"/>
                <w:u w:val="none"/>
              </w:rPr>
            </w:pPr>
          </w:p>
        </w:tc>
      </w:tr>
      <w:tr w14:paraId="408D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09129">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B3363">
            <w:pPr>
              <w:jc w:val="center"/>
              <w:rPr>
                <w:rFonts w:hint="eastAsia" w:ascii="宋体" w:hAnsi="宋体" w:eastAsia="宋体" w:cs="宋体"/>
                <w:i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3AA18">
            <w:pPr>
              <w:jc w:val="center"/>
              <w:rPr>
                <w:rFonts w:hint="eastAsia" w:ascii="宋体" w:hAnsi="宋体" w:eastAsia="宋体" w:cs="宋体"/>
                <w:i w:val="0"/>
                <w:color w:val="000000"/>
                <w:sz w:val="18"/>
                <w:szCs w:val="18"/>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0E9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一审案件审结率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A3A5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8A0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E08D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2A803">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96.93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51F2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7F17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65CF5">
            <w:pPr>
              <w:jc w:val="center"/>
              <w:rPr>
                <w:rFonts w:hint="default" w:ascii="微软雅黑" w:hAnsi="微软雅黑" w:eastAsia="微软雅黑" w:cs="微软雅黑"/>
                <w:i/>
                <w:color w:val="000000"/>
                <w:sz w:val="16"/>
                <w:szCs w:val="16"/>
                <w:u w:val="none"/>
              </w:rPr>
            </w:pPr>
          </w:p>
        </w:tc>
      </w:tr>
      <w:tr w14:paraId="497AA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90B04">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1DB1D">
            <w:pPr>
              <w:jc w:val="center"/>
              <w:rPr>
                <w:rFonts w:hint="eastAsia" w:ascii="宋体" w:hAnsi="宋体" w:eastAsia="宋体" w:cs="宋体"/>
                <w:i w:val="0"/>
                <w:color w:val="000000"/>
                <w:sz w:val="18"/>
                <w:szCs w:val="18"/>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CDE6">
            <w:pPr>
              <w:jc w:val="center"/>
              <w:rPr>
                <w:rFonts w:hint="eastAsia" w:ascii="宋体" w:hAnsi="宋体" w:eastAsia="宋体" w:cs="宋体"/>
                <w:i w:val="0"/>
                <w:color w:val="000000"/>
                <w:sz w:val="18"/>
                <w:szCs w:val="18"/>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2A1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开展法制宣传数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480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57D8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6C3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93352">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4FB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2BBB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64603">
            <w:pPr>
              <w:jc w:val="center"/>
              <w:rPr>
                <w:rFonts w:hint="default" w:ascii="微软雅黑" w:hAnsi="微软雅黑" w:eastAsia="微软雅黑" w:cs="微软雅黑"/>
                <w:i/>
                <w:color w:val="000000"/>
                <w:sz w:val="16"/>
                <w:szCs w:val="16"/>
                <w:u w:val="none"/>
              </w:rPr>
            </w:pPr>
          </w:p>
        </w:tc>
      </w:tr>
      <w:tr w14:paraId="0D38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9DB0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E11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700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87A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执行标的额到位率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9640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ACD6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63.33</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6321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E32D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63.73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96B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239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44E6">
            <w:pPr>
              <w:jc w:val="center"/>
              <w:rPr>
                <w:rFonts w:hint="default" w:ascii="微软雅黑" w:hAnsi="微软雅黑" w:eastAsia="微软雅黑" w:cs="微软雅黑"/>
                <w:i/>
                <w:color w:val="000000"/>
                <w:sz w:val="16"/>
                <w:szCs w:val="16"/>
                <w:u w:val="none"/>
              </w:rPr>
            </w:pPr>
          </w:p>
        </w:tc>
      </w:tr>
      <w:tr w14:paraId="2ECAC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31CA4">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DF52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54D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BB0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379C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223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346D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A9D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BB7E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8441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8E7EE">
            <w:pPr>
              <w:jc w:val="center"/>
              <w:rPr>
                <w:rFonts w:hint="default" w:ascii="微软雅黑" w:hAnsi="微软雅黑" w:eastAsia="微软雅黑" w:cs="微软雅黑"/>
                <w:i/>
                <w:color w:val="000000"/>
                <w:sz w:val="16"/>
                <w:szCs w:val="16"/>
                <w:u w:val="none"/>
              </w:rPr>
            </w:pPr>
          </w:p>
        </w:tc>
      </w:tr>
      <w:tr w14:paraId="0BDC3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EE9F8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D11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B1C6">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328D5">
            <w:pPr>
              <w:rPr>
                <w:rFonts w:hint="eastAsia" w:ascii="宋体" w:hAnsi="宋体" w:eastAsia="宋体" w:cs="宋体"/>
                <w:i w:val="0"/>
                <w:color w:val="000000"/>
                <w:sz w:val="18"/>
                <w:szCs w:val="18"/>
                <w:u w:val="none"/>
              </w:rPr>
            </w:pPr>
          </w:p>
        </w:tc>
      </w:tr>
      <w:tr w14:paraId="202F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8AB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B903D2">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该项目自评得分为100分，提高办公办案效率，为人民法院提供高效完善的司法服务，进而更好的服务人民群众，司法为名，提高法院公众影响力。</w:t>
            </w:r>
          </w:p>
        </w:tc>
      </w:tr>
      <w:tr w14:paraId="784A2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CC72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90A273">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0096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4CF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6C6D10">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A813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07E8F4">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C14BC9">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r w14:paraId="243D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 w:type="pct"/>
            <w:tcBorders>
              <w:top w:val="nil"/>
              <w:left w:val="nil"/>
              <w:bottom w:val="nil"/>
              <w:right w:val="nil"/>
            </w:tcBorders>
            <w:shd w:val="clear" w:color="auto" w:fill="auto"/>
            <w:vAlign w:val="center"/>
          </w:tcPr>
          <w:p w14:paraId="08CA3CBB">
            <w:pPr>
              <w:rPr>
                <w:rFonts w:hint="eastAsia" w:ascii="宋体" w:hAnsi="宋体" w:eastAsia="宋体" w:cs="宋体"/>
                <w:i w:val="0"/>
                <w:color w:val="000000"/>
                <w:sz w:val="18"/>
                <w:szCs w:val="18"/>
                <w:u w:val="none"/>
              </w:rPr>
            </w:pPr>
          </w:p>
        </w:tc>
        <w:tc>
          <w:tcPr>
            <w:tcW w:w="378" w:type="pct"/>
            <w:tcBorders>
              <w:top w:val="nil"/>
              <w:left w:val="nil"/>
              <w:bottom w:val="nil"/>
              <w:right w:val="nil"/>
            </w:tcBorders>
            <w:shd w:val="clear" w:color="auto" w:fill="auto"/>
            <w:vAlign w:val="center"/>
          </w:tcPr>
          <w:p w14:paraId="446FC062">
            <w:pPr>
              <w:rPr>
                <w:rFonts w:hint="eastAsia" w:ascii="宋体" w:hAnsi="宋体" w:eastAsia="宋体" w:cs="宋体"/>
                <w:i w:val="0"/>
                <w:color w:val="000000"/>
                <w:sz w:val="18"/>
                <w:szCs w:val="18"/>
                <w:u w:val="none"/>
              </w:rPr>
            </w:pPr>
          </w:p>
        </w:tc>
        <w:tc>
          <w:tcPr>
            <w:tcW w:w="472" w:type="pct"/>
            <w:tcBorders>
              <w:top w:val="nil"/>
              <w:left w:val="nil"/>
              <w:bottom w:val="nil"/>
              <w:right w:val="nil"/>
            </w:tcBorders>
            <w:shd w:val="clear" w:color="auto" w:fill="auto"/>
            <w:vAlign w:val="center"/>
          </w:tcPr>
          <w:p w14:paraId="618867B0">
            <w:pPr>
              <w:rPr>
                <w:rFonts w:hint="eastAsia" w:ascii="宋体" w:hAnsi="宋体" w:eastAsia="宋体" w:cs="宋体"/>
                <w:i w:val="0"/>
                <w:color w:val="000000"/>
                <w:sz w:val="18"/>
                <w:szCs w:val="18"/>
                <w:u w:val="none"/>
              </w:rPr>
            </w:pPr>
          </w:p>
        </w:tc>
        <w:tc>
          <w:tcPr>
            <w:tcW w:w="933" w:type="pct"/>
            <w:tcBorders>
              <w:top w:val="nil"/>
              <w:left w:val="nil"/>
              <w:bottom w:val="nil"/>
              <w:right w:val="nil"/>
            </w:tcBorders>
            <w:shd w:val="clear" w:color="auto" w:fill="auto"/>
            <w:vAlign w:val="center"/>
          </w:tcPr>
          <w:p w14:paraId="5BB67BA0">
            <w:pPr>
              <w:rPr>
                <w:rFonts w:hint="eastAsia" w:ascii="宋体" w:hAnsi="宋体" w:eastAsia="宋体" w:cs="宋体"/>
                <w:i w:val="0"/>
                <w:color w:val="000000"/>
                <w:sz w:val="18"/>
                <w:szCs w:val="18"/>
                <w:u w:val="none"/>
              </w:rPr>
            </w:pPr>
          </w:p>
        </w:tc>
        <w:tc>
          <w:tcPr>
            <w:tcW w:w="259" w:type="pct"/>
            <w:tcBorders>
              <w:top w:val="nil"/>
              <w:left w:val="nil"/>
              <w:bottom w:val="nil"/>
              <w:right w:val="nil"/>
            </w:tcBorders>
            <w:shd w:val="clear" w:color="auto" w:fill="auto"/>
            <w:vAlign w:val="center"/>
          </w:tcPr>
          <w:p w14:paraId="47326A7E">
            <w:pPr>
              <w:rPr>
                <w:rFonts w:hint="eastAsia" w:ascii="宋体" w:hAnsi="宋体" w:eastAsia="宋体" w:cs="宋体"/>
                <w:i w:val="0"/>
                <w:color w:val="000000"/>
                <w:sz w:val="18"/>
                <w:szCs w:val="18"/>
                <w:u w:val="none"/>
              </w:rPr>
            </w:pPr>
          </w:p>
        </w:tc>
        <w:tc>
          <w:tcPr>
            <w:tcW w:w="382" w:type="pct"/>
            <w:tcBorders>
              <w:top w:val="nil"/>
              <w:left w:val="nil"/>
              <w:bottom w:val="nil"/>
              <w:right w:val="nil"/>
            </w:tcBorders>
            <w:shd w:val="clear" w:color="auto" w:fill="auto"/>
            <w:vAlign w:val="center"/>
          </w:tcPr>
          <w:p w14:paraId="4669E20A">
            <w:pPr>
              <w:rPr>
                <w:rFonts w:hint="eastAsia" w:ascii="宋体" w:hAnsi="宋体" w:eastAsia="宋体" w:cs="宋体"/>
                <w:i w:val="0"/>
                <w:color w:val="000000"/>
                <w:sz w:val="18"/>
                <w:szCs w:val="18"/>
                <w:u w:val="none"/>
              </w:rPr>
            </w:pPr>
          </w:p>
        </w:tc>
        <w:tc>
          <w:tcPr>
            <w:tcW w:w="258" w:type="pct"/>
            <w:tcBorders>
              <w:top w:val="nil"/>
              <w:left w:val="nil"/>
              <w:bottom w:val="nil"/>
              <w:right w:val="nil"/>
            </w:tcBorders>
            <w:shd w:val="clear" w:color="auto" w:fill="auto"/>
            <w:vAlign w:val="center"/>
          </w:tcPr>
          <w:p w14:paraId="75ABE6DF">
            <w:pPr>
              <w:rPr>
                <w:rFonts w:hint="eastAsia" w:ascii="宋体" w:hAnsi="宋体" w:eastAsia="宋体" w:cs="宋体"/>
                <w:i w:val="0"/>
                <w:color w:val="000000"/>
                <w:sz w:val="18"/>
                <w:szCs w:val="18"/>
                <w:u w:val="none"/>
              </w:rPr>
            </w:pPr>
          </w:p>
        </w:tc>
        <w:tc>
          <w:tcPr>
            <w:tcW w:w="553" w:type="pct"/>
            <w:tcBorders>
              <w:top w:val="nil"/>
              <w:left w:val="nil"/>
              <w:bottom w:val="nil"/>
              <w:right w:val="nil"/>
            </w:tcBorders>
            <w:shd w:val="clear" w:color="auto" w:fill="auto"/>
            <w:vAlign w:val="center"/>
          </w:tcPr>
          <w:p w14:paraId="0F8A0426">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648FEB04">
            <w:pPr>
              <w:rPr>
                <w:rFonts w:hint="eastAsia" w:ascii="宋体" w:hAnsi="宋体" w:eastAsia="宋体" w:cs="宋体"/>
                <w:i w:val="0"/>
                <w:color w:val="000000"/>
                <w:sz w:val="18"/>
                <w:szCs w:val="18"/>
                <w:u w:val="none"/>
              </w:rPr>
            </w:pPr>
          </w:p>
        </w:tc>
        <w:tc>
          <w:tcPr>
            <w:tcW w:w="295" w:type="pct"/>
            <w:tcBorders>
              <w:top w:val="nil"/>
              <w:left w:val="nil"/>
              <w:bottom w:val="nil"/>
              <w:right w:val="nil"/>
            </w:tcBorders>
            <w:shd w:val="clear" w:color="auto" w:fill="auto"/>
            <w:vAlign w:val="center"/>
          </w:tcPr>
          <w:p w14:paraId="44BBD778">
            <w:pPr>
              <w:rPr>
                <w:rFonts w:hint="eastAsia" w:ascii="宋体" w:hAnsi="宋体" w:eastAsia="宋体" w:cs="宋体"/>
                <w:i w:val="0"/>
                <w:color w:val="000000"/>
                <w:sz w:val="18"/>
                <w:szCs w:val="18"/>
                <w:u w:val="none"/>
              </w:rPr>
            </w:pPr>
          </w:p>
        </w:tc>
        <w:tc>
          <w:tcPr>
            <w:tcW w:w="821" w:type="pct"/>
            <w:tcBorders>
              <w:top w:val="nil"/>
              <w:left w:val="nil"/>
              <w:bottom w:val="nil"/>
              <w:right w:val="nil"/>
            </w:tcBorders>
            <w:shd w:val="clear" w:color="auto" w:fill="auto"/>
            <w:vAlign w:val="center"/>
          </w:tcPr>
          <w:p w14:paraId="47687A2C">
            <w:pPr>
              <w:rPr>
                <w:rFonts w:hint="eastAsia" w:ascii="宋体" w:hAnsi="宋体" w:eastAsia="宋体" w:cs="宋体"/>
                <w:i w:val="0"/>
                <w:color w:val="000000"/>
                <w:sz w:val="18"/>
                <w:szCs w:val="18"/>
                <w:u w:val="none"/>
              </w:rPr>
            </w:pPr>
          </w:p>
        </w:tc>
      </w:tr>
      <w:tr w14:paraId="2332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F9C34B">
            <w:pPr>
              <w:keepNext w:val="0"/>
              <w:keepLines w:val="0"/>
              <w:widowControl/>
              <w:suppressLineNumbers w:val="0"/>
              <w:jc w:val="center"/>
              <w:rPr>
                <w:rFonts w:hint="default" w:ascii="黑体" w:hAnsi="宋体" w:eastAsia="黑体" w:cs="黑体"/>
                <w:i w:val="0"/>
                <w:color w:val="000000"/>
                <w:sz w:val="30"/>
                <w:szCs w:val="30"/>
                <w:u w:val="none"/>
              </w:rPr>
            </w:pPr>
            <w:r>
              <w:rPr>
                <w:rFonts w:hint="default" w:ascii="黑体" w:hAnsi="宋体" w:eastAsia="黑体" w:cs="黑体"/>
                <w:i w:val="0"/>
                <w:color w:val="000000"/>
                <w:kern w:val="0"/>
                <w:sz w:val="30"/>
                <w:szCs w:val="30"/>
                <w:u w:val="none"/>
                <w:lang w:val="en-US" w:eastAsia="zh-CN" w:bidi="ar"/>
              </w:rPr>
              <w:t>部门预算项目支出绩效自评表（2024年度）</w:t>
            </w:r>
          </w:p>
        </w:tc>
      </w:tr>
      <w:tr w14:paraId="1FDBD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432A4">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72A1A0">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51320025T000012994419-红原县人民法院法治教育宣传建设服务项目</w:t>
            </w:r>
          </w:p>
        </w:tc>
      </w:tr>
      <w:tr w14:paraId="4A3E5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3E798">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487DF4">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红原县人民法院部门</w:t>
            </w:r>
          </w:p>
        </w:tc>
        <w:tc>
          <w:tcPr>
            <w:tcW w:w="553" w:type="pct"/>
            <w:tcBorders>
              <w:top w:val="nil"/>
              <w:left w:val="nil"/>
              <w:bottom w:val="nil"/>
              <w:right w:val="nil"/>
            </w:tcBorders>
            <w:shd w:val="clear" w:color="auto" w:fill="auto"/>
            <w:vAlign w:val="center"/>
          </w:tcPr>
          <w:p w14:paraId="59EF8FFA">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CAE9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红原县人民法院</w:t>
            </w:r>
          </w:p>
        </w:tc>
      </w:tr>
      <w:tr w14:paraId="4D75D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484D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E3FCC">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03F0F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AD94D1">
            <w:pPr>
              <w:keepNext w:val="0"/>
              <w:keepLines w:val="0"/>
              <w:widowControl/>
              <w:suppressLineNumbers w:val="0"/>
              <w:jc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7691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4BB17">
            <w:pP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845E2">
            <w:pPr>
              <w:rPr>
                <w:rFonts w:hint="eastAsia" w:ascii="宋体" w:hAnsi="宋体" w:eastAsia="宋体" w:cs="宋体"/>
                <w:i w:val="0"/>
                <w:color w:val="000000"/>
                <w:sz w:val="18"/>
                <w:szCs w:val="18"/>
                <w:u w:val="none"/>
              </w:rPr>
            </w:pPr>
          </w:p>
        </w:tc>
        <w:tc>
          <w:tcPr>
            <w:tcW w:w="2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332ABB">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充分挖掘红原地方文化，凝聚强大精神伟力拟打造红原县法治文化教育基地和法院办公楼道文化建设，传承中华优秀传统法律文化，深入挖掘红原特色文化，讲好红原法治故事，以精神力量凝聚法治力量，推动实现高质量发展。</w:t>
            </w:r>
          </w:p>
        </w:tc>
        <w:tc>
          <w:tcPr>
            <w:tcW w:w="19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673643">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项目前期准备中</w:t>
            </w:r>
          </w:p>
        </w:tc>
      </w:tr>
      <w:tr w14:paraId="3832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60194">
            <w:pP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93ACB">
            <w:pPr>
              <w:keepNext w:val="0"/>
              <w:keepLines w:val="0"/>
              <w:widowControl/>
              <w:suppressLineNumbers w:val="0"/>
              <w:jc w:val="lef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2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AC61D5">
            <w:pPr>
              <w:rPr>
                <w:rFonts w:hint="eastAsia" w:ascii="宋体" w:hAnsi="宋体" w:eastAsia="宋体" w:cs="宋体"/>
                <w:i w:val="0"/>
                <w:color w:val="000000"/>
                <w:sz w:val="18"/>
                <w:szCs w:val="18"/>
                <w:u w:val="none"/>
              </w:rPr>
            </w:pPr>
          </w:p>
        </w:tc>
      </w:tr>
      <w:tr w14:paraId="7F9D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2758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1D4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C9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63FF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D08C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B9A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7B1C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80E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EBF1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C87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12C4C">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9AF7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242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E83E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6D98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D14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98FA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FCA6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8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C398D">
            <w:pPr>
              <w:keepNext w:val="0"/>
              <w:keepLines w:val="0"/>
              <w:widowControl/>
              <w:suppressLineNumbers w:val="0"/>
              <w:jc w:val="left"/>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2F77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FEB56">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E1A7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7B0A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C111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328B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1F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006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3D18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77CD5">
            <w:pPr>
              <w:rPr>
                <w:rFonts w:hint="default" w:ascii="黑体" w:hAnsi="黑体" w:eastAsia="黑体" w:cs="黑体"/>
                <w:i/>
                <w:color w:val="000000"/>
                <w:sz w:val="18"/>
                <w:szCs w:val="18"/>
                <w:u w:val="none"/>
              </w:rPr>
            </w:pPr>
          </w:p>
        </w:tc>
      </w:tr>
      <w:tr w14:paraId="6527A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92ECF">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E65E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4D56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728E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BCCCA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3EF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5E20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6FD3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85B58">
            <w:pPr>
              <w:rPr>
                <w:rFonts w:hint="default" w:ascii="黑体" w:hAnsi="黑体" w:eastAsia="黑体" w:cs="黑体"/>
                <w:i/>
                <w:color w:val="000000"/>
                <w:sz w:val="18"/>
                <w:szCs w:val="18"/>
                <w:u w:val="none"/>
              </w:rPr>
            </w:pPr>
          </w:p>
        </w:tc>
      </w:tr>
      <w:tr w14:paraId="641E8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E9676">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BA0E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A2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D80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2A7CE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B3C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EEF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B4A5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04ABF">
            <w:pPr>
              <w:rPr>
                <w:rFonts w:hint="default" w:ascii="黑体" w:hAnsi="黑体" w:eastAsia="黑体" w:cs="黑体"/>
                <w:i/>
                <w:color w:val="000000"/>
                <w:sz w:val="18"/>
                <w:szCs w:val="18"/>
                <w:u w:val="none"/>
              </w:rPr>
            </w:pPr>
          </w:p>
        </w:tc>
      </w:tr>
      <w:tr w14:paraId="2979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0B8F4">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4AE2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C74F">
            <w:pPr>
              <w:jc w:val="center"/>
              <w:rPr>
                <w:rFonts w:hint="default" w:ascii="微软雅黑" w:hAnsi="微软雅黑" w:eastAsia="微软雅黑" w:cs="微软雅黑"/>
                <w:i/>
                <w:color w:val="000000"/>
                <w:sz w:val="16"/>
                <w:szCs w:val="16"/>
                <w:u w:val="none"/>
              </w:rPr>
            </w:pP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FF784">
            <w:pPr>
              <w:jc w:val="center"/>
              <w:rPr>
                <w:rFonts w:hint="default" w:ascii="微软雅黑" w:hAnsi="微软雅黑" w:eastAsia="微软雅黑" w:cs="微软雅黑"/>
                <w:i/>
                <w:color w:val="000000"/>
                <w:sz w:val="16"/>
                <w:szCs w:val="16"/>
                <w:u w:val="none"/>
              </w:rPr>
            </w:pPr>
          </w:p>
        </w:tc>
        <w:tc>
          <w:tcPr>
            <w:tcW w:w="9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711045">
            <w:pPr>
              <w:jc w:val="center"/>
              <w:rPr>
                <w:rFonts w:hint="default" w:ascii="微软雅黑" w:hAnsi="微软雅黑" w:eastAsia="微软雅黑" w:cs="微软雅黑"/>
                <w:i/>
                <w:color w:val="000000"/>
                <w:sz w:val="16"/>
                <w:szCs w:val="16"/>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0578">
            <w:pPr>
              <w:jc w:val="center"/>
              <w:rPr>
                <w:rFonts w:hint="default" w:ascii="微软雅黑" w:hAnsi="微软雅黑" w:eastAsia="微软雅黑" w:cs="微软雅黑"/>
                <w:i/>
                <w:color w:val="000000"/>
                <w:sz w:val="16"/>
                <w:szCs w:val="16"/>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4767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1F9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E5737">
            <w:pPr>
              <w:rPr>
                <w:rFonts w:hint="default" w:ascii="黑体" w:hAnsi="黑体" w:eastAsia="黑体" w:cs="黑体"/>
                <w:i/>
                <w:color w:val="000000"/>
                <w:sz w:val="18"/>
                <w:szCs w:val="18"/>
                <w:u w:val="none"/>
              </w:rPr>
            </w:pPr>
          </w:p>
        </w:tc>
      </w:tr>
      <w:tr w14:paraId="5556C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0CBA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FB7A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B6F2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722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AE6F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A48B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B2B5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60A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473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9F9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8CF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0F8F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A693D">
            <w:pPr>
              <w:jc w:val="center"/>
              <w:rPr>
                <w:rFonts w:hint="eastAsia" w:ascii="宋体" w:hAnsi="宋体" w:eastAsia="宋体" w:cs="宋体"/>
                <w:i w:val="0"/>
                <w:color w:val="000000"/>
                <w:sz w:val="18"/>
                <w:szCs w:val="18"/>
                <w:u w:val="none"/>
              </w:rPr>
            </w:pP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C2B9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095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845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每年开展法治教育次数</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90A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2AA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0A40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D2AF">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A3CF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96C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8726">
            <w:pPr>
              <w:jc w:val="center"/>
              <w:rPr>
                <w:rFonts w:hint="default" w:ascii="微软雅黑" w:hAnsi="微软雅黑" w:eastAsia="微软雅黑" w:cs="微软雅黑"/>
                <w:i/>
                <w:color w:val="000000"/>
                <w:sz w:val="16"/>
                <w:szCs w:val="16"/>
                <w:u w:val="none"/>
              </w:rPr>
            </w:pPr>
          </w:p>
        </w:tc>
      </w:tr>
      <w:tr w14:paraId="60B3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CE241">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C58E1">
            <w:pPr>
              <w:jc w:val="center"/>
              <w:rPr>
                <w:rFonts w:hint="eastAsia" w:ascii="宋体" w:hAnsi="宋体" w:eastAsia="宋体" w:cs="宋体"/>
                <w:i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730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CFC5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人民群众法律普及率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8E3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E33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F36D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5C1A">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40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D919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46B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BD19">
            <w:pPr>
              <w:jc w:val="center"/>
              <w:rPr>
                <w:rFonts w:hint="default" w:ascii="微软雅黑" w:hAnsi="微软雅黑" w:eastAsia="微软雅黑" w:cs="微软雅黑"/>
                <w:i/>
                <w:color w:val="000000"/>
                <w:sz w:val="16"/>
                <w:szCs w:val="16"/>
                <w:u w:val="none"/>
              </w:rPr>
            </w:pPr>
          </w:p>
        </w:tc>
      </w:tr>
      <w:tr w14:paraId="7175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3BC69">
            <w:pPr>
              <w:jc w:val="center"/>
              <w:rPr>
                <w:rFonts w:hint="eastAsia" w:ascii="宋体" w:hAnsi="宋体" w:eastAsia="宋体" w:cs="宋体"/>
                <w:i w:val="0"/>
                <w:color w:val="000000"/>
                <w:sz w:val="18"/>
                <w:szCs w:val="18"/>
                <w:u w:val="none"/>
              </w:rPr>
            </w:pP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3D94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D168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987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满足群众多元化司法需求</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4F2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DA1B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35F6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53D9">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71E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A9F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D82F">
            <w:pPr>
              <w:jc w:val="center"/>
              <w:rPr>
                <w:rFonts w:hint="default" w:ascii="微软雅黑" w:hAnsi="微软雅黑" w:eastAsia="微软雅黑" w:cs="微软雅黑"/>
                <w:i/>
                <w:color w:val="000000"/>
                <w:sz w:val="16"/>
                <w:szCs w:val="16"/>
                <w:u w:val="none"/>
              </w:rPr>
            </w:pPr>
          </w:p>
        </w:tc>
      </w:tr>
      <w:tr w14:paraId="6EF97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CA4AA">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33B90">
            <w:pPr>
              <w:jc w:val="center"/>
              <w:rPr>
                <w:rFonts w:hint="eastAsia" w:ascii="宋体" w:hAnsi="宋体" w:eastAsia="宋体" w:cs="宋体"/>
                <w:i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23A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3751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群众的获得感</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D939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0E2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3314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D1B3F">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8BA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A2DF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9114">
            <w:pPr>
              <w:jc w:val="center"/>
              <w:rPr>
                <w:rFonts w:hint="default" w:ascii="微软雅黑" w:hAnsi="微软雅黑" w:eastAsia="微软雅黑" w:cs="微软雅黑"/>
                <w:i/>
                <w:color w:val="000000"/>
                <w:sz w:val="16"/>
                <w:szCs w:val="16"/>
                <w:u w:val="none"/>
              </w:rPr>
            </w:pPr>
          </w:p>
        </w:tc>
      </w:tr>
      <w:tr w14:paraId="5AF7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9B145">
            <w:pPr>
              <w:jc w:val="center"/>
              <w:rPr>
                <w:rFonts w:hint="eastAsia" w:ascii="宋体" w:hAnsi="宋体" w:eastAsia="宋体" w:cs="宋体"/>
                <w:i w:val="0"/>
                <w:color w:val="00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0A4BC">
            <w:pPr>
              <w:jc w:val="center"/>
              <w:rPr>
                <w:rFonts w:hint="eastAsia" w:ascii="宋体" w:hAnsi="宋体" w:eastAsia="宋体" w:cs="宋体"/>
                <w:i w:val="0"/>
                <w:color w:val="000000"/>
                <w:sz w:val="18"/>
                <w:szCs w:val="18"/>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F25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2AAD">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营造良好的法治氛围</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56980">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8F6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2F8C">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4FD61">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90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1362">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2FE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C5D3">
            <w:pPr>
              <w:jc w:val="center"/>
              <w:rPr>
                <w:rFonts w:hint="default" w:ascii="微软雅黑" w:hAnsi="微软雅黑" w:eastAsia="微软雅黑" w:cs="微软雅黑"/>
                <w:i/>
                <w:color w:val="000000"/>
                <w:sz w:val="16"/>
                <w:szCs w:val="16"/>
                <w:u w:val="none"/>
              </w:rPr>
            </w:pPr>
          </w:p>
        </w:tc>
      </w:tr>
      <w:tr w14:paraId="59ACF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E09E0">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DE4D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6AAE">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6AAE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5D2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EC098">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F502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23C0">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8BB4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564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40C3">
            <w:pPr>
              <w:jc w:val="center"/>
              <w:rPr>
                <w:rFonts w:hint="default" w:ascii="微软雅黑" w:hAnsi="微软雅黑" w:eastAsia="微软雅黑" w:cs="微软雅黑"/>
                <w:i/>
                <w:color w:val="000000"/>
                <w:sz w:val="16"/>
                <w:szCs w:val="16"/>
                <w:u w:val="none"/>
              </w:rPr>
            </w:pPr>
          </w:p>
        </w:tc>
      </w:tr>
      <w:tr w14:paraId="03AD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666FB">
            <w:pPr>
              <w:jc w:val="center"/>
              <w:rPr>
                <w:rFonts w:hint="eastAsia" w:ascii="宋体" w:hAnsi="宋体" w:eastAsia="宋体" w:cs="宋体"/>
                <w:i w:val="0"/>
                <w:color w:val="000000"/>
                <w:sz w:val="18"/>
                <w:szCs w:val="18"/>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CF41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4F1A">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9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7BC24">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资金合理利用率</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C228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7031">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2DA9">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88E5">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FF9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7C0FB">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0004E">
            <w:pPr>
              <w:keepNext w:val="0"/>
              <w:keepLines w:val="0"/>
              <w:widowControl/>
              <w:suppressLineNumbers w:val="0"/>
              <w:jc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项目前期准备中，资金未支付</w:t>
            </w:r>
          </w:p>
        </w:tc>
      </w:tr>
      <w:tr w14:paraId="3A21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6E5B7F">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49327">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9AED4">
            <w:pPr>
              <w:keepNext w:val="0"/>
              <w:keepLines w:val="0"/>
              <w:widowControl/>
              <w:suppressLineNumbers w:val="0"/>
              <w:jc w:val="right"/>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EAA19">
            <w:pPr>
              <w:rPr>
                <w:rFonts w:hint="eastAsia" w:ascii="宋体" w:hAnsi="宋体" w:eastAsia="宋体" w:cs="宋体"/>
                <w:i w:val="0"/>
                <w:color w:val="000000"/>
                <w:sz w:val="18"/>
                <w:szCs w:val="18"/>
                <w:u w:val="none"/>
              </w:rPr>
            </w:pPr>
          </w:p>
        </w:tc>
      </w:tr>
      <w:tr w14:paraId="3AB10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6FFE5">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AB3137">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该项目自评得分为80分，因项目前期准备耗时较多，未支付。</w:t>
            </w:r>
          </w:p>
        </w:tc>
      </w:tr>
      <w:tr w14:paraId="38E1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08326">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E8E58A">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项目前期准备中，资金未支付</w:t>
            </w:r>
          </w:p>
        </w:tc>
      </w:tr>
      <w:tr w14:paraId="746BF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F153">
            <w:pPr>
              <w:keepNext w:val="0"/>
              <w:keepLines w:val="0"/>
              <w:widowControl/>
              <w:suppressLineNumbers w:val="0"/>
              <w:jc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5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764BD1">
            <w:pPr>
              <w:keepNext w:val="0"/>
              <w:keepLines w:val="0"/>
              <w:widowControl/>
              <w:suppressLineNumbers w:val="0"/>
              <w:jc w:val="left"/>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积极推进项目进度，及时支付。</w:t>
            </w:r>
          </w:p>
        </w:tc>
      </w:tr>
      <w:tr w14:paraId="76AE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60E150">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项目负责人：杨兴保</w:t>
            </w:r>
          </w:p>
        </w:tc>
        <w:tc>
          <w:tcPr>
            <w:tcW w:w="260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DCD8D9">
            <w:pPr>
              <w:keepNext w:val="0"/>
              <w:keepLines w:val="0"/>
              <w:widowControl/>
              <w:suppressLineNumbers w:val="0"/>
              <w:jc w:val="left"/>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财务负责人：尕让卓玛</w:t>
            </w:r>
          </w:p>
        </w:tc>
      </w:tr>
    </w:tbl>
    <w:p w14:paraId="57F58FEE">
      <w:pPr>
        <w:rPr>
          <w:rFonts w:hint="eastAsia"/>
          <w:lang w:val="en-US" w:eastAsia="zh-CN"/>
        </w:rPr>
      </w:pPr>
    </w:p>
    <w:p w14:paraId="09281931">
      <w:pPr>
        <w:keepNext/>
        <w:keepLines/>
        <w:pageBreakBefore w:val="0"/>
        <w:widowControl/>
        <w:kinsoku/>
        <w:wordWrap w:val="0"/>
        <w:overflowPunct/>
        <w:topLinePunct/>
        <w:autoSpaceDE/>
        <w:autoSpaceDN/>
        <w:bidi w:val="0"/>
        <w:snapToGrid/>
        <w:spacing w:line="560" w:lineRule="exact"/>
        <w:ind w:firstLine="0" w:firstLineChars="0"/>
        <w:jc w:val="center"/>
        <w:outlineLvl w:val="0"/>
        <w:rPr>
          <w:rFonts w:ascii="仿宋" w:hAnsi="仿宋" w:eastAsia="仿宋"/>
        </w:rPr>
      </w:pPr>
      <w:bookmarkStart w:id="56" w:name="_Toc19445"/>
      <w:r>
        <w:rPr>
          <w:rFonts w:hint="eastAsia" w:ascii="黑体" w:hAnsi="黑体" w:eastAsia="黑体"/>
          <w:sz w:val="44"/>
          <w:szCs w:val="44"/>
        </w:rPr>
        <w:t>第</w:t>
      </w:r>
      <w:r>
        <w:rPr>
          <w:rStyle w:val="27"/>
          <w:rFonts w:hint="eastAsia" w:ascii="黑体" w:hAnsi="黑体" w:eastAsia="黑体"/>
          <w:b w:val="0"/>
        </w:rPr>
        <w:t>五部分 附表</w:t>
      </w:r>
      <w:bookmarkEnd w:id="56"/>
    </w:p>
    <w:p w14:paraId="17F331F0">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57" w:name="_Toc22149"/>
      <w:r>
        <w:rPr>
          <w:rFonts w:hint="eastAsia" w:ascii="仿宋_GB2312" w:hAnsi="仿宋_GB2312" w:eastAsia="仿宋_GB2312" w:cs="仿宋_GB2312"/>
          <w:b w:val="0"/>
          <w:sz w:val="32"/>
          <w:szCs w:val="32"/>
        </w:rPr>
        <w:t>一、收</w:t>
      </w:r>
      <w:r>
        <w:rPr>
          <w:rStyle w:val="28"/>
          <w:rFonts w:hint="eastAsia" w:ascii="仿宋_GB2312" w:hAnsi="仿宋_GB2312" w:eastAsia="仿宋_GB2312" w:cs="仿宋_GB2312"/>
          <w:b w:val="0"/>
          <w:bCs w:val="0"/>
          <w:sz w:val="32"/>
          <w:szCs w:val="32"/>
        </w:rPr>
        <w:t>入支出决算总表</w:t>
      </w:r>
      <w:bookmarkEnd w:id="57"/>
    </w:p>
    <w:p w14:paraId="69FC1EDB">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58" w:name="_Toc942"/>
      <w:bookmarkStart w:id="59" w:name="_Toc15396620"/>
      <w:r>
        <w:rPr>
          <w:rFonts w:hint="eastAsia" w:ascii="仿宋_GB2312" w:hAnsi="仿宋_GB2312" w:eastAsia="仿宋_GB2312" w:cs="仿宋_GB2312"/>
          <w:b w:val="0"/>
          <w:sz w:val="32"/>
          <w:szCs w:val="32"/>
        </w:rPr>
        <w:t>二、收</w:t>
      </w:r>
      <w:r>
        <w:rPr>
          <w:rStyle w:val="28"/>
          <w:rFonts w:hint="eastAsia" w:ascii="仿宋_GB2312" w:hAnsi="仿宋_GB2312" w:eastAsia="仿宋_GB2312" w:cs="仿宋_GB2312"/>
          <w:b w:val="0"/>
          <w:bCs w:val="0"/>
          <w:sz w:val="32"/>
          <w:szCs w:val="32"/>
        </w:rPr>
        <w:t>入决算表</w:t>
      </w:r>
      <w:bookmarkEnd w:id="58"/>
      <w:bookmarkEnd w:id="59"/>
    </w:p>
    <w:p w14:paraId="6582F15F">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60" w:name="_Toc15396621"/>
      <w:bookmarkStart w:id="61" w:name="_Toc8785"/>
      <w:r>
        <w:rPr>
          <w:rStyle w:val="28"/>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sz w:val="32"/>
          <w:szCs w:val="32"/>
        </w:rPr>
        <w:t>支</w:t>
      </w:r>
      <w:r>
        <w:rPr>
          <w:rStyle w:val="28"/>
          <w:rFonts w:hint="eastAsia" w:ascii="仿宋_GB2312" w:hAnsi="仿宋_GB2312" w:eastAsia="仿宋_GB2312" w:cs="仿宋_GB2312"/>
          <w:b w:val="0"/>
          <w:bCs w:val="0"/>
          <w:sz w:val="32"/>
          <w:szCs w:val="32"/>
        </w:rPr>
        <w:t>出决算表</w:t>
      </w:r>
      <w:bookmarkEnd w:id="60"/>
      <w:bookmarkEnd w:id="61"/>
    </w:p>
    <w:p w14:paraId="642C074A">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b w:val="0"/>
          <w:sz w:val="32"/>
          <w:szCs w:val="32"/>
        </w:rPr>
      </w:pPr>
      <w:bookmarkStart w:id="62" w:name="_Toc15396622"/>
      <w:bookmarkStart w:id="63" w:name="_Toc28160"/>
      <w:r>
        <w:rPr>
          <w:rStyle w:val="28"/>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sz w:val="32"/>
          <w:szCs w:val="32"/>
        </w:rPr>
        <w:t>财</w:t>
      </w:r>
      <w:r>
        <w:rPr>
          <w:rStyle w:val="28"/>
          <w:rFonts w:hint="eastAsia" w:ascii="仿宋_GB2312" w:hAnsi="仿宋_GB2312" w:eastAsia="仿宋_GB2312" w:cs="仿宋_GB2312"/>
          <w:b w:val="0"/>
          <w:bCs w:val="0"/>
          <w:sz w:val="32"/>
          <w:szCs w:val="32"/>
        </w:rPr>
        <w:t>政拨款收入支出决算总表</w:t>
      </w:r>
      <w:bookmarkEnd w:id="62"/>
      <w:bookmarkEnd w:id="63"/>
    </w:p>
    <w:p w14:paraId="1FE6517C">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Style w:val="28"/>
          <w:rFonts w:hint="eastAsia" w:ascii="仿宋_GB2312" w:hAnsi="仿宋_GB2312" w:eastAsia="仿宋_GB2312" w:cs="仿宋_GB2312"/>
          <w:b w:val="0"/>
          <w:bCs w:val="0"/>
          <w:sz w:val="32"/>
          <w:szCs w:val="32"/>
        </w:rPr>
      </w:pPr>
      <w:bookmarkStart w:id="64" w:name="_Toc1630"/>
      <w:bookmarkStart w:id="65" w:name="_Toc15396623"/>
      <w:r>
        <w:rPr>
          <w:rStyle w:val="28"/>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sz w:val="32"/>
          <w:szCs w:val="32"/>
        </w:rPr>
        <w:t>财</w:t>
      </w:r>
      <w:r>
        <w:rPr>
          <w:rStyle w:val="28"/>
          <w:rFonts w:hint="eastAsia" w:ascii="仿宋_GB2312" w:hAnsi="仿宋_GB2312" w:eastAsia="仿宋_GB2312" w:cs="仿宋_GB2312"/>
          <w:b w:val="0"/>
          <w:bCs w:val="0"/>
          <w:sz w:val="32"/>
          <w:szCs w:val="32"/>
        </w:rPr>
        <w:t>政拨款支出决算明细表</w:t>
      </w:r>
      <w:bookmarkEnd w:id="64"/>
      <w:bookmarkEnd w:id="65"/>
    </w:p>
    <w:p w14:paraId="4902B681">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66" w:name="_Toc13426"/>
      <w:r>
        <w:rPr>
          <w:rStyle w:val="28"/>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sz w:val="32"/>
          <w:szCs w:val="32"/>
        </w:rPr>
        <w:t>一</w:t>
      </w:r>
      <w:r>
        <w:rPr>
          <w:rStyle w:val="28"/>
          <w:rFonts w:hint="eastAsia" w:ascii="仿宋_GB2312" w:hAnsi="仿宋_GB2312" w:eastAsia="仿宋_GB2312" w:cs="仿宋_GB2312"/>
          <w:b w:val="0"/>
          <w:bCs w:val="0"/>
          <w:sz w:val="32"/>
          <w:szCs w:val="32"/>
        </w:rPr>
        <w:t>般公共预算财政拨款支出决算表</w:t>
      </w:r>
      <w:bookmarkEnd w:id="66"/>
    </w:p>
    <w:p w14:paraId="0C3A9EF2">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67" w:name="_Toc18526"/>
      <w:bookmarkStart w:id="68" w:name="_Toc15396625"/>
      <w:r>
        <w:rPr>
          <w:rStyle w:val="28"/>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sz w:val="32"/>
          <w:szCs w:val="32"/>
        </w:rPr>
        <w:t>一</w:t>
      </w:r>
      <w:r>
        <w:rPr>
          <w:rStyle w:val="28"/>
          <w:rFonts w:hint="eastAsia" w:ascii="仿宋_GB2312" w:hAnsi="仿宋_GB2312" w:eastAsia="仿宋_GB2312" w:cs="仿宋_GB2312"/>
          <w:b w:val="0"/>
          <w:bCs w:val="0"/>
          <w:sz w:val="32"/>
          <w:szCs w:val="32"/>
        </w:rPr>
        <w:t>般公共预算财政拨款支出决算明细表</w:t>
      </w:r>
      <w:bookmarkEnd w:id="67"/>
      <w:bookmarkEnd w:id="68"/>
    </w:p>
    <w:p w14:paraId="6014258F">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69" w:name="_Toc26384"/>
      <w:bookmarkStart w:id="70" w:name="_Toc15396626"/>
      <w:r>
        <w:rPr>
          <w:rStyle w:val="28"/>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sz w:val="32"/>
          <w:szCs w:val="32"/>
        </w:rPr>
        <w:t>一</w:t>
      </w:r>
      <w:r>
        <w:rPr>
          <w:rStyle w:val="28"/>
          <w:rFonts w:hint="eastAsia" w:ascii="仿宋_GB2312" w:hAnsi="仿宋_GB2312" w:eastAsia="仿宋_GB2312" w:cs="仿宋_GB2312"/>
          <w:b w:val="0"/>
          <w:bCs w:val="0"/>
          <w:sz w:val="32"/>
          <w:szCs w:val="32"/>
        </w:rPr>
        <w:t>般公共预算财政拨款基本支出决算表</w:t>
      </w:r>
      <w:bookmarkEnd w:id="69"/>
      <w:bookmarkEnd w:id="70"/>
    </w:p>
    <w:p w14:paraId="3BFA1C87">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71" w:name="_Toc15396627"/>
      <w:bookmarkStart w:id="72" w:name="_Toc7367"/>
      <w:r>
        <w:rPr>
          <w:rStyle w:val="28"/>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sz w:val="32"/>
          <w:szCs w:val="32"/>
        </w:rPr>
        <w:t>一</w:t>
      </w:r>
      <w:r>
        <w:rPr>
          <w:rStyle w:val="28"/>
          <w:rFonts w:hint="eastAsia" w:ascii="仿宋_GB2312" w:hAnsi="仿宋_GB2312" w:eastAsia="仿宋_GB2312" w:cs="仿宋_GB2312"/>
          <w:b w:val="0"/>
          <w:bCs w:val="0"/>
          <w:sz w:val="32"/>
          <w:szCs w:val="32"/>
        </w:rPr>
        <w:t>般公共预算财政拨款项目支出决算表</w:t>
      </w:r>
      <w:bookmarkEnd w:id="71"/>
      <w:bookmarkEnd w:id="72"/>
    </w:p>
    <w:p w14:paraId="6F148783">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lang w:eastAsia="zh-CN"/>
        </w:rPr>
      </w:pPr>
      <w:bookmarkStart w:id="73" w:name="_Toc15396628"/>
      <w:bookmarkStart w:id="74" w:name="_Toc8878"/>
      <w:r>
        <w:rPr>
          <w:rStyle w:val="28"/>
          <w:rFonts w:hint="eastAsia" w:ascii="仿宋_GB2312" w:hAnsi="仿宋_GB2312" w:eastAsia="仿宋_GB2312" w:cs="仿宋_GB2312"/>
          <w:b w:val="0"/>
          <w:bCs w:val="0"/>
          <w:sz w:val="32"/>
          <w:szCs w:val="32"/>
        </w:rPr>
        <w:t>十、</w:t>
      </w:r>
      <w:bookmarkEnd w:id="73"/>
      <w:r>
        <w:rPr>
          <w:rFonts w:hint="eastAsia" w:ascii="仿宋_GB2312" w:hAnsi="仿宋_GB2312" w:eastAsia="仿宋_GB2312" w:cs="仿宋_GB2312"/>
          <w:b w:val="0"/>
          <w:sz w:val="32"/>
          <w:szCs w:val="32"/>
        </w:rPr>
        <w:t>政</w:t>
      </w:r>
      <w:r>
        <w:rPr>
          <w:rStyle w:val="28"/>
          <w:rFonts w:hint="eastAsia" w:ascii="仿宋_GB2312" w:hAnsi="仿宋_GB2312" w:eastAsia="仿宋_GB2312" w:cs="仿宋_GB2312"/>
          <w:b w:val="0"/>
          <w:bCs w:val="0"/>
          <w:sz w:val="32"/>
          <w:szCs w:val="32"/>
        </w:rPr>
        <w:t>府性基金预算财政拨款收入支出决算表</w:t>
      </w:r>
      <w:bookmarkEnd w:id="74"/>
    </w:p>
    <w:p w14:paraId="382A34DB">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75" w:name="_Toc15396629"/>
      <w:bookmarkStart w:id="76" w:name="_Toc18055"/>
      <w:r>
        <w:rPr>
          <w:rStyle w:val="28"/>
          <w:rFonts w:hint="eastAsia" w:ascii="仿宋_GB2312" w:hAnsi="仿宋_GB2312" w:eastAsia="仿宋_GB2312" w:cs="仿宋_GB2312"/>
          <w:b w:val="0"/>
          <w:bCs w:val="0"/>
          <w:sz w:val="32"/>
          <w:szCs w:val="32"/>
        </w:rPr>
        <w:t>十一、</w:t>
      </w:r>
      <w:bookmarkEnd w:id="75"/>
      <w:r>
        <w:rPr>
          <w:rFonts w:hint="eastAsia" w:ascii="仿宋_GB2312" w:hAnsi="仿宋_GB2312" w:eastAsia="仿宋_GB2312" w:cs="仿宋_GB2312"/>
          <w:b w:val="0"/>
          <w:sz w:val="32"/>
          <w:szCs w:val="32"/>
        </w:rPr>
        <w:t>国</w:t>
      </w:r>
      <w:r>
        <w:rPr>
          <w:rStyle w:val="28"/>
          <w:rFonts w:hint="eastAsia" w:ascii="仿宋_GB2312" w:hAnsi="仿宋_GB2312" w:eastAsia="仿宋_GB2312" w:cs="仿宋_GB2312"/>
          <w:b w:val="0"/>
          <w:bCs w:val="0"/>
          <w:sz w:val="32"/>
          <w:szCs w:val="32"/>
        </w:rPr>
        <w:t>有资本经营预算财政拨款收入支出决算表</w:t>
      </w:r>
      <w:bookmarkEnd w:id="76"/>
    </w:p>
    <w:p w14:paraId="22BAF9E0">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77" w:name="_Toc15396630"/>
      <w:bookmarkStart w:id="78" w:name="_Toc31293"/>
      <w:r>
        <w:rPr>
          <w:rStyle w:val="28"/>
          <w:rFonts w:hint="eastAsia" w:ascii="仿宋_GB2312" w:hAnsi="仿宋_GB2312" w:eastAsia="仿宋_GB2312" w:cs="仿宋_GB2312"/>
          <w:b w:val="0"/>
          <w:bCs w:val="0"/>
          <w:sz w:val="32"/>
          <w:szCs w:val="32"/>
        </w:rPr>
        <w:t>十二、</w:t>
      </w:r>
      <w:bookmarkEnd w:id="77"/>
      <w:r>
        <w:rPr>
          <w:rStyle w:val="28"/>
          <w:rFonts w:hint="eastAsia" w:ascii="仿宋_GB2312" w:hAnsi="仿宋_GB2312" w:eastAsia="仿宋_GB2312" w:cs="仿宋_GB2312"/>
          <w:b w:val="0"/>
          <w:bCs w:val="0"/>
          <w:sz w:val="32"/>
          <w:szCs w:val="32"/>
        </w:rPr>
        <w:t>国有资本经营预算财政拨款支出决算表</w:t>
      </w:r>
      <w:bookmarkEnd w:id="78"/>
    </w:p>
    <w:p w14:paraId="74039D63">
      <w:pPr>
        <w:keepNext/>
        <w:keepLines/>
        <w:pageBreakBefore w:val="0"/>
        <w:widowControl/>
        <w:kinsoku/>
        <w:wordWrap w:val="0"/>
        <w:overflowPunct/>
        <w:topLinePunct/>
        <w:autoSpaceDE/>
        <w:autoSpaceDN/>
        <w:bidi w:val="0"/>
        <w:adjustRightInd/>
        <w:snapToGrid/>
        <w:spacing w:before="0" w:after="0" w:line="560" w:lineRule="exact"/>
        <w:ind w:firstLine="0" w:firstLineChars="0"/>
        <w:outlineLvl w:val="9"/>
        <w:rPr>
          <w:rFonts w:hint="eastAsia" w:ascii="仿宋_GB2312" w:hAnsi="仿宋_GB2312" w:eastAsia="仿宋_GB2312" w:cs="仿宋_GB2312"/>
          <w:sz w:val="32"/>
          <w:szCs w:val="32"/>
        </w:rPr>
      </w:pPr>
      <w:bookmarkStart w:id="79" w:name="_Toc15396631"/>
      <w:bookmarkStart w:id="80" w:name="_Toc389"/>
      <w:r>
        <w:rPr>
          <w:rStyle w:val="28"/>
          <w:rFonts w:hint="eastAsia" w:ascii="仿宋_GB2312" w:hAnsi="仿宋_GB2312" w:eastAsia="仿宋_GB2312" w:cs="仿宋_GB2312"/>
          <w:b w:val="0"/>
          <w:bCs w:val="0"/>
          <w:sz w:val="32"/>
          <w:szCs w:val="32"/>
        </w:rPr>
        <w:t>十三、</w:t>
      </w:r>
      <w:bookmarkEnd w:id="79"/>
      <w:r>
        <w:rPr>
          <w:rStyle w:val="28"/>
          <w:rFonts w:hint="eastAsia" w:ascii="仿宋_GB2312" w:hAnsi="仿宋_GB2312" w:eastAsia="仿宋_GB2312" w:cs="仿宋_GB2312"/>
          <w:b w:val="0"/>
          <w:bCs w:val="0"/>
          <w:sz w:val="32"/>
          <w:szCs w:val="32"/>
        </w:rPr>
        <w:t>财政拨款“三公”经费支出决算表</w:t>
      </w:r>
      <w:bookmarkEnd w:id="80"/>
    </w:p>
    <w:sectPr>
      <w:footerReference r:id="rId8"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55EF190-FA00-466E-BCA3-D80314DE37D2}"/>
  </w:font>
  <w:font w:name="黑体">
    <w:panose1 w:val="02010609060101010101"/>
    <w:charset w:val="86"/>
    <w:family w:val="auto"/>
    <w:pitch w:val="default"/>
    <w:sig w:usb0="800002BF" w:usb1="38CF7CFA" w:usb2="00000016" w:usb3="00000000" w:csb0="00040001" w:csb1="00000000"/>
    <w:embedRegular r:id="rId2" w:fontKey="{FE2B8ECA-6945-4190-9350-88A10FFC46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B7BDA6A0-FB72-4FDD-9C3A-186E9C58952F}"/>
  </w:font>
  <w:font w:name="仿宋_GB2312">
    <w:panose1 w:val="02010609030101010101"/>
    <w:charset w:val="86"/>
    <w:family w:val="modern"/>
    <w:pitch w:val="default"/>
    <w:sig w:usb0="00000001" w:usb1="080E0000" w:usb2="00000000" w:usb3="00000000" w:csb0="00040000" w:csb1="00000000"/>
    <w:embedRegular r:id="rId4" w:fontKey="{B19CF59E-74B0-46DD-AD36-4237B39946C9}"/>
  </w:font>
  <w:font w:name="仿宋">
    <w:panose1 w:val="02010609060101010101"/>
    <w:charset w:val="86"/>
    <w:family w:val="modern"/>
    <w:pitch w:val="default"/>
    <w:sig w:usb0="800002BF" w:usb1="38CF7CFA" w:usb2="00000016" w:usb3="00000000" w:csb0="00040001" w:csb1="00000000"/>
    <w:embedRegular r:id="rId5" w:fontKey="{7E6A573C-E498-4347-AC74-927069110753}"/>
  </w:font>
  <w:font w:name="方正小标宋简体">
    <w:panose1 w:val="03000509000000000000"/>
    <w:charset w:val="86"/>
    <w:family w:val="script"/>
    <w:pitch w:val="default"/>
    <w:sig w:usb0="00000001" w:usb1="080E0000" w:usb2="00000000" w:usb3="00000000" w:csb0="00040000" w:csb1="00000000"/>
    <w:embedRegular r:id="rId6" w:fontKey="{55ECDB48-6344-459E-A223-355E394A8909}"/>
  </w:font>
  <w:font w:name="华文仿宋">
    <w:altName w:val="仿宋"/>
    <w:panose1 w:val="02010600040101010101"/>
    <w:charset w:val="86"/>
    <w:family w:val="auto"/>
    <w:pitch w:val="default"/>
    <w:sig w:usb0="00000000" w:usb1="00000000" w:usb2="00000000" w:usb3="00000000" w:csb0="0004009F" w:csb1="DFD70000"/>
    <w:embedRegular r:id="rId7" w:fontKey="{E0F0FCD3-30DC-4967-8EBC-BFB0A64800B2}"/>
  </w:font>
  <w:font w:name="方正仿宋_GB2312">
    <w:panose1 w:val="02000000000000000000"/>
    <w:charset w:val="86"/>
    <w:family w:val="auto"/>
    <w:pitch w:val="default"/>
    <w:sig w:usb0="A00002BF" w:usb1="184F6CFA" w:usb2="00000012" w:usb3="00000000" w:csb0="00040001" w:csb1="00000000"/>
    <w:embedRegular r:id="rId8" w:fontKey="{F7371BD7-5EFF-443C-B35F-C0FB0BDD73FE}"/>
  </w:font>
  <w:font w:name="楷体_GB2312">
    <w:panose1 w:val="02010609030101010101"/>
    <w:charset w:val="86"/>
    <w:family w:val="modern"/>
    <w:pitch w:val="default"/>
    <w:sig w:usb0="00000001" w:usb1="080E0000" w:usb2="00000000" w:usb3="00000000" w:csb0="00040000" w:csb1="00000000"/>
    <w:embedRegular r:id="rId9" w:fontKey="{E18124BC-CD82-40D8-8BB6-9F6D213B2480}"/>
  </w:font>
  <w:font w:name="方正仿宋_GBK">
    <w:panose1 w:val="02000000000000000000"/>
    <w:charset w:val="86"/>
    <w:family w:val="auto"/>
    <w:pitch w:val="default"/>
    <w:sig w:usb0="A00002BF" w:usb1="38CF7CFA" w:usb2="00082016" w:usb3="00000000" w:csb0="00040001" w:csb1="00000000"/>
    <w:embedRegular r:id="rId10" w:fontKey="{D6A175CA-DE25-412D-BC92-8E02C2816593}"/>
  </w:font>
  <w:font w:name="微软雅黑">
    <w:panose1 w:val="020B0503020204020204"/>
    <w:charset w:val="86"/>
    <w:family w:val="auto"/>
    <w:pitch w:val="default"/>
    <w:sig w:usb0="80000287" w:usb1="2ACF3C50" w:usb2="00000016" w:usb3="00000000" w:csb0="0004001F" w:csb1="00000000"/>
    <w:embedRegular r:id="rId11" w:fontKey="{2D6A0377-71AF-42CB-AC0C-EF71420B5B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AC5AC">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sdt>
                          <w:sdtPr>
                            <w:id w:val="-1994781956"/>
                          </w:sdtPr>
                          <w:sdtContent>
                            <w:p w14:paraId="0F849F45">
                              <w:pPr>
                                <w:pStyle w:val="9"/>
                                <w:jc w:val="center"/>
                              </w:pPr>
                              <w:r>
                                <w:fldChar w:fldCharType="begin"/>
                              </w:r>
                              <w:r>
                                <w:instrText xml:space="preserve">PAGE   \* MERGEFORMAT</w:instrText>
                              </w:r>
                              <w:r>
                                <w:fldChar w:fldCharType="separate"/>
                              </w:r>
                              <w:r>
                                <w:rPr>
                                  <w:lang w:val="zh-CN"/>
                                </w:rPr>
                                <w:t>2</w:t>
                              </w:r>
                              <w:r>
                                <w:fldChar w:fldCharType="end"/>
                              </w:r>
                            </w:p>
                          </w:sdtContent>
                        </w:sdt>
                        <w:p w14:paraId="24D39A6F">
                          <w:pPr>
                            <w:pStyle w:val="18"/>
                          </w:pPr>
                        </w:p>
                      </w:txbxContent>
                    </wps:txbx>
                    <wps:bodyPr rot="0"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In3a/TAAAABQEAAA8AAAAA&#10;AAAAAQAgAAAAIgAAAGRycy9kb3ducmV2LnhtbFBLAQIUABQAAAAIAIdO4kD5Ro+04AEAAMQDAAAO&#10;AAAAAAAAAAEAIAAAACIBAABkcnMvZTJvRG9jLnhtbFBLBQYAAAAABgAGAFkBAAB0BQAAAAA=&#10;">
              <v:fill on="f" focussize="0,0"/>
              <v:stroke on="f" weight="1pt"/>
              <v:imagedata o:title=""/>
              <o:lock v:ext="edit" aspectratio="f"/>
              <v:textbox inset="0mm,0mm,0mm,0mm" style="mso-fit-shape-to-text:t;">
                <w:txbxContent>
                  <w:sdt>
                    <w:sdtPr>
                      <w:id w:val="-1994781956"/>
                    </w:sdtPr>
                    <w:sdtContent>
                      <w:p w14:paraId="0F849F45">
                        <w:pPr>
                          <w:pStyle w:val="9"/>
                          <w:jc w:val="center"/>
                        </w:pPr>
                        <w:r>
                          <w:fldChar w:fldCharType="begin"/>
                        </w:r>
                        <w:r>
                          <w:instrText xml:space="preserve">PAGE   \* MERGEFORMAT</w:instrText>
                        </w:r>
                        <w:r>
                          <w:fldChar w:fldCharType="separate"/>
                        </w:r>
                        <w:r>
                          <w:rPr>
                            <w:lang w:val="zh-CN"/>
                          </w:rPr>
                          <w:t>2</w:t>
                        </w:r>
                        <w:r>
                          <w:fldChar w:fldCharType="end"/>
                        </w:r>
                      </w:p>
                    </w:sdtContent>
                  </w:sdt>
                  <w:p w14:paraId="24D39A6F">
                    <w:pPr>
                      <w:pStyle w:val="18"/>
                    </w:pPr>
                  </w:p>
                </w:txbxContent>
              </v:textbox>
            </v:shape>
          </w:pict>
        </mc:Fallback>
      </mc:AlternateContent>
    </w:r>
  </w:p>
  <w:p w14:paraId="1D942F4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EE8A9">
    <w:pPr>
      <w:pStyle w:val="9"/>
      <w:jc w:val="center"/>
    </w:pPr>
  </w:p>
  <w:p w14:paraId="3836EBB3">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6030">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DB5415F">
                          <w:pPr>
                            <w:pStyle w:val="9"/>
                          </w:pPr>
                          <w:r>
                            <w:fldChar w:fldCharType="begin"/>
                          </w:r>
                          <w:r>
                            <w:instrText xml:space="preserve"> PAGE  \* MERGEFORMAT </w:instrText>
                          </w:r>
                          <w:r>
                            <w:fldChar w:fldCharType="separate"/>
                          </w:r>
                          <w:r>
                            <w:t>I</w:t>
                          </w:r>
                          <w:r>
                            <w:fldChar w:fldCharType="end"/>
                          </w:r>
                        </w:p>
                      </w:txbxContent>
                    </wps:txbx>
                    <wps:bodyPr rot="0"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COYdZuEBAADEAwAA&#10;DgAAAAAAAAABACAAAAAiAQAAZHJzL2Uyb0RvYy54bWxQSwUGAAAAAAYABgBZAQAAdQUAAAAA&#10;">
              <v:fill on="f" focussize="0,0"/>
              <v:stroke on="f" weight="1pt"/>
              <v:imagedata o:title=""/>
              <o:lock v:ext="edit" aspectratio="f"/>
              <v:textbox inset="0mm,0mm,0mm,0mm" style="mso-fit-shape-to-text:t;">
                <w:txbxContent>
                  <w:p w14:paraId="0DB5415F">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D38D0">
    <w:pPr>
      <w:pStyle w:val="9"/>
      <w:jc w:val="center"/>
    </w:pPr>
  </w:p>
  <w:p w14:paraId="4538C867">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C7D79">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sdt>
                          <w:sdtPr>
                            <w:id w:val="147477827"/>
                          </w:sdtPr>
                          <w:sdtContent>
                            <w:p w14:paraId="036B1C60">
                              <w:pPr>
                                <w:pStyle w:val="9"/>
                                <w:jc w:val="center"/>
                              </w:pPr>
                              <w:r>
                                <w:fldChar w:fldCharType="begin"/>
                              </w:r>
                              <w:r>
                                <w:instrText xml:space="preserve">PAGE   \* MERGEFORMAT</w:instrText>
                              </w:r>
                              <w:r>
                                <w:fldChar w:fldCharType="separate"/>
                              </w:r>
                              <w:r>
                                <w:rPr>
                                  <w:lang w:val="zh-CN"/>
                                </w:rPr>
                                <w:t>2</w:t>
                              </w:r>
                              <w:r>
                                <w:fldChar w:fldCharType="end"/>
                              </w:r>
                            </w:p>
                          </w:sdtContent>
                        </w:sdt>
                        <w:p w14:paraId="049BCEF9">
                          <w:pPr>
                            <w:pStyle w:val="18"/>
                          </w:pPr>
                        </w:p>
                      </w:txbxContent>
                    </wps:txbx>
                    <wps:bodyPr rot="0"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In3a/TAAAABQEAAA8AAAAA&#10;AAAAAQAgAAAAIgAAAGRycy9kb3ducmV2LnhtbFBLAQIUABQAAAAIAIdO4kCJKBQl4AEAAMUDAAAO&#10;AAAAAAAAAAEAIAAAACIBAABkcnMvZTJvRG9jLnhtbFBLBQYAAAAABgAGAFkBAAB0BQAAAAA=&#10;">
              <v:fill on="f" focussize="0,0"/>
              <v:stroke on="f" weight="1pt"/>
              <v:imagedata o:title=""/>
              <o:lock v:ext="edit" aspectratio="f"/>
              <v:textbox inset="0mm,0mm,0mm,0mm" style="mso-fit-shape-to-text:t;">
                <w:txbxContent>
                  <w:sdt>
                    <w:sdtPr>
                      <w:id w:val="147477827"/>
                    </w:sdtPr>
                    <w:sdtContent>
                      <w:p w14:paraId="036B1C60">
                        <w:pPr>
                          <w:pStyle w:val="9"/>
                          <w:jc w:val="center"/>
                        </w:pPr>
                        <w:r>
                          <w:fldChar w:fldCharType="begin"/>
                        </w:r>
                        <w:r>
                          <w:instrText xml:space="preserve">PAGE   \* MERGEFORMAT</w:instrText>
                        </w:r>
                        <w:r>
                          <w:fldChar w:fldCharType="separate"/>
                        </w:r>
                        <w:r>
                          <w:rPr>
                            <w:lang w:val="zh-CN"/>
                          </w:rPr>
                          <w:t>2</w:t>
                        </w:r>
                        <w:r>
                          <w:fldChar w:fldCharType="end"/>
                        </w:r>
                      </w:p>
                    </w:sdtContent>
                  </w:sdt>
                  <w:p w14:paraId="049BCEF9">
                    <w:pPr>
                      <w:pStyle w:val="18"/>
                    </w:pPr>
                  </w:p>
                </w:txbxContent>
              </v:textbox>
            </v:shape>
          </w:pict>
        </mc:Fallback>
      </mc:AlternateContent>
    </w:r>
  </w:p>
  <w:p w14:paraId="3F9C0A2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E61C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203FA"/>
    <w:multiLevelType w:val="singleLevel"/>
    <w:tmpl w:val="BF1203FA"/>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44B7F59B"/>
    <w:multiLevelType w:val="singleLevel"/>
    <w:tmpl w:val="44B7F59B"/>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2EE8"/>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A23AB"/>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8F4685"/>
    <w:rsid w:val="03CA5B73"/>
    <w:rsid w:val="03CF6935"/>
    <w:rsid w:val="03DC2831"/>
    <w:rsid w:val="04C34893"/>
    <w:rsid w:val="05BE6300"/>
    <w:rsid w:val="07977758"/>
    <w:rsid w:val="081B5E94"/>
    <w:rsid w:val="09F03EE9"/>
    <w:rsid w:val="0A2032A3"/>
    <w:rsid w:val="0B8A37D8"/>
    <w:rsid w:val="0C152EA4"/>
    <w:rsid w:val="0E4164A8"/>
    <w:rsid w:val="0F5FFB2F"/>
    <w:rsid w:val="0FFFCF60"/>
    <w:rsid w:val="10C055FF"/>
    <w:rsid w:val="118107EC"/>
    <w:rsid w:val="11DD6519"/>
    <w:rsid w:val="16BB723D"/>
    <w:rsid w:val="18015F3F"/>
    <w:rsid w:val="1A962A5E"/>
    <w:rsid w:val="1BE8440E"/>
    <w:rsid w:val="1C843350"/>
    <w:rsid w:val="1D155CEE"/>
    <w:rsid w:val="1DB41BFC"/>
    <w:rsid w:val="1FDBBF84"/>
    <w:rsid w:val="20F57F95"/>
    <w:rsid w:val="240371BF"/>
    <w:rsid w:val="25711CC6"/>
    <w:rsid w:val="25C741E6"/>
    <w:rsid w:val="276F80C0"/>
    <w:rsid w:val="27842671"/>
    <w:rsid w:val="29DE2AFF"/>
    <w:rsid w:val="29FD04D3"/>
    <w:rsid w:val="2ABE7A3E"/>
    <w:rsid w:val="2AFF09B6"/>
    <w:rsid w:val="2B56370F"/>
    <w:rsid w:val="2CA234A8"/>
    <w:rsid w:val="2EFA178C"/>
    <w:rsid w:val="2EFDF86C"/>
    <w:rsid w:val="2F9D17E1"/>
    <w:rsid w:val="30B46D73"/>
    <w:rsid w:val="319F7F4E"/>
    <w:rsid w:val="328F7AB1"/>
    <w:rsid w:val="33970C09"/>
    <w:rsid w:val="356A28F1"/>
    <w:rsid w:val="357C035A"/>
    <w:rsid w:val="368E000D"/>
    <w:rsid w:val="383D272C"/>
    <w:rsid w:val="39365727"/>
    <w:rsid w:val="39AE70AB"/>
    <w:rsid w:val="3A4DCE41"/>
    <w:rsid w:val="3BCB56FA"/>
    <w:rsid w:val="3C0C0783"/>
    <w:rsid w:val="3D5DF607"/>
    <w:rsid w:val="3DF24001"/>
    <w:rsid w:val="3E5C54A2"/>
    <w:rsid w:val="3EE7C2F4"/>
    <w:rsid w:val="3F371B56"/>
    <w:rsid w:val="3F792ED8"/>
    <w:rsid w:val="3F9F3A96"/>
    <w:rsid w:val="3FECA4B2"/>
    <w:rsid w:val="3FF58C48"/>
    <w:rsid w:val="40511ADB"/>
    <w:rsid w:val="42381C0E"/>
    <w:rsid w:val="42FF6694"/>
    <w:rsid w:val="48945D01"/>
    <w:rsid w:val="48BF60AB"/>
    <w:rsid w:val="4901767B"/>
    <w:rsid w:val="493C27E9"/>
    <w:rsid w:val="496F39ED"/>
    <w:rsid w:val="49A9229D"/>
    <w:rsid w:val="49FF41D3"/>
    <w:rsid w:val="4AA076B1"/>
    <w:rsid w:val="4BE068DB"/>
    <w:rsid w:val="4BF6002B"/>
    <w:rsid w:val="4BFFC6BE"/>
    <w:rsid w:val="4CFF1AC7"/>
    <w:rsid w:val="4DC43A80"/>
    <w:rsid w:val="4ECE2238"/>
    <w:rsid w:val="51283D27"/>
    <w:rsid w:val="51DB4B86"/>
    <w:rsid w:val="51F64DB0"/>
    <w:rsid w:val="52A872D5"/>
    <w:rsid w:val="55333C3E"/>
    <w:rsid w:val="57A46FD8"/>
    <w:rsid w:val="59FC62CD"/>
    <w:rsid w:val="5B0F2675"/>
    <w:rsid w:val="5CB01F12"/>
    <w:rsid w:val="5F67802D"/>
    <w:rsid w:val="5F7DC4F2"/>
    <w:rsid w:val="5FB36814"/>
    <w:rsid w:val="5FBB8E56"/>
    <w:rsid w:val="5FFB5535"/>
    <w:rsid w:val="5FFD209B"/>
    <w:rsid w:val="5FFFF379"/>
    <w:rsid w:val="64CA39A1"/>
    <w:rsid w:val="6749120C"/>
    <w:rsid w:val="679461BC"/>
    <w:rsid w:val="69630ADE"/>
    <w:rsid w:val="69BB3BBC"/>
    <w:rsid w:val="69BD5F13"/>
    <w:rsid w:val="69FB0B4B"/>
    <w:rsid w:val="6ADB5A7F"/>
    <w:rsid w:val="6BC51B78"/>
    <w:rsid w:val="6BFFE1FB"/>
    <w:rsid w:val="6C4A05C8"/>
    <w:rsid w:val="6D3B1A89"/>
    <w:rsid w:val="6DB7D8A3"/>
    <w:rsid w:val="6DBA6AEC"/>
    <w:rsid w:val="6EC78701"/>
    <w:rsid w:val="6F7A5481"/>
    <w:rsid w:val="6FFE07A9"/>
    <w:rsid w:val="71BF4EC2"/>
    <w:rsid w:val="72734D90"/>
    <w:rsid w:val="73E75B71"/>
    <w:rsid w:val="7412278C"/>
    <w:rsid w:val="75DDCDA9"/>
    <w:rsid w:val="75FF44B1"/>
    <w:rsid w:val="77670518"/>
    <w:rsid w:val="777FA627"/>
    <w:rsid w:val="77DF1B5F"/>
    <w:rsid w:val="77EF2D9D"/>
    <w:rsid w:val="79E50795"/>
    <w:rsid w:val="79E7B28D"/>
    <w:rsid w:val="79F344D2"/>
    <w:rsid w:val="7ABF4E7D"/>
    <w:rsid w:val="7ACFF0C2"/>
    <w:rsid w:val="7AFB9108"/>
    <w:rsid w:val="7B9FC8FF"/>
    <w:rsid w:val="7BD5340C"/>
    <w:rsid w:val="7BE97B45"/>
    <w:rsid w:val="7BFB19D2"/>
    <w:rsid w:val="7BFD1750"/>
    <w:rsid w:val="7BFDAA1B"/>
    <w:rsid w:val="7CDF9A82"/>
    <w:rsid w:val="7CF01838"/>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BFEABE"/>
    <w:rsid w:val="7FCCFC01"/>
    <w:rsid w:val="7FDD1748"/>
    <w:rsid w:val="7FE769C6"/>
    <w:rsid w:val="7FFD083E"/>
    <w:rsid w:val="7FFF9372"/>
    <w:rsid w:val="84BF1F3B"/>
    <w:rsid w:val="8F55B106"/>
    <w:rsid w:val="95DF317D"/>
    <w:rsid w:val="97E77C70"/>
    <w:rsid w:val="9DEB9A26"/>
    <w:rsid w:val="9E3A10E2"/>
    <w:rsid w:val="9FB91FBD"/>
    <w:rsid w:val="9FD54998"/>
    <w:rsid w:val="A671883B"/>
    <w:rsid w:val="A7EFD17F"/>
    <w:rsid w:val="A7FFE43F"/>
    <w:rsid w:val="B70F6001"/>
    <w:rsid w:val="BDFEA317"/>
    <w:rsid w:val="CD9BBABB"/>
    <w:rsid w:val="CF99F292"/>
    <w:rsid w:val="D1DE87AE"/>
    <w:rsid w:val="D5BE1783"/>
    <w:rsid w:val="D5DA60B3"/>
    <w:rsid w:val="D7C6F579"/>
    <w:rsid w:val="D8FECA92"/>
    <w:rsid w:val="DAFFBE66"/>
    <w:rsid w:val="DB492DBD"/>
    <w:rsid w:val="DD2C0BFE"/>
    <w:rsid w:val="DE3F332B"/>
    <w:rsid w:val="DE6F4A3D"/>
    <w:rsid w:val="DF69F8B0"/>
    <w:rsid w:val="DFC71555"/>
    <w:rsid w:val="DFFC559C"/>
    <w:rsid w:val="DFFEDFAE"/>
    <w:rsid w:val="DFFFB5EB"/>
    <w:rsid w:val="E4B33E57"/>
    <w:rsid w:val="E5BF946A"/>
    <w:rsid w:val="E9EFF11D"/>
    <w:rsid w:val="EB39BD45"/>
    <w:rsid w:val="EBCF1FC2"/>
    <w:rsid w:val="EBD18F66"/>
    <w:rsid w:val="ED17392C"/>
    <w:rsid w:val="ED9FFD9A"/>
    <w:rsid w:val="EDB7968B"/>
    <w:rsid w:val="EDF612DB"/>
    <w:rsid w:val="EEF73F60"/>
    <w:rsid w:val="EFED9E42"/>
    <w:rsid w:val="EFFFB194"/>
    <w:rsid w:val="F2E1F9D4"/>
    <w:rsid w:val="F5B137EC"/>
    <w:rsid w:val="F5FF7449"/>
    <w:rsid w:val="F6F7A063"/>
    <w:rsid w:val="F7880819"/>
    <w:rsid w:val="F7AF180D"/>
    <w:rsid w:val="F7BDBFA7"/>
    <w:rsid w:val="F7FA92CE"/>
    <w:rsid w:val="F7FAD68F"/>
    <w:rsid w:val="F7FB14CF"/>
    <w:rsid w:val="FB3FC69C"/>
    <w:rsid w:val="FBBFFCCC"/>
    <w:rsid w:val="FBDFF225"/>
    <w:rsid w:val="FBF7AB63"/>
    <w:rsid w:val="FC2F3373"/>
    <w:rsid w:val="FCBE4CE3"/>
    <w:rsid w:val="FCF51535"/>
    <w:rsid w:val="FD2951D8"/>
    <w:rsid w:val="FD77F6B8"/>
    <w:rsid w:val="FDD69328"/>
    <w:rsid w:val="FDDFEC0E"/>
    <w:rsid w:val="FDE58BDD"/>
    <w:rsid w:val="FDEC7001"/>
    <w:rsid w:val="FEDFE87F"/>
    <w:rsid w:val="FEF1D25B"/>
    <w:rsid w:val="FF3EF90F"/>
    <w:rsid w:val="FFAF6081"/>
    <w:rsid w:val="FFECCD8C"/>
    <w:rsid w:val="FFED60BD"/>
    <w:rsid w:val="FFEE08F0"/>
    <w:rsid w:val="FFEE7F9F"/>
    <w:rsid w:val="FFEEF065"/>
    <w:rsid w:val="FFFF31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7"/>
    <w:qFormat/>
    <w:uiPriority w:val="9"/>
    <w:pPr>
      <w:keepNext/>
      <w:keepLines/>
      <w:spacing w:before="340" w:after="330" w:line="578" w:lineRule="auto"/>
      <w:outlineLvl w:val="0"/>
    </w:pPr>
    <w:rPr>
      <w:b/>
      <w:bCs/>
      <w:kern w:val="44"/>
      <w:sz w:val="44"/>
      <w:szCs w:val="44"/>
    </w:rPr>
  </w:style>
  <w:style w:type="paragraph" w:styleId="3">
    <w:name w:val="heading 2"/>
    <w:basedOn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0"/>
    <w:semiHidden/>
    <w:qFormat/>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paragraph" w:customStyle="1" w:styleId="32">
    <w:name w:val="TOC 标题2"/>
    <w:basedOn w:val="2"/>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6127083836676"/>
          <c:y val="0.183595410114747"/>
          <c:w val="0.460497704759604"/>
          <c:h val="0.810029749256269"/>
        </c:manualLayout>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3"/>
              </a:solidFill>
              <a:ln>
                <a:solidFill>
                  <a:schemeClr val="bg1"/>
                </a:solidFill>
              </a:ln>
              <a:effectLst/>
            </c:spPr>
          </c:dPt>
          <c:dPt>
            <c:idx val="2"/>
            <c:bubble3D val="0"/>
            <c:spPr>
              <a:solidFill>
                <a:schemeClr val="accent5"/>
              </a:solidFill>
              <a:ln>
                <a:solidFill>
                  <a:schemeClr val="bg1"/>
                </a:solidFill>
              </a:ln>
              <a:effectLst/>
            </c:spPr>
          </c:dPt>
          <c:dLbls>
            <c:dLbl>
              <c:idx val="0"/>
              <c:delete val="1"/>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因公出国（境）费</c:v>
                </c:pt>
                <c:pt idx="1">
                  <c:v>公务用车购置及运行维护费</c:v>
                </c:pt>
                <c:pt idx="2">
                  <c:v>公务接待费</c:v>
                </c:pt>
              </c:strCache>
            </c:strRef>
          </c:cat>
          <c:val>
            <c:numRef>
              <c:f>Sheet1!$B$1:$B$3</c:f>
              <c:numCache>
                <c:formatCode>General</c:formatCode>
                <c:ptCount val="3"/>
                <c:pt idx="0">
                  <c:v>0</c:v>
                </c:pt>
                <c:pt idx="1">
                  <c:v>24.24</c:v>
                </c:pt>
                <c:pt idx="2">
                  <c:v>0.56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e2818d-ba65-44e3-8ee7-aec82ad0236c}"/>
      </c:ext>
    </c:extLst>
  </c:chart>
  <c:spPr>
    <a:solidFill>
      <a:schemeClr val="bg1"/>
    </a:solidFill>
    <a:ln w="0"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2242</Words>
  <Characters>2618</Characters>
  <Lines>1</Lines>
  <Paragraphs>1</Paragraphs>
  <TotalTime>4</TotalTime>
  <ScaleCrop>false</ScaleCrop>
  <LinksUpToDate>false</LinksUpToDate>
  <CharactersWithSpaces>2685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2024-09-19T16:37:00Z</dcterms:created>
  <dc:creator>曹颖</dc:creator>
  <cp:lastModifiedBy>天晴</cp:lastModifiedBy>
  <dcterms:modified xsi:type="dcterms:W3CDTF">2025-09-19T10:17:23Z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eyJoZGlkIjoiMDdlNTgzMzVkMjI5MjEwNjJmMDU5NTQzNWE0NzQzZTciLCJ1c2VySWQiOiI3MzY2NDY2NzAifQ==</vt:lpwstr>
  </property>
  <property fmtid="{D5CDD505-2E9C-101B-9397-08002B2CF9AE}" pid="4" name="ICV">
    <vt:lpwstr>EA70CE39019741CC82EE58995FB39053_13</vt:lpwstr>
  </property>
</Properties>
</file>