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eastAsia="方正小标宋简体" w:cs="方正小标宋简体"/>
          <w:sz w:val="72"/>
          <w:szCs w:val="72"/>
        </w:rPr>
      </w:pPr>
      <w:bookmarkStart w:id="0" w:name="_Toc3060"/>
      <w:bookmarkStart w:id="1" w:name="_Toc23924"/>
      <w:r>
        <w:rPr>
          <w:rFonts w:hint="eastAsia" w:ascii="方正小标宋简体" w:eastAsia="方正小标宋简体" w:cs="方正小标宋简体"/>
          <w:sz w:val="72"/>
          <w:szCs w:val="72"/>
        </w:rPr>
        <w:t>2022年度</w:t>
      </w:r>
      <w:bookmarkEnd w:id="0"/>
      <w:bookmarkEnd w:id="1"/>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2" w:name="_Toc5817"/>
      <w:bookmarkStart w:id="3" w:name="_Toc19888"/>
      <w:bookmarkStart w:id="4" w:name="_Toc15396598"/>
      <w:bookmarkStart w:id="5" w:name="_Toc15396476"/>
      <w:bookmarkStart w:id="6" w:name="_Toc15377194"/>
      <w:bookmarkStart w:id="7" w:name="_Toc15378442"/>
      <w:bookmarkStart w:id="8" w:name="_Toc15377426"/>
      <w:r>
        <w:rPr>
          <w:rFonts w:ascii="方正小标宋简体" w:eastAsia="方正小标宋简体" w:cs="方正小标宋简体"/>
          <w:sz w:val="72"/>
          <w:szCs w:val="72"/>
        </w:rPr>
        <w:t>阿坝州</w:t>
      </w:r>
      <w:bookmarkStart w:id="9" w:name="_Toc15306268"/>
      <w:r>
        <w:rPr>
          <w:rFonts w:hint="eastAsia" w:ascii="方正小标宋简体" w:eastAsia="方正小标宋简体" w:cs="方正小标宋简体"/>
          <w:sz w:val="72"/>
          <w:szCs w:val="72"/>
          <w:lang w:val="en-US" w:eastAsia="zh-CN"/>
        </w:rPr>
        <w:t>红原县人民法院</w:t>
      </w:r>
      <w:bookmarkEnd w:id="2"/>
      <w:bookmarkEnd w:id="3"/>
    </w:p>
    <w:p>
      <w:pPr>
        <w:adjustRightInd w:val="0"/>
        <w:snapToGrid w:val="0"/>
        <w:spacing w:line="360" w:lineRule="auto"/>
        <w:jc w:val="center"/>
        <w:outlineLvl w:val="0"/>
        <w:rPr>
          <w:rFonts w:ascii="方正小标宋简体" w:eastAsia="方正小标宋简体" w:cs="方正小标宋简体"/>
          <w:sz w:val="72"/>
          <w:szCs w:val="72"/>
        </w:rPr>
      </w:pPr>
      <w:bookmarkStart w:id="10" w:name="_Toc19392"/>
      <w:bookmarkStart w:id="11" w:name="_Toc26548"/>
      <w:r>
        <w:rPr>
          <w:rFonts w:hint="eastAsia" w:ascii="方正小标宋简体" w:eastAsia="方正小标宋简体" w:cs="方正小标宋简体"/>
          <w:sz w:val="72"/>
          <w:szCs w:val="72"/>
        </w:rPr>
        <w:t>部门决算</w:t>
      </w:r>
      <w:bookmarkEnd w:id="4"/>
      <w:bookmarkEnd w:id="5"/>
      <w:bookmarkEnd w:id="6"/>
      <w:bookmarkEnd w:id="7"/>
      <w:bookmarkEnd w:id="8"/>
      <w:bookmarkEnd w:id="9"/>
      <w:bookmarkEnd w:id="10"/>
      <w:bookmarkEnd w:id="11"/>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 </w:t>
      </w:r>
    </w:p>
    <w:p>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pPr>
        <w:widowControl/>
        <w:jc w:val="center"/>
        <w:rPr>
          <w:rFonts w:ascii="黑体" w:eastAsia="黑体" w:cs="Arial"/>
          <w:sz w:val="28"/>
          <w:szCs w:val="28"/>
        </w:rPr>
      </w:pPr>
      <w:r>
        <w:rPr>
          <w:rFonts w:ascii="方正小标宋简体" w:eastAsia="方正小标宋简体"/>
          <w:sz w:val="36"/>
          <w:szCs w:val="36"/>
        </w:rPr>
        <w:br w:type="page"/>
      </w:r>
      <w:r>
        <w:rPr>
          <w:rFonts w:hint="eastAsia" w:ascii="黑体" w:eastAsia="黑体"/>
          <w:sz w:val="48"/>
          <w:szCs w:val="48"/>
        </w:rPr>
        <w:t>目录</w:t>
      </w:r>
    </w:p>
    <w:p>
      <w:pPr>
        <w:pStyle w:val="9"/>
      </w:pPr>
      <w:r>
        <w:rPr>
          <w:rFonts w:hint="eastAsia" w:ascii="华文仿宋" w:hAnsi="华文仿宋" w:eastAsia="华文仿宋" w:cs="华文仿宋"/>
          <w:b w:val="0"/>
          <w:bCs w:val="0"/>
          <w:kern w:val="0"/>
          <w:sz w:val="30"/>
          <w:szCs w:val="30"/>
          <w:lang w:val="en-US" w:eastAsia="zh-CN" w:bidi="ar-SA"/>
        </w:rPr>
        <w:t>公开时间：2023年9月20日</w:t>
      </w:r>
      <w:bookmarkStart w:id="12" w:name="_Toc15396599"/>
      <w:bookmarkStart w:id="13" w:name="_Toc15377196"/>
      <w:r>
        <w:fldChar w:fldCharType="begin"/>
      </w:r>
      <w:r>
        <w:instrText xml:space="preserve">TOC \o "1-3" \f \h \u </w:instrText>
      </w:r>
      <w:r>
        <w:fldChar w:fldCharType="separate"/>
      </w:r>
    </w:p>
    <w:p>
      <w:pPr>
        <w:pStyle w:val="10"/>
        <w:tabs>
          <w:tab w:val="right" w:leader="dot" w:pos="8306"/>
          <w:tab w:val="clear" w:pos="8296"/>
        </w:tabs>
        <w:rPr>
          <w:lang w:val="en-US" w:eastAsia="zh-CN"/>
        </w:rPr>
      </w:pPr>
      <w:r>
        <w:fldChar w:fldCharType="end"/>
      </w:r>
      <w:r>
        <w:fldChar w:fldCharType="begin"/>
      </w:r>
      <w:r>
        <w:instrText xml:space="preserve">TOC \o "1-3" \f \h \u </w:instrText>
      </w:r>
      <w:r>
        <w:fldChar w:fldCharType="separate"/>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_Toc13362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第一部分 部门概况</w:t>
      </w:r>
      <w:r>
        <w:rPr>
          <w:rFonts w:hint="eastAsia" w:ascii="黑体" w:hAnsi="Cambria" w:eastAsia="黑体" w:cs="Times New Roman"/>
          <w:bCs/>
          <w:kern w:val="2"/>
          <w:szCs w:val="32"/>
          <w:lang w:val="en-US" w:eastAsia="zh-CN" w:bidi="ar-SA"/>
        </w:rPr>
        <w:tab/>
        <w:t>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_Toc12038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 部门职责</w:t>
      </w:r>
      <w:r>
        <w:rPr>
          <w:rFonts w:hint="eastAsia" w:ascii="黑体" w:hAnsi="Cambria" w:eastAsia="黑体" w:cs="Times New Roman"/>
          <w:bCs/>
          <w:kern w:val="2"/>
          <w:szCs w:val="32"/>
          <w:lang w:val="en-US" w:eastAsia="zh-CN" w:bidi="ar-SA"/>
        </w:rPr>
        <w:tab/>
        <w:t>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_Toc19920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二、机构设置</w:t>
      </w:r>
      <w:r>
        <w:rPr>
          <w:rFonts w:hint="eastAsia" w:ascii="黑体" w:hAnsi="Cambria" w:eastAsia="黑体" w:cs="Times New Roman"/>
          <w:bCs/>
          <w:kern w:val="2"/>
          <w:szCs w:val="32"/>
          <w:lang w:val="en-US" w:eastAsia="zh-CN" w:bidi="ar-SA"/>
        </w:rPr>
        <w:tab/>
        <w:t>4</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_Toc29457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第二部分 2022年度部门决算情况说明</w:t>
      </w:r>
      <w:r>
        <w:rPr>
          <w:rFonts w:hint="eastAsia" w:ascii="黑体" w:hAnsi="Cambria" w:eastAsia="黑体" w:cs="Times New Roman"/>
          <w:bCs/>
          <w:kern w:val="2"/>
          <w:szCs w:val="32"/>
          <w:lang w:val="en-US" w:eastAsia="zh-CN" w:bidi="ar-SA"/>
        </w:rPr>
        <w:tab/>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_Toc12317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一、 </w:t>
      </w:r>
      <w:r>
        <w:rPr>
          <w:rFonts w:hint="eastAsia" w:ascii="黑体" w:hAnsi="Cambria" w:eastAsia="黑体" w:cs="Times New Roman"/>
          <w:bCs/>
          <w:kern w:val="2"/>
          <w:szCs w:val="32"/>
          <w:lang w:val="en-US" w:eastAsia="zh-CN" w:bidi="ar-SA"/>
        </w:rPr>
        <w:t>收入支出决算总体情况说明</w:t>
      </w:r>
      <w:r>
        <w:rPr>
          <w:rFonts w:hint="eastAsia" w:ascii="黑体" w:hAnsi="Cambria" w:eastAsia="黑体" w:cs="Times New Roman"/>
          <w:bCs/>
          <w:kern w:val="2"/>
          <w:szCs w:val="32"/>
          <w:lang w:val="en-US" w:eastAsia="zh-CN" w:bidi="ar-SA"/>
        </w:rPr>
        <w:tab/>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_Toc7550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二、 </w:t>
      </w:r>
      <w:r>
        <w:rPr>
          <w:rFonts w:hint="eastAsia" w:ascii="黑体" w:hAnsi="Cambria" w:eastAsia="黑体" w:cs="Times New Roman"/>
          <w:bCs/>
          <w:kern w:val="2"/>
          <w:szCs w:val="32"/>
          <w:lang w:val="en-US" w:eastAsia="zh-CN" w:bidi="ar-SA"/>
        </w:rPr>
        <w:t>收入决算情况说明</w:t>
      </w:r>
      <w:r>
        <w:rPr>
          <w:rFonts w:hint="eastAsia" w:ascii="黑体" w:hAnsi="Cambria" w:eastAsia="黑体" w:cs="Times New Roman"/>
          <w:bCs/>
          <w:kern w:val="2"/>
          <w:szCs w:val="32"/>
          <w:lang w:val="en-US" w:eastAsia="zh-CN" w:bidi="ar-SA"/>
        </w:rPr>
        <w:tab/>
        <w:t>5</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_Toc6173 </w:instrText>
      </w:r>
      <w:r>
        <w:rPr>
          <w:rFonts w:hint="eastAsia" w:ascii="黑体" w:hAnsi="Cambria" w:eastAsia="黑体" w:cs="Times New Roman"/>
          <w:bCs/>
          <w:kern w:val="2"/>
          <w:szCs w:val="32"/>
          <w:lang w:val="en-US" w:eastAsia="zh-CN" w:bidi="ar-SA"/>
        </w:rPr>
        <w:fldChar w:fldCharType="separate"/>
      </w:r>
      <w:r>
        <w:rPr>
          <w:rFonts w:hint="default" w:ascii="黑体" w:hAnsi="Cambria" w:eastAsia="黑体" w:cs="Times New Roman"/>
          <w:bCs/>
          <w:kern w:val="2"/>
          <w:szCs w:val="32"/>
          <w:lang w:val="en-US" w:eastAsia="zh-CN" w:bidi="ar-SA"/>
        </w:rPr>
        <w:t xml:space="preserve">三、 </w:t>
      </w:r>
      <w:r>
        <w:rPr>
          <w:rFonts w:hint="eastAsia" w:ascii="黑体" w:hAnsi="Cambria" w:eastAsia="黑体" w:cs="Times New Roman"/>
          <w:bCs/>
          <w:kern w:val="2"/>
          <w:szCs w:val="32"/>
          <w:lang w:val="en-US" w:eastAsia="zh-CN" w:bidi="ar-SA"/>
        </w:rPr>
        <w:t>支出决算情况说明</w:t>
      </w:r>
      <w:r>
        <w:rPr>
          <w:rFonts w:hint="eastAsia" w:ascii="黑体" w:hAnsi="Cambria" w:eastAsia="黑体" w:cs="Times New Roman"/>
          <w:bCs/>
          <w:kern w:val="2"/>
          <w:szCs w:val="32"/>
          <w:lang w:val="en-US" w:eastAsia="zh-CN" w:bidi="ar-SA"/>
        </w:rPr>
        <w:tab/>
        <w:t>6</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_Toc16145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四、财政拨款收入支出决算总体情况说明</w:t>
      </w:r>
      <w:r>
        <w:rPr>
          <w:rFonts w:hint="eastAsia" w:ascii="黑体" w:hAnsi="Cambria" w:eastAsia="黑体" w:cs="Times New Roman"/>
          <w:bCs/>
          <w:kern w:val="2"/>
          <w:szCs w:val="32"/>
          <w:lang w:val="en-US" w:eastAsia="zh-CN" w:bidi="ar-SA"/>
        </w:rPr>
        <w:tab/>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_Toc29688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五、一般公共预算财政拨款支出决算情况说明</w:t>
      </w:r>
      <w:r>
        <w:rPr>
          <w:rFonts w:hint="eastAsia" w:ascii="黑体" w:hAnsi="Cambria" w:eastAsia="黑体" w:cs="Times New Roman"/>
          <w:bCs/>
          <w:kern w:val="2"/>
          <w:szCs w:val="32"/>
          <w:lang w:val="en-US" w:eastAsia="zh-CN" w:bidi="ar-SA"/>
        </w:rPr>
        <w:tab/>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_Toc7659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（一）一般公共预算财政拨款支出决算总体情况</w:t>
      </w:r>
      <w:r>
        <w:rPr>
          <w:rFonts w:hint="eastAsia" w:ascii="黑体" w:hAnsi="Cambria" w:eastAsia="黑体" w:cs="Times New Roman"/>
          <w:bCs/>
          <w:kern w:val="2"/>
          <w:szCs w:val="32"/>
          <w:lang w:val="en-US" w:eastAsia="zh-CN" w:bidi="ar-SA"/>
        </w:rPr>
        <w:tab/>
        <w:t>7</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_Toc14091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（二）一般公共预算财政拨款支出决算结构情况</w:t>
      </w:r>
      <w:r>
        <w:rPr>
          <w:rFonts w:hint="eastAsia" w:ascii="黑体" w:hAnsi="Cambria" w:eastAsia="黑体" w:cs="Times New Roman"/>
          <w:bCs/>
          <w:kern w:val="2"/>
          <w:szCs w:val="32"/>
          <w:lang w:val="en-US" w:eastAsia="zh-CN" w:bidi="ar-SA"/>
        </w:rPr>
        <w:tab/>
        <w:t>8</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_Toc5105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（三）一般公共预算财政拨款支出决算具体情况</w:t>
      </w:r>
      <w:r>
        <w:rPr>
          <w:rFonts w:hint="eastAsia" w:ascii="黑体" w:hAnsi="Cambria" w:eastAsia="黑体" w:cs="Times New Roman"/>
          <w:bCs/>
          <w:kern w:val="2"/>
          <w:szCs w:val="32"/>
          <w:lang w:val="en-US" w:eastAsia="zh-CN" w:bidi="ar-SA"/>
        </w:rPr>
        <w:tab/>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_Toc31973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六、一般公共预算财政拨款基本支出决算情况说明</w:t>
      </w:r>
      <w:r>
        <w:rPr>
          <w:rFonts w:hint="eastAsia" w:ascii="黑体" w:hAnsi="Cambria" w:eastAsia="黑体" w:cs="Times New Roman"/>
          <w:bCs/>
          <w:kern w:val="2"/>
          <w:szCs w:val="32"/>
          <w:lang w:val="en-US" w:eastAsia="zh-CN" w:bidi="ar-SA"/>
        </w:rPr>
        <w:tab/>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_Toc6599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七、财政拨款“三公”经费支出决算情况说明</w:t>
      </w:r>
      <w:r>
        <w:rPr>
          <w:rFonts w:hint="eastAsia" w:ascii="黑体" w:hAnsi="Cambria" w:eastAsia="黑体" w:cs="Times New Roman"/>
          <w:bCs/>
          <w:kern w:val="2"/>
          <w:szCs w:val="32"/>
          <w:lang w:val="en-US" w:eastAsia="zh-CN" w:bidi="ar-SA"/>
        </w:rPr>
        <w:tab/>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_Toc30677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（一）“三公”经费财政拨款支出决算总体情况说明</w:t>
      </w:r>
      <w:r>
        <w:rPr>
          <w:rFonts w:hint="eastAsia" w:ascii="黑体" w:hAnsi="Cambria" w:eastAsia="黑体" w:cs="Times New Roman"/>
          <w:bCs/>
          <w:kern w:val="2"/>
          <w:szCs w:val="32"/>
          <w:lang w:val="en-US" w:eastAsia="zh-CN" w:bidi="ar-SA"/>
        </w:rPr>
        <w:tab/>
        <w:t>9</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_Toc19386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（二）“三公”经费财政拨款支出决算具体情况说明</w:t>
      </w:r>
      <w:r>
        <w:rPr>
          <w:rFonts w:hint="eastAsia" w:ascii="黑体" w:hAnsi="Cambria" w:eastAsia="黑体" w:cs="Times New Roman"/>
          <w:bCs/>
          <w:kern w:val="2"/>
          <w:szCs w:val="32"/>
          <w:lang w:val="en-US" w:eastAsia="zh-CN" w:bidi="ar-SA"/>
        </w:rPr>
        <w:tab/>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0</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_Toc8525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八、政府性基金预算支出决算情况说明</w:t>
      </w:r>
      <w:r>
        <w:rPr>
          <w:rFonts w:hint="eastAsia" w:ascii="黑体" w:hAnsi="Cambria" w:eastAsia="黑体" w:cs="Times New Roman"/>
          <w:bCs/>
          <w:kern w:val="2"/>
          <w:szCs w:val="32"/>
          <w:lang w:val="en-US" w:eastAsia="zh-CN" w:bidi="ar-SA"/>
        </w:rPr>
        <w:tab/>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1</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_Toc6788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九、 国有资本经营预算支出决算情况说明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_Toc6788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_Toc14333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 其他重要事项的情况说明</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_Toc14333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_Toc8042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（一）机关运行经费支出情况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_Toc8042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_Toc22535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（三）国有资产占有使用情况</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_Toc22535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_Toc5682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（四）预算绩效管理情况</w:t>
      </w:r>
      <w:r>
        <w:rPr>
          <w:rFonts w:hint="eastAsia" w:ascii="黑体" w:hAnsi="Cambria" w:eastAsia="黑体" w:cs="Times New Roman"/>
          <w:bCs/>
          <w:kern w:val="2"/>
          <w:szCs w:val="32"/>
          <w:lang w:val="en-US" w:eastAsia="zh-CN" w:bidi="ar-SA"/>
        </w:rPr>
        <w:tab/>
        <w:t>1</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2</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_Toc17825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第三部分 名词解释</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_Toc17825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14</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_Toc21426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第四部分 附件</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_Toc21426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15</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_Toc1494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附件</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_Toc1494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15</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_Toc1556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第五部分 附表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_Toc32331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一、收入支出决算总表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_Toc13314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二、收入决算表</w:t>
      </w:r>
      <w:r>
        <w:rPr>
          <w:rFonts w:hint="eastAsia" w:ascii="黑体" w:hAnsi="Cambria" w:eastAsia="黑体" w:cs="Times New Roman"/>
          <w:bCs/>
          <w:kern w:val="2"/>
          <w:szCs w:val="32"/>
          <w:lang w:val="en-US" w:eastAsia="zh-CN" w:bidi="ar-SA"/>
        </w:rPr>
        <w:tab/>
      </w: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PAGEREF _Toc13314 \h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23</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_Toc23603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三、支出决算表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_Toc23121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四、财政拨款收入支出决算总表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_Toc17364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五、财政拨款支出决算明细表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_Toc17383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六、一般公共预算财政拨款支出决算表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_Toc5453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七、一般公共预算财政拨款支出决算明细表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_Toc21997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八、一般公共预算财政拨款基本支出决算表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_Toc14466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九、一般公共预算财政拨款项目支出决算表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eastAsia"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_Toc6806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十、政府性基金预算财政拨款收入支出决算表</w:t>
      </w:r>
      <w:r>
        <w:rPr>
          <w:rFonts w:hint="eastAsia" w:ascii="黑体" w:hAnsi="Cambria" w:eastAsia="黑体" w:cs="Times New Roman"/>
          <w:bCs/>
          <w:kern w:val="2"/>
          <w:szCs w:val="32"/>
          <w:lang w:val="en-US" w:eastAsia="zh-CN" w:bidi="ar-SA"/>
        </w:rPr>
        <w:tab/>
        <w:t>23</w:t>
      </w:r>
      <w:r>
        <w:rPr>
          <w:rFonts w:hint="eastAsia" w:ascii="黑体" w:hAnsi="Cambria" w:eastAsia="黑体" w:cs="Times New Roman"/>
          <w:bCs/>
          <w:kern w:val="2"/>
          <w:szCs w:val="32"/>
          <w:lang w:val="en-US" w:eastAsia="zh-CN" w:bidi="ar-SA"/>
        </w:rPr>
        <w:fldChar w:fldCharType="end"/>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_Toc12623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十一、国有资本经营预算财政拨款收入支出决算表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ascii="黑体" w:hAnsi="Cambria" w:eastAsia="黑体" w:cs="Times New Roman"/>
          <w:bCs/>
          <w:kern w:val="2"/>
          <w:szCs w:val="32"/>
          <w:lang w:val="en-US" w:eastAsia="zh-CN" w:bidi="ar-SA"/>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_Toc26360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十二、国有资本经营预算财政拨款支出决算表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pStyle w:val="10"/>
        <w:tabs>
          <w:tab w:val="right" w:leader="dot" w:pos="8306"/>
          <w:tab w:val="clear" w:pos="8296"/>
        </w:tabs>
        <w:ind w:left="420"/>
        <w:rPr>
          <w:rFonts w:hint="default"/>
          <w:lang w:val="en-US"/>
        </w:rPr>
      </w:pPr>
      <w:r>
        <w:rPr>
          <w:rFonts w:hint="eastAsia" w:ascii="黑体" w:hAnsi="Cambria" w:eastAsia="黑体" w:cs="Times New Roman"/>
          <w:bCs/>
          <w:kern w:val="2"/>
          <w:szCs w:val="32"/>
          <w:lang w:val="en-US" w:eastAsia="zh-CN" w:bidi="ar-SA"/>
        </w:rPr>
        <w:fldChar w:fldCharType="begin"/>
      </w:r>
      <w:r>
        <w:rPr>
          <w:rFonts w:hint="eastAsia" w:ascii="黑体" w:hAnsi="Cambria" w:eastAsia="黑体" w:cs="Times New Roman"/>
          <w:bCs/>
          <w:kern w:val="2"/>
          <w:szCs w:val="32"/>
          <w:lang w:val="en-US" w:eastAsia="zh-CN" w:bidi="ar-SA"/>
        </w:rPr>
        <w:instrText xml:space="preserve"> HYPERLINK \l _Toc1652 </w:instrText>
      </w:r>
      <w:r>
        <w:rPr>
          <w:rFonts w:hint="eastAsia" w:ascii="黑体" w:hAnsi="Cambria" w:eastAsia="黑体" w:cs="Times New Roman"/>
          <w:bCs/>
          <w:kern w:val="2"/>
          <w:szCs w:val="32"/>
          <w:lang w:val="en-US" w:eastAsia="zh-CN" w:bidi="ar-SA"/>
        </w:rPr>
        <w:fldChar w:fldCharType="separate"/>
      </w:r>
      <w:r>
        <w:rPr>
          <w:rFonts w:hint="eastAsia" w:ascii="黑体" w:hAnsi="Cambria" w:eastAsia="黑体" w:cs="Times New Roman"/>
          <w:bCs/>
          <w:kern w:val="2"/>
          <w:szCs w:val="32"/>
          <w:lang w:val="en-US" w:eastAsia="zh-CN" w:bidi="ar-SA"/>
        </w:rPr>
        <w:t>十三、财政拨款“三公”经费支出决算</w:t>
      </w:r>
      <w:bookmarkStart w:id="140" w:name="_GoBack"/>
      <w:bookmarkEnd w:id="140"/>
      <w:r>
        <w:rPr>
          <w:rFonts w:hint="eastAsia" w:ascii="黑体" w:hAnsi="Cambria" w:eastAsia="黑体" w:cs="Times New Roman"/>
          <w:bCs/>
          <w:kern w:val="2"/>
          <w:szCs w:val="32"/>
          <w:lang w:val="en-US" w:eastAsia="zh-CN" w:bidi="ar-SA"/>
        </w:rPr>
        <w:t>表</w:t>
      </w:r>
      <w:r>
        <w:rPr>
          <w:rFonts w:hint="eastAsia" w:ascii="黑体" w:hAnsi="Cambria" w:eastAsia="黑体" w:cs="Times New Roman"/>
          <w:bCs/>
          <w:kern w:val="2"/>
          <w:szCs w:val="32"/>
          <w:lang w:val="en-US" w:eastAsia="zh-CN" w:bidi="ar-SA"/>
        </w:rPr>
        <w:tab/>
        <w:t>2</w:t>
      </w:r>
      <w:r>
        <w:rPr>
          <w:rFonts w:hint="eastAsia" w:ascii="黑体" w:hAnsi="Cambria" w:eastAsia="黑体" w:cs="Times New Roman"/>
          <w:bCs/>
          <w:kern w:val="2"/>
          <w:szCs w:val="32"/>
          <w:lang w:val="en-US" w:eastAsia="zh-CN" w:bidi="ar-SA"/>
        </w:rPr>
        <w:fldChar w:fldCharType="end"/>
      </w:r>
      <w:r>
        <w:rPr>
          <w:rFonts w:hint="eastAsia" w:ascii="黑体" w:hAnsi="Cambria" w:eastAsia="黑体" w:cs="Times New Roman"/>
          <w:bCs/>
          <w:kern w:val="2"/>
          <w:szCs w:val="32"/>
          <w:lang w:val="en-US" w:eastAsia="zh-CN" w:bidi="ar-SA"/>
        </w:rPr>
        <w:t>3</w:t>
      </w:r>
    </w:p>
    <w:p>
      <w:pPr>
        <w:jc w:val="center"/>
        <w:rPr>
          <w:rStyle w:val="16"/>
          <w:rFonts w:ascii="黑体" w:eastAsia="黑体"/>
          <w:b/>
          <w:bCs w:val="0"/>
          <w:sz w:val="44"/>
          <w:szCs w:val="44"/>
        </w:rPr>
      </w:pPr>
      <w:r>
        <w:fldChar w:fldCharType="end"/>
      </w:r>
      <w:bookmarkStart w:id="14" w:name="_Toc5209"/>
      <w:bookmarkStart w:id="15" w:name="_Toc13362"/>
      <w:r>
        <w:rPr>
          <w:rFonts w:hint="eastAsia" w:ascii="黑体" w:eastAsia="黑体"/>
          <w:b w:val="0"/>
          <w:sz w:val="44"/>
          <w:szCs w:val="44"/>
        </w:rPr>
        <w:t xml:space="preserve">第一部分 </w:t>
      </w:r>
      <w:r>
        <w:rPr>
          <w:rStyle w:val="16"/>
          <w:rFonts w:hint="eastAsia" w:ascii="黑体" w:eastAsia="黑体"/>
          <w:b w:val="0"/>
          <w:bCs w:val="0"/>
          <w:sz w:val="44"/>
          <w:szCs w:val="44"/>
        </w:rPr>
        <w:t>部门概况</w:t>
      </w:r>
      <w:bookmarkEnd w:id="12"/>
      <w:bookmarkEnd w:id="13"/>
      <w:bookmarkEnd w:id="14"/>
      <w:bookmarkEnd w:id="15"/>
    </w:p>
    <w:p>
      <w:pPr>
        <w:widowControl/>
        <w:jc w:val="left"/>
        <w:rPr>
          <w:rFonts w:ascii="黑体" w:eastAsia="黑体"/>
          <w:sz w:val="32"/>
          <w:szCs w:val="32"/>
        </w:rPr>
      </w:pPr>
    </w:p>
    <w:p>
      <w:pPr>
        <w:pStyle w:val="3"/>
        <w:numPr>
          <w:ilvl w:val="0"/>
          <w:numId w:val="1"/>
        </w:numPr>
        <w:rPr>
          <w:rFonts w:hint="eastAsia" w:ascii="黑体" w:eastAsia="黑体"/>
          <w:b w:val="0"/>
        </w:rPr>
      </w:pPr>
      <w:bookmarkStart w:id="16" w:name="_Toc3188"/>
      <w:bookmarkStart w:id="17" w:name="_Toc12038"/>
      <w:r>
        <w:rPr>
          <w:rFonts w:hint="eastAsia" w:ascii="黑体" w:eastAsia="黑体"/>
          <w:b w:val="0"/>
        </w:rPr>
        <w:t>部门职责</w:t>
      </w:r>
      <w:bookmarkEnd w:id="16"/>
      <w:bookmarkEnd w:id="17"/>
    </w:p>
    <w:p>
      <w:pPr>
        <w:pStyle w:val="17"/>
        <w:shd w:val="clear" w:fill="FFFFFF"/>
        <w:rPr>
          <w:rFonts w:hint="default" w:ascii="华文仿宋" w:hAnsi="华文仿宋" w:eastAsia="华文仿宋" w:cs="华文仿宋"/>
          <w:b w:val="0"/>
          <w:bCs w:val="0"/>
          <w:kern w:val="0"/>
          <w:sz w:val="30"/>
          <w:szCs w:val="30"/>
          <w:shd w:val="clear" w:fill="FFFFFF"/>
        </w:rPr>
      </w:pPr>
      <w:r>
        <w:rPr>
          <w:rStyle w:val="18"/>
          <w:rFonts w:hint="default" w:ascii="华文仿宋" w:hAnsi="华文仿宋" w:eastAsia="华文仿宋" w:cs="华文仿宋"/>
          <w:b w:val="0"/>
          <w:bCs w:val="0"/>
          <w:sz w:val="30"/>
          <w:szCs w:val="30"/>
          <w:shd w:val="clear" w:fill="FFFFFF"/>
        </w:rPr>
        <w:t>（一）基本情况。</w:t>
      </w:r>
    </w:p>
    <w:p>
      <w:pPr>
        <w:ind w:left="0" w:firstLine="600" w:firstLineChars="200"/>
        <w:rPr>
          <w:rFonts w:hint="default" w:ascii="华文仿宋" w:hAnsi="华文仿宋" w:eastAsia="华文仿宋" w:cs="华文仿宋"/>
          <w:b w:val="0"/>
          <w:bCs w:val="0"/>
          <w:kern w:val="0"/>
          <w:sz w:val="30"/>
          <w:szCs w:val="30"/>
        </w:rPr>
      </w:pPr>
      <w:r>
        <w:rPr>
          <w:rFonts w:hint="default" w:ascii="华文仿宋" w:hAnsi="华文仿宋" w:eastAsia="华文仿宋" w:cs="华文仿宋"/>
          <w:b w:val="0"/>
          <w:bCs w:val="0"/>
          <w:kern w:val="0"/>
          <w:sz w:val="30"/>
          <w:szCs w:val="30"/>
        </w:rPr>
        <w:t>1．主要职能。</w:t>
      </w:r>
    </w:p>
    <w:p>
      <w:pPr>
        <w:ind w:left="0" w:firstLine="600" w:firstLineChars="200"/>
        <w:rPr>
          <w:rFonts w:hint="default" w:ascii="华文仿宋" w:hAnsi="华文仿宋" w:eastAsia="华文仿宋" w:cs="华文仿宋"/>
          <w:b w:val="0"/>
          <w:bCs w:val="0"/>
          <w:kern w:val="0"/>
          <w:sz w:val="30"/>
          <w:szCs w:val="30"/>
        </w:rPr>
      </w:pPr>
      <w:r>
        <w:rPr>
          <w:rFonts w:hint="default" w:ascii="华文仿宋" w:hAnsi="华文仿宋" w:eastAsia="华文仿宋" w:cs="华文仿宋"/>
          <w:b w:val="0"/>
          <w:bCs w:val="0"/>
          <w:kern w:val="0"/>
          <w:sz w:val="30"/>
          <w:szCs w:val="30"/>
        </w:rPr>
        <w:t>法院作为国家审判机关，在县委的领导和中级人民法院的指导下依法独立行使审判权，对县人民代表大会及其常务委员会负责并报告工作。认真贯彻党的方针政策，忠于法律、忠于事实、忠于人民，严肃执法，公正司法。</w:t>
      </w:r>
    </w:p>
    <w:p>
      <w:pPr>
        <w:pStyle w:val="17"/>
        <w:shd w:val="clear" w:fill="FFFFFF"/>
        <w:ind w:left="0" w:firstLine="600" w:firstLineChars="200"/>
        <w:rPr>
          <w:rFonts w:hint="default" w:ascii="华文仿宋" w:hAnsi="华文仿宋" w:eastAsia="华文仿宋" w:cs="华文仿宋"/>
          <w:b w:val="0"/>
          <w:bCs w:val="0"/>
          <w:kern w:val="0"/>
          <w:sz w:val="30"/>
          <w:szCs w:val="30"/>
          <w:shd w:val="clear" w:fill="FFFFFF"/>
        </w:rPr>
      </w:pPr>
      <w:r>
        <w:rPr>
          <w:rFonts w:hint="default" w:ascii="华文仿宋" w:hAnsi="华文仿宋" w:eastAsia="华文仿宋" w:cs="华文仿宋"/>
          <w:b w:val="0"/>
          <w:bCs w:val="0"/>
          <w:kern w:val="0"/>
          <w:sz w:val="30"/>
          <w:szCs w:val="30"/>
          <w:shd w:val="clear" w:fill="FFFFFF"/>
        </w:rPr>
        <w:t>2．本单位本年度纳入本套决算编制范围的独立编制机构数共1个，比上年增加0个；独立核算机构数共1个，比上年增加0个。</w:t>
      </w:r>
    </w:p>
    <w:p>
      <w:pPr>
        <w:pStyle w:val="17"/>
        <w:shd w:val="clear" w:fill="FFFFFF"/>
        <w:ind w:left="0" w:firstLine="600" w:firstLineChars="200"/>
        <w:rPr>
          <w:rFonts w:hint="default" w:ascii="华文仿宋" w:hAnsi="华文仿宋" w:eastAsia="华文仿宋" w:cs="华文仿宋"/>
          <w:b w:val="0"/>
          <w:bCs w:val="0"/>
          <w:kern w:val="0"/>
          <w:sz w:val="30"/>
          <w:szCs w:val="30"/>
          <w:shd w:val="clear" w:fill="FFFFFF"/>
        </w:rPr>
      </w:pPr>
      <w:r>
        <w:rPr>
          <w:rFonts w:hint="default" w:ascii="华文仿宋" w:hAnsi="华文仿宋" w:eastAsia="华文仿宋" w:cs="华文仿宋"/>
          <w:b w:val="0"/>
          <w:bCs w:val="0"/>
          <w:kern w:val="0"/>
          <w:sz w:val="30"/>
          <w:szCs w:val="30"/>
          <w:shd w:val="clear" w:fill="FFFFFF"/>
        </w:rPr>
        <w:t>3． 本单位本年度年末实有人数为40人，比上年增加-1人；年末实有离退休人数为11人，比上年增加11人；</w:t>
      </w:r>
      <w:r>
        <w:rPr>
          <w:rStyle w:val="18"/>
          <w:rFonts w:hint="default" w:ascii="华文仿宋" w:hAnsi="华文仿宋" w:eastAsia="华文仿宋" w:cs="华文仿宋"/>
          <w:b w:val="0"/>
          <w:bCs w:val="0"/>
          <w:sz w:val="30"/>
          <w:szCs w:val="30"/>
          <w:shd w:val="clear" w:fill="FFFFFF"/>
        </w:rPr>
        <w:t>按规定上报人数。</w:t>
      </w:r>
      <w:r>
        <w:rPr>
          <w:rFonts w:hint="default" w:ascii="华文仿宋" w:hAnsi="华文仿宋" w:eastAsia="华文仿宋" w:cs="华文仿宋"/>
          <w:b w:val="0"/>
          <w:bCs w:val="0"/>
          <w:kern w:val="0"/>
          <w:sz w:val="30"/>
          <w:szCs w:val="30"/>
          <w:shd w:val="clear" w:fill="FFFFFF"/>
        </w:rPr>
        <w:t>年末实有其他人数为19人，比上年增加10人；</w:t>
      </w:r>
      <w:r>
        <w:rPr>
          <w:rStyle w:val="18"/>
          <w:rFonts w:hint="default" w:ascii="华文仿宋" w:hAnsi="华文仿宋" w:eastAsia="华文仿宋" w:cs="华文仿宋"/>
          <w:b w:val="0"/>
          <w:bCs w:val="0"/>
          <w:sz w:val="30"/>
          <w:szCs w:val="30"/>
          <w:shd w:val="clear" w:fill="FFFFFF"/>
        </w:rPr>
        <w:t>变动情况及原因为新增书记员。</w:t>
      </w:r>
    </w:p>
    <w:p>
      <w:pPr>
        <w:pStyle w:val="17"/>
        <w:shd w:val="clear" w:fill="FFFFFF"/>
        <w:rPr>
          <w:rFonts w:hint="default" w:ascii="华文仿宋" w:hAnsi="华文仿宋" w:eastAsia="华文仿宋" w:cs="华文仿宋"/>
          <w:b w:val="0"/>
          <w:bCs w:val="0"/>
          <w:kern w:val="0"/>
          <w:sz w:val="30"/>
          <w:szCs w:val="30"/>
          <w:shd w:val="clear" w:fill="FFFFFF"/>
        </w:rPr>
      </w:pPr>
      <w:r>
        <w:rPr>
          <w:rStyle w:val="18"/>
          <w:rFonts w:hint="default" w:ascii="华文仿宋" w:hAnsi="华文仿宋" w:eastAsia="华文仿宋" w:cs="华文仿宋"/>
          <w:b w:val="0"/>
          <w:bCs w:val="0"/>
          <w:sz w:val="30"/>
          <w:szCs w:val="30"/>
          <w:shd w:val="clear" w:fill="FFFFFF"/>
        </w:rPr>
        <w:t>（二）当年取得的主要事业成效。</w:t>
      </w:r>
    </w:p>
    <w:p>
      <w:pPr>
        <w:spacing w:line="560" w:lineRule="exact"/>
        <w:ind w:left="0" w:firstLine="616" w:firstLineChars="200"/>
        <w:rPr>
          <w:rFonts w:hint="default" w:ascii="华文仿宋" w:hAnsi="华文仿宋" w:eastAsia="华文仿宋" w:cs="华文仿宋"/>
          <w:b w:val="0"/>
          <w:bCs w:val="0"/>
          <w:spacing w:val="4"/>
          <w:kern w:val="0"/>
          <w:sz w:val="30"/>
          <w:szCs w:val="30"/>
        </w:rPr>
      </w:pPr>
      <w:r>
        <w:rPr>
          <w:rFonts w:hint="default" w:ascii="华文仿宋" w:hAnsi="华文仿宋" w:eastAsia="华文仿宋" w:cs="华文仿宋"/>
          <w:b w:val="0"/>
          <w:bCs w:val="0"/>
          <w:spacing w:val="4"/>
          <w:kern w:val="0"/>
          <w:sz w:val="30"/>
          <w:szCs w:val="30"/>
        </w:rPr>
        <w:t>2022年，在县委坚强领导、县人大及其常委会有力监督、县政府大力支持、县政协民主监督和州法院精心指导下，红原法院坚定以习近平新时代中国特色社会主义思想为指导，认真贯彻落实党的二十大、习近平总书记对四川工作系列重要指示和省、州第十二次党代会、县第十三次党代会精神，紧紧围绕“努力让人民群众在每一个司法案件中感受到公平正义”的目标，坚持司法为民、公正司法的工作主线，忠实履行宪法和法律赋予的职责，主动服务中心大局，全面加强自身建设，为经济社会发展提供了有力的司法服务和保障，各项工作取得新成效。</w:t>
      </w:r>
    </w:p>
    <w:p>
      <w:pPr>
        <w:spacing w:line="560" w:lineRule="exact"/>
        <w:ind w:left="0" w:firstLine="616" w:firstLineChars="200"/>
      </w:pPr>
      <w:r>
        <w:rPr>
          <w:rFonts w:hint="default" w:ascii="华文仿宋" w:hAnsi="华文仿宋" w:eastAsia="华文仿宋" w:cs="华文仿宋"/>
          <w:b w:val="0"/>
          <w:bCs w:val="0"/>
          <w:spacing w:val="4"/>
          <w:kern w:val="0"/>
          <w:sz w:val="30"/>
          <w:szCs w:val="30"/>
        </w:rPr>
        <w:t>一年来，全院共新收各类案件495件，同比增长20.44%，结案498件（含旧存7件），收结比达100.61 %。平均在院审理天数39.08天，一审判决服判息诉率达96.25%，法定审限结案率达100%，圆满完成全年各项目标任务。</w:t>
      </w:r>
    </w:p>
    <w:p>
      <w:pPr>
        <w:pStyle w:val="3"/>
        <w:rPr>
          <w:rStyle w:val="19"/>
          <w:b w:val="0"/>
          <w:bCs w:val="0"/>
        </w:rPr>
      </w:pPr>
      <w:bookmarkStart w:id="18" w:name="_Toc15396601"/>
      <w:bookmarkStart w:id="19" w:name="_Toc15377200"/>
      <w:bookmarkStart w:id="20" w:name="_Toc21403"/>
      <w:bookmarkStart w:id="21" w:name="_Toc19920"/>
      <w:r>
        <w:rPr>
          <w:rFonts w:hint="eastAsia" w:ascii="黑体" w:eastAsia="黑体"/>
          <w:b w:val="0"/>
        </w:rPr>
        <w:t>二、机</w:t>
      </w:r>
      <w:r>
        <w:rPr>
          <w:rStyle w:val="19"/>
          <w:rFonts w:hint="eastAsia" w:ascii="黑体" w:eastAsia="黑体"/>
          <w:b w:val="0"/>
          <w:bCs w:val="0"/>
        </w:rPr>
        <w:t>构设置</w:t>
      </w:r>
      <w:bookmarkEnd w:id="18"/>
      <w:bookmarkEnd w:id="19"/>
      <w:bookmarkEnd w:id="20"/>
      <w:bookmarkEnd w:id="21"/>
    </w:p>
    <w:p>
      <w:pPr>
        <w:pStyle w:val="11"/>
        <w:shd w:val="clear" w:color="auto" w:fill="FFFFFF"/>
        <w:ind w:firstLine="616" w:firstLineChars="200"/>
        <w:rPr>
          <w:rFonts w:hint="eastAsia" w:ascii="华文仿宋" w:hAnsi="华文仿宋" w:eastAsia="华文仿宋" w:cs="华文仿宋"/>
          <w:b w:val="0"/>
          <w:bCs w:val="0"/>
          <w:spacing w:val="4"/>
          <w:kern w:val="0"/>
          <w:sz w:val="30"/>
          <w:szCs w:val="30"/>
          <w:lang w:val="en-US" w:eastAsia="zh-CN" w:bidi="ar-SA"/>
        </w:rPr>
      </w:pPr>
      <w:r>
        <w:rPr>
          <w:rFonts w:hint="eastAsia" w:ascii="华文仿宋" w:hAnsi="华文仿宋" w:eastAsia="华文仿宋" w:cs="华文仿宋"/>
          <w:b w:val="0"/>
          <w:bCs w:val="0"/>
          <w:spacing w:val="4"/>
          <w:kern w:val="0"/>
          <w:sz w:val="30"/>
          <w:szCs w:val="30"/>
          <w:lang w:val="en-US" w:eastAsia="zh-CN" w:bidi="ar-SA"/>
        </w:rPr>
        <w:t>本单位为一级预算单位，所属市级预算单位，单位类型为 行政单位，按照政府会计准则制度填报决算数据。</w:t>
      </w:r>
    </w:p>
    <w:p>
      <w:pPr>
        <w:pStyle w:val="11"/>
        <w:shd w:val="clear" w:color="auto" w:fill="FFFFFF"/>
        <w:rPr>
          <w:rFonts w:hint="eastAsia" w:ascii="华文仿宋" w:hAnsi="华文仿宋" w:eastAsia="华文仿宋" w:cs="华文仿宋"/>
          <w:b w:val="0"/>
          <w:bCs w:val="0"/>
          <w:spacing w:val="4"/>
          <w:kern w:val="0"/>
          <w:sz w:val="30"/>
          <w:szCs w:val="30"/>
          <w:lang w:val="en-US" w:eastAsia="zh-CN" w:bidi="ar-SA"/>
        </w:rPr>
      </w:pPr>
      <w:r>
        <w:rPr>
          <w:rFonts w:hint="eastAsia" w:ascii="华文仿宋" w:hAnsi="华文仿宋" w:eastAsia="华文仿宋" w:cs="华文仿宋"/>
          <w:b w:val="0"/>
          <w:bCs w:val="0"/>
          <w:spacing w:val="4"/>
          <w:kern w:val="0"/>
          <w:sz w:val="30"/>
          <w:szCs w:val="30"/>
          <w:lang w:val="en-US" w:eastAsia="zh-CN" w:bidi="ar-SA"/>
        </w:rPr>
        <w:t>   纳入本套决算编制范围的独立编制机构数1个，比上年增加0个，独立核算机构数共1个，比上年增加 0个。</w:t>
      </w:r>
    </w:p>
    <w:p>
      <w:pPr>
        <w:widowControl/>
        <w:jc w:val="left"/>
        <w:rPr>
          <w:rFonts w:ascii="仿宋" w:eastAsia="仿宋"/>
          <w:kern w:val="0"/>
          <w:sz w:val="32"/>
          <w:szCs w:val="32"/>
        </w:rPr>
      </w:pPr>
      <w:r>
        <w:rPr>
          <w:rFonts w:ascii="仿宋" w:eastAsia="仿宋"/>
          <w:sz w:val="32"/>
          <w:szCs w:val="32"/>
        </w:rPr>
        <w:br w:type="page"/>
      </w:r>
    </w:p>
    <w:p>
      <w:pPr>
        <w:pStyle w:val="2"/>
        <w:ind w:right="440"/>
        <w:jc w:val="center"/>
        <w:rPr>
          <w:rStyle w:val="16"/>
          <w:rFonts w:ascii="黑体" w:eastAsia="黑体"/>
          <w:b w:val="0"/>
          <w:bCs/>
        </w:rPr>
      </w:pPr>
      <w:bookmarkStart w:id="22" w:name="_Toc15396602"/>
      <w:bookmarkStart w:id="23" w:name="_Toc15377204"/>
      <w:bookmarkStart w:id="24" w:name="_Toc16426"/>
      <w:bookmarkStart w:id="25" w:name="_Toc29457"/>
      <w:r>
        <w:rPr>
          <w:rFonts w:hint="eastAsia" w:ascii="黑体" w:eastAsia="黑体"/>
          <w:b w:val="0"/>
        </w:rPr>
        <w:t>第二部分 2022年度</w:t>
      </w:r>
      <w:r>
        <w:rPr>
          <w:rStyle w:val="16"/>
          <w:rFonts w:hint="eastAsia" w:ascii="黑体" w:eastAsia="黑体"/>
          <w:b w:val="0"/>
          <w:bCs/>
        </w:rPr>
        <w:t>部门决算情况说明</w:t>
      </w:r>
      <w:bookmarkEnd w:id="22"/>
      <w:bookmarkEnd w:id="23"/>
      <w:bookmarkEnd w:id="24"/>
      <w:bookmarkEnd w:id="25"/>
    </w:p>
    <w:p/>
    <w:p>
      <w:pPr>
        <w:pStyle w:val="20"/>
        <w:numPr>
          <w:ilvl w:val="0"/>
          <w:numId w:val="2"/>
        </w:numPr>
        <w:spacing w:line="600" w:lineRule="exact"/>
        <w:ind w:firstLineChars="0"/>
        <w:outlineLvl w:val="1"/>
        <w:rPr>
          <w:rStyle w:val="19"/>
          <w:rFonts w:ascii="黑体" w:eastAsia="黑体"/>
          <w:b w:val="0"/>
        </w:rPr>
      </w:pPr>
      <w:bookmarkStart w:id="26" w:name="_Toc802"/>
      <w:bookmarkStart w:id="27" w:name="_Toc15396603"/>
      <w:bookmarkStart w:id="28" w:name="_Toc15377205"/>
      <w:bookmarkStart w:id="29" w:name="_Toc12317"/>
      <w:r>
        <w:rPr>
          <w:rFonts w:hint="eastAsia" w:ascii="黑体" w:eastAsia="黑体"/>
          <w:sz w:val="32"/>
          <w:szCs w:val="32"/>
        </w:rPr>
        <w:t>收</w:t>
      </w:r>
      <w:r>
        <w:rPr>
          <w:rStyle w:val="19"/>
          <w:rFonts w:hint="eastAsia" w:ascii="黑体" w:eastAsia="黑体"/>
          <w:b w:val="0"/>
        </w:rPr>
        <w:t>入支出决算总体情况说明</w:t>
      </w:r>
      <w:bookmarkEnd w:id="26"/>
      <w:bookmarkEnd w:id="27"/>
      <w:bookmarkEnd w:id="28"/>
      <w:bookmarkEnd w:id="29"/>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2022年度收、支总计1,665.99万元。与2021年相比，收、支总计各增加-98.65万元，增长-5.59%。主要变动原因是项目资金减少，人员经费减少，目标奖、司法绩效奖由地方保障</w:t>
      </w:r>
      <w:r>
        <w:rPr>
          <w:rFonts w:hint="eastAsia" w:ascii="仿宋" w:eastAsia="仿宋"/>
          <w:sz w:val="32"/>
          <w:szCs w:val="32"/>
          <w:lang w:eastAsia="zh-CN"/>
        </w:rPr>
        <w:t>。</w:t>
      </w:r>
    </w:p>
    <w:p>
      <w:pPr>
        <w:spacing w:line="600" w:lineRule="exact"/>
        <w:jc w:val="center"/>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jc w:val="center"/>
        <w:rPr>
          <w:shd w:val="clear" w:fill="FFFFFF"/>
        </w:rPr>
      </w:pPr>
      <w:r>
        <w:rPr>
          <w:rFonts w:hint="eastAsia" w:eastAsia="宋体"/>
          <w:shd w:val="clear" w:fill="FFFFFF"/>
          <w:lang w:eastAsia="zh-CN"/>
        </w:rPr>
        <w:drawing>
          <wp:inline distT="0" distB="0" distL="114300" distR="114300">
            <wp:extent cx="4562475" cy="3139440"/>
            <wp:effectExtent l="4445" t="4445" r="5080" b="184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0"/>
        <w:numPr>
          <w:ilvl w:val="0"/>
          <w:numId w:val="2"/>
        </w:numPr>
        <w:spacing w:line="600" w:lineRule="exact"/>
        <w:ind w:firstLineChars="0"/>
        <w:outlineLvl w:val="1"/>
        <w:rPr>
          <w:rStyle w:val="19"/>
          <w:rFonts w:ascii="黑体" w:eastAsia="黑体"/>
          <w:b w:val="0"/>
        </w:rPr>
      </w:pPr>
      <w:bookmarkStart w:id="30" w:name="_Toc15377206"/>
      <w:bookmarkStart w:id="31" w:name="_Toc15396604"/>
      <w:bookmarkStart w:id="32" w:name="_Toc29759"/>
      <w:bookmarkStart w:id="33" w:name="_Toc7550"/>
      <w:r>
        <w:rPr>
          <w:rFonts w:hint="eastAsia" w:ascii="黑体" w:eastAsia="黑体"/>
          <w:sz w:val="32"/>
          <w:szCs w:val="32"/>
        </w:rPr>
        <w:t>收</w:t>
      </w:r>
      <w:r>
        <w:rPr>
          <w:rStyle w:val="19"/>
          <w:rFonts w:hint="eastAsia" w:ascii="黑体" w:eastAsia="黑体"/>
          <w:b w:val="0"/>
        </w:rPr>
        <w:t>入决算情况说明</w:t>
      </w:r>
      <w:bookmarkEnd w:id="30"/>
      <w:bookmarkEnd w:id="31"/>
      <w:bookmarkEnd w:id="32"/>
      <w:bookmarkEnd w:id="33"/>
    </w:p>
    <w:p>
      <w:pPr>
        <w:spacing w:line="600" w:lineRule="exact"/>
        <w:ind w:firstLine="640" w:firstLineChars="200"/>
        <w:outlineLvl w:val="1"/>
        <w:rPr>
          <w:rFonts w:ascii="仿宋" w:eastAsia="仿宋"/>
          <w:sz w:val="32"/>
          <w:szCs w:val="32"/>
        </w:rPr>
      </w:pPr>
      <w:bookmarkStart w:id="34" w:name="_Toc14092"/>
      <w:bookmarkStart w:id="35" w:name="_Toc9978"/>
      <w:r>
        <w:rPr>
          <w:rFonts w:ascii="仿宋" w:eastAsia="仿宋"/>
          <w:sz w:val="32"/>
          <w:szCs w:val="32"/>
        </w:rPr>
        <w:t>20</w:t>
      </w:r>
      <w:r>
        <w:rPr>
          <w:rFonts w:hint="eastAsia" w:ascii="仿宋" w:eastAsia="仿宋"/>
          <w:sz w:val="32"/>
          <w:szCs w:val="32"/>
        </w:rPr>
        <w:t>22年本年收入合计</w:t>
      </w:r>
      <w:r>
        <w:rPr>
          <w:rFonts w:hint="eastAsia" w:ascii="华文仿宋" w:hAnsi="华文仿宋" w:eastAsia="华文仿宋" w:cs="华文仿宋"/>
          <w:b w:val="0"/>
          <w:bCs w:val="0"/>
          <w:kern w:val="0"/>
          <w:sz w:val="30"/>
          <w:szCs w:val="30"/>
          <w:shd w:val="clear" w:fill="FFFFFF"/>
          <w:lang w:val="en-US" w:eastAsia="zh-CN"/>
        </w:rPr>
        <w:t>1665.99</w:t>
      </w:r>
      <w:r>
        <w:rPr>
          <w:rFonts w:hint="eastAsia" w:ascii="仿宋" w:eastAsia="仿宋"/>
          <w:sz w:val="32"/>
          <w:szCs w:val="32"/>
        </w:rPr>
        <w:t>万元，其中：一般公共预算财政拨款收入</w:t>
      </w:r>
      <w:r>
        <w:rPr>
          <w:rFonts w:hint="default" w:ascii="华文仿宋" w:hAnsi="华文仿宋" w:eastAsia="华文仿宋" w:cs="华文仿宋"/>
          <w:b w:val="0"/>
          <w:bCs w:val="0"/>
          <w:kern w:val="0"/>
          <w:sz w:val="30"/>
          <w:szCs w:val="30"/>
          <w:shd w:val="clear" w:fill="FFFFFF"/>
        </w:rPr>
        <w:t>1,072.19</w:t>
      </w:r>
      <w:r>
        <w:rPr>
          <w:rFonts w:hint="eastAsia" w:ascii="仿宋" w:eastAsia="仿宋"/>
          <w:sz w:val="32"/>
          <w:szCs w:val="32"/>
        </w:rPr>
        <w:t>万元，占</w:t>
      </w:r>
      <w:r>
        <w:rPr>
          <w:rFonts w:hint="eastAsia" w:ascii="仿宋" w:eastAsia="仿宋"/>
          <w:sz w:val="32"/>
          <w:szCs w:val="32"/>
          <w:lang w:val="en-US" w:eastAsia="zh-CN"/>
        </w:rPr>
        <w:t>64.36</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593.81</w:t>
      </w:r>
      <w:r>
        <w:rPr>
          <w:rFonts w:hint="eastAsia" w:ascii="仿宋" w:eastAsia="仿宋"/>
          <w:sz w:val="32"/>
          <w:szCs w:val="32"/>
        </w:rPr>
        <w:t>万元，占</w:t>
      </w:r>
      <w:r>
        <w:rPr>
          <w:rFonts w:hint="eastAsia" w:ascii="仿宋" w:eastAsia="仿宋"/>
          <w:sz w:val="32"/>
          <w:szCs w:val="32"/>
          <w:lang w:val="en-US" w:eastAsia="zh-CN"/>
        </w:rPr>
        <w:t>35.64</w:t>
      </w:r>
      <w:r>
        <w:rPr>
          <w:rFonts w:ascii="仿宋" w:eastAsia="仿宋"/>
          <w:sz w:val="32"/>
          <w:szCs w:val="32"/>
        </w:rPr>
        <w:t>%</w:t>
      </w:r>
      <w:r>
        <w:rPr>
          <w:rFonts w:hint="eastAsia" w:ascii="仿宋" w:eastAsia="仿宋"/>
          <w:sz w:val="32"/>
          <w:szCs w:val="32"/>
        </w:rPr>
        <w:t>。</w:t>
      </w:r>
      <w:bookmarkEnd w:id="34"/>
      <w:bookmarkEnd w:id="35"/>
    </w:p>
    <w:p>
      <w:pPr>
        <w:spacing w:line="600" w:lineRule="exact"/>
        <w:jc w:val="center"/>
        <w:rPr>
          <w:rFonts w:hint="eastAsia" w:ascii="仿宋_GB2312" w:eastAsia="仿宋_GB2312"/>
          <w:sz w:val="32"/>
          <w:szCs w:val="32"/>
          <w:lang w:eastAsia="zh-CN"/>
        </w:rPr>
      </w:pPr>
      <w:r>
        <w:rPr>
          <w:rFonts w:hint="eastAsia" w:ascii="仿宋" w:eastAsia="仿宋"/>
          <w:sz w:val="32"/>
          <w:szCs w:val="32"/>
        </w:rPr>
        <w:t>图2：收入决算结构图</w:t>
      </w:r>
    </w:p>
    <w:p>
      <w:pPr>
        <w:jc w:val="left"/>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75580" cy="3074670"/>
            <wp:effectExtent l="4445" t="4445" r="15875" b="698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0"/>
        <w:numPr>
          <w:ilvl w:val="0"/>
          <w:numId w:val="2"/>
        </w:numPr>
        <w:spacing w:line="600" w:lineRule="exact"/>
        <w:ind w:firstLineChars="0"/>
        <w:outlineLvl w:val="1"/>
        <w:rPr>
          <w:rStyle w:val="19"/>
          <w:rFonts w:ascii="黑体" w:eastAsia="黑体"/>
          <w:b w:val="0"/>
        </w:rPr>
      </w:pPr>
      <w:bookmarkStart w:id="36" w:name="_Toc8099"/>
      <w:bookmarkStart w:id="37" w:name="_Toc15377207"/>
      <w:bookmarkStart w:id="38" w:name="_Toc15396605"/>
      <w:bookmarkStart w:id="39" w:name="_Toc6173"/>
      <w:r>
        <w:rPr>
          <w:rFonts w:hint="eastAsia" w:ascii="黑体" w:eastAsia="黑体"/>
          <w:sz w:val="32"/>
          <w:szCs w:val="32"/>
        </w:rPr>
        <w:t>支</w:t>
      </w:r>
      <w:r>
        <w:rPr>
          <w:rStyle w:val="19"/>
          <w:rFonts w:hint="eastAsia" w:ascii="黑体" w:eastAsia="黑体"/>
          <w:b w:val="0"/>
        </w:rPr>
        <w:t>出决算情况说明</w:t>
      </w:r>
      <w:bookmarkEnd w:id="36"/>
      <w:bookmarkEnd w:id="37"/>
      <w:bookmarkEnd w:id="38"/>
      <w:bookmarkEnd w:id="39"/>
    </w:p>
    <w:p>
      <w:pPr>
        <w:spacing w:line="600" w:lineRule="exact"/>
        <w:ind w:firstLine="640" w:firstLineChars="200"/>
        <w:outlineLvl w:val="1"/>
        <w:rPr>
          <w:rFonts w:hint="eastAsia" w:ascii="仿宋" w:eastAsia="仿宋"/>
          <w:sz w:val="32"/>
          <w:szCs w:val="32"/>
        </w:rPr>
      </w:pPr>
      <w:bookmarkStart w:id="40" w:name="_Toc14485"/>
      <w:bookmarkStart w:id="41" w:name="_Toc21664"/>
      <w:r>
        <w:rPr>
          <w:rFonts w:hint="eastAsia" w:ascii="仿宋" w:eastAsia="仿宋"/>
          <w:sz w:val="32"/>
          <w:szCs w:val="32"/>
        </w:rPr>
        <w:t>2022年本年支出合计1,665.99万元，其中：基本支出1,358.80万元，占81.56%；项目支出307.19万元，占18.44%；上缴上级支出0.00万元，占0.00%；经营支出0.00万元，占经营支出0.00万元，占 0.00%；对附属单位补助支出0.00万元，占0.00%。</w:t>
      </w:r>
      <w:bookmarkEnd w:id="40"/>
      <w:bookmarkEnd w:id="41"/>
    </w:p>
    <w:p>
      <w:pPr>
        <w:spacing w:line="600" w:lineRule="exact"/>
        <w:jc w:val="center"/>
        <w:outlineLvl w:val="1"/>
        <w:rPr>
          <w:rFonts w:hint="eastAsia" w:ascii="仿宋" w:eastAsia="仿宋"/>
          <w:sz w:val="32"/>
          <w:szCs w:val="32"/>
          <w:lang w:eastAsia="zh-CN"/>
        </w:rPr>
      </w:pPr>
      <w:bookmarkStart w:id="42" w:name="_Toc1162"/>
      <w:bookmarkStart w:id="43" w:name="_Toc1345"/>
      <w:r>
        <w:rPr>
          <w:rFonts w:hint="eastAsia" w:ascii="仿宋" w:eastAsia="仿宋"/>
          <w:sz w:val="32"/>
          <w:szCs w:val="32"/>
        </w:rPr>
        <w:t>图3：支出决算结构图</w:t>
      </w:r>
      <w:bookmarkEnd w:id="42"/>
      <w:bookmarkEnd w:id="43"/>
    </w:p>
    <w:p>
      <w:pPr>
        <w:jc w:val="center"/>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704080" cy="2035175"/>
            <wp:effectExtent l="4445" t="5080" r="15875"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Style w:val="19"/>
          <w:rFonts w:ascii="黑体" w:eastAsia="黑体"/>
          <w:b w:val="0"/>
        </w:rPr>
      </w:pPr>
      <w:bookmarkStart w:id="44" w:name="_Toc15377208"/>
      <w:bookmarkStart w:id="45" w:name="_Toc28540"/>
      <w:bookmarkStart w:id="46" w:name="_Toc15396606"/>
      <w:bookmarkStart w:id="47" w:name="_Toc16145"/>
      <w:r>
        <w:rPr>
          <w:rFonts w:hint="eastAsia" w:ascii="黑体" w:eastAsia="黑体"/>
          <w:sz w:val="32"/>
          <w:szCs w:val="32"/>
        </w:rPr>
        <w:t>四、财</w:t>
      </w:r>
      <w:r>
        <w:rPr>
          <w:rStyle w:val="19"/>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2022年财政拨款收、支总计1,072.19万元。与2021年相比，财政拨款收、支总计各增加-692.46万元，增长-39.24%。主要变动原因是原因（1）人员减少</w:t>
      </w:r>
      <w:r>
        <w:rPr>
          <w:rFonts w:hint="eastAsia" w:ascii="仿宋" w:eastAsia="仿宋"/>
          <w:sz w:val="32"/>
          <w:szCs w:val="32"/>
          <w:lang w:eastAsia="zh-CN"/>
        </w:rPr>
        <w:t>，</w:t>
      </w:r>
      <w:r>
        <w:rPr>
          <w:rFonts w:hint="eastAsia" w:ascii="仿宋" w:eastAsia="仿宋"/>
          <w:sz w:val="32"/>
          <w:szCs w:val="32"/>
        </w:rPr>
        <w:t>（2）由县级财政拨付593.81万元</w:t>
      </w:r>
      <w:r>
        <w:rPr>
          <w:rFonts w:hint="eastAsia" w:ascii="仿宋" w:eastAsia="仿宋"/>
          <w:sz w:val="32"/>
          <w:szCs w:val="32"/>
          <w:lang w:eastAsia="zh-CN"/>
        </w:rPr>
        <w:t>。</w:t>
      </w:r>
    </w:p>
    <w:p>
      <w:pPr>
        <w:spacing w:line="600" w:lineRule="exact"/>
        <w:jc w:val="center"/>
        <w:rPr>
          <w:rFonts w:hint="eastAsia" w:ascii="仿宋" w:eastAsia="仿宋"/>
          <w:sz w:val="32"/>
          <w:szCs w:val="32"/>
          <w:lang w:eastAsia="zh-CN"/>
        </w:rPr>
      </w:pPr>
      <w:r>
        <w:rPr>
          <w:rFonts w:hint="eastAsia" w:ascii="仿宋" w:eastAsia="仿宋"/>
          <w:sz w:val="32"/>
          <w:szCs w:val="32"/>
        </w:rPr>
        <w:t>图4：财政拨款收、支决算总计变动情况</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788025" cy="3605530"/>
            <wp:effectExtent l="4445" t="4445" r="1778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19"/>
          <w:rFonts w:ascii="黑体" w:eastAsia="黑体"/>
          <w:b w:val="0"/>
        </w:rPr>
      </w:pPr>
      <w:bookmarkStart w:id="48" w:name="_Toc18601"/>
      <w:bookmarkStart w:id="49" w:name="_Toc15377209"/>
      <w:bookmarkStart w:id="50" w:name="_Toc15396607"/>
      <w:bookmarkStart w:id="51" w:name="_Toc29688"/>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ascii="仿宋" w:eastAsia="仿宋"/>
          <w:b/>
          <w:sz w:val="32"/>
          <w:szCs w:val="32"/>
        </w:rPr>
      </w:pPr>
      <w:bookmarkStart w:id="52" w:name="_Toc7110"/>
      <w:bookmarkStart w:id="53" w:name="_Toc15377210"/>
      <w:bookmarkStart w:id="54" w:name="_Toc7659"/>
      <w:r>
        <w:rPr>
          <w:rFonts w:hint="eastAsia" w:ascii="仿宋" w:eastAsia="仿宋"/>
          <w:b/>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2022年一般公共预算财政拨款支出1,072.19万元，占本年支出合计的64.36%。与2021年相比，一般公共预算财政拨款支出增加-692.46万元，增长-39.24%。主要变动原因是（1）人员减少</w:t>
      </w:r>
      <w:r>
        <w:rPr>
          <w:rFonts w:hint="eastAsia" w:ascii="仿宋" w:eastAsia="仿宋"/>
          <w:sz w:val="32"/>
          <w:szCs w:val="32"/>
          <w:lang w:eastAsia="zh-CN"/>
        </w:rPr>
        <w:t>，</w:t>
      </w:r>
      <w:r>
        <w:rPr>
          <w:rFonts w:hint="eastAsia" w:ascii="仿宋" w:eastAsia="仿宋"/>
          <w:sz w:val="32"/>
          <w:szCs w:val="32"/>
        </w:rPr>
        <w:t>（2）由县级财政拨付593.81万元</w:t>
      </w:r>
      <w:r>
        <w:rPr>
          <w:rFonts w:hint="eastAsia" w:ascii="仿宋" w:eastAsia="仿宋"/>
          <w:sz w:val="32"/>
          <w:szCs w:val="32"/>
          <w:lang w:eastAsia="zh-CN"/>
        </w:rPr>
        <w:t>。</w:t>
      </w:r>
    </w:p>
    <w:p>
      <w:pPr>
        <w:spacing w:line="600" w:lineRule="exact"/>
        <w:ind w:firstLine="640" w:firstLineChars="200"/>
        <w:rPr>
          <w:rFonts w:ascii="仿宋" w:eastAsia="仿宋"/>
          <w:sz w:val="32"/>
          <w:szCs w:val="32"/>
        </w:rPr>
      </w:pPr>
    </w:p>
    <w:p>
      <w:pPr>
        <w:spacing w:line="600" w:lineRule="exact"/>
        <w:jc w:val="center"/>
        <w:rPr>
          <w:rFonts w:ascii="仿宋" w:eastAsia="仿宋"/>
          <w:sz w:val="32"/>
          <w:szCs w:val="32"/>
        </w:rPr>
      </w:pPr>
      <w:r>
        <w:rPr>
          <w:rFonts w:hint="eastAsia" w:ascii="仿宋" w:eastAsia="仿宋"/>
          <w:sz w:val="32"/>
          <w:szCs w:val="32"/>
        </w:rPr>
        <w:t>图5：一般公共预算财政拨款支出决算变动情况</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265420" cy="2122170"/>
            <wp:effectExtent l="4445" t="4445" r="6985" b="698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outlineLvl w:val="2"/>
        <w:rPr>
          <w:rFonts w:ascii="仿宋" w:eastAsia="仿宋"/>
          <w:b/>
          <w:sz w:val="32"/>
          <w:szCs w:val="32"/>
        </w:rPr>
      </w:pPr>
      <w:bookmarkStart w:id="55" w:name="_Toc16494"/>
      <w:bookmarkStart w:id="56" w:name="_Toc15377211"/>
      <w:bookmarkStart w:id="57" w:name="_Toc14091"/>
      <w:r>
        <w:rPr>
          <w:rFonts w:hint="eastAsia" w:ascii="仿宋" w:eastAsia="仿宋"/>
          <w:b/>
          <w:sz w:val="32"/>
          <w:szCs w:val="32"/>
        </w:rPr>
        <w:t>（二）一般公共预算财政拨款支出决算结构情况</w:t>
      </w:r>
      <w:bookmarkEnd w:id="55"/>
      <w:bookmarkEnd w:id="56"/>
      <w:bookmarkEnd w:id="57"/>
    </w:p>
    <w:p>
      <w:pPr>
        <w:spacing w:line="600" w:lineRule="exact"/>
        <w:ind w:firstLine="640"/>
        <w:rPr>
          <w:rFonts w:hint="eastAsia" w:ascii="仿宋" w:eastAsia="仿宋"/>
          <w:sz w:val="32"/>
          <w:szCs w:val="32"/>
        </w:rPr>
      </w:pPr>
      <w:r>
        <w:rPr>
          <w:rFonts w:hint="eastAsia" w:ascii="仿宋" w:eastAsia="仿宋"/>
          <w:sz w:val="32"/>
          <w:szCs w:val="32"/>
        </w:rPr>
        <w:t>2022年一般公共预算财政拨款支出1,072.19万元，主要用于以下方面:其中：公共安全支出为792.41万元，占比73.91%；社会保障和就业支出为129.88万元，占比12.11%；卫生健康支出为64.67万元，占比6.03%；住房保障支出为85.22万元，占比7.95%。</w:t>
      </w:r>
    </w:p>
    <w:p>
      <w:pPr>
        <w:spacing w:line="600" w:lineRule="exact"/>
        <w:jc w:val="center"/>
        <w:rPr>
          <w:rFonts w:ascii="仿宋" w:eastAsia="仿宋"/>
          <w:sz w:val="32"/>
          <w:szCs w:val="32"/>
        </w:rPr>
      </w:pPr>
      <w:r>
        <w:rPr>
          <w:rFonts w:hint="eastAsia" w:ascii="仿宋" w:eastAsia="仿宋"/>
          <w:sz w:val="32"/>
          <w:szCs w:val="32"/>
        </w:rPr>
        <w:t>图6：一般公共预算财政拨款支出决算结构</w:t>
      </w:r>
      <w:r>
        <w:rPr>
          <w:rFonts w:hint="eastAsia" w:ascii="仿宋" w:eastAsia="仿宋"/>
          <w:sz w:val="32"/>
          <w:szCs w:val="32"/>
          <w:lang w:val="en-US" w:eastAsia="zh-CN"/>
        </w:rPr>
        <w:t>图</w:t>
      </w:r>
    </w:p>
    <w:p>
      <w:pPr>
        <w:jc w:val="both"/>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990465" cy="3169920"/>
            <wp:effectExtent l="4445" t="4445" r="15240" b="698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eastAsia="仿宋"/>
          <w:b/>
          <w:sz w:val="32"/>
          <w:szCs w:val="32"/>
        </w:rPr>
      </w:pPr>
      <w:bookmarkStart w:id="58" w:name="_Toc2730"/>
      <w:bookmarkStart w:id="59" w:name="_Toc15377212"/>
      <w:bookmarkStart w:id="60" w:name="_Toc5105"/>
      <w:r>
        <w:rPr>
          <w:rFonts w:hint="eastAsia" w:ascii="仿宋" w:eastAsia="仿宋"/>
          <w:b/>
          <w:sz w:val="32"/>
          <w:szCs w:val="32"/>
        </w:rPr>
        <w:t>（三）一般公共预算财政拨款支出决算具体情况</w:t>
      </w:r>
      <w:bookmarkEnd w:id="58"/>
      <w:bookmarkEnd w:id="59"/>
      <w:bookmarkEnd w:id="60"/>
    </w:p>
    <w:p>
      <w:pPr>
        <w:spacing w:line="600" w:lineRule="exact"/>
        <w:ind w:firstLine="640"/>
        <w:rPr>
          <w:rFonts w:hint="eastAsia" w:ascii="仿宋" w:eastAsia="仿宋"/>
          <w:sz w:val="32"/>
          <w:szCs w:val="32"/>
        </w:rPr>
      </w:pPr>
      <w:r>
        <w:rPr>
          <w:rFonts w:hint="eastAsia" w:ascii="仿宋" w:eastAsia="仿宋"/>
          <w:sz w:val="32"/>
          <w:szCs w:val="32"/>
        </w:rPr>
        <w:t>2022年一般公共预算支出决算数为1,072.19</w:t>
      </w:r>
      <w:r>
        <w:rPr>
          <w:rFonts w:hint="eastAsia" w:ascii="仿宋" w:eastAsia="仿宋"/>
          <w:sz w:val="32"/>
          <w:szCs w:val="32"/>
          <w:lang w:val="en-US" w:eastAsia="zh-CN"/>
        </w:rPr>
        <w:t>万元</w:t>
      </w:r>
      <w:r>
        <w:rPr>
          <w:rFonts w:hint="eastAsia" w:ascii="仿宋" w:eastAsia="仿宋"/>
          <w:sz w:val="32"/>
          <w:szCs w:val="32"/>
        </w:rPr>
        <w:t>，完成预算100.00%。其中：</w:t>
      </w:r>
    </w:p>
    <w:p>
      <w:pPr>
        <w:spacing w:line="600" w:lineRule="exact"/>
        <w:ind w:firstLine="640"/>
        <w:rPr>
          <w:rFonts w:hint="eastAsia" w:ascii="仿宋" w:eastAsia="仿宋"/>
          <w:sz w:val="32"/>
          <w:szCs w:val="32"/>
          <w:lang w:eastAsia="zh-CN"/>
        </w:rPr>
      </w:pPr>
      <w:r>
        <w:rPr>
          <w:rFonts w:hint="eastAsia" w:ascii="仿宋" w:eastAsia="仿宋"/>
          <w:sz w:val="32"/>
          <w:szCs w:val="32"/>
        </w:rPr>
        <w:t>1.</w:t>
      </w:r>
      <w:r>
        <w:rPr>
          <w:rFonts w:hint="eastAsia" w:ascii="仿宋" w:eastAsia="仿宋"/>
          <w:sz w:val="32"/>
          <w:szCs w:val="32"/>
          <w:lang w:val="en-US" w:eastAsia="zh-CN"/>
        </w:rPr>
        <w:t>公共安全</w:t>
      </w:r>
      <w:r>
        <w:rPr>
          <w:rFonts w:hint="eastAsia" w:ascii="仿宋" w:eastAsia="仿宋"/>
          <w:sz w:val="32"/>
          <w:szCs w:val="32"/>
        </w:rPr>
        <w:t>: 支出决算为</w:t>
      </w:r>
      <w:r>
        <w:rPr>
          <w:rFonts w:hint="eastAsia" w:ascii="仿宋" w:eastAsia="仿宋"/>
          <w:sz w:val="32"/>
          <w:szCs w:val="32"/>
          <w:lang w:val="en-US" w:eastAsia="zh-CN"/>
        </w:rPr>
        <w:t>792.41</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2</w:t>
      </w:r>
      <w:r>
        <w:rPr>
          <w:rFonts w:hint="eastAsia" w:ascii="仿宋" w:eastAsia="仿宋"/>
          <w:sz w:val="32"/>
          <w:szCs w:val="32"/>
        </w:rPr>
        <w:t>.社会保障和就业: 支出决算为</w:t>
      </w:r>
      <w:r>
        <w:rPr>
          <w:rFonts w:hint="eastAsia" w:ascii="仿宋" w:eastAsia="仿宋"/>
          <w:sz w:val="32"/>
          <w:szCs w:val="32"/>
          <w:lang w:val="en-US" w:eastAsia="zh-CN"/>
        </w:rPr>
        <w:t>129.88</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3</w:t>
      </w:r>
      <w:r>
        <w:rPr>
          <w:rFonts w:hint="eastAsia" w:ascii="仿宋" w:eastAsia="仿宋"/>
          <w:sz w:val="32"/>
          <w:szCs w:val="32"/>
        </w:rPr>
        <w:t>.卫生健康:支出决算为</w:t>
      </w:r>
      <w:r>
        <w:rPr>
          <w:rFonts w:hint="eastAsia" w:ascii="仿宋" w:eastAsia="仿宋"/>
          <w:sz w:val="32"/>
          <w:szCs w:val="32"/>
          <w:lang w:val="en-US" w:eastAsia="zh-CN"/>
        </w:rPr>
        <w:t>64.67</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spacing w:line="600" w:lineRule="exact"/>
        <w:ind w:firstLine="640"/>
        <w:rPr>
          <w:rFonts w:hint="eastAsia" w:ascii="仿宋" w:eastAsia="仿宋"/>
          <w:sz w:val="32"/>
          <w:szCs w:val="32"/>
          <w:lang w:eastAsia="zh-CN"/>
        </w:rPr>
      </w:pPr>
      <w:r>
        <w:rPr>
          <w:rFonts w:hint="eastAsia" w:ascii="仿宋" w:eastAsia="仿宋"/>
          <w:sz w:val="32"/>
          <w:szCs w:val="32"/>
          <w:lang w:val="en-US" w:eastAsia="zh-CN"/>
        </w:rPr>
        <w:t>4.住房保障：</w:t>
      </w:r>
      <w:r>
        <w:rPr>
          <w:rFonts w:hint="eastAsia" w:ascii="仿宋" w:eastAsia="仿宋"/>
          <w:sz w:val="32"/>
          <w:szCs w:val="32"/>
        </w:rPr>
        <w:t>支出决算为</w:t>
      </w:r>
      <w:r>
        <w:rPr>
          <w:rFonts w:hint="eastAsia" w:ascii="仿宋" w:eastAsia="仿宋"/>
          <w:sz w:val="32"/>
          <w:szCs w:val="32"/>
          <w:lang w:val="en-US" w:eastAsia="zh-CN"/>
        </w:rPr>
        <w:t>129.88</w:t>
      </w:r>
      <w:r>
        <w:rPr>
          <w:rFonts w:hint="eastAsia" w:ascii="仿宋" w:eastAsia="仿宋"/>
          <w:sz w:val="32"/>
          <w:szCs w:val="32"/>
        </w:rPr>
        <w:t>万元，完成预算</w:t>
      </w:r>
      <w:r>
        <w:rPr>
          <w:rFonts w:hint="eastAsia" w:ascii="仿宋" w:eastAsia="仿宋"/>
          <w:sz w:val="32"/>
          <w:szCs w:val="32"/>
          <w:lang w:val="en-US" w:eastAsia="zh-CN"/>
        </w:rPr>
        <w:t>100</w:t>
      </w:r>
      <w:r>
        <w:rPr>
          <w:rFonts w:hint="eastAsia" w:ascii="仿宋" w:eastAsia="仿宋"/>
          <w:sz w:val="32"/>
          <w:szCs w:val="32"/>
        </w:rPr>
        <w:t>%</w:t>
      </w:r>
      <w:r>
        <w:rPr>
          <w:rFonts w:hint="eastAsia" w:ascii="仿宋" w:eastAsia="仿宋"/>
          <w:sz w:val="32"/>
          <w:szCs w:val="32"/>
          <w:lang w:eastAsia="zh-CN"/>
        </w:rPr>
        <w:t>。</w:t>
      </w:r>
    </w:p>
    <w:p>
      <w:pPr>
        <w:tabs>
          <w:tab w:val="right" w:pos="8306"/>
        </w:tabs>
        <w:spacing w:line="600" w:lineRule="exact"/>
        <w:ind w:firstLine="640"/>
        <w:outlineLvl w:val="1"/>
        <w:rPr>
          <w:rStyle w:val="19"/>
        </w:rPr>
      </w:pPr>
      <w:bookmarkStart w:id="61" w:name="_Toc15396608"/>
      <w:bookmarkStart w:id="62" w:name="_Toc15377214"/>
      <w:bookmarkStart w:id="63" w:name="_Toc3275"/>
      <w:bookmarkStart w:id="64" w:name="_Toc31973"/>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61"/>
      <w:bookmarkEnd w:id="62"/>
      <w:bookmarkEnd w:id="63"/>
      <w:bookmarkEnd w:id="64"/>
      <w:r>
        <w:rPr>
          <w:rStyle w:val="19"/>
          <w:rFonts w:ascii="黑体" w:eastAsia="黑体"/>
          <w:b w:val="0"/>
        </w:rPr>
        <w:tab/>
      </w:r>
    </w:p>
    <w:p>
      <w:pPr>
        <w:spacing w:line="600" w:lineRule="exact"/>
        <w:ind w:firstLine="645"/>
        <w:rPr>
          <w:rFonts w:hint="eastAsia" w:ascii="仿宋" w:eastAsia="仿宋"/>
          <w:sz w:val="32"/>
          <w:szCs w:val="32"/>
        </w:rPr>
      </w:pPr>
      <w:r>
        <w:rPr>
          <w:rFonts w:hint="eastAsia" w:ascii="仿宋" w:eastAsia="仿宋"/>
          <w:sz w:val="32"/>
          <w:szCs w:val="32"/>
        </w:rPr>
        <w:t>2022年一般公共预算财政拨款基本支出990.20万元，其中：</w:t>
      </w:r>
    </w:p>
    <w:p>
      <w:pPr>
        <w:spacing w:line="600" w:lineRule="exact"/>
        <w:ind w:firstLine="645"/>
        <w:rPr>
          <w:rFonts w:hint="eastAsia" w:ascii="仿宋" w:eastAsia="仿宋"/>
          <w:sz w:val="32"/>
          <w:szCs w:val="32"/>
        </w:rPr>
      </w:pPr>
      <w:r>
        <w:rPr>
          <w:rFonts w:hint="eastAsia" w:ascii="仿宋" w:eastAsia="仿宋"/>
          <w:sz w:val="32"/>
          <w:szCs w:val="32"/>
        </w:rPr>
        <w:t>人员经费896.55万元，主要包括：基本工资、津贴补贴、奖金、伙食补助费、机关事业单位基本养老保险缴费、职业年金缴费、其他社会保障缴费、其他工资福利支出、职工基本医疗保险缴费</w:t>
      </w:r>
      <w:r>
        <w:rPr>
          <w:rFonts w:hint="eastAsia" w:ascii="仿宋" w:eastAsia="仿宋"/>
          <w:sz w:val="32"/>
          <w:szCs w:val="32"/>
          <w:lang w:eastAsia="zh-CN"/>
        </w:rPr>
        <w:t>、公务员医疗补助缴费</w:t>
      </w:r>
      <w:r>
        <w:rPr>
          <w:rFonts w:hint="eastAsia" w:ascii="仿宋" w:eastAsia="仿宋"/>
          <w:sz w:val="32"/>
          <w:szCs w:val="32"/>
        </w:rPr>
        <w:t>、奖励金、住房公积金</w:t>
      </w:r>
      <w:r>
        <w:rPr>
          <w:rFonts w:hint="eastAsia" w:ascii="仿宋" w:eastAsia="仿宋"/>
          <w:sz w:val="32"/>
          <w:szCs w:val="32"/>
          <w:lang w:val="en-US" w:eastAsia="zh-CN"/>
        </w:rPr>
        <w:t>等</w:t>
      </w:r>
      <w:r>
        <w:rPr>
          <w:rFonts w:hint="eastAsia" w:ascii="仿宋" w:eastAsia="仿宋"/>
          <w:sz w:val="32"/>
          <w:szCs w:val="32"/>
        </w:rPr>
        <w:t>。</w:t>
      </w:r>
    </w:p>
    <w:p>
      <w:pPr>
        <w:ind w:firstLine="640"/>
        <w:jc w:val="both"/>
        <w:rPr>
          <w:rFonts w:hint="eastAsia" w:ascii="仿宋" w:eastAsia="仿宋"/>
          <w:sz w:val="32"/>
          <w:szCs w:val="32"/>
        </w:rPr>
      </w:pPr>
      <w:r>
        <w:rPr>
          <w:rFonts w:hint="eastAsia" w:ascii="仿宋" w:eastAsia="仿宋"/>
          <w:sz w:val="32"/>
          <w:szCs w:val="32"/>
        </w:rPr>
        <w:t>公用经费93.66万元，主要包括：办公费、印刷费、水费、邮电费、取暖费、差旅费、维修（护）费、培训费、公务接待费、工会经费、福利费、公务用车运行维护费、其他商品和服务支出等。</w:t>
      </w:r>
    </w:p>
    <w:p>
      <w:pPr>
        <w:spacing w:line="600" w:lineRule="exact"/>
        <w:ind w:firstLine="640"/>
        <w:outlineLvl w:val="1"/>
        <w:rPr>
          <w:rStyle w:val="19"/>
          <w:rFonts w:ascii="黑体" w:eastAsia="黑体"/>
          <w:b w:val="0"/>
        </w:rPr>
      </w:pPr>
      <w:bookmarkStart w:id="65" w:name="_Toc15396609"/>
      <w:bookmarkStart w:id="66" w:name="_Toc15377215"/>
      <w:bookmarkStart w:id="67" w:name="_Toc1944"/>
      <w:bookmarkStart w:id="68" w:name="_Toc6599"/>
      <w:r>
        <w:rPr>
          <w:rFonts w:hint="eastAsia" w:ascii="黑体" w:eastAsia="黑体"/>
          <w:sz w:val="32"/>
          <w:szCs w:val="32"/>
        </w:rPr>
        <w:t>七、</w:t>
      </w:r>
      <w:r>
        <w:rPr>
          <w:rStyle w:val="19"/>
          <w:rFonts w:hint="eastAsia" w:ascii="黑体" w:eastAsia="黑体"/>
          <w:b w:val="0"/>
        </w:rPr>
        <w:t>财政拨款</w:t>
      </w:r>
      <w:r>
        <w:rPr>
          <w:rStyle w:val="19"/>
          <w:rFonts w:hint="eastAsia" w:ascii="黑体" w:eastAsia="黑体"/>
        </w:rPr>
        <w:t>“</w:t>
      </w:r>
      <w:r>
        <w:rPr>
          <w:rStyle w:val="19"/>
          <w:rFonts w:hint="eastAsia" w:ascii="黑体" w:eastAsia="黑体"/>
          <w:b w:val="0"/>
        </w:rPr>
        <w:t>三公”经费支出决算情况说明</w:t>
      </w:r>
      <w:bookmarkEnd w:id="65"/>
      <w:bookmarkEnd w:id="66"/>
      <w:bookmarkEnd w:id="67"/>
      <w:bookmarkEnd w:id="68"/>
    </w:p>
    <w:p>
      <w:pPr>
        <w:spacing w:line="600" w:lineRule="exact"/>
        <w:ind w:firstLine="640"/>
        <w:outlineLvl w:val="2"/>
        <w:rPr>
          <w:rFonts w:ascii="仿宋" w:eastAsia="仿宋"/>
          <w:b/>
          <w:sz w:val="32"/>
          <w:szCs w:val="32"/>
        </w:rPr>
      </w:pPr>
      <w:bookmarkStart w:id="69" w:name="_Toc26768"/>
      <w:bookmarkStart w:id="70" w:name="_Toc15377216"/>
      <w:bookmarkStart w:id="71" w:name="_Toc30677"/>
      <w:r>
        <w:rPr>
          <w:rFonts w:hint="eastAsia" w:ascii="仿宋" w:eastAsia="仿宋"/>
          <w:b/>
          <w:sz w:val="32"/>
          <w:szCs w:val="32"/>
        </w:rPr>
        <w:t>（一）“三公”经费财政拨款支出决算总体情况说明</w:t>
      </w:r>
      <w:bookmarkEnd w:id="69"/>
      <w:bookmarkEnd w:id="70"/>
      <w:bookmarkEnd w:id="71"/>
    </w:p>
    <w:p>
      <w:pPr>
        <w:spacing w:line="600" w:lineRule="exact"/>
        <w:ind w:firstLine="640"/>
        <w:rPr>
          <w:rFonts w:ascii="仿宋" w:eastAsia="仿宋"/>
          <w:b/>
          <w:sz w:val="32"/>
          <w:szCs w:val="32"/>
        </w:rPr>
      </w:pPr>
      <w:r>
        <w:rPr>
          <w:rFonts w:hint="eastAsia" w:ascii="仿宋" w:eastAsia="仿宋"/>
          <w:sz w:val="32"/>
          <w:szCs w:val="32"/>
        </w:rPr>
        <w:t>2022年“三公”经费财政拨款支出决算为12.76万元，完成预算100.00%，决算数与预算数持平</w:t>
      </w:r>
      <w:r>
        <w:rPr>
          <w:rFonts w:hint="eastAsia" w:ascii="仿宋" w:eastAsia="仿宋"/>
          <w:sz w:val="32"/>
          <w:szCs w:val="32"/>
          <w:lang w:eastAsia="zh-CN"/>
        </w:rPr>
        <w:t>，</w:t>
      </w:r>
      <w:r>
        <w:rPr>
          <w:rFonts w:hint="eastAsia" w:ascii="仿宋" w:eastAsia="仿宋"/>
          <w:sz w:val="32"/>
          <w:szCs w:val="32"/>
          <w:lang w:val="en-US" w:eastAsia="zh-CN"/>
        </w:rPr>
        <w:t>主要原因为精准计划，严格执行预算绩效</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72" w:name="_Toc4796"/>
      <w:bookmarkStart w:id="73" w:name="_Toc15377217"/>
      <w:bookmarkStart w:id="74" w:name="_Toc19386"/>
      <w:r>
        <w:rPr>
          <w:rFonts w:hint="eastAsia" w:ascii="仿宋" w:eastAsia="仿宋"/>
          <w:b/>
          <w:sz w:val="32"/>
          <w:szCs w:val="32"/>
        </w:rPr>
        <w:t>（二）“三公”经费财政拨款支出决算具体情况说明</w:t>
      </w:r>
      <w:bookmarkEnd w:id="72"/>
      <w:bookmarkEnd w:id="73"/>
      <w:bookmarkEnd w:id="74"/>
    </w:p>
    <w:p>
      <w:pPr>
        <w:pStyle w:val="17"/>
        <w:shd w:val="clear" w:fill="FFFFFF"/>
        <w:ind w:left="0" w:firstLine="600" w:firstLineChars="200"/>
        <w:rPr>
          <w:rFonts w:hint="eastAsia" w:ascii="华文仿宋" w:hAnsi="华文仿宋" w:eastAsia="华文仿宋" w:cs="华文仿宋"/>
          <w:b w:val="0"/>
          <w:bCs w:val="0"/>
          <w:kern w:val="0"/>
          <w:sz w:val="30"/>
          <w:szCs w:val="30"/>
          <w:shd w:val="clear" w:fill="FFFFFF"/>
        </w:rPr>
      </w:pPr>
      <w:r>
        <w:rPr>
          <w:rFonts w:hint="eastAsia" w:ascii="华文仿宋" w:hAnsi="华文仿宋" w:eastAsia="华文仿宋" w:cs="华文仿宋"/>
          <w:b w:val="0"/>
          <w:bCs w:val="0"/>
          <w:kern w:val="0"/>
          <w:sz w:val="30"/>
          <w:szCs w:val="30"/>
          <w:shd w:val="clear" w:fill="FFFFFF"/>
        </w:rPr>
        <w:t>2022年“三公”经费财政拨款支出决算中，因公出国（境）费支出决算0.00万元，占0.00%；公务用车购置及运行维护费支出决算12.00万元，占94.04%；公务接待费支出决算0.76万元，占5.96%。具体情况如下：</w:t>
      </w:r>
    </w:p>
    <w:p>
      <w:pPr>
        <w:pStyle w:val="17"/>
        <w:shd w:val="clear" w:fill="FFFFFF"/>
        <w:ind w:left="0" w:firstLine="600" w:firstLineChars="200"/>
        <w:jc w:val="center"/>
        <w:rPr>
          <w:rFonts w:hint="eastAsia" w:ascii="华文仿宋" w:hAnsi="华文仿宋" w:eastAsia="华文仿宋" w:cs="华文仿宋"/>
          <w:b w:val="0"/>
          <w:bCs w:val="0"/>
          <w:kern w:val="0"/>
          <w:sz w:val="30"/>
          <w:szCs w:val="30"/>
          <w:shd w:val="clear" w:fill="FFFFFF"/>
          <w:lang w:val="en-US" w:eastAsia="zh-CN"/>
        </w:rPr>
      </w:pPr>
      <w:r>
        <w:rPr>
          <w:rFonts w:hint="eastAsia" w:ascii="华文仿宋" w:hAnsi="华文仿宋" w:eastAsia="华文仿宋" w:cs="华文仿宋"/>
          <w:b w:val="0"/>
          <w:bCs w:val="0"/>
          <w:kern w:val="0"/>
          <w:sz w:val="30"/>
          <w:szCs w:val="30"/>
          <w:shd w:val="clear" w:fill="FFFFFF"/>
        </w:rPr>
        <w:t>图7：“三公”经费财政拨款支出结构</w:t>
      </w:r>
      <w:r>
        <w:rPr>
          <w:rFonts w:hint="eastAsia" w:ascii="华文仿宋" w:hAnsi="华文仿宋" w:eastAsia="华文仿宋" w:cs="华文仿宋"/>
          <w:b w:val="0"/>
          <w:bCs w:val="0"/>
          <w:kern w:val="0"/>
          <w:sz w:val="30"/>
          <w:szCs w:val="30"/>
          <w:shd w:val="clear" w:fill="FFFFFF"/>
          <w:lang w:val="en-US" w:eastAsia="zh-CN"/>
        </w:rPr>
        <w:t>图</w:t>
      </w:r>
    </w:p>
    <w:p>
      <w:pPr>
        <w:pStyle w:val="17"/>
        <w:shd w:val="clear" w:fill="FFFFFF"/>
        <w:ind w:left="0" w:firstLine="600" w:firstLineChars="200"/>
        <w:jc w:val="center"/>
        <w:rPr>
          <w:rFonts w:hint="eastAsia" w:ascii="华文仿宋" w:hAnsi="华文仿宋" w:eastAsia="华文仿宋" w:cs="华文仿宋"/>
          <w:b w:val="0"/>
          <w:bCs w:val="0"/>
          <w:kern w:val="0"/>
          <w:sz w:val="30"/>
          <w:szCs w:val="30"/>
          <w:shd w:val="clear" w:fill="FFFFFF"/>
          <w:lang w:val="en-US" w:eastAsia="zh-CN"/>
        </w:rPr>
      </w:pPr>
      <w:r>
        <w:rPr>
          <w:rFonts w:hint="eastAsia" w:ascii="华文仿宋" w:hAnsi="华文仿宋" w:eastAsia="华文仿宋" w:cs="华文仿宋"/>
          <w:b w:val="0"/>
          <w:bCs w:val="0"/>
          <w:kern w:val="0"/>
          <w:sz w:val="30"/>
          <w:szCs w:val="30"/>
          <w:shd w:val="clear" w:fill="FFFFFF"/>
          <w:lang w:val="en-US" w:eastAsia="zh-CN"/>
        </w:rPr>
        <w:drawing>
          <wp:inline distT="0" distB="0" distL="114300" distR="114300">
            <wp:extent cx="4780915" cy="2912745"/>
            <wp:effectExtent l="4445" t="4445" r="15240" b="1651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numPr>
          <w:ilvl w:val="0"/>
          <w:numId w:val="3"/>
        </w:num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因公出国（境）经费支出0.00万元，完成预算0.00%。全年安排因公出国（境）团组0次，出国（境）0人。因公出国（境）支出决算比2021年增加0.00万元，增长0.00%。</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2.公务用车购置及运行维护费支出12.00万元,完成预算100.00%。公务用车购置及运行维护费支出决算比2021年增加-131.32万元，增长-91.63%。主要原因是今年未购置公车。</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其中：公务用车购置支出0.00万元。截至2021年12月底，单位共有公车8辆，其中：轿车1辆、越野车1辆、警车6辆。</w:t>
      </w:r>
    </w:p>
    <w:p>
      <w:pPr>
        <w:spacing w:line="600" w:lineRule="exact"/>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公务用车运行维护费支出12.00万元。主要用于出差、培训等所需的公务用车燃料费、维修费、过路过桥费、保险费等支出。</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3.公务接待费支出0.76万元，完成预算100%。公务接待费支出决算比2021年增加-0.84万元，增长-52.36%。主要原因是接待量减少，减少不必要浪费。</w:t>
      </w:r>
    </w:p>
    <w:p>
      <w:pPr>
        <w:spacing w:line="600" w:lineRule="exact"/>
        <w:ind w:firstLine="600" w:firstLineChars="200"/>
        <w:rPr>
          <w:rFonts w:hint="eastAsia" w:ascii="华文仿宋" w:hAnsi="华文仿宋" w:eastAsia="华文仿宋" w:cs="华文仿宋"/>
          <w:b w:val="0"/>
          <w:bCs w:val="0"/>
          <w:kern w:val="0"/>
          <w:sz w:val="30"/>
          <w:szCs w:val="30"/>
          <w:shd w:val="clear" w:fill="FFFFFF"/>
          <w:lang w:val="en-US" w:eastAsia="zh-CN" w:bidi="ar"/>
        </w:rPr>
      </w:pPr>
      <w:r>
        <w:rPr>
          <w:rFonts w:hint="eastAsia" w:ascii="华文仿宋" w:hAnsi="华文仿宋" w:eastAsia="华文仿宋" w:cs="华文仿宋"/>
          <w:b w:val="0"/>
          <w:bCs w:val="0"/>
          <w:kern w:val="0"/>
          <w:sz w:val="30"/>
          <w:szCs w:val="30"/>
          <w:shd w:val="clear" w:fill="FFFFFF"/>
          <w:lang w:val="en-US" w:eastAsia="zh-CN" w:bidi="ar"/>
        </w:rPr>
        <w:t>其中：国内公务接待支出0.76万元，主要用于执行公务、开展业务活动开支的用餐费。国内公务接待7批次，80人次（不包括陪同人员），共计支出0.76万元，具体内容包括：州法院调研环资审判工作接待费0.08万元，三台法院援藏工作交流学习接待费0.16万元，小金县法院执行案件督办、主题党日活动接待费0.44万元。外事接待支出0.00万元，外事接待0批次，0人，共计支出0.00万元。</w:t>
      </w:r>
    </w:p>
    <w:p>
      <w:pPr>
        <w:spacing w:line="600" w:lineRule="exact"/>
        <w:ind w:firstLine="640"/>
        <w:outlineLvl w:val="1"/>
        <w:rPr>
          <w:rStyle w:val="19"/>
          <w:rFonts w:ascii="黑体" w:eastAsia="黑体"/>
        </w:rPr>
      </w:pPr>
      <w:bookmarkStart w:id="75" w:name="_Toc10603"/>
      <w:bookmarkStart w:id="76" w:name="_Toc8525"/>
      <w:r>
        <w:rPr>
          <w:rFonts w:hint="eastAsia" w:ascii="黑体" w:eastAsia="黑体"/>
          <w:sz w:val="32"/>
          <w:szCs w:val="32"/>
        </w:rPr>
        <w:t>八、</w:t>
      </w:r>
      <w:r>
        <w:rPr>
          <w:rStyle w:val="19"/>
          <w:rFonts w:hint="eastAsia" w:ascii="黑体" w:eastAsia="黑体"/>
          <w:b w:val="0"/>
        </w:rPr>
        <w:t>政府性基金预算支出决算情况说明</w:t>
      </w:r>
      <w:bookmarkEnd w:id="75"/>
      <w:bookmarkEnd w:id="7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19"/>
          <w:rFonts w:ascii="黑体" w:eastAsia="黑体"/>
          <w:b w:val="0"/>
        </w:rPr>
      </w:pPr>
      <w:bookmarkStart w:id="77" w:name="_Toc15396611"/>
      <w:bookmarkStart w:id="78" w:name="_Toc15377219"/>
      <w:bookmarkStart w:id="79" w:name="_Toc28789"/>
      <w:bookmarkStart w:id="80" w:name="_Toc6788"/>
      <w:r>
        <w:rPr>
          <w:rStyle w:val="19"/>
          <w:rFonts w:hint="eastAsia" w:ascii="黑体" w:eastAsia="黑体"/>
          <w:b w:val="0"/>
        </w:rPr>
        <w:t>国有资本经营预算支出决算情况说明</w:t>
      </w:r>
      <w:bookmarkEnd w:id="77"/>
      <w:bookmarkEnd w:id="78"/>
      <w:bookmarkEnd w:id="79"/>
      <w:bookmarkEnd w:id="80"/>
    </w:p>
    <w:p>
      <w:pPr>
        <w:spacing w:line="600" w:lineRule="exact"/>
        <w:ind w:firstLine="640"/>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19"/>
          <w:rFonts w:ascii="黑体" w:eastAsia="黑体"/>
          <w:b w:val="0"/>
        </w:rPr>
      </w:pPr>
      <w:bookmarkStart w:id="81" w:name="_Toc15377221"/>
      <w:bookmarkStart w:id="82" w:name="_Toc15396612"/>
      <w:bookmarkStart w:id="83" w:name="_Toc23041"/>
      <w:bookmarkStart w:id="84" w:name="_Toc14333"/>
      <w:r>
        <w:rPr>
          <w:rStyle w:val="19"/>
          <w:rFonts w:hint="eastAsia" w:ascii="黑体" w:eastAsia="黑体"/>
          <w:b w:val="0"/>
        </w:rPr>
        <w:t>其他重要事项的情况说明</w:t>
      </w:r>
      <w:bookmarkEnd w:id="81"/>
      <w:bookmarkEnd w:id="82"/>
      <w:bookmarkEnd w:id="83"/>
      <w:bookmarkEnd w:id="84"/>
    </w:p>
    <w:p>
      <w:pPr>
        <w:spacing w:line="600" w:lineRule="exact"/>
        <w:ind w:firstLine="643" w:firstLineChars="200"/>
        <w:outlineLvl w:val="2"/>
        <w:rPr>
          <w:rFonts w:ascii="仿宋" w:eastAsia="仿宋"/>
          <w:sz w:val="32"/>
          <w:szCs w:val="32"/>
        </w:rPr>
      </w:pPr>
      <w:bookmarkStart w:id="85" w:name="_Toc15377222"/>
      <w:bookmarkStart w:id="86" w:name="_Toc399"/>
      <w:bookmarkStart w:id="87" w:name="_Toc8042"/>
      <w:r>
        <w:rPr>
          <w:rFonts w:hint="eastAsia" w:ascii="仿宋" w:eastAsia="仿宋"/>
          <w:b/>
          <w:sz w:val="32"/>
          <w:szCs w:val="32"/>
        </w:rPr>
        <w:t>（一）机关运行经费支出情况</w:t>
      </w:r>
      <w:bookmarkEnd w:id="85"/>
      <w:bookmarkEnd w:id="86"/>
      <w:bookmarkEnd w:id="87"/>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2022年，阿坝州红原县人民法院机关运行经费支出93.66万元，比2021年增加6.60万元，增长7.58%。主要原因是</w:t>
      </w:r>
      <w:r>
        <w:rPr>
          <w:rFonts w:hint="eastAsia" w:ascii="仿宋_GB2312" w:eastAsia="仿宋_GB2312"/>
          <w:sz w:val="32"/>
          <w:szCs w:val="32"/>
          <w:lang w:val="en-US" w:eastAsia="zh-CN"/>
        </w:rPr>
        <w:t>人员增加，上划州级预算单位后，标准提高。</w:t>
      </w:r>
    </w:p>
    <w:p>
      <w:pPr>
        <w:spacing w:line="60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（二）政府采购支出情况</w:t>
      </w:r>
    </w:p>
    <w:p>
      <w:pPr>
        <w:spacing w:line="600" w:lineRule="exact"/>
        <w:ind w:firstLine="640" w:firstLineChars="200"/>
        <w:rPr>
          <w:rFonts w:hint="default" w:ascii="仿宋_GB2312" w:eastAsia="仿宋_GB2312"/>
          <w:sz w:val="32"/>
          <w:szCs w:val="32"/>
          <w:lang w:val="en-US" w:eastAsia="zh-CN"/>
        </w:rPr>
      </w:pPr>
      <w:r>
        <w:rPr>
          <w:rFonts w:hint="default" w:ascii="仿宋_GB2312" w:eastAsia="仿宋_GB2312"/>
          <w:sz w:val="32"/>
          <w:szCs w:val="32"/>
          <w:lang w:val="en-US" w:eastAsia="zh-CN"/>
        </w:rPr>
        <w:t>2022年，阿坝州红原县人民法院政府采购支出总额73.90万元，其中：政府采购货物支出73.90万元、政府采购工程支出0.00万元、政府采购服务支出0.00万元。主要用于诉讼服务中心信息化相关建设项目</w:t>
      </w:r>
      <w:r>
        <w:rPr>
          <w:rFonts w:hint="eastAsia" w:ascii="仿宋_GB2312" w:eastAsia="仿宋_GB2312"/>
          <w:sz w:val="32"/>
          <w:szCs w:val="32"/>
          <w:lang w:val="en-US" w:eastAsia="zh-CN"/>
        </w:rPr>
        <w:t>39.30万元，会议室及户外大屏显示系统建设项目34.60万元</w:t>
      </w:r>
      <w:r>
        <w:rPr>
          <w:rFonts w:hint="default" w:ascii="仿宋_GB2312" w:eastAsia="仿宋_GB2312"/>
          <w:sz w:val="32"/>
          <w:szCs w:val="32"/>
          <w:lang w:val="en-US" w:eastAsia="zh-CN"/>
        </w:rPr>
        <w:t>。授予中小企业合同金额73.90万元，占政府采购支出总额的100.00%，其中：授予小微企业合同金额0.00万元，占政府采购支出总额的0.00%。</w:t>
      </w:r>
    </w:p>
    <w:p>
      <w:pPr>
        <w:autoSpaceDE w:val="0"/>
        <w:autoSpaceDN w:val="0"/>
        <w:adjustRightInd w:val="0"/>
        <w:spacing w:line="600" w:lineRule="exact"/>
        <w:ind w:firstLine="643" w:firstLineChars="200"/>
        <w:jc w:val="left"/>
        <w:outlineLvl w:val="2"/>
        <w:rPr>
          <w:rFonts w:ascii="仿宋" w:eastAsia="仿宋"/>
          <w:b/>
          <w:sz w:val="32"/>
          <w:szCs w:val="32"/>
        </w:rPr>
      </w:pPr>
      <w:bookmarkStart w:id="88" w:name="_Toc15377224"/>
      <w:bookmarkStart w:id="89" w:name="_Toc15810"/>
      <w:bookmarkStart w:id="90" w:name="_Toc22535"/>
      <w:r>
        <w:rPr>
          <w:rFonts w:hint="eastAsia" w:ascii="仿宋" w:eastAsia="仿宋"/>
          <w:b/>
          <w:sz w:val="32"/>
          <w:szCs w:val="32"/>
        </w:rPr>
        <w:t>（三）国有资产占有使用情况</w:t>
      </w:r>
      <w:bookmarkEnd w:id="88"/>
      <w:bookmarkEnd w:id="89"/>
      <w:bookmarkEnd w:id="90"/>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截至2022年12月31日，阿坝州红原县人民法院共有车辆8辆，其中：主要领导干部用车0辆、机要通信用车0辆、应急保障用车0辆、其他用车</w:t>
      </w:r>
      <w:r>
        <w:rPr>
          <w:rFonts w:hint="eastAsia" w:ascii="仿宋_GB2312" w:eastAsia="仿宋_GB2312"/>
          <w:sz w:val="32"/>
          <w:szCs w:val="32"/>
          <w:lang w:val="en-US" w:eastAsia="zh-CN"/>
        </w:rPr>
        <w:t>8</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val="en-US" w:eastAsia="zh-CN"/>
        </w:rPr>
        <w:t>执法办案。</w:t>
      </w:r>
      <w:r>
        <w:rPr>
          <w:rFonts w:hint="eastAsia" w:ascii="仿宋_GB2312" w:eastAsia="仿宋_GB2312"/>
          <w:sz w:val="32"/>
          <w:szCs w:val="32"/>
        </w:rPr>
        <w:t>单价100万元（含）以上设备（不含车辆）0台（套）</w:t>
      </w:r>
      <w:r>
        <w:rPr>
          <w:rFonts w:hint="eastAsia" w:ascii="仿宋_GB2312" w:eastAsia="仿宋_GB2312"/>
          <w:sz w:val="32"/>
          <w:szCs w:val="32"/>
          <w:lang w:eastAsia="zh-CN"/>
        </w:rPr>
        <w:t>。</w:t>
      </w:r>
    </w:p>
    <w:p>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截至2022年12月31日，阿坝州红原县人民法院共有</w:t>
      </w:r>
      <w:r>
        <w:rPr>
          <w:rFonts w:hint="eastAsia" w:ascii="仿宋_GB2312" w:eastAsia="仿宋_GB2312"/>
          <w:sz w:val="32"/>
          <w:szCs w:val="32"/>
          <w:lang w:val="en-US" w:eastAsia="zh-CN"/>
        </w:rPr>
        <w:t>固定资产原值4058.53万元，固定资产累计折旧1497.66万元，固定资产净值2560.87万元；无形资产原值8.54万元，无形资产累计摊销7.54万元，无形资产净值1.00万元。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91" w:name="_Toc4675"/>
      <w:bookmarkStart w:id="92" w:name="_Toc5682"/>
      <w:r>
        <w:rPr>
          <w:rFonts w:hint="eastAsia" w:ascii="仿宋" w:eastAsia="仿宋"/>
          <w:b/>
          <w:sz w:val="32"/>
          <w:szCs w:val="32"/>
        </w:rPr>
        <w:t>（四）预算绩效管理情况</w:t>
      </w:r>
      <w:bookmarkEnd w:id="91"/>
      <w:bookmarkEnd w:id="92"/>
    </w:p>
    <w:p>
      <w:pPr>
        <w:widowControl/>
        <w:ind w:firstLine="640" w:firstLineChars="200"/>
        <w:jc w:val="left"/>
        <w:rPr>
          <w:rFonts w:ascii="仿宋_GB2312" w:eastAsia="仿宋_GB2312"/>
          <w:b/>
          <w:sz w:val="32"/>
          <w:szCs w:val="32"/>
        </w:rPr>
      </w:pPr>
      <w:r>
        <w:rPr>
          <w:rFonts w:hint="eastAsia" w:ascii="仿宋_GB2312" w:eastAsia="仿宋_GB2312" w:cs="仿宋_GB2312"/>
          <w:sz w:val="32"/>
          <w:szCs w:val="32"/>
        </w:rPr>
        <w:t>根据预算绩效管理要求，本部门在2022年度预算编制阶段，对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每个</w:t>
      </w:r>
      <w:r>
        <w:rPr>
          <w:rFonts w:hint="eastAsia" w:ascii="仿宋_GB2312" w:eastAsia="仿宋_GB2312" w:cs="仿宋_GB2312"/>
          <w:sz w:val="32"/>
          <w:szCs w:val="32"/>
        </w:rPr>
        <w:t>项目编制了绩效目标</w:t>
      </w:r>
      <w:r>
        <w:rPr>
          <w:rFonts w:hint="eastAsia" w:ascii="仿宋_GB2312" w:eastAsia="仿宋_GB2312" w:cs="仿宋_GB2312"/>
          <w:sz w:val="32"/>
          <w:szCs w:val="32"/>
          <w:lang w:eastAsia="zh-CN"/>
        </w:rPr>
        <w:t>。</w:t>
      </w:r>
      <w:r>
        <w:rPr>
          <w:rFonts w:hint="eastAsia" w:ascii="仿宋_GB2312" w:eastAsia="仿宋_GB2312" w:cs="仿宋_GB2312"/>
          <w:sz w:val="32"/>
          <w:szCs w:val="32"/>
        </w:rPr>
        <w:t>对2022年度一般公共预算等全面开展绩效自评，形成部门整体（含部门预算项目）绩效自评报告，自评得分为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w:t>
      </w:r>
      <w:r>
        <w:rPr>
          <w:rFonts w:hint="eastAsia" w:ascii="仿宋_GB2312" w:eastAsia="仿宋_GB2312" w:cs="仿宋_GB2312"/>
          <w:sz w:val="32"/>
          <w:szCs w:val="32"/>
          <w:lang w:eastAsia="zh-CN"/>
        </w:rPr>
        <w:t>。 按照保密相关规定，</w:t>
      </w:r>
      <w:r>
        <w:rPr>
          <w:rFonts w:hint="eastAsia" w:ascii="仿宋_GB2312" w:eastAsia="仿宋_GB2312" w:cs="仿宋_GB2312"/>
          <w:sz w:val="32"/>
          <w:szCs w:val="32"/>
          <w:lang w:val="en-US" w:eastAsia="zh-CN"/>
        </w:rPr>
        <w:t>我院项目</w:t>
      </w:r>
      <w:r>
        <w:rPr>
          <w:rFonts w:hint="eastAsia" w:ascii="仿宋_GB2312" w:eastAsia="仿宋_GB2312" w:cs="仿宋_GB2312"/>
          <w:sz w:val="32"/>
          <w:szCs w:val="32"/>
          <w:lang w:eastAsia="zh-CN"/>
        </w:rPr>
        <w:t>绩效自评不予公开。</w:t>
      </w: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16"/>
          <w:rFonts w:ascii="黑体" w:eastAsia="黑体"/>
          <w:b w:val="0"/>
        </w:rPr>
      </w:pPr>
      <w:bookmarkStart w:id="93" w:name="_Toc15377225"/>
      <w:bookmarkStart w:id="94" w:name="_Toc21603"/>
      <w:bookmarkStart w:id="95" w:name="_Toc15396613"/>
      <w:bookmarkStart w:id="96" w:name="_Toc17825"/>
      <w:r>
        <w:rPr>
          <w:rFonts w:hint="eastAsia" w:ascii="黑体" w:eastAsia="黑体"/>
          <w:sz w:val="44"/>
          <w:szCs w:val="44"/>
        </w:rPr>
        <w:t>名</w:t>
      </w:r>
      <w:r>
        <w:rPr>
          <w:rStyle w:val="16"/>
          <w:rFonts w:hint="eastAsia" w:ascii="黑体" w:eastAsia="黑体"/>
          <w:b w:val="0"/>
        </w:rPr>
        <w:t>词解释</w:t>
      </w:r>
      <w:bookmarkEnd w:id="93"/>
      <w:bookmarkEnd w:id="94"/>
      <w:bookmarkEnd w:id="95"/>
      <w:bookmarkEnd w:id="96"/>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21"/>
        <w:spacing w:line="56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9.</w:t>
      </w:r>
      <w:r>
        <w:rPr>
          <w:rFonts w:hint="eastAsia" w:ascii="仿宋_GB2312" w:eastAsia="仿宋_GB2312"/>
          <w:sz w:val="32"/>
          <w:szCs w:val="32"/>
        </w:rPr>
        <w:t>公共安全：</w:t>
      </w:r>
      <w:r>
        <w:rPr>
          <w:rFonts w:hint="eastAsia" w:ascii="仿宋_GB2312" w:eastAsia="仿宋_GB2312"/>
          <w:sz w:val="32"/>
          <w:szCs w:val="32"/>
          <w:lang w:val="en-US" w:eastAsia="zh-CN"/>
        </w:rPr>
        <w:t>反映政府维护社会公共安全方面的支出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社会保障和就业：</w:t>
      </w:r>
      <w:r>
        <w:rPr>
          <w:rFonts w:hint="eastAsia" w:ascii="仿宋_GB2312" w:eastAsia="仿宋_GB2312"/>
          <w:sz w:val="32"/>
          <w:szCs w:val="32"/>
          <w:lang w:val="en-US" w:eastAsia="zh-CN"/>
        </w:rPr>
        <w:t>反映政府在社会保障与就业方面的支出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卫生健康：</w:t>
      </w:r>
      <w:r>
        <w:rPr>
          <w:rFonts w:hint="eastAsia" w:ascii="仿宋_GB2312" w:eastAsia="仿宋_GB2312"/>
          <w:sz w:val="32"/>
          <w:szCs w:val="32"/>
          <w:lang w:val="en-US" w:eastAsia="zh-CN"/>
        </w:rPr>
        <w:t>反映政府卫生健康方面的支出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住房保障：</w:t>
      </w:r>
      <w:r>
        <w:rPr>
          <w:rFonts w:hint="eastAsia" w:ascii="仿宋_GB2312" w:eastAsia="仿宋_GB2312"/>
          <w:sz w:val="32"/>
          <w:szCs w:val="32"/>
          <w:lang w:val="en-US" w:eastAsia="zh-CN"/>
        </w:rPr>
        <w:t>集中反映政府用于住房方面的支出</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ind w:firstLine="640" w:firstLineChars="200"/>
        <w:rPr>
          <w:rFonts w:hint="default" w:ascii="仿宋_GB2312" w:eastAsia="仿宋_GB2312"/>
          <w:sz w:val="32"/>
          <w:szCs w:val="32"/>
          <w:lang w:val="en-US" w:eastAsia="zh-CN"/>
        </w:rPr>
      </w:pPr>
    </w:p>
    <w:p>
      <w:pPr>
        <w:spacing w:line="600" w:lineRule="exact"/>
        <w:rPr>
          <w:rFonts w:hint="default" w:ascii="华文仿宋" w:hAnsi="华文仿宋" w:eastAsia="华文仿宋" w:cs="华文仿宋"/>
          <w:b w:val="0"/>
          <w:bCs w:val="0"/>
          <w:kern w:val="0"/>
          <w:sz w:val="30"/>
          <w:szCs w:val="30"/>
          <w:shd w:val="clear" w:fill="FFFFFF"/>
          <w:lang w:val="en-US" w:eastAsia="zh-CN" w:bidi="ar"/>
        </w:rPr>
      </w:pPr>
    </w:p>
    <w:p>
      <w:pPr>
        <w:spacing w:line="600" w:lineRule="exact"/>
        <w:jc w:val="center"/>
        <w:outlineLvl w:val="0"/>
        <w:rPr>
          <w:rStyle w:val="16"/>
          <w:rFonts w:ascii="黑体" w:eastAsia="黑体"/>
          <w:b w:val="0"/>
        </w:rPr>
      </w:pPr>
      <w:bookmarkStart w:id="97" w:name="_Toc32332"/>
      <w:bookmarkStart w:id="98" w:name="_Toc15396614"/>
      <w:bookmarkStart w:id="99" w:name="_Toc21426"/>
      <w:r>
        <w:rPr>
          <w:rFonts w:hint="eastAsia" w:ascii="黑体" w:eastAsia="黑体"/>
          <w:sz w:val="44"/>
          <w:szCs w:val="44"/>
        </w:rPr>
        <w:t>第</w:t>
      </w:r>
      <w:r>
        <w:rPr>
          <w:rStyle w:val="16"/>
          <w:rFonts w:hint="eastAsia" w:ascii="黑体" w:eastAsia="黑体"/>
          <w:b w:val="0"/>
        </w:rPr>
        <w:t>四部分 附件</w:t>
      </w:r>
      <w:bookmarkEnd w:id="97"/>
      <w:bookmarkEnd w:id="98"/>
      <w:bookmarkEnd w:id="99"/>
    </w:p>
    <w:p>
      <w:pPr>
        <w:spacing w:line="572" w:lineRule="exact"/>
        <w:jc w:val="left"/>
        <w:outlineLvl w:val="0"/>
        <w:rPr>
          <w:rFonts w:ascii="方正小标宋简体" w:eastAsia="方正小标宋简体" w:cs="方正小标宋简体"/>
          <w:sz w:val="44"/>
          <w:szCs w:val="44"/>
        </w:rPr>
      </w:pPr>
      <w:bookmarkStart w:id="100" w:name="_Toc25125"/>
      <w:bookmarkStart w:id="101" w:name="_Toc1494"/>
      <w:r>
        <w:rPr>
          <w:rFonts w:hint="eastAsia" w:ascii="黑体" w:eastAsia="黑体" w:cs="黑体"/>
          <w:sz w:val="32"/>
          <w:szCs w:val="32"/>
        </w:rPr>
        <w:t>附件</w:t>
      </w:r>
      <w:bookmarkEnd w:id="100"/>
      <w:bookmarkEnd w:id="101"/>
    </w:p>
    <w:p>
      <w:pPr>
        <w:widowControl/>
        <w:spacing w:line="560" w:lineRule="exact"/>
        <w:contextualSpacing/>
        <w:jc w:val="center"/>
        <w:rPr>
          <w:rFonts w:ascii="宋体"/>
          <w:b/>
          <w:sz w:val="32"/>
          <w:szCs w:val="32"/>
          <w:shd w:val="clear" w:color="auto" w:fill="FFFFFF"/>
        </w:rPr>
      </w:pPr>
      <w:r>
        <w:rPr>
          <w:rFonts w:hint="eastAsia" w:ascii="宋体"/>
          <w:b/>
          <w:sz w:val="32"/>
          <w:szCs w:val="32"/>
          <w:shd w:val="clear" w:color="auto" w:fill="FFFFFF"/>
        </w:rPr>
        <w:t>2023年</w:t>
      </w:r>
      <w:r>
        <w:rPr>
          <w:rFonts w:ascii="宋体"/>
          <w:b/>
          <w:sz w:val="32"/>
          <w:szCs w:val="32"/>
          <w:shd w:val="clear" w:color="auto" w:fill="FFFFFF"/>
        </w:rPr>
        <w:t>州</w:t>
      </w:r>
      <w:r>
        <w:rPr>
          <w:rFonts w:hint="eastAsia" w:ascii="宋体"/>
          <w:b/>
          <w:sz w:val="32"/>
          <w:szCs w:val="32"/>
          <w:shd w:val="clear" w:color="auto" w:fill="FFFFFF"/>
        </w:rPr>
        <w:t>级部门整体绩效评价报告</w:t>
      </w:r>
    </w:p>
    <w:p>
      <w:pPr>
        <w:widowControl/>
        <w:adjustRightInd w:val="0"/>
        <w:snapToGrid w:val="0"/>
        <w:spacing w:line="560" w:lineRule="exact"/>
        <w:ind w:firstLine="640" w:firstLineChars="200"/>
        <w:contextualSpacing/>
        <w:jc w:val="left"/>
        <w:rPr>
          <w:rFonts w:ascii="黑体" w:eastAsia="黑体" w:cs="宋体"/>
          <w:kern w:val="0"/>
          <w:sz w:val="32"/>
          <w:szCs w:val="32"/>
          <w:shd w:val="clear" w:color="auto" w:fill="FFFFFF"/>
        </w:rPr>
      </w:pP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红原县人民法院</w:t>
      </w:r>
      <w:r>
        <w:rPr>
          <w:rFonts w:hint="eastAsia" w:ascii="仿宋_GB2312" w:hAnsi="仿宋_GB2312" w:eastAsia="仿宋_GB2312" w:cs="仿宋_GB2312"/>
          <w:color w:val="000000"/>
          <w:kern w:val="0"/>
          <w:sz w:val="32"/>
          <w:szCs w:val="32"/>
          <w:shd w:val="clear" w:color="auto" w:fill="FFFFFF"/>
          <w:lang w:val="zh-CN"/>
        </w:rPr>
        <w:t>现有内设机构6个，涉及综合办公室、政治部（督察室）、综合审判庭（环境资源审判庭）、立案庭（诉讼服务中心）、执行局、法警大队；2个派出法庭：刷经寺人民法庭、流动法庭。</w:t>
      </w:r>
    </w:p>
    <w:p>
      <w:pPr>
        <w:widowControl/>
        <w:numPr>
          <w:ilvl w:val="0"/>
          <w:numId w:val="6"/>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pPr>
        <w:widowControl/>
        <w:numPr>
          <w:ilvl w:val="0"/>
          <w:numId w:val="0"/>
        </w:numPr>
        <w:adjustRightInd w:val="0"/>
        <w:snapToGrid w:val="0"/>
        <w:spacing w:line="56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    （1）综合办公室。主要职责：负责协助院领导组织协调处理司法政务，负责综合性办文办会、文秘、信息、宣传、保密、档案、代表委员联络、决议事项督办、社会综合治理；负责本院财务管理、诉讼费监督管理，后勤物资装备配置及管理，办公用房和法庭建设维护，信息系统建设、运行、维护和管理保障；负责案件评查、司法公开等审判管理工作，负责审判委员会、调研、案例等工作；以及其他与审判管理、司法事务、后勤保障相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政治部（督察室）。主要职责：负责法院干警思想政治建设、队伍建设、机构编制管理、干部人事管理、教育培训、表彰奖励、党建、文化建设、人民陪审员管理、内部监督管理，以及其他与组织人事管理相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3）立案庭（诉讼服务中心）。主要职责：负责本院诉讼服务大厅等窗口的管理工作；负责本院的各类案件登记立案及立案审查工作；负责诉前调解、立案调解、信访接待、诉非衔接、诉讼辅导、案件繁简分流、案件速裁、多元化解矛盾纠纷等工作；依法实施诉前保全、起诉时提起的证据保全措施；依法审理支付令、督促等程序性案件并作出裁决；对应由本院受理的申诉、申请再审案件进行审查，并决定是否再审立案；负责办理减、免、缓诉讼费的审批手续；负责本院各类案件的材料收转、案件查询、法律咨询、12368诉讼服务热线，以及其他与立案、信访有关的工作事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综合审判庭（环境资源审判庭）。主要职责：依法审理本院受理的各类民事、刑事、行政案件及国家赔偿案件；依法审查行政机关申请强制执行其具体行政行为的案件；依法审理申诉、申请再审及审判监督案件；依法审理污染环境、破坏资源、环境资源监管失职渎职等与环境资源保护相关的刑事案件；依法审理与环境资源保护相关的物权、合同和侵权案件、行政案件等；总结审判工作经验，指导人民法庭，办理其他与审判有关的工作。</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（5）执行局。主要职责：负责执行本院发生法律效力的判决、裁定以及调解协议中有关财产的规定；执行法律规定的由本院执行的其他法律文书；办理委托移送执行和协助执行事宜；司法评估、拍卖、鉴定。</w:t>
      </w:r>
    </w:p>
    <w:p>
      <w:pPr>
        <w:widowControl/>
        <w:numPr>
          <w:ilvl w:val="0"/>
          <w:numId w:val="0"/>
        </w:numPr>
        <w:adjustRightInd w:val="0"/>
        <w:snapToGrid w:val="0"/>
        <w:spacing w:line="56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人民法庭不纳入内设机构改革范围，改革期间冻结对人民法庭的设置审批工作。司法警察大队暂维持不变，待最高人民法院另行明确后再统一规范。</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纪检监察机构，按党的纪律检查体制和国家监察体制改革要求设置。应当明确专职人员履行内部监督职责。</w:t>
      </w:r>
    </w:p>
    <w:p>
      <w:pPr>
        <w:widowControl/>
        <w:numPr>
          <w:ilvl w:val="0"/>
          <w:numId w:val="6"/>
        </w:numPr>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人员概况</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w:t>
      </w:r>
      <w:r>
        <w:rPr>
          <w:rFonts w:hint="eastAsia" w:ascii="仿宋_GB2312" w:hAnsi="仿宋_GB2312" w:eastAsia="仿宋_GB2312" w:cs="仿宋_GB2312"/>
          <w:color w:val="000000"/>
          <w:kern w:val="0"/>
          <w:sz w:val="32"/>
          <w:szCs w:val="32"/>
          <w:shd w:val="clear" w:color="auto" w:fill="FFFFFF"/>
          <w:lang w:val="en-US" w:eastAsia="zh-CN"/>
        </w:rPr>
        <w:t>2022</w:t>
      </w:r>
      <w:r>
        <w:rPr>
          <w:rFonts w:hint="eastAsia" w:ascii="仿宋_GB2312" w:hAnsi="仿宋_GB2312" w:eastAsia="仿宋_GB2312" w:cs="仿宋_GB2312"/>
          <w:color w:val="000000"/>
          <w:kern w:val="0"/>
          <w:sz w:val="32"/>
          <w:szCs w:val="32"/>
          <w:shd w:val="clear" w:color="auto" w:fill="FFFFFF"/>
          <w:lang w:val="zh-CN"/>
        </w:rPr>
        <w:t>年度年末实有人数为4</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人，比上年</w:t>
      </w:r>
      <w:r>
        <w:rPr>
          <w:rFonts w:hint="eastAsia" w:ascii="仿宋_GB2312" w:hAnsi="仿宋_GB2312" w:eastAsia="仿宋_GB2312" w:cs="仿宋_GB2312"/>
          <w:color w:val="000000"/>
          <w:kern w:val="0"/>
          <w:sz w:val="32"/>
          <w:szCs w:val="32"/>
          <w:shd w:val="clear" w:color="auto" w:fill="FFFFFF"/>
          <w:lang w:val="en-US" w:eastAsia="zh-CN"/>
        </w:rPr>
        <w:t>减少</w:t>
      </w:r>
      <w:r>
        <w:rPr>
          <w:rFonts w:hint="eastAsia" w:ascii="仿宋_GB2312" w:hAnsi="仿宋_GB2312" w:eastAsia="仿宋_GB2312" w:cs="仿宋_GB2312"/>
          <w:color w:val="000000"/>
          <w:kern w:val="0"/>
          <w:sz w:val="32"/>
          <w:szCs w:val="32"/>
          <w:shd w:val="clear" w:color="auto" w:fill="FFFFFF"/>
          <w:lang w:val="zh-CN"/>
        </w:rPr>
        <w:t>1人；年末实有离退休人数为11人，比上年增加</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人。年末实有其他人数为</w:t>
      </w:r>
      <w:r>
        <w:rPr>
          <w:rFonts w:hint="eastAsia" w:ascii="仿宋_GB2312" w:hAnsi="仿宋_GB2312" w:eastAsia="仿宋_GB2312" w:cs="仿宋_GB2312"/>
          <w:color w:val="000000"/>
          <w:kern w:val="0"/>
          <w:sz w:val="32"/>
          <w:szCs w:val="32"/>
          <w:shd w:val="clear" w:color="auto" w:fill="FFFFFF"/>
          <w:lang w:val="en-US" w:eastAsia="zh-CN"/>
        </w:rPr>
        <w:t>19</w:t>
      </w:r>
      <w:r>
        <w:rPr>
          <w:rFonts w:hint="eastAsia" w:ascii="仿宋_GB2312" w:hAnsi="仿宋_GB2312" w:eastAsia="仿宋_GB2312" w:cs="仿宋_GB2312"/>
          <w:color w:val="000000"/>
          <w:kern w:val="0"/>
          <w:sz w:val="32"/>
          <w:szCs w:val="32"/>
          <w:shd w:val="clear" w:color="auto" w:fill="FFFFFF"/>
          <w:lang w:val="zh-CN"/>
        </w:rPr>
        <w:t>人，比上年增加</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lang w:val="zh-CN"/>
        </w:rPr>
        <w:t>人；变动情况及原因为今年新增聘用制书记员。</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本单位本年度收入调整预算数为16</w:t>
      </w:r>
      <w:r>
        <w:rPr>
          <w:rFonts w:hint="eastAsia" w:ascii="仿宋_GB2312" w:hAnsi="仿宋_GB2312" w:eastAsia="仿宋_GB2312" w:cs="仿宋_GB2312"/>
          <w:color w:val="000000"/>
          <w:kern w:val="0"/>
          <w:sz w:val="32"/>
          <w:szCs w:val="32"/>
          <w:shd w:val="clear" w:color="auto" w:fill="FFFFFF"/>
          <w:lang w:val="en-US" w:eastAsia="zh-CN"/>
        </w:rPr>
        <w:t>65.99</w:t>
      </w:r>
      <w:r>
        <w:rPr>
          <w:rFonts w:hint="eastAsia" w:ascii="仿宋_GB2312" w:hAnsi="仿宋_GB2312" w:eastAsia="仿宋_GB2312" w:cs="仿宋_GB2312"/>
          <w:color w:val="000000"/>
          <w:kern w:val="0"/>
          <w:sz w:val="32"/>
          <w:szCs w:val="32"/>
          <w:shd w:val="clear" w:color="auto" w:fill="FFFFFF"/>
          <w:lang w:val="zh-CN"/>
        </w:rPr>
        <w:t>万元，收入决算数为16</w:t>
      </w:r>
      <w:r>
        <w:rPr>
          <w:rFonts w:hint="eastAsia" w:ascii="仿宋_GB2312" w:hAnsi="仿宋_GB2312" w:eastAsia="仿宋_GB2312" w:cs="仿宋_GB2312"/>
          <w:color w:val="000000"/>
          <w:kern w:val="0"/>
          <w:sz w:val="32"/>
          <w:szCs w:val="32"/>
          <w:shd w:val="clear" w:color="auto" w:fill="FFFFFF"/>
          <w:lang w:val="en-US" w:eastAsia="zh-CN"/>
        </w:rPr>
        <w:t>65.99</w:t>
      </w:r>
      <w:r>
        <w:rPr>
          <w:rFonts w:hint="eastAsia" w:ascii="仿宋_GB2312" w:hAnsi="仿宋_GB2312" w:eastAsia="仿宋_GB2312" w:cs="仿宋_GB2312"/>
          <w:color w:val="000000"/>
          <w:kern w:val="0"/>
          <w:sz w:val="32"/>
          <w:szCs w:val="32"/>
          <w:shd w:val="clear" w:color="auto" w:fill="FFFFFF"/>
          <w:lang w:val="zh-CN"/>
        </w:rPr>
        <w:t>万元，预算完成度为100.00%，上年度预算完成度为100.00%。</w:t>
      </w:r>
    </w:p>
    <w:p>
      <w:pPr>
        <w:widowControl/>
        <w:numPr>
          <w:ilvl w:val="0"/>
          <w:numId w:val="7"/>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本年度支出调整预算数为16</w:t>
      </w:r>
      <w:r>
        <w:rPr>
          <w:rFonts w:hint="eastAsia" w:ascii="仿宋_GB2312" w:hAnsi="仿宋_GB2312" w:eastAsia="仿宋_GB2312" w:cs="仿宋_GB2312"/>
          <w:color w:val="000000"/>
          <w:kern w:val="0"/>
          <w:sz w:val="32"/>
          <w:szCs w:val="32"/>
          <w:shd w:val="clear" w:color="auto" w:fill="FFFFFF"/>
          <w:lang w:val="en-US" w:eastAsia="zh-CN"/>
        </w:rPr>
        <w:t>65.99</w:t>
      </w:r>
      <w:r>
        <w:rPr>
          <w:rFonts w:hint="eastAsia" w:ascii="仿宋_GB2312" w:hAnsi="仿宋_GB2312" w:eastAsia="仿宋_GB2312" w:cs="仿宋_GB2312"/>
          <w:color w:val="000000"/>
          <w:kern w:val="0"/>
          <w:sz w:val="32"/>
          <w:szCs w:val="32"/>
          <w:shd w:val="clear" w:color="auto" w:fill="FFFFFF"/>
          <w:lang w:val="zh-CN"/>
        </w:rPr>
        <w:t>万元，支出决算数为16</w:t>
      </w:r>
      <w:r>
        <w:rPr>
          <w:rFonts w:hint="eastAsia" w:ascii="仿宋_GB2312" w:hAnsi="仿宋_GB2312" w:eastAsia="仿宋_GB2312" w:cs="仿宋_GB2312"/>
          <w:color w:val="000000"/>
          <w:kern w:val="0"/>
          <w:sz w:val="32"/>
          <w:szCs w:val="32"/>
          <w:shd w:val="clear" w:color="auto" w:fill="FFFFFF"/>
          <w:lang w:val="en-US" w:eastAsia="zh-CN"/>
        </w:rPr>
        <w:t>65.99</w:t>
      </w:r>
      <w:r>
        <w:rPr>
          <w:rFonts w:hint="eastAsia" w:ascii="仿宋_GB2312" w:hAnsi="仿宋_GB2312" w:eastAsia="仿宋_GB2312" w:cs="仿宋_GB2312"/>
          <w:color w:val="000000"/>
          <w:kern w:val="0"/>
          <w:sz w:val="32"/>
          <w:szCs w:val="32"/>
          <w:shd w:val="clear" w:color="auto" w:fill="FFFFFF"/>
          <w:lang w:val="zh-CN"/>
        </w:rPr>
        <w:t>万元，预算完成度为100.00%，上年度预算完成度为</w:t>
      </w:r>
      <w:r>
        <w:rPr>
          <w:rFonts w:hint="eastAsia" w:ascii="仿宋_GB2312" w:hAnsi="仿宋_GB2312" w:eastAsia="仿宋_GB2312" w:cs="仿宋_GB2312"/>
          <w:color w:val="000000"/>
          <w:kern w:val="0"/>
          <w:sz w:val="32"/>
          <w:szCs w:val="32"/>
          <w:shd w:val="clear" w:color="auto" w:fill="FFFFFF"/>
          <w:lang w:val="en-US" w:eastAsia="zh-CN"/>
        </w:rPr>
        <w:t>100.00</w:t>
      </w:r>
      <w:r>
        <w:rPr>
          <w:rFonts w:hint="eastAsia" w:ascii="仿宋_GB2312" w:hAnsi="仿宋_GB2312" w:eastAsia="仿宋_GB2312" w:cs="仿宋_GB2312"/>
          <w:color w:val="000000"/>
          <w:kern w:val="0"/>
          <w:sz w:val="32"/>
          <w:szCs w:val="32"/>
          <w:shd w:val="clear" w:color="auto" w:fill="FFFFFF"/>
          <w:lang w:val="zh-CN"/>
        </w:rPr>
        <w:t>%。</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三、部门整体预算绩效管理情况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是严格按照《政府会计制度》和《政府会计准则》的规定设置会计科目，建立了科学有效的会计核算方式，真实、合法、准确的反映各项收支活动，部门预算执行到位，按照预算管理进行支付并做到节能降耗，经费严格按照年初预算执行。</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是建立健全内控制度，我院进一步规范内部控制工作，成立了以党组书记、院长为组长的工作小组，从全面加强审判监督、重点加强执行监督、狠抓队伍监管、强化制度建设、梳理不相容职务分离控制、规范财务行为等方面全面完善本单位内部控制工作。</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三是在账务报销过程中贯彻执行国家颁布的有关财务制度，严格按照《会计法》规定以完整、合法的原始凭证及财务报销手续进行报账、核算，做到了手续齐备、内容真实、数据准确、账目清晰。</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四是在采购中，对于达到政府采购标准的项目及服务类经费支出，须经财政评审后方可实施，涉及经费支出的所有合同须经相关人员及分管财务的院领导签字。</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五是加强对国有资产的管理，要求单位财务人员及时登记资产账务，建立资产明细卡片，注明购入时间，使用时间和价值等，并由单位专人负责对资产的领用、入库进行管理，对于报废资产，首先进行登记，并报县财政局进行审核，根据批复进行账务核销，同时由财务人员每年对使用的资产进行核对。</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1.产出指标完成情况分析</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全年共受理各类案件502件，同比上升21.84%，审（执）结498件，同比上升22.96%，综合结案率为99.20%，涉案标的额25428.6万元，案件综合质效评比在全州两级法院排名靠前。受理各类刑事案件41件，审结40件，结案率为97.56%。受理各类民商事案件305件，审结304件，结案率为99.67%，受理执行案件140件，执结139件，结案率为99.29%，申请执行标的额14636.27万元，执行到位14636.27万元。</w:t>
      </w:r>
    </w:p>
    <w:p>
      <w:pPr>
        <w:widowControl/>
        <w:numPr>
          <w:ilvl w:val="0"/>
          <w:numId w:val="8"/>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质量指标。全年利用转移支付资金实施的项目验收合格率达到100%，案件办结率达到99.2%，执行案件执结率99.29%，案件改发率3.03‰。</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（3）时效指标。截止2022年12月31日，全年案件平均审理天数38.91天，较上年度减少了3.65天。</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（4）服务对象满意度指标。全年服判息诉率达到96.25%，完成了年初制定的服判息诉率。</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本次我单位绩效自评分为90分。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未将</w:t>
      </w:r>
      <w:r>
        <w:rPr>
          <w:rFonts w:hint="eastAsia" w:ascii="仿宋_GB2312" w:hAnsi="仿宋_GB2312" w:eastAsia="仿宋_GB2312" w:cs="仿宋_GB2312"/>
          <w:color w:val="000000"/>
          <w:kern w:val="0"/>
          <w:sz w:val="32"/>
          <w:szCs w:val="32"/>
          <w:shd w:val="clear" w:color="auto" w:fill="FFFFFF"/>
          <w:lang w:val="en-US" w:eastAsia="zh-CN"/>
        </w:rPr>
        <w:t>司法绩效工资</w:t>
      </w:r>
      <w:r>
        <w:rPr>
          <w:rFonts w:hint="eastAsia" w:ascii="仿宋_GB2312" w:hAnsi="仿宋_GB2312" w:eastAsia="仿宋_GB2312" w:cs="仿宋_GB2312"/>
          <w:color w:val="000000"/>
          <w:kern w:val="0"/>
          <w:sz w:val="32"/>
          <w:szCs w:val="32"/>
          <w:shd w:val="clear" w:color="auto" w:fill="FFFFFF"/>
          <w:lang w:val="zh-CN"/>
        </w:rPr>
        <w:t>纳入年初预算，以致需要申请预算追加；改进建议：1.加强组织领导，增强预算编制的准确性，提高对预算编制与执行的认识，为绩效评价工作开展创造更好的条件；2.建立长效机制，加强管理提高部门支出的绩效成果，为更好的服务审判工作发挥最大效益。</w:t>
      </w:r>
    </w:p>
    <w:p>
      <w:pPr>
        <w:widowControl/>
        <w:numPr>
          <w:ilvl w:val="0"/>
          <w:numId w:val="7"/>
        </w:numPr>
        <w:adjustRightInd w:val="0"/>
        <w:snapToGrid w:val="0"/>
        <w:spacing w:line="56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一是制定合理的年度工作计划和年度经费支出预算，及时调整不合理的支出，确保全年经费支出均衡。二是将经费使用情况及时向分管领导报告，并强化与业务部门的沟通衔接，切实提高资金使用效益。</w:t>
      </w:r>
    </w:p>
    <w:p>
      <w:pPr>
        <w:pStyle w:val="5"/>
        <w:spacing w:line="560" w:lineRule="exact"/>
        <w:ind w:left="0" w:leftChars="0" w:firstLine="640"/>
        <w:rPr>
          <w:rFonts w:hint="eastAsia" w:eastAsia="仿宋_GB2312" w:cs="仿宋_GB2312"/>
          <w:sz w:val="32"/>
        </w:rPr>
      </w:pPr>
      <w:r>
        <w:rPr>
          <w:rFonts w:hint="eastAsia" w:eastAsia="仿宋_GB2312" w:cs="仿宋_GB2312"/>
          <w:sz w:val="32"/>
          <w:lang w:val="zh-CN"/>
        </w:rPr>
        <w:t>附表：</w:t>
      </w:r>
      <w:r>
        <w:rPr>
          <w:rFonts w:hint="eastAsia" w:eastAsia="仿宋_GB2312" w:cs="仿宋_GB2312"/>
          <w:sz w:val="32"/>
        </w:rPr>
        <w:t>部门预算项目支出绩效自评表（2022年度）</w:t>
      </w:r>
    </w:p>
    <w:p>
      <w:pPr>
        <w:rPr>
          <w:rFonts w:hint="eastAsia"/>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lang w:val="en-US" w:eastAsia="zh-CN"/>
        </w:rPr>
        <w:t xml:space="preserve">                                                                              </w:t>
      </w:r>
    </w:p>
    <w:p>
      <w:pPr>
        <w:jc w:val="center"/>
        <w:rPr>
          <w:rFonts w:hint="eastAsia" w:eastAsia="仿宋_GB2312" w:cs="仿宋_GB2312"/>
          <w:sz w:val="32"/>
        </w:rPr>
      </w:pPr>
      <w:r>
        <w:rPr>
          <w:rFonts w:hint="eastAsia" w:eastAsia="仿宋_GB2312" w:cs="仿宋_GB2312"/>
          <w:sz w:val="32"/>
        </w:rPr>
        <w:t>部门预算项目支出绩效自评表（2022年度）</w:t>
      </w:r>
    </w:p>
    <w:tbl>
      <w:tblPr>
        <w:tblW w:w="47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67"/>
        <w:gridCol w:w="1201"/>
        <w:gridCol w:w="1377"/>
        <w:gridCol w:w="1028"/>
        <w:gridCol w:w="4608"/>
        <w:gridCol w:w="1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绩效指标</w:t>
            </w:r>
          </w:p>
        </w:tc>
        <w:tc>
          <w:tcPr>
            <w:tcW w:w="5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指标分值</w:t>
            </w:r>
          </w:p>
        </w:tc>
        <w:tc>
          <w:tcPr>
            <w:tcW w:w="225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指标解释</w:t>
            </w:r>
          </w:p>
        </w:tc>
        <w:tc>
          <w:tcPr>
            <w:tcW w:w="498"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5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225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498"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部门预算总体绩效</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（30分）</w:t>
            </w:r>
          </w:p>
        </w:tc>
        <w:tc>
          <w:tcPr>
            <w:tcW w:w="58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目标管理</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（15分）</w:t>
            </w:r>
          </w:p>
        </w:tc>
        <w:tc>
          <w:tcPr>
            <w:tcW w:w="67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目标制定</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部门年初绩效目标编制质量。</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预算编制阶段人大反馈绩效目标质量审查情况。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部门绩效目标制定是否纳入本部门集体决策范围。</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目标实现</w:t>
            </w:r>
          </w:p>
        </w:tc>
        <w:tc>
          <w:tcPr>
            <w:tcW w:w="50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部门整体绩效目标中数量指标、成本指标的完成情况。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部门整体绩效目标实现程度与预期目标的偏离情况。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过程控制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（10分）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执行进度</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部门在6、9、11月的预算执行情况。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同步调整</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部门预算执行中，预算调整和绩效目标调整同步实现情况。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及时处置</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部门绩效运行监控处置情况。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完成效率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（5分）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预算结余率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（低效无效率）</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部门预算项目年终预算结余情况。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28" w:hRule="atLeast"/>
        </w:trPr>
        <w:tc>
          <w:tcPr>
            <w:tcW w:w="4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部门预算</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项目绩效</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（20分）</w:t>
            </w:r>
          </w:p>
        </w:tc>
        <w:tc>
          <w:tcPr>
            <w:tcW w:w="4027"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财政重点绩效评价组结合部门管理的特定目标类部门预算项目数量，选取部分特定目标类部门预算项目实施评价并打分，将形成的项目评价分数的平均分（百分制）按20%的比例换算得分。</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4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专项预算绩效（30分）</w:t>
            </w:r>
          </w:p>
        </w:tc>
        <w:tc>
          <w:tcPr>
            <w:tcW w:w="4027"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根据财政厅组织开展对专项预算项目自评报告质量会审结果换算得分。 （有两个以上专项预算项目的，以平均分换算得分）。</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绩效结果应用（14分）</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内部应用</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预算挂钩</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部门内部绩效结果与预算挂钩情况。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信息公开</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（4分）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自评公开</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部门是否按要求将部门整体绩效自评情况和自行组织的评价情况向社会公开。</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整改反馈</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问题整改</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部门根据绩效管理结果整改问题、完善政策、改进管理的情况。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应用反馈</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部门按要求及时向财政部门反馈问题整改及结果应用情况。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自评质量</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（6分）</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自评质量</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（6分）</w:t>
            </w:r>
          </w:p>
        </w:tc>
        <w:tc>
          <w:tcPr>
            <w:tcW w:w="67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自评质量</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部门整体支出自评准确率。</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1738" w:type="pct"/>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扣分项（5分）</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根据审计监督、财会监督和决算审查结果反映部门上一年度部门预算管理是否符合相关财政财务管理规定。</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738" w:type="pct"/>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被评价单位配合评价工作情况。</w:t>
            </w: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738"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合计得分</w:t>
            </w:r>
          </w:p>
        </w:tc>
        <w:tc>
          <w:tcPr>
            <w:tcW w:w="504"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2259" w:type="pct"/>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498"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r>
    </w:tbl>
    <w:p>
      <w:r>
        <w:rPr>
          <w:rFonts w:hint="eastAsia"/>
          <w:lang w:val="en-US" w:eastAsia="zh-CN"/>
        </w:rPr>
        <w:t xml:space="preserve"> </w:t>
      </w:r>
    </w:p>
    <w:p>
      <w:pPr>
        <w:spacing w:line="600" w:lineRule="exact"/>
        <w:jc w:val="center"/>
        <w:outlineLvl w:val="0"/>
        <w:rPr>
          <w:rFonts w:hint="eastAsia" w:ascii="黑体" w:eastAsia="黑体"/>
          <w:sz w:val="44"/>
          <w:szCs w:val="44"/>
        </w:rPr>
      </w:pPr>
      <w:bookmarkStart w:id="102" w:name="_Toc15396618"/>
      <w:bookmarkStart w:id="103" w:name="_Toc14995"/>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ascii="仿宋" w:eastAsia="仿宋"/>
        </w:rPr>
      </w:pPr>
      <w:bookmarkStart w:id="104" w:name="_Toc1556"/>
      <w:r>
        <w:rPr>
          <w:rFonts w:hint="eastAsia" w:ascii="黑体" w:eastAsia="黑体"/>
          <w:sz w:val="44"/>
          <w:szCs w:val="44"/>
        </w:rPr>
        <w:t>第</w:t>
      </w:r>
      <w:r>
        <w:rPr>
          <w:rStyle w:val="16"/>
          <w:rFonts w:hint="eastAsia" w:ascii="黑体" w:eastAsia="黑体"/>
          <w:b w:val="0"/>
        </w:rPr>
        <w:t>五部分 附表</w:t>
      </w:r>
      <w:bookmarkEnd w:id="102"/>
      <w:bookmarkEnd w:id="103"/>
      <w:bookmarkEnd w:id="104"/>
      <w:bookmarkStart w:id="105" w:name="_Toc15396619"/>
    </w:p>
    <w:p>
      <w:pPr>
        <w:pStyle w:val="3"/>
        <w:rPr>
          <w:rFonts w:ascii="仿宋" w:eastAsia="仿宋"/>
        </w:rPr>
      </w:pPr>
      <w:bookmarkStart w:id="106" w:name="_Toc27470"/>
      <w:bookmarkStart w:id="107" w:name="_Toc32331"/>
      <w:r>
        <w:rPr>
          <w:rFonts w:hint="eastAsia" w:ascii="仿宋" w:eastAsia="仿宋"/>
          <w:b w:val="0"/>
        </w:rPr>
        <w:t>一、收</w:t>
      </w:r>
      <w:r>
        <w:rPr>
          <w:rStyle w:val="19"/>
          <w:rFonts w:hint="eastAsia" w:ascii="仿宋" w:eastAsia="仿宋"/>
          <w:b w:val="0"/>
          <w:bCs w:val="0"/>
        </w:rPr>
        <w:t>入支出决算总表</w:t>
      </w:r>
      <w:bookmarkEnd w:id="105"/>
      <w:bookmarkEnd w:id="106"/>
      <w:bookmarkEnd w:id="107"/>
    </w:p>
    <w:p>
      <w:pPr>
        <w:pStyle w:val="3"/>
        <w:rPr>
          <w:rFonts w:ascii="仿宋" w:eastAsia="仿宋"/>
        </w:rPr>
      </w:pPr>
      <w:bookmarkStart w:id="108" w:name="_Toc15396620"/>
      <w:bookmarkStart w:id="109" w:name="_Toc6460"/>
      <w:bookmarkStart w:id="110" w:name="_Toc13314"/>
      <w:r>
        <w:rPr>
          <w:rFonts w:hint="eastAsia" w:ascii="仿宋" w:eastAsia="仿宋"/>
          <w:b w:val="0"/>
        </w:rPr>
        <w:t>二、收</w:t>
      </w:r>
      <w:r>
        <w:rPr>
          <w:rStyle w:val="19"/>
          <w:rFonts w:hint="eastAsia" w:ascii="仿宋" w:eastAsia="仿宋"/>
          <w:b w:val="0"/>
          <w:bCs w:val="0"/>
        </w:rPr>
        <w:t>入决算表</w:t>
      </w:r>
      <w:bookmarkEnd w:id="108"/>
      <w:bookmarkEnd w:id="109"/>
      <w:bookmarkEnd w:id="110"/>
    </w:p>
    <w:p>
      <w:pPr>
        <w:pStyle w:val="3"/>
        <w:rPr>
          <w:rFonts w:ascii="仿宋" w:eastAsia="仿宋"/>
        </w:rPr>
      </w:pPr>
      <w:bookmarkStart w:id="111" w:name="_Toc17542"/>
      <w:bookmarkStart w:id="112" w:name="_Toc15396621"/>
      <w:bookmarkStart w:id="113" w:name="_Toc23603"/>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111"/>
      <w:bookmarkEnd w:id="112"/>
      <w:bookmarkEnd w:id="113"/>
    </w:p>
    <w:p>
      <w:pPr>
        <w:pStyle w:val="3"/>
        <w:rPr>
          <w:rFonts w:ascii="仿宋" w:eastAsia="仿宋"/>
          <w:b w:val="0"/>
        </w:rPr>
      </w:pPr>
      <w:bookmarkStart w:id="114" w:name="_Toc795"/>
      <w:bookmarkStart w:id="115" w:name="_Toc15396622"/>
      <w:bookmarkStart w:id="116" w:name="_Toc23121"/>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114"/>
      <w:bookmarkEnd w:id="115"/>
      <w:bookmarkEnd w:id="116"/>
    </w:p>
    <w:p>
      <w:pPr>
        <w:pStyle w:val="3"/>
        <w:rPr>
          <w:rStyle w:val="19"/>
          <w:rFonts w:ascii="仿宋" w:eastAsia="仿宋"/>
          <w:b w:val="0"/>
          <w:bCs w:val="0"/>
        </w:rPr>
      </w:pPr>
      <w:bookmarkStart w:id="117" w:name="_Toc15396623"/>
      <w:bookmarkStart w:id="118" w:name="_Toc9970"/>
      <w:bookmarkStart w:id="119" w:name="_Toc17364"/>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117"/>
      <w:bookmarkEnd w:id="118"/>
      <w:bookmarkEnd w:id="119"/>
      <w:bookmarkStart w:id="120" w:name="_Toc15396624"/>
    </w:p>
    <w:p>
      <w:pPr>
        <w:pStyle w:val="3"/>
        <w:rPr>
          <w:rFonts w:ascii="仿宋" w:eastAsia="仿宋"/>
        </w:rPr>
      </w:pPr>
      <w:bookmarkStart w:id="121" w:name="_Toc31197"/>
      <w:bookmarkStart w:id="122" w:name="_Toc17383"/>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120"/>
      <w:bookmarkEnd w:id="121"/>
      <w:bookmarkEnd w:id="122"/>
    </w:p>
    <w:p>
      <w:pPr>
        <w:pStyle w:val="3"/>
        <w:rPr>
          <w:rFonts w:ascii="仿宋" w:eastAsia="仿宋"/>
        </w:rPr>
      </w:pPr>
      <w:bookmarkStart w:id="123" w:name="_Toc15396625"/>
      <w:bookmarkStart w:id="124" w:name="_Toc28221"/>
      <w:bookmarkStart w:id="125" w:name="_Toc5453"/>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123"/>
      <w:bookmarkEnd w:id="124"/>
      <w:bookmarkEnd w:id="125"/>
    </w:p>
    <w:p>
      <w:pPr>
        <w:pStyle w:val="3"/>
        <w:rPr>
          <w:rFonts w:ascii="仿宋" w:eastAsia="仿宋"/>
        </w:rPr>
      </w:pPr>
      <w:bookmarkStart w:id="126" w:name="_Toc4198"/>
      <w:bookmarkStart w:id="127" w:name="_Toc15396626"/>
      <w:bookmarkStart w:id="128" w:name="_Toc21997"/>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126"/>
      <w:bookmarkEnd w:id="127"/>
      <w:bookmarkEnd w:id="128"/>
    </w:p>
    <w:p>
      <w:pPr>
        <w:pStyle w:val="3"/>
        <w:rPr>
          <w:rFonts w:ascii="仿宋" w:eastAsia="仿宋"/>
        </w:rPr>
      </w:pPr>
      <w:bookmarkStart w:id="129" w:name="_Toc15396627"/>
      <w:bookmarkStart w:id="130" w:name="_Toc6141"/>
      <w:bookmarkStart w:id="131" w:name="_Toc14466"/>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129"/>
      <w:bookmarkEnd w:id="130"/>
      <w:bookmarkEnd w:id="131"/>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2" w:name="_Toc23880"/>
      <w:bookmarkStart w:id="133" w:name="_Toc6806"/>
      <w:r>
        <w:rPr>
          <w:rFonts w:hint="eastAsia" w:ascii="仿宋" w:hAnsi="Cambria" w:eastAsia="仿宋" w:cs="Times New Roman"/>
          <w:b w:val="0"/>
          <w:color w:val="000000"/>
          <w:kern w:val="2"/>
          <w:sz w:val="32"/>
          <w:szCs w:val="32"/>
          <w:lang w:bidi="ar-SA"/>
        </w:rPr>
        <w:t>十、政府性基金预算财政拨款收入支出决算表</w:t>
      </w:r>
      <w:bookmarkEnd w:id="132"/>
      <w:bookmarkEnd w:id="133"/>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4" w:name="_Toc16903"/>
      <w:bookmarkStart w:id="135" w:name="_Toc12623"/>
      <w:r>
        <w:rPr>
          <w:rFonts w:hint="eastAsia" w:ascii="仿宋" w:hAnsi="Cambria" w:eastAsia="仿宋" w:cs="Times New Roman"/>
          <w:b w:val="0"/>
          <w:color w:val="000000"/>
          <w:kern w:val="2"/>
          <w:sz w:val="32"/>
          <w:szCs w:val="32"/>
          <w:lang w:bidi="ar-SA"/>
        </w:rPr>
        <w:t>十一、国有资本经营预算财政拨款收入支出决算表</w:t>
      </w:r>
      <w:bookmarkEnd w:id="134"/>
      <w:bookmarkEnd w:id="135"/>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6" w:name="_Toc26519"/>
      <w:bookmarkStart w:id="137" w:name="_Toc26360"/>
      <w:r>
        <w:rPr>
          <w:rFonts w:hint="eastAsia" w:ascii="仿宋" w:hAnsi="Cambria" w:eastAsia="仿宋" w:cs="Times New Roman"/>
          <w:b w:val="0"/>
          <w:color w:val="000000"/>
          <w:kern w:val="2"/>
          <w:sz w:val="32"/>
          <w:szCs w:val="32"/>
          <w:lang w:bidi="ar-SA"/>
        </w:rPr>
        <w:t>十二、国有资本经营预算财政拨款支出决算表</w:t>
      </w:r>
      <w:bookmarkEnd w:id="136"/>
      <w:bookmarkEnd w:id="137"/>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138" w:name="_Toc29871"/>
      <w:bookmarkStart w:id="139" w:name="_Toc1652"/>
      <w:r>
        <w:rPr>
          <w:rFonts w:hint="eastAsia" w:ascii="仿宋" w:hAnsi="Cambria" w:eastAsia="仿宋" w:cs="Times New Roman"/>
          <w:b w:val="0"/>
          <w:color w:val="000000"/>
          <w:kern w:val="2"/>
          <w:sz w:val="32"/>
          <w:szCs w:val="32"/>
          <w:lang w:bidi="ar-SA"/>
        </w:rPr>
        <w:t>十三、财政拨款“三公”经费支出决算表</w:t>
      </w:r>
      <w:bookmarkEnd w:id="138"/>
      <w:bookmarkEnd w:id="139"/>
    </w:p>
    <w:p>
      <w:pPr>
        <w:rPr>
          <w:rFonts w:hint="default"/>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华文仿宋">
    <w:altName w:val="仿宋"/>
    <w:panose1 w:val="00000000000000000000"/>
    <w:charset w:val="00"/>
    <w:family w:val="auto"/>
    <w:pitch w:val="default"/>
    <w:sig w:usb0="00000000" w:usb1="00000000" w:usb2="00000000" w:usb3="00000000" w:csb0="00000000" w:csb1="00000000"/>
  </w:font>
  <w:font w:name="汉仪细圆B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Malgun Gothic">
    <w:panose1 w:val="020B0503020000020004"/>
    <w:charset w:val="81"/>
    <w:family w:val="auto"/>
    <w:pitch w:val="default"/>
    <w:sig w:usb0="9000002F" w:usb1="29D77CFB" w:usb2="00000012" w:usb3="00000000" w:csb0="00080001" w:csb1="00000000"/>
  </w:font>
  <w:font w:name="MingLiU-ExtB">
    <w:panose1 w:val="02020500000000000000"/>
    <w:charset w:val="88"/>
    <w:family w:val="auto"/>
    <w:pitch w:val="default"/>
    <w:sig w:usb0="8000002F" w:usb1="02000008" w:usb2="00000000" w:usb3="00000000" w:csb0="00100001" w:csb1="00000000"/>
  </w:font>
  <w:font w:name="Bahnschrift Light">
    <w:panose1 w:val="020B0502040204020203"/>
    <w:charset w:val="00"/>
    <w:family w:val="auto"/>
    <w:pitch w:val="default"/>
    <w:sig w:usb0="A00002C7" w:usb1="00000002" w:usb2="00000000" w:usb3="00000000" w:csb0="2000019F" w:csb1="00000000"/>
  </w:font>
  <w:font w:name="Corbel Light">
    <w:panose1 w:val="020B0303020204020204"/>
    <w:charset w:val="00"/>
    <w:family w:val="auto"/>
    <w:pitch w:val="default"/>
    <w:sig w:usb0="A00002EF" w:usb1="4000A44B" w:usb2="00000000" w:usb3="00000000" w:csb0="2000019F" w:csb1="00000000"/>
  </w:font>
  <w:font w:name="Segoe UI Semibold">
    <w:panose1 w:val="020B07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FC3B9"/>
    <w:multiLevelType w:val="singleLevel"/>
    <w:tmpl w:val="C82FC3B9"/>
    <w:lvl w:ilvl="0" w:tentative="0">
      <w:start w:val="1"/>
      <w:numFmt w:val="chineseCounting"/>
      <w:suff w:val="nothing"/>
      <w:lvlText w:val="%1、"/>
      <w:lvlJc w:val="left"/>
      <w:rPr>
        <w:rFonts w:hint="eastAsia"/>
      </w:rPr>
    </w:lvl>
  </w:abstractNum>
  <w:abstractNum w:abstractNumId="1">
    <w:nsid w:val="CE1193C7"/>
    <w:multiLevelType w:val="singleLevel"/>
    <w:tmpl w:val="CE1193C7"/>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D3F706"/>
    <w:multiLevelType w:val="singleLevel"/>
    <w:tmpl w:val="17D3F706"/>
    <w:lvl w:ilvl="0" w:tentative="0">
      <w:start w:val="2"/>
      <w:numFmt w:val="decimal"/>
      <w:suff w:val="nothing"/>
      <w:lvlText w:val="（%1）"/>
      <w:lvlJc w:val="left"/>
    </w:lvl>
  </w:abstractNum>
  <w:abstractNum w:abstractNumId="6">
    <w:nsid w:val="32F7B662"/>
    <w:multiLevelType w:val="singleLevel"/>
    <w:tmpl w:val="32F7B662"/>
    <w:lvl w:ilvl="0" w:tentative="0">
      <w:start w:val="2"/>
      <w:numFmt w:val="chineseCounting"/>
      <w:suff w:val="nothing"/>
      <w:lvlText w:val="（%1）"/>
      <w:lvlJc w:val="left"/>
      <w:rPr>
        <w:rFonts w:hint="eastAsia"/>
      </w:rPr>
    </w:lvl>
  </w:abstractNum>
  <w:abstractNum w:abstractNumId="7">
    <w:nsid w:val="572B8214"/>
    <w:multiLevelType w:val="singleLevel"/>
    <w:tmpl w:val="572B8214"/>
    <w:lvl w:ilvl="0" w:tentative="0">
      <w:start w:val="2"/>
      <w:numFmt w:val="chineseCounting"/>
      <w:suff w:val="nothing"/>
      <w:lvlText w:val="（%1）"/>
      <w:lvlJc w:val="left"/>
      <w:rPr>
        <w:rFonts w:hint="eastAsia"/>
      </w:r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TgzMzVkMjI5MjEwNjJmMDU5NTQzNWE0NzQzZTcifQ=="/>
  </w:docVars>
  <w:rsids>
    <w:rsidRoot w:val="2D460727"/>
    <w:rsid w:val="010D5A7A"/>
    <w:rsid w:val="04ED064B"/>
    <w:rsid w:val="052B4CCF"/>
    <w:rsid w:val="0898267C"/>
    <w:rsid w:val="09F64E50"/>
    <w:rsid w:val="0B040FBD"/>
    <w:rsid w:val="0D3D5183"/>
    <w:rsid w:val="0F7617DF"/>
    <w:rsid w:val="12E73676"/>
    <w:rsid w:val="18770500"/>
    <w:rsid w:val="1A044015"/>
    <w:rsid w:val="1A901E02"/>
    <w:rsid w:val="1BE43F09"/>
    <w:rsid w:val="1EA304E6"/>
    <w:rsid w:val="1F0A5D4D"/>
    <w:rsid w:val="2369138D"/>
    <w:rsid w:val="2C842D93"/>
    <w:rsid w:val="2D00218E"/>
    <w:rsid w:val="2D460727"/>
    <w:rsid w:val="327D3308"/>
    <w:rsid w:val="35CA1203"/>
    <w:rsid w:val="39A84565"/>
    <w:rsid w:val="3AE13161"/>
    <w:rsid w:val="3DC85112"/>
    <w:rsid w:val="3E5B52FD"/>
    <w:rsid w:val="3F4B4E6B"/>
    <w:rsid w:val="44DA57EF"/>
    <w:rsid w:val="4723153F"/>
    <w:rsid w:val="4DF168C3"/>
    <w:rsid w:val="514126AF"/>
    <w:rsid w:val="52323C88"/>
    <w:rsid w:val="53130EE7"/>
    <w:rsid w:val="534171B0"/>
    <w:rsid w:val="56727B89"/>
    <w:rsid w:val="57BB7966"/>
    <w:rsid w:val="58DF4D2A"/>
    <w:rsid w:val="593212FE"/>
    <w:rsid w:val="59E32624"/>
    <w:rsid w:val="5A864A66"/>
    <w:rsid w:val="5D854E85"/>
    <w:rsid w:val="5FC670DF"/>
    <w:rsid w:val="64BB41D3"/>
    <w:rsid w:val="66E32558"/>
    <w:rsid w:val="69A927F7"/>
    <w:rsid w:val="6B851761"/>
    <w:rsid w:val="6CB87914"/>
    <w:rsid w:val="6DEB2503"/>
    <w:rsid w:val="6EF70BC7"/>
    <w:rsid w:val="6F2C42E2"/>
    <w:rsid w:val="704D67AA"/>
    <w:rsid w:val="71E73175"/>
    <w:rsid w:val="78F9553C"/>
    <w:rsid w:val="796845B2"/>
    <w:rsid w:val="7D450D50"/>
    <w:rsid w:val="7F817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Indent"/>
    <w:basedOn w:val="1"/>
    <w:next w:val="5"/>
    <w:uiPriority w:val="0"/>
    <w:pPr>
      <w:spacing w:after="120"/>
      <w:ind w:left="200" w:leftChars="200"/>
    </w:pPr>
    <w:rPr>
      <w:rFonts w:ascii="仿宋_GB2312" w:hAnsi="仿宋_GB2312"/>
      <w:szCs w:val="32"/>
    </w:rPr>
  </w:style>
  <w:style w:type="paragraph" w:styleId="5">
    <w:name w:val="Body Text First Indent 2"/>
    <w:basedOn w:val="4"/>
    <w:next w:val="1"/>
    <w:uiPriority w:val="0"/>
    <w:pPr>
      <w:ind w:firstLine="200" w:firstLineChars="200"/>
    </w:pPr>
  </w:style>
  <w:style w:type="paragraph" w:styleId="6">
    <w:name w:val="toc 3"/>
    <w:basedOn w:val="1"/>
    <w:next w:val="1"/>
    <w:uiPriority w:val="0"/>
    <w:pPr>
      <w:ind w:left="840" w:leftChars="400"/>
    </w:pPr>
  </w:style>
  <w:style w:type="paragraph" w:styleId="7">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paragraph" w:styleId="11">
    <w:name w:val="Normal (Web)"/>
    <w:basedOn w:val="1"/>
    <w:unhideWhenUsed/>
    <w:qFormat/>
    <w:uiPriority w:val="99"/>
    <w:pPr>
      <w:spacing w:before="100" w:beforeAutospacing="1" w:after="100" w:afterAutospacing="1"/>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qFormat/>
    <w:uiPriority w:val="0"/>
    <w:rPr>
      <w:b/>
      <w:bCs/>
      <w:kern w:val="44"/>
      <w:sz w:val="44"/>
      <w:szCs w:val="44"/>
    </w:rPr>
  </w:style>
  <w:style w:type="paragraph" w:customStyle="1" w:styleId="17">
    <w:name w:val="普通(网站) Char"/>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8">
    <w:name w:val="15"/>
    <w:basedOn w:val="13"/>
    <w:qFormat/>
    <w:uiPriority w:val="0"/>
    <w:rPr>
      <w:rFonts w:hint="default" w:ascii="Times New Roman" w:hAnsi="Times New Roman" w:cs="Times New Roman"/>
      <w:b/>
      <w:bCs/>
    </w:rPr>
  </w:style>
  <w:style w:type="character" w:customStyle="1" w:styleId="19">
    <w:name w:val="标题 2 Char"/>
    <w:basedOn w:val="13"/>
    <w:link w:val="3"/>
    <w:qFormat/>
    <w:uiPriority w:val="0"/>
    <w:rPr>
      <w:rFonts w:ascii="Cambria" w:hAnsi="Cambria"/>
      <w:b/>
      <w:bCs/>
      <w:sz w:val="32"/>
      <w:szCs w:val="32"/>
    </w:rPr>
  </w:style>
  <w:style w:type="paragraph" w:styleId="20">
    <w:name w:val="List Paragraph"/>
    <w:basedOn w:val="1"/>
    <w:qFormat/>
    <w:uiPriority w:val="0"/>
    <w:pPr>
      <w:ind w:firstLine="200" w:firstLineChars="200"/>
    </w:p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2">
    <w:name w:val="font91"/>
    <w:basedOn w:val="13"/>
    <w:uiPriority w:val="0"/>
    <w:rPr>
      <w:rFonts w:hint="eastAsia" w:ascii="宋体" w:hAnsi="宋体" w:eastAsia="宋体" w:cs="宋体"/>
      <w:color w:val="000000"/>
      <w:sz w:val="24"/>
      <w:szCs w:val="24"/>
      <w:u w:val="none"/>
    </w:rPr>
  </w:style>
  <w:style w:type="character" w:customStyle="1" w:styleId="23">
    <w:name w:val="font101"/>
    <w:basedOn w:val="13"/>
    <w:uiPriority w:val="0"/>
    <w:rPr>
      <w:rFonts w:ascii="汉仪细圆B5" w:hAnsi="汉仪细圆B5" w:eastAsia="汉仪细圆B5" w:cs="汉仪细圆B5"/>
      <w:color w:val="000000"/>
      <w:sz w:val="24"/>
      <w:szCs w:val="24"/>
      <w:u w:val="none"/>
    </w:rPr>
  </w:style>
  <w:style w:type="character" w:customStyle="1" w:styleId="24">
    <w:name w:val="font71"/>
    <w:basedOn w:val="13"/>
    <w:uiPriority w:val="0"/>
    <w:rPr>
      <w:rFonts w:hint="eastAsia" w:ascii="宋体" w:hAnsi="宋体" w:eastAsia="宋体" w:cs="宋体"/>
      <w:color w:val="000000"/>
      <w:sz w:val="24"/>
      <w:szCs w:val="24"/>
      <w:u w:val="none"/>
    </w:rPr>
  </w:style>
  <w:style w:type="character" w:customStyle="1" w:styleId="25">
    <w:name w:val="font81"/>
    <w:basedOn w:val="13"/>
    <w:uiPriority w:val="0"/>
    <w:rPr>
      <w:rFonts w:ascii="汉仪细圆B5" w:hAnsi="汉仪细圆B5" w:eastAsia="汉仪细圆B5" w:cs="汉仪细圆B5"/>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收入数</c:v>
                </c:pt>
                <c:pt idx="1">
                  <c:v>支出数</c:v>
                </c:pt>
              </c:strCache>
            </c:strRef>
          </c:cat>
          <c:val>
            <c:numRef>
              <c:f>Sheet1!$B$2:$C$2</c:f>
              <c:numCache>
                <c:formatCode>General</c:formatCode>
                <c:ptCount val="2"/>
                <c:pt idx="0">
                  <c:v>1764.64</c:v>
                </c:pt>
                <c:pt idx="1">
                  <c:v>1764.64</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收入数</c:v>
                </c:pt>
                <c:pt idx="1">
                  <c:v>支出数</c:v>
                </c:pt>
              </c:strCache>
            </c:strRef>
          </c:cat>
          <c:val>
            <c:numRef>
              <c:f>Sheet1!$B$3:$C$3</c:f>
              <c:numCache>
                <c:formatCode>General</c:formatCode>
                <c:ptCount val="2"/>
                <c:pt idx="0">
                  <c:v>1665.99</c:v>
                </c:pt>
                <c:pt idx="1">
                  <c:v>1665.99</c:v>
                </c:pt>
              </c:numCache>
            </c:numRef>
          </c:val>
        </c:ser>
        <c:dLbls>
          <c:showLegendKey val="0"/>
          <c:showVal val="0"/>
          <c:showCatName val="0"/>
          <c:showSerName val="0"/>
          <c:showPercent val="0"/>
          <c:showBubbleSize val="0"/>
        </c:dLbls>
        <c:gapWidth val="246"/>
        <c:overlap val="-28"/>
        <c:axId val="898440666"/>
        <c:axId val="939174036"/>
      </c:barChart>
      <c:catAx>
        <c:axId val="8984406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9174036"/>
        <c:crosses val="autoZero"/>
        <c:auto val="1"/>
        <c:lblAlgn val="ctr"/>
        <c:lblOffset val="100"/>
        <c:noMultiLvlLbl val="0"/>
      </c:catAx>
      <c:valAx>
        <c:axId val="939174036"/>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844066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#,##0.00</c:formatCode>
                <c:ptCount val="8"/>
                <c:pt idx="0">
                  <c:v>1072.19</c:v>
                </c:pt>
                <c:pt idx="1" c:formatCode="General">
                  <c:v>0</c:v>
                </c:pt>
                <c:pt idx="2" c:formatCode="General">
                  <c:v>0</c:v>
                </c:pt>
                <c:pt idx="3" c:formatCode="General">
                  <c:v>0</c:v>
                </c:pt>
                <c:pt idx="4" c:formatCode="General">
                  <c:v>0</c:v>
                </c:pt>
                <c:pt idx="5" c:formatCode="General">
                  <c:v>0</c:v>
                </c:pt>
                <c:pt idx="6" c:formatCode="General">
                  <c:v>0</c:v>
                </c:pt>
                <c:pt idx="7" c:formatCode="General">
                  <c:v>593.81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1358.8</c:v>
                </c:pt>
                <c:pt idx="1">
                  <c:v>307.19</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财政拨款收入</c:v>
                </c:pt>
                <c:pt idx="1">
                  <c:v>财政拨款支出</c:v>
                </c:pt>
              </c:strCache>
            </c:strRef>
          </c:cat>
          <c:val>
            <c:numRef>
              <c:f>Sheet1!$B$2:$C$2</c:f>
              <c:numCache>
                <c:formatCode>General</c:formatCode>
                <c:ptCount val="2"/>
                <c:pt idx="0">
                  <c:v>1764.64</c:v>
                </c:pt>
                <c:pt idx="1">
                  <c:v>1764.64</c:v>
                </c:pt>
              </c:numCache>
            </c:numRef>
          </c:val>
        </c:ser>
        <c:ser>
          <c:idx val="1"/>
          <c:order val="1"/>
          <c:tx>
            <c:strRef>
              <c:f>Sheet1!$A$3</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财政拨款收入</c:v>
                </c:pt>
                <c:pt idx="1">
                  <c:v>财政拨款支出</c:v>
                </c:pt>
              </c:strCache>
            </c:strRef>
          </c:cat>
          <c:val>
            <c:numRef>
              <c:f>Sheet1!$B$3:$C$3</c:f>
              <c:numCache>
                <c:formatCode>General</c:formatCode>
                <c:ptCount val="2"/>
                <c:pt idx="0">
                  <c:v>1072.19</c:v>
                </c:pt>
                <c:pt idx="1">
                  <c:v>1072.19</c:v>
                </c:pt>
              </c:numCache>
            </c:numRef>
          </c:val>
        </c:ser>
        <c:dLbls>
          <c:showLegendKey val="0"/>
          <c:showVal val="0"/>
          <c:showCatName val="0"/>
          <c:showSerName val="0"/>
          <c:showPercent val="0"/>
          <c:showBubbleSize val="0"/>
        </c:dLbls>
        <c:gapWidth val="246"/>
        <c:overlap val="-28"/>
        <c:axId val="877067900"/>
        <c:axId val="276842623"/>
      </c:barChart>
      <c:catAx>
        <c:axId val="8770679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6842623"/>
        <c:crosses val="autoZero"/>
        <c:auto val="1"/>
        <c:lblAlgn val="ctr"/>
        <c:lblOffset val="100"/>
        <c:noMultiLvlLbl val="0"/>
      </c:catAx>
      <c:valAx>
        <c:axId val="27684262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7067900"/>
        <c:crosses val="autoZero"/>
        <c:crossBetween val="between"/>
      </c:valAx>
      <c:spPr>
        <a:noFill/>
        <a:ln>
          <a:noFill/>
        </a:ln>
        <a:effectLst/>
      </c:spPr>
    </c:plotArea>
    <c:legend>
      <c:legendPos val="b"/>
      <c:layout>
        <c:manualLayout>
          <c:xMode val="edge"/>
          <c:yMode val="edge"/>
          <c:x val="0.378165139311517"/>
          <c:y val="0.90249453855039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1764.64</c:v>
                </c:pt>
                <c:pt idx="1" c:formatCode="#,##0.00">
                  <c:v>1072.19</c:v>
                </c:pt>
              </c:numCache>
            </c:numRef>
          </c:val>
        </c:ser>
        <c:dLbls>
          <c:showLegendKey val="0"/>
          <c:showVal val="0"/>
          <c:showCatName val="0"/>
          <c:showSerName val="0"/>
          <c:showPercent val="0"/>
          <c:showBubbleSize val="0"/>
        </c:dLbls>
        <c:gapWidth val="246"/>
        <c:overlap val="-28"/>
        <c:axId val="191853506"/>
        <c:axId val="459851789"/>
      </c:barChart>
      <c:catAx>
        <c:axId val="1918535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851789"/>
        <c:crosses val="autoZero"/>
        <c:auto val="1"/>
        <c:lblAlgn val="ctr"/>
        <c:lblOffset val="100"/>
        <c:noMultiLvlLbl val="0"/>
      </c:catAx>
      <c:valAx>
        <c:axId val="45985178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85350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公共安全支出</c:v>
                </c:pt>
                <c:pt idx="1">
                  <c:v>社会保障和就业支出</c:v>
                </c:pt>
                <c:pt idx="2">
                  <c:v>卫生健康支出</c:v>
                </c:pt>
                <c:pt idx="3">
                  <c:v>住房保障支出</c:v>
                </c:pt>
              </c:strCache>
            </c:strRef>
          </c:cat>
          <c:val>
            <c:numRef>
              <c:f>Sheet1!$B$1:$B$4</c:f>
              <c:numCache>
                <c:formatCode>#,##0.00</c:formatCode>
                <c:ptCount val="4"/>
                <c:pt idx="0">
                  <c:v>792.41</c:v>
                </c:pt>
                <c:pt idx="1">
                  <c:v>129.88</c:v>
                </c:pt>
                <c:pt idx="2">
                  <c:v>64.67</c:v>
                </c:pt>
                <c:pt idx="3">
                  <c:v>85.22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127083836676"/>
          <c:y val="0.183595410114747"/>
          <c:w val="0.460497704759604"/>
          <c:h val="0.810029749256269"/>
        </c:manualLayout>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delete val="1"/>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Sheet1!$A$1:$A$3</c:f>
              <c:strCache>
                <c:ptCount val="3"/>
                <c:pt idx="0">
                  <c:v>因公出国（境）费</c:v>
                </c:pt>
                <c:pt idx="1">
                  <c:v>公务用车购置及运行维护费</c:v>
                </c:pt>
                <c:pt idx="2">
                  <c:v>公务接待费</c:v>
                </c:pt>
              </c:strCache>
            </c:strRef>
          </c:cat>
          <c:val>
            <c:numRef>
              <c:f>Sheet1!$B$1:$B$3</c:f>
              <c:numCache>
                <c:formatCode>General</c:formatCode>
                <c:ptCount val="3"/>
                <c:pt idx="0">
                  <c:v>0</c:v>
                </c:pt>
                <c:pt idx="1">
                  <c:v>12</c:v>
                </c:pt>
                <c:pt idx="2">
                  <c:v>0.76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0"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2023-09-17T08:10:00Z</dcterms:created>
  <dc:creator>苜</dc:creator>
  <cp:lastModifiedBy>苜</cp:lastModifiedBy>
  <cp:lastPrinted>2023-09-19T10:35:00Z</cp:lastPrinted>
  <dcterms:modified xsi:type="dcterms:W3CDTF">2023-09-20T04:46:24Z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DB98432C973349BB94F899B369168890_11</vt:lpwstr>
  </property>
</Properties>
</file>