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bookmarkStart w:id="0" w:name="_Toc15306267"/>
    </w:p>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p>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p>
    <w:p>
      <w:pPr>
        <w:jc w:val="center"/>
        <w:rPr>
          <w:rFonts w:hint="eastAsia" w:ascii="方正小标宋_GBK" w:hAnsi="方正小标宋_GBK" w:eastAsia="方正小标宋_GBK" w:cs="方正小标宋_GBK"/>
          <w:color w:val="000000" w:themeColor="text1"/>
          <w:sz w:val="72"/>
          <w:szCs w:val="72"/>
          <w14:textFill>
            <w14:solidFill>
              <w14:schemeClr w14:val="tx1"/>
            </w14:solidFill>
          </w14:textFill>
        </w:rPr>
      </w:pPr>
      <w:bookmarkStart w:id="1" w:name="_Toc15377193"/>
      <w:bookmarkStart w:id="2" w:name="_Toc15396475"/>
      <w:bookmarkStart w:id="3" w:name="_Toc15377425"/>
      <w:bookmarkStart w:id="4" w:name="_Toc15378441"/>
      <w:bookmarkStart w:id="5" w:name="_Toc15396597"/>
      <w:r>
        <w:rPr>
          <w:rFonts w:hint="eastAsia" w:ascii="方正小标宋_GBK" w:hAnsi="方正小标宋_GBK" w:eastAsia="方正小标宋_GBK" w:cs="方正小标宋_GBK"/>
          <w:color w:val="000000" w:themeColor="text1"/>
          <w:sz w:val="72"/>
          <w:szCs w:val="72"/>
          <w14:textFill>
            <w14:solidFill>
              <w14:schemeClr w14:val="tx1"/>
            </w14:solidFill>
          </w14:textFill>
        </w:rPr>
        <w:t>202</w:t>
      </w:r>
      <w:r>
        <w:rPr>
          <w:rFonts w:hint="eastAsia" w:ascii="方正小标宋_GBK" w:hAnsi="方正小标宋_GBK" w:eastAsia="方正小标宋_GBK" w:cs="方正小标宋_GBK"/>
          <w:color w:val="000000" w:themeColor="text1"/>
          <w:sz w:val="72"/>
          <w:szCs w:val="72"/>
          <w:lang w:val="en-US" w:eastAsia="zh-CN"/>
          <w14:textFill>
            <w14:solidFill>
              <w14:schemeClr w14:val="tx1"/>
            </w14:solidFill>
          </w14:textFill>
        </w:rPr>
        <w:t>2</w:t>
      </w:r>
      <w:r>
        <w:rPr>
          <w:rFonts w:hint="eastAsia" w:ascii="方正小标宋_GBK" w:hAnsi="方正小标宋_GBK" w:eastAsia="方正小标宋_GBK" w:cs="方正小标宋_GBK"/>
          <w:color w:val="000000" w:themeColor="text1"/>
          <w:sz w:val="72"/>
          <w:szCs w:val="72"/>
          <w14:textFill>
            <w14:solidFill>
              <w14:schemeClr w14:val="tx1"/>
            </w14:solidFill>
          </w14:textFill>
        </w:rPr>
        <w:t>年度</w:t>
      </w:r>
      <w:bookmarkEnd w:id="1"/>
      <w:bookmarkEnd w:id="2"/>
      <w:bookmarkEnd w:id="3"/>
      <w:bookmarkEnd w:id="4"/>
      <w:bookmarkEnd w:id="5"/>
    </w:p>
    <w:p>
      <w:pPr>
        <w:jc w:val="center"/>
        <w:rPr>
          <w:rFonts w:hint="eastAsia" w:ascii="方正小标宋_GBK" w:hAnsi="方正小标宋_GBK" w:eastAsia="方正小标宋_GBK" w:cs="方正小标宋_GBK"/>
          <w:color w:val="000000" w:themeColor="text1"/>
          <w:sz w:val="72"/>
          <w:szCs w:val="72"/>
          <w14:textFill>
            <w14:solidFill>
              <w14:schemeClr w14:val="tx1"/>
            </w14:solidFill>
          </w14:textFill>
        </w:rPr>
      </w:pPr>
      <w:bookmarkStart w:id="6" w:name="_Toc15396476"/>
      <w:bookmarkStart w:id="7" w:name="_Toc15377194"/>
      <w:bookmarkStart w:id="8" w:name="_Toc15377426"/>
      <w:bookmarkStart w:id="9" w:name="_Toc15396598"/>
      <w:bookmarkStart w:id="10" w:name="_Toc15378442"/>
      <w:r>
        <w:rPr>
          <w:rFonts w:hint="eastAsia" w:ascii="方正小标宋_GBK" w:hAnsi="方正小标宋_GBK" w:eastAsia="方正小标宋_GBK" w:cs="方正小标宋_GBK"/>
          <w:color w:val="000000" w:themeColor="text1"/>
          <w:sz w:val="72"/>
          <w:szCs w:val="72"/>
          <w14:textFill>
            <w14:solidFill>
              <w14:schemeClr w14:val="tx1"/>
            </w14:solidFill>
          </w14:textFill>
        </w:rPr>
        <w:t>四川省阿坝州</w:t>
      </w:r>
      <w:bookmarkEnd w:id="0"/>
      <w:bookmarkStart w:id="11" w:name="_Toc15306268"/>
      <w:r>
        <w:rPr>
          <w:rFonts w:hint="eastAsia" w:ascii="方正小标宋_GBK" w:hAnsi="方正小标宋_GBK" w:eastAsia="方正小标宋_GBK" w:cs="方正小标宋_GBK"/>
          <w:color w:val="000000" w:themeColor="text1"/>
          <w:sz w:val="72"/>
          <w:szCs w:val="72"/>
          <w:lang w:val="en-US" w:eastAsia="zh-CN"/>
          <w14:textFill>
            <w14:solidFill>
              <w14:schemeClr w14:val="tx1"/>
            </w14:solidFill>
          </w14:textFill>
        </w:rPr>
        <w:t>小金县人民法院</w:t>
      </w:r>
      <w:r>
        <w:rPr>
          <w:rFonts w:hint="eastAsia" w:ascii="方正小标宋_GBK" w:hAnsi="方正小标宋_GBK" w:eastAsia="方正小标宋_GBK" w:cs="方正小标宋_GBK"/>
          <w:color w:val="000000" w:themeColor="text1"/>
          <w:sz w:val="72"/>
          <w:szCs w:val="72"/>
          <w14:textFill>
            <w14:solidFill>
              <w14:schemeClr w14:val="tx1"/>
            </w14:solidFill>
          </w14:textFill>
        </w:rPr>
        <w:t>部门决算</w:t>
      </w:r>
      <w:bookmarkEnd w:id="6"/>
      <w:bookmarkEnd w:id="7"/>
      <w:bookmarkEnd w:id="8"/>
      <w:bookmarkEnd w:id="9"/>
      <w:bookmarkEnd w:id="10"/>
      <w:bookmarkEnd w:id="11"/>
    </w:p>
    <w:p>
      <w:pPr>
        <w:widowControl/>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pPr>
        <w:widowControl/>
        <w:jc w:val="center"/>
        <w:rPr>
          <w:rFonts w:hint="eastAsia" w:ascii="方正小标宋简体" w:hAnsi="宋体" w:eastAsia="方正小标宋简体"/>
          <w:color w:val="000000" w:themeColor="text1"/>
          <w:sz w:val="36"/>
          <w:szCs w:val="36"/>
          <w:lang w:val="en-US" w:eastAsia="zh-CN"/>
          <w14:textFill>
            <w14:solidFill>
              <w14:schemeClr w14:val="tx1"/>
            </w14:solidFill>
          </w14:textFill>
        </w:rPr>
      </w:pPr>
    </w:p>
    <w:p>
      <w:pPr>
        <w:widowControl/>
        <w:jc w:val="center"/>
        <w:rPr>
          <w:rFonts w:hint="eastAsia" w:ascii="方正小标宋简体" w:hAnsi="宋体" w:eastAsia="方正小标宋简体"/>
          <w:color w:val="000000" w:themeColor="text1"/>
          <w:sz w:val="36"/>
          <w:szCs w:val="36"/>
          <w:lang w:val="en-US" w:eastAsia="zh-CN"/>
          <w14:textFill>
            <w14:solidFill>
              <w14:schemeClr w14:val="tx1"/>
            </w14:solidFill>
          </w14:textFill>
        </w:rPr>
      </w:pPr>
      <w:r>
        <w:rPr>
          <w:rFonts w:hint="eastAsia" w:ascii="方正小标宋简体" w:hAnsi="宋体" w:eastAsia="方正小标宋简体"/>
          <w:color w:val="000000" w:themeColor="text1"/>
          <w:sz w:val="36"/>
          <w:szCs w:val="36"/>
          <w:lang w:val="en-US" w:eastAsia="zh-CN"/>
          <w14:textFill>
            <w14:solidFill>
              <w14:schemeClr w14:val="tx1"/>
            </w14:solidFill>
          </w14:textFill>
        </w:rPr>
        <w:t xml:space="preserve"> </w:t>
      </w:r>
    </w:p>
    <w:p>
      <w:pPr>
        <w:rPr>
          <w:rFonts w:hint="default" w:ascii="方正小标宋简体" w:hAnsi="宋体" w:eastAsia="方正小标宋简体"/>
          <w:color w:val="000000" w:themeColor="text1"/>
          <w:sz w:val="36"/>
          <w:szCs w:val="36"/>
          <w:lang w:val="en-US" w:eastAsia="zh-CN"/>
          <w14:textFill>
            <w14:solidFill>
              <w14:schemeClr w14:val="tx1"/>
            </w14:solidFill>
          </w14:textFill>
        </w:rPr>
      </w:pPr>
      <w:r>
        <w:rPr>
          <w:rFonts w:hint="eastAsia" w:ascii="方正小标宋简体" w:hAnsi="宋体" w:eastAsia="方正小标宋简体"/>
          <w:color w:val="000000" w:themeColor="text1"/>
          <w:sz w:val="36"/>
          <w:szCs w:val="36"/>
          <w:lang w:val="en-US" w:eastAsia="zh-CN"/>
          <w14:textFill>
            <w14:solidFill>
              <w14:schemeClr w14:val="tx1"/>
            </w14:solidFill>
          </w14:textFill>
        </w:rPr>
        <w:t xml:space="preserve">                                                                                                           </w:t>
      </w: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autoSpaceDE w:val="0"/>
        <w:autoSpaceDN w:val="0"/>
        <w:adjustRightInd w:val="0"/>
        <w:ind w:firstLine="960" w:firstLineChars="300"/>
        <w:jc w:val="left"/>
        <w:rPr>
          <w:rFonts w:ascii="宋体" w:hAnsi="宋体"/>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保密审查情况：已审查，内容审定</w:t>
      </w:r>
    </w:p>
    <w:p>
      <w:pPr>
        <w:autoSpaceDE w:val="0"/>
        <w:autoSpaceDN w:val="0"/>
        <w:adjustRightInd w:val="0"/>
        <w:ind w:left="420" w:leftChars="200"/>
        <w:jc w:val="center"/>
        <w:rPr>
          <w:rFonts w:hint="eastAsia" w:ascii="宋体" w:hAns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lang w:val="en-US" w:eastAsia="zh-CN"/>
          <w14:textFill>
            <w14:solidFill>
              <w14:schemeClr w14:val="tx1"/>
            </w14:solidFill>
          </w14:textFill>
        </w:rPr>
        <w:t xml:space="preserve">  </w:t>
      </w:r>
      <w:r>
        <w:rPr>
          <w:rFonts w:hint="eastAsia" w:ascii="宋体" w:hAnsi="宋体" w:cs="仿宋_GB2312"/>
          <w:color w:val="000000" w:themeColor="text1"/>
          <w:sz w:val="32"/>
          <w:szCs w:val="32"/>
          <w14:textFill>
            <w14:solidFill>
              <w14:schemeClr w14:val="tx1"/>
            </w14:solidFill>
          </w14:textFill>
        </w:rPr>
        <w:t>部门主要负责人审签情况：已审签，同意对外公开</w:t>
      </w:r>
    </w:p>
    <w:p>
      <w:pPr>
        <w:autoSpaceDE w:val="0"/>
        <w:autoSpaceDN w:val="0"/>
        <w:adjustRightInd w:val="0"/>
        <w:ind w:left="420" w:leftChars="200"/>
        <w:jc w:val="center"/>
        <w:rPr>
          <w:rFonts w:ascii="黑体" w:hAnsi="黑体" w:eastAsia="黑体"/>
          <w:color w:val="000000" w:themeColor="text1"/>
          <w:sz w:val="48"/>
          <w:szCs w:val="48"/>
          <w14:textFill>
            <w14:solidFill>
              <w14:schemeClr w14:val="tx1"/>
            </w14:solidFill>
          </w14:textFill>
        </w:rPr>
      </w:pPr>
      <w:r>
        <w:rPr>
          <w:rFonts w:ascii="方正小标宋简体" w:hAnsi="宋体" w:eastAsia="方正小标宋简体"/>
          <w:color w:val="000000" w:themeColor="text1"/>
          <w:sz w:val="36"/>
          <w:szCs w:val="36"/>
          <w14:textFill>
            <w14:solidFill>
              <w14:schemeClr w14:val="tx1"/>
            </w14:solidFill>
          </w14:textFill>
        </w:rPr>
        <w:br w:type="page"/>
      </w:r>
      <w:r>
        <w:rPr>
          <w:rFonts w:hint="eastAsia" w:ascii="黑体" w:hAnsi="黑体" w:eastAsia="黑体"/>
          <w:color w:val="000000" w:themeColor="text1"/>
          <w:sz w:val="48"/>
          <w:szCs w:val="48"/>
          <w14:textFill>
            <w14:solidFill>
              <w14:schemeClr w14:val="tx1"/>
            </w14:solidFill>
          </w14:textFill>
        </w:rPr>
        <w:t>目录</w:t>
      </w:r>
    </w:p>
    <w:p>
      <w:pPr>
        <w:pStyle w:val="15"/>
        <w:jc w:val="center"/>
        <w:rPr>
          <w:rFonts w:hAnsiTheme="minorHAnsi"/>
          <w:b w:val="0"/>
          <w:bCs w:val="0"/>
          <w:color w:val="000000" w:themeColor="text1"/>
          <w:sz w:val="24"/>
          <w:szCs w:val="24"/>
          <w14:textFill>
            <w14:solidFill>
              <w14:schemeClr w14:val="tx1"/>
            </w14:solidFill>
          </w14:textFill>
        </w:rPr>
      </w:pPr>
      <w:r>
        <w:rPr>
          <w:rFonts w:hint="eastAsia" w:hAnsiTheme="minorHAnsi"/>
          <w:b w:val="0"/>
          <w:bCs w:val="0"/>
          <w:color w:val="000000" w:themeColor="text1"/>
          <w:sz w:val="24"/>
          <w:szCs w:val="24"/>
          <w14:textFill>
            <w14:solidFill>
              <w14:schemeClr w14:val="tx1"/>
            </w14:solidFill>
          </w14:textFill>
        </w:rPr>
        <w:t>公开时间：202</w:t>
      </w:r>
      <w:r>
        <w:rPr>
          <w:rFonts w:hint="eastAsia" w:hAnsiTheme="minorHAnsi"/>
          <w:b w:val="0"/>
          <w:bCs w:val="0"/>
          <w:color w:val="000000" w:themeColor="text1"/>
          <w:sz w:val="24"/>
          <w:szCs w:val="24"/>
          <w:lang w:val="en-US" w:eastAsia="zh-CN"/>
          <w14:textFill>
            <w14:solidFill>
              <w14:schemeClr w14:val="tx1"/>
            </w14:solidFill>
          </w14:textFill>
        </w:rPr>
        <w:t>2</w:t>
      </w:r>
      <w:r>
        <w:rPr>
          <w:rFonts w:hint="eastAsia" w:hAnsiTheme="minorHAnsi"/>
          <w:b w:val="0"/>
          <w:bCs w:val="0"/>
          <w:color w:val="000000" w:themeColor="text1"/>
          <w:sz w:val="24"/>
          <w:szCs w:val="24"/>
          <w14:textFill>
            <w14:solidFill>
              <w14:schemeClr w14:val="tx1"/>
            </w14:solidFill>
          </w14:textFill>
        </w:rPr>
        <w:t>年</w:t>
      </w:r>
      <w:r>
        <w:rPr>
          <w:rFonts w:hint="eastAsia" w:hAnsiTheme="minorHAnsi"/>
          <w:b w:val="0"/>
          <w:bCs w:val="0"/>
          <w:color w:val="000000" w:themeColor="text1"/>
          <w:sz w:val="24"/>
          <w:szCs w:val="24"/>
          <w:lang w:val="en-US" w:eastAsia="zh-CN"/>
          <w14:textFill>
            <w14:solidFill>
              <w14:schemeClr w14:val="tx1"/>
            </w14:solidFill>
          </w14:textFill>
        </w:rPr>
        <w:t>9</w:t>
      </w:r>
      <w:r>
        <w:rPr>
          <w:rFonts w:hint="eastAsia" w:hAnsiTheme="minorHAnsi"/>
          <w:b w:val="0"/>
          <w:bCs w:val="0"/>
          <w:color w:val="000000" w:themeColor="text1"/>
          <w:sz w:val="24"/>
          <w:szCs w:val="24"/>
          <w14:textFill>
            <w14:solidFill>
              <w14:schemeClr w14:val="tx1"/>
            </w14:solidFill>
          </w14:textFill>
        </w:rPr>
        <w:t>月</w:t>
      </w:r>
      <w:r>
        <w:rPr>
          <w:rFonts w:hint="eastAsia" w:hAnsiTheme="minorHAnsi"/>
          <w:b w:val="0"/>
          <w:bCs w:val="0"/>
          <w:color w:val="000000" w:themeColor="text1"/>
          <w:sz w:val="24"/>
          <w:szCs w:val="24"/>
          <w:lang w:val="en-US" w:eastAsia="zh-CN"/>
          <w14:textFill>
            <w14:solidFill>
              <w14:schemeClr w14:val="tx1"/>
            </w14:solidFill>
          </w14:textFill>
        </w:rPr>
        <w:t>17</w:t>
      </w:r>
      <w:r>
        <w:rPr>
          <w:rFonts w:hint="eastAsia" w:hAnsiTheme="minorHAnsi"/>
          <w:b w:val="0"/>
          <w:bCs w:val="0"/>
          <w:color w:val="000000" w:themeColor="text1"/>
          <w:sz w:val="24"/>
          <w:szCs w:val="24"/>
          <w14:textFill>
            <w14:solidFill>
              <w14:schemeClr w14:val="tx1"/>
            </w14:solidFill>
          </w14:textFill>
        </w:rPr>
        <w:t>日</w:t>
      </w:r>
    </w:p>
    <w:p>
      <w:pPr>
        <w:pStyle w:val="15"/>
        <w:tabs>
          <w:tab w:val="right" w:leader="dot" w:pos="8296"/>
        </w:tabs>
        <w:rPr>
          <w:rFonts w:hAnsiTheme="minorHAnsi" w:eastAsiaTheme="minorEastAsia" w:cstheme="minorBidi"/>
          <w:b w:val="0"/>
          <w:bCs w:val="0"/>
          <w:caps w:val="0"/>
          <w:color w:val="000000" w:themeColor="text1"/>
          <w:sz w:val="21"/>
          <w:szCs w:val="22"/>
          <w14:textFill>
            <w14:solidFill>
              <w14:schemeClr w14:val="tx1"/>
            </w14:solidFill>
          </w14:textFill>
        </w:rPr>
      </w:pPr>
      <w:r>
        <w:rPr>
          <w:b w:val="0"/>
          <w:bCs w:val="0"/>
          <w:caps w:val="0"/>
          <w:color w:val="000000" w:themeColor="text1"/>
          <w14:textFill>
            <w14:solidFill>
              <w14:schemeClr w14:val="tx1"/>
            </w14:solidFill>
          </w14:textFill>
        </w:rPr>
        <w:fldChar w:fldCharType="begin"/>
      </w:r>
      <w:r>
        <w:rPr>
          <w:b w:val="0"/>
          <w:bCs w:val="0"/>
          <w:caps w:val="0"/>
          <w:color w:val="000000" w:themeColor="text1"/>
          <w14:textFill>
            <w14:solidFill>
              <w14:schemeClr w14:val="tx1"/>
            </w14:solidFill>
          </w14:textFill>
        </w:rPr>
        <w:instrText xml:space="preserve"> TOC \o \u </w:instrText>
      </w:r>
      <w:r>
        <w:rPr>
          <w:b w:val="0"/>
          <w:bCs w:val="0"/>
          <w:caps w:val="0"/>
          <w:color w:val="000000" w:themeColor="text1"/>
          <w14:textFill>
            <w14:solidFill>
              <w14:schemeClr w14:val="tx1"/>
            </w14:solidFill>
          </w14:textFill>
        </w:rPr>
        <w:fldChar w:fldCharType="separate"/>
      </w:r>
      <w:r>
        <w:rPr>
          <w:rFonts w:ascii="黑体" w:hAnsi="黑体" w:eastAsia="黑体"/>
          <w:b w:val="0"/>
          <w:color w:val="000000" w:themeColor="text1"/>
          <w14:textFill>
            <w14:solidFill>
              <w14:schemeClr w14:val="tx1"/>
            </w14:solidFill>
          </w14:textFill>
        </w:rPr>
        <w:t xml:space="preserve">第一部分 </w:t>
      </w:r>
      <w:r>
        <w:rPr>
          <w:rFonts w:ascii="黑体" w:hAnsi="黑体" w:eastAsia="黑体"/>
          <w:b w:val="0"/>
          <w:bCs w:val="0"/>
          <w:color w:val="000000" w:themeColor="text1"/>
          <w14:textFill>
            <w14:solidFill>
              <w14:schemeClr w14:val="tx1"/>
            </w14:solidFill>
          </w14:textFill>
        </w:rPr>
        <w:t>部门概况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_Toc79163851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hAnsi="黑体" w:eastAsia="黑体"/>
          <w:color w:val="000000" w:themeColor="text1"/>
          <w14:textFill>
            <w14:solidFill>
              <w14:schemeClr w14:val="tx1"/>
            </w14:solidFill>
          </w14:textFill>
        </w:rPr>
        <w:t>一、基本职能及主要工作</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_Toc79163852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p>
    <w:p>
      <w:pPr>
        <w:pStyle w:val="10"/>
        <w:tabs>
          <w:tab w:val="right" w:leader="dot" w:pos="8296"/>
        </w:tabs>
        <w:rPr>
          <w:rFonts w:hAnsiTheme="minorHAnsi" w:eastAsiaTheme="minorEastAsia" w:cstheme="minorBidi"/>
          <w:i w:val="0"/>
          <w:iCs w:val="0"/>
          <w:color w:val="000000" w:themeColor="text1"/>
          <w:sz w:val="21"/>
          <w:szCs w:val="22"/>
          <w14:textFill>
            <w14:solidFill>
              <w14:schemeClr w14:val="tx1"/>
            </w14:solidFill>
          </w14:textFill>
        </w:rPr>
      </w:pPr>
      <w:r>
        <w:rPr>
          <w:rFonts w:ascii="仿宋" w:hAnsi="仿宋" w:eastAsia="仿宋"/>
          <w:bCs/>
          <w:color w:val="000000" w:themeColor="text1"/>
          <w14:textFill>
            <w14:solidFill>
              <w14:schemeClr w14:val="tx1"/>
            </w14:solidFill>
          </w14:textFill>
        </w:rPr>
        <w:t>（一）主要职能。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p>
    <w:p>
      <w:pPr>
        <w:pStyle w:val="10"/>
        <w:tabs>
          <w:tab w:val="right" w:leader="dot" w:pos="8296"/>
        </w:tabs>
        <w:rPr>
          <w:rFonts w:hAnsiTheme="minorHAnsi" w:eastAsiaTheme="minorEastAsia" w:cstheme="minorBidi"/>
          <w:i w:val="0"/>
          <w:iCs w:val="0"/>
          <w:color w:val="000000" w:themeColor="text1"/>
          <w:sz w:val="21"/>
          <w:szCs w:val="22"/>
          <w14:textFill>
            <w14:solidFill>
              <w14:schemeClr w14:val="tx1"/>
            </w14:solidFill>
          </w14:textFill>
        </w:rPr>
      </w:pPr>
      <w:r>
        <w:rPr>
          <w:rFonts w:ascii="仿宋" w:hAnsi="仿宋" w:eastAsia="仿宋"/>
          <w:bCs/>
          <w:color w:val="000000" w:themeColor="text1"/>
          <w14:textFill>
            <w14:solidFill>
              <w14:schemeClr w14:val="tx1"/>
            </w14:solidFill>
          </w14:textFill>
        </w:rPr>
        <w:t>（二）202</w:t>
      </w:r>
      <w:r>
        <w:rPr>
          <w:rFonts w:hint="eastAsia" w:ascii="仿宋" w:hAnsi="仿宋" w:eastAsia="仿宋"/>
          <w:bCs/>
          <w:color w:val="000000" w:themeColor="text1"/>
          <w:lang w:val="en-US" w:eastAsia="zh-CN"/>
          <w14:textFill>
            <w14:solidFill>
              <w14:schemeClr w14:val="tx1"/>
            </w14:solidFill>
          </w14:textFill>
        </w:rPr>
        <w:t>2</w:t>
      </w:r>
      <w:r>
        <w:rPr>
          <w:rFonts w:ascii="仿宋" w:hAnsi="仿宋" w:eastAsia="仿宋"/>
          <w:bCs/>
          <w:color w:val="000000" w:themeColor="text1"/>
          <w14:textFill>
            <w14:solidFill>
              <w14:schemeClr w14:val="tx1"/>
            </w14:solidFill>
          </w14:textFill>
        </w:rPr>
        <w:t>年重点工作完成情况。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_Toc79163854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eastAsia="黑体"/>
          <w:color w:val="000000" w:themeColor="text1"/>
          <w14:textFill>
            <w14:solidFill>
              <w14:schemeClr w14:val="tx1"/>
            </w14:solidFill>
          </w14:textFill>
        </w:rPr>
        <w:t>二、</w:t>
      </w:r>
      <w:r>
        <w:rPr>
          <w:rFonts w:ascii="黑体" w:hAnsi="黑体" w:eastAsia="黑体"/>
          <w:color w:val="000000" w:themeColor="text1"/>
          <w14:textFill>
            <w14:solidFill>
              <w14:schemeClr w14:val="tx1"/>
            </w14:solidFill>
          </w14:textFill>
        </w:rPr>
        <w:t>机构设置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p>
    <w:p>
      <w:pPr>
        <w:pStyle w:val="15"/>
        <w:tabs>
          <w:tab w:val="right" w:leader="dot" w:pos="8296"/>
        </w:tabs>
        <w:rPr>
          <w:rFonts w:hAnsiTheme="minorHAnsi" w:eastAsiaTheme="minorEastAsia" w:cstheme="minorBidi"/>
          <w:b w:val="0"/>
          <w:bCs w:val="0"/>
          <w:caps w:val="0"/>
          <w:color w:val="000000" w:themeColor="text1"/>
          <w:sz w:val="21"/>
          <w:szCs w:val="22"/>
          <w14:textFill>
            <w14:solidFill>
              <w14:schemeClr w14:val="tx1"/>
            </w14:solidFill>
          </w14:textFill>
        </w:rPr>
      </w:pPr>
      <w:r>
        <w:rPr>
          <w:rFonts w:ascii="黑体" w:hAnsi="黑体" w:eastAsia="黑体"/>
          <w:b w:val="0"/>
          <w:color w:val="000000" w:themeColor="text1"/>
          <w14:textFill>
            <w14:solidFill>
              <w14:schemeClr w14:val="tx1"/>
            </w14:solidFill>
          </w14:textFill>
        </w:rPr>
        <w:t>第二部分</w:t>
      </w:r>
      <w:r>
        <w:rPr>
          <w:rFonts w:ascii="黑体" w:hAnsi="黑体" w:eastAsia="黑体"/>
          <w:color w:val="000000" w:themeColor="text1"/>
          <w14:textFill>
            <w14:solidFill>
              <w14:schemeClr w14:val="tx1"/>
            </w14:solidFill>
          </w14:textFill>
        </w:rPr>
        <w:t xml:space="preserve"> </w:t>
      </w:r>
      <w:r>
        <w:rPr>
          <w:rFonts w:ascii="黑体" w:hAnsi="黑体" w:eastAsia="黑体"/>
          <w:b w:val="0"/>
          <w:bCs w:val="0"/>
          <w:color w:val="000000" w:themeColor="text1"/>
          <w14:textFill>
            <w14:solidFill>
              <w14:schemeClr w14:val="tx1"/>
            </w14:solidFill>
          </w14:textFill>
        </w:rPr>
        <w:t>202</w:t>
      </w:r>
      <w:r>
        <w:rPr>
          <w:rFonts w:hint="eastAsia" w:ascii="黑体" w:hAnsi="黑体" w:eastAsia="黑体"/>
          <w:b w:val="0"/>
          <w:bCs w:val="0"/>
          <w:color w:val="000000" w:themeColor="text1"/>
          <w:lang w:val="en-US" w:eastAsia="zh-CN"/>
          <w14:textFill>
            <w14:solidFill>
              <w14:schemeClr w14:val="tx1"/>
            </w14:solidFill>
          </w14:textFill>
        </w:rPr>
        <w:t>2</w:t>
      </w:r>
      <w:r>
        <w:rPr>
          <w:rFonts w:ascii="黑体" w:hAnsi="黑体" w:eastAsia="黑体"/>
          <w:b w:val="0"/>
          <w:bCs w:val="0"/>
          <w:color w:val="000000" w:themeColor="text1"/>
          <w14:textFill>
            <w14:solidFill>
              <w14:schemeClr w14:val="tx1"/>
            </w14:solidFill>
          </w14:textFill>
        </w:rPr>
        <w:t>年度部门决算情况说明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_Toc79163859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p>
    <w:p>
      <w:pPr>
        <w:pStyle w:val="18"/>
        <w:tabs>
          <w:tab w:val="left" w:pos="840"/>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hAnsi="黑体" w:eastAsia="黑体"/>
          <w:bCs/>
          <w:color w:val="000000" w:themeColor="text1"/>
          <w14:textFill>
            <w14:solidFill>
              <w14:schemeClr w14:val="tx1"/>
            </w14:solidFill>
          </w14:textFill>
        </w:rPr>
        <w:t>一、</w:t>
      </w:r>
      <w:r>
        <w:rPr>
          <w:rFonts w:hAnsiTheme="minorHAnsi" w:eastAsiaTheme="minorEastAsia" w:cstheme="minorBidi"/>
          <w:smallCaps w:val="0"/>
          <w:color w:val="000000" w:themeColor="text1"/>
          <w:sz w:val="21"/>
          <w:szCs w:val="22"/>
          <w14:textFill>
            <w14:solidFill>
              <w14:schemeClr w14:val="tx1"/>
            </w14:solidFill>
          </w14:textFill>
        </w:rPr>
        <w:tab/>
      </w:r>
      <w:r>
        <w:rPr>
          <w:rFonts w:ascii="黑体" w:hAnsi="黑体" w:eastAsia="黑体"/>
          <w:color w:val="000000" w:themeColor="text1"/>
          <w14:textFill>
            <w14:solidFill>
              <w14:schemeClr w14:val="tx1"/>
            </w14:solidFill>
          </w14:textFill>
        </w:rPr>
        <w:t>收</w:t>
      </w:r>
      <w:r>
        <w:rPr>
          <w:rFonts w:ascii="黑体" w:hAnsi="黑体" w:eastAsia="黑体"/>
          <w:bCs/>
          <w:color w:val="000000" w:themeColor="text1"/>
          <w14:textFill>
            <w14:solidFill>
              <w14:schemeClr w14:val="tx1"/>
            </w14:solidFill>
          </w14:textFill>
        </w:rPr>
        <w:t>入支出决算总体情况说明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_Toc79163860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p>
    <w:p>
      <w:pPr>
        <w:pStyle w:val="18"/>
        <w:tabs>
          <w:tab w:val="left" w:pos="840"/>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hAnsi="黑体" w:eastAsia="黑体"/>
          <w:bCs/>
          <w:color w:val="000000" w:themeColor="text1"/>
          <w14:textFill>
            <w14:solidFill>
              <w14:schemeClr w14:val="tx1"/>
            </w14:solidFill>
          </w14:textFill>
        </w:rPr>
        <w:t>二、</w:t>
      </w:r>
      <w:r>
        <w:rPr>
          <w:rFonts w:hAnsiTheme="minorHAnsi" w:eastAsiaTheme="minorEastAsia" w:cstheme="minorBidi"/>
          <w:smallCaps w:val="0"/>
          <w:color w:val="000000" w:themeColor="text1"/>
          <w:sz w:val="21"/>
          <w:szCs w:val="22"/>
          <w14:textFill>
            <w14:solidFill>
              <w14:schemeClr w14:val="tx1"/>
            </w14:solidFill>
          </w14:textFill>
        </w:rPr>
        <w:tab/>
      </w:r>
      <w:r>
        <w:rPr>
          <w:rFonts w:ascii="黑体" w:hAnsi="黑体" w:eastAsia="黑体"/>
          <w:color w:val="000000" w:themeColor="text1"/>
          <w14:textFill>
            <w14:solidFill>
              <w14:schemeClr w14:val="tx1"/>
            </w14:solidFill>
          </w14:textFill>
        </w:rPr>
        <w:t>收</w:t>
      </w:r>
      <w:r>
        <w:rPr>
          <w:rFonts w:ascii="黑体" w:hAnsi="黑体" w:eastAsia="黑体"/>
          <w:bCs/>
          <w:color w:val="000000" w:themeColor="text1"/>
          <w14:textFill>
            <w14:solidFill>
              <w14:schemeClr w14:val="tx1"/>
            </w14:solidFill>
          </w14:textFill>
        </w:rPr>
        <w:t>入决算情况说明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_Toc79163861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p>
    <w:p>
      <w:pPr>
        <w:pStyle w:val="18"/>
        <w:tabs>
          <w:tab w:val="left" w:pos="840"/>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hAnsi="黑体" w:eastAsia="黑体"/>
          <w:bCs/>
          <w:color w:val="000000" w:themeColor="text1"/>
          <w14:textFill>
            <w14:solidFill>
              <w14:schemeClr w14:val="tx1"/>
            </w14:solidFill>
          </w14:textFill>
        </w:rPr>
        <w:t>三、</w:t>
      </w:r>
      <w:r>
        <w:rPr>
          <w:rFonts w:hAnsiTheme="minorHAnsi" w:eastAsiaTheme="minorEastAsia" w:cstheme="minorBidi"/>
          <w:smallCaps w:val="0"/>
          <w:color w:val="000000" w:themeColor="text1"/>
          <w:sz w:val="21"/>
          <w:szCs w:val="22"/>
          <w14:textFill>
            <w14:solidFill>
              <w14:schemeClr w14:val="tx1"/>
            </w14:solidFill>
          </w14:textFill>
        </w:rPr>
        <w:tab/>
      </w:r>
      <w:r>
        <w:rPr>
          <w:rFonts w:ascii="黑体" w:hAnsi="黑体" w:eastAsia="黑体"/>
          <w:color w:val="000000" w:themeColor="text1"/>
          <w14:textFill>
            <w14:solidFill>
              <w14:schemeClr w14:val="tx1"/>
            </w14:solidFill>
          </w14:textFill>
        </w:rPr>
        <w:t>支</w:t>
      </w:r>
      <w:r>
        <w:rPr>
          <w:rFonts w:ascii="黑体" w:hAnsi="黑体" w:eastAsia="黑体"/>
          <w:bCs/>
          <w:color w:val="000000" w:themeColor="text1"/>
          <w14:textFill>
            <w14:solidFill>
              <w14:schemeClr w14:val="tx1"/>
            </w14:solidFill>
          </w14:textFill>
        </w:rPr>
        <w:t>出决算情况说明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hAnsi="黑体" w:eastAsia="黑体"/>
          <w:color w:val="000000" w:themeColor="text1"/>
          <w14:textFill>
            <w14:solidFill>
              <w14:schemeClr w14:val="tx1"/>
            </w14:solidFill>
          </w14:textFill>
        </w:rPr>
        <w:t>四、财</w:t>
      </w:r>
      <w:r>
        <w:rPr>
          <w:rFonts w:ascii="黑体" w:hAnsi="黑体" w:eastAsia="黑体"/>
          <w:bCs/>
          <w:color w:val="000000" w:themeColor="text1"/>
          <w14:textFill>
            <w14:solidFill>
              <w14:schemeClr w14:val="tx1"/>
            </w14:solidFill>
          </w14:textFill>
        </w:rPr>
        <w:t>政拨款收入支出决算总体情况说明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hAnsi="黑体" w:eastAsia="黑体"/>
          <w:color w:val="000000" w:themeColor="text1"/>
          <w14:textFill>
            <w14:solidFill>
              <w14:schemeClr w14:val="tx1"/>
            </w14:solidFill>
          </w14:textFill>
        </w:rPr>
        <w:t>五、</w:t>
      </w:r>
      <w:r>
        <w:rPr>
          <w:rFonts w:ascii="黑体" w:hAnsi="黑体" w:eastAsia="黑体"/>
          <w:b/>
          <w:color w:val="000000" w:themeColor="text1"/>
          <w14:textFill>
            <w14:solidFill>
              <w14:schemeClr w14:val="tx1"/>
            </w14:solidFill>
          </w14:textFill>
        </w:rPr>
        <w:t>一</w:t>
      </w:r>
      <w:r>
        <w:rPr>
          <w:rFonts w:ascii="黑体" w:hAnsi="黑体" w:eastAsia="黑体"/>
          <w:bCs/>
          <w:color w:val="000000" w:themeColor="text1"/>
          <w14:textFill>
            <w14:solidFill>
              <w14:schemeClr w14:val="tx1"/>
            </w14:solidFill>
          </w14:textFill>
        </w:rPr>
        <w:t>般公共预算财政拨款支出决算情况说明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p>
    <w:p>
      <w:pPr>
        <w:pStyle w:val="10"/>
        <w:tabs>
          <w:tab w:val="right" w:leader="dot" w:pos="8296"/>
        </w:tabs>
        <w:rPr>
          <w:rFonts w:hAnsiTheme="minorHAnsi" w:eastAsiaTheme="minorEastAsia" w:cstheme="minorBidi"/>
          <w:i w:val="0"/>
          <w:iCs w:val="0"/>
          <w:color w:val="000000" w:themeColor="text1"/>
          <w:sz w:val="21"/>
          <w:szCs w:val="22"/>
          <w14:textFill>
            <w14:solidFill>
              <w14:schemeClr w14:val="tx1"/>
            </w14:solidFill>
          </w14:textFill>
        </w:rPr>
      </w:pPr>
      <w:r>
        <w:rPr>
          <w:rFonts w:ascii="仿宋" w:hAnsi="仿宋" w:eastAsia="仿宋"/>
          <w:b/>
          <w:color w:val="000000" w:themeColor="text1"/>
          <w14:textFill>
            <w14:solidFill>
              <w14:schemeClr w14:val="tx1"/>
            </w14:solidFill>
          </w14:textFill>
        </w:rPr>
        <w:t>（一）一般公共预算财政拨款支出决算总体情况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_Toc79163865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p>
    <w:p>
      <w:pPr>
        <w:pStyle w:val="10"/>
        <w:tabs>
          <w:tab w:val="right" w:leader="dot" w:pos="8296"/>
        </w:tabs>
        <w:rPr>
          <w:rFonts w:hAnsiTheme="minorHAnsi" w:eastAsiaTheme="minorEastAsia" w:cstheme="minorBidi"/>
          <w:i w:val="0"/>
          <w:iCs w:val="0"/>
          <w:color w:val="000000" w:themeColor="text1"/>
          <w:sz w:val="21"/>
          <w:szCs w:val="22"/>
          <w14:textFill>
            <w14:solidFill>
              <w14:schemeClr w14:val="tx1"/>
            </w14:solidFill>
          </w14:textFill>
        </w:rPr>
      </w:pPr>
      <w:r>
        <w:rPr>
          <w:rFonts w:ascii="仿宋" w:hAnsi="仿宋" w:eastAsia="仿宋"/>
          <w:b/>
          <w:color w:val="000000" w:themeColor="text1"/>
          <w14:textFill>
            <w14:solidFill>
              <w14:schemeClr w14:val="tx1"/>
            </w14:solidFill>
          </w14:textFill>
        </w:rPr>
        <w:t>（二）一般公共预算财政拨款支出决算结构情况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_Toc79163866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p>
    <w:p>
      <w:pPr>
        <w:pStyle w:val="10"/>
        <w:tabs>
          <w:tab w:val="right" w:leader="dot" w:pos="8296"/>
        </w:tabs>
        <w:rPr>
          <w:rFonts w:hAnsiTheme="minorHAnsi" w:eastAsiaTheme="minorEastAsia" w:cstheme="minorBidi"/>
          <w:i w:val="0"/>
          <w:iCs w:val="0"/>
          <w:color w:val="000000" w:themeColor="text1"/>
          <w:sz w:val="21"/>
          <w:szCs w:val="22"/>
          <w14:textFill>
            <w14:solidFill>
              <w14:schemeClr w14:val="tx1"/>
            </w14:solidFill>
          </w14:textFill>
        </w:rPr>
      </w:pPr>
      <w:r>
        <w:rPr>
          <w:rFonts w:ascii="仿宋" w:hAnsi="仿宋" w:eastAsia="仿宋"/>
          <w:b/>
          <w:color w:val="000000" w:themeColor="text1"/>
          <w14:textFill>
            <w14:solidFill>
              <w14:schemeClr w14:val="tx1"/>
            </w14:solidFill>
          </w14:textFill>
        </w:rPr>
        <w:t>（三）一般公共预算财政拨款支出决算具体情况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_Toc79163867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eastAsia="黑体"/>
          <w:color w:val="000000" w:themeColor="text1"/>
          <w14:textFill>
            <w14:solidFill>
              <w14:schemeClr w14:val="tx1"/>
            </w14:solidFill>
          </w14:textFill>
        </w:rPr>
        <w:t>六</w:t>
      </w:r>
      <w:r>
        <w:rPr>
          <w:rFonts w:ascii="黑体" w:eastAsia="黑体"/>
          <w:b/>
          <w:color w:val="000000" w:themeColor="text1"/>
          <w14:textFill>
            <w14:solidFill>
              <w14:schemeClr w14:val="tx1"/>
            </w14:solidFill>
          </w14:textFill>
        </w:rPr>
        <w:t>、</w:t>
      </w:r>
      <w:r>
        <w:rPr>
          <w:rFonts w:ascii="黑体" w:hAnsi="黑体" w:eastAsia="黑体"/>
          <w:b/>
          <w:color w:val="000000" w:themeColor="text1"/>
          <w14:textFill>
            <w14:solidFill>
              <w14:schemeClr w14:val="tx1"/>
            </w14:solidFill>
          </w14:textFill>
        </w:rPr>
        <w:t>一</w:t>
      </w:r>
      <w:r>
        <w:rPr>
          <w:rFonts w:ascii="黑体" w:hAnsi="黑体" w:eastAsia="黑体"/>
          <w:bCs/>
          <w:color w:val="000000" w:themeColor="text1"/>
          <w14:textFill>
            <w14:solidFill>
              <w14:schemeClr w14:val="tx1"/>
            </w14:solidFill>
          </w14:textFill>
        </w:rPr>
        <w:t>般公共预算财政拨款基本支出决算情况说明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_Toc79163868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eastAsia="黑体"/>
          <w:color w:val="000000" w:themeColor="text1"/>
          <w14:textFill>
            <w14:solidFill>
              <w14:schemeClr w14:val="tx1"/>
            </w14:solidFill>
          </w14:textFill>
        </w:rPr>
        <w:t>七、</w:t>
      </w:r>
      <w:r>
        <w:rPr>
          <w:rFonts w:ascii="黑体" w:hAnsi="黑体" w:eastAsia="黑体"/>
          <w:b/>
          <w:bCs/>
          <w:color w:val="000000" w:themeColor="text1"/>
          <w14:textFill>
            <w14:solidFill>
              <w14:schemeClr w14:val="tx1"/>
            </w14:solidFill>
          </w14:textFill>
        </w:rPr>
        <w:t>“</w:t>
      </w:r>
      <w:r>
        <w:rPr>
          <w:rFonts w:ascii="黑体" w:hAnsi="黑体" w:eastAsia="黑体"/>
          <w:bCs/>
          <w:color w:val="000000" w:themeColor="text1"/>
          <w14:textFill>
            <w14:solidFill>
              <w14:schemeClr w14:val="tx1"/>
            </w14:solidFill>
          </w14:textFill>
        </w:rPr>
        <w:t>三公”经费财政拨款支出决算情况说明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_Toc79163869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p>
    <w:p>
      <w:pPr>
        <w:pStyle w:val="10"/>
        <w:tabs>
          <w:tab w:val="right" w:leader="dot" w:pos="8296"/>
        </w:tabs>
        <w:rPr>
          <w:rFonts w:hAnsiTheme="minorHAnsi" w:eastAsiaTheme="minorEastAsia" w:cstheme="minorBidi"/>
          <w:i w:val="0"/>
          <w:iCs w:val="0"/>
          <w:color w:val="000000" w:themeColor="text1"/>
          <w:sz w:val="21"/>
          <w:szCs w:val="22"/>
          <w14:textFill>
            <w14:solidFill>
              <w14:schemeClr w14:val="tx1"/>
            </w14:solidFill>
          </w14:textFill>
        </w:rPr>
      </w:pPr>
      <w:r>
        <w:rPr>
          <w:rFonts w:ascii="仿宋" w:hAnsi="仿宋" w:eastAsia="仿宋"/>
          <w:b/>
          <w:color w:val="000000" w:themeColor="text1"/>
          <w14:textFill>
            <w14:solidFill>
              <w14:schemeClr w14:val="tx1"/>
            </w14:solidFill>
          </w14:textFill>
        </w:rPr>
        <w:t>（一）“三公”经费财政拨款支出决算总体情况说明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_Toc79163870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p>
    <w:p>
      <w:pPr>
        <w:pStyle w:val="10"/>
        <w:tabs>
          <w:tab w:val="right" w:leader="dot" w:pos="8296"/>
        </w:tabs>
        <w:rPr>
          <w:rFonts w:hAnsiTheme="minorHAnsi" w:eastAsiaTheme="minorEastAsia" w:cstheme="minorBidi"/>
          <w:i w:val="0"/>
          <w:iCs w:val="0"/>
          <w:color w:val="000000" w:themeColor="text1"/>
          <w:sz w:val="21"/>
          <w:szCs w:val="22"/>
          <w14:textFill>
            <w14:solidFill>
              <w14:schemeClr w14:val="tx1"/>
            </w14:solidFill>
          </w14:textFill>
        </w:rPr>
      </w:pPr>
      <w:r>
        <w:rPr>
          <w:rFonts w:ascii="仿宋" w:hAnsi="仿宋" w:eastAsia="仿宋"/>
          <w:b/>
          <w:color w:val="000000" w:themeColor="text1"/>
          <w14:textFill>
            <w14:solidFill>
              <w14:schemeClr w14:val="tx1"/>
            </w14:solidFill>
          </w14:textFill>
        </w:rPr>
        <w:t>（二）“三公”经费财政拨款支出决算具体情况说明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_Toc79163871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eastAsia="黑体"/>
          <w:color w:val="000000" w:themeColor="text1"/>
          <w14:textFill>
            <w14:solidFill>
              <w14:schemeClr w14:val="tx1"/>
            </w14:solidFill>
          </w14:textFill>
        </w:rPr>
        <w:t>八、</w:t>
      </w:r>
      <w:r>
        <w:rPr>
          <w:rFonts w:ascii="黑体" w:hAnsi="黑体" w:eastAsia="黑体"/>
          <w:bCs/>
          <w:color w:val="000000" w:themeColor="text1"/>
          <w14:textFill>
            <w14:solidFill>
              <w14:schemeClr w14:val="tx1"/>
            </w14:solidFill>
          </w14:textFill>
        </w:rPr>
        <w:t>政府性基金预算支出决算情况说明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hAnsi="黑体" w:eastAsia="黑体"/>
          <w:bCs/>
          <w:color w:val="000000" w:themeColor="text1"/>
          <w14:textFill>
            <w14:solidFill>
              <w14:schemeClr w14:val="tx1"/>
            </w14:solidFill>
          </w14:textFill>
        </w:rPr>
        <w:t>九、 国有资本经营预算支出决算情况说明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_Toc79163873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黑体" w:hAnsi="黑体" w:eastAsia="黑体"/>
          <w:color w:val="000000" w:themeColor="text1"/>
          <w14:textFill>
            <w14:solidFill>
              <w14:schemeClr w14:val="tx1"/>
            </w14:solidFill>
          </w14:textFill>
        </w:rPr>
        <w:t>十</w:t>
      </w:r>
      <w:r>
        <w:rPr>
          <w:rFonts w:ascii="黑体" w:hAnsi="黑体" w:eastAsia="黑体"/>
          <w:b/>
          <w:bCs/>
          <w:color w:val="000000" w:themeColor="text1"/>
          <w14:textFill>
            <w14:solidFill>
              <w14:schemeClr w14:val="tx1"/>
            </w14:solidFill>
          </w14:textFill>
        </w:rPr>
        <w:t>、</w:t>
      </w:r>
      <w:r>
        <w:rPr>
          <w:rFonts w:ascii="黑体" w:hAnsi="黑体" w:eastAsia="黑体"/>
          <w:bCs/>
          <w:color w:val="000000" w:themeColor="text1"/>
          <w14:textFill>
            <w14:solidFill>
              <w14:schemeClr w14:val="tx1"/>
            </w14:solidFill>
          </w14:textFill>
        </w:rPr>
        <w:t>其他重要事项的情况说明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_Toc79163874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p>
    <w:p>
      <w:pPr>
        <w:pStyle w:val="10"/>
        <w:tabs>
          <w:tab w:val="right" w:leader="dot" w:pos="8296"/>
        </w:tabs>
        <w:rPr>
          <w:rFonts w:hAnsiTheme="minorHAnsi" w:eastAsiaTheme="minorEastAsia" w:cstheme="minorBidi"/>
          <w:i w:val="0"/>
          <w:iCs w:val="0"/>
          <w:color w:val="000000" w:themeColor="text1"/>
          <w:sz w:val="21"/>
          <w:szCs w:val="22"/>
          <w14:textFill>
            <w14:solidFill>
              <w14:schemeClr w14:val="tx1"/>
            </w14:solidFill>
          </w14:textFill>
        </w:rPr>
      </w:pPr>
      <w:r>
        <w:rPr>
          <w:rFonts w:ascii="仿宋" w:hAnsi="仿宋" w:eastAsia="仿宋"/>
          <w:b/>
          <w:color w:val="000000" w:themeColor="text1"/>
          <w14:textFill>
            <w14:solidFill>
              <w14:schemeClr w14:val="tx1"/>
            </w14:solidFill>
          </w14:textFill>
        </w:rPr>
        <w:t>（一）机关运行经费支出情况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p>
    <w:p>
      <w:pPr>
        <w:pStyle w:val="10"/>
        <w:tabs>
          <w:tab w:val="right" w:leader="dot" w:pos="8296"/>
        </w:tabs>
        <w:rPr>
          <w:rFonts w:hAnsiTheme="minorHAnsi" w:eastAsiaTheme="minorEastAsia" w:cstheme="minorBidi"/>
          <w:i w:val="0"/>
          <w:iCs w:val="0"/>
          <w:color w:val="000000" w:themeColor="text1"/>
          <w:sz w:val="21"/>
          <w:szCs w:val="22"/>
          <w14:textFill>
            <w14:solidFill>
              <w14:schemeClr w14:val="tx1"/>
            </w14:solidFill>
          </w14:textFill>
        </w:rPr>
      </w:pPr>
      <w:r>
        <w:rPr>
          <w:rFonts w:ascii="仿宋" w:hAnsi="仿宋" w:eastAsia="仿宋"/>
          <w:b/>
          <w:color w:val="000000" w:themeColor="text1"/>
          <w14:textFill>
            <w14:solidFill>
              <w14:schemeClr w14:val="tx1"/>
            </w14:solidFill>
          </w14:textFill>
        </w:rPr>
        <w:t>（二）政府采购支出情况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p>
    <w:p>
      <w:pPr>
        <w:pStyle w:val="10"/>
        <w:tabs>
          <w:tab w:val="right" w:leader="dot" w:pos="8296"/>
        </w:tabs>
        <w:rPr>
          <w:rFonts w:hAnsiTheme="minorHAnsi" w:eastAsiaTheme="minorEastAsia" w:cstheme="minorBidi"/>
          <w:i w:val="0"/>
          <w:iCs w:val="0"/>
          <w:color w:val="000000" w:themeColor="text1"/>
          <w:sz w:val="21"/>
          <w:szCs w:val="22"/>
          <w14:textFill>
            <w14:solidFill>
              <w14:schemeClr w14:val="tx1"/>
            </w14:solidFill>
          </w14:textFill>
        </w:rPr>
      </w:pPr>
      <w:r>
        <w:rPr>
          <w:rFonts w:ascii="仿宋" w:hAnsi="仿宋" w:eastAsia="仿宋"/>
          <w:b/>
          <w:color w:val="000000" w:themeColor="text1"/>
          <w14:textFill>
            <w14:solidFill>
              <w14:schemeClr w14:val="tx1"/>
            </w14:solidFill>
          </w14:textFill>
        </w:rPr>
        <w:t>（三）国有资产占有使用情况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p>
    <w:p>
      <w:pPr>
        <w:pStyle w:val="10"/>
        <w:tabs>
          <w:tab w:val="right" w:leader="dot" w:pos="8296"/>
        </w:tabs>
        <w:rPr>
          <w:rFonts w:hAnsiTheme="minorHAnsi" w:eastAsiaTheme="minorEastAsia" w:cstheme="minorBidi"/>
          <w:i w:val="0"/>
          <w:iCs w:val="0"/>
          <w:color w:val="000000" w:themeColor="text1"/>
          <w:sz w:val="21"/>
          <w:szCs w:val="22"/>
          <w14:textFill>
            <w14:solidFill>
              <w14:schemeClr w14:val="tx1"/>
            </w14:solidFill>
          </w14:textFill>
        </w:rPr>
      </w:pPr>
      <w:r>
        <w:rPr>
          <w:rFonts w:ascii="仿宋" w:hAnsi="仿宋" w:eastAsia="仿宋"/>
          <w:b/>
          <w:color w:val="000000" w:themeColor="text1"/>
          <w14:textFill>
            <w14:solidFill>
              <w14:schemeClr w14:val="tx1"/>
            </w14:solidFill>
          </w14:textFill>
        </w:rPr>
        <w:t>（四）预算绩效管理情况。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p>
    <w:p>
      <w:pPr>
        <w:pStyle w:val="15"/>
        <w:tabs>
          <w:tab w:val="right" w:leader="dot" w:pos="8296"/>
        </w:tabs>
        <w:rPr>
          <w:rFonts w:hAnsiTheme="minorHAnsi" w:eastAsiaTheme="minorEastAsia" w:cstheme="minorBidi"/>
          <w:b w:val="0"/>
          <w:bCs w:val="0"/>
          <w:caps w:val="0"/>
          <w:color w:val="000000" w:themeColor="text1"/>
          <w:sz w:val="21"/>
          <w:szCs w:val="22"/>
          <w14:textFill>
            <w14:solidFill>
              <w14:schemeClr w14:val="tx1"/>
            </w14:solidFill>
          </w14:textFill>
        </w:rPr>
      </w:pPr>
      <w:r>
        <w:rPr>
          <w:rFonts w:ascii="黑体" w:hAnsi="黑体" w:eastAsia="黑体"/>
          <w:color w:val="000000" w:themeColor="text1"/>
          <w:kern w:val="44"/>
          <w14:textFill>
            <w14:solidFill>
              <w14:schemeClr w14:val="tx1"/>
            </w14:solidFill>
          </w14:textFill>
        </w:rPr>
        <w:t>第三部分</w:t>
      </w:r>
      <w:r>
        <w:rPr>
          <w:rFonts w:ascii="黑体" w:hAnsi="黑体" w:eastAsia="黑体"/>
          <w:color w:val="000000" w:themeColor="text1"/>
          <w14:textFill>
            <w14:solidFill>
              <w14:schemeClr w14:val="tx1"/>
            </w14:solidFill>
          </w14:textFill>
        </w:rPr>
        <w:t xml:space="preserve"> 名</w:t>
      </w:r>
      <w:r>
        <w:rPr>
          <w:rFonts w:ascii="黑体" w:hAnsi="黑体" w:eastAsia="黑体"/>
          <w:color w:val="000000" w:themeColor="text1"/>
          <w:kern w:val="44"/>
          <w14:textFill>
            <w14:solidFill>
              <w14:schemeClr w14:val="tx1"/>
            </w14:solidFill>
          </w14:textFill>
        </w:rPr>
        <w:t>词解释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p>
    <w:p>
      <w:pPr>
        <w:pStyle w:val="15"/>
        <w:tabs>
          <w:tab w:val="right" w:leader="dot" w:pos="8296"/>
        </w:tabs>
        <w:rPr>
          <w:rFonts w:hAnsiTheme="minorHAnsi" w:eastAsiaTheme="minorEastAsia" w:cstheme="minorBidi"/>
          <w:b w:val="0"/>
          <w:bCs w:val="0"/>
          <w:caps w:val="0"/>
          <w:color w:val="000000" w:themeColor="text1"/>
          <w:sz w:val="21"/>
          <w:szCs w:val="22"/>
          <w14:textFill>
            <w14:solidFill>
              <w14:schemeClr w14:val="tx1"/>
            </w14:solidFill>
          </w14:textFill>
        </w:rPr>
      </w:pPr>
      <w:r>
        <w:rPr>
          <w:rFonts w:ascii="黑体" w:hAnsi="黑体" w:eastAsia="黑体"/>
          <w:color w:val="000000" w:themeColor="text1"/>
          <w14:textFill>
            <w14:solidFill>
              <w14:schemeClr w14:val="tx1"/>
            </w14:solidFill>
          </w14:textFill>
        </w:rPr>
        <w:t>第</w:t>
      </w:r>
      <w:r>
        <w:rPr>
          <w:rFonts w:ascii="黑体" w:hAnsi="黑体" w:eastAsia="黑体"/>
          <w:color w:val="000000" w:themeColor="text1"/>
          <w:kern w:val="44"/>
          <w14:textFill>
            <w14:solidFill>
              <w14:schemeClr w14:val="tx1"/>
            </w14:solidFill>
          </w14:textFill>
        </w:rPr>
        <w:t>四部分 附件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p>
    <w:p>
      <w:pPr>
        <w:pStyle w:val="15"/>
        <w:tabs>
          <w:tab w:val="right" w:leader="dot" w:pos="8296"/>
        </w:tabs>
        <w:rPr>
          <w:rFonts w:hAnsiTheme="minorHAnsi" w:eastAsiaTheme="minorEastAsia" w:cstheme="minorBidi"/>
          <w:b w:val="0"/>
          <w:bCs w:val="0"/>
          <w:caps w:val="0"/>
          <w:color w:val="000000" w:themeColor="text1"/>
          <w:sz w:val="21"/>
          <w:szCs w:val="22"/>
          <w14:textFill>
            <w14:solidFill>
              <w14:schemeClr w14:val="tx1"/>
            </w14:solidFill>
          </w14:textFill>
        </w:rPr>
      </w:pPr>
      <w:r>
        <w:rPr>
          <w:rFonts w:ascii="黑体" w:hAnsi="黑体" w:eastAsia="黑体" w:cs="黑体"/>
          <w:color w:val="000000" w:themeColor="text1"/>
          <w14:textFill>
            <w14:solidFill>
              <w14:schemeClr w14:val="tx1"/>
            </w14:solidFill>
          </w14:textFill>
        </w:rPr>
        <w:t>附件1</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p>
    <w:p>
      <w:pPr>
        <w:pStyle w:val="15"/>
        <w:tabs>
          <w:tab w:val="right" w:leader="dot" w:pos="8296"/>
        </w:tabs>
        <w:rPr>
          <w:rFonts w:hint="default" w:hAnsiTheme="minorHAnsi" w:eastAsiaTheme="minorHAnsi" w:cstheme="minorBidi"/>
          <w:b w:val="0"/>
          <w:bCs w:val="0"/>
          <w:caps w:val="0"/>
          <w:color w:val="000000" w:themeColor="text1"/>
          <w:sz w:val="21"/>
          <w:szCs w:val="22"/>
          <w:lang w:val="en-US" w:eastAsia="zh-CN"/>
          <w14:textFill>
            <w14:solidFill>
              <w14:schemeClr w14:val="tx1"/>
            </w14:solidFill>
          </w14:textFill>
        </w:rPr>
      </w:pPr>
      <w:r>
        <w:rPr>
          <w:rFonts w:hint="eastAsia" w:ascii="方正小标宋简体" w:hAnsi="黑体" w:eastAsia="方正小标宋简体" w:cs="黑体"/>
          <w:color w:val="000000" w:themeColor="text1"/>
          <w14:textFill>
            <w14:solidFill>
              <w14:schemeClr w14:val="tx1"/>
            </w14:solidFill>
          </w14:textFill>
        </w:rPr>
        <w:t>20</w:t>
      </w:r>
      <w:r>
        <w:rPr>
          <w:rFonts w:hint="eastAsia" w:ascii="方正小标宋简体" w:hAnsi="黑体" w:eastAsia="方正小标宋简体" w:cs="黑体"/>
          <w:color w:val="000000" w:themeColor="text1"/>
          <w:lang w:val="en-US" w:eastAsia="zh-CN"/>
          <w14:textFill>
            <w14:solidFill>
              <w14:schemeClr w14:val="tx1"/>
            </w14:solidFill>
          </w14:textFill>
        </w:rPr>
        <w:t>22</w:t>
      </w:r>
      <w:r>
        <w:rPr>
          <w:rFonts w:hint="eastAsia" w:ascii="方正小标宋简体" w:hAnsi="黑体" w:eastAsia="方正小标宋简体" w:cs="黑体"/>
          <w:color w:val="000000" w:themeColor="text1"/>
          <w14:textFill>
            <w14:solidFill>
              <w14:schemeClr w14:val="tx1"/>
            </w14:solidFill>
          </w14:textFill>
        </w:rPr>
        <w:t>年小金县</w:t>
      </w:r>
      <w:r>
        <w:rPr>
          <w:rFonts w:hint="eastAsia" w:ascii="方正小标宋简体" w:hAnsi="黑体" w:eastAsia="方正小标宋简体" w:cs="黑体"/>
          <w:color w:val="000000" w:themeColor="text1"/>
          <w:lang w:val="en-US" w:eastAsia="zh-CN"/>
          <w14:textFill>
            <w14:solidFill>
              <w14:schemeClr w14:val="tx1"/>
            </w14:solidFill>
          </w14:textFill>
        </w:rPr>
        <w:t>人民法院</w:t>
      </w:r>
      <w:r>
        <w:rPr>
          <w:rFonts w:hint="eastAsia" w:ascii="方正小标宋简体" w:hAnsi="黑体" w:eastAsia="方正小标宋简体" w:cs="黑体"/>
          <w:color w:val="000000" w:themeColor="text1"/>
          <w14:textFill>
            <w14:solidFill>
              <w14:schemeClr w14:val="tx1"/>
            </w14:solidFill>
          </w14:textFill>
        </w:rPr>
        <w:t>部门整体支出绩效报告</w:t>
      </w:r>
      <w:r>
        <w:rPr>
          <w:color w:val="000000" w:themeColor="text1"/>
          <w14:textFill>
            <w14:solidFill>
              <w14:schemeClr w14:val="tx1"/>
            </w14:solidFill>
          </w14:textFill>
        </w:rPr>
        <w:tab/>
      </w:r>
      <w:r>
        <w:rPr>
          <w:rFonts w:hint="eastAsia"/>
          <w:color w:val="000000" w:themeColor="text1"/>
          <w:lang w:val="en-US" w:eastAsia="zh-CN"/>
          <w14:textFill>
            <w14:solidFill>
              <w14:schemeClr w14:val="tx1"/>
            </w14:solidFill>
          </w14:textFill>
        </w:rPr>
        <w:t>20</w:t>
      </w:r>
    </w:p>
    <w:p>
      <w:pPr>
        <w:pStyle w:val="15"/>
        <w:tabs>
          <w:tab w:val="right" w:leader="dot" w:pos="8296"/>
        </w:tabs>
        <w:rPr>
          <w:rFonts w:hAnsiTheme="minorHAnsi" w:eastAsiaTheme="minorEastAsia" w:cstheme="minorBidi"/>
          <w:b w:val="0"/>
          <w:bCs w:val="0"/>
          <w:caps w:val="0"/>
          <w:color w:val="000000" w:themeColor="text1"/>
          <w:sz w:val="21"/>
          <w:szCs w:val="22"/>
          <w14:textFill>
            <w14:solidFill>
              <w14:schemeClr w14:val="tx1"/>
            </w14:solidFill>
          </w14:textFill>
        </w:rPr>
      </w:pPr>
      <w:r>
        <w:rPr>
          <w:rFonts w:ascii="黑体" w:hAnsi="黑体" w:eastAsia="黑体"/>
          <w:color w:val="000000" w:themeColor="text1"/>
          <w14:textFill>
            <w14:solidFill>
              <w14:schemeClr w14:val="tx1"/>
            </w14:solidFill>
          </w14:textFill>
        </w:rPr>
        <w:t>第</w:t>
      </w:r>
      <w:r>
        <w:rPr>
          <w:rFonts w:ascii="黑体" w:hAnsi="黑体" w:eastAsia="黑体"/>
          <w:color w:val="000000" w:themeColor="text1"/>
          <w:kern w:val="44"/>
          <w14:textFill>
            <w14:solidFill>
              <w14:schemeClr w14:val="tx1"/>
            </w14:solidFill>
          </w14:textFill>
        </w:rPr>
        <w:t>五部分 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一、收入支出决算总表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二、收入决算表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_Toc79163887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三、支出决算表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四、财政拨款收入支出决算总表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五、财政拨款支出决算明细表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六、一般公共预算财政拨款支出决算表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_Toc79163891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七、一般公共预算财政拨款支出决算明细表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_Toc79163892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八、一般公共预算财政拨款基本支出决算表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_Toc79163893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九、一般公共预算财政拨款项目支出决算表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十、</w:t>
      </w:r>
      <w:r>
        <w:rPr>
          <w:rFonts w:hint="eastAsia" w:ascii="仿宋" w:hAnsi="仿宋" w:eastAsia="仿宋"/>
          <w:color w:val="000000" w:themeColor="text1"/>
          <w:lang w:eastAsia="zh-CN"/>
          <w14:textFill>
            <w14:solidFill>
              <w14:schemeClr w14:val="tx1"/>
            </w14:solidFill>
          </w14:textFill>
        </w:rPr>
        <w:t>政府性基金预算财政拨款收入支出决算表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十一、国有资本经营预算财政拨款</w:t>
      </w:r>
      <w:r>
        <w:rPr>
          <w:rFonts w:hint="eastAsia" w:ascii="仿宋" w:hAnsi="仿宋" w:eastAsia="仿宋"/>
          <w:color w:val="000000" w:themeColor="text1"/>
          <w:lang w:eastAsia="zh-CN"/>
          <w14:textFill>
            <w14:solidFill>
              <w14:schemeClr w14:val="tx1"/>
            </w14:solidFill>
          </w14:textFill>
        </w:rPr>
        <w:t>收入</w:t>
      </w:r>
      <w:r>
        <w:rPr>
          <w:rFonts w:ascii="仿宋" w:hAnsi="仿宋" w:eastAsia="仿宋"/>
          <w:color w:val="000000" w:themeColor="text1"/>
          <w14:textFill>
            <w14:solidFill>
              <w14:schemeClr w14:val="tx1"/>
            </w14:solidFill>
          </w14:textFill>
        </w:rPr>
        <w:t>支出决算表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十二、国有资本经营预算财政拨款支出决算表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_Toc79163897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pStyle w:val="18"/>
        <w:tabs>
          <w:tab w:val="right" w:leader="dot" w:pos="8296"/>
        </w:tabs>
        <w:rPr>
          <w:rFonts w:hAnsiTheme="minorHAnsi" w:eastAsiaTheme="minorEastAsia" w:cstheme="minorBidi"/>
          <w:smallCaps w:val="0"/>
          <w:color w:val="000000" w:themeColor="text1"/>
          <w:sz w:val="21"/>
          <w:szCs w:val="22"/>
          <w14:textFill>
            <w14:solidFill>
              <w14:schemeClr w14:val="tx1"/>
            </w14:solidFill>
          </w14:textFill>
        </w:rPr>
      </w:pPr>
      <w:r>
        <w:rPr>
          <w:rFonts w:ascii="仿宋" w:hAnsi="仿宋" w:eastAsia="仿宋"/>
          <w:color w:val="000000" w:themeColor="text1"/>
          <w14:textFill>
            <w14:solidFill>
              <w14:schemeClr w14:val="tx1"/>
            </w14:solidFill>
          </w14:textFill>
        </w:rPr>
        <w:t>十三、政府性基金预算财政拨款“三公”经费支出决算表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_Toc79163898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p>
    <w:p>
      <w:pPr>
        <w:rPr>
          <w:color w:val="000000" w:themeColor="text1"/>
          <w14:textFill>
            <w14:solidFill>
              <w14:schemeClr w14:val="tx1"/>
            </w14:solidFill>
          </w14:textFill>
        </w:rPr>
      </w:pPr>
      <w:r>
        <w:rPr>
          <w:rFonts w:asciiTheme="minorHAnsi" w:eastAsiaTheme="minorHAnsi"/>
          <w:b/>
          <w:bCs/>
          <w:caps/>
          <w:color w:val="000000" w:themeColor="text1"/>
          <w:sz w:val="20"/>
          <w:szCs w:val="20"/>
          <w14:textFill>
            <w14:solidFill>
              <w14:schemeClr w14:val="tx1"/>
            </w14:solidFill>
          </w14:textFill>
        </w:rPr>
        <w:fldChar w:fldCharType="end"/>
      </w:r>
    </w:p>
    <w:p>
      <w:pPr>
        <w:widowControl/>
        <w:adjustRightInd w:val="0"/>
        <w:snapToGrid w:val="0"/>
        <w:spacing w:line="440" w:lineRule="exact"/>
        <w:ind w:firstLine="1320" w:firstLineChars="550"/>
        <w:jc w:val="lef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注：请部门根据实际注明页码</w:t>
      </w:r>
      <w:r>
        <w:rPr>
          <w:rFonts w:ascii="仿宋" w:hAnsi="仿宋" w:eastAsia="仿宋"/>
          <w:color w:val="000000" w:themeColor="text1"/>
          <w:sz w:val="24"/>
          <w14:textFill>
            <w14:solidFill>
              <w14:schemeClr w14:val="tx1"/>
            </w14:solidFill>
          </w14:textFill>
        </w:rPr>
        <w:t>)</w:t>
      </w:r>
    </w:p>
    <w:p>
      <w:pPr>
        <w:widowControl/>
        <w:spacing w:line="440" w:lineRule="exact"/>
        <w:jc w:val="left"/>
        <w:rPr>
          <w:rFonts w:ascii="仿宋" w:hAnsi="仿宋" w:eastAsia="仿宋"/>
          <w:bCs/>
          <w:color w:val="000000" w:themeColor="text1"/>
          <w:kern w:val="44"/>
          <w:sz w:val="24"/>
          <w14:textFill>
            <w14:solidFill>
              <w14:schemeClr w14:val="tx1"/>
            </w14:solidFill>
          </w14:textFill>
        </w:rPr>
      </w:pPr>
      <w:bookmarkStart w:id="12" w:name="_Toc15396599"/>
      <w:bookmarkStart w:id="13" w:name="_Toc15377196"/>
      <w:r>
        <w:rPr>
          <w:rFonts w:ascii="仿宋" w:hAnsi="仿宋" w:eastAsia="仿宋"/>
          <w:b/>
          <w:color w:val="000000" w:themeColor="text1"/>
          <w:sz w:val="24"/>
          <w14:textFill>
            <w14:solidFill>
              <w14:schemeClr w14:val="tx1"/>
            </w14:solidFill>
          </w14:textFill>
        </w:rPr>
        <w:br w:type="page"/>
      </w:r>
    </w:p>
    <w:p>
      <w:pPr>
        <w:pStyle w:val="4"/>
        <w:pageBreakBefore w:val="0"/>
        <w:kinsoku/>
        <w:wordWrap/>
        <w:overflowPunct/>
        <w:topLinePunct w:val="0"/>
        <w:bidi w:val="0"/>
        <w:spacing w:line="576" w:lineRule="exact"/>
        <w:jc w:val="center"/>
        <w:textAlignment w:val="auto"/>
        <w:rPr>
          <w:rFonts w:ascii="黑体" w:eastAsia="黑体"/>
          <w:color w:val="000000" w:themeColor="text1"/>
          <w:sz w:val="32"/>
          <w:szCs w:val="32"/>
          <w14:textFill>
            <w14:solidFill>
              <w14:schemeClr w14:val="tx1"/>
            </w14:solidFill>
          </w14:textFill>
        </w:rPr>
      </w:pPr>
      <w:bookmarkStart w:id="14" w:name="_Toc79163851"/>
      <w:bookmarkStart w:id="15" w:name="_Toc79163601"/>
      <w:r>
        <w:rPr>
          <w:rFonts w:hint="eastAsia" w:ascii="黑体" w:hAnsi="黑体" w:eastAsia="黑体"/>
          <w:b w:val="0"/>
          <w:color w:val="000000" w:themeColor="text1"/>
          <w14:textFill>
            <w14:solidFill>
              <w14:schemeClr w14:val="tx1"/>
            </w14:solidFill>
          </w14:textFill>
        </w:rPr>
        <w:t>第一部分</w:t>
      </w:r>
      <w:r>
        <w:rPr>
          <w:rFonts w:ascii="黑体" w:hAnsi="黑体" w:eastAsia="黑体"/>
          <w:b w:val="0"/>
          <w:color w:val="000000" w:themeColor="text1"/>
          <w14:textFill>
            <w14:solidFill>
              <w14:schemeClr w14:val="tx1"/>
            </w14:solidFill>
          </w14:textFill>
        </w:rPr>
        <w:t xml:space="preserve"> </w:t>
      </w:r>
      <w:r>
        <w:rPr>
          <w:rStyle w:val="24"/>
          <w:rFonts w:hint="eastAsia" w:ascii="黑体" w:hAnsi="黑体" w:eastAsia="黑体"/>
          <w:b w:val="0"/>
          <w:bCs w:val="0"/>
          <w:color w:val="000000" w:themeColor="text1"/>
          <w14:textFill>
            <w14:solidFill>
              <w14:schemeClr w14:val="tx1"/>
            </w14:solidFill>
          </w14:textFill>
        </w:rPr>
        <w:t>部门概况</w:t>
      </w:r>
      <w:bookmarkEnd w:id="12"/>
      <w:bookmarkEnd w:id="13"/>
      <w:bookmarkEnd w:id="14"/>
      <w:bookmarkEnd w:id="15"/>
    </w:p>
    <w:p>
      <w:pPr>
        <w:pStyle w:val="5"/>
        <w:pageBreakBefore w:val="0"/>
        <w:kinsoku/>
        <w:wordWrap/>
        <w:overflowPunct/>
        <w:topLinePunct w:val="0"/>
        <w:bidi w:val="0"/>
        <w:spacing w:line="576" w:lineRule="exact"/>
        <w:textAlignment w:val="auto"/>
        <w:rPr>
          <w:rStyle w:val="25"/>
          <w:rFonts w:ascii="仿宋" w:hAnsi="仿宋" w:eastAsia="仿宋"/>
          <w:b w:val="0"/>
          <w:bCs w:val="0"/>
          <w:color w:val="000000" w:themeColor="text1"/>
          <w14:textFill>
            <w14:solidFill>
              <w14:schemeClr w14:val="tx1"/>
            </w14:solidFill>
          </w14:textFill>
        </w:rPr>
      </w:pPr>
      <w:bookmarkStart w:id="16" w:name="_Toc79163602"/>
      <w:bookmarkStart w:id="17" w:name="_Toc15396600"/>
      <w:bookmarkStart w:id="18" w:name="_Toc79163852"/>
      <w:bookmarkStart w:id="19" w:name="_Toc15377197"/>
      <w:r>
        <w:rPr>
          <w:rFonts w:hint="eastAsia" w:ascii="黑体" w:hAnsi="黑体" w:eastAsia="黑体"/>
          <w:b w:val="0"/>
          <w:color w:val="000000" w:themeColor="text1"/>
          <w14:textFill>
            <w14:solidFill>
              <w14:schemeClr w14:val="tx1"/>
            </w14:solidFill>
          </w14:textFill>
        </w:rPr>
        <w:t>一、基</w:t>
      </w:r>
      <w:r>
        <w:rPr>
          <w:rStyle w:val="25"/>
          <w:rFonts w:hint="eastAsia" w:ascii="黑体" w:hAnsi="黑体" w:eastAsia="黑体"/>
          <w:b w:val="0"/>
          <w:bCs w:val="0"/>
          <w:color w:val="000000" w:themeColor="text1"/>
          <w14:textFill>
            <w14:solidFill>
              <w14:schemeClr w14:val="tx1"/>
            </w14:solidFill>
          </w14:textFill>
        </w:rPr>
        <w:t>本职能及主要工作</w:t>
      </w:r>
      <w:bookmarkEnd w:id="16"/>
      <w:bookmarkEnd w:id="17"/>
      <w:bookmarkEnd w:id="18"/>
      <w:bookmarkEnd w:id="19"/>
    </w:p>
    <w:p>
      <w:pPr>
        <w:pStyle w:val="8"/>
        <w:pageBreakBefore w:val="0"/>
        <w:kinsoku/>
        <w:wordWrap/>
        <w:overflowPunct/>
        <w:topLinePunct w:val="0"/>
        <w:bidi w:val="0"/>
        <w:adjustRightInd w:val="0"/>
        <w:snapToGrid w:val="0"/>
        <w:spacing w:before="93" w:line="576" w:lineRule="exact"/>
        <w:ind w:firstLine="672" w:firstLineChars="210"/>
        <w:textAlignment w:val="auto"/>
        <w:outlineLvl w:val="2"/>
        <w:rPr>
          <w:rFonts w:ascii="仿宋" w:hAnsi="仿宋" w:eastAsia="仿宋"/>
          <w:bCs/>
          <w:color w:val="000000" w:themeColor="text1"/>
          <w:sz w:val="32"/>
          <w:szCs w:val="32"/>
          <w14:textFill>
            <w14:solidFill>
              <w14:schemeClr w14:val="tx1"/>
            </w14:solidFill>
          </w14:textFill>
        </w:rPr>
      </w:pPr>
      <w:bookmarkStart w:id="20" w:name="_Toc79163853"/>
      <w:bookmarkStart w:id="21" w:name="_Toc79163603"/>
      <w:bookmarkStart w:id="22" w:name="_Toc15378445"/>
      <w:bookmarkStart w:id="23" w:name="_Toc15377198"/>
      <w:r>
        <w:rPr>
          <w:rFonts w:hint="eastAsia" w:ascii="仿宋" w:hAnsi="仿宋" w:eastAsia="仿宋"/>
          <w:bCs/>
          <w:color w:val="000000" w:themeColor="text1"/>
          <w:sz w:val="32"/>
          <w:szCs w:val="32"/>
          <w14:textFill>
            <w14:solidFill>
              <w14:schemeClr w14:val="tx1"/>
            </w14:solidFill>
          </w14:textFill>
        </w:rPr>
        <w:t>（一）主要职能。</w:t>
      </w:r>
      <w:bookmarkEnd w:id="20"/>
      <w:bookmarkEnd w:id="21"/>
    </w:p>
    <w:bookmarkEnd w:id="22"/>
    <w:bookmarkEnd w:id="23"/>
    <w:p>
      <w:pPr>
        <w:keepNext w:val="0"/>
        <w:keepLines w:val="0"/>
        <w:pageBreakBefore w:val="0"/>
        <w:kinsoku/>
        <w:wordWrap/>
        <w:overflowPunct/>
        <w:topLinePunct w:val="0"/>
        <w:autoSpaceDN/>
        <w:bidi w:val="0"/>
        <w:spacing w:line="576"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bookmarkStart w:id="24" w:name="_Toc15378446"/>
      <w:bookmarkStart w:id="25" w:name="_Toc15377199"/>
      <w:bookmarkStart w:id="26" w:name="_Toc79163854"/>
      <w:bookmarkStart w:id="27" w:name="_Toc79163604"/>
      <w:r>
        <w:rPr>
          <w:rFonts w:hint="eastAsia" w:ascii="仿宋_GB2312" w:hAnsi="仿宋_GB2312" w:eastAsia="仿宋_GB2312" w:cs="仿宋_GB2312"/>
          <w:color w:val="000000" w:themeColor="text1"/>
          <w:sz w:val="32"/>
          <w:szCs w:val="32"/>
          <w14:textFill>
            <w14:solidFill>
              <w14:schemeClr w14:val="tx1"/>
            </w14:solidFill>
          </w14:textFill>
        </w:rPr>
        <w:t>小金县人民法院是国家审判机关，依照法律规定独立行使审判权，对小金县人民代表大会及其常务委员会负责并报告工作。主要工作是:依法审理各类案件，全力维护小金的和谐稳定。</w:t>
      </w:r>
    </w:p>
    <w:p>
      <w:pPr>
        <w:pStyle w:val="8"/>
        <w:pageBreakBefore w:val="0"/>
        <w:kinsoku/>
        <w:wordWrap/>
        <w:overflowPunct/>
        <w:topLinePunct w:val="0"/>
        <w:bidi w:val="0"/>
        <w:adjustRightInd w:val="0"/>
        <w:snapToGrid w:val="0"/>
        <w:spacing w:before="93" w:line="576" w:lineRule="exact"/>
        <w:ind w:firstLine="672" w:firstLineChars="210"/>
        <w:textAlignment w:val="auto"/>
        <w:outlineLvl w:val="2"/>
        <w:rPr>
          <w:rFonts w:hint="eastAsia" w:ascii="仿宋" w:hAnsi="仿宋" w:eastAsia="仿宋"/>
          <w:bCs/>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（二）</w:t>
      </w:r>
      <w:r>
        <w:rPr>
          <w:rFonts w:ascii="仿宋" w:hAnsi="仿宋" w:eastAsia="仿宋"/>
          <w:bCs/>
          <w:color w:val="000000" w:themeColor="text1"/>
          <w:sz w:val="32"/>
          <w:szCs w:val="32"/>
          <w14:textFill>
            <w14:solidFill>
              <w14:schemeClr w14:val="tx1"/>
            </w14:solidFill>
          </w14:textFill>
        </w:rPr>
        <w:t>202</w:t>
      </w:r>
      <w:r>
        <w:rPr>
          <w:rFonts w:hint="eastAsia" w:ascii="仿宋" w:hAnsi="仿宋" w:eastAsia="仿宋"/>
          <w:bCs/>
          <w:color w:val="000000" w:themeColor="text1"/>
          <w:sz w:val="32"/>
          <w:szCs w:val="32"/>
          <w:lang w:val="en-US" w:eastAsia="zh-CN"/>
          <w14:textFill>
            <w14:solidFill>
              <w14:schemeClr w14:val="tx1"/>
            </w14:solidFill>
          </w14:textFill>
        </w:rPr>
        <w:t>2</w:t>
      </w:r>
      <w:r>
        <w:rPr>
          <w:rFonts w:hint="eastAsia" w:ascii="仿宋" w:hAnsi="仿宋" w:eastAsia="仿宋"/>
          <w:bCs/>
          <w:color w:val="000000" w:themeColor="text1"/>
          <w:sz w:val="32"/>
          <w:szCs w:val="32"/>
          <w14:textFill>
            <w14:solidFill>
              <w14:schemeClr w14:val="tx1"/>
            </w14:solidFill>
          </w14:textFill>
        </w:rPr>
        <w:t>年重点工作完成情况。</w:t>
      </w:r>
      <w:bookmarkEnd w:id="24"/>
      <w:bookmarkEnd w:id="25"/>
      <w:bookmarkEnd w:id="26"/>
      <w:bookmarkEnd w:id="27"/>
    </w:p>
    <w:p>
      <w:pPr>
        <w:pageBreakBefore w:val="0"/>
        <w:kinsoku/>
        <w:wordWrap/>
        <w:overflowPunct/>
        <w:topLinePunct w:val="0"/>
        <w:bidi w:val="0"/>
        <w:spacing w:line="576" w:lineRule="exact"/>
        <w:ind w:firstLine="640" w:firstLineChars="200"/>
        <w:textAlignment w:val="auto"/>
        <w:rPr>
          <w:rFonts w:hint="eastAsia" w:ascii="仿宋" w:hAnsi="仿宋" w:eastAsia="仿宋"/>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年，小金法院坚持以习近平新时代中国特色社会主义思想为指导，深入学习习近平法治思想，贯彻落实党的十在县委领导、人大监督和政府、政协及社会各界支持下，结合“规范创新管理年”工作主题，以“六个实质化”纵深推进“六个治理”，忠实履行宪法法律赋予的职责，各项工作稳中有进。</w:t>
      </w:r>
    </w:p>
    <w:p>
      <w:pPr>
        <w:pStyle w:val="5"/>
        <w:pageBreakBefore w:val="0"/>
        <w:kinsoku/>
        <w:wordWrap/>
        <w:overflowPunct/>
        <w:topLinePunct w:val="0"/>
        <w:bidi w:val="0"/>
        <w:spacing w:line="576" w:lineRule="exact"/>
        <w:textAlignment w:val="auto"/>
        <w:rPr>
          <w:rStyle w:val="25"/>
          <w:b w:val="0"/>
          <w:bCs w:val="0"/>
          <w:color w:val="000000" w:themeColor="text1"/>
          <w14:textFill>
            <w14:solidFill>
              <w14:schemeClr w14:val="tx1"/>
            </w14:solidFill>
          </w14:textFill>
        </w:rPr>
      </w:pPr>
      <w:bookmarkStart w:id="28" w:name="_Toc15377200"/>
      <w:bookmarkStart w:id="29" w:name="_Toc79163855"/>
      <w:bookmarkStart w:id="30" w:name="_Toc79163605"/>
      <w:bookmarkStart w:id="31" w:name="_Toc15396601"/>
      <w:r>
        <w:rPr>
          <w:rFonts w:hint="eastAsia" w:ascii="黑体" w:eastAsia="黑体"/>
          <w:b w:val="0"/>
          <w:color w:val="000000" w:themeColor="text1"/>
          <w14:textFill>
            <w14:solidFill>
              <w14:schemeClr w14:val="tx1"/>
            </w14:solidFill>
          </w14:textFill>
        </w:rPr>
        <w:t>二、</w:t>
      </w:r>
      <w:r>
        <w:rPr>
          <w:rFonts w:hint="eastAsia" w:ascii="黑体" w:hAnsi="黑体" w:eastAsia="黑体"/>
          <w:b w:val="0"/>
          <w:color w:val="000000" w:themeColor="text1"/>
          <w14:textFill>
            <w14:solidFill>
              <w14:schemeClr w14:val="tx1"/>
            </w14:solidFill>
          </w14:textFill>
        </w:rPr>
        <w:t>机</w:t>
      </w:r>
      <w:r>
        <w:rPr>
          <w:rStyle w:val="25"/>
          <w:rFonts w:hint="eastAsia" w:ascii="黑体" w:hAnsi="黑体" w:eastAsia="黑体"/>
          <w:b w:val="0"/>
          <w:bCs w:val="0"/>
          <w:color w:val="000000" w:themeColor="text1"/>
          <w14:textFill>
            <w14:solidFill>
              <w14:schemeClr w14:val="tx1"/>
            </w14:solidFill>
          </w14:textFill>
        </w:rPr>
        <w:t>构设置</w:t>
      </w:r>
      <w:bookmarkEnd w:id="28"/>
      <w:bookmarkEnd w:id="29"/>
      <w:bookmarkEnd w:id="30"/>
      <w:bookmarkEnd w:id="31"/>
    </w:p>
    <w:p>
      <w:pPr>
        <w:keepNext w:val="0"/>
        <w:keepLines w:val="0"/>
        <w:pageBreakBefore w:val="0"/>
        <w:kinsoku/>
        <w:wordWrap/>
        <w:overflowPunct/>
        <w:topLinePunct w:val="0"/>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小金县人民法院属独立法人机构，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一级预算单位，</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内设机构9个：综合办公室、政治处（督查室）、立案庭（诉讼服务中心）、刑事审判庭（环境资源审判庭）、民事审判庭（未成年人案件审判庭）、行政审判庭、执行局、审判管理办公室（研究室）、司法警察大队；下设基层人民法庭4个：美兴人民法庭、达维人民法庭、抚边人民法庭、汗牛人民法庭。年末实有</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在编干警</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人数</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54</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人、非在编</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干警</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人数</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人。</w:t>
      </w:r>
    </w:p>
    <w:p>
      <w:pPr>
        <w:pStyle w:val="4"/>
        <w:pageBreakBefore w:val="0"/>
        <w:kinsoku/>
        <w:wordWrap/>
        <w:overflowPunct/>
        <w:topLinePunct w:val="0"/>
        <w:bidi w:val="0"/>
        <w:spacing w:line="576" w:lineRule="exact"/>
        <w:ind w:right="440"/>
        <w:jc w:val="right"/>
        <w:textAlignment w:val="auto"/>
        <w:rPr>
          <w:rStyle w:val="24"/>
          <w:rFonts w:ascii="黑体" w:hAnsi="黑体" w:eastAsia="黑体"/>
          <w:b w:val="0"/>
          <w:bCs w:val="0"/>
          <w:color w:val="000000" w:themeColor="text1"/>
          <w14:textFill>
            <w14:solidFill>
              <w14:schemeClr w14:val="tx1"/>
            </w14:solidFill>
          </w14:textFill>
        </w:rPr>
      </w:pPr>
      <w:bookmarkStart w:id="32" w:name="_Toc15377204"/>
      <w:bookmarkStart w:id="33" w:name="_Toc79163859"/>
      <w:bookmarkStart w:id="34" w:name="_Toc15396602"/>
      <w:bookmarkStart w:id="35" w:name="_Toc79163609"/>
      <w:r>
        <w:rPr>
          <w:rFonts w:hint="eastAsia" w:ascii="黑体" w:hAnsi="黑体" w:eastAsia="黑体"/>
          <w:b w:val="0"/>
          <w:color w:val="000000" w:themeColor="text1"/>
          <w14:textFill>
            <w14:solidFill>
              <w14:schemeClr w14:val="tx1"/>
            </w14:solidFill>
          </w14:textFill>
        </w:rPr>
        <w:t>第二部分</w:t>
      </w:r>
      <w:r>
        <w:rPr>
          <w:rFonts w:ascii="黑体" w:hAnsi="黑体" w:eastAsia="黑体"/>
          <w:color w:val="000000" w:themeColor="text1"/>
          <w14:textFill>
            <w14:solidFill>
              <w14:schemeClr w14:val="tx1"/>
            </w14:solidFill>
          </w14:textFill>
        </w:rPr>
        <w:t xml:space="preserve"> </w:t>
      </w:r>
      <w:r>
        <w:rPr>
          <w:rStyle w:val="24"/>
          <w:rFonts w:ascii="黑体" w:hAnsi="黑体" w:eastAsia="黑体"/>
          <w:b w:val="0"/>
          <w:bCs w:val="0"/>
          <w:color w:val="000000" w:themeColor="text1"/>
          <w14:textFill>
            <w14:solidFill>
              <w14:schemeClr w14:val="tx1"/>
            </w14:solidFill>
          </w14:textFill>
        </w:rPr>
        <w:t>202</w:t>
      </w:r>
      <w:r>
        <w:rPr>
          <w:rStyle w:val="24"/>
          <w:rFonts w:hint="eastAsia" w:ascii="黑体" w:hAnsi="黑体" w:eastAsia="黑体"/>
          <w:b w:val="0"/>
          <w:bCs w:val="0"/>
          <w:color w:val="000000" w:themeColor="text1"/>
          <w:lang w:val="en-US" w:eastAsia="zh-CN"/>
          <w14:textFill>
            <w14:solidFill>
              <w14:schemeClr w14:val="tx1"/>
            </w14:solidFill>
          </w14:textFill>
        </w:rPr>
        <w:t>2</w:t>
      </w:r>
      <w:r>
        <w:rPr>
          <w:rStyle w:val="24"/>
          <w:rFonts w:hint="eastAsia" w:ascii="黑体" w:hAnsi="黑体" w:eastAsia="黑体"/>
          <w:b w:val="0"/>
          <w:bCs w:val="0"/>
          <w:color w:val="000000" w:themeColor="text1"/>
          <w14:textFill>
            <w14:solidFill>
              <w14:schemeClr w14:val="tx1"/>
            </w14:solidFill>
          </w14:textFill>
        </w:rPr>
        <w:t>年度部门决算情况说明</w:t>
      </w:r>
      <w:bookmarkEnd w:id="32"/>
      <w:bookmarkEnd w:id="33"/>
      <w:bookmarkEnd w:id="34"/>
      <w:bookmarkEnd w:id="35"/>
    </w:p>
    <w:p>
      <w:pPr>
        <w:pageBreakBefore w:val="0"/>
        <w:kinsoku/>
        <w:wordWrap/>
        <w:overflowPunct/>
        <w:topLinePunct w:val="0"/>
        <w:bidi w:val="0"/>
        <w:spacing w:line="576" w:lineRule="exact"/>
        <w:textAlignment w:val="auto"/>
        <w:rPr>
          <w:color w:val="000000" w:themeColor="text1"/>
          <w14:textFill>
            <w14:solidFill>
              <w14:schemeClr w14:val="tx1"/>
            </w14:solidFill>
          </w14:textFill>
        </w:rPr>
      </w:pPr>
    </w:p>
    <w:p>
      <w:pPr>
        <w:pStyle w:val="35"/>
        <w:pageBreakBefore w:val="0"/>
        <w:numPr>
          <w:ilvl w:val="0"/>
          <w:numId w:val="1"/>
        </w:numPr>
        <w:kinsoku/>
        <w:wordWrap/>
        <w:overflowPunct/>
        <w:topLinePunct w:val="0"/>
        <w:bidi w:val="0"/>
        <w:spacing w:line="576" w:lineRule="exact"/>
        <w:ind w:firstLineChars="0"/>
        <w:textAlignment w:val="auto"/>
        <w:outlineLvl w:val="1"/>
        <w:rPr>
          <w:rStyle w:val="25"/>
          <w:rFonts w:ascii="黑体" w:hAnsi="黑体" w:eastAsia="黑体"/>
          <w:b w:val="0"/>
          <w:color w:val="000000" w:themeColor="text1"/>
          <w14:textFill>
            <w14:solidFill>
              <w14:schemeClr w14:val="tx1"/>
            </w14:solidFill>
          </w14:textFill>
        </w:rPr>
      </w:pPr>
      <w:bookmarkStart w:id="36" w:name="_Toc15396603"/>
      <w:bookmarkStart w:id="37" w:name="_Toc15377205"/>
      <w:bookmarkStart w:id="38" w:name="_Toc79163610"/>
      <w:bookmarkStart w:id="39" w:name="_Toc79163860"/>
      <w:r>
        <w:rPr>
          <w:rFonts w:hint="eastAsia" w:ascii="黑体" w:hAnsi="黑体" w:eastAsia="黑体"/>
          <w:color w:val="000000" w:themeColor="text1"/>
          <w:sz w:val="32"/>
          <w:szCs w:val="32"/>
          <w14:textFill>
            <w14:solidFill>
              <w14:schemeClr w14:val="tx1"/>
            </w14:solidFill>
          </w14:textFill>
        </w:rPr>
        <w:t>收</w:t>
      </w:r>
      <w:r>
        <w:rPr>
          <w:rStyle w:val="25"/>
          <w:rFonts w:hint="eastAsia" w:ascii="黑体" w:hAnsi="黑体" w:eastAsia="黑体"/>
          <w:b w:val="0"/>
          <w:color w:val="000000" w:themeColor="text1"/>
          <w14:textFill>
            <w14:solidFill>
              <w14:schemeClr w14:val="tx1"/>
            </w14:solidFill>
          </w14:textFill>
        </w:rPr>
        <w:t>入支出决算总体情况说明</w:t>
      </w:r>
      <w:bookmarkEnd w:id="36"/>
      <w:bookmarkEnd w:id="37"/>
      <w:bookmarkEnd w:id="38"/>
      <w:bookmarkEnd w:id="39"/>
    </w:p>
    <w:p>
      <w:pPr>
        <w:pageBreakBefore w:val="0"/>
        <w:widowControl/>
        <w:kinsoku/>
        <w:wordWrap/>
        <w:overflowPunct/>
        <w:topLinePunct w:val="0"/>
        <w:bidi w:val="0"/>
        <w:adjustRightInd w:val="0"/>
        <w:snapToGrid w:val="0"/>
        <w:spacing w:line="576" w:lineRule="exact"/>
        <w:ind w:firstLine="640" w:firstLineChars="200"/>
        <w:contextualSpacing/>
        <w:textAlignment w:val="auto"/>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_GB2312" w:hAnsi="仿宋_GB2312" w:cs="仿宋_GB2312"/>
          <w:color w:val="000000" w:themeColor="text1"/>
          <w:sz w:val="32"/>
          <w:szCs w:val="32"/>
          <w:lang w:eastAsia="zh-CN"/>
          <w14:textFill>
            <w14:solidFill>
              <w14:schemeClr w14:val="tx1"/>
            </w14:solidFill>
          </w14:textFill>
        </w:rPr>
        <w:t>202</w:t>
      </w:r>
      <w:r>
        <w:rPr>
          <w:rFonts w:hint="eastAsia" w:ascii="仿宋_GB2312" w:hAnsi="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年小金县人民法院财政资金收入总额</w:t>
      </w:r>
      <w:r>
        <w:rPr>
          <w:rFonts w:hint="eastAsia" w:ascii="仿宋_GB2312" w:hAnsi="仿宋_GB2312" w:cs="仿宋_GB2312"/>
          <w:color w:val="000000" w:themeColor="text1"/>
          <w:sz w:val="32"/>
          <w:szCs w:val="32"/>
          <w:lang w:val="en-US" w:eastAsia="zh-CN"/>
          <w14:textFill>
            <w14:solidFill>
              <w14:schemeClr w14:val="tx1"/>
            </w14:solidFill>
          </w14:textFill>
        </w:rPr>
        <w:t>1965.25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总</w:t>
      </w:r>
      <w:r>
        <w:rPr>
          <w:rFonts w:hint="eastAsia" w:ascii="仿宋_GB2312" w:hAnsi="仿宋_GB2312" w:eastAsia="仿宋_GB2312" w:cs="仿宋_GB2312"/>
          <w:color w:val="000000" w:themeColor="text1"/>
          <w:sz w:val="32"/>
          <w:szCs w:val="32"/>
          <w14:textFill>
            <w14:solidFill>
              <w14:schemeClr w14:val="tx1"/>
            </w14:solidFill>
          </w14:textFill>
        </w:rPr>
        <w:t>计</w:t>
      </w:r>
      <w:r>
        <w:rPr>
          <w:rFonts w:hint="eastAsia" w:ascii="仿宋_GB2312" w:hAnsi="仿宋_GB2312" w:cs="仿宋_GB2312"/>
          <w:color w:val="000000" w:themeColor="text1"/>
          <w:sz w:val="32"/>
          <w:szCs w:val="32"/>
          <w:lang w:val="en-US" w:eastAsia="zh-CN"/>
          <w14:textFill>
            <w14:solidFill>
              <w14:schemeClr w14:val="tx1"/>
            </w14:solidFill>
          </w14:textFill>
        </w:rPr>
        <w:t>1946.1</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，年末结转结余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19.15万元</w:t>
      </w:r>
      <w:r>
        <w:rPr>
          <w:rFonts w:hint="eastAsia" w:ascii="仿宋" w:hAnsi="仿宋" w:eastAsia="仿宋"/>
          <w:color w:val="000000" w:themeColor="text1"/>
          <w:sz w:val="32"/>
          <w:szCs w:val="32"/>
          <w14:textFill>
            <w14:solidFill>
              <w14:schemeClr w14:val="tx1"/>
            </w14:solidFill>
          </w14:textFill>
        </w:rPr>
        <w:t>。与</w:t>
      </w:r>
      <w:r>
        <w:rPr>
          <w:rFonts w:hint="eastAsia" w:ascii="仿宋" w:hAnsi="仿宋" w:eastAsia="仿宋"/>
          <w:color w:val="000000" w:themeColor="text1"/>
          <w:sz w:val="32"/>
          <w:szCs w:val="32"/>
          <w:lang w:val="en-US" w:eastAsia="zh-CN"/>
          <w14:textFill>
            <w14:solidFill>
              <w14:schemeClr w14:val="tx1"/>
            </w14:solidFill>
          </w14:textFill>
        </w:rPr>
        <w:t>2021</w:t>
      </w:r>
      <w:r>
        <w:rPr>
          <w:rFonts w:hint="eastAsia" w:ascii="仿宋" w:hAnsi="仿宋" w:eastAsia="仿宋"/>
          <w:color w:val="000000" w:themeColor="text1"/>
          <w:sz w:val="32"/>
          <w:szCs w:val="32"/>
          <w14:textFill>
            <w14:solidFill>
              <w14:schemeClr w14:val="tx1"/>
            </w14:solidFill>
          </w14:textFill>
        </w:rPr>
        <w:t>年相比，收</w:t>
      </w:r>
      <w:r>
        <w:rPr>
          <w:rFonts w:hint="eastAsia" w:ascii="仿宋" w:hAnsi="仿宋" w:eastAsia="仿宋"/>
          <w:color w:val="000000" w:themeColor="text1"/>
          <w:sz w:val="32"/>
          <w:szCs w:val="32"/>
          <w:lang w:eastAsia="zh-CN"/>
          <w14:textFill>
            <w14:solidFill>
              <w14:schemeClr w14:val="tx1"/>
            </w14:solidFill>
          </w14:textFill>
        </w:rPr>
        <w:t>入</w:t>
      </w:r>
      <w:r>
        <w:rPr>
          <w:rFonts w:hint="eastAsia" w:ascii="仿宋" w:hAnsi="仿宋" w:eastAsia="仿宋"/>
          <w:color w:val="000000" w:themeColor="text1"/>
          <w:sz w:val="32"/>
          <w:szCs w:val="32"/>
          <w14:textFill>
            <w14:solidFill>
              <w14:schemeClr w14:val="tx1"/>
            </w14:solidFill>
          </w14:textFill>
        </w:rPr>
        <w:t>总计</w:t>
      </w:r>
      <w:r>
        <w:rPr>
          <w:rFonts w:hint="eastAsia" w:ascii="仿宋" w:hAnsi="仿宋" w:eastAsia="仿宋"/>
          <w:color w:val="000000" w:themeColor="text1"/>
          <w:sz w:val="32"/>
          <w:szCs w:val="32"/>
          <w:lang w:val="en-US" w:eastAsia="zh-CN"/>
          <w14:textFill>
            <w14:solidFill>
              <w14:schemeClr w14:val="tx1"/>
            </w14:solidFill>
          </w14:textFill>
        </w:rPr>
        <w:t>增加319.03</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、支出总计减少</w:t>
      </w:r>
      <w:r>
        <w:rPr>
          <w:rFonts w:hint="eastAsia" w:ascii="仿宋" w:hAnsi="仿宋" w:eastAsia="仿宋"/>
          <w:color w:val="000000" w:themeColor="text1"/>
          <w:sz w:val="32"/>
          <w:szCs w:val="32"/>
          <w:lang w:val="en-US" w:eastAsia="zh-CN"/>
          <w14:textFill>
            <w14:solidFill>
              <w14:schemeClr w14:val="tx1"/>
            </w14:solidFill>
          </w14:textFill>
        </w:rPr>
        <w:t>85.39万元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增加</w:t>
      </w:r>
      <w:r>
        <w:rPr>
          <w:rFonts w:hint="eastAsia" w:ascii="仿宋" w:hAnsi="仿宋" w:eastAsia="仿宋"/>
          <w:color w:val="000000" w:themeColor="text1"/>
          <w:sz w:val="32"/>
          <w:szCs w:val="32"/>
          <w:lang w:val="en-US" w:eastAsia="zh-CN"/>
          <w14:textFill>
            <w14:solidFill>
              <w14:schemeClr w14:val="tx1"/>
            </w14:solidFill>
          </w14:textFill>
        </w:rPr>
        <w:t>减少率分别是19.37%、4.2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。主要变动原因</w:t>
      </w:r>
      <w:r>
        <w:rPr>
          <w:rFonts w:hint="eastAsia" w:eastAsia="仿宋_GB2312"/>
          <w:color w:val="000000"/>
          <w:sz w:val="32"/>
          <w:szCs w:val="32"/>
          <w:lang w:eastAsia="zh-CN"/>
        </w:rPr>
        <w:t>是</w:t>
      </w:r>
      <w:r>
        <w:rPr>
          <w:rFonts w:hint="eastAsia" w:eastAsia="仿宋_GB2312"/>
          <w:color w:val="000000"/>
          <w:sz w:val="32"/>
          <w:szCs w:val="32"/>
          <w:lang w:val="en-US" w:eastAsia="zh-CN"/>
        </w:rPr>
        <w:t>2022年收入增加了县级基础性绩效与奖励性目标奖，支出减少了项目支出。</w:t>
      </w:r>
    </w:p>
    <w:p>
      <w:pPr>
        <w:pStyle w:val="35"/>
        <w:pageBreakBefore w:val="0"/>
        <w:numPr>
          <w:ilvl w:val="0"/>
          <w:numId w:val="1"/>
        </w:numPr>
        <w:kinsoku/>
        <w:wordWrap/>
        <w:overflowPunct/>
        <w:topLinePunct w:val="0"/>
        <w:bidi w:val="0"/>
        <w:spacing w:line="576" w:lineRule="exact"/>
        <w:ind w:firstLineChars="0"/>
        <w:textAlignment w:val="auto"/>
        <w:outlineLvl w:val="1"/>
        <w:rPr>
          <w:rStyle w:val="25"/>
          <w:rFonts w:ascii="黑体" w:hAnsi="黑体" w:eastAsia="黑体"/>
          <w:b w:val="0"/>
          <w:color w:val="000000" w:themeColor="text1"/>
          <w14:textFill>
            <w14:solidFill>
              <w14:schemeClr w14:val="tx1"/>
            </w14:solidFill>
          </w14:textFill>
        </w:rPr>
      </w:pPr>
      <w:bookmarkStart w:id="40" w:name="_Toc79163861"/>
      <w:bookmarkStart w:id="41" w:name="_Toc79163611"/>
      <w:bookmarkStart w:id="42" w:name="_Toc15377206"/>
      <w:bookmarkStart w:id="43" w:name="_Toc15396604"/>
      <w:r>
        <w:rPr>
          <w:rFonts w:hint="eastAsia" w:ascii="黑体" w:hAnsi="黑体" w:eastAsia="黑体"/>
          <w:color w:val="000000" w:themeColor="text1"/>
          <w:sz w:val="32"/>
          <w:szCs w:val="32"/>
          <w14:textFill>
            <w14:solidFill>
              <w14:schemeClr w14:val="tx1"/>
            </w14:solidFill>
          </w14:textFill>
        </w:rPr>
        <w:t>收</w:t>
      </w:r>
      <w:r>
        <w:rPr>
          <w:rStyle w:val="25"/>
          <w:rFonts w:hint="eastAsia" w:ascii="黑体" w:hAnsi="黑体" w:eastAsia="黑体"/>
          <w:b w:val="0"/>
          <w:color w:val="000000" w:themeColor="text1"/>
          <w14:textFill>
            <w14:solidFill>
              <w14:schemeClr w14:val="tx1"/>
            </w14:solidFill>
          </w14:textFill>
        </w:rPr>
        <w:t>入决算情况说明</w:t>
      </w:r>
      <w:bookmarkEnd w:id="40"/>
      <w:bookmarkEnd w:id="41"/>
      <w:bookmarkEnd w:id="42"/>
      <w:bookmarkEnd w:id="43"/>
    </w:p>
    <w:p>
      <w:pPr>
        <w:pageBreakBefore w:val="0"/>
        <w:kinsoku/>
        <w:wordWrap/>
        <w:overflowPunct/>
        <w:topLinePunct w:val="0"/>
        <w:bidi w:val="0"/>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_GB2312" w:hAnsi="仿宋_GB2312" w:cs="仿宋_GB2312"/>
          <w:color w:val="000000" w:themeColor="text1"/>
          <w:sz w:val="32"/>
          <w:szCs w:val="32"/>
          <w:lang w:eastAsia="zh-CN"/>
          <w14:textFill>
            <w14:solidFill>
              <w14:schemeClr w14:val="tx1"/>
            </w14:solidFill>
          </w14:textFill>
        </w:rPr>
        <w:t>202</w:t>
      </w:r>
      <w:r>
        <w:rPr>
          <w:rFonts w:hint="eastAsia" w:ascii="仿宋_GB2312" w:hAnsi="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本年</w:t>
      </w:r>
      <w:r>
        <w:rPr>
          <w:rFonts w:hint="eastAsia" w:ascii="仿宋_GB2312" w:hAnsi="仿宋_GB2312" w:eastAsia="仿宋_GB2312" w:cs="仿宋_GB2312"/>
          <w:color w:val="000000" w:themeColor="text1"/>
          <w:sz w:val="32"/>
          <w:szCs w:val="32"/>
          <w14:textFill>
            <w14:solidFill>
              <w14:schemeClr w14:val="tx1"/>
            </w14:solidFill>
          </w14:textFill>
        </w:rPr>
        <w:t>收入总额为</w:t>
      </w:r>
      <w:r>
        <w:rPr>
          <w:rFonts w:hint="eastAsia" w:ascii="仿宋_GB2312" w:hAnsi="仿宋_GB2312" w:cs="仿宋_GB2312"/>
          <w:color w:val="000000" w:themeColor="text1"/>
          <w:sz w:val="32"/>
          <w:szCs w:val="32"/>
          <w:lang w:val="en-US" w:eastAsia="zh-CN"/>
          <w14:textFill>
            <w14:solidFill>
              <w14:schemeClr w14:val="tx1"/>
            </w14:solidFill>
          </w14:textFill>
        </w:rPr>
        <w:t>1965.25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其中：一般公共预算财政拨款收入</w:t>
      </w:r>
      <w:r>
        <w:rPr>
          <w:rFonts w:hint="eastAsia" w:ascii="仿宋" w:hAnsi="仿宋" w:eastAsia="仿宋"/>
          <w:color w:val="000000" w:themeColor="text1"/>
          <w:sz w:val="32"/>
          <w:szCs w:val="32"/>
          <w:lang w:val="en-US" w:eastAsia="zh-CN"/>
          <w14:textFill>
            <w14:solidFill>
              <w14:schemeClr w14:val="tx1"/>
            </w14:solidFill>
          </w14:textFill>
        </w:rPr>
        <w:t>1311.05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66.71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；政府性基金预算财政拨款收入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；事业收入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；经营收入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；附属单位上缴收入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；其他收入</w:t>
      </w:r>
      <w:r>
        <w:rPr>
          <w:rFonts w:hint="eastAsia" w:ascii="仿宋" w:hAnsi="仿宋" w:eastAsia="仿宋"/>
          <w:color w:val="000000" w:themeColor="text1"/>
          <w:sz w:val="32"/>
          <w:szCs w:val="32"/>
          <w:lang w:val="en-US" w:eastAsia="zh-CN"/>
          <w14:textFill>
            <w14:solidFill>
              <w14:schemeClr w14:val="tx1"/>
            </w14:solidFill>
          </w14:textFill>
        </w:rPr>
        <w:t>654.2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33.29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pStyle w:val="35"/>
        <w:pageBreakBefore w:val="0"/>
        <w:numPr>
          <w:ilvl w:val="0"/>
          <w:numId w:val="1"/>
        </w:numPr>
        <w:kinsoku/>
        <w:wordWrap/>
        <w:overflowPunct/>
        <w:topLinePunct w:val="0"/>
        <w:bidi w:val="0"/>
        <w:spacing w:line="576" w:lineRule="exact"/>
        <w:ind w:firstLineChars="0"/>
        <w:textAlignment w:val="auto"/>
        <w:outlineLvl w:val="1"/>
        <w:rPr>
          <w:rStyle w:val="25"/>
          <w:rFonts w:ascii="黑体" w:hAnsi="黑体" w:eastAsia="黑体"/>
          <w:b w:val="0"/>
          <w:color w:val="000000" w:themeColor="text1"/>
          <w14:textFill>
            <w14:solidFill>
              <w14:schemeClr w14:val="tx1"/>
            </w14:solidFill>
          </w14:textFill>
        </w:rPr>
      </w:pPr>
      <w:bookmarkStart w:id="44" w:name="_Toc79163862"/>
      <w:bookmarkStart w:id="45" w:name="_Toc15377207"/>
      <w:bookmarkStart w:id="46" w:name="_Toc15396605"/>
      <w:bookmarkStart w:id="47" w:name="_Toc79163612"/>
      <w:r>
        <w:rPr>
          <w:rFonts w:hint="eastAsia" w:ascii="黑体" w:hAnsi="黑体" w:eastAsia="黑体"/>
          <w:color w:val="000000" w:themeColor="text1"/>
          <w:sz w:val="32"/>
          <w:szCs w:val="32"/>
          <w14:textFill>
            <w14:solidFill>
              <w14:schemeClr w14:val="tx1"/>
            </w14:solidFill>
          </w14:textFill>
        </w:rPr>
        <w:t>支</w:t>
      </w:r>
      <w:r>
        <w:rPr>
          <w:rStyle w:val="25"/>
          <w:rFonts w:hint="eastAsia" w:ascii="黑体" w:hAnsi="黑体" w:eastAsia="黑体"/>
          <w:b w:val="0"/>
          <w:color w:val="000000" w:themeColor="text1"/>
          <w14:textFill>
            <w14:solidFill>
              <w14:schemeClr w14:val="tx1"/>
            </w14:solidFill>
          </w14:textFill>
        </w:rPr>
        <w:t>出决算情况说明</w:t>
      </w:r>
      <w:bookmarkEnd w:id="44"/>
      <w:bookmarkEnd w:id="45"/>
      <w:bookmarkEnd w:id="46"/>
      <w:bookmarkEnd w:id="47"/>
    </w:p>
    <w:p>
      <w:pPr>
        <w:pageBreakBefore w:val="0"/>
        <w:kinsoku/>
        <w:wordWrap/>
        <w:overflowPunct/>
        <w:topLinePunct w:val="0"/>
        <w:bidi w:val="0"/>
        <w:spacing w:line="576"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年本年支出合计</w:t>
      </w:r>
      <w:r>
        <w:rPr>
          <w:rFonts w:hint="eastAsia" w:ascii="仿宋_GB2312" w:eastAsia="仿宋_GB2312"/>
          <w:color w:val="000000" w:themeColor="text1"/>
          <w:sz w:val="32"/>
          <w:szCs w:val="32"/>
          <w:lang w:val="en-US" w:eastAsia="zh-CN"/>
          <w14:textFill>
            <w14:solidFill>
              <w14:schemeClr w14:val="tx1"/>
            </w14:solidFill>
          </w14:textFill>
        </w:rPr>
        <w:t>1946.1</w:t>
      </w:r>
      <w:r>
        <w:rPr>
          <w:rFonts w:hint="eastAsia" w:ascii="仿宋_GB2312" w:eastAsia="仿宋_GB2312"/>
          <w:color w:val="000000" w:themeColor="text1"/>
          <w:sz w:val="32"/>
          <w:szCs w:val="32"/>
          <w14:textFill>
            <w14:solidFill>
              <w14:schemeClr w14:val="tx1"/>
            </w14:solidFill>
          </w14:textFill>
        </w:rPr>
        <w:t>万元，其中：基本支出</w:t>
      </w:r>
      <w:r>
        <w:rPr>
          <w:rFonts w:hint="eastAsia" w:ascii="仿宋_GB2312" w:eastAsia="仿宋_GB2312"/>
          <w:color w:val="000000" w:themeColor="text1"/>
          <w:sz w:val="32"/>
          <w:szCs w:val="32"/>
          <w:lang w:val="en-US" w:eastAsia="zh-CN"/>
          <w14:textFill>
            <w14:solidFill>
              <w14:schemeClr w14:val="tx1"/>
            </w14:solidFill>
          </w14:textFill>
        </w:rPr>
        <w:t>1472.22</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75.65</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；项目支出</w:t>
      </w:r>
      <w:r>
        <w:rPr>
          <w:rFonts w:hint="eastAsia" w:ascii="仿宋_GB2312" w:eastAsia="仿宋_GB2312"/>
          <w:color w:val="000000" w:themeColor="text1"/>
          <w:sz w:val="32"/>
          <w:szCs w:val="32"/>
          <w:lang w:val="en-US" w:eastAsia="zh-CN"/>
          <w14:textFill>
            <w14:solidFill>
              <w14:schemeClr w14:val="tx1"/>
            </w14:solidFill>
          </w14:textFill>
        </w:rPr>
        <w:t>473.87</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24.35</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；上缴上级支出</w:t>
      </w:r>
      <w:r>
        <w:rPr>
          <w:rFonts w:hint="eastAsia" w:ascii="仿宋_GB2312" w:eastAsia="仿宋_GB2312"/>
          <w:color w:val="000000" w:themeColor="text1"/>
          <w:sz w:val="36"/>
          <w:szCs w:val="36"/>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；经营支出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；对附属单位补助支出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p>
    <w:p>
      <w:pPr>
        <w:pageBreakBefore w:val="0"/>
        <w:kinsoku/>
        <w:wordWrap/>
        <w:overflowPunct/>
        <w:topLinePunct w:val="0"/>
        <w:bidi w:val="0"/>
        <w:spacing w:line="576" w:lineRule="exact"/>
        <w:ind w:firstLine="640" w:firstLineChars="200"/>
        <w:textAlignment w:val="auto"/>
        <w:outlineLvl w:val="1"/>
        <w:rPr>
          <w:rStyle w:val="25"/>
          <w:rFonts w:ascii="黑体" w:hAnsi="黑体" w:eastAsia="黑体"/>
          <w:b w:val="0"/>
          <w:color w:val="auto"/>
        </w:rPr>
      </w:pPr>
      <w:bookmarkStart w:id="48" w:name="_Toc15396606"/>
      <w:bookmarkStart w:id="49" w:name="_Toc79163613"/>
      <w:bookmarkStart w:id="50" w:name="_Toc79163863"/>
      <w:bookmarkStart w:id="51" w:name="_Toc15377208"/>
      <w:r>
        <w:rPr>
          <w:rFonts w:hint="eastAsia" w:ascii="黑体" w:hAnsi="黑体" w:eastAsia="黑体"/>
          <w:color w:val="auto"/>
          <w:sz w:val="32"/>
          <w:szCs w:val="32"/>
        </w:rPr>
        <w:t>四、财</w:t>
      </w:r>
      <w:r>
        <w:rPr>
          <w:rStyle w:val="25"/>
          <w:rFonts w:hint="eastAsia" w:ascii="黑体" w:hAnsi="黑体" w:eastAsia="黑体"/>
          <w:b w:val="0"/>
          <w:color w:val="auto"/>
        </w:rPr>
        <w:t>政拨款收入支出决算总体情况说明</w:t>
      </w:r>
      <w:bookmarkEnd w:id="48"/>
      <w:bookmarkEnd w:id="49"/>
      <w:bookmarkEnd w:id="50"/>
      <w:bookmarkEnd w:id="51"/>
    </w:p>
    <w:p>
      <w:pPr>
        <w:pageBreakBefore w:val="0"/>
        <w:widowControl/>
        <w:kinsoku/>
        <w:wordWrap/>
        <w:overflowPunct/>
        <w:topLinePunct w:val="0"/>
        <w:bidi w:val="0"/>
        <w:adjustRightInd w:val="0"/>
        <w:snapToGrid w:val="0"/>
        <w:spacing w:line="576" w:lineRule="exact"/>
        <w:ind w:firstLine="640" w:firstLineChars="200"/>
        <w:contextualSpacing/>
        <w:textAlignment w:val="auto"/>
        <w:rPr>
          <w:rFonts w:hint="default" w:ascii="仿宋" w:hAnsi="仿宋" w:eastAsia="仿宋"/>
          <w:color w:val="auto"/>
          <w:sz w:val="32"/>
          <w:szCs w:val="32"/>
          <w:lang w:val="en-US" w:eastAsia="zh-CN"/>
        </w:rPr>
      </w:pPr>
      <w:r>
        <w:rPr>
          <w:rFonts w:ascii="仿宋" w:hAnsi="仿宋" w:eastAsia="仿宋"/>
          <w:color w:val="auto"/>
          <w:sz w:val="32"/>
          <w:szCs w:val="32"/>
        </w:rPr>
        <w:t>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年财政拨款收入</w:t>
      </w:r>
      <w:r>
        <w:rPr>
          <w:rFonts w:hint="eastAsia" w:ascii="仿宋" w:hAnsi="仿宋" w:eastAsia="仿宋"/>
          <w:color w:val="auto"/>
          <w:sz w:val="32"/>
          <w:szCs w:val="32"/>
          <w:lang w:val="en-US" w:eastAsia="zh-CN"/>
        </w:rPr>
        <w:t>1965.25</w:t>
      </w:r>
      <w:r>
        <w:rPr>
          <w:rFonts w:hint="eastAsia" w:ascii="仿宋" w:hAnsi="仿宋" w:eastAsia="仿宋"/>
          <w:color w:val="auto"/>
          <w:sz w:val="32"/>
          <w:szCs w:val="32"/>
        </w:rPr>
        <w:t>万元，财政拨款</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总</w:t>
      </w:r>
      <w:r>
        <w:rPr>
          <w:rFonts w:hint="eastAsia" w:ascii="仿宋_GB2312" w:eastAsia="仿宋_GB2312"/>
          <w:color w:val="auto"/>
          <w:sz w:val="32"/>
          <w:szCs w:val="32"/>
        </w:rPr>
        <w:t>计</w:t>
      </w:r>
      <w:r>
        <w:rPr>
          <w:rFonts w:hint="eastAsia" w:ascii="仿宋_GB2312" w:eastAsia="仿宋_GB2312"/>
          <w:color w:val="auto"/>
          <w:sz w:val="32"/>
          <w:szCs w:val="32"/>
          <w:lang w:val="en-US" w:eastAsia="zh-CN"/>
        </w:rPr>
        <w:t>1946.1</w:t>
      </w:r>
      <w:r>
        <w:rPr>
          <w:rFonts w:hint="eastAsia" w:ascii="仿宋_GB2312" w:eastAsia="仿宋_GB2312"/>
          <w:color w:val="auto"/>
          <w:sz w:val="32"/>
          <w:szCs w:val="32"/>
        </w:rPr>
        <w:t>万元</w:t>
      </w:r>
      <w:r>
        <w:rPr>
          <w:rFonts w:hint="eastAsia" w:ascii="仿宋" w:hAnsi="仿宋" w:eastAsia="仿宋"/>
          <w:color w:val="auto"/>
          <w:sz w:val="32"/>
          <w:szCs w:val="32"/>
        </w:rPr>
        <w:t>。与</w:t>
      </w:r>
      <w:r>
        <w:rPr>
          <w:rFonts w:ascii="仿宋" w:hAnsi="仿宋" w:eastAsia="仿宋"/>
          <w:color w:val="auto"/>
          <w:sz w:val="32"/>
          <w:szCs w:val="32"/>
        </w:rPr>
        <w:t>20</w:t>
      </w:r>
      <w:r>
        <w:rPr>
          <w:rFonts w:hint="eastAsia" w:ascii="仿宋" w:hAnsi="仿宋" w:eastAsia="仿宋"/>
          <w:color w:val="auto"/>
          <w:sz w:val="32"/>
          <w:szCs w:val="32"/>
          <w:lang w:val="en-US" w:eastAsia="zh-CN"/>
        </w:rPr>
        <w:t>21</w:t>
      </w:r>
      <w:r>
        <w:rPr>
          <w:rFonts w:hint="eastAsia" w:ascii="仿宋" w:hAnsi="仿宋" w:eastAsia="仿宋"/>
          <w:color w:val="auto"/>
          <w:sz w:val="32"/>
          <w:szCs w:val="32"/>
        </w:rPr>
        <w:t>年相比，财政拨款收</w:t>
      </w:r>
      <w:r>
        <w:rPr>
          <w:rFonts w:hint="eastAsia" w:ascii="仿宋" w:hAnsi="仿宋" w:eastAsia="仿宋"/>
          <w:color w:val="auto"/>
          <w:sz w:val="32"/>
          <w:szCs w:val="32"/>
          <w:lang w:eastAsia="zh-CN"/>
        </w:rPr>
        <w:t>入增加</w:t>
      </w:r>
      <w:r>
        <w:rPr>
          <w:rFonts w:hint="eastAsia" w:ascii="仿宋" w:hAnsi="仿宋" w:eastAsia="仿宋"/>
          <w:color w:val="auto"/>
          <w:sz w:val="32"/>
          <w:szCs w:val="32"/>
          <w:lang w:val="en-US" w:eastAsia="zh-CN"/>
        </w:rPr>
        <w:t>319.03万元</w:t>
      </w:r>
      <w:r>
        <w:rPr>
          <w:rFonts w:hint="eastAsia" w:ascii="仿宋" w:hAnsi="仿宋" w:eastAsia="仿宋"/>
          <w:color w:val="auto"/>
          <w:sz w:val="32"/>
          <w:szCs w:val="32"/>
        </w:rPr>
        <w:t>、支总计</w:t>
      </w:r>
      <w:r>
        <w:rPr>
          <w:rFonts w:hint="eastAsia" w:ascii="仿宋" w:hAnsi="仿宋" w:eastAsia="仿宋"/>
          <w:color w:val="auto"/>
          <w:sz w:val="32"/>
          <w:szCs w:val="32"/>
          <w:lang w:val="en-US" w:eastAsia="zh-CN"/>
        </w:rPr>
        <w:t>各减少</w:t>
      </w:r>
      <w:r>
        <w:rPr>
          <w:rFonts w:hint="eastAsia" w:ascii="仿宋" w:hAnsi="仿宋" w:eastAsia="仿宋"/>
          <w:color w:val="auto"/>
          <w:sz w:val="32"/>
          <w:szCs w:val="32"/>
        </w:rPr>
        <w:t>各</w:t>
      </w:r>
      <w:r>
        <w:rPr>
          <w:rFonts w:hint="eastAsia" w:ascii="仿宋" w:hAnsi="仿宋" w:eastAsia="仿宋"/>
          <w:color w:val="auto"/>
          <w:sz w:val="32"/>
          <w:szCs w:val="32"/>
          <w:lang w:val="en-US" w:eastAsia="zh-CN"/>
        </w:rPr>
        <w:t>减少85.39万元</w:t>
      </w:r>
      <w:r>
        <w:rPr>
          <w:rFonts w:hint="eastAsia" w:ascii="仿宋" w:hAnsi="仿宋" w:eastAsia="仿宋"/>
          <w:color w:val="auto"/>
          <w:sz w:val="32"/>
          <w:szCs w:val="32"/>
        </w:rPr>
        <w:t>，</w:t>
      </w:r>
      <w:r>
        <w:rPr>
          <w:rFonts w:hint="eastAsia" w:ascii="仿宋" w:hAnsi="仿宋" w:eastAsia="仿宋"/>
          <w:color w:val="auto"/>
          <w:sz w:val="32"/>
          <w:szCs w:val="32"/>
          <w:lang w:val="en-US" w:eastAsia="zh-CN"/>
        </w:rPr>
        <w:t>减少率分别是19.37%、4.2</w:t>
      </w:r>
      <w:r>
        <w:rPr>
          <w:rFonts w:ascii="仿宋" w:hAnsi="仿宋" w:eastAsia="仿宋"/>
          <w:color w:val="auto"/>
          <w:sz w:val="32"/>
          <w:szCs w:val="32"/>
        </w:rPr>
        <w:t>%</w:t>
      </w:r>
      <w:r>
        <w:rPr>
          <w:rFonts w:hint="eastAsia" w:ascii="仿宋" w:hAnsi="仿宋" w:eastAsia="仿宋"/>
          <w:color w:val="auto"/>
          <w:sz w:val="32"/>
          <w:szCs w:val="32"/>
        </w:rPr>
        <w:t>。主要变动原因</w:t>
      </w:r>
      <w:r>
        <w:rPr>
          <w:rFonts w:hint="eastAsia" w:eastAsia="仿宋_GB2312"/>
          <w:color w:val="auto"/>
          <w:sz w:val="32"/>
          <w:szCs w:val="32"/>
          <w:lang w:eastAsia="zh-CN"/>
        </w:rPr>
        <w:t>是</w:t>
      </w:r>
      <w:r>
        <w:rPr>
          <w:rFonts w:hint="eastAsia" w:ascii="仿宋" w:hAnsi="仿宋" w:eastAsia="仿宋"/>
          <w:color w:val="auto"/>
          <w:sz w:val="32"/>
          <w:szCs w:val="32"/>
          <w:lang w:val="en-US" w:eastAsia="zh-CN"/>
        </w:rPr>
        <w:t>2022年收入增加了县级基础性绩效与奖励性目标奖，支出减少了项目</w:t>
      </w:r>
      <w:r>
        <w:rPr>
          <w:rFonts w:hint="eastAsia" w:eastAsia="仿宋_GB2312"/>
          <w:color w:val="auto"/>
          <w:sz w:val="32"/>
          <w:szCs w:val="32"/>
          <w:lang w:val="en-US" w:eastAsia="zh-CN"/>
        </w:rPr>
        <w:t>支出。</w:t>
      </w:r>
    </w:p>
    <w:p>
      <w:pPr>
        <w:pageBreakBefore w:val="0"/>
        <w:kinsoku/>
        <w:wordWrap/>
        <w:overflowPunct/>
        <w:topLinePunct w:val="0"/>
        <w:bidi w:val="0"/>
        <w:spacing w:line="576" w:lineRule="exact"/>
        <w:ind w:firstLine="640" w:firstLineChars="200"/>
        <w:textAlignment w:val="auto"/>
        <w:outlineLvl w:val="1"/>
        <w:rPr>
          <w:rStyle w:val="25"/>
          <w:rFonts w:ascii="黑体" w:hAnsi="黑体" w:eastAsia="黑体"/>
          <w:b w:val="0"/>
          <w:color w:val="auto"/>
        </w:rPr>
      </w:pPr>
      <w:bookmarkStart w:id="52" w:name="_Toc79163614"/>
      <w:bookmarkStart w:id="53" w:name="_Toc15396607"/>
      <w:bookmarkStart w:id="54" w:name="_Toc15377209"/>
      <w:bookmarkStart w:id="55" w:name="_Toc79163864"/>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25"/>
          <w:rFonts w:hint="eastAsia" w:ascii="黑体" w:hAnsi="黑体" w:eastAsia="黑体"/>
          <w:b w:val="0"/>
          <w:color w:val="auto"/>
        </w:rPr>
        <w:t>般公共预算财政拨款支出决算情况说明</w:t>
      </w:r>
      <w:bookmarkEnd w:id="52"/>
      <w:bookmarkEnd w:id="53"/>
      <w:bookmarkEnd w:id="54"/>
      <w:bookmarkEnd w:id="55"/>
    </w:p>
    <w:p>
      <w:pPr>
        <w:pageBreakBefore w:val="0"/>
        <w:kinsoku/>
        <w:wordWrap/>
        <w:overflowPunct/>
        <w:topLinePunct w:val="0"/>
        <w:bidi w:val="0"/>
        <w:spacing w:line="576" w:lineRule="exact"/>
        <w:ind w:firstLine="643" w:firstLineChars="200"/>
        <w:textAlignment w:val="auto"/>
        <w:outlineLvl w:val="2"/>
        <w:rPr>
          <w:rFonts w:ascii="仿宋" w:hAnsi="仿宋" w:eastAsia="仿宋"/>
          <w:b/>
          <w:color w:val="auto"/>
          <w:sz w:val="32"/>
          <w:szCs w:val="32"/>
        </w:rPr>
      </w:pPr>
      <w:bookmarkStart w:id="56" w:name="_Toc79163865"/>
      <w:bookmarkStart w:id="57" w:name="_Toc15377210"/>
      <w:bookmarkStart w:id="58" w:name="_Toc79163615"/>
      <w:r>
        <w:rPr>
          <w:rFonts w:hint="eastAsia" w:ascii="仿宋" w:hAnsi="仿宋" w:eastAsia="仿宋"/>
          <w:b/>
          <w:color w:val="auto"/>
          <w:sz w:val="32"/>
          <w:szCs w:val="32"/>
        </w:rPr>
        <w:t>（一）一般公共预算财政拨款支出决算总体情况</w:t>
      </w:r>
      <w:bookmarkEnd w:id="56"/>
      <w:bookmarkEnd w:id="57"/>
      <w:bookmarkEnd w:id="58"/>
    </w:p>
    <w:p>
      <w:pPr>
        <w:pageBreakBefore w:val="0"/>
        <w:kinsoku/>
        <w:wordWrap/>
        <w:overflowPunct/>
        <w:topLinePunct w:val="0"/>
        <w:bidi w:val="0"/>
        <w:spacing w:line="576" w:lineRule="exact"/>
        <w:ind w:firstLine="640" w:firstLineChars="200"/>
        <w:textAlignment w:val="auto"/>
        <w:rPr>
          <w:rFonts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年一般公共预算财政拨款支出</w:t>
      </w:r>
      <w:r>
        <w:rPr>
          <w:rFonts w:hint="eastAsia" w:ascii="仿宋_GB2312" w:eastAsia="仿宋_GB2312"/>
          <w:color w:val="auto"/>
          <w:sz w:val="32"/>
          <w:szCs w:val="32"/>
          <w:lang w:val="en-US" w:eastAsia="zh-CN"/>
        </w:rPr>
        <w:t>1311.05</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67.37</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w:t>
      </w:r>
      <w:r>
        <w:rPr>
          <w:rFonts w:hint="eastAsia" w:ascii="仿宋" w:hAnsi="仿宋" w:eastAsia="仿宋"/>
          <w:color w:val="auto"/>
          <w:sz w:val="32"/>
          <w:szCs w:val="32"/>
          <w:lang w:val="en-US" w:eastAsia="zh-CN"/>
        </w:rPr>
        <w:t>21</w:t>
      </w:r>
      <w:r>
        <w:rPr>
          <w:rFonts w:hint="eastAsia" w:ascii="仿宋" w:hAnsi="仿宋" w:eastAsia="仿宋"/>
          <w:color w:val="auto"/>
          <w:sz w:val="32"/>
          <w:szCs w:val="32"/>
        </w:rPr>
        <w:t>年相比，一般公共预算财政拨款</w:t>
      </w:r>
      <w:r>
        <w:rPr>
          <w:rFonts w:hint="eastAsia" w:ascii="仿宋" w:hAnsi="仿宋" w:eastAsia="仿宋"/>
          <w:color w:val="auto"/>
          <w:sz w:val="32"/>
          <w:szCs w:val="32"/>
          <w:lang w:val="en-US" w:eastAsia="zh-CN"/>
        </w:rPr>
        <w:t>减少了335.17</w:t>
      </w:r>
      <w:r>
        <w:rPr>
          <w:rFonts w:hint="eastAsia" w:ascii="仿宋" w:hAnsi="仿宋" w:eastAsia="仿宋"/>
          <w:color w:val="auto"/>
          <w:sz w:val="32"/>
          <w:szCs w:val="32"/>
        </w:rPr>
        <w:t>万元，</w:t>
      </w:r>
      <w:r>
        <w:rPr>
          <w:rFonts w:hint="eastAsia" w:ascii="仿宋" w:hAnsi="仿宋" w:eastAsia="仿宋"/>
          <w:color w:val="auto"/>
          <w:sz w:val="32"/>
          <w:szCs w:val="32"/>
          <w:lang w:val="en-US" w:eastAsia="zh-CN"/>
        </w:rPr>
        <w:t>减少20.36</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eastAsia="仿宋_GB2312"/>
          <w:color w:val="auto"/>
          <w:sz w:val="32"/>
          <w:szCs w:val="32"/>
          <w:lang w:val="en-US" w:eastAsia="zh-CN"/>
        </w:rPr>
        <w:t>2022年县级绩效目标奖及2022年法院绩效奖金由县级地方财政保障654.2万元</w:t>
      </w:r>
      <w:r>
        <w:rPr>
          <w:rFonts w:hint="eastAsia" w:ascii="仿宋" w:hAnsi="仿宋" w:eastAsia="仿宋"/>
          <w:color w:val="auto"/>
          <w:sz w:val="32"/>
          <w:szCs w:val="32"/>
          <w:lang w:val="en-US" w:eastAsia="zh-CN"/>
        </w:rPr>
        <w:t>。</w:t>
      </w:r>
    </w:p>
    <w:p>
      <w:pPr>
        <w:pageBreakBefore w:val="0"/>
        <w:kinsoku/>
        <w:wordWrap/>
        <w:overflowPunct/>
        <w:topLinePunct w:val="0"/>
        <w:bidi w:val="0"/>
        <w:spacing w:line="576" w:lineRule="exact"/>
        <w:ind w:firstLine="643" w:firstLineChars="200"/>
        <w:textAlignment w:val="auto"/>
        <w:outlineLvl w:val="2"/>
        <w:rPr>
          <w:rFonts w:ascii="仿宋" w:hAnsi="仿宋" w:eastAsia="仿宋"/>
          <w:b/>
          <w:color w:val="auto"/>
          <w:sz w:val="32"/>
          <w:szCs w:val="32"/>
        </w:rPr>
      </w:pPr>
      <w:bookmarkStart w:id="59" w:name="_Toc79163616"/>
      <w:bookmarkStart w:id="60" w:name="_Toc79163866"/>
      <w:bookmarkStart w:id="61" w:name="_Toc15377211"/>
      <w:r>
        <w:rPr>
          <w:rFonts w:hint="eastAsia" w:ascii="仿宋" w:hAnsi="仿宋" w:eastAsia="仿宋"/>
          <w:b/>
          <w:color w:val="auto"/>
          <w:sz w:val="32"/>
          <w:szCs w:val="32"/>
        </w:rPr>
        <w:t>（二）一般公共预算财政拨款支出决算结构情况</w:t>
      </w:r>
      <w:bookmarkEnd w:id="59"/>
      <w:bookmarkEnd w:id="60"/>
      <w:bookmarkEnd w:id="61"/>
    </w:p>
    <w:p>
      <w:pPr>
        <w:pageBreakBefore w:val="0"/>
        <w:kinsoku/>
        <w:wordWrap/>
        <w:overflowPunct/>
        <w:topLinePunct w:val="0"/>
        <w:bidi w:val="0"/>
        <w:spacing w:line="576" w:lineRule="exact"/>
        <w:ind w:firstLine="640"/>
        <w:textAlignment w:val="auto"/>
        <w:rPr>
          <w:rFonts w:hint="eastAsia"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年一般公共预算财政拨款支出</w:t>
      </w:r>
      <w:r>
        <w:rPr>
          <w:rFonts w:hint="eastAsia" w:ascii="仿宋_GB2312" w:eastAsia="仿宋_GB2312"/>
          <w:color w:val="auto"/>
          <w:sz w:val="32"/>
          <w:szCs w:val="32"/>
          <w:lang w:val="en-US" w:eastAsia="zh-CN"/>
        </w:rPr>
        <w:t>1311.05</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lang w:val="en-US" w:eastAsia="zh-CN"/>
        </w:rPr>
        <w:t>公共安全支出</w:t>
      </w:r>
      <w:r>
        <w:rPr>
          <w:rFonts w:hint="eastAsia" w:ascii="仿宋" w:hAnsi="仿宋" w:eastAsia="仿宋"/>
          <w:color w:val="auto"/>
          <w:sz w:val="32"/>
          <w:szCs w:val="32"/>
          <w:lang w:val="en-US" w:eastAsia="zh-CN"/>
        </w:rPr>
        <w:t>978.03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74.6</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社会保障和就业</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158.13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12.06</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卫生健康支出</w:t>
      </w:r>
      <w:r>
        <w:rPr>
          <w:rFonts w:hint="eastAsia" w:ascii="仿宋" w:hAnsi="仿宋" w:eastAsia="仿宋"/>
          <w:color w:val="auto"/>
          <w:sz w:val="32"/>
          <w:szCs w:val="32"/>
          <w:lang w:val="en-US" w:eastAsia="zh-CN"/>
        </w:rPr>
        <w:t>55.31</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4.22</w:t>
      </w:r>
      <w:r>
        <w:rPr>
          <w:rFonts w:ascii="仿宋" w:hAnsi="仿宋" w:eastAsia="仿宋"/>
          <w:color w:val="auto"/>
          <w:sz w:val="32"/>
          <w:szCs w:val="32"/>
        </w:rPr>
        <w:t>%</w:t>
      </w:r>
      <w:r>
        <w:rPr>
          <w:rFonts w:hint="eastAsia" w:ascii="仿宋" w:hAnsi="仿宋" w:eastAsia="仿宋"/>
          <w:color w:val="auto"/>
          <w:sz w:val="32"/>
          <w:szCs w:val="32"/>
        </w:rPr>
        <w:t>；住房保障支出</w:t>
      </w:r>
      <w:r>
        <w:rPr>
          <w:rFonts w:hint="eastAsia" w:ascii="仿宋" w:hAnsi="仿宋" w:eastAsia="仿宋"/>
          <w:color w:val="auto"/>
          <w:sz w:val="32"/>
          <w:szCs w:val="32"/>
          <w:lang w:val="en-US" w:eastAsia="zh-CN"/>
        </w:rPr>
        <w:t>119.58</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9.12</w:t>
      </w:r>
      <w:r>
        <w:rPr>
          <w:rFonts w:ascii="仿宋" w:hAnsi="仿宋" w:eastAsia="仿宋"/>
          <w:color w:val="auto"/>
          <w:sz w:val="32"/>
          <w:szCs w:val="32"/>
        </w:rPr>
        <w:t>%</w:t>
      </w:r>
      <w:r>
        <w:rPr>
          <w:rFonts w:hint="eastAsia" w:ascii="仿宋" w:hAnsi="仿宋" w:eastAsia="仿宋"/>
          <w:color w:val="auto"/>
          <w:sz w:val="32"/>
          <w:szCs w:val="32"/>
          <w:lang w:eastAsia="zh-CN"/>
        </w:rPr>
        <w:t>。</w:t>
      </w:r>
    </w:p>
    <w:p>
      <w:pPr>
        <w:pageBreakBefore w:val="0"/>
        <w:kinsoku/>
        <w:wordWrap/>
        <w:overflowPunct/>
        <w:topLinePunct w:val="0"/>
        <w:bidi w:val="0"/>
        <w:spacing w:line="576" w:lineRule="exact"/>
        <w:ind w:firstLine="643" w:firstLineChars="200"/>
        <w:textAlignment w:val="auto"/>
        <w:outlineLvl w:val="2"/>
        <w:rPr>
          <w:rFonts w:ascii="仿宋" w:hAnsi="仿宋" w:eastAsia="仿宋"/>
          <w:b/>
          <w:color w:val="auto"/>
          <w:sz w:val="32"/>
          <w:szCs w:val="32"/>
        </w:rPr>
      </w:pPr>
      <w:bookmarkStart w:id="62" w:name="_Toc79163617"/>
      <w:bookmarkStart w:id="63" w:name="_Toc15377212"/>
      <w:bookmarkStart w:id="64" w:name="_Toc79163867"/>
      <w:r>
        <w:rPr>
          <w:rFonts w:hint="eastAsia" w:ascii="仿宋" w:hAnsi="仿宋" w:eastAsia="仿宋"/>
          <w:b/>
          <w:color w:val="auto"/>
          <w:sz w:val="32"/>
          <w:szCs w:val="32"/>
        </w:rPr>
        <w:t>（三）一般公共预算财政拨款支出决算具体情况</w:t>
      </w:r>
      <w:bookmarkEnd w:id="62"/>
      <w:bookmarkEnd w:id="63"/>
      <w:bookmarkEnd w:id="64"/>
    </w:p>
    <w:p>
      <w:pPr>
        <w:pageBreakBefore w:val="0"/>
        <w:kinsoku/>
        <w:wordWrap/>
        <w:overflowPunct/>
        <w:topLinePunct w:val="0"/>
        <w:bidi w:val="0"/>
        <w:spacing w:line="576" w:lineRule="exact"/>
        <w:ind w:firstLine="643" w:firstLineChars="200"/>
        <w:textAlignment w:val="auto"/>
        <w:rPr>
          <w:rFonts w:ascii="仿宋_GB2312" w:eastAsia="仿宋_GB2312"/>
          <w:b/>
          <w:bCs/>
          <w:color w:val="auto"/>
          <w:sz w:val="32"/>
          <w:szCs w:val="32"/>
        </w:rPr>
      </w:pPr>
      <w:bookmarkStart w:id="65" w:name="_Toc15377213"/>
      <w:bookmarkStart w:id="66" w:name="_Toc15377444"/>
      <w:bookmarkStart w:id="67" w:name="_Toc15378460"/>
      <w:r>
        <w:rPr>
          <w:rFonts w:ascii="仿宋_GB2312" w:eastAsia="仿宋_GB2312"/>
          <w:b/>
          <w:bCs/>
          <w:color w:val="auto"/>
          <w:sz w:val="32"/>
          <w:szCs w:val="32"/>
        </w:rPr>
        <w:t>202</w:t>
      </w:r>
      <w:r>
        <w:rPr>
          <w:rFonts w:hint="eastAsia" w:ascii="仿宋_GB2312" w:eastAsia="仿宋_GB2312"/>
          <w:b/>
          <w:bCs/>
          <w:color w:val="auto"/>
          <w:sz w:val="32"/>
          <w:szCs w:val="32"/>
          <w:lang w:val="en-US" w:eastAsia="zh-CN"/>
        </w:rPr>
        <w:t>2</w:t>
      </w:r>
      <w:r>
        <w:rPr>
          <w:rFonts w:hint="eastAsia" w:ascii="仿宋_GB2312" w:eastAsia="仿宋_GB2312"/>
          <w:b/>
          <w:bCs/>
          <w:color w:val="auto"/>
          <w:sz w:val="32"/>
          <w:szCs w:val="32"/>
        </w:rPr>
        <w:t>年一般公共预算支出决算数为</w:t>
      </w:r>
      <w:r>
        <w:rPr>
          <w:rFonts w:hint="eastAsia" w:ascii="仿宋_GB2312" w:eastAsia="仿宋_GB2312"/>
          <w:b/>
          <w:bCs/>
          <w:color w:val="auto"/>
          <w:sz w:val="32"/>
          <w:szCs w:val="32"/>
          <w:lang w:val="en-US" w:eastAsia="zh-CN"/>
        </w:rPr>
        <w:t>1311.05万元</w:t>
      </w:r>
      <w:r>
        <w:rPr>
          <w:rFonts w:hint="eastAsia" w:ascii="仿宋_GB2312" w:eastAsia="仿宋_GB2312"/>
          <w:b/>
          <w:bCs/>
          <w:color w:val="auto"/>
          <w:sz w:val="32"/>
          <w:szCs w:val="32"/>
        </w:rPr>
        <w:t>，完成预算</w:t>
      </w:r>
      <w:r>
        <w:rPr>
          <w:rFonts w:hint="eastAsia" w:ascii="仿宋_GB2312" w:eastAsia="仿宋_GB2312"/>
          <w:b/>
          <w:bCs/>
          <w:color w:val="auto"/>
          <w:sz w:val="32"/>
          <w:szCs w:val="32"/>
          <w:lang w:val="en-US" w:eastAsia="zh-CN"/>
        </w:rPr>
        <w:t>100</w:t>
      </w:r>
      <w:r>
        <w:rPr>
          <w:rFonts w:ascii="仿宋_GB2312" w:eastAsia="仿宋_GB2312"/>
          <w:b/>
          <w:bCs/>
          <w:color w:val="auto"/>
          <w:sz w:val="32"/>
          <w:szCs w:val="32"/>
        </w:rPr>
        <w:t>%</w:t>
      </w:r>
      <w:r>
        <w:rPr>
          <w:rFonts w:hint="eastAsia" w:ascii="仿宋_GB2312" w:eastAsia="仿宋_GB2312"/>
          <w:b/>
          <w:bCs/>
          <w:color w:val="auto"/>
          <w:sz w:val="32"/>
          <w:szCs w:val="32"/>
        </w:rPr>
        <w:t>。其中：</w:t>
      </w:r>
      <w:bookmarkEnd w:id="65"/>
      <w:bookmarkEnd w:id="66"/>
      <w:bookmarkEnd w:id="67"/>
    </w:p>
    <w:p>
      <w:pPr>
        <w:pageBreakBefore w:val="0"/>
        <w:kinsoku/>
        <w:wordWrap/>
        <w:overflowPunct/>
        <w:topLinePunct w:val="0"/>
        <w:bidi w:val="0"/>
        <w:spacing w:line="576" w:lineRule="exact"/>
        <w:ind w:firstLine="630" w:firstLineChars="196"/>
        <w:textAlignment w:val="auto"/>
        <w:rPr>
          <w:rFonts w:hint="eastAsia" w:ascii="仿宋_GB2312" w:eastAsia="仿宋_GB2312"/>
          <w:b/>
          <w:color w:val="auto"/>
          <w:sz w:val="32"/>
          <w:szCs w:val="32"/>
        </w:rPr>
      </w:pPr>
      <w:r>
        <w:rPr>
          <w:rStyle w:val="22"/>
          <w:rFonts w:hint="eastAsia" w:ascii="仿宋_GB2312" w:eastAsia="仿宋_GB2312"/>
          <w:color w:val="auto"/>
          <w:sz w:val="32"/>
          <w:szCs w:val="32"/>
          <w:lang w:val="en-US" w:eastAsia="zh-CN"/>
        </w:rPr>
        <w:t>1</w:t>
      </w:r>
      <w:r>
        <w:rPr>
          <w:rStyle w:val="22"/>
          <w:rFonts w:hint="eastAsia" w:ascii="仿宋_GB2312" w:eastAsia="仿宋_GB2312"/>
          <w:color w:val="auto"/>
          <w:sz w:val="32"/>
          <w:szCs w:val="32"/>
        </w:rPr>
        <w:t>.公共安全支出204:</w:t>
      </w:r>
      <w:r>
        <w:rPr>
          <w:rStyle w:val="22"/>
          <w:rFonts w:hint="eastAsia" w:ascii="仿宋_GB2312" w:eastAsia="仿宋_GB2312"/>
          <w:b w:val="0"/>
          <w:color w:val="auto"/>
          <w:sz w:val="32"/>
          <w:szCs w:val="32"/>
        </w:rPr>
        <w:t xml:space="preserve"> 支出决算为</w:t>
      </w:r>
      <w:r>
        <w:rPr>
          <w:rFonts w:hint="eastAsia" w:ascii="仿宋_GB2312" w:eastAsia="仿宋_GB2312"/>
          <w:color w:val="auto"/>
          <w:sz w:val="32"/>
          <w:szCs w:val="32"/>
          <w:lang w:val="en-US" w:eastAsia="zh-CN"/>
        </w:rPr>
        <w:t>978.03</w:t>
      </w:r>
      <w:r>
        <w:rPr>
          <w:rStyle w:val="22"/>
          <w:rFonts w:hint="eastAsia" w:ascii="仿宋_GB2312" w:eastAsia="仿宋_GB2312"/>
          <w:b w:val="0"/>
          <w:color w:val="auto"/>
          <w:sz w:val="32"/>
          <w:szCs w:val="32"/>
        </w:rPr>
        <w:t>万元，完成预算</w:t>
      </w:r>
      <w:r>
        <w:rPr>
          <w:rStyle w:val="22"/>
          <w:rFonts w:hint="eastAsia" w:ascii="仿宋_GB2312" w:eastAsia="仿宋_GB2312"/>
          <w:b w:val="0"/>
          <w:color w:val="auto"/>
          <w:sz w:val="32"/>
          <w:szCs w:val="32"/>
          <w:lang w:val="en-US" w:eastAsia="zh-CN"/>
        </w:rPr>
        <w:t>100</w:t>
      </w:r>
      <w:r>
        <w:rPr>
          <w:rStyle w:val="22"/>
          <w:rFonts w:hint="eastAsia" w:ascii="仿宋_GB2312" w:eastAsia="仿宋_GB2312"/>
          <w:b w:val="0"/>
          <w:color w:val="auto"/>
          <w:sz w:val="32"/>
          <w:szCs w:val="32"/>
        </w:rPr>
        <w:t>%。</w:t>
      </w:r>
    </w:p>
    <w:p>
      <w:pPr>
        <w:pageBreakBefore w:val="0"/>
        <w:kinsoku/>
        <w:wordWrap/>
        <w:overflowPunct/>
        <w:topLinePunct w:val="0"/>
        <w:bidi w:val="0"/>
        <w:spacing w:line="576" w:lineRule="exact"/>
        <w:ind w:firstLine="643" w:firstLineChars="200"/>
        <w:textAlignment w:val="auto"/>
        <w:rPr>
          <w:rFonts w:hint="eastAsia" w:ascii="仿宋_GB2312" w:eastAsia="仿宋_GB2312"/>
          <w:b/>
          <w:color w:val="auto"/>
          <w:sz w:val="32"/>
          <w:szCs w:val="32"/>
        </w:rPr>
      </w:pPr>
      <w:r>
        <w:rPr>
          <w:rStyle w:val="22"/>
          <w:rFonts w:hint="eastAsia" w:ascii="仿宋_GB2312" w:eastAsia="仿宋_GB2312"/>
          <w:color w:val="auto"/>
          <w:sz w:val="32"/>
          <w:szCs w:val="32"/>
          <w:lang w:val="en-US" w:eastAsia="zh-CN"/>
        </w:rPr>
        <w:t>2</w:t>
      </w:r>
      <w:r>
        <w:rPr>
          <w:rStyle w:val="22"/>
          <w:rFonts w:hint="eastAsia" w:ascii="仿宋_GB2312" w:eastAsia="仿宋_GB2312"/>
          <w:color w:val="auto"/>
          <w:sz w:val="32"/>
          <w:szCs w:val="32"/>
        </w:rPr>
        <w:t>.社会保障和就业208:</w:t>
      </w:r>
      <w:r>
        <w:rPr>
          <w:rStyle w:val="22"/>
          <w:rFonts w:hint="eastAsia" w:ascii="仿宋_GB2312" w:eastAsia="仿宋_GB2312"/>
          <w:b w:val="0"/>
          <w:color w:val="auto"/>
          <w:sz w:val="32"/>
          <w:szCs w:val="32"/>
        </w:rPr>
        <w:t xml:space="preserve"> 支出决算为</w:t>
      </w:r>
      <w:r>
        <w:rPr>
          <w:rFonts w:hint="eastAsia" w:ascii="仿宋_GB2312" w:eastAsia="仿宋_GB2312"/>
          <w:color w:val="auto"/>
          <w:sz w:val="32"/>
          <w:szCs w:val="32"/>
          <w:lang w:val="en-US" w:eastAsia="zh-CN"/>
        </w:rPr>
        <w:t>158.13</w:t>
      </w:r>
      <w:r>
        <w:rPr>
          <w:rStyle w:val="22"/>
          <w:rFonts w:hint="eastAsia" w:ascii="仿宋_GB2312" w:eastAsia="仿宋_GB2312"/>
          <w:b w:val="0"/>
          <w:color w:val="auto"/>
          <w:sz w:val="32"/>
          <w:szCs w:val="32"/>
        </w:rPr>
        <w:t>万元，完成预算100%。</w:t>
      </w:r>
    </w:p>
    <w:p>
      <w:pPr>
        <w:pageBreakBefore w:val="0"/>
        <w:kinsoku/>
        <w:wordWrap/>
        <w:overflowPunct/>
        <w:topLinePunct w:val="0"/>
        <w:bidi w:val="0"/>
        <w:spacing w:line="576" w:lineRule="exact"/>
        <w:ind w:firstLine="643" w:firstLineChars="200"/>
        <w:textAlignment w:val="auto"/>
        <w:rPr>
          <w:rFonts w:hint="eastAsia" w:ascii="仿宋_GB2312" w:eastAsia="仿宋_GB2312"/>
          <w:b/>
          <w:color w:val="auto"/>
          <w:sz w:val="32"/>
          <w:szCs w:val="32"/>
        </w:rPr>
      </w:pPr>
      <w:r>
        <w:rPr>
          <w:rStyle w:val="22"/>
          <w:rFonts w:hint="eastAsia" w:ascii="仿宋_GB2312" w:eastAsia="仿宋_GB2312"/>
          <w:color w:val="auto"/>
          <w:sz w:val="32"/>
          <w:szCs w:val="32"/>
          <w:lang w:val="en-US" w:eastAsia="zh-CN"/>
        </w:rPr>
        <w:t>3</w:t>
      </w:r>
      <w:r>
        <w:rPr>
          <w:rStyle w:val="22"/>
          <w:rFonts w:hint="eastAsia" w:ascii="仿宋_GB2312" w:eastAsia="仿宋_GB2312"/>
          <w:color w:val="auto"/>
          <w:sz w:val="32"/>
          <w:szCs w:val="32"/>
        </w:rPr>
        <w:t>.</w:t>
      </w:r>
      <w:r>
        <w:rPr>
          <w:rStyle w:val="22"/>
          <w:rFonts w:hint="eastAsia" w:ascii="仿宋_GB2312" w:eastAsia="仿宋_GB2312"/>
          <w:color w:val="auto"/>
          <w:sz w:val="32"/>
          <w:szCs w:val="32"/>
          <w:lang w:val="en-US" w:eastAsia="zh-CN"/>
        </w:rPr>
        <w:t>卫生健康支出</w:t>
      </w:r>
      <w:r>
        <w:rPr>
          <w:rStyle w:val="22"/>
          <w:rFonts w:hint="eastAsia" w:ascii="仿宋_GB2312" w:eastAsia="仿宋_GB2312"/>
          <w:color w:val="auto"/>
          <w:sz w:val="32"/>
          <w:szCs w:val="32"/>
        </w:rPr>
        <w:t>210:</w:t>
      </w:r>
      <w:r>
        <w:rPr>
          <w:rStyle w:val="22"/>
          <w:rFonts w:hint="eastAsia" w:ascii="仿宋_GB2312" w:eastAsia="仿宋_GB2312"/>
          <w:b w:val="0"/>
          <w:color w:val="auto"/>
          <w:sz w:val="32"/>
          <w:szCs w:val="32"/>
        </w:rPr>
        <w:t>支出决算为</w:t>
      </w:r>
      <w:r>
        <w:rPr>
          <w:rFonts w:hint="eastAsia" w:ascii="仿宋_GB2312" w:eastAsia="仿宋_GB2312"/>
          <w:color w:val="auto"/>
          <w:sz w:val="32"/>
          <w:szCs w:val="32"/>
          <w:lang w:val="en-US" w:eastAsia="zh-CN"/>
        </w:rPr>
        <w:t>55.31</w:t>
      </w:r>
      <w:r>
        <w:rPr>
          <w:rStyle w:val="22"/>
          <w:rFonts w:hint="eastAsia" w:ascii="仿宋_GB2312" w:eastAsia="仿宋_GB2312"/>
          <w:b w:val="0"/>
          <w:color w:val="auto"/>
          <w:sz w:val="32"/>
          <w:szCs w:val="32"/>
        </w:rPr>
        <w:t>万元，完成预算100%。</w:t>
      </w:r>
    </w:p>
    <w:p>
      <w:pPr>
        <w:pageBreakBefore w:val="0"/>
        <w:kinsoku/>
        <w:wordWrap/>
        <w:overflowPunct/>
        <w:topLinePunct w:val="0"/>
        <w:bidi w:val="0"/>
        <w:spacing w:line="576" w:lineRule="exact"/>
        <w:ind w:firstLine="643" w:firstLineChars="200"/>
        <w:textAlignment w:val="auto"/>
        <w:rPr>
          <w:rFonts w:hint="eastAsia" w:ascii="仿宋_GB2312" w:eastAsia="仿宋_GB2312"/>
          <w:b/>
          <w:color w:val="auto"/>
          <w:sz w:val="32"/>
          <w:szCs w:val="32"/>
        </w:rPr>
      </w:pPr>
      <w:r>
        <w:rPr>
          <w:rStyle w:val="22"/>
          <w:rFonts w:hint="eastAsia" w:ascii="仿宋_GB2312" w:eastAsia="仿宋_GB2312"/>
          <w:color w:val="auto"/>
          <w:sz w:val="32"/>
          <w:szCs w:val="32"/>
          <w:lang w:val="en-US" w:eastAsia="zh-CN"/>
        </w:rPr>
        <w:t>4</w:t>
      </w:r>
      <w:r>
        <w:rPr>
          <w:rStyle w:val="22"/>
          <w:rFonts w:hint="eastAsia" w:ascii="仿宋_GB2312" w:eastAsia="仿宋_GB2312"/>
          <w:color w:val="auto"/>
          <w:sz w:val="32"/>
          <w:szCs w:val="32"/>
        </w:rPr>
        <w:t>.住房保障支出221:</w:t>
      </w:r>
      <w:r>
        <w:rPr>
          <w:rStyle w:val="22"/>
          <w:rFonts w:hint="eastAsia" w:ascii="仿宋_GB2312" w:eastAsia="仿宋_GB2312"/>
          <w:b w:val="0"/>
          <w:color w:val="auto"/>
          <w:sz w:val="32"/>
          <w:szCs w:val="32"/>
        </w:rPr>
        <w:t>支出决算为</w:t>
      </w:r>
      <w:r>
        <w:rPr>
          <w:rFonts w:hint="eastAsia" w:ascii="仿宋_GB2312" w:eastAsia="仿宋_GB2312"/>
          <w:color w:val="auto"/>
          <w:sz w:val="32"/>
          <w:szCs w:val="32"/>
          <w:lang w:val="en-US" w:eastAsia="zh-CN"/>
        </w:rPr>
        <w:t>119.58</w:t>
      </w:r>
      <w:r>
        <w:rPr>
          <w:rStyle w:val="22"/>
          <w:rFonts w:hint="eastAsia" w:ascii="仿宋_GB2312" w:eastAsia="仿宋_GB2312"/>
          <w:b w:val="0"/>
          <w:color w:val="auto"/>
          <w:sz w:val="32"/>
          <w:szCs w:val="32"/>
        </w:rPr>
        <w:t>万元，完成预算100%。</w:t>
      </w:r>
    </w:p>
    <w:p>
      <w:pPr>
        <w:pageBreakBefore w:val="0"/>
        <w:tabs>
          <w:tab w:val="right" w:pos="8306"/>
        </w:tabs>
        <w:kinsoku/>
        <w:wordWrap/>
        <w:overflowPunct/>
        <w:topLinePunct w:val="0"/>
        <w:bidi w:val="0"/>
        <w:spacing w:line="576" w:lineRule="exact"/>
        <w:ind w:firstLine="640"/>
        <w:textAlignment w:val="auto"/>
        <w:outlineLvl w:val="1"/>
        <w:rPr>
          <w:rStyle w:val="25"/>
          <w:color w:val="auto"/>
        </w:rPr>
      </w:pPr>
      <w:bookmarkStart w:id="68" w:name="_Toc15396608"/>
      <w:bookmarkStart w:id="69" w:name="_Toc79163618"/>
      <w:bookmarkStart w:id="70" w:name="_Toc79163868"/>
      <w:bookmarkStart w:id="71" w:name="_Toc15377214"/>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5"/>
          <w:rFonts w:hint="eastAsia" w:ascii="黑体" w:hAnsi="黑体" w:eastAsia="黑体"/>
          <w:b w:val="0"/>
          <w:color w:val="auto"/>
        </w:rPr>
        <w:t>般公共预算财政拨款基本支出决算情况说明</w:t>
      </w:r>
      <w:bookmarkEnd w:id="68"/>
      <w:bookmarkEnd w:id="69"/>
      <w:bookmarkEnd w:id="70"/>
      <w:bookmarkEnd w:id="71"/>
      <w:r>
        <w:rPr>
          <w:rStyle w:val="25"/>
          <w:rFonts w:ascii="黑体" w:hAnsi="黑体" w:eastAsia="黑体"/>
          <w:b w:val="0"/>
          <w:color w:val="auto"/>
        </w:rPr>
        <w:tab/>
      </w:r>
    </w:p>
    <w:p>
      <w:pPr>
        <w:pageBreakBefore w:val="0"/>
        <w:kinsoku/>
        <w:wordWrap/>
        <w:overflowPunct/>
        <w:topLinePunct w:val="0"/>
        <w:bidi w:val="0"/>
        <w:spacing w:line="576" w:lineRule="exact"/>
        <w:ind w:firstLine="645"/>
        <w:textAlignment w:val="auto"/>
        <w:rPr>
          <w:rFonts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1167.78</w:t>
      </w:r>
      <w:r>
        <w:rPr>
          <w:rFonts w:hint="eastAsia" w:ascii="仿宋" w:hAnsi="仿宋" w:eastAsia="仿宋"/>
          <w:color w:val="auto"/>
          <w:sz w:val="32"/>
          <w:szCs w:val="32"/>
        </w:rPr>
        <w:t>万元，其中：</w:t>
      </w:r>
    </w:p>
    <w:p>
      <w:pPr>
        <w:pageBreakBefore w:val="0"/>
        <w:kinsoku/>
        <w:wordWrap/>
        <w:overflowPunct/>
        <w:topLinePunct w:val="0"/>
        <w:bidi w:val="0"/>
        <w:spacing w:line="576" w:lineRule="exact"/>
        <w:ind w:firstLine="645"/>
        <w:textAlignment w:val="auto"/>
        <w:rPr>
          <w:rFonts w:hint="eastAsia" w:ascii="仿宋" w:hAnsi="仿宋" w:eastAsia="仿宋"/>
          <w:color w:val="auto"/>
          <w:sz w:val="32"/>
          <w:szCs w:val="32"/>
          <w:lang w:eastAsia="zh-CN"/>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1067.23</w:t>
      </w:r>
      <w:r>
        <w:rPr>
          <w:rFonts w:hint="eastAsia" w:ascii="仿宋" w:hAnsi="仿宋" w:eastAsia="仿宋"/>
          <w:color w:val="auto"/>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ageBreakBefore w:val="0"/>
        <w:kinsoku/>
        <w:wordWrap/>
        <w:overflowPunct/>
        <w:topLinePunct w:val="0"/>
        <w:bidi w:val="0"/>
        <w:spacing w:line="576" w:lineRule="exact"/>
        <w:ind w:firstLine="645"/>
        <w:textAlignment w:val="auto"/>
        <w:rPr>
          <w:rFonts w:ascii="仿宋" w:hAnsi="仿宋" w:eastAsia="仿宋"/>
          <w:color w:val="auto"/>
          <w:sz w:val="32"/>
          <w:szCs w:val="32"/>
        </w:rPr>
      </w:pPr>
      <w:r>
        <w:rPr>
          <w:rFonts w:hint="eastAsia" w:ascii="仿宋" w:hAnsi="仿宋" w:eastAsia="仿宋"/>
          <w:color w:val="auto"/>
          <w:sz w:val="32"/>
          <w:szCs w:val="32"/>
        </w:rPr>
        <w:t>　　日常公用经费</w:t>
      </w:r>
      <w:r>
        <w:rPr>
          <w:rFonts w:hint="eastAsia" w:ascii="仿宋" w:hAnsi="仿宋" w:eastAsia="仿宋"/>
          <w:color w:val="auto"/>
          <w:sz w:val="32"/>
          <w:szCs w:val="32"/>
          <w:lang w:val="en-US" w:eastAsia="zh-CN"/>
        </w:rPr>
        <w:t>100.55</w:t>
      </w:r>
      <w:r>
        <w:rPr>
          <w:rFonts w:hint="eastAsia" w:ascii="仿宋" w:hAnsi="仿宋" w:eastAsia="仿宋"/>
          <w:color w:val="auto"/>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spacing w:line="576" w:lineRule="exact"/>
        <w:ind w:firstLine="640"/>
        <w:textAlignment w:val="auto"/>
        <w:outlineLvl w:val="1"/>
        <w:rPr>
          <w:rStyle w:val="25"/>
          <w:rFonts w:ascii="黑体" w:hAnsi="黑体" w:eastAsia="黑体"/>
          <w:b w:val="0"/>
          <w:color w:val="auto"/>
        </w:rPr>
      </w:pPr>
      <w:bookmarkStart w:id="72" w:name="_Toc15396609"/>
      <w:bookmarkStart w:id="73" w:name="_Toc79163619"/>
      <w:bookmarkStart w:id="74" w:name="_Toc79163869"/>
      <w:bookmarkStart w:id="75" w:name="_Toc15377215"/>
      <w:r>
        <w:rPr>
          <w:rFonts w:hint="eastAsia" w:ascii="黑体" w:eastAsia="黑体"/>
          <w:color w:val="auto"/>
          <w:sz w:val="32"/>
          <w:szCs w:val="32"/>
        </w:rPr>
        <w:t>七、</w:t>
      </w:r>
      <w:r>
        <w:rPr>
          <w:rStyle w:val="25"/>
          <w:rFonts w:hint="eastAsia" w:ascii="黑体" w:hAnsi="黑体" w:eastAsia="黑体"/>
          <w:color w:val="auto"/>
        </w:rPr>
        <w:t>“</w:t>
      </w:r>
      <w:r>
        <w:rPr>
          <w:rStyle w:val="25"/>
          <w:rFonts w:hint="eastAsia" w:ascii="黑体" w:hAnsi="黑体" w:eastAsia="黑体"/>
          <w:b w:val="0"/>
          <w:color w:val="auto"/>
        </w:rPr>
        <w:t>三公”经费财政拨款支出决算情况说明</w:t>
      </w:r>
      <w:bookmarkEnd w:id="72"/>
      <w:bookmarkEnd w:id="73"/>
      <w:bookmarkEnd w:id="74"/>
      <w:bookmarkEnd w:id="75"/>
    </w:p>
    <w:p>
      <w:pPr>
        <w:pageBreakBefore w:val="0"/>
        <w:kinsoku/>
        <w:wordWrap/>
        <w:overflowPunct/>
        <w:topLinePunct w:val="0"/>
        <w:bidi w:val="0"/>
        <w:spacing w:line="576" w:lineRule="exact"/>
        <w:ind w:firstLine="640"/>
        <w:textAlignment w:val="auto"/>
        <w:outlineLvl w:val="2"/>
        <w:rPr>
          <w:rFonts w:ascii="仿宋" w:hAnsi="仿宋" w:eastAsia="仿宋"/>
          <w:b/>
          <w:color w:val="auto"/>
          <w:sz w:val="32"/>
          <w:szCs w:val="32"/>
        </w:rPr>
      </w:pPr>
      <w:bookmarkStart w:id="76" w:name="_Toc79163870"/>
      <w:bookmarkStart w:id="77" w:name="_Toc15377216"/>
      <w:bookmarkStart w:id="78" w:name="_Toc79163620"/>
      <w:r>
        <w:rPr>
          <w:rFonts w:hint="eastAsia" w:ascii="仿宋" w:hAnsi="仿宋" w:eastAsia="仿宋"/>
          <w:b/>
          <w:color w:val="auto"/>
          <w:sz w:val="32"/>
          <w:szCs w:val="32"/>
        </w:rPr>
        <w:t>（一）“三公”经费财政拨款支出决算总体情况说明</w:t>
      </w:r>
      <w:bookmarkEnd w:id="76"/>
      <w:bookmarkEnd w:id="77"/>
      <w:bookmarkEnd w:id="78"/>
    </w:p>
    <w:p>
      <w:pPr>
        <w:pageBreakBefore w:val="0"/>
        <w:kinsoku/>
        <w:wordWrap/>
        <w:overflowPunct/>
        <w:topLinePunct w:val="0"/>
        <w:bidi w:val="0"/>
        <w:spacing w:line="576" w:lineRule="exact"/>
        <w:ind w:firstLine="640"/>
        <w:textAlignment w:val="auto"/>
        <w:rPr>
          <w:rFonts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年“三公”经费财政拨款支出决算为</w:t>
      </w:r>
      <w:r>
        <w:rPr>
          <w:rFonts w:hint="eastAsia" w:ascii="仿宋" w:hAnsi="仿宋" w:eastAsia="仿宋"/>
          <w:color w:val="auto"/>
          <w:sz w:val="32"/>
          <w:szCs w:val="32"/>
          <w:lang w:val="en-US" w:eastAsia="zh-CN"/>
        </w:rPr>
        <w:t>62.43</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w:t>
      </w:r>
    </w:p>
    <w:p>
      <w:pPr>
        <w:pageBreakBefore w:val="0"/>
        <w:kinsoku/>
        <w:wordWrap/>
        <w:overflowPunct/>
        <w:topLinePunct w:val="0"/>
        <w:bidi w:val="0"/>
        <w:spacing w:line="576" w:lineRule="exact"/>
        <w:ind w:firstLine="640"/>
        <w:textAlignment w:val="auto"/>
        <w:outlineLvl w:val="2"/>
        <w:rPr>
          <w:rFonts w:ascii="仿宋" w:hAnsi="仿宋" w:eastAsia="仿宋"/>
          <w:b/>
          <w:color w:val="auto"/>
          <w:sz w:val="32"/>
          <w:szCs w:val="32"/>
        </w:rPr>
      </w:pPr>
      <w:bookmarkStart w:id="79" w:name="_Toc79163621"/>
      <w:bookmarkStart w:id="80" w:name="_Toc15377217"/>
      <w:bookmarkStart w:id="81" w:name="_Toc79163871"/>
      <w:r>
        <w:rPr>
          <w:rFonts w:hint="eastAsia" w:ascii="仿宋" w:hAnsi="仿宋" w:eastAsia="仿宋"/>
          <w:b/>
          <w:color w:val="auto"/>
          <w:sz w:val="32"/>
          <w:szCs w:val="32"/>
        </w:rPr>
        <w:t>（二）“三公”经费财政拨款支出决算具体情况说明</w:t>
      </w:r>
      <w:bookmarkEnd w:id="79"/>
      <w:bookmarkEnd w:id="80"/>
      <w:bookmarkEnd w:id="81"/>
    </w:p>
    <w:p>
      <w:pPr>
        <w:pageBreakBefore w:val="0"/>
        <w:kinsoku/>
        <w:wordWrap/>
        <w:overflowPunct/>
        <w:topLinePunct w:val="0"/>
        <w:bidi w:val="0"/>
        <w:spacing w:line="576" w:lineRule="exact"/>
        <w:ind w:firstLine="640"/>
        <w:textAlignment w:val="auto"/>
        <w:rPr>
          <w:rFonts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年“三公”经费财政拨款支出决算中，因公出国（境）费支出决算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；公务用车购置及运行维护费支出决算</w:t>
      </w:r>
      <w:r>
        <w:rPr>
          <w:rFonts w:hint="eastAsia" w:ascii="仿宋" w:hAnsi="仿宋" w:eastAsia="仿宋"/>
          <w:color w:val="auto"/>
          <w:sz w:val="32"/>
          <w:szCs w:val="32"/>
          <w:lang w:val="en-US" w:eastAsia="zh-CN"/>
        </w:rPr>
        <w:t>60.76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97.33</w:t>
      </w:r>
      <w:r>
        <w:rPr>
          <w:rFonts w:ascii="仿宋" w:hAnsi="仿宋" w:eastAsia="仿宋"/>
          <w:color w:val="auto"/>
          <w:sz w:val="32"/>
          <w:szCs w:val="32"/>
        </w:rPr>
        <w:t>%</w:t>
      </w:r>
      <w:r>
        <w:rPr>
          <w:rFonts w:hint="eastAsia" w:ascii="仿宋" w:hAnsi="仿宋" w:eastAsia="仿宋"/>
          <w:color w:val="auto"/>
          <w:sz w:val="32"/>
          <w:szCs w:val="32"/>
        </w:rPr>
        <w:t>；公务接待费支出决算</w:t>
      </w:r>
      <w:r>
        <w:rPr>
          <w:rFonts w:hint="eastAsia" w:ascii="仿宋" w:hAnsi="仿宋" w:eastAsia="仿宋"/>
          <w:color w:val="auto"/>
          <w:sz w:val="32"/>
          <w:szCs w:val="32"/>
          <w:lang w:val="en-US" w:eastAsia="zh-CN"/>
        </w:rPr>
        <w:t>1.67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2.67</w:t>
      </w:r>
      <w:r>
        <w:rPr>
          <w:rFonts w:ascii="仿宋" w:hAnsi="仿宋" w:eastAsia="仿宋"/>
          <w:color w:val="auto"/>
          <w:sz w:val="32"/>
          <w:szCs w:val="32"/>
        </w:rPr>
        <w:t>%</w:t>
      </w:r>
      <w:r>
        <w:rPr>
          <w:rFonts w:hint="eastAsia" w:ascii="仿宋" w:hAnsi="仿宋" w:eastAsia="仿宋"/>
          <w:color w:val="auto"/>
          <w:sz w:val="32"/>
          <w:szCs w:val="32"/>
        </w:rPr>
        <w:t>。</w:t>
      </w:r>
    </w:p>
    <w:p>
      <w:pPr>
        <w:pageBreakBefore w:val="0"/>
        <w:kinsoku/>
        <w:wordWrap/>
        <w:overflowPunct/>
        <w:topLinePunct w:val="0"/>
        <w:bidi w:val="0"/>
        <w:spacing w:line="576" w:lineRule="exact"/>
        <w:ind w:firstLine="640"/>
        <w:textAlignment w:val="auto"/>
        <w:rPr>
          <w:rFonts w:ascii="仿宋_GB2312" w:eastAsia="仿宋_GB2312"/>
          <w:b/>
          <w:color w:val="auto"/>
          <w:sz w:val="32"/>
          <w:szCs w:val="32"/>
        </w:rPr>
      </w:pPr>
      <w:r>
        <w:rPr>
          <w:rFonts w:ascii="仿宋_GB2312" w:eastAsia="仿宋_GB2312"/>
          <w:b/>
          <w:color w:val="auto"/>
          <w:sz w:val="32"/>
          <w:szCs w:val="32"/>
        </w:rPr>
        <w:t>1.</w:t>
      </w:r>
      <w:r>
        <w:rPr>
          <w:rFonts w:hint="eastAsia" w:ascii="仿宋_GB2312" w:eastAsia="仿宋_GB2312"/>
          <w:b/>
          <w:color w:val="auto"/>
          <w:sz w:val="32"/>
          <w:szCs w:val="32"/>
        </w:rPr>
        <w:t>因公出国（境）经费支出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Style w:val="22"/>
          <w:rFonts w:hint="eastAsia" w:ascii="仿宋" w:hAnsi="仿宋" w:eastAsia="仿宋"/>
          <w:b w:val="0"/>
          <w:bCs/>
          <w:color w:val="auto"/>
          <w:sz w:val="32"/>
          <w:szCs w:val="32"/>
        </w:rPr>
        <w:t>完成预算</w:t>
      </w:r>
      <w:r>
        <w:rPr>
          <w:rStyle w:val="22"/>
          <w:rFonts w:hint="eastAsia" w:ascii="仿宋" w:hAnsi="仿宋" w:eastAsia="仿宋"/>
          <w:b w:val="0"/>
          <w:bCs/>
          <w:color w:val="auto"/>
          <w:sz w:val="32"/>
          <w:szCs w:val="32"/>
          <w:lang w:val="en-US" w:eastAsia="zh-CN"/>
        </w:rPr>
        <w:t>0</w:t>
      </w:r>
      <w:r>
        <w:rPr>
          <w:rStyle w:val="22"/>
          <w:rFonts w:ascii="仿宋" w:hAnsi="仿宋" w:eastAsia="仿宋"/>
          <w:b w:val="0"/>
          <w:bCs/>
          <w:color w:val="auto"/>
          <w:sz w:val="32"/>
          <w:szCs w:val="32"/>
        </w:rPr>
        <w:t>%</w:t>
      </w:r>
      <w:r>
        <w:rPr>
          <w:rStyle w:val="22"/>
          <w:rFonts w:hint="eastAsia" w:ascii="仿宋" w:hAnsi="仿宋" w:eastAsia="仿宋"/>
          <w:b w:val="0"/>
          <w:bCs/>
          <w:color w:val="auto"/>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人。因公出国（境）支出决算比</w:t>
      </w:r>
      <w:r>
        <w:rPr>
          <w:rFonts w:ascii="仿宋_GB2312" w:eastAsia="仿宋_GB2312"/>
          <w:color w:val="auto"/>
          <w:sz w:val="32"/>
          <w:szCs w:val="32"/>
        </w:rPr>
        <w:t>20</w:t>
      </w:r>
      <w:r>
        <w:rPr>
          <w:rFonts w:hint="eastAsia" w:ascii="仿宋_GB2312" w:eastAsia="仿宋_GB2312"/>
          <w:color w:val="auto"/>
          <w:sz w:val="32"/>
          <w:szCs w:val="32"/>
          <w:lang w:val="en-US" w:eastAsia="zh-CN"/>
        </w:rPr>
        <w:t>21</w:t>
      </w:r>
      <w:r>
        <w:rPr>
          <w:rFonts w:hint="eastAsia" w:ascii="仿宋_GB2312" w:eastAsia="仿宋_GB2312"/>
          <w:color w:val="auto"/>
          <w:sz w:val="32"/>
          <w:szCs w:val="32"/>
        </w:rPr>
        <w:t>年增加</w:t>
      </w:r>
      <w:r>
        <w:rPr>
          <w:rFonts w:ascii="仿宋_GB2312" w:eastAsia="仿宋_GB2312"/>
          <w:color w:val="auto"/>
          <w:sz w:val="32"/>
          <w:szCs w:val="32"/>
        </w:rPr>
        <w:t>/</w:t>
      </w:r>
      <w:r>
        <w:rPr>
          <w:rFonts w:hint="eastAsia" w:ascii="仿宋_GB2312" w:eastAsia="仿宋_GB2312"/>
          <w:color w:val="auto"/>
          <w:sz w:val="32"/>
          <w:szCs w:val="32"/>
        </w:rPr>
        <w:t>减少</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万元，增长</w:t>
      </w:r>
      <w:r>
        <w:rPr>
          <w:rFonts w:ascii="仿宋_GB2312" w:eastAsia="仿宋_GB2312"/>
          <w:color w:val="auto"/>
          <w:sz w:val="32"/>
          <w:szCs w:val="32"/>
        </w:rPr>
        <w:t>/</w:t>
      </w:r>
      <w:r>
        <w:rPr>
          <w:rFonts w:hint="eastAsia" w:ascii="仿宋_GB2312" w:eastAsia="仿宋_GB2312"/>
          <w:color w:val="auto"/>
          <w:sz w:val="32"/>
          <w:szCs w:val="32"/>
        </w:rPr>
        <w:t>下降</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w:t>
      </w:r>
    </w:p>
    <w:p>
      <w:pPr>
        <w:pageBreakBefore w:val="0"/>
        <w:kinsoku/>
        <w:wordWrap/>
        <w:overflowPunct/>
        <w:topLinePunct w:val="0"/>
        <w:bidi w:val="0"/>
        <w:spacing w:line="576" w:lineRule="exact"/>
        <w:ind w:firstLine="640"/>
        <w:textAlignment w:val="auto"/>
        <w:rPr>
          <w:rFonts w:ascii="仿宋_GB2312" w:eastAsia="仿宋_GB2312"/>
          <w:b/>
          <w:color w:val="auto"/>
          <w:sz w:val="32"/>
          <w:szCs w:val="32"/>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hint="eastAsia" w:ascii="仿宋_GB2312" w:eastAsia="仿宋_GB2312"/>
          <w:color w:val="auto"/>
          <w:sz w:val="32"/>
          <w:szCs w:val="32"/>
          <w:lang w:val="en-US" w:eastAsia="zh-CN"/>
        </w:rPr>
        <w:t>60.76</w:t>
      </w:r>
      <w:r>
        <w:rPr>
          <w:rFonts w:hint="eastAsia" w:ascii="仿宋_GB2312" w:eastAsia="仿宋_GB2312"/>
          <w:color w:val="auto"/>
          <w:sz w:val="32"/>
          <w:szCs w:val="32"/>
        </w:rPr>
        <w:t>万元</w:t>
      </w:r>
      <w:r>
        <w:rPr>
          <w:rFonts w:ascii="仿宋_GB2312" w:eastAsia="仿宋_GB2312"/>
          <w:color w:val="auto"/>
          <w:sz w:val="32"/>
          <w:szCs w:val="32"/>
        </w:rPr>
        <w:t>,</w:t>
      </w:r>
      <w:r>
        <w:rPr>
          <w:rStyle w:val="22"/>
          <w:rFonts w:hint="eastAsia" w:ascii="仿宋" w:hAnsi="仿宋" w:eastAsia="仿宋"/>
          <w:b w:val="0"/>
          <w:bCs/>
          <w:color w:val="auto"/>
          <w:sz w:val="32"/>
          <w:szCs w:val="32"/>
        </w:rPr>
        <w:t>完成预算</w:t>
      </w:r>
      <w:r>
        <w:rPr>
          <w:rStyle w:val="22"/>
          <w:rFonts w:hint="eastAsia" w:ascii="仿宋" w:hAnsi="仿宋" w:eastAsia="仿宋"/>
          <w:b w:val="0"/>
          <w:bCs/>
          <w:color w:val="auto"/>
          <w:sz w:val="32"/>
          <w:szCs w:val="32"/>
          <w:lang w:val="en-US" w:eastAsia="zh-CN"/>
        </w:rPr>
        <w:t>100</w:t>
      </w:r>
      <w:r>
        <w:rPr>
          <w:rStyle w:val="22"/>
          <w:rFonts w:ascii="仿宋" w:hAnsi="仿宋" w:eastAsia="仿宋"/>
          <w:b w:val="0"/>
          <w:bCs/>
          <w:color w:val="auto"/>
          <w:sz w:val="32"/>
          <w:szCs w:val="32"/>
        </w:rPr>
        <w:t>%</w:t>
      </w:r>
      <w:r>
        <w:rPr>
          <w:rStyle w:val="22"/>
          <w:rFonts w:hint="eastAsia" w:ascii="仿宋" w:hAnsi="仿宋" w:eastAsia="仿宋"/>
          <w:b w:val="0"/>
          <w:bCs/>
          <w:color w:val="auto"/>
          <w:sz w:val="32"/>
          <w:szCs w:val="32"/>
        </w:rPr>
        <w:t>。</w:t>
      </w:r>
      <w:r>
        <w:rPr>
          <w:rFonts w:hint="eastAsia" w:ascii="仿宋_GB2312" w:eastAsia="仿宋_GB2312"/>
          <w:color w:val="auto"/>
          <w:sz w:val="32"/>
          <w:szCs w:val="32"/>
        </w:rPr>
        <w:t>公务用车购置及运行维护费支出决算比</w:t>
      </w:r>
      <w:r>
        <w:rPr>
          <w:rFonts w:hint="eastAsia" w:ascii="仿宋_GB2312" w:eastAsia="仿宋_GB2312"/>
          <w:color w:val="auto"/>
          <w:sz w:val="32"/>
          <w:szCs w:val="32"/>
          <w:lang w:val="en-US" w:eastAsia="zh-CN"/>
        </w:rPr>
        <w:t>2021</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增加2.89</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增加5</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案件数量增多，派车出差办案随之增加</w:t>
      </w:r>
      <w:r>
        <w:rPr>
          <w:rFonts w:hint="eastAsia" w:ascii="仿宋_GB2312" w:eastAsia="仿宋_GB2312"/>
          <w:color w:val="auto"/>
          <w:sz w:val="32"/>
          <w:szCs w:val="32"/>
        </w:rPr>
        <w:t>。</w:t>
      </w:r>
    </w:p>
    <w:p>
      <w:pPr>
        <w:pageBreakBefore w:val="0"/>
        <w:kinsoku/>
        <w:wordWrap/>
        <w:overflowPunct/>
        <w:topLinePunct w:val="0"/>
        <w:bidi w:val="0"/>
        <w:spacing w:line="576" w:lineRule="exact"/>
        <w:ind w:firstLine="640" w:firstLineChars="200"/>
        <w:textAlignment w:val="auto"/>
        <w:rPr>
          <w:rFonts w:ascii="仿宋_GB2312" w:eastAsia="仿宋_GB2312"/>
          <w:b/>
          <w:color w:val="auto"/>
          <w:sz w:val="32"/>
          <w:szCs w:val="32"/>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万元。全年按规定更新购置公务用车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万元，越野车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万元，载客汽车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万元。截至</w:t>
      </w:r>
      <w:r>
        <w:rPr>
          <w:rFonts w:ascii="仿宋_GB2312" w:eastAsia="仿宋_GB2312"/>
          <w:color w:val="auto"/>
          <w:sz w:val="32"/>
          <w:szCs w:val="32"/>
        </w:rPr>
        <w:t>202</w:t>
      </w:r>
      <w:r>
        <w:rPr>
          <w:rFonts w:hint="eastAsia" w:ascii="仿宋_GB2312" w:eastAsia="仿宋_GB2312"/>
          <w:color w:val="auto"/>
          <w:sz w:val="32"/>
          <w:szCs w:val="32"/>
          <w:lang w:val="en-US" w:eastAsia="zh-CN"/>
        </w:rPr>
        <w:t>2年末</w:t>
      </w:r>
      <w:r>
        <w:rPr>
          <w:rFonts w:hint="eastAsia" w:ascii="仿宋_GB2312" w:eastAsia="仿宋_GB2312"/>
          <w:color w:val="auto"/>
          <w:sz w:val="32"/>
          <w:szCs w:val="32"/>
        </w:rPr>
        <w:t>，单位共有公务用车</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辆、越野车</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辆、载客汽车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w:t>
      </w:r>
    </w:p>
    <w:p>
      <w:pPr>
        <w:pageBreakBefore w:val="0"/>
        <w:kinsoku/>
        <w:wordWrap/>
        <w:overflowPunct/>
        <w:topLinePunct w:val="0"/>
        <w:bidi w:val="0"/>
        <w:spacing w:line="576" w:lineRule="exact"/>
        <w:ind w:firstLine="640"/>
        <w:textAlignment w:val="auto"/>
        <w:rPr>
          <w:rFonts w:ascii="仿宋_GB2312" w:eastAsia="仿宋_GB2312"/>
          <w:color w:val="auto"/>
          <w:sz w:val="32"/>
          <w:szCs w:val="32"/>
        </w:rPr>
      </w:pPr>
      <w:r>
        <w:rPr>
          <w:rFonts w:hint="eastAsia" w:ascii="仿宋_GB2312" w:eastAsia="仿宋_GB2312"/>
          <w:b/>
          <w:color w:val="auto"/>
          <w:sz w:val="32"/>
          <w:szCs w:val="32"/>
        </w:rPr>
        <w:t>公务用车运行维护费支出</w:t>
      </w:r>
      <w:r>
        <w:rPr>
          <w:rFonts w:hint="eastAsia" w:ascii="仿宋_GB2312" w:eastAsia="仿宋_GB2312"/>
          <w:color w:val="auto"/>
          <w:sz w:val="32"/>
          <w:szCs w:val="32"/>
          <w:lang w:val="en-US" w:eastAsia="zh-CN"/>
        </w:rPr>
        <w:t>60.76</w:t>
      </w:r>
      <w:r>
        <w:rPr>
          <w:rFonts w:hint="eastAsia" w:ascii="仿宋_GB2312" w:eastAsia="仿宋_GB2312"/>
          <w:color w:val="auto"/>
          <w:sz w:val="32"/>
          <w:szCs w:val="32"/>
        </w:rPr>
        <w:t>万元。主要用于</w:t>
      </w:r>
      <w:r>
        <w:rPr>
          <w:rFonts w:hint="eastAsia" w:ascii="仿宋_GB2312" w:eastAsia="仿宋_GB2312"/>
          <w:color w:val="auto"/>
          <w:sz w:val="32"/>
          <w:szCs w:val="32"/>
          <w:lang w:val="en-US" w:eastAsia="zh-CN"/>
        </w:rPr>
        <w:t>办案</w:t>
      </w:r>
      <w:r>
        <w:rPr>
          <w:rFonts w:hint="eastAsia" w:ascii="仿宋_GB2312" w:eastAsia="仿宋_GB2312"/>
          <w:color w:val="auto"/>
          <w:sz w:val="32"/>
          <w:szCs w:val="32"/>
        </w:rPr>
        <w:t>所需的公务用车燃料费、维修费、过路过桥费、保险费等支出。</w:t>
      </w:r>
    </w:p>
    <w:p>
      <w:pPr>
        <w:pageBreakBefore w:val="0"/>
        <w:kinsoku/>
        <w:wordWrap/>
        <w:overflowPunct/>
        <w:topLinePunct w:val="0"/>
        <w:bidi w:val="0"/>
        <w:spacing w:line="576" w:lineRule="exact"/>
        <w:ind w:firstLine="640"/>
        <w:textAlignment w:val="auto"/>
        <w:rPr>
          <w:rFonts w:ascii="仿宋_GB2312" w:eastAsia="仿宋_GB2312"/>
          <w:color w:val="auto"/>
          <w:sz w:val="32"/>
          <w:szCs w:val="32"/>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hint="eastAsia" w:ascii="仿宋_GB2312" w:eastAsia="仿宋_GB2312"/>
          <w:color w:val="auto"/>
          <w:sz w:val="32"/>
          <w:szCs w:val="32"/>
          <w:lang w:val="en-US" w:eastAsia="zh-CN"/>
        </w:rPr>
        <w:t>1.67</w:t>
      </w:r>
      <w:r>
        <w:rPr>
          <w:rFonts w:hint="eastAsia" w:ascii="仿宋_GB2312" w:eastAsia="仿宋_GB2312"/>
          <w:color w:val="auto"/>
          <w:sz w:val="32"/>
          <w:szCs w:val="32"/>
        </w:rPr>
        <w:t>万元，</w:t>
      </w:r>
      <w:r>
        <w:rPr>
          <w:rStyle w:val="22"/>
          <w:rFonts w:hint="eastAsia" w:ascii="仿宋" w:hAnsi="仿宋" w:eastAsia="仿宋"/>
          <w:b w:val="0"/>
          <w:bCs/>
          <w:color w:val="auto"/>
          <w:sz w:val="32"/>
          <w:szCs w:val="32"/>
        </w:rPr>
        <w:t>完成预算</w:t>
      </w:r>
      <w:r>
        <w:rPr>
          <w:rStyle w:val="22"/>
          <w:rFonts w:hint="eastAsia" w:ascii="仿宋" w:hAnsi="仿宋" w:eastAsia="仿宋"/>
          <w:b w:val="0"/>
          <w:bCs/>
          <w:color w:val="auto"/>
          <w:sz w:val="32"/>
          <w:szCs w:val="32"/>
          <w:lang w:val="en-US" w:eastAsia="zh-CN"/>
        </w:rPr>
        <w:t>100</w:t>
      </w:r>
      <w:r>
        <w:rPr>
          <w:rStyle w:val="22"/>
          <w:rFonts w:ascii="仿宋" w:hAnsi="仿宋" w:eastAsia="仿宋"/>
          <w:b w:val="0"/>
          <w:bCs/>
          <w:color w:val="auto"/>
          <w:sz w:val="32"/>
          <w:szCs w:val="32"/>
        </w:rPr>
        <w:t>%</w:t>
      </w:r>
      <w:r>
        <w:rPr>
          <w:rStyle w:val="22"/>
          <w:rFonts w:hint="eastAsia" w:ascii="仿宋" w:hAnsi="仿宋" w:eastAsia="仿宋"/>
          <w:b w:val="0"/>
          <w:bCs/>
          <w:color w:val="auto"/>
          <w:sz w:val="32"/>
          <w:szCs w:val="32"/>
        </w:rPr>
        <w:t>。</w:t>
      </w:r>
      <w:r>
        <w:rPr>
          <w:rFonts w:hint="eastAsia" w:ascii="仿宋_GB2312" w:eastAsia="仿宋_GB2312"/>
          <w:color w:val="auto"/>
          <w:sz w:val="32"/>
          <w:szCs w:val="32"/>
        </w:rPr>
        <w:t>公务接待费支出决算比</w:t>
      </w:r>
      <w:r>
        <w:rPr>
          <w:rFonts w:hint="eastAsia" w:ascii="仿宋_GB2312" w:eastAsia="仿宋_GB2312"/>
          <w:color w:val="auto"/>
          <w:sz w:val="32"/>
          <w:szCs w:val="32"/>
          <w:lang w:val="en-US" w:eastAsia="zh-CN"/>
        </w:rPr>
        <w:t>2021</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增加0.73</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增加77.65%</w:t>
      </w:r>
      <w:r>
        <w:rPr>
          <w:rFonts w:hint="eastAsia" w:ascii="仿宋_GB2312" w:eastAsia="仿宋_GB2312"/>
          <w:color w:val="auto"/>
          <w:sz w:val="32"/>
          <w:szCs w:val="32"/>
        </w:rPr>
        <w:t>。主要原因是</w:t>
      </w:r>
      <w:r>
        <w:rPr>
          <w:rFonts w:hint="eastAsia" w:ascii="仿宋_GB2312" w:eastAsia="仿宋_GB2312"/>
          <w:color w:val="auto"/>
          <w:sz w:val="32"/>
          <w:szCs w:val="32"/>
          <w:lang w:val="en-US" w:eastAsia="zh-CN"/>
        </w:rPr>
        <w:t>疫情放开管控，来访人员增加</w:t>
      </w:r>
      <w:r>
        <w:rPr>
          <w:rFonts w:hint="eastAsia" w:ascii="仿宋_GB2312" w:eastAsia="仿宋_GB2312"/>
          <w:color w:val="auto"/>
          <w:sz w:val="32"/>
          <w:szCs w:val="32"/>
        </w:rPr>
        <w:t>。</w:t>
      </w:r>
    </w:p>
    <w:p>
      <w:pPr>
        <w:pageBreakBefore w:val="0"/>
        <w:kinsoku/>
        <w:wordWrap/>
        <w:overflowPunct/>
        <w:topLinePunct w:val="0"/>
        <w:bidi w:val="0"/>
        <w:spacing w:line="576" w:lineRule="exact"/>
        <w:ind w:firstLine="640"/>
        <w:textAlignment w:val="auto"/>
        <w:rPr>
          <w:rFonts w:ascii="仿宋_GB2312" w:eastAsia="仿宋_GB2312"/>
          <w:color w:val="auto"/>
          <w:sz w:val="32"/>
          <w:szCs w:val="32"/>
        </w:rPr>
      </w:pPr>
      <w:r>
        <w:rPr>
          <w:rFonts w:hint="eastAsia" w:ascii="仿宋" w:hAnsi="仿宋" w:eastAsia="仿宋"/>
          <w:b/>
          <w:color w:val="auto"/>
          <w:sz w:val="32"/>
          <w:szCs w:val="32"/>
        </w:rPr>
        <w:t>国内公务接待支出</w:t>
      </w:r>
      <w:r>
        <w:rPr>
          <w:rFonts w:hint="eastAsia" w:ascii="仿宋" w:hAnsi="仿宋" w:eastAsia="仿宋"/>
          <w:color w:val="auto"/>
          <w:sz w:val="32"/>
          <w:szCs w:val="32"/>
          <w:lang w:val="en-US" w:eastAsia="zh-CN"/>
        </w:rPr>
        <w:t>1.67</w:t>
      </w:r>
      <w:r>
        <w:rPr>
          <w:rFonts w:hint="eastAsia" w:ascii="仿宋_GB2312" w:eastAsia="仿宋_GB2312"/>
          <w:color w:val="auto"/>
          <w:sz w:val="32"/>
          <w:szCs w:val="32"/>
        </w:rPr>
        <w:t>万元，主要用于执行公务、开展业务活动开支的交通费、住宿费、用餐费等。国内公务接待</w:t>
      </w:r>
      <w:r>
        <w:rPr>
          <w:rFonts w:hint="eastAsia" w:ascii="仿宋_GB2312" w:eastAsia="仿宋_GB2312"/>
          <w:color w:val="auto"/>
          <w:sz w:val="32"/>
          <w:szCs w:val="32"/>
          <w:lang w:val="en-US" w:eastAsia="zh-CN"/>
        </w:rPr>
        <w:t>19</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141</w:t>
      </w:r>
      <w:r>
        <w:rPr>
          <w:rFonts w:hint="eastAsia" w:ascii="仿宋_GB2312" w:eastAsia="仿宋_GB2312"/>
          <w:color w:val="auto"/>
          <w:sz w:val="32"/>
          <w:szCs w:val="32"/>
        </w:rPr>
        <w:t>人次（不包括陪同人员），共计支出</w:t>
      </w:r>
      <w:r>
        <w:rPr>
          <w:rFonts w:hint="eastAsia" w:ascii="仿宋_GB2312" w:eastAsia="仿宋_GB2312"/>
          <w:color w:val="auto"/>
          <w:sz w:val="32"/>
          <w:szCs w:val="32"/>
          <w:lang w:val="en-US" w:eastAsia="zh-CN"/>
        </w:rPr>
        <w:t>1.67</w:t>
      </w:r>
      <w:r>
        <w:rPr>
          <w:rFonts w:hint="eastAsia" w:ascii="仿宋_GB2312" w:eastAsia="仿宋_GB2312"/>
          <w:color w:val="auto"/>
          <w:sz w:val="32"/>
          <w:szCs w:val="32"/>
        </w:rPr>
        <w:t>万元，具体内容包括：</w:t>
      </w:r>
      <w:r>
        <w:rPr>
          <w:rFonts w:hint="eastAsia" w:ascii="仿宋_GB2312" w:eastAsia="仿宋_GB2312"/>
          <w:color w:val="auto"/>
          <w:sz w:val="32"/>
          <w:szCs w:val="32"/>
          <w:lang w:val="en-US" w:eastAsia="zh-CN"/>
        </w:rPr>
        <w:t>接待餐费</w:t>
      </w:r>
      <w:r>
        <w:rPr>
          <w:rFonts w:hint="eastAsia" w:ascii="仿宋_GB2312" w:eastAsia="仿宋_GB2312"/>
          <w:color w:val="auto"/>
          <w:sz w:val="32"/>
          <w:szCs w:val="32"/>
        </w:rPr>
        <w:t>。</w:t>
      </w:r>
    </w:p>
    <w:p>
      <w:pPr>
        <w:pageBreakBefore w:val="0"/>
        <w:kinsoku/>
        <w:wordWrap/>
        <w:overflowPunct/>
        <w:topLinePunct w:val="0"/>
        <w:bidi w:val="0"/>
        <w:spacing w:line="576" w:lineRule="exact"/>
        <w:ind w:firstLine="643" w:firstLineChars="200"/>
        <w:textAlignment w:val="auto"/>
        <w:rPr>
          <w:rFonts w:ascii="仿宋_GB2312" w:eastAsia="仿宋_GB2312"/>
          <w:color w:val="FF0000"/>
          <w:sz w:val="32"/>
          <w:szCs w:val="32"/>
        </w:rPr>
      </w:pPr>
      <w:r>
        <w:rPr>
          <w:rFonts w:hint="eastAsia" w:ascii="仿宋" w:hAnsi="仿宋" w:eastAsia="仿宋"/>
          <w:b/>
          <w:color w:val="auto"/>
          <w:sz w:val="32"/>
          <w:szCs w:val="32"/>
        </w:rPr>
        <w:t>外事接待支出</w:t>
      </w:r>
      <w:r>
        <w:rPr>
          <w:rFonts w:hint="eastAsia" w:ascii="仿宋" w:hAnsi="仿宋" w:eastAsia="仿宋"/>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p>
    <w:p>
      <w:pPr>
        <w:pageBreakBefore w:val="0"/>
        <w:kinsoku/>
        <w:wordWrap/>
        <w:overflowPunct/>
        <w:topLinePunct w:val="0"/>
        <w:bidi w:val="0"/>
        <w:spacing w:line="576" w:lineRule="exact"/>
        <w:ind w:firstLine="640"/>
        <w:textAlignment w:val="auto"/>
        <w:outlineLvl w:val="1"/>
        <w:rPr>
          <w:rStyle w:val="25"/>
          <w:rFonts w:ascii="黑体" w:hAnsi="黑体" w:eastAsia="黑体"/>
          <w:color w:val="auto"/>
        </w:rPr>
      </w:pPr>
      <w:bookmarkStart w:id="82" w:name="_Toc15377218"/>
      <w:bookmarkStart w:id="83" w:name="_Toc79163622"/>
      <w:bookmarkStart w:id="84" w:name="_Toc15396610"/>
      <w:bookmarkStart w:id="85" w:name="_Toc79163872"/>
      <w:r>
        <w:rPr>
          <w:rFonts w:hint="eastAsia" w:ascii="黑体" w:eastAsia="黑体"/>
          <w:color w:val="auto"/>
          <w:sz w:val="32"/>
          <w:szCs w:val="32"/>
        </w:rPr>
        <w:t>八、</w:t>
      </w:r>
      <w:r>
        <w:rPr>
          <w:rStyle w:val="25"/>
          <w:rFonts w:hint="eastAsia" w:ascii="黑体" w:hAnsi="黑体" w:eastAsia="黑体"/>
          <w:b w:val="0"/>
          <w:color w:val="auto"/>
        </w:rPr>
        <w:t>政府性基金预算支出决算情况说明</w:t>
      </w:r>
      <w:bookmarkEnd w:id="82"/>
      <w:bookmarkEnd w:id="83"/>
      <w:bookmarkEnd w:id="84"/>
      <w:bookmarkEnd w:id="85"/>
    </w:p>
    <w:p>
      <w:pPr>
        <w:pageBreakBefore w:val="0"/>
        <w:kinsoku/>
        <w:wordWrap/>
        <w:overflowPunct/>
        <w:topLinePunct w:val="0"/>
        <w:bidi w:val="0"/>
        <w:spacing w:line="576" w:lineRule="exact"/>
        <w:ind w:firstLine="640"/>
        <w:textAlignment w:val="auto"/>
        <w:rPr>
          <w:rFonts w:ascii="仿宋_GB2312" w:eastAsia="仿宋_GB2312"/>
          <w:color w:val="auto"/>
          <w:sz w:val="32"/>
          <w:szCs w:val="32"/>
        </w:rPr>
      </w:pPr>
      <w:r>
        <w:rPr>
          <w:rFonts w:ascii="仿宋_GB2312" w:eastAsia="仿宋_GB2312"/>
          <w:color w:val="auto"/>
          <w:sz w:val="32"/>
          <w:szCs w:val="32"/>
        </w:rPr>
        <w:t>202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年政府性基金预算拨款支出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pageBreakBefore w:val="0"/>
        <w:numPr>
          <w:ilvl w:val="0"/>
          <w:numId w:val="2"/>
        </w:numPr>
        <w:kinsoku/>
        <w:wordWrap/>
        <w:overflowPunct/>
        <w:topLinePunct w:val="0"/>
        <w:bidi w:val="0"/>
        <w:spacing w:line="576" w:lineRule="exact"/>
        <w:ind w:firstLine="640"/>
        <w:textAlignment w:val="auto"/>
        <w:outlineLvl w:val="1"/>
        <w:rPr>
          <w:rStyle w:val="25"/>
          <w:rFonts w:ascii="黑体" w:hAnsi="黑体" w:eastAsia="黑体"/>
          <w:b w:val="0"/>
          <w:color w:val="auto"/>
        </w:rPr>
      </w:pPr>
      <w:bookmarkStart w:id="86" w:name="_Toc15377219"/>
      <w:bookmarkStart w:id="87" w:name="_Toc79163873"/>
      <w:bookmarkStart w:id="88" w:name="_Toc15396611"/>
      <w:bookmarkStart w:id="89" w:name="_Toc79163623"/>
      <w:r>
        <w:rPr>
          <w:rStyle w:val="25"/>
          <w:rFonts w:hint="eastAsia" w:ascii="黑体" w:hAnsi="黑体" w:eastAsia="黑体"/>
          <w:b w:val="0"/>
          <w:color w:val="auto"/>
        </w:rPr>
        <w:t>国有资本经营预算支出决算情况说明</w:t>
      </w:r>
      <w:bookmarkEnd w:id="86"/>
      <w:bookmarkEnd w:id="87"/>
      <w:bookmarkEnd w:id="88"/>
      <w:bookmarkEnd w:id="89"/>
    </w:p>
    <w:p>
      <w:pPr>
        <w:pageBreakBefore w:val="0"/>
        <w:kinsoku/>
        <w:wordWrap/>
        <w:overflowPunct/>
        <w:topLinePunct w:val="0"/>
        <w:bidi w:val="0"/>
        <w:spacing w:line="576" w:lineRule="exact"/>
        <w:ind w:firstLine="640"/>
        <w:textAlignment w:val="auto"/>
        <w:rPr>
          <w:rFonts w:ascii="方正小标宋简体" w:hAnsi="方正小标宋简体" w:eastAsia="方正小标宋简体" w:cs="方正小标宋简体"/>
          <w:color w:val="FF0000"/>
          <w:sz w:val="44"/>
          <w:szCs w:val="44"/>
        </w:rPr>
      </w:pPr>
      <w:r>
        <w:rPr>
          <w:rFonts w:ascii="仿宋_GB2312" w:eastAsia="仿宋_GB2312"/>
          <w:color w:val="auto"/>
          <w:sz w:val="32"/>
          <w:szCs w:val="32"/>
        </w:rPr>
        <w:t>202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年国有资本经营预算拨款支出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pageBreakBefore w:val="0"/>
        <w:kinsoku/>
        <w:wordWrap/>
        <w:overflowPunct/>
        <w:topLinePunct w:val="0"/>
        <w:bidi w:val="0"/>
        <w:spacing w:line="576" w:lineRule="exact"/>
        <w:ind w:firstLine="800" w:firstLineChars="250"/>
        <w:textAlignment w:val="auto"/>
        <w:outlineLvl w:val="1"/>
        <w:rPr>
          <w:rStyle w:val="25"/>
          <w:rFonts w:ascii="黑体" w:hAnsi="黑体" w:eastAsia="黑体"/>
          <w:color w:val="auto"/>
        </w:rPr>
      </w:pPr>
      <w:bookmarkStart w:id="90" w:name="_Toc79163874"/>
      <w:bookmarkStart w:id="91" w:name="_Toc79163624"/>
      <w:bookmarkStart w:id="92" w:name="_Toc15396612"/>
      <w:bookmarkStart w:id="93" w:name="_Toc15377221"/>
      <w:r>
        <w:rPr>
          <w:rFonts w:hint="eastAsia" w:ascii="黑体" w:hAnsi="黑体" w:eastAsia="黑体"/>
          <w:color w:val="auto"/>
          <w:sz w:val="32"/>
          <w:szCs w:val="32"/>
        </w:rPr>
        <w:t>十</w:t>
      </w:r>
      <w:r>
        <w:rPr>
          <w:rStyle w:val="25"/>
          <w:rFonts w:hint="eastAsia" w:ascii="黑体" w:hAnsi="黑体" w:eastAsia="黑体"/>
          <w:color w:val="auto"/>
        </w:rPr>
        <w:t>、</w:t>
      </w:r>
      <w:r>
        <w:rPr>
          <w:rStyle w:val="25"/>
          <w:rFonts w:hint="eastAsia" w:ascii="黑体" w:hAnsi="黑体" w:eastAsia="黑体"/>
          <w:b w:val="0"/>
          <w:color w:val="auto"/>
        </w:rPr>
        <w:t>其他重要事项的情况说明</w:t>
      </w:r>
      <w:bookmarkEnd w:id="90"/>
      <w:bookmarkEnd w:id="91"/>
      <w:bookmarkEnd w:id="92"/>
      <w:bookmarkEnd w:id="93"/>
    </w:p>
    <w:p>
      <w:pPr>
        <w:pageBreakBefore w:val="0"/>
        <w:kinsoku/>
        <w:wordWrap/>
        <w:overflowPunct/>
        <w:topLinePunct w:val="0"/>
        <w:bidi w:val="0"/>
        <w:spacing w:line="576" w:lineRule="exact"/>
        <w:ind w:firstLine="643" w:firstLineChars="200"/>
        <w:textAlignment w:val="auto"/>
        <w:outlineLvl w:val="2"/>
        <w:rPr>
          <w:rFonts w:ascii="仿宋" w:hAnsi="仿宋" w:eastAsia="仿宋"/>
          <w:color w:val="auto"/>
          <w:sz w:val="32"/>
          <w:szCs w:val="32"/>
        </w:rPr>
      </w:pPr>
      <w:bookmarkStart w:id="94" w:name="_Toc79163875"/>
      <w:bookmarkStart w:id="95" w:name="_Toc79163625"/>
      <w:bookmarkStart w:id="96" w:name="_Toc15377222"/>
      <w:r>
        <w:rPr>
          <w:rFonts w:hint="eastAsia" w:ascii="仿宋" w:hAnsi="仿宋" w:eastAsia="仿宋"/>
          <w:b/>
          <w:color w:val="auto"/>
          <w:sz w:val="32"/>
          <w:szCs w:val="32"/>
        </w:rPr>
        <w:t>（一）机关运行经费支出情况</w:t>
      </w:r>
      <w:bookmarkEnd w:id="94"/>
      <w:bookmarkEnd w:id="95"/>
      <w:bookmarkEnd w:id="96"/>
    </w:p>
    <w:p>
      <w:pPr>
        <w:pageBreakBefore w:val="0"/>
        <w:kinsoku/>
        <w:wordWrap/>
        <w:overflowPunct/>
        <w:topLinePunct w:val="0"/>
        <w:bidi w:val="0"/>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202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法院</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100.55</w:t>
      </w:r>
      <w:r>
        <w:rPr>
          <w:rFonts w:hint="eastAsia" w:ascii="仿宋_GB2312" w:eastAsia="仿宋_GB2312"/>
          <w:color w:val="auto"/>
          <w:sz w:val="32"/>
          <w:szCs w:val="32"/>
        </w:rPr>
        <w:t>万元，比</w:t>
      </w:r>
      <w:r>
        <w:rPr>
          <w:rFonts w:hint="eastAsia" w:ascii="仿宋_GB2312" w:eastAsia="仿宋_GB2312"/>
          <w:color w:val="auto"/>
          <w:sz w:val="32"/>
          <w:szCs w:val="32"/>
          <w:lang w:val="en-US" w:eastAsia="zh-CN"/>
        </w:rPr>
        <w:t>2021</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减少10.76</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减少9.67</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存在人员调动</w:t>
      </w:r>
      <w:r>
        <w:rPr>
          <w:rFonts w:hint="eastAsia" w:ascii="仿宋" w:hAnsi="仿宋" w:eastAsia="仿宋"/>
          <w:color w:val="auto"/>
          <w:sz w:val="32"/>
          <w:szCs w:val="32"/>
          <w:lang w:val="en-US" w:eastAsia="zh-CN"/>
        </w:rPr>
        <w:t>。</w:t>
      </w:r>
    </w:p>
    <w:p>
      <w:pPr>
        <w:pageBreakBefore w:val="0"/>
        <w:kinsoku/>
        <w:wordWrap/>
        <w:overflowPunct/>
        <w:topLinePunct w:val="0"/>
        <w:autoSpaceDE w:val="0"/>
        <w:autoSpaceDN w:val="0"/>
        <w:bidi w:val="0"/>
        <w:adjustRightInd w:val="0"/>
        <w:spacing w:line="576" w:lineRule="exact"/>
        <w:ind w:firstLine="643" w:firstLineChars="200"/>
        <w:jc w:val="left"/>
        <w:textAlignment w:val="auto"/>
        <w:outlineLvl w:val="2"/>
        <w:rPr>
          <w:rFonts w:ascii="仿宋" w:hAnsi="仿宋" w:eastAsia="仿宋"/>
          <w:b/>
          <w:color w:val="auto"/>
          <w:sz w:val="32"/>
          <w:szCs w:val="32"/>
        </w:rPr>
      </w:pPr>
      <w:bookmarkStart w:id="97" w:name="_Toc79163626"/>
      <w:bookmarkStart w:id="98" w:name="_Toc79163876"/>
      <w:bookmarkStart w:id="99" w:name="_Toc15377223"/>
      <w:r>
        <w:rPr>
          <w:rFonts w:hint="eastAsia" w:ascii="仿宋" w:hAnsi="仿宋" w:eastAsia="仿宋"/>
          <w:b/>
          <w:color w:val="auto"/>
          <w:sz w:val="32"/>
          <w:szCs w:val="32"/>
        </w:rPr>
        <w:t>（二）政府采购支出情况</w:t>
      </w:r>
      <w:bookmarkEnd w:id="97"/>
      <w:bookmarkEnd w:id="98"/>
      <w:bookmarkEnd w:id="99"/>
    </w:p>
    <w:p>
      <w:pPr>
        <w:pageBreakBefore w:val="0"/>
        <w:kinsoku/>
        <w:wordWrap/>
        <w:overflowPunct/>
        <w:topLinePunct w:val="0"/>
        <w:bidi w:val="0"/>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202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法院</w:t>
      </w:r>
      <w:r>
        <w:rPr>
          <w:rFonts w:hint="eastAsia" w:ascii="仿宋_GB2312" w:eastAsia="仿宋_GB2312"/>
          <w:color w:val="auto"/>
          <w:sz w:val="32"/>
          <w:szCs w:val="32"/>
        </w:rPr>
        <w:t>政府采购支出总额</w:t>
      </w:r>
      <w:r>
        <w:rPr>
          <w:rFonts w:hint="eastAsia" w:ascii="仿宋_GB2312" w:eastAsia="仿宋_GB2312"/>
          <w:color w:val="auto"/>
          <w:sz w:val="32"/>
          <w:szCs w:val="32"/>
          <w:lang w:val="en-US" w:eastAsia="zh-CN"/>
        </w:rPr>
        <w:t>93.65</w:t>
      </w:r>
      <w:r>
        <w:rPr>
          <w:rFonts w:hint="eastAsia" w:ascii="仿宋_GB2312" w:eastAsia="仿宋_GB2312"/>
          <w:color w:val="auto"/>
          <w:sz w:val="32"/>
          <w:szCs w:val="32"/>
        </w:rPr>
        <w:t>万元，其中：政府采购货物支出</w:t>
      </w:r>
      <w:r>
        <w:rPr>
          <w:rFonts w:hint="eastAsia" w:ascii="仿宋_GB2312" w:eastAsia="仿宋_GB2312"/>
          <w:color w:val="auto"/>
          <w:sz w:val="32"/>
          <w:szCs w:val="32"/>
          <w:lang w:val="en-US" w:eastAsia="zh-CN"/>
        </w:rPr>
        <w:t>93.65</w:t>
      </w:r>
      <w:r>
        <w:rPr>
          <w:rFonts w:hint="eastAsia" w:ascii="仿宋_GB2312" w:eastAsia="仿宋_GB2312"/>
          <w:color w:val="auto"/>
          <w:sz w:val="32"/>
          <w:szCs w:val="32"/>
        </w:rPr>
        <w:t>万元、政府采购工程支出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万元、政府采购服务支出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万元。授予中小企业合同金额</w:t>
      </w:r>
      <w:r>
        <w:rPr>
          <w:rFonts w:hint="eastAsia" w:ascii="仿宋_GB2312" w:eastAsia="仿宋_GB2312"/>
          <w:color w:val="auto"/>
          <w:sz w:val="32"/>
          <w:szCs w:val="32"/>
          <w:lang w:val="en-US" w:eastAsia="zh-CN"/>
        </w:rPr>
        <w:t>93.65</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100</w:t>
      </w:r>
      <w:r>
        <w:rPr>
          <w:rFonts w:ascii="仿宋_GB2312" w:eastAsia="仿宋_GB2312"/>
          <w:color w:val="auto"/>
          <w:sz w:val="32"/>
          <w:szCs w:val="32"/>
        </w:rPr>
        <w:t>%</w:t>
      </w:r>
      <w:r>
        <w:rPr>
          <w:rFonts w:hint="eastAsia" w:ascii="仿宋_GB2312" w:eastAsia="仿宋_GB2312"/>
          <w:color w:val="auto"/>
          <w:sz w:val="32"/>
          <w:szCs w:val="32"/>
        </w:rPr>
        <w:t>，其中：授予小微企业合同金额</w:t>
      </w:r>
      <w:r>
        <w:rPr>
          <w:rFonts w:hint="eastAsia" w:ascii="仿宋_GB2312" w:eastAsia="仿宋_GB2312"/>
          <w:color w:val="auto"/>
          <w:sz w:val="32"/>
          <w:szCs w:val="32"/>
          <w:lang w:val="en-US" w:eastAsia="zh-CN"/>
        </w:rPr>
        <w:t>93.65</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100</w:t>
      </w:r>
      <w:r>
        <w:rPr>
          <w:rFonts w:ascii="仿宋_GB2312" w:eastAsia="仿宋_GB2312"/>
          <w:color w:val="auto"/>
          <w:sz w:val="32"/>
          <w:szCs w:val="32"/>
        </w:rPr>
        <w:t>%</w:t>
      </w:r>
      <w:r>
        <w:rPr>
          <w:rFonts w:hint="eastAsia" w:ascii="仿宋_GB2312" w:eastAsia="仿宋_GB2312"/>
          <w:color w:val="auto"/>
          <w:sz w:val="32"/>
          <w:szCs w:val="32"/>
        </w:rPr>
        <w:t>。</w:t>
      </w:r>
    </w:p>
    <w:p>
      <w:pPr>
        <w:pageBreakBefore w:val="0"/>
        <w:kinsoku/>
        <w:wordWrap/>
        <w:overflowPunct/>
        <w:topLinePunct w:val="0"/>
        <w:autoSpaceDE w:val="0"/>
        <w:autoSpaceDN w:val="0"/>
        <w:bidi w:val="0"/>
        <w:adjustRightInd w:val="0"/>
        <w:spacing w:line="576" w:lineRule="exact"/>
        <w:ind w:firstLine="643" w:firstLineChars="200"/>
        <w:jc w:val="left"/>
        <w:textAlignment w:val="auto"/>
        <w:outlineLvl w:val="2"/>
        <w:rPr>
          <w:rFonts w:ascii="仿宋" w:hAnsi="仿宋" w:eastAsia="仿宋"/>
          <w:b/>
          <w:color w:val="auto"/>
          <w:sz w:val="32"/>
          <w:szCs w:val="32"/>
        </w:rPr>
      </w:pPr>
      <w:bookmarkStart w:id="100" w:name="_Toc15377224"/>
      <w:bookmarkStart w:id="101" w:name="_Toc79163877"/>
      <w:bookmarkStart w:id="102" w:name="_Toc79163627"/>
      <w:r>
        <w:rPr>
          <w:rFonts w:hint="eastAsia" w:ascii="仿宋" w:hAnsi="仿宋" w:eastAsia="仿宋"/>
          <w:b/>
          <w:color w:val="auto"/>
          <w:sz w:val="32"/>
          <w:szCs w:val="32"/>
        </w:rPr>
        <w:t>（三）国有资产占有使用情况</w:t>
      </w:r>
      <w:bookmarkEnd w:id="100"/>
      <w:bookmarkEnd w:id="101"/>
      <w:bookmarkEnd w:id="102"/>
    </w:p>
    <w:p>
      <w:pPr>
        <w:keepNext w:val="0"/>
        <w:keepLines w:val="0"/>
        <w:pageBreakBefore w:val="0"/>
        <w:kinsoku/>
        <w:wordWrap/>
        <w:overflowPunct/>
        <w:topLinePunct w:val="0"/>
        <w:autoSpaceDE/>
        <w:bidi w:val="0"/>
        <w:spacing w:line="576"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截止2022年末我单位办公用房及业务用房面积共计10549.32平方米，价值为1785.95万元。</w:t>
      </w:r>
    </w:p>
    <w:p>
      <w:pPr>
        <w:pageBreakBefore w:val="0"/>
        <w:kinsoku/>
        <w:wordWrap/>
        <w:overflowPunct/>
        <w:topLinePunct w:val="0"/>
        <w:autoSpaceDE w:val="0"/>
        <w:autoSpaceDN w:val="0"/>
        <w:bidi w:val="0"/>
        <w:adjustRightInd w:val="0"/>
        <w:spacing w:line="576" w:lineRule="exact"/>
        <w:ind w:firstLine="640" w:firstLineChars="200"/>
        <w:jc w:val="left"/>
        <w:textAlignment w:val="auto"/>
        <w:rPr>
          <w:rFonts w:hint="eastAsia" w:ascii="仿宋_GB2312" w:eastAsia="仿宋_GB2312"/>
          <w:color w:val="auto"/>
          <w:sz w:val="32"/>
          <w:szCs w:val="32"/>
        </w:rPr>
      </w:pPr>
      <w:r>
        <w:rPr>
          <w:rFonts w:hint="eastAsia" w:ascii="Times New Roman" w:hAnsi="Times New Roman" w:eastAsia="方正仿宋_GBK" w:cs="Times New Roman"/>
          <w:color w:val="auto"/>
          <w:sz w:val="32"/>
          <w:szCs w:val="32"/>
          <w:lang w:val="en-US" w:eastAsia="zh-CN"/>
        </w:rPr>
        <w:t>车辆共计7辆，价值为273.22万元，其中：越野车5辆，价值为180.35万元；小型载客车1辆，价值为39.99万元；其他车型1辆，价值为52.88万元。</w:t>
      </w:r>
    </w:p>
    <w:p>
      <w:pPr>
        <w:pageBreakBefore w:val="0"/>
        <w:kinsoku/>
        <w:wordWrap/>
        <w:overflowPunct/>
        <w:topLinePunct w:val="0"/>
        <w:autoSpaceDE w:val="0"/>
        <w:autoSpaceDN w:val="0"/>
        <w:bidi w:val="0"/>
        <w:adjustRightInd w:val="0"/>
        <w:spacing w:line="576" w:lineRule="exact"/>
        <w:ind w:firstLine="643" w:firstLineChars="200"/>
        <w:jc w:val="left"/>
        <w:textAlignment w:val="auto"/>
        <w:outlineLvl w:val="2"/>
        <w:rPr>
          <w:rFonts w:ascii="仿宋" w:hAnsi="仿宋" w:eastAsia="仿宋"/>
          <w:b/>
          <w:color w:val="auto"/>
          <w:sz w:val="32"/>
          <w:szCs w:val="32"/>
        </w:rPr>
      </w:pPr>
      <w:bookmarkStart w:id="103" w:name="_Toc79163878"/>
      <w:bookmarkStart w:id="104" w:name="_Toc79163628"/>
      <w:r>
        <w:rPr>
          <w:rFonts w:hint="eastAsia" w:ascii="仿宋" w:hAnsi="仿宋" w:eastAsia="仿宋"/>
          <w:b/>
          <w:color w:val="auto"/>
          <w:sz w:val="32"/>
          <w:szCs w:val="32"/>
        </w:rPr>
        <w:t>（四）预算绩效管理情况</w:t>
      </w:r>
      <w:bookmarkEnd w:id="103"/>
      <w:bookmarkEnd w:id="104"/>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ascii="仿宋_GB2312" w:hAnsi="宋体" w:eastAsia="仿宋_GB2312" w:cs="仿宋_GB2312"/>
          <w:i w:val="0"/>
          <w:caps w:val="0"/>
          <w:color w:val="auto"/>
          <w:spacing w:val="0"/>
          <w:sz w:val="32"/>
          <w:szCs w:val="32"/>
          <w:shd w:val="clear" w:fill="FFFFFF"/>
        </w:rPr>
        <w:t>根据预算绩效管理要求，本单位对部门预算项目开展了绩效评估，年终执行完毕后完成情况自评，我单位预算执行情况良好，无不良记录及违规违纪行为，预算支出和决算支出情况相符。根据绩效评价工作要求，我们对自评工作实施方案进行了认真的研究和部署，使自评工作得以顺利开展，并取得了较好的效果。</w:t>
      </w: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FF0000"/>
          <w:sz w:val="32"/>
          <w:szCs w:val="32"/>
          <w:lang w:val="en-US" w:eastAsia="zh-CN"/>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FF0000"/>
          <w:sz w:val="32"/>
          <w:szCs w:val="32"/>
          <w:lang w:val="en-US" w:eastAsia="zh-CN"/>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numPr>
          <w:ilvl w:val="0"/>
          <w:numId w:val="3"/>
        </w:numPr>
        <w:kinsoku/>
        <w:wordWrap/>
        <w:overflowPunct/>
        <w:topLinePunct w:val="0"/>
        <w:bidi w:val="0"/>
        <w:spacing w:line="576" w:lineRule="exact"/>
        <w:ind w:firstLine="660" w:firstLineChars="150"/>
        <w:jc w:val="center"/>
        <w:textAlignment w:val="auto"/>
        <w:outlineLvl w:val="0"/>
        <w:rPr>
          <w:rStyle w:val="24"/>
          <w:rFonts w:ascii="黑体" w:hAnsi="黑体" w:eastAsia="黑体"/>
          <w:b w:val="0"/>
          <w:color w:val="000000" w:themeColor="text1"/>
          <w14:textFill>
            <w14:solidFill>
              <w14:schemeClr w14:val="tx1"/>
            </w14:solidFill>
          </w14:textFill>
        </w:rPr>
      </w:pPr>
      <w:bookmarkStart w:id="105" w:name="_Toc15396613"/>
      <w:bookmarkStart w:id="106" w:name="_Toc79163879"/>
      <w:bookmarkStart w:id="107" w:name="_Toc15377225"/>
      <w:bookmarkStart w:id="108" w:name="_Toc79163629"/>
      <w:r>
        <w:rPr>
          <w:rFonts w:hint="eastAsia" w:ascii="黑体" w:hAnsi="黑体" w:eastAsia="黑体"/>
          <w:color w:val="000000" w:themeColor="text1"/>
          <w:sz w:val="44"/>
          <w:szCs w:val="44"/>
          <w14:textFill>
            <w14:solidFill>
              <w14:schemeClr w14:val="tx1"/>
            </w14:solidFill>
          </w14:textFill>
        </w:rPr>
        <w:t>名</w:t>
      </w:r>
      <w:r>
        <w:rPr>
          <w:rStyle w:val="24"/>
          <w:rFonts w:hint="eastAsia" w:ascii="黑体" w:hAnsi="黑体" w:eastAsia="黑体"/>
          <w:b w:val="0"/>
          <w:color w:val="000000" w:themeColor="text1"/>
          <w14:textFill>
            <w14:solidFill>
              <w14:schemeClr w14:val="tx1"/>
            </w14:solidFill>
          </w14:textFill>
        </w:rPr>
        <w:t>词解释</w:t>
      </w:r>
      <w:bookmarkEnd w:id="105"/>
      <w:bookmarkEnd w:id="106"/>
      <w:bookmarkEnd w:id="107"/>
      <w:bookmarkEnd w:id="108"/>
    </w:p>
    <w:p>
      <w:pPr>
        <w:pageBreakBefore w:val="0"/>
        <w:kinsoku/>
        <w:wordWrap/>
        <w:overflowPunct/>
        <w:topLinePunct w:val="0"/>
        <w:bidi w:val="0"/>
        <w:spacing w:line="576" w:lineRule="exact"/>
        <w:jc w:val="left"/>
        <w:textAlignment w:val="auto"/>
        <w:rPr>
          <w:rFonts w:ascii="宋体"/>
          <w:b/>
          <w:color w:val="000000" w:themeColor="text1"/>
          <w:sz w:val="44"/>
          <w:szCs w:val="44"/>
          <w14:textFill>
            <w14:solidFill>
              <w14:schemeClr w14:val="tx1"/>
            </w14:solidFill>
          </w14:textFill>
        </w:rPr>
      </w:pPr>
    </w:p>
    <w:p>
      <w:pPr>
        <w:pStyle w:val="34"/>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1.财政拨款收入：本科目核算行政单位从同级财政部门取得的财政预算资金。</w:t>
      </w:r>
    </w:p>
    <w:p>
      <w:pPr>
        <w:pStyle w:val="34"/>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2.事业收入：本科目核算事业单位开展专业业务活动及其辅助活动取得的收入。</w:t>
      </w:r>
    </w:p>
    <w:p>
      <w:pPr>
        <w:pStyle w:val="34"/>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3.经营收入：本科目核算事业单位在专业业务活动及其辅助活动之外开展非独立核算经营活动取得的收入。</w:t>
      </w:r>
    </w:p>
    <w:p>
      <w:pPr>
        <w:pStyle w:val="34"/>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 xml:space="preserve">4.其他收入：事业单位本科目核算事业单位除财政补助收入、事业收入、上级补助收入、附属单位上缴收入、经营收入以外的各项收入；行政单位本科核算行政单位取得的除财政拨款收入以外的其他各项收入。 </w:t>
      </w:r>
    </w:p>
    <w:p>
      <w:pPr>
        <w:pStyle w:val="34"/>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34"/>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 xml:space="preserve">6.年初结转和结余：指以前年度尚未完成、结转到本年按有关规定继续使用的资金。 </w:t>
      </w:r>
    </w:p>
    <w:p>
      <w:pPr>
        <w:pStyle w:val="34"/>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7.结余分配：指事业单位按照事业单位会计制度的规定从非财政补助结余中分配的事业基金和职工福利基金等。</w:t>
      </w:r>
    </w:p>
    <w:p>
      <w:pPr>
        <w:pStyle w:val="34"/>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8</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年末结转和结余：指单位按有关规定结转到下年或以后年度继续使用的资金。</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9</w:t>
      </w:r>
      <w:r>
        <w:rPr>
          <w:rFonts w:hint="eastAsia" w:ascii="仿宋_GB2312" w:eastAsia="仿宋_GB2312"/>
          <w:color w:val="auto"/>
          <w:sz w:val="32"/>
          <w:szCs w:val="32"/>
        </w:rPr>
        <w:t>.公共安全支出</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类）204</w:t>
      </w:r>
      <w:r>
        <w:rPr>
          <w:rFonts w:hint="eastAsia" w:ascii="仿宋_GB2312" w:eastAsia="仿宋_GB2312"/>
          <w:color w:val="auto"/>
          <w:sz w:val="32"/>
          <w:szCs w:val="32"/>
        </w:rPr>
        <w:t>：反映政府维护社会公共安全方面的支出。</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10.法院（类）204（款）05：反映法院（包括各专门法院）的支出。</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11.行政运行（类）204（款）05（项）01：反映行政单位（包括实行公务员管理的事业单位）的基本支出。</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12.一般行政管理事务（类）204（款）05（项）02：反映行政单位（包括实行公务员管理的事业单位）未单独设置项级科目的其他项目支出。</w:t>
      </w:r>
    </w:p>
    <w:p>
      <w:pPr>
        <w:pageBreakBefore w:val="0"/>
        <w:kinsoku/>
        <w:wordWrap/>
        <w:overflowPunct/>
        <w:topLinePunct w:val="0"/>
        <w:bidi w:val="0"/>
        <w:spacing w:line="576"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13.其他法院支出（类）204（款）05（项）99：反映上述项目以外其他用于法院方面的支出。</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社会保障和就业支出</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类</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208</w:t>
      </w:r>
      <w:r>
        <w:rPr>
          <w:rFonts w:hint="eastAsia" w:ascii="仿宋_GB2312" w:eastAsia="仿宋_GB2312"/>
          <w:color w:val="auto"/>
          <w:sz w:val="32"/>
          <w:szCs w:val="32"/>
        </w:rPr>
        <w:t>：反映政府在社会保障与就业方面的支出。</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15.行政事业单位养老支出（类）208（款）05：反映用于行政事业单位养老方面的支出。</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16.机关事业单位基本养老保险缴费支出（类）208（款）05（项）05：反映机关事业单位实施养老保险制度由单位缴纳的基本养老保险费支出。</w:t>
      </w:r>
    </w:p>
    <w:p>
      <w:pPr>
        <w:pageBreakBefore w:val="0"/>
        <w:kinsoku/>
        <w:wordWrap/>
        <w:overflowPunct/>
        <w:topLinePunct w:val="0"/>
        <w:bidi w:val="0"/>
        <w:spacing w:line="576"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17.机关事业单位职业年金缴费支出（类）208（款）05（项）06：反映机关事业单位实施养老保险制度由单位实际缴纳的职业年金支出。</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卫生健康支出（类）210：反映政府卫生健康方面的支出。</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19.行政事业单位医疗（类）210（款）11：反映行政事业单位医疗方面的支出。</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行政单位医疗（类）210（款）11（项）01：反映财政部门安排的行政单位（包括实行公务员管理的事业单位，下同）基本医疗保险缴费经费，未参加医疗保险的行政单位的公费医疗经费，按照国家规定享受离休人员、红军老战士待遇人员的医疗经费。</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21.公务员医疗补助（类）210（款）11（项）03：反映财政部门安排的公务员医疗补助经费。</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22.住房保障支出（类）221：集中反映政府用于住房方面的支出。</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23.住房改革支出（类）221（款）02：反映行政事业单位用财政拨款资金和其他资金等安排的住房改革支出。</w:t>
      </w:r>
    </w:p>
    <w:p>
      <w:pPr>
        <w:pageBreakBefore w:val="0"/>
        <w:kinsoku/>
        <w:wordWrap/>
        <w:overflowPunct/>
        <w:topLinePunct w:val="0"/>
        <w:bidi w:val="0"/>
        <w:spacing w:line="576"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24.住房公积金（类）221（款）02（项）01：反映行政事业单位按人力资源和社会保障部、财政部规定的基本工资和津贴补贴以及规定比例为职工缴纳的住房公积金。</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.基本支出：指为保障机构正常运转、完成日常工作任务而发生的人员支出和公用支出。</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 xml:space="preserve">.项目支出：指在基本支出之外为完成特定行政任务和事业发展目标所发生的支出。 </w:t>
      </w:r>
    </w:p>
    <w:p>
      <w:pPr>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2</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.经营支出：指事业单位在专业业务活动及其辅助活动之外开展非独立核算经营活动发生的支出。</w:t>
      </w:r>
    </w:p>
    <w:p>
      <w:pPr>
        <w:pStyle w:val="34"/>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28</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pageBreakBefore w:val="0"/>
        <w:kinsoku/>
        <w:wordWrap/>
        <w:overflowPunct/>
        <w:topLinePunct w:val="0"/>
        <w:bidi w:val="0"/>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29</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76" w:lineRule="exact"/>
        <w:jc w:val="center"/>
        <w:textAlignment w:val="auto"/>
        <w:outlineLvl w:val="0"/>
        <w:rPr>
          <w:rStyle w:val="24"/>
          <w:rFonts w:ascii="黑体" w:hAnsi="黑体" w:eastAsia="黑体"/>
          <w:b w:val="0"/>
          <w:color w:val="000000" w:themeColor="text1"/>
          <w14:textFill>
            <w14:solidFill>
              <w14:schemeClr w14:val="tx1"/>
            </w14:solidFill>
          </w14:textFill>
        </w:rPr>
      </w:pPr>
      <w:bookmarkStart w:id="109" w:name="_Toc15377226"/>
      <w:r>
        <w:rPr>
          <w:rFonts w:ascii="宋体"/>
          <w:b/>
          <w:color w:val="000000" w:themeColor="text1"/>
          <w:sz w:val="44"/>
          <w:szCs w:val="44"/>
          <w14:textFill>
            <w14:solidFill>
              <w14:schemeClr w14:val="tx1"/>
            </w14:solidFill>
          </w14:textFill>
        </w:rPr>
        <w:br w:type="page"/>
      </w:r>
      <w:bookmarkStart w:id="110" w:name="_Toc79163880"/>
      <w:bookmarkStart w:id="111" w:name="_Toc15396614"/>
      <w:bookmarkStart w:id="112" w:name="_Toc79163630"/>
      <w:r>
        <w:rPr>
          <w:rFonts w:hint="eastAsia" w:ascii="黑体" w:hAnsi="黑体" w:eastAsia="黑体"/>
          <w:color w:val="000000" w:themeColor="text1"/>
          <w:sz w:val="44"/>
          <w:szCs w:val="44"/>
          <w14:textFill>
            <w14:solidFill>
              <w14:schemeClr w14:val="tx1"/>
            </w14:solidFill>
          </w14:textFill>
        </w:rPr>
        <w:t>第</w:t>
      </w:r>
      <w:r>
        <w:rPr>
          <w:rStyle w:val="24"/>
          <w:rFonts w:hint="eastAsia" w:ascii="黑体" w:hAnsi="黑体" w:eastAsia="黑体"/>
          <w:b w:val="0"/>
          <w:color w:val="000000" w:themeColor="text1"/>
          <w14:textFill>
            <w14:solidFill>
              <w14:schemeClr w14:val="tx1"/>
            </w14:solidFill>
          </w14:textFill>
        </w:rPr>
        <w:t>四部分</w:t>
      </w:r>
      <w:r>
        <w:rPr>
          <w:rStyle w:val="24"/>
          <w:rFonts w:ascii="黑体" w:hAnsi="黑体" w:eastAsia="黑体"/>
          <w:b w:val="0"/>
          <w:color w:val="000000" w:themeColor="text1"/>
          <w14:textFill>
            <w14:solidFill>
              <w14:schemeClr w14:val="tx1"/>
            </w14:solidFill>
          </w14:textFill>
        </w:rPr>
        <w:t xml:space="preserve"> </w:t>
      </w:r>
      <w:r>
        <w:rPr>
          <w:rStyle w:val="24"/>
          <w:rFonts w:hint="eastAsia" w:ascii="黑体" w:hAnsi="黑体" w:eastAsia="黑体"/>
          <w:b w:val="0"/>
          <w:color w:val="000000" w:themeColor="text1"/>
          <w14:textFill>
            <w14:solidFill>
              <w14:schemeClr w14:val="tx1"/>
            </w14:solidFill>
          </w14:textFill>
        </w:rPr>
        <w:t>附件</w:t>
      </w:r>
      <w:bookmarkEnd w:id="110"/>
      <w:bookmarkEnd w:id="111"/>
      <w:bookmarkEnd w:id="112"/>
    </w:p>
    <w:p>
      <w:pPr>
        <w:pageBreakBefore w:val="0"/>
        <w:kinsoku/>
        <w:wordWrap/>
        <w:overflowPunct/>
        <w:topLinePunct w:val="0"/>
        <w:bidi w:val="0"/>
        <w:spacing w:line="576" w:lineRule="exact"/>
        <w:jc w:val="left"/>
        <w:textAlignment w:val="auto"/>
        <w:outlineLvl w:val="0"/>
        <w:rPr>
          <w:rFonts w:ascii="方正小标宋简体" w:hAnsi="方正小标宋简体" w:eastAsia="方正小标宋简体" w:cs="方正小标宋简体"/>
          <w:color w:val="000000" w:themeColor="text1"/>
          <w:sz w:val="32"/>
          <w:szCs w:val="32"/>
          <w14:textFill>
            <w14:solidFill>
              <w14:schemeClr w14:val="tx1"/>
            </w14:solidFill>
          </w14:textFill>
        </w:rPr>
      </w:pPr>
      <w:bookmarkStart w:id="113" w:name="_Toc79163631"/>
      <w:bookmarkStart w:id="114" w:name="_Toc79163881"/>
      <w:r>
        <w:rPr>
          <w:rFonts w:hint="eastAsia" w:ascii="黑体" w:hAnsi="黑体" w:eastAsia="黑体" w:cs="黑体"/>
          <w:color w:val="000000" w:themeColor="text1"/>
          <w:sz w:val="32"/>
          <w:szCs w:val="32"/>
          <w14:textFill>
            <w14:solidFill>
              <w14:schemeClr w14:val="tx1"/>
            </w14:solidFill>
          </w14:textFill>
        </w:rPr>
        <w:t>附件</w:t>
      </w:r>
      <w:r>
        <w:rPr>
          <w:rFonts w:ascii="黑体" w:hAnsi="黑体" w:eastAsia="黑体" w:cs="黑体"/>
          <w:color w:val="000000" w:themeColor="text1"/>
          <w:sz w:val="32"/>
          <w:szCs w:val="32"/>
          <w14:textFill>
            <w14:solidFill>
              <w14:schemeClr w14:val="tx1"/>
            </w14:solidFill>
          </w14:textFill>
        </w:rPr>
        <w:t>1</w:t>
      </w:r>
      <w:bookmarkEnd w:id="113"/>
      <w:bookmarkEnd w:id="114"/>
    </w:p>
    <w:p>
      <w:pPr>
        <w:pageBreakBefore w:val="0"/>
        <w:kinsoku/>
        <w:wordWrap/>
        <w:overflowPunct/>
        <w:topLinePunct w:val="0"/>
        <w:bidi w:val="0"/>
        <w:spacing w:line="576" w:lineRule="exact"/>
        <w:jc w:val="center"/>
        <w:textAlignment w:val="auto"/>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76" w:lineRule="exact"/>
        <w:ind w:left="0" w:leftChars="0"/>
        <w:jc w:val="center"/>
        <w:textAlignment w:val="auto"/>
        <w:rPr>
          <w:rFonts w:hint="eastAsia" w:ascii="方正小标宋简体" w:hAnsi="方正小标宋简体" w:eastAsia="方正小标宋简体" w:cs="方正小标宋简体"/>
          <w:b w:val="0"/>
          <w:bCs/>
          <w:sz w:val="44"/>
          <w:szCs w:val="44"/>
          <w:lang w:eastAsia="zh-CN" w:bidi="ar-SA"/>
        </w:rPr>
      </w:pPr>
      <w:r>
        <w:rPr>
          <w:rFonts w:hint="eastAsia" w:ascii="方正小标宋简体" w:hAnsi="方正小标宋简体" w:eastAsia="方正小标宋简体" w:cs="方正小标宋简体"/>
          <w:b w:val="0"/>
          <w:bCs/>
          <w:sz w:val="44"/>
          <w:szCs w:val="44"/>
          <w:lang w:eastAsia="zh-CN" w:bidi="ar-SA"/>
        </w:rPr>
        <w:t>小金县人民法院</w:t>
      </w:r>
    </w:p>
    <w:p>
      <w:pPr>
        <w:keepNext w:val="0"/>
        <w:keepLines w:val="0"/>
        <w:pageBreakBefore w:val="0"/>
        <w:widowControl w:val="0"/>
        <w:kinsoku/>
        <w:wordWrap/>
        <w:overflowPunct/>
        <w:topLinePunct w:val="0"/>
        <w:autoSpaceDE/>
        <w:autoSpaceDN/>
        <w:bidi w:val="0"/>
        <w:adjustRightInd/>
        <w:spacing w:line="576" w:lineRule="exact"/>
        <w:ind w:left="0" w:leftChars="0"/>
        <w:jc w:val="center"/>
        <w:textAlignment w:val="auto"/>
        <w:rPr>
          <w:rFonts w:hint="eastAsia" w:ascii="方正小标宋简体" w:hAnsi="方正小标宋简体" w:eastAsia="方正小标宋简体" w:cs="方正小标宋简体"/>
          <w:b w:val="0"/>
          <w:bCs/>
          <w:sz w:val="44"/>
          <w:szCs w:val="44"/>
          <w:lang w:bidi="ar-SA"/>
        </w:rPr>
      </w:pPr>
      <w:r>
        <w:rPr>
          <w:rFonts w:hint="eastAsia" w:ascii="方正小标宋简体" w:hAnsi="方正小标宋简体" w:eastAsia="方正小标宋简体" w:cs="方正小标宋简体"/>
          <w:b w:val="0"/>
          <w:bCs/>
          <w:sz w:val="44"/>
          <w:szCs w:val="44"/>
          <w:lang w:bidi="ar-SA"/>
        </w:rPr>
        <w:t>转移支付202</w:t>
      </w:r>
      <w:r>
        <w:rPr>
          <w:rFonts w:hint="eastAsia" w:ascii="方正小标宋简体" w:hAnsi="方正小标宋简体" w:eastAsia="方正小标宋简体" w:cs="方正小标宋简体"/>
          <w:b w:val="0"/>
          <w:bCs/>
          <w:sz w:val="44"/>
          <w:szCs w:val="44"/>
          <w:lang w:val="en-US" w:eastAsia="zh-CN" w:bidi="ar-SA"/>
        </w:rPr>
        <w:t>2</w:t>
      </w:r>
      <w:r>
        <w:rPr>
          <w:rFonts w:hint="eastAsia" w:ascii="方正小标宋简体" w:hAnsi="方正小标宋简体" w:eastAsia="方正小标宋简体" w:cs="方正小标宋简体"/>
          <w:b w:val="0"/>
          <w:bCs/>
          <w:sz w:val="44"/>
          <w:szCs w:val="44"/>
          <w:lang w:bidi="ar-SA"/>
        </w:rPr>
        <w:t>年度绩效自评报告</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楷体_GB2312" w:hAnsi="楷体_GB2312" w:eastAsia="楷体_GB2312" w:cs="楷体_GB2312"/>
          <w:b/>
          <w:bCs w:val="0"/>
          <w:sz w:val="32"/>
          <w:szCs w:val="32"/>
          <w:lang w:bidi="ar-SA"/>
        </w:rPr>
      </w:pPr>
    </w:p>
    <w:p>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rPr>
          <w:rFonts w:hint="eastAsia" w:ascii="楷体_GB2312" w:hAnsi="楷体_GB2312" w:eastAsia="楷体_GB2312" w:cs="楷体_GB2312"/>
          <w:b/>
          <w:bCs w:val="0"/>
          <w:sz w:val="32"/>
          <w:szCs w:val="32"/>
          <w:lang w:bidi="ar-SA"/>
        </w:rPr>
      </w:pPr>
      <w:r>
        <w:rPr>
          <w:rFonts w:hint="eastAsia" w:ascii="楷体_GB2312" w:hAnsi="楷体_GB2312" w:eastAsia="楷体_GB2312" w:cs="楷体_GB2312"/>
          <w:b/>
          <w:bCs w:val="0"/>
          <w:sz w:val="32"/>
          <w:szCs w:val="32"/>
          <w:lang w:bidi="ar-SA"/>
        </w:rPr>
        <w:t>一、绩效目标分解下达情况</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（一）中央下达202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年政法转移支付预算和绩效目标情况</w:t>
      </w:r>
      <w:r>
        <w:rPr>
          <w:rFonts w:hint="eastAsia" w:ascii="仿宋_GB2312" w:hAnsi="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年政法转移支付资金共计下达</w:t>
      </w:r>
      <w:r>
        <w:rPr>
          <w:rFonts w:hint="eastAsia" w:ascii="仿宋_GB2312" w:hAnsi="仿宋_GB2312" w:eastAsia="仿宋_GB2312" w:cs="仿宋_GB2312"/>
          <w:sz w:val="32"/>
          <w:szCs w:val="32"/>
          <w:lang w:val="en-US" w:eastAsia="zh-CN"/>
        </w:rPr>
        <w:t>549</w:t>
      </w:r>
      <w:r>
        <w:rPr>
          <w:rFonts w:hint="eastAsia" w:ascii="仿宋_GB2312" w:hAnsi="仿宋_GB2312" w:eastAsia="仿宋_GB2312" w:cs="仿宋_GB2312"/>
          <w:sz w:val="32"/>
          <w:szCs w:val="32"/>
        </w:rPr>
        <w:t>万元，全年共计支出政法转移资金</w:t>
      </w:r>
      <w:r>
        <w:rPr>
          <w:rFonts w:hint="eastAsia" w:ascii="仿宋_GB2312" w:hAnsi="仿宋_GB2312" w:cs="仿宋_GB2312"/>
          <w:sz w:val="32"/>
          <w:szCs w:val="32"/>
          <w:lang w:val="en-US" w:eastAsia="zh-CN"/>
        </w:rPr>
        <w:t>523</w:t>
      </w:r>
      <w:r>
        <w:rPr>
          <w:rFonts w:hint="eastAsia" w:ascii="仿宋_GB2312" w:hAnsi="仿宋_GB2312" w:eastAsia="仿宋_GB2312" w:cs="仿宋_GB2312"/>
          <w:sz w:val="32"/>
          <w:szCs w:val="32"/>
        </w:rPr>
        <w:t>万元</w:t>
      </w:r>
      <w:r>
        <w:rPr>
          <w:rFonts w:hint="eastAsia" w:ascii="仿宋_GB2312" w:hAnsi="仿宋_GB2312" w:cs="仿宋_GB2312"/>
          <w:sz w:val="32"/>
          <w:szCs w:val="32"/>
          <w:lang w:val="en-US" w:eastAsia="zh-CN"/>
        </w:rPr>
        <w:t>,预算执行率95.27%</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pacing w:line="576" w:lineRule="exact"/>
        <w:ind w:left="0" w:leftChars="0" w:firstLine="643" w:firstLineChars="200"/>
        <w:textAlignment w:val="auto"/>
        <w:rPr>
          <w:rFonts w:hint="eastAsia" w:ascii="楷体_GB2312" w:hAnsi="楷体_GB2312" w:eastAsia="楷体_GB2312" w:cs="楷体_GB2312"/>
          <w:b/>
          <w:bCs w:val="0"/>
          <w:sz w:val="32"/>
          <w:szCs w:val="32"/>
          <w:lang w:bidi="ar-SA"/>
        </w:rPr>
      </w:pPr>
      <w:r>
        <w:rPr>
          <w:rFonts w:hint="eastAsia" w:ascii="楷体_GB2312" w:hAnsi="楷体_GB2312" w:eastAsia="楷体_GB2312" w:cs="楷体_GB2312"/>
          <w:b/>
          <w:bCs w:val="0"/>
          <w:sz w:val="32"/>
          <w:szCs w:val="32"/>
          <w:lang w:bidi="ar-SA"/>
        </w:rPr>
        <w:t>二、绩效目标完成情况分析</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bidi="ar-SA"/>
        </w:rPr>
        <w:t>（一）资金投入情况分析。</w:t>
      </w:r>
    </w:p>
    <w:p>
      <w:pPr>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1.项目资金到位情况分析。项目资金下达时间为</w:t>
      </w:r>
      <w:r>
        <w:rPr>
          <w:rFonts w:hint="eastAsia" w:ascii="仿宋_GB2312" w:hAnsi="仿宋_GB2312" w:eastAsia="仿宋_GB2312" w:cs="仿宋_GB2312"/>
          <w:sz w:val="32"/>
          <w:szCs w:val="32"/>
          <w:lang w:val="en-US" w:eastAsia="zh-CN"/>
        </w:rPr>
        <w:t>2022年7月6日</w:t>
      </w:r>
      <w:r>
        <w:rPr>
          <w:rFonts w:hint="eastAsia" w:ascii="仿宋_GB2312" w:hAnsi="仿宋_GB2312" w:eastAsia="仿宋_GB2312" w:cs="仿宋_GB2312"/>
          <w:sz w:val="32"/>
          <w:szCs w:val="32"/>
        </w:rPr>
        <w:t>下达政法转移支付资金3</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万元,12月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日下达政法转移支付资金1</w:t>
      </w:r>
      <w:r>
        <w:rPr>
          <w:rFonts w:hint="eastAsia" w:ascii="仿宋_GB2312" w:hAnsi="仿宋_GB2312" w:eastAsia="仿宋_GB2312" w:cs="仿宋_GB2312"/>
          <w:sz w:val="32"/>
          <w:szCs w:val="32"/>
          <w:lang w:val="en-US" w:eastAsia="zh-CN"/>
        </w:rPr>
        <w:t>84</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2.项目资金执行情况分析。截至202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年年底，全年支出包中央政法转移支付资金</w:t>
      </w:r>
      <w:r>
        <w:rPr>
          <w:rFonts w:hint="eastAsia" w:ascii="仿宋_GB2312" w:hAnsi="仿宋_GB2312" w:cs="仿宋_GB2312"/>
          <w:sz w:val="32"/>
          <w:szCs w:val="32"/>
          <w:lang w:val="en-US" w:eastAsia="zh-CN"/>
        </w:rPr>
        <w:t>523</w:t>
      </w:r>
      <w:r>
        <w:rPr>
          <w:rFonts w:hint="eastAsia" w:ascii="仿宋_GB2312" w:hAnsi="仿宋_GB2312" w:eastAsia="仿宋_GB2312" w:cs="仿宋_GB2312"/>
          <w:sz w:val="32"/>
          <w:szCs w:val="32"/>
        </w:rPr>
        <w:t>万元。主要用于202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年日常办案业务支出</w:t>
      </w:r>
      <w:r>
        <w:rPr>
          <w:rFonts w:hint="eastAsia" w:ascii="仿宋_GB2312" w:hAnsi="仿宋_GB2312" w:cs="仿宋_GB2312"/>
          <w:sz w:val="32"/>
          <w:szCs w:val="32"/>
          <w:lang w:eastAsia="zh-CN"/>
        </w:rPr>
        <w:t>及业务装备采购支出</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textAlignment w:val="auto"/>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eastAsia="zh-CN" w:bidi="ar-SA"/>
        </w:rPr>
        <w:t>（二）资金管理情况分析。</w:t>
      </w:r>
    </w:p>
    <w:p>
      <w:pPr>
        <w:pStyle w:val="2"/>
        <w:keepNext w:val="0"/>
        <w:keepLines w:val="0"/>
        <w:pageBreakBefore w:val="0"/>
        <w:widowControl w:val="0"/>
        <w:kinsoku/>
        <w:wordWrap/>
        <w:overflowPunct/>
        <w:topLinePunct w:val="0"/>
        <w:autoSpaceDE/>
        <w:autoSpaceDN/>
        <w:bidi w:val="0"/>
        <w:adjustRightInd/>
        <w:spacing w:line="576" w:lineRule="exact"/>
        <w:ind w:left="0" w:leftChars="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highlight w:val="none"/>
          <w:lang w:val="en-US" w:eastAsia="zh-CN"/>
        </w:rPr>
        <w:t xml:space="preserve"> 我院在财务管理上严格遵守预算会计规章制度，明确 收支两条线”的管理办法:在资产管理，，做到账物一致、账表相符;诉讼费管理上，明确票款分离管理制度，由银行代收，避免立案庭开票收费的行为;执行款物管理上，设立银行专户，建立专账专人管理，明确遵守财政部制定的基本建设财务管理规定;在支出方面，我院对报账严格要求，差派费报销必须附出差审批表和公务卡单，对手续不齐全的，一律不了核报。严格控制车辆支出，外出办案办事能拼车出行尽量拼车;对于车辆严格限制公里数，规定晚上车辆入库，每月登记车辆公里数。严格控制办公用品消耗，从一张纸、一支笔抓起，杜绝一切浪费。</w:t>
      </w:r>
    </w:p>
    <w:p>
      <w:pPr>
        <w:keepNext w:val="0"/>
        <w:keepLines w:val="0"/>
        <w:pageBreakBefore w:val="0"/>
        <w:widowControl w:val="0"/>
        <w:numPr>
          <w:ilvl w:val="0"/>
          <w:numId w:val="4"/>
        </w:numPr>
        <w:kinsoku/>
        <w:wordWrap/>
        <w:overflowPunct/>
        <w:topLinePunct w:val="0"/>
        <w:autoSpaceDE/>
        <w:autoSpaceDN/>
        <w:bidi w:val="0"/>
        <w:adjustRightInd/>
        <w:snapToGrid w:val="0"/>
        <w:spacing w:line="576" w:lineRule="exact"/>
        <w:ind w:left="0" w:leftChars="0" w:firstLine="640" w:firstLineChars="200"/>
        <w:textAlignment w:val="auto"/>
        <w:outlineLvl w:val="0"/>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总体绩效目标完成情况分析。</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outlineLvl w:val="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2022年我院年度总体绩效目标完成情况：1、确保了日常审判执行工作及基层法庭正常开展，同时得到了上级部门的大力支持，改善保障了办案业务的资金支持，进一步推动小金县人民法院财务统管工作。</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outlineLvl w:val="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给干警提供了安全、良好的司法工作环境，满足了本院办案主业有效运行。</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outlineLvl w:val="0"/>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3、2022年度服判息诉率96.01%，高于85%，</w:t>
      </w:r>
      <w:r>
        <w:rPr>
          <w:rFonts w:hint="eastAsia" w:ascii="仿宋_GB2312" w:hAnsi="仿宋_GB2312" w:eastAsia="仿宋_GB2312" w:cs="仿宋_GB2312"/>
          <w:bCs/>
          <w:sz w:val="32"/>
          <w:szCs w:val="32"/>
          <w:lang w:val="en-US" w:eastAsia="zh-CN"/>
        </w:rPr>
        <w:t>能够让当事人在每一件案件中感到满意</w:t>
      </w:r>
      <w:r>
        <w:rPr>
          <w:rFonts w:hint="eastAsia" w:ascii="仿宋_GB2312" w:hAnsi="仿宋_GB2312" w:eastAsia="仿宋_GB2312" w:cs="仿宋_GB2312"/>
          <w:bCs/>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outlineLvl w:val="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（四）绩效指标完成情况分析。</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outlineLvl w:val="0"/>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1.产出指标完成情况分析</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outlineLvl w:val="0"/>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数量指标。2022年受理诉讼案件共计556件，结案数量共计544件，当年受理执行案件共计331件，执结案件331件,法官人均结案数48件，长期未结案件化解率达到100%，全年参加培训干警共计17次30人，办案及业务用房维修面积6000平方米，使用业务装备经费购LED会议显示屏一套、无人机1套、案卷装订机一台、新建安检中心及相应配套的设施。</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outlineLvl w:val="0"/>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（2）质量指标。2022年案件结案均衡度79&amp;，一审判决案件改发率1.064%，生效案件改发率0.00%，执行案件法定期限内执结率100%。</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outlineLvl w:val="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（3）时效指标。2022年案件平均在院审理天数26.15天，较上年度有所提升,案件接收比85.58%，法定审限内结案率达到100%。   </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outlineLvl w:val="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2.满意度指标完成情况分析</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outlineLvl w:val="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2022年度服判息诉率96.01%，高于85%说明案件审判合理，满意度较高。</w:t>
      </w:r>
    </w:p>
    <w:p>
      <w:pPr>
        <w:keepNext w:val="0"/>
        <w:keepLines w:val="0"/>
        <w:pageBreakBefore w:val="0"/>
        <w:widowControl w:val="0"/>
        <w:kinsoku/>
        <w:wordWrap/>
        <w:overflowPunct/>
        <w:topLinePunct w:val="0"/>
        <w:autoSpaceDE/>
        <w:autoSpaceDN/>
        <w:bidi w:val="0"/>
        <w:adjustRightInd/>
        <w:spacing w:line="576" w:lineRule="exact"/>
        <w:ind w:left="0" w:leftChars="0" w:firstLine="643" w:firstLineChars="200"/>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lang w:bidi="ar-SA"/>
        </w:rPr>
        <w:t>三、偏离绩效目标的原因和下一步改进措施</w:t>
      </w:r>
    </w:p>
    <w:p>
      <w:pPr>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w:t>
      </w:r>
      <w:r>
        <w:rPr>
          <w:rFonts w:hint="eastAsia" w:ascii="仿宋_GB2312" w:hAnsi="仿宋_GB2312" w:cs="仿宋_GB2312"/>
          <w:sz w:val="32"/>
          <w:szCs w:val="32"/>
          <w:lang w:val="en-US" w:eastAsia="zh-CN"/>
        </w:rPr>
        <w:t>年初</w:t>
      </w:r>
      <w:r>
        <w:rPr>
          <w:rFonts w:hint="eastAsia" w:ascii="仿宋_GB2312" w:hAnsi="仿宋_GB2312" w:eastAsia="仿宋_GB2312" w:cs="仿宋_GB2312"/>
          <w:sz w:val="32"/>
          <w:szCs w:val="32"/>
          <w:lang w:val="en-US" w:eastAsia="zh-CN"/>
        </w:rPr>
        <w:t>县级财政保障我院</w:t>
      </w:r>
      <w:r>
        <w:rPr>
          <w:rFonts w:hint="eastAsia" w:ascii="仿宋_GB2312" w:hAnsi="仿宋_GB2312" w:cs="仿宋_GB2312"/>
          <w:sz w:val="32"/>
          <w:szCs w:val="32"/>
          <w:lang w:val="en-US" w:eastAsia="zh-CN"/>
        </w:rPr>
        <w:t>部分</w:t>
      </w:r>
      <w:r>
        <w:rPr>
          <w:rFonts w:hint="eastAsia" w:ascii="仿宋_GB2312" w:hAnsi="仿宋_GB2312" w:eastAsia="仿宋_GB2312" w:cs="仿宋_GB2312"/>
          <w:sz w:val="32"/>
          <w:szCs w:val="32"/>
          <w:lang w:val="en-US" w:eastAsia="zh-CN"/>
        </w:rPr>
        <w:t>中央政法纪检监察转移支付资金，主要用于日常办案业务开支及部分项目质保金。改进措施：下一年度加强资金支付力度。</w:t>
      </w:r>
    </w:p>
    <w:p>
      <w:pPr>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执法执勤车辆采购</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未完成，主要原因是</w:t>
      </w:r>
      <w:r>
        <w:rPr>
          <w:rFonts w:hint="eastAsia" w:ascii="仿宋_GB2312" w:hAnsi="仿宋_GB2312" w:eastAsia="仿宋_GB2312" w:cs="仿宋_GB2312"/>
          <w:sz w:val="32"/>
          <w:szCs w:val="32"/>
          <w:lang w:eastAsia="zh-CN"/>
        </w:rPr>
        <w:t>部分采购流程不熟悉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且</w:t>
      </w:r>
      <w:r>
        <w:rPr>
          <w:rFonts w:hint="eastAsia" w:ascii="仿宋_GB2312" w:hAnsi="仿宋_GB2312" w:eastAsia="仿宋_GB2312" w:cs="仿宋_GB2312"/>
          <w:sz w:val="32"/>
          <w:szCs w:val="32"/>
        </w:rPr>
        <w:t>筹备阶段工作较为复杂</w:t>
      </w:r>
      <w:r>
        <w:rPr>
          <w:rFonts w:hint="eastAsia" w:ascii="仿宋_GB2312" w:hAnsi="仿宋_GB2312" w:eastAsia="仿宋_GB2312" w:cs="仿宋_GB2312"/>
          <w:sz w:val="32"/>
          <w:szCs w:val="32"/>
          <w:lang w:eastAsia="zh-CN"/>
        </w:rPr>
        <w:t>。改进</w:t>
      </w:r>
      <w:r>
        <w:rPr>
          <w:rFonts w:hint="eastAsia" w:ascii="仿宋_GB2312" w:hAnsi="仿宋_GB2312" w:eastAsia="仿宋_GB2312" w:cs="仿宋_GB2312"/>
          <w:sz w:val="32"/>
          <w:szCs w:val="32"/>
        </w:rPr>
        <w:t>措施：下一年度年初加紧改造并完成该项工作；</w:t>
      </w:r>
    </w:p>
    <w:p>
      <w:pPr>
        <w:keepNext w:val="0"/>
        <w:keepLines w:val="0"/>
        <w:pageBreakBefore w:val="0"/>
        <w:widowControl w:val="0"/>
        <w:kinsoku/>
        <w:wordWrap/>
        <w:overflowPunct/>
        <w:topLinePunct w:val="0"/>
        <w:autoSpaceDE/>
        <w:autoSpaceDN/>
        <w:bidi w:val="0"/>
        <w:adjustRightInd/>
        <w:spacing w:line="576" w:lineRule="exact"/>
        <w:ind w:left="0" w:leftChars="0" w:firstLine="643" w:firstLineChars="200"/>
        <w:textAlignment w:val="auto"/>
        <w:rPr>
          <w:rFonts w:hint="eastAsia" w:ascii="楷体_GB2312" w:hAnsi="楷体_GB2312" w:eastAsia="楷体_GB2312" w:cs="楷体_GB2312"/>
          <w:b/>
          <w:bCs w:val="0"/>
          <w:sz w:val="32"/>
          <w:szCs w:val="32"/>
          <w:lang w:bidi="ar-SA"/>
        </w:rPr>
      </w:pPr>
      <w:r>
        <w:rPr>
          <w:rFonts w:hint="eastAsia" w:ascii="楷体_GB2312" w:hAnsi="楷体_GB2312" w:eastAsia="楷体_GB2312" w:cs="楷体_GB2312"/>
          <w:b/>
          <w:bCs w:val="0"/>
          <w:sz w:val="32"/>
          <w:szCs w:val="32"/>
          <w:lang w:bidi="ar-SA"/>
        </w:rPr>
        <w:t>四、绩效自评结果拟应用和公开情况</w:t>
      </w:r>
    </w:p>
    <w:p>
      <w:pPr>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textAlignment w:val="auto"/>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eastAsia="zh-CN"/>
        </w:rPr>
        <w:t>进一步加强对绩效目标结果的运用，督促做好绩效自评发现的问题，并进行认真整改，确保本单位绩效目标保质保量实现。</w:t>
      </w:r>
    </w:p>
    <w:p>
      <w:pPr>
        <w:keepNext w:val="0"/>
        <w:keepLines w:val="0"/>
        <w:pageBreakBefore w:val="0"/>
        <w:widowControl w:val="0"/>
        <w:kinsoku/>
        <w:wordWrap/>
        <w:overflowPunct/>
        <w:topLinePunct w:val="0"/>
        <w:autoSpaceDE/>
        <w:autoSpaceDN/>
        <w:bidi w:val="0"/>
        <w:adjustRightInd/>
        <w:spacing w:line="576" w:lineRule="exact"/>
        <w:ind w:left="0" w:leftChars="0" w:firstLine="643" w:firstLineChars="200"/>
        <w:textAlignment w:val="auto"/>
        <w:rPr>
          <w:rFonts w:hint="eastAsia" w:ascii="楷体_GB2312" w:hAnsi="楷体_GB2312" w:eastAsia="楷体_GB2312" w:cs="楷体_GB2312"/>
          <w:b/>
          <w:bCs w:val="0"/>
          <w:sz w:val="32"/>
          <w:szCs w:val="32"/>
          <w:lang w:bidi="ar-SA"/>
        </w:rPr>
      </w:pPr>
      <w:r>
        <w:rPr>
          <w:rFonts w:hint="eastAsia" w:ascii="楷体_GB2312" w:hAnsi="楷体_GB2312" w:eastAsia="楷体_GB2312" w:cs="楷体_GB2312"/>
          <w:b/>
          <w:bCs w:val="0"/>
          <w:sz w:val="32"/>
          <w:szCs w:val="32"/>
          <w:lang w:bidi="ar-SA"/>
        </w:rPr>
        <w:t>五、其他需要说明的问题</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巡视、审计和</w:t>
      </w:r>
      <w:r>
        <w:rPr>
          <w:rFonts w:hint="eastAsia" w:ascii="仿宋_GB2312" w:hAnsi="仿宋_GB2312" w:eastAsia="仿宋_GB2312" w:cs="仿宋_GB2312"/>
          <w:sz w:val="32"/>
          <w:szCs w:val="32"/>
          <w:lang w:eastAsia="zh-CN"/>
        </w:rPr>
        <w:t>财会</w:t>
      </w:r>
      <w:r>
        <w:rPr>
          <w:rFonts w:hint="eastAsia" w:ascii="仿宋_GB2312" w:hAnsi="仿宋_GB2312" w:eastAsia="仿宋_GB2312" w:cs="仿宋_GB2312"/>
          <w:sz w:val="32"/>
          <w:szCs w:val="32"/>
        </w:rPr>
        <w:t xml:space="preserve">监督中发现的问题及其所涉及的金额。   </w:t>
      </w:r>
    </w:p>
    <w:p>
      <w:pPr>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pPr>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附：转移支付区域（项目）绩效目标自评表</w:t>
      </w:r>
    </w:p>
    <w:p>
      <w:pPr>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pacing w:line="240" w:lineRule="auto"/>
        <w:ind w:left="0" w:leftChars="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309235" cy="7499350"/>
            <wp:effectExtent l="0" t="0" r="5715" b="6350"/>
            <wp:docPr id="1" name="图片 1" descr="自评表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自评表_00"/>
                    <pic:cNvPicPr>
                      <a:picLocks noChangeAspect="1"/>
                    </pic:cNvPicPr>
                  </pic:nvPicPr>
                  <pic:blipFill>
                    <a:blip r:embed="rId6"/>
                    <a:stretch>
                      <a:fillRect/>
                    </a:stretch>
                  </pic:blipFill>
                  <pic:spPr>
                    <a:xfrm>
                      <a:off x="0" y="0"/>
                      <a:ext cx="5309235" cy="7499350"/>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hAnsi="仿宋_GB2312" w:eastAsia="仿宋_GB2312" w:cs="仿宋_GB2312"/>
          <w:sz w:val="32"/>
          <w:szCs w:val="32"/>
        </w:rPr>
      </w:pPr>
    </w:p>
    <w:p>
      <w:pPr>
        <w:pageBreakBefore w:val="0"/>
        <w:kinsoku/>
        <w:wordWrap/>
        <w:overflowPunct/>
        <w:topLinePunct w:val="0"/>
        <w:bidi w:val="0"/>
        <w:spacing w:line="576" w:lineRule="exact"/>
        <w:jc w:val="center"/>
        <w:textAlignment w:val="auto"/>
        <w:outlineLvl w:val="0"/>
        <w:rPr>
          <w:rFonts w:hint="eastAsia" w:ascii="黑体" w:hAnsi="黑体" w:eastAsia="黑体"/>
          <w:color w:val="FF0000"/>
          <w:sz w:val="44"/>
          <w:szCs w:val="44"/>
        </w:rPr>
      </w:pPr>
      <w:bookmarkStart w:id="115" w:name="_Toc15396618"/>
      <w:bookmarkStart w:id="116" w:name="_Toc79163885"/>
      <w:bookmarkStart w:id="117" w:name="_Toc79163635"/>
    </w:p>
    <w:p>
      <w:pPr>
        <w:pStyle w:val="2"/>
        <w:rPr>
          <w:rFonts w:hint="eastAsia" w:ascii="黑体" w:hAnsi="黑体" w:eastAsia="黑体"/>
          <w:color w:val="FF0000"/>
          <w:sz w:val="44"/>
          <w:szCs w:val="44"/>
        </w:rPr>
      </w:pPr>
    </w:p>
    <w:p>
      <w:pPr>
        <w:pStyle w:val="2"/>
        <w:rPr>
          <w:rFonts w:hint="eastAsia" w:ascii="黑体" w:hAnsi="黑体" w:eastAsia="黑体"/>
          <w:color w:val="FF0000"/>
          <w:sz w:val="44"/>
          <w:szCs w:val="44"/>
        </w:rPr>
      </w:pPr>
    </w:p>
    <w:p>
      <w:pPr>
        <w:pStyle w:val="2"/>
        <w:rPr>
          <w:rFonts w:hint="eastAsia" w:ascii="黑体" w:hAnsi="黑体" w:eastAsia="黑体"/>
          <w:color w:val="FF0000"/>
          <w:sz w:val="44"/>
          <w:szCs w:val="44"/>
        </w:rPr>
      </w:pPr>
    </w:p>
    <w:p>
      <w:pPr>
        <w:pStyle w:val="2"/>
        <w:rPr>
          <w:rFonts w:hint="eastAsia" w:ascii="黑体" w:hAnsi="黑体" w:eastAsia="黑体"/>
          <w:color w:val="FF0000"/>
          <w:sz w:val="44"/>
          <w:szCs w:val="44"/>
        </w:rPr>
      </w:pPr>
    </w:p>
    <w:p>
      <w:pPr>
        <w:pStyle w:val="2"/>
        <w:rPr>
          <w:rFonts w:hint="eastAsia" w:ascii="黑体" w:hAnsi="黑体" w:eastAsia="黑体"/>
          <w:color w:val="FF0000"/>
          <w:sz w:val="44"/>
          <w:szCs w:val="44"/>
        </w:rPr>
      </w:pPr>
    </w:p>
    <w:p>
      <w:pPr>
        <w:pStyle w:val="2"/>
        <w:rPr>
          <w:rFonts w:hint="eastAsia" w:ascii="黑体" w:hAnsi="黑体" w:eastAsia="黑体"/>
          <w:color w:val="FF0000"/>
          <w:sz w:val="44"/>
          <w:szCs w:val="44"/>
        </w:rPr>
      </w:pPr>
    </w:p>
    <w:p>
      <w:pPr>
        <w:pStyle w:val="2"/>
        <w:rPr>
          <w:rFonts w:hint="eastAsia" w:ascii="黑体" w:hAnsi="黑体" w:eastAsia="黑体"/>
          <w:color w:val="FF0000"/>
          <w:sz w:val="44"/>
          <w:szCs w:val="44"/>
        </w:rPr>
      </w:pPr>
    </w:p>
    <w:p>
      <w:pPr>
        <w:pageBreakBefore w:val="0"/>
        <w:kinsoku/>
        <w:wordWrap/>
        <w:overflowPunct/>
        <w:topLinePunct w:val="0"/>
        <w:bidi w:val="0"/>
        <w:spacing w:line="576" w:lineRule="exact"/>
        <w:jc w:val="center"/>
        <w:textAlignment w:val="auto"/>
        <w:outlineLvl w:val="0"/>
        <w:rPr>
          <w:rFonts w:hint="eastAsia" w:ascii="黑体" w:hAnsi="黑体" w:eastAsia="黑体"/>
          <w:color w:val="FF0000"/>
          <w:sz w:val="44"/>
          <w:szCs w:val="44"/>
        </w:rPr>
      </w:pPr>
    </w:p>
    <w:p>
      <w:pPr>
        <w:pageBreakBefore w:val="0"/>
        <w:kinsoku/>
        <w:wordWrap/>
        <w:overflowPunct/>
        <w:topLinePunct w:val="0"/>
        <w:bidi w:val="0"/>
        <w:spacing w:line="576" w:lineRule="exact"/>
        <w:jc w:val="center"/>
        <w:textAlignment w:val="auto"/>
        <w:outlineLvl w:val="0"/>
        <w:rPr>
          <w:rFonts w:hint="eastAsia" w:ascii="黑体" w:hAnsi="黑体" w:eastAsia="黑体"/>
          <w:color w:val="000000" w:themeColor="text1"/>
          <w:sz w:val="44"/>
          <w:szCs w:val="44"/>
          <w14:textFill>
            <w14:solidFill>
              <w14:schemeClr w14:val="tx1"/>
            </w14:solidFill>
          </w14:textFill>
        </w:rPr>
      </w:pPr>
    </w:p>
    <w:p>
      <w:pPr>
        <w:pStyle w:val="2"/>
        <w:rPr>
          <w:rFonts w:hint="eastAsia" w:ascii="黑体" w:hAnsi="黑体" w:eastAsia="黑体"/>
          <w:color w:val="000000" w:themeColor="text1"/>
          <w:sz w:val="44"/>
          <w:szCs w:val="44"/>
          <w14:textFill>
            <w14:solidFill>
              <w14:schemeClr w14:val="tx1"/>
            </w14:solidFill>
          </w14:textFill>
        </w:rPr>
      </w:pPr>
    </w:p>
    <w:p>
      <w:pPr>
        <w:pStyle w:val="2"/>
        <w:rPr>
          <w:rFonts w:hint="eastAsia" w:ascii="黑体" w:hAnsi="黑体" w:eastAsia="黑体"/>
          <w:color w:val="000000" w:themeColor="text1"/>
          <w:sz w:val="44"/>
          <w:szCs w:val="44"/>
          <w14:textFill>
            <w14:solidFill>
              <w14:schemeClr w14:val="tx1"/>
            </w14:solidFill>
          </w14:textFill>
        </w:rPr>
      </w:pPr>
    </w:p>
    <w:p>
      <w:pPr>
        <w:pStyle w:val="2"/>
        <w:rPr>
          <w:rFonts w:hint="eastAsia" w:ascii="黑体" w:hAnsi="黑体" w:eastAsia="黑体"/>
          <w:color w:val="000000" w:themeColor="text1"/>
          <w:sz w:val="44"/>
          <w:szCs w:val="44"/>
          <w14:textFill>
            <w14:solidFill>
              <w14:schemeClr w14:val="tx1"/>
            </w14:solidFill>
          </w14:textFill>
        </w:rPr>
      </w:pPr>
      <w:bookmarkStart w:id="159" w:name="_GoBack"/>
      <w:bookmarkEnd w:id="159"/>
    </w:p>
    <w:p>
      <w:pPr>
        <w:pageBreakBefore w:val="0"/>
        <w:kinsoku/>
        <w:wordWrap/>
        <w:overflowPunct/>
        <w:topLinePunct w:val="0"/>
        <w:bidi w:val="0"/>
        <w:spacing w:line="576" w:lineRule="exact"/>
        <w:jc w:val="center"/>
        <w:textAlignment w:val="auto"/>
        <w:outlineLvl w:val="0"/>
        <w:rPr>
          <w:rFonts w:hint="eastAsia" w:ascii="黑体" w:hAnsi="黑体" w:eastAsia="黑体"/>
          <w:color w:val="000000" w:themeColor="text1"/>
          <w:sz w:val="44"/>
          <w:szCs w:val="44"/>
          <w14:textFill>
            <w14:solidFill>
              <w14:schemeClr w14:val="tx1"/>
            </w14:solidFill>
          </w14:textFill>
        </w:rPr>
      </w:pPr>
    </w:p>
    <w:p>
      <w:pPr>
        <w:pageBreakBefore w:val="0"/>
        <w:kinsoku/>
        <w:wordWrap/>
        <w:overflowPunct/>
        <w:topLinePunct w:val="0"/>
        <w:bidi w:val="0"/>
        <w:spacing w:line="576" w:lineRule="exact"/>
        <w:jc w:val="center"/>
        <w:textAlignment w:val="auto"/>
        <w:outlineLvl w:val="0"/>
        <w:rPr>
          <w:rFonts w:hint="eastAsia" w:ascii="黑体" w:hAnsi="黑体" w:eastAsia="黑体"/>
          <w:color w:val="000000" w:themeColor="text1"/>
          <w:sz w:val="44"/>
          <w:szCs w:val="44"/>
          <w14:textFill>
            <w14:solidFill>
              <w14:schemeClr w14:val="tx1"/>
            </w14:solidFill>
          </w14:textFill>
        </w:rPr>
      </w:pPr>
    </w:p>
    <w:p>
      <w:pPr>
        <w:pageBreakBefore w:val="0"/>
        <w:kinsoku/>
        <w:wordWrap/>
        <w:overflowPunct/>
        <w:topLinePunct w:val="0"/>
        <w:bidi w:val="0"/>
        <w:spacing w:line="576" w:lineRule="exact"/>
        <w:jc w:val="center"/>
        <w:textAlignment w:val="auto"/>
        <w:outlineLvl w:val="0"/>
        <w:rPr>
          <w:rFonts w:hint="eastAsia" w:ascii="黑体" w:hAnsi="黑体" w:eastAsia="黑体"/>
          <w:color w:val="000000" w:themeColor="text1"/>
          <w:sz w:val="44"/>
          <w:szCs w:val="44"/>
          <w14:textFill>
            <w14:solidFill>
              <w14:schemeClr w14:val="tx1"/>
            </w14:solidFill>
          </w14:textFill>
        </w:rPr>
      </w:pPr>
    </w:p>
    <w:p>
      <w:pPr>
        <w:pageBreakBefore w:val="0"/>
        <w:kinsoku/>
        <w:wordWrap/>
        <w:overflowPunct/>
        <w:topLinePunct w:val="0"/>
        <w:bidi w:val="0"/>
        <w:spacing w:line="576" w:lineRule="exact"/>
        <w:jc w:val="center"/>
        <w:textAlignment w:val="auto"/>
        <w:outlineLvl w:val="0"/>
        <w:rPr>
          <w:rFonts w:hint="eastAsia" w:ascii="黑体" w:hAnsi="黑体" w:eastAsia="黑体"/>
          <w:color w:val="000000" w:themeColor="text1"/>
          <w:sz w:val="44"/>
          <w:szCs w:val="44"/>
          <w14:textFill>
            <w14:solidFill>
              <w14:schemeClr w14:val="tx1"/>
            </w14:solidFill>
          </w14:textFill>
        </w:rPr>
      </w:pPr>
    </w:p>
    <w:p>
      <w:pPr>
        <w:pageBreakBefore w:val="0"/>
        <w:kinsoku/>
        <w:wordWrap/>
        <w:overflowPunct/>
        <w:topLinePunct w:val="0"/>
        <w:bidi w:val="0"/>
        <w:spacing w:line="576" w:lineRule="exact"/>
        <w:jc w:val="center"/>
        <w:textAlignment w:val="auto"/>
        <w:outlineLvl w:val="0"/>
        <w:rPr>
          <w:rFonts w:hint="eastAsia" w:ascii="黑体" w:hAnsi="黑体" w:eastAsia="黑体"/>
          <w:color w:val="000000" w:themeColor="text1"/>
          <w:sz w:val="44"/>
          <w:szCs w:val="44"/>
          <w14:textFill>
            <w14:solidFill>
              <w14:schemeClr w14:val="tx1"/>
            </w14:solidFill>
          </w14:textFill>
        </w:rPr>
      </w:pPr>
    </w:p>
    <w:p>
      <w:pPr>
        <w:pageBreakBefore w:val="0"/>
        <w:kinsoku/>
        <w:wordWrap/>
        <w:overflowPunct/>
        <w:topLinePunct w:val="0"/>
        <w:bidi w:val="0"/>
        <w:spacing w:line="576" w:lineRule="exact"/>
        <w:jc w:val="center"/>
        <w:textAlignment w:val="auto"/>
        <w:outlineLvl w:val="0"/>
        <w:rPr>
          <w:rFonts w:hint="eastAsia" w:ascii="黑体" w:hAnsi="黑体" w:eastAsia="黑体"/>
          <w:color w:val="000000" w:themeColor="text1"/>
          <w:sz w:val="44"/>
          <w:szCs w:val="44"/>
          <w14:textFill>
            <w14:solidFill>
              <w14:schemeClr w14:val="tx1"/>
            </w14:solidFill>
          </w14:textFill>
        </w:rPr>
      </w:pPr>
    </w:p>
    <w:p>
      <w:pPr>
        <w:pageBreakBefore w:val="0"/>
        <w:kinsoku/>
        <w:wordWrap/>
        <w:overflowPunct/>
        <w:topLinePunct w:val="0"/>
        <w:bidi w:val="0"/>
        <w:spacing w:line="576" w:lineRule="exact"/>
        <w:jc w:val="center"/>
        <w:textAlignment w:val="auto"/>
        <w:outlineLvl w:val="0"/>
        <w:rPr>
          <w:rStyle w:val="24"/>
          <w:rFonts w:ascii="黑体" w:hAnsi="黑体" w:eastAsia="黑体"/>
          <w:b w:val="0"/>
          <w:color w:val="000000" w:themeColor="text1"/>
          <w14:textFill>
            <w14:solidFill>
              <w14:schemeClr w14:val="tx1"/>
            </w14:solidFill>
          </w14:textFill>
        </w:rPr>
      </w:pPr>
      <w:r>
        <w:rPr>
          <w:rFonts w:hint="eastAsia" w:ascii="黑体" w:hAnsi="黑体" w:eastAsia="黑体"/>
          <w:color w:val="000000" w:themeColor="text1"/>
          <w:sz w:val="44"/>
          <w:szCs w:val="44"/>
          <w14:textFill>
            <w14:solidFill>
              <w14:schemeClr w14:val="tx1"/>
            </w14:solidFill>
          </w14:textFill>
        </w:rPr>
        <w:t>第</w:t>
      </w:r>
      <w:r>
        <w:rPr>
          <w:rStyle w:val="24"/>
          <w:rFonts w:hint="eastAsia" w:ascii="黑体" w:hAnsi="黑体" w:eastAsia="黑体"/>
          <w:b w:val="0"/>
          <w:color w:val="000000" w:themeColor="text1"/>
          <w14:textFill>
            <w14:solidFill>
              <w14:schemeClr w14:val="tx1"/>
            </w14:solidFill>
          </w14:textFill>
        </w:rPr>
        <w:t>五部分</w:t>
      </w:r>
      <w:r>
        <w:rPr>
          <w:rStyle w:val="24"/>
          <w:rFonts w:ascii="黑体" w:hAnsi="黑体" w:eastAsia="黑体"/>
          <w:b w:val="0"/>
          <w:color w:val="000000" w:themeColor="text1"/>
          <w14:textFill>
            <w14:solidFill>
              <w14:schemeClr w14:val="tx1"/>
            </w14:solidFill>
          </w14:textFill>
        </w:rPr>
        <w:t xml:space="preserve"> </w:t>
      </w:r>
      <w:r>
        <w:rPr>
          <w:rStyle w:val="24"/>
          <w:rFonts w:hint="eastAsia" w:ascii="黑体" w:hAnsi="黑体" w:eastAsia="黑体"/>
          <w:b w:val="0"/>
          <w:color w:val="000000" w:themeColor="text1"/>
          <w14:textFill>
            <w14:solidFill>
              <w14:schemeClr w14:val="tx1"/>
            </w14:solidFill>
          </w14:textFill>
        </w:rPr>
        <w:t>附表</w:t>
      </w:r>
      <w:bookmarkEnd w:id="109"/>
      <w:bookmarkEnd w:id="115"/>
      <w:bookmarkEnd w:id="116"/>
      <w:bookmarkEnd w:id="117"/>
    </w:p>
    <w:p>
      <w:pPr>
        <w:pStyle w:val="5"/>
        <w:pageBreakBefore w:val="0"/>
        <w:kinsoku/>
        <w:wordWrap/>
        <w:overflowPunct/>
        <w:topLinePunct w:val="0"/>
        <w:bidi w:val="0"/>
        <w:spacing w:line="576" w:lineRule="exact"/>
        <w:textAlignment w:val="auto"/>
        <w:rPr>
          <w:rFonts w:ascii="仿宋" w:hAnsi="仿宋" w:eastAsia="仿宋"/>
          <w:color w:val="000000" w:themeColor="text1"/>
          <w14:textFill>
            <w14:solidFill>
              <w14:schemeClr w14:val="tx1"/>
            </w14:solidFill>
          </w14:textFill>
        </w:rPr>
      </w:pPr>
      <w:bookmarkStart w:id="118" w:name="_Toc79163636"/>
      <w:bookmarkStart w:id="119" w:name="_Toc15396619"/>
      <w:bookmarkStart w:id="120" w:name="_Toc79163886"/>
      <w:r>
        <w:rPr>
          <w:rFonts w:hint="eastAsia" w:ascii="仿宋" w:hAnsi="仿宋" w:eastAsia="仿宋"/>
          <w:b w:val="0"/>
          <w:color w:val="000000" w:themeColor="text1"/>
          <w14:textFill>
            <w14:solidFill>
              <w14:schemeClr w14:val="tx1"/>
            </w14:solidFill>
          </w14:textFill>
        </w:rPr>
        <w:t>一、收</w:t>
      </w:r>
      <w:r>
        <w:rPr>
          <w:rStyle w:val="25"/>
          <w:rFonts w:hint="eastAsia" w:ascii="仿宋" w:hAnsi="仿宋" w:eastAsia="仿宋"/>
          <w:b w:val="0"/>
          <w:bCs w:val="0"/>
          <w:color w:val="000000" w:themeColor="text1"/>
          <w14:textFill>
            <w14:solidFill>
              <w14:schemeClr w14:val="tx1"/>
            </w14:solidFill>
          </w14:textFill>
        </w:rPr>
        <w:t>入支出决算总表</w:t>
      </w:r>
      <w:bookmarkEnd w:id="118"/>
      <w:bookmarkEnd w:id="119"/>
      <w:bookmarkEnd w:id="120"/>
    </w:p>
    <w:p>
      <w:pPr>
        <w:pStyle w:val="5"/>
        <w:pageBreakBefore w:val="0"/>
        <w:kinsoku/>
        <w:wordWrap/>
        <w:overflowPunct/>
        <w:topLinePunct w:val="0"/>
        <w:bidi w:val="0"/>
        <w:spacing w:line="576" w:lineRule="exact"/>
        <w:textAlignment w:val="auto"/>
        <w:rPr>
          <w:rFonts w:ascii="仿宋" w:hAnsi="仿宋" w:eastAsia="仿宋"/>
          <w:color w:val="000000" w:themeColor="text1"/>
          <w14:textFill>
            <w14:solidFill>
              <w14:schemeClr w14:val="tx1"/>
            </w14:solidFill>
          </w14:textFill>
        </w:rPr>
      </w:pPr>
      <w:bookmarkStart w:id="121" w:name="_Toc15396620"/>
      <w:bookmarkStart w:id="122" w:name="_Toc79163637"/>
      <w:bookmarkStart w:id="123" w:name="_Toc79163887"/>
      <w:r>
        <w:rPr>
          <w:rFonts w:hint="eastAsia" w:ascii="仿宋" w:hAnsi="仿宋" w:eastAsia="仿宋"/>
          <w:b w:val="0"/>
          <w:color w:val="000000" w:themeColor="text1"/>
          <w14:textFill>
            <w14:solidFill>
              <w14:schemeClr w14:val="tx1"/>
            </w14:solidFill>
          </w14:textFill>
        </w:rPr>
        <w:t>二、收</w:t>
      </w:r>
      <w:r>
        <w:rPr>
          <w:rStyle w:val="25"/>
          <w:rFonts w:hint="eastAsia" w:ascii="仿宋" w:hAnsi="仿宋" w:eastAsia="仿宋"/>
          <w:b w:val="0"/>
          <w:bCs w:val="0"/>
          <w:color w:val="000000" w:themeColor="text1"/>
          <w14:textFill>
            <w14:solidFill>
              <w14:schemeClr w14:val="tx1"/>
            </w14:solidFill>
          </w14:textFill>
        </w:rPr>
        <w:t>入决算表</w:t>
      </w:r>
      <w:bookmarkEnd w:id="121"/>
      <w:bookmarkEnd w:id="122"/>
      <w:bookmarkEnd w:id="123"/>
    </w:p>
    <w:p>
      <w:pPr>
        <w:pStyle w:val="5"/>
        <w:pageBreakBefore w:val="0"/>
        <w:kinsoku/>
        <w:wordWrap/>
        <w:overflowPunct/>
        <w:topLinePunct w:val="0"/>
        <w:bidi w:val="0"/>
        <w:spacing w:line="576" w:lineRule="exact"/>
        <w:textAlignment w:val="auto"/>
        <w:rPr>
          <w:rFonts w:ascii="仿宋" w:hAnsi="仿宋" w:eastAsia="仿宋"/>
          <w:color w:val="000000" w:themeColor="text1"/>
          <w14:textFill>
            <w14:solidFill>
              <w14:schemeClr w14:val="tx1"/>
            </w14:solidFill>
          </w14:textFill>
        </w:rPr>
      </w:pPr>
      <w:bookmarkStart w:id="124" w:name="_Toc79163888"/>
      <w:bookmarkStart w:id="125" w:name="_Toc15396621"/>
      <w:bookmarkStart w:id="126" w:name="_Toc79163638"/>
      <w:r>
        <w:rPr>
          <w:rStyle w:val="25"/>
          <w:rFonts w:hint="eastAsia" w:ascii="仿宋" w:hAnsi="仿宋" w:eastAsia="仿宋"/>
          <w:b w:val="0"/>
          <w:bCs w:val="0"/>
          <w:color w:val="000000" w:themeColor="text1"/>
          <w14:textFill>
            <w14:solidFill>
              <w14:schemeClr w14:val="tx1"/>
            </w14:solidFill>
          </w14:textFill>
        </w:rPr>
        <w:t>三、</w:t>
      </w:r>
      <w:r>
        <w:rPr>
          <w:rFonts w:hint="eastAsia" w:ascii="仿宋" w:hAnsi="仿宋" w:eastAsia="仿宋"/>
          <w:b w:val="0"/>
          <w:color w:val="000000" w:themeColor="text1"/>
          <w14:textFill>
            <w14:solidFill>
              <w14:schemeClr w14:val="tx1"/>
            </w14:solidFill>
          </w14:textFill>
        </w:rPr>
        <w:t>支</w:t>
      </w:r>
      <w:r>
        <w:rPr>
          <w:rStyle w:val="25"/>
          <w:rFonts w:hint="eastAsia" w:ascii="仿宋" w:hAnsi="仿宋" w:eastAsia="仿宋"/>
          <w:b w:val="0"/>
          <w:bCs w:val="0"/>
          <w:color w:val="000000" w:themeColor="text1"/>
          <w14:textFill>
            <w14:solidFill>
              <w14:schemeClr w14:val="tx1"/>
            </w14:solidFill>
          </w14:textFill>
        </w:rPr>
        <w:t>出决算表</w:t>
      </w:r>
      <w:bookmarkEnd w:id="124"/>
      <w:bookmarkEnd w:id="125"/>
      <w:bookmarkEnd w:id="126"/>
    </w:p>
    <w:p>
      <w:pPr>
        <w:pStyle w:val="5"/>
        <w:pageBreakBefore w:val="0"/>
        <w:kinsoku/>
        <w:wordWrap/>
        <w:overflowPunct/>
        <w:topLinePunct w:val="0"/>
        <w:bidi w:val="0"/>
        <w:spacing w:line="576" w:lineRule="exact"/>
        <w:textAlignment w:val="auto"/>
        <w:rPr>
          <w:rFonts w:ascii="仿宋" w:hAnsi="仿宋" w:eastAsia="仿宋"/>
          <w:b w:val="0"/>
          <w:color w:val="000000" w:themeColor="text1"/>
          <w14:textFill>
            <w14:solidFill>
              <w14:schemeClr w14:val="tx1"/>
            </w14:solidFill>
          </w14:textFill>
        </w:rPr>
      </w:pPr>
      <w:bookmarkStart w:id="127" w:name="_Toc79163889"/>
      <w:bookmarkStart w:id="128" w:name="_Toc15396622"/>
      <w:bookmarkStart w:id="129" w:name="_Toc79163639"/>
      <w:r>
        <w:rPr>
          <w:rStyle w:val="25"/>
          <w:rFonts w:hint="eastAsia" w:ascii="仿宋" w:hAnsi="仿宋" w:eastAsia="仿宋"/>
          <w:b w:val="0"/>
          <w:bCs w:val="0"/>
          <w:color w:val="000000" w:themeColor="text1"/>
          <w14:textFill>
            <w14:solidFill>
              <w14:schemeClr w14:val="tx1"/>
            </w14:solidFill>
          </w14:textFill>
        </w:rPr>
        <w:t>四、</w:t>
      </w:r>
      <w:r>
        <w:rPr>
          <w:rFonts w:hint="eastAsia" w:ascii="仿宋" w:hAnsi="仿宋" w:eastAsia="仿宋"/>
          <w:b w:val="0"/>
          <w:color w:val="000000" w:themeColor="text1"/>
          <w14:textFill>
            <w14:solidFill>
              <w14:schemeClr w14:val="tx1"/>
            </w14:solidFill>
          </w14:textFill>
        </w:rPr>
        <w:t>财</w:t>
      </w:r>
      <w:r>
        <w:rPr>
          <w:rStyle w:val="25"/>
          <w:rFonts w:hint="eastAsia" w:ascii="仿宋" w:hAnsi="仿宋" w:eastAsia="仿宋"/>
          <w:b w:val="0"/>
          <w:bCs w:val="0"/>
          <w:color w:val="000000" w:themeColor="text1"/>
          <w14:textFill>
            <w14:solidFill>
              <w14:schemeClr w14:val="tx1"/>
            </w14:solidFill>
          </w14:textFill>
        </w:rPr>
        <w:t>政拨款收入支出决算总表</w:t>
      </w:r>
      <w:bookmarkEnd w:id="127"/>
      <w:bookmarkEnd w:id="128"/>
      <w:bookmarkEnd w:id="129"/>
    </w:p>
    <w:p>
      <w:pPr>
        <w:pStyle w:val="5"/>
        <w:pageBreakBefore w:val="0"/>
        <w:kinsoku/>
        <w:wordWrap/>
        <w:overflowPunct/>
        <w:topLinePunct w:val="0"/>
        <w:bidi w:val="0"/>
        <w:spacing w:line="576" w:lineRule="exact"/>
        <w:textAlignment w:val="auto"/>
        <w:rPr>
          <w:rStyle w:val="25"/>
          <w:rFonts w:ascii="仿宋" w:hAnsi="仿宋" w:eastAsia="仿宋"/>
          <w:b w:val="0"/>
          <w:bCs w:val="0"/>
          <w:color w:val="000000" w:themeColor="text1"/>
          <w14:textFill>
            <w14:solidFill>
              <w14:schemeClr w14:val="tx1"/>
            </w14:solidFill>
          </w14:textFill>
        </w:rPr>
      </w:pPr>
      <w:bookmarkStart w:id="130" w:name="_Toc15396623"/>
      <w:bookmarkStart w:id="131" w:name="_Toc79163890"/>
      <w:bookmarkStart w:id="132" w:name="_Toc79163640"/>
      <w:r>
        <w:rPr>
          <w:rStyle w:val="25"/>
          <w:rFonts w:hint="eastAsia" w:ascii="仿宋" w:hAnsi="仿宋" w:eastAsia="仿宋"/>
          <w:b w:val="0"/>
          <w:bCs w:val="0"/>
          <w:color w:val="000000" w:themeColor="text1"/>
          <w14:textFill>
            <w14:solidFill>
              <w14:schemeClr w14:val="tx1"/>
            </w14:solidFill>
          </w14:textFill>
        </w:rPr>
        <w:t>五、</w:t>
      </w:r>
      <w:r>
        <w:rPr>
          <w:rFonts w:hint="eastAsia" w:ascii="仿宋" w:hAnsi="仿宋" w:eastAsia="仿宋"/>
          <w:b w:val="0"/>
          <w:color w:val="000000" w:themeColor="text1"/>
          <w14:textFill>
            <w14:solidFill>
              <w14:schemeClr w14:val="tx1"/>
            </w14:solidFill>
          </w14:textFill>
        </w:rPr>
        <w:t>财</w:t>
      </w:r>
      <w:r>
        <w:rPr>
          <w:rStyle w:val="25"/>
          <w:rFonts w:hint="eastAsia" w:ascii="仿宋" w:hAnsi="仿宋" w:eastAsia="仿宋"/>
          <w:b w:val="0"/>
          <w:bCs w:val="0"/>
          <w:color w:val="000000" w:themeColor="text1"/>
          <w14:textFill>
            <w14:solidFill>
              <w14:schemeClr w14:val="tx1"/>
            </w14:solidFill>
          </w14:textFill>
        </w:rPr>
        <w:t>政拨款支出决算明细表</w:t>
      </w:r>
      <w:bookmarkEnd w:id="130"/>
      <w:bookmarkEnd w:id="131"/>
      <w:bookmarkEnd w:id="132"/>
      <w:bookmarkStart w:id="133" w:name="_Toc15396624"/>
    </w:p>
    <w:p>
      <w:pPr>
        <w:pStyle w:val="5"/>
        <w:pageBreakBefore w:val="0"/>
        <w:kinsoku/>
        <w:wordWrap/>
        <w:overflowPunct/>
        <w:topLinePunct w:val="0"/>
        <w:bidi w:val="0"/>
        <w:spacing w:line="576" w:lineRule="exact"/>
        <w:textAlignment w:val="auto"/>
        <w:rPr>
          <w:rFonts w:ascii="仿宋" w:hAnsi="仿宋" w:eastAsia="仿宋"/>
          <w:color w:val="000000" w:themeColor="text1"/>
          <w14:textFill>
            <w14:solidFill>
              <w14:schemeClr w14:val="tx1"/>
            </w14:solidFill>
          </w14:textFill>
        </w:rPr>
      </w:pPr>
      <w:bookmarkStart w:id="134" w:name="_Toc79163641"/>
      <w:bookmarkStart w:id="135" w:name="_Toc79163891"/>
      <w:r>
        <w:rPr>
          <w:rStyle w:val="25"/>
          <w:rFonts w:hint="eastAsia" w:ascii="仿宋" w:hAnsi="仿宋" w:eastAsia="仿宋"/>
          <w:b w:val="0"/>
          <w:bCs w:val="0"/>
          <w:color w:val="000000" w:themeColor="text1"/>
          <w14:textFill>
            <w14:solidFill>
              <w14:schemeClr w14:val="tx1"/>
            </w14:solidFill>
          </w14:textFill>
        </w:rPr>
        <w:t>六、</w:t>
      </w:r>
      <w:r>
        <w:rPr>
          <w:rFonts w:hint="eastAsia" w:ascii="仿宋" w:hAnsi="仿宋" w:eastAsia="仿宋"/>
          <w:b w:val="0"/>
          <w:color w:val="000000" w:themeColor="text1"/>
          <w14:textFill>
            <w14:solidFill>
              <w14:schemeClr w14:val="tx1"/>
            </w14:solidFill>
          </w14:textFill>
        </w:rPr>
        <w:t>一</w:t>
      </w:r>
      <w:r>
        <w:rPr>
          <w:rStyle w:val="25"/>
          <w:rFonts w:hint="eastAsia" w:ascii="仿宋" w:hAnsi="仿宋" w:eastAsia="仿宋"/>
          <w:b w:val="0"/>
          <w:bCs w:val="0"/>
          <w:color w:val="000000" w:themeColor="text1"/>
          <w14:textFill>
            <w14:solidFill>
              <w14:schemeClr w14:val="tx1"/>
            </w14:solidFill>
          </w14:textFill>
        </w:rPr>
        <w:t>般公共预算财政拨款支出决算表</w:t>
      </w:r>
      <w:bookmarkEnd w:id="133"/>
      <w:bookmarkEnd w:id="134"/>
      <w:bookmarkEnd w:id="135"/>
    </w:p>
    <w:p>
      <w:pPr>
        <w:pStyle w:val="5"/>
        <w:pageBreakBefore w:val="0"/>
        <w:kinsoku/>
        <w:wordWrap/>
        <w:overflowPunct/>
        <w:topLinePunct w:val="0"/>
        <w:bidi w:val="0"/>
        <w:spacing w:line="576" w:lineRule="exact"/>
        <w:textAlignment w:val="auto"/>
        <w:rPr>
          <w:rFonts w:ascii="仿宋" w:hAnsi="仿宋" w:eastAsia="仿宋"/>
          <w:color w:val="000000" w:themeColor="text1"/>
          <w14:textFill>
            <w14:solidFill>
              <w14:schemeClr w14:val="tx1"/>
            </w14:solidFill>
          </w14:textFill>
        </w:rPr>
      </w:pPr>
      <w:bookmarkStart w:id="136" w:name="_Toc15396625"/>
      <w:bookmarkStart w:id="137" w:name="_Toc79163642"/>
      <w:bookmarkStart w:id="138" w:name="_Toc79163892"/>
      <w:r>
        <w:rPr>
          <w:rStyle w:val="25"/>
          <w:rFonts w:hint="eastAsia" w:ascii="仿宋" w:hAnsi="仿宋" w:eastAsia="仿宋"/>
          <w:b w:val="0"/>
          <w:bCs w:val="0"/>
          <w:color w:val="000000" w:themeColor="text1"/>
          <w14:textFill>
            <w14:solidFill>
              <w14:schemeClr w14:val="tx1"/>
            </w14:solidFill>
          </w14:textFill>
        </w:rPr>
        <w:t>七、</w:t>
      </w:r>
      <w:r>
        <w:rPr>
          <w:rFonts w:hint="eastAsia" w:ascii="仿宋" w:hAnsi="仿宋" w:eastAsia="仿宋"/>
          <w:b w:val="0"/>
          <w:color w:val="000000" w:themeColor="text1"/>
          <w14:textFill>
            <w14:solidFill>
              <w14:schemeClr w14:val="tx1"/>
            </w14:solidFill>
          </w14:textFill>
        </w:rPr>
        <w:t>一</w:t>
      </w:r>
      <w:r>
        <w:rPr>
          <w:rStyle w:val="25"/>
          <w:rFonts w:hint="eastAsia" w:ascii="仿宋" w:hAnsi="仿宋" w:eastAsia="仿宋"/>
          <w:b w:val="0"/>
          <w:bCs w:val="0"/>
          <w:color w:val="000000" w:themeColor="text1"/>
          <w14:textFill>
            <w14:solidFill>
              <w14:schemeClr w14:val="tx1"/>
            </w14:solidFill>
          </w14:textFill>
        </w:rPr>
        <w:t>般公共预算财政拨款支出决算明细表</w:t>
      </w:r>
      <w:bookmarkEnd w:id="136"/>
      <w:bookmarkEnd w:id="137"/>
      <w:bookmarkEnd w:id="138"/>
    </w:p>
    <w:p>
      <w:pPr>
        <w:pStyle w:val="5"/>
        <w:pageBreakBefore w:val="0"/>
        <w:kinsoku/>
        <w:wordWrap/>
        <w:overflowPunct/>
        <w:topLinePunct w:val="0"/>
        <w:bidi w:val="0"/>
        <w:spacing w:line="576" w:lineRule="exact"/>
        <w:textAlignment w:val="auto"/>
        <w:rPr>
          <w:rFonts w:ascii="仿宋" w:hAnsi="仿宋" w:eastAsia="仿宋"/>
          <w:color w:val="000000" w:themeColor="text1"/>
          <w14:textFill>
            <w14:solidFill>
              <w14:schemeClr w14:val="tx1"/>
            </w14:solidFill>
          </w14:textFill>
        </w:rPr>
      </w:pPr>
      <w:bookmarkStart w:id="139" w:name="_Toc79163893"/>
      <w:bookmarkStart w:id="140" w:name="_Toc15396626"/>
      <w:bookmarkStart w:id="141" w:name="_Toc79163643"/>
      <w:r>
        <w:rPr>
          <w:rStyle w:val="25"/>
          <w:rFonts w:hint="eastAsia" w:ascii="仿宋" w:hAnsi="仿宋" w:eastAsia="仿宋"/>
          <w:b w:val="0"/>
          <w:bCs w:val="0"/>
          <w:color w:val="000000" w:themeColor="text1"/>
          <w14:textFill>
            <w14:solidFill>
              <w14:schemeClr w14:val="tx1"/>
            </w14:solidFill>
          </w14:textFill>
        </w:rPr>
        <w:t>八、</w:t>
      </w:r>
      <w:r>
        <w:rPr>
          <w:rFonts w:hint="eastAsia" w:ascii="仿宋" w:hAnsi="仿宋" w:eastAsia="仿宋"/>
          <w:b w:val="0"/>
          <w:color w:val="000000" w:themeColor="text1"/>
          <w14:textFill>
            <w14:solidFill>
              <w14:schemeClr w14:val="tx1"/>
            </w14:solidFill>
          </w14:textFill>
        </w:rPr>
        <w:t>一</w:t>
      </w:r>
      <w:r>
        <w:rPr>
          <w:rStyle w:val="25"/>
          <w:rFonts w:hint="eastAsia" w:ascii="仿宋" w:hAnsi="仿宋" w:eastAsia="仿宋"/>
          <w:b w:val="0"/>
          <w:bCs w:val="0"/>
          <w:color w:val="000000" w:themeColor="text1"/>
          <w14:textFill>
            <w14:solidFill>
              <w14:schemeClr w14:val="tx1"/>
            </w14:solidFill>
          </w14:textFill>
        </w:rPr>
        <w:t>般公共预算财政拨款基本支出决算表</w:t>
      </w:r>
      <w:bookmarkEnd w:id="139"/>
      <w:bookmarkEnd w:id="140"/>
      <w:bookmarkEnd w:id="141"/>
    </w:p>
    <w:p>
      <w:pPr>
        <w:pStyle w:val="5"/>
        <w:pageBreakBefore w:val="0"/>
        <w:kinsoku/>
        <w:wordWrap/>
        <w:overflowPunct/>
        <w:topLinePunct w:val="0"/>
        <w:bidi w:val="0"/>
        <w:spacing w:line="576" w:lineRule="exact"/>
        <w:textAlignment w:val="auto"/>
        <w:rPr>
          <w:rFonts w:ascii="仿宋" w:hAnsi="仿宋" w:eastAsia="仿宋"/>
          <w:color w:val="000000" w:themeColor="text1"/>
          <w14:textFill>
            <w14:solidFill>
              <w14:schemeClr w14:val="tx1"/>
            </w14:solidFill>
          </w14:textFill>
        </w:rPr>
      </w:pPr>
      <w:bookmarkStart w:id="142" w:name="_Toc79163644"/>
      <w:bookmarkStart w:id="143" w:name="_Toc15396627"/>
      <w:bookmarkStart w:id="144" w:name="_Toc79163894"/>
      <w:r>
        <w:rPr>
          <w:rStyle w:val="25"/>
          <w:rFonts w:hint="eastAsia" w:ascii="仿宋" w:hAnsi="仿宋" w:eastAsia="仿宋"/>
          <w:b w:val="0"/>
          <w:bCs w:val="0"/>
          <w:color w:val="000000" w:themeColor="text1"/>
          <w14:textFill>
            <w14:solidFill>
              <w14:schemeClr w14:val="tx1"/>
            </w14:solidFill>
          </w14:textFill>
        </w:rPr>
        <w:t>九、</w:t>
      </w:r>
      <w:r>
        <w:rPr>
          <w:rFonts w:hint="eastAsia" w:ascii="仿宋" w:hAnsi="仿宋" w:eastAsia="仿宋"/>
          <w:b w:val="0"/>
          <w:color w:val="000000" w:themeColor="text1"/>
          <w14:textFill>
            <w14:solidFill>
              <w14:schemeClr w14:val="tx1"/>
            </w14:solidFill>
          </w14:textFill>
        </w:rPr>
        <w:t>一</w:t>
      </w:r>
      <w:r>
        <w:rPr>
          <w:rStyle w:val="25"/>
          <w:rFonts w:hint="eastAsia" w:ascii="仿宋" w:hAnsi="仿宋" w:eastAsia="仿宋"/>
          <w:b w:val="0"/>
          <w:bCs w:val="0"/>
          <w:color w:val="000000" w:themeColor="text1"/>
          <w14:textFill>
            <w14:solidFill>
              <w14:schemeClr w14:val="tx1"/>
            </w14:solidFill>
          </w14:textFill>
        </w:rPr>
        <w:t>般公共预算财政拨款项目支出决算表</w:t>
      </w:r>
      <w:bookmarkEnd w:id="142"/>
      <w:bookmarkEnd w:id="143"/>
      <w:bookmarkEnd w:id="144"/>
    </w:p>
    <w:p>
      <w:pPr>
        <w:pStyle w:val="5"/>
        <w:pageBreakBefore w:val="0"/>
        <w:kinsoku/>
        <w:wordWrap/>
        <w:overflowPunct/>
        <w:topLinePunct w:val="0"/>
        <w:bidi w:val="0"/>
        <w:spacing w:line="576" w:lineRule="exact"/>
        <w:textAlignment w:val="auto"/>
        <w:rPr>
          <w:rFonts w:ascii="仿宋" w:hAnsi="仿宋" w:eastAsia="仿宋"/>
          <w:color w:val="000000" w:themeColor="text1"/>
          <w14:textFill>
            <w14:solidFill>
              <w14:schemeClr w14:val="tx1"/>
            </w14:solidFill>
          </w14:textFill>
        </w:rPr>
      </w:pPr>
      <w:bookmarkStart w:id="145" w:name="_Toc79163645"/>
      <w:bookmarkStart w:id="146" w:name="_Toc79163895"/>
      <w:bookmarkStart w:id="147" w:name="_Toc15396628"/>
      <w:r>
        <w:rPr>
          <w:rStyle w:val="25"/>
          <w:rFonts w:hint="eastAsia" w:ascii="仿宋" w:hAnsi="仿宋" w:eastAsia="仿宋"/>
          <w:b w:val="0"/>
          <w:bCs w:val="0"/>
          <w:color w:val="000000" w:themeColor="text1"/>
          <w14:textFill>
            <w14:solidFill>
              <w14:schemeClr w14:val="tx1"/>
            </w14:solidFill>
          </w14:textFill>
        </w:rPr>
        <w:t>十、</w:t>
      </w:r>
      <w:bookmarkEnd w:id="145"/>
      <w:bookmarkEnd w:id="146"/>
      <w:bookmarkEnd w:id="147"/>
      <w:r>
        <w:rPr>
          <w:rFonts w:hint="eastAsia" w:ascii="仿宋" w:hAnsi="仿宋" w:eastAsia="仿宋"/>
          <w:b w:val="0"/>
          <w:color w:val="000000" w:themeColor="text1"/>
          <w14:textFill>
            <w14:solidFill>
              <w14:schemeClr w14:val="tx1"/>
            </w14:solidFill>
          </w14:textFill>
        </w:rPr>
        <w:t>政府性基金预算财政拨款收入支出决算表</w:t>
      </w:r>
    </w:p>
    <w:p>
      <w:pPr>
        <w:pStyle w:val="5"/>
        <w:pageBreakBefore w:val="0"/>
        <w:kinsoku/>
        <w:wordWrap/>
        <w:overflowPunct/>
        <w:topLinePunct w:val="0"/>
        <w:bidi w:val="0"/>
        <w:spacing w:line="576" w:lineRule="exact"/>
        <w:textAlignment w:val="auto"/>
        <w:rPr>
          <w:rFonts w:hint="eastAsia" w:ascii="仿宋" w:hAnsi="仿宋" w:eastAsia="仿宋"/>
          <w:b w:val="0"/>
          <w:color w:val="000000" w:themeColor="text1"/>
          <w14:textFill>
            <w14:solidFill>
              <w14:schemeClr w14:val="tx1"/>
            </w14:solidFill>
          </w14:textFill>
        </w:rPr>
      </w:pPr>
      <w:bookmarkStart w:id="148" w:name="_Toc15396629"/>
      <w:bookmarkStart w:id="149" w:name="_Toc79163646"/>
      <w:bookmarkStart w:id="150" w:name="_Toc79163896"/>
      <w:r>
        <w:rPr>
          <w:rStyle w:val="25"/>
          <w:rFonts w:hint="eastAsia" w:ascii="仿宋" w:hAnsi="仿宋" w:eastAsia="仿宋"/>
          <w:b w:val="0"/>
          <w:bCs w:val="0"/>
          <w:color w:val="000000" w:themeColor="text1"/>
          <w14:textFill>
            <w14:solidFill>
              <w14:schemeClr w14:val="tx1"/>
            </w14:solidFill>
          </w14:textFill>
        </w:rPr>
        <w:t>十一、</w:t>
      </w:r>
      <w:bookmarkEnd w:id="148"/>
      <w:bookmarkEnd w:id="149"/>
      <w:bookmarkEnd w:id="150"/>
      <w:bookmarkStart w:id="151" w:name="_Toc79163897"/>
      <w:bookmarkStart w:id="152" w:name="_Toc15396630"/>
      <w:bookmarkStart w:id="153" w:name="_Toc79163647"/>
      <w:r>
        <w:rPr>
          <w:rFonts w:hint="eastAsia" w:ascii="仿宋" w:hAnsi="仿宋" w:eastAsia="仿宋"/>
          <w:b w:val="0"/>
          <w:color w:val="000000" w:themeColor="text1"/>
          <w14:textFill>
            <w14:solidFill>
              <w14:schemeClr w14:val="tx1"/>
            </w14:solidFill>
          </w14:textFill>
        </w:rPr>
        <w:t>国有资本经营预算财政拨款收入支出决算表</w:t>
      </w:r>
    </w:p>
    <w:p>
      <w:pPr>
        <w:pStyle w:val="5"/>
        <w:pageBreakBefore w:val="0"/>
        <w:kinsoku/>
        <w:wordWrap/>
        <w:overflowPunct/>
        <w:topLinePunct w:val="0"/>
        <w:bidi w:val="0"/>
        <w:spacing w:line="576" w:lineRule="exact"/>
        <w:textAlignment w:val="auto"/>
        <w:rPr>
          <w:rFonts w:ascii="仿宋" w:hAnsi="仿宋" w:eastAsia="仿宋"/>
          <w:color w:val="000000" w:themeColor="text1"/>
          <w14:textFill>
            <w14:solidFill>
              <w14:schemeClr w14:val="tx1"/>
            </w14:solidFill>
          </w14:textFill>
        </w:rPr>
      </w:pPr>
      <w:r>
        <w:rPr>
          <w:rStyle w:val="25"/>
          <w:rFonts w:hint="eastAsia" w:ascii="仿宋" w:hAnsi="仿宋" w:eastAsia="仿宋"/>
          <w:b w:val="0"/>
          <w:bCs w:val="0"/>
          <w:color w:val="000000" w:themeColor="text1"/>
          <w14:textFill>
            <w14:solidFill>
              <w14:schemeClr w14:val="tx1"/>
            </w14:solidFill>
          </w14:textFill>
        </w:rPr>
        <w:t>十二、</w:t>
      </w:r>
      <w:r>
        <w:rPr>
          <w:rFonts w:hint="eastAsia" w:ascii="仿宋" w:hAnsi="仿宋" w:eastAsia="仿宋"/>
          <w:b w:val="0"/>
          <w:color w:val="000000" w:themeColor="text1"/>
          <w14:textFill>
            <w14:solidFill>
              <w14:schemeClr w14:val="tx1"/>
            </w14:solidFill>
          </w14:textFill>
        </w:rPr>
        <w:t xml:space="preserve">国有资本经营预算财政拨款支出决算表 </w:t>
      </w:r>
      <w:bookmarkEnd w:id="151"/>
      <w:bookmarkEnd w:id="152"/>
      <w:bookmarkEnd w:id="153"/>
    </w:p>
    <w:p>
      <w:pPr>
        <w:pStyle w:val="5"/>
        <w:pageBreakBefore w:val="0"/>
        <w:kinsoku/>
        <w:wordWrap/>
        <w:overflowPunct/>
        <w:topLinePunct w:val="0"/>
        <w:bidi w:val="0"/>
        <w:spacing w:line="576" w:lineRule="exact"/>
        <w:textAlignment w:val="auto"/>
        <w:rPr>
          <w:rStyle w:val="25"/>
          <w:rFonts w:ascii="仿宋" w:hAnsi="仿宋" w:eastAsia="仿宋"/>
          <w:b w:val="0"/>
          <w:bCs w:val="0"/>
          <w:color w:val="000000" w:themeColor="text1"/>
          <w14:textFill>
            <w14:solidFill>
              <w14:schemeClr w14:val="tx1"/>
            </w14:solidFill>
          </w14:textFill>
        </w:rPr>
      </w:pPr>
      <w:bookmarkStart w:id="154" w:name="_Toc15396631"/>
      <w:bookmarkStart w:id="155" w:name="_Toc79163898"/>
      <w:bookmarkStart w:id="156" w:name="_Toc79163648"/>
      <w:r>
        <w:rPr>
          <w:rStyle w:val="25"/>
          <w:rFonts w:hint="eastAsia" w:ascii="仿宋" w:hAnsi="仿宋" w:eastAsia="仿宋"/>
          <w:b w:val="0"/>
          <w:bCs w:val="0"/>
          <w:color w:val="000000" w:themeColor="text1"/>
          <w14:textFill>
            <w14:solidFill>
              <w14:schemeClr w14:val="tx1"/>
            </w14:solidFill>
          </w14:textFill>
        </w:rPr>
        <w:t>十三、</w:t>
      </w:r>
      <w:bookmarkEnd w:id="154"/>
      <w:bookmarkEnd w:id="155"/>
      <w:bookmarkEnd w:id="156"/>
      <w:bookmarkStart w:id="157" w:name="_Toc79163899"/>
      <w:bookmarkStart w:id="158" w:name="_Toc79163649"/>
      <w:r>
        <w:rPr>
          <w:rFonts w:hint="eastAsia" w:ascii="仿宋" w:hAnsi="仿宋" w:eastAsia="仿宋"/>
          <w:b w:val="0"/>
          <w:color w:val="000000" w:themeColor="text1"/>
          <w14:textFill>
            <w14:solidFill>
              <w14:schemeClr w14:val="tx1"/>
            </w14:solidFill>
          </w14:textFill>
        </w:rPr>
        <w:t>财政拨款“三公经费”支出决算表</w:t>
      </w:r>
      <w:bookmarkEnd w:id="157"/>
      <w:bookmarkEnd w:id="15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2B2D3AD7"/>
    <w:multiLevelType w:val="singleLevel"/>
    <w:tmpl w:val="2B2D3AD7"/>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U0ODU5OTliZWUwMjk3MGVkMTAxMGJmNmZmMmVlZj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0F1AB1"/>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00BB"/>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678C6"/>
    <w:rsid w:val="01352D52"/>
    <w:rsid w:val="02032645"/>
    <w:rsid w:val="024E2C3C"/>
    <w:rsid w:val="02572BC6"/>
    <w:rsid w:val="03C30449"/>
    <w:rsid w:val="03DE6C60"/>
    <w:rsid w:val="051A2246"/>
    <w:rsid w:val="054A3860"/>
    <w:rsid w:val="060B06BA"/>
    <w:rsid w:val="064E3C18"/>
    <w:rsid w:val="071707AD"/>
    <w:rsid w:val="07554165"/>
    <w:rsid w:val="075E3610"/>
    <w:rsid w:val="081B4CF4"/>
    <w:rsid w:val="08256196"/>
    <w:rsid w:val="087B418E"/>
    <w:rsid w:val="09233B6F"/>
    <w:rsid w:val="0A2032A3"/>
    <w:rsid w:val="0AB64184"/>
    <w:rsid w:val="0AFC68C3"/>
    <w:rsid w:val="0BAB2ED8"/>
    <w:rsid w:val="0DDA470C"/>
    <w:rsid w:val="0F104FE9"/>
    <w:rsid w:val="0F4D39D0"/>
    <w:rsid w:val="10757582"/>
    <w:rsid w:val="10892D73"/>
    <w:rsid w:val="10C055FF"/>
    <w:rsid w:val="10ED1E1C"/>
    <w:rsid w:val="11743525"/>
    <w:rsid w:val="118107EC"/>
    <w:rsid w:val="12530CCC"/>
    <w:rsid w:val="1303784C"/>
    <w:rsid w:val="14276FBA"/>
    <w:rsid w:val="14621E58"/>
    <w:rsid w:val="16BB723D"/>
    <w:rsid w:val="1729772D"/>
    <w:rsid w:val="17CC6C50"/>
    <w:rsid w:val="18536010"/>
    <w:rsid w:val="18957E20"/>
    <w:rsid w:val="1C551A89"/>
    <w:rsid w:val="1C7633B1"/>
    <w:rsid w:val="1CE516B6"/>
    <w:rsid w:val="1D155CEE"/>
    <w:rsid w:val="1D6B57F8"/>
    <w:rsid w:val="1DFC5D04"/>
    <w:rsid w:val="1E8D06D0"/>
    <w:rsid w:val="1F4640EB"/>
    <w:rsid w:val="1FC80D2D"/>
    <w:rsid w:val="202C0BDC"/>
    <w:rsid w:val="2051751F"/>
    <w:rsid w:val="2282457E"/>
    <w:rsid w:val="23E71470"/>
    <w:rsid w:val="240371BF"/>
    <w:rsid w:val="245D2832"/>
    <w:rsid w:val="26376068"/>
    <w:rsid w:val="28355C9D"/>
    <w:rsid w:val="29FD04D3"/>
    <w:rsid w:val="2C7C0EA1"/>
    <w:rsid w:val="2DCC7A8B"/>
    <w:rsid w:val="2E2D1501"/>
    <w:rsid w:val="31330328"/>
    <w:rsid w:val="319F7F4E"/>
    <w:rsid w:val="32A5778A"/>
    <w:rsid w:val="33405B6A"/>
    <w:rsid w:val="337A1675"/>
    <w:rsid w:val="34D24D65"/>
    <w:rsid w:val="34E80CA6"/>
    <w:rsid w:val="35704A44"/>
    <w:rsid w:val="35923388"/>
    <w:rsid w:val="38CC7908"/>
    <w:rsid w:val="3A005A47"/>
    <w:rsid w:val="3A0275E2"/>
    <w:rsid w:val="3C103345"/>
    <w:rsid w:val="3C316BAE"/>
    <w:rsid w:val="3D6E32F9"/>
    <w:rsid w:val="3EBB7543"/>
    <w:rsid w:val="406D47C2"/>
    <w:rsid w:val="41700AE0"/>
    <w:rsid w:val="41B73AB3"/>
    <w:rsid w:val="42877CE9"/>
    <w:rsid w:val="42EA1D5D"/>
    <w:rsid w:val="433725A8"/>
    <w:rsid w:val="444C627D"/>
    <w:rsid w:val="4472148F"/>
    <w:rsid w:val="449751F9"/>
    <w:rsid w:val="44BF358D"/>
    <w:rsid w:val="457B2CE6"/>
    <w:rsid w:val="461E0F86"/>
    <w:rsid w:val="4693036F"/>
    <w:rsid w:val="469D5A66"/>
    <w:rsid w:val="49560AAF"/>
    <w:rsid w:val="49D27FE1"/>
    <w:rsid w:val="4A312F80"/>
    <w:rsid w:val="4C2A4736"/>
    <w:rsid w:val="4C7B3E5A"/>
    <w:rsid w:val="4CB3086B"/>
    <w:rsid w:val="4DB04FB0"/>
    <w:rsid w:val="4DBB00AB"/>
    <w:rsid w:val="4DE41C3E"/>
    <w:rsid w:val="4E7951E0"/>
    <w:rsid w:val="4EC665E2"/>
    <w:rsid w:val="4ECE2238"/>
    <w:rsid w:val="4EED4ABA"/>
    <w:rsid w:val="5088171E"/>
    <w:rsid w:val="52A858F9"/>
    <w:rsid w:val="56733C9E"/>
    <w:rsid w:val="56C74EC7"/>
    <w:rsid w:val="5732193E"/>
    <w:rsid w:val="59F55A6B"/>
    <w:rsid w:val="5ABD221F"/>
    <w:rsid w:val="5B044F1C"/>
    <w:rsid w:val="5C1D4748"/>
    <w:rsid w:val="5D187872"/>
    <w:rsid w:val="5E275695"/>
    <w:rsid w:val="5E8C1E9D"/>
    <w:rsid w:val="5EC0326F"/>
    <w:rsid w:val="5F774BB9"/>
    <w:rsid w:val="61647A75"/>
    <w:rsid w:val="616E2F29"/>
    <w:rsid w:val="61A07F4B"/>
    <w:rsid w:val="64AA551A"/>
    <w:rsid w:val="64EF3628"/>
    <w:rsid w:val="65CD51B0"/>
    <w:rsid w:val="67EE25AE"/>
    <w:rsid w:val="680054E3"/>
    <w:rsid w:val="687775F2"/>
    <w:rsid w:val="68960877"/>
    <w:rsid w:val="6A3342AE"/>
    <w:rsid w:val="6A4721AD"/>
    <w:rsid w:val="6C0B7A00"/>
    <w:rsid w:val="6C4A05C8"/>
    <w:rsid w:val="6C660533"/>
    <w:rsid w:val="6E43464A"/>
    <w:rsid w:val="7053360C"/>
    <w:rsid w:val="70AC713A"/>
    <w:rsid w:val="72734D90"/>
    <w:rsid w:val="72863FAD"/>
    <w:rsid w:val="78EB4DF2"/>
    <w:rsid w:val="79A2642E"/>
    <w:rsid w:val="7A2C3887"/>
    <w:rsid w:val="7ADC35A2"/>
    <w:rsid w:val="7AF1634E"/>
    <w:rsid w:val="7DFC03D0"/>
    <w:rsid w:val="7E5677C7"/>
    <w:rsid w:val="7EE06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unhideWhenUsed/>
    <w:qFormat/>
    <w:uiPriority w:val="0"/>
    <w:pPr>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3"/>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8"/>
    <w:semiHidden/>
    <w:unhideWhenUsed/>
    <w:qFormat/>
    <w:uiPriority w:val="99"/>
    <w:rPr>
      <w:sz w:val="18"/>
      <w:szCs w:val="18"/>
    </w:rPr>
  </w:style>
  <w:style w:type="paragraph" w:styleId="13">
    <w:name w:val="footer"/>
    <w:basedOn w:val="1"/>
    <w:link w:val="32"/>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字符"/>
    <w:basedOn w:val="21"/>
    <w:link w:val="4"/>
    <w:qFormat/>
    <w:locked/>
    <w:uiPriority w:val="9"/>
    <w:rPr>
      <w:rFonts w:ascii="Times New Roman" w:hAnsi="Times New Roman" w:cs="Times New Roman"/>
      <w:b/>
      <w:bCs/>
      <w:kern w:val="44"/>
      <w:sz w:val="44"/>
      <w:szCs w:val="44"/>
    </w:rPr>
  </w:style>
  <w:style w:type="character" w:customStyle="1" w:styleId="25">
    <w:name w:val="标题 2 字符"/>
    <w:basedOn w:val="21"/>
    <w:link w:val="5"/>
    <w:qFormat/>
    <w:locked/>
    <w:uiPriority w:val="9"/>
    <w:rPr>
      <w:rFonts w:ascii="Cambria" w:hAnsi="Cambria" w:eastAsia="宋体" w:cs="Times New Roman"/>
      <w:b/>
      <w:bCs/>
      <w:kern w:val="2"/>
      <w:sz w:val="32"/>
      <w:szCs w:val="32"/>
    </w:rPr>
  </w:style>
  <w:style w:type="character" w:customStyle="1" w:styleId="26">
    <w:name w:val="标题 3 字符"/>
    <w:basedOn w:val="21"/>
    <w:link w:val="6"/>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字符"/>
    <w:basedOn w:val="21"/>
    <w:link w:val="12"/>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字符"/>
    <w:link w:val="14"/>
    <w:semiHidden/>
    <w:qFormat/>
    <w:locked/>
    <w:uiPriority w:val="99"/>
    <w:rPr>
      <w:sz w:val="18"/>
    </w:rPr>
  </w:style>
  <w:style w:type="character" w:customStyle="1" w:styleId="32">
    <w:name w:val="页脚 字符"/>
    <w:link w:val="13"/>
    <w:qFormat/>
    <w:locked/>
    <w:uiPriority w:val="99"/>
    <w:rPr>
      <w:sz w:val="18"/>
    </w:rPr>
  </w:style>
  <w:style w:type="character" w:customStyle="1" w:styleId="33">
    <w:name w:val="正文文本 字符"/>
    <w:link w:val="8"/>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9">
    <w:name w:val="List Paragraph"/>
    <w:basedOn w:val="1"/>
    <w:qFormat/>
    <w:uiPriority w:val="0"/>
    <w:pPr>
      <w:ind w:firstLine="420" w:firstLineChars="200"/>
    </w:pPr>
    <w:rPr>
      <w:rFonts w:eastAsia="宋体"/>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21</Pages>
  <Words>6933</Words>
  <Characters>7595</Characters>
  <Lines>74</Lines>
  <Paragraphs>21</Paragraphs>
  <TotalTime>2</TotalTime>
  <ScaleCrop>false</ScaleCrop>
  <LinksUpToDate>false</LinksUpToDate>
  <CharactersWithSpaces>7774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政治部（督察室）</cp:lastModifiedBy>
  <cp:lastPrinted>2023-09-19T01:38:00Z</cp:lastPrinted>
  <dcterms:modified xsi:type="dcterms:W3CDTF">2024-08-09T08:52:15Z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46027B99698B4EA592D6D4704A235268_12</vt:lpwstr>
  </property>
</Properties>
</file>