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sz w:val="72"/>
          <w:szCs w:val="72"/>
        </w:rPr>
      </w:pPr>
      <w:bookmarkStart w:id="0" w:name="_Toc15396475"/>
      <w:bookmarkStart w:id="1" w:name="_Toc15377193"/>
      <w:bookmarkStart w:id="2" w:name="_Toc15396597"/>
      <w:bookmarkStart w:id="3" w:name="_Toc15306267"/>
      <w:bookmarkStart w:id="4" w:name="_Toc15377425"/>
      <w:bookmarkStart w:id="5" w:name="_Toc15378441"/>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bookmarkEnd w:id="0"/>
    <w:bookmarkEnd w:id="1"/>
    <w:bookmarkEnd w:id="2"/>
    <w:bookmarkEnd w:id="3"/>
    <w:bookmarkEnd w:id="4"/>
    <w:bookmarkEnd w:id="5"/>
    <w:p>
      <w:pPr>
        <w:pStyle w:val="13"/>
        <w:shd w:val="clear" w:color="auto" w:fill="FFFFFF"/>
        <w:spacing w:before="0" w:beforeAutospacing="0"/>
        <w:jc w:val="center"/>
        <w:rPr>
          <w:sz w:val="42"/>
          <w:szCs w:val="42"/>
        </w:rPr>
      </w:pPr>
      <w:bookmarkStart w:id="6" w:name="_Toc15538"/>
      <w:bookmarkStart w:id="7" w:name="_Toc32124"/>
      <w:bookmarkStart w:id="8" w:name="_Toc1811"/>
      <w:r>
        <w:rPr>
          <w:sz w:val="42"/>
          <w:szCs w:val="42"/>
        </w:rPr>
        <w:t>20</w:t>
      </w:r>
      <w:r>
        <w:rPr>
          <w:rFonts w:hint="eastAsia"/>
          <w:sz w:val="42"/>
          <w:szCs w:val="42"/>
        </w:rPr>
        <w:t>22年度</w:t>
      </w:r>
      <w:bookmarkEnd w:id="6"/>
      <w:bookmarkEnd w:id="7"/>
      <w:bookmarkEnd w:id="8"/>
      <w:bookmarkStart w:id="9" w:name="_Toc15306268"/>
      <w:bookmarkStart w:id="10" w:name="_Toc15378442"/>
      <w:bookmarkStart w:id="11" w:name="_Toc15396598"/>
      <w:bookmarkStart w:id="12" w:name="_Toc15377194"/>
      <w:bookmarkStart w:id="13" w:name="_Toc15396476"/>
      <w:bookmarkStart w:id="14" w:name="_Toc15377426"/>
    </w:p>
    <w:p>
      <w:pPr>
        <w:pStyle w:val="13"/>
        <w:shd w:val="clear" w:color="auto" w:fill="FFFFFF"/>
        <w:spacing w:before="0" w:beforeAutospacing="0"/>
        <w:jc w:val="center"/>
        <w:rPr>
          <w:sz w:val="42"/>
          <w:szCs w:val="42"/>
        </w:rPr>
      </w:pPr>
      <w:bookmarkStart w:id="15" w:name="_Toc20266"/>
      <w:bookmarkStart w:id="16" w:name="_Toc28892"/>
      <w:bookmarkStart w:id="17" w:name="_Toc15964"/>
      <w:r>
        <w:rPr>
          <w:rFonts w:hint="eastAsia"/>
          <w:sz w:val="42"/>
          <w:szCs w:val="42"/>
        </w:rPr>
        <w:t>金川县</w:t>
      </w:r>
      <w:bookmarkEnd w:id="15"/>
      <w:bookmarkEnd w:id="16"/>
      <w:bookmarkStart w:id="18" w:name="_Toc32513"/>
      <w:bookmarkStart w:id="19" w:name="_Toc16040"/>
      <w:r>
        <w:rPr>
          <w:rFonts w:hint="eastAsia"/>
          <w:sz w:val="42"/>
          <w:szCs w:val="42"/>
        </w:rPr>
        <w:t>人民法院部门决算</w:t>
      </w:r>
      <w:bookmarkEnd w:id="9"/>
      <w:bookmarkEnd w:id="10"/>
      <w:bookmarkEnd w:id="11"/>
      <w:bookmarkEnd w:id="12"/>
      <w:bookmarkEnd w:id="13"/>
      <w:bookmarkEnd w:id="14"/>
      <w:bookmarkEnd w:id="17"/>
      <w:bookmarkEnd w:id="18"/>
      <w:bookmarkEnd w:id="19"/>
    </w:p>
    <w:p>
      <w:pPr>
        <w:pStyle w:val="5"/>
        <w:spacing w:beforeLines="0"/>
        <w:rPr>
          <w:rFonts w:ascii="Times New Roman" w:eastAsia="方正小标宋简体"/>
          <w:sz w:val="52"/>
          <w:szCs w:val="52"/>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pStyle w:val="5"/>
        <w:spacing w:beforeLines="0"/>
        <w:rPr>
          <w:rFonts w:ascii="Times New Roman"/>
        </w:rPr>
      </w:pPr>
    </w:p>
    <w:p>
      <w:pPr>
        <w:widowControl/>
        <w:ind w:firstLine="1120" w:firstLineChars="350"/>
        <w:jc w:val="center"/>
        <w:rPr>
          <w:rFonts w:eastAsia="方正小标宋简体"/>
          <w:sz w:val="36"/>
          <w:szCs w:val="36"/>
        </w:rPr>
      </w:pPr>
      <w:r>
        <w:rPr>
          <w:rFonts w:eastAsia="仿宋_GB2312"/>
          <w:sz w:val="32"/>
          <w:szCs w:val="32"/>
        </w:rPr>
        <w:t>已经保密审查、内容审定，同意对外公开</w:t>
      </w:r>
      <w:r>
        <w:rPr>
          <w:rFonts w:eastAsia="方正小标宋简体"/>
          <w:sz w:val="36"/>
          <w:szCs w:val="36"/>
        </w:rPr>
        <w:br w:type="page"/>
      </w:r>
    </w:p>
    <w:p>
      <w:pPr>
        <w:widowControl/>
        <w:ind w:firstLine="1680" w:firstLineChars="350"/>
        <w:jc w:val="center"/>
        <w:rPr>
          <w:rFonts w:eastAsia="黑体"/>
          <w:sz w:val="48"/>
          <w:szCs w:val="48"/>
        </w:rPr>
      </w:pPr>
      <w:r>
        <w:rPr>
          <w:rFonts w:eastAsia="黑体"/>
          <w:sz w:val="48"/>
          <w:szCs w:val="48"/>
        </w:rPr>
        <w:t>目录</w:t>
      </w:r>
    </w:p>
    <w:p>
      <w:pPr>
        <w:widowControl/>
        <w:jc w:val="center"/>
        <w:rPr>
          <w:rFonts w:eastAsia="黑体"/>
          <w:sz w:val="28"/>
          <w:szCs w:val="28"/>
        </w:rPr>
      </w:pPr>
    </w:p>
    <w:p>
      <w:pPr>
        <w:pStyle w:val="11"/>
        <w:rPr>
          <w:rFonts w:ascii="Times New Roman"/>
        </w:rPr>
      </w:pPr>
      <w:r>
        <w:rPr>
          <w:rFonts w:ascii="Times New Roman"/>
        </w:rPr>
        <w:t>公开时间：202</w:t>
      </w:r>
      <w:r>
        <w:rPr>
          <w:rFonts w:hint="eastAsia" w:ascii="Times New Roman"/>
        </w:rPr>
        <w:t>3</w:t>
      </w:r>
      <w:r>
        <w:rPr>
          <w:rFonts w:ascii="Times New Roman"/>
        </w:rPr>
        <w:t>年9月2</w:t>
      </w:r>
      <w:r>
        <w:rPr>
          <w:rFonts w:hint="eastAsia" w:ascii="Times New Roman"/>
        </w:rPr>
        <w:t>2</w:t>
      </w:r>
      <w:r>
        <w:rPr>
          <w:rFonts w:ascii="Times New Roman"/>
        </w:rPr>
        <w:t>日</w:t>
      </w:r>
    </w:p>
    <w:p>
      <w:pPr>
        <w:pStyle w:val="13"/>
        <w:shd w:val="clear" w:color="auto" w:fill="FFFFFF"/>
        <w:spacing w:before="93" w:beforeAutospacing="0"/>
      </w:pPr>
      <w:bookmarkStart w:id="20" w:name="_Toc26843604"/>
      <w:bookmarkStart w:id="21" w:name="_Toc15377196"/>
      <w:bookmarkStart w:id="22" w:name="_Toc15396599"/>
      <w:r>
        <w:t>第一部分 部门概况</w:t>
      </w:r>
    </w:p>
    <w:p>
      <w:pPr>
        <w:pStyle w:val="13"/>
        <w:shd w:val="clear" w:color="auto" w:fill="FFFFFF"/>
        <w:spacing w:before="0" w:beforeAutospacing="0"/>
        <w:ind w:left="420"/>
      </w:pPr>
      <w:r>
        <w:t>一、基本职能及主要工作</w:t>
      </w:r>
      <w:r>
        <w:rPr>
          <w:rFonts w:hint="eastAsia"/>
        </w:rPr>
        <w:t>...............................................................................4</w:t>
      </w:r>
    </w:p>
    <w:p>
      <w:pPr>
        <w:pStyle w:val="13"/>
        <w:shd w:val="clear" w:color="auto" w:fill="FFFFFF"/>
        <w:spacing w:before="0" w:beforeAutospacing="0"/>
        <w:ind w:left="420"/>
      </w:pPr>
      <w:r>
        <w:t>二、机构设置</w:t>
      </w:r>
      <w:r>
        <w:rPr>
          <w:rFonts w:hint="eastAsia"/>
        </w:rPr>
        <w:t>...................................................................................................5</w:t>
      </w:r>
    </w:p>
    <w:p>
      <w:pPr>
        <w:pStyle w:val="13"/>
        <w:shd w:val="clear" w:color="auto" w:fill="FFFFFF"/>
        <w:spacing w:before="0" w:beforeAutospacing="0"/>
      </w:pPr>
      <w:r>
        <w:t>第二部分 2022年度部门决算情况说明</w:t>
      </w:r>
    </w:p>
    <w:p>
      <w:pPr>
        <w:pStyle w:val="13"/>
        <w:shd w:val="clear" w:color="auto" w:fill="FFFFFF"/>
        <w:spacing w:before="0" w:beforeAutospacing="0"/>
        <w:ind w:left="420"/>
      </w:pPr>
      <w:r>
        <w:t>一、收入支出决算总体情况说明</w:t>
      </w:r>
      <w:r>
        <w:rPr>
          <w:rFonts w:hint="eastAsia"/>
        </w:rPr>
        <w:t>..................................................................5</w:t>
      </w:r>
    </w:p>
    <w:p>
      <w:pPr>
        <w:pStyle w:val="13"/>
        <w:shd w:val="clear" w:color="auto" w:fill="FFFFFF"/>
        <w:spacing w:before="0" w:beforeAutospacing="0"/>
        <w:ind w:left="420"/>
      </w:pPr>
      <w:r>
        <w:t>二、收入决算情况说明</w:t>
      </w:r>
      <w:r>
        <w:rPr>
          <w:rFonts w:hint="eastAsia"/>
        </w:rPr>
        <w:t>..................................................................................5</w:t>
      </w:r>
    </w:p>
    <w:p>
      <w:pPr>
        <w:pStyle w:val="13"/>
        <w:shd w:val="clear" w:color="auto" w:fill="FFFFFF"/>
        <w:spacing w:before="0" w:beforeAutospacing="0"/>
        <w:ind w:left="420"/>
      </w:pPr>
      <w:r>
        <w:t>三、支出决算情况说明</w:t>
      </w:r>
      <w:r>
        <w:rPr>
          <w:rFonts w:hint="eastAsia"/>
        </w:rPr>
        <w:t>..................................................................................6</w:t>
      </w:r>
    </w:p>
    <w:p>
      <w:pPr>
        <w:pStyle w:val="13"/>
        <w:shd w:val="clear" w:color="auto" w:fill="FFFFFF"/>
        <w:spacing w:before="0" w:beforeAutospacing="0"/>
        <w:ind w:left="420"/>
      </w:pPr>
      <w:r>
        <w:t>四、财政拨款收入支出决算总体情况说明</w:t>
      </w:r>
      <w:r>
        <w:rPr>
          <w:rFonts w:hint="eastAsia"/>
        </w:rPr>
        <w:t>..................................................7</w:t>
      </w:r>
    </w:p>
    <w:p>
      <w:pPr>
        <w:pStyle w:val="13"/>
        <w:shd w:val="clear" w:color="auto" w:fill="FFFFFF"/>
        <w:spacing w:before="0" w:beforeAutospacing="0"/>
        <w:ind w:left="420"/>
      </w:pPr>
      <w:r>
        <w:t>五、一般公共预算财政拨款支出决算情况说明</w:t>
      </w:r>
      <w:r>
        <w:rPr>
          <w:rFonts w:hint="eastAsia"/>
        </w:rPr>
        <w:t>..........................................7</w:t>
      </w:r>
    </w:p>
    <w:p>
      <w:pPr>
        <w:pStyle w:val="13"/>
        <w:shd w:val="clear" w:color="auto" w:fill="FFFFFF"/>
        <w:spacing w:before="0" w:beforeAutospacing="0"/>
        <w:ind w:left="420"/>
      </w:pPr>
      <w:r>
        <w:t>六、一般公共预算财政拨款基本支出决算情况说明</w:t>
      </w:r>
      <w:r>
        <w:rPr>
          <w:rFonts w:hint="eastAsia"/>
        </w:rPr>
        <w:t>..................................9</w:t>
      </w:r>
    </w:p>
    <w:p>
      <w:pPr>
        <w:pStyle w:val="13"/>
        <w:shd w:val="clear" w:color="auto" w:fill="FFFFFF"/>
        <w:spacing w:before="0" w:beforeAutospacing="0"/>
        <w:ind w:left="420"/>
      </w:pPr>
      <w:r>
        <w:t>七、财政拨款“三公”经费支出决算情况说明</w:t>
      </w:r>
      <w:r>
        <w:rPr>
          <w:rFonts w:hint="eastAsia"/>
        </w:rPr>
        <w:t>..............................................10</w:t>
      </w:r>
    </w:p>
    <w:p>
      <w:pPr>
        <w:pStyle w:val="13"/>
        <w:shd w:val="clear" w:color="auto" w:fill="FFFFFF"/>
        <w:spacing w:before="0" w:beforeAutospacing="0"/>
        <w:ind w:left="420"/>
      </w:pPr>
      <w:r>
        <w:t>八、政府性基金预算支出决算情况说明</w:t>
      </w:r>
      <w:r>
        <w:rPr>
          <w:rFonts w:hint="eastAsia"/>
        </w:rPr>
        <w:t>......................................................11</w:t>
      </w:r>
    </w:p>
    <w:p>
      <w:pPr>
        <w:pStyle w:val="13"/>
        <w:shd w:val="clear" w:color="auto" w:fill="FFFFFF"/>
        <w:spacing w:before="0" w:beforeAutospacing="0"/>
      </w:pPr>
      <w:r>
        <w:t>       九、国有资本经营预算支出决算情况说明</w:t>
      </w:r>
      <w:r>
        <w:rPr>
          <w:rFonts w:hint="eastAsia"/>
        </w:rPr>
        <w:t>..................................................11</w:t>
      </w:r>
    </w:p>
    <w:p>
      <w:pPr>
        <w:pStyle w:val="13"/>
        <w:shd w:val="clear" w:color="auto" w:fill="FFFFFF"/>
        <w:spacing w:before="0" w:beforeAutospacing="0"/>
      </w:pPr>
      <w:r>
        <w:t>       十、其他重要事项的情况说明 </w:t>
      </w:r>
      <w:r>
        <w:rPr>
          <w:rFonts w:hint="eastAsia"/>
        </w:rPr>
        <w:t>.....................................................................12</w:t>
      </w:r>
    </w:p>
    <w:p>
      <w:pPr>
        <w:pStyle w:val="13"/>
        <w:shd w:val="clear" w:color="auto" w:fill="FFFFFF"/>
        <w:spacing w:before="0" w:beforeAutospacing="0"/>
      </w:pPr>
      <w:r>
        <w:t>第三部分 名词解释</w:t>
      </w:r>
      <w:r>
        <w:rPr>
          <w:rFonts w:hint="eastAsia"/>
        </w:rPr>
        <w:t>................................................................................................13</w:t>
      </w:r>
    </w:p>
    <w:p>
      <w:pPr>
        <w:pStyle w:val="13"/>
        <w:shd w:val="clear" w:color="auto" w:fill="FFFFFF"/>
        <w:spacing w:before="0" w:beforeAutospacing="0"/>
      </w:pPr>
      <w:r>
        <w:t>第四部分 附件</w:t>
      </w:r>
      <w:r>
        <w:rPr>
          <w:rFonts w:hint="eastAsia"/>
        </w:rPr>
        <w:t>........................................................................................................15</w:t>
      </w:r>
    </w:p>
    <w:p>
      <w:pPr>
        <w:pStyle w:val="13"/>
        <w:shd w:val="clear" w:color="auto" w:fill="FFFFFF"/>
        <w:spacing w:before="0" w:beforeAutospacing="0"/>
      </w:pPr>
      <w:r>
        <w:t>第五部分 附表</w:t>
      </w:r>
      <w:r>
        <w:rPr>
          <w:rFonts w:hint="eastAsia"/>
        </w:rPr>
        <w:t>........................................................................................................21</w:t>
      </w:r>
    </w:p>
    <w:p>
      <w:pPr>
        <w:pStyle w:val="13"/>
        <w:shd w:val="clear" w:color="auto" w:fill="FFFFFF"/>
        <w:spacing w:before="0" w:beforeAutospacing="0"/>
        <w:ind w:left="420"/>
      </w:pPr>
      <w:r>
        <w:t>一、收入支出决算总表</w:t>
      </w:r>
    </w:p>
    <w:p>
      <w:pPr>
        <w:pStyle w:val="13"/>
        <w:shd w:val="clear" w:color="auto" w:fill="FFFFFF"/>
        <w:spacing w:before="0" w:beforeAutospacing="0"/>
        <w:ind w:left="420"/>
      </w:pPr>
      <w:r>
        <w:t>二、收入决算表</w:t>
      </w:r>
    </w:p>
    <w:p>
      <w:pPr>
        <w:pStyle w:val="13"/>
        <w:shd w:val="clear" w:color="auto" w:fill="FFFFFF"/>
        <w:spacing w:before="0" w:beforeAutospacing="0"/>
        <w:ind w:left="420"/>
      </w:pPr>
      <w:r>
        <w:t>三、支出决算表</w:t>
      </w:r>
    </w:p>
    <w:p>
      <w:pPr>
        <w:pStyle w:val="13"/>
        <w:shd w:val="clear" w:color="auto" w:fill="FFFFFF"/>
        <w:spacing w:before="0" w:beforeAutospacing="0"/>
        <w:ind w:left="420"/>
      </w:pPr>
      <w:r>
        <w:t>四、财政拨款收入支出决算总表</w:t>
      </w:r>
    </w:p>
    <w:p>
      <w:pPr>
        <w:pStyle w:val="13"/>
        <w:shd w:val="clear" w:color="auto" w:fill="FFFFFF"/>
        <w:spacing w:before="0" w:beforeAutospacing="0"/>
        <w:ind w:left="420"/>
      </w:pPr>
      <w:r>
        <w:t>五、财政拨款支出决算明细表</w:t>
      </w:r>
    </w:p>
    <w:p>
      <w:pPr>
        <w:pStyle w:val="13"/>
        <w:shd w:val="clear" w:color="auto" w:fill="FFFFFF"/>
        <w:spacing w:before="0" w:beforeAutospacing="0"/>
        <w:ind w:left="420"/>
      </w:pPr>
      <w:r>
        <w:t>六、一般公共预算财政拨款支出决算表</w:t>
      </w:r>
    </w:p>
    <w:p>
      <w:pPr>
        <w:pStyle w:val="13"/>
        <w:shd w:val="clear" w:color="auto" w:fill="FFFFFF"/>
        <w:spacing w:before="0" w:beforeAutospacing="0"/>
        <w:ind w:left="420"/>
      </w:pPr>
      <w:r>
        <w:t>七、一般公共预算财政拨款支出决算明细表</w:t>
      </w:r>
    </w:p>
    <w:p>
      <w:pPr>
        <w:pStyle w:val="13"/>
        <w:shd w:val="clear" w:color="auto" w:fill="FFFFFF"/>
        <w:spacing w:before="0" w:beforeAutospacing="0"/>
        <w:ind w:left="420"/>
      </w:pPr>
      <w:r>
        <w:t>八、一般公共预算财政拨款基本支出决算表</w:t>
      </w:r>
    </w:p>
    <w:p>
      <w:pPr>
        <w:pStyle w:val="13"/>
        <w:shd w:val="clear" w:color="auto" w:fill="FFFFFF"/>
        <w:spacing w:before="0" w:beforeAutospacing="0"/>
        <w:ind w:left="420"/>
      </w:pPr>
      <w:r>
        <w:t>九、一般公共预算财政拨款项目支出决算表</w:t>
      </w:r>
    </w:p>
    <w:p>
      <w:pPr>
        <w:pStyle w:val="13"/>
        <w:shd w:val="clear" w:color="auto" w:fill="FFFFFF"/>
        <w:spacing w:before="0" w:beforeAutospacing="0"/>
        <w:ind w:left="420"/>
      </w:pPr>
      <w:r>
        <w:t>十、政府性基金预算财政拨款收入支出决算表</w:t>
      </w:r>
    </w:p>
    <w:p>
      <w:pPr>
        <w:pStyle w:val="13"/>
        <w:shd w:val="clear" w:color="auto" w:fill="FFFFFF"/>
        <w:spacing w:before="0" w:beforeAutospacing="0"/>
        <w:ind w:left="420"/>
      </w:pPr>
      <w:r>
        <w:t>十一、国有资本经营预算财政拨款收入支出决算表</w:t>
      </w:r>
    </w:p>
    <w:p>
      <w:pPr>
        <w:pStyle w:val="13"/>
        <w:shd w:val="clear" w:color="auto" w:fill="FFFFFF"/>
        <w:spacing w:before="0" w:beforeAutospacing="0"/>
        <w:ind w:left="420"/>
      </w:pPr>
      <w:r>
        <w:t>十二、国有资本经营预算财政拨款支出决算表</w:t>
      </w:r>
    </w:p>
    <w:p>
      <w:pPr>
        <w:pStyle w:val="13"/>
        <w:shd w:val="clear" w:color="auto" w:fill="FFFFFF"/>
        <w:spacing w:before="93" w:beforeAutospacing="0"/>
        <w:ind w:left="420"/>
      </w:pPr>
      <w:r>
        <w:t>十三、财政拨款“三公”经费支出决算表</w:t>
      </w: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93" w:beforeAutospacing="0"/>
        <w:ind w:left="420"/>
        <w:rPr>
          <w:rFonts w:hint="eastAsia"/>
        </w:rPr>
      </w:pPr>
    </w:p>
    <w:p>
      <w:pPr>
        <w:pStyle w:val="13"/>
        <w:shd w:val="clear" w:color="auto" w:fill="FFFFFF"/>
        <w:spacing w:before="93" w:beforeAutospacing="0"/>
        <w:ind w:left="420"/>
        <w:rPr>
          <w:rFonts w:hint="eastAsia"/>
        </w:rPr>
      </w:pPr>
    </w:p>
    <w:p>
      <w:pPr>
        <w:pStyle w:val="13"/>
        <w:shd w:val="clear" w:color="auto" w:fill="FFFFFF"/>
        <w:spacing w:before="93" w:beforeAutospacing="0"/>
        <w:ind w:left="420"/>
      </w:pPr>
    </w:p>
    <w:p>
      <w:pPr>
        <w:pStyle w:val="13"/>
        <w:shd w:val="clear" w:color="auto" w:fill="FFFFFF"/>
        <w:spacing w:before="93" w:beforeAutospacing="0"/>
        <w:ind w:left="420"/>
      </w:pPr>
    </w:p>
    <w:p>
      <w:pPr>
        <w:pStyle w:val="13"/>
        <w:shd w:val="clear" w:color="auto" w:fill="FFFFFF"/>
        <w:spacing w:before="0" w:beforeAutospacing="0"/>
        <w:jc w:val="center"/>
        <w:rPr>
          <w:rStyle w:val="17"/>
          <w:sz w:val="39"/>
          <w:szCs w:val="39"/>
        </w:rPr>
      </w:pPr>
      <w:r>
        <w:rPr>
          <w:rStyle w:val="17"/>
          <w:sz w:val="39"/>
          <w:szCs w:val="39"/>
        </w:rPr>
        <w:t>第一部分 部门概况</w:t>
      </w:r>
      <w:bookmarkEnd w:id="20"/>
      <w:bookmarkEnd w:id="21"/>
      <w:bookmarkEnd w:id="22"/>
      <w:bookmarkStart w:id="23" w:name="_Toc15396600"/>
      <w:bookmarkStart w:id="24" w:name="_Toc26843605"/>
      <w:bookmarkStart w:id="25" w:name="_Toc15377197"/>
    </w:p>
    <w:p>
      <w:pPr>
        <w:pStyle w:val="13"/>
        <w:shd w:val="clear" w:color="auto" w:fill="FFFFFF"/>
        <w:spacing w:before="93" w:beforeAutospacing="0"/>
        <w:ind w:left="420"/>
        <w:rPr>
          <w:rStyle w:val="20"/>
          <w:rFonts w:ascii="Times New Roman" w:hAnsi="Times New Roman" w:eastAsia="黑体"/>
        </w:rPr>
      </w:pPr>
      <w:r>
        <w:rPr>
          <w:rStyle w:val="20"/>
          <w:rFonts w:ascii="Times New Roman" w:hAnsi="Times New Roman" w:eastAsia="黑体"/>
        </w:rPr>
        <w:t>一、基本职能及主要工作</w:t>
      </w:r>
      <w:bookmarkEnd w:id="23"/>
      <w:bookmarkEnd w:id="24"/>
      <w:bookmarkEnd w:id="25"/>
    </w:p>
    <w:p>
      <w:pPr>
        <w:pStyle w:val="8"/>
        <w:adjustRightInd w:val="0"/>
        <w:snapToGrid w:val="0"/>
        <w:spacing w:before="93" w:line="576" w:lineRule="exact"/>
        <w:ind w:firstLine="499" w:firstLineChars="208"/>
        <w:outlineLvl w:val="2"/>
        <w:rPr>
          <w:kern w:val="0"/>
          <w:sz w:val="24"/>
          <w:szCs w:val="21"/>
        </w:rPr>
      </w:pPr>
      <w:bookmarkStart w:id="26" w:name="_Toc15378445"/>
      <w:bookmarkStart w:id="27" w:name="_Toc15377198"/>
      <w:r>
        <w:rPr>
          <w:kern w:val="0"/>
          <w:sz w:val="24"/>
          <w:szCs w:val="21"/>
        </w:rPr>
        <w:t>（一）主要职能。</w:t>
      </w:r>
      <w:bookmarkEnd w:id="26"/>
      <w:bookmarkEnd w:id="27"/>
    </w:p>
    <w:p>
      <w:pPr>
        <w:adjustRightInd w:val="0"/>
        <w:snapToGrid w:val="0"/>
        <w:spacing w:line="576" w:lineRule="exact"/>
        <w:ind w:firstLine="480" w:firstLineChars="200"/>
        <w:rPr>
          <w:rFonts w:ascii="宋体"/>
          <w:kern w:val="0"/>
          <w:sz w:val="24"/>
          <w:shd w:val="clear" w:color="auto" w:fill="FFFFFF"/>
        </w:rPr>
      </w:pPr>
      <w:bookmarkStart w:id="28" w:name="_Toc15378446"/>
      <w:bookmarkStart w:id="29" w:name="_Toc15377199"/>
      <w:r>
        <w:rPr>
          <w:rFonts w:hint="eastAsia" w:ascii="宋体"/>
          <w:kern w:val="0"/>
          <w:sz w:val="24"/>
          <w:shd w:val="clear" w:color="auto" w:fill="FFFFFF"/>
        </w:rPr>
        <w:t>1、审判法律规定由金川县人民法院管辖和其认为应当由自己审判的刑事、民事、经济、行政等一审案件。</w:t>
      </w:r>
    </w:p>
    <w:p>
      <w:pPr>
        <w:adjustRightInd w:val="0"/>
        <w:snapToGrid w:val="0"/>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2、审判州中级人民法院指令再审案件和不服一审判决，裁定的各类申诉和申请再审案件。</w:t>
      </w:r>
    </w:p>
    <w:p>
      <w:pPr>
        <w:adjustRightInd w:val="0"/>
        <w:snapToGrid w:val="0"/>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3、依法行使司法执行权和司法决定权。</w:t>
      </w:r>
    </w:p>
    <w:p>
      <w:pPr>
        <w:adjustRightInd w:val="0"/>
        <w:snapToGrid w:val="0"/>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4、针对审理案件中发现的问题，提出司法建议。</w:t>
      </w:r>
    </w:p>
    <w:p>
      <w:pPr>
        <w:adjustRightInd w:val="0"/>
        <w:snapToGrid w:val="0"/>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5、负责各人民法庭和内部庭室的思想、政治、纪律教育、培训工作，按照权限管理法官、执行员、书记员、司法警察及司法行政人员。</w:t>
      </w:r>
    </w:p>
    <w:p>
      <w:pPr>
        <w:adjustRightInd w:val="0"/>
        <w:snapToGrid w:val="0"/>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6、管理好法院有关经费和装备，加强物质文明的建设。</w:t>
      </w:r>
    </w:p>
    <w:p>
      <w:pPr>
        <w:adjustRightInd w:val="0"/>
        <w:snapToGrid w:val="0"/>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7、宣传法制、教育公民忠于社会主义、自觉地遵守宪法、法律和社会公德。</w:t>
      </w:r>
    </w:p>
    <w:p>
      <w:pPr>
        <w:adjustRightInd w:val="0"/>
        <w:snapToGrid w:val="0"/>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8、承办其它应由金川县人民法院负责的工作。</w:t>
      </w:r>
    </w:p>
    <w:p>
      <w:pPr>
        <w:pStyle w:val="8"/>
        <w:adjustRightInd w:val="0"/>
        <w:snapToGrid w:val="0"/>
        <w:spacing w:before="93" w:line="576" w:lineRule="exact"/>
        <w:ind w:firstLine="499" w:firstLineChars="208"/>
        <w:outlineLvl w:val="2"/>
        <w:rPr>
          <w:kern w:val="0"/>
          <w:sz w:val="24"/>
          <w:szCs w:val="21"/>
        </w:rPr>
      </w:pPr>
      <w:r>
        <w:rPr>
          <w:kern w:val="0"/>
          <w:sz w:val="24"/>
          <w:szCs w:val="21"/>
        </w:rPr>
        <w:t>（二）202</w:t>
      </w:r>
      <w:r>
        <w:rPr>
          <w:rFonts w:hint="eastAsia"/>
          <w:kern w:val="0"/>
          <w:sz w:val="24"/>
          <w:szCs w:val="21"/>
        </w:rPr>
        <w:t>2</w:t>
      </w:r>
      <w:r>
        <w:rPr>
          <w:kern w:val="0"/>
          <w:sz w:val="24"/>
          <w:szCs w:val="21"/>
        </w:rPr>
        <w:t>年重点工作完成情况。</w:t>
      </w:r>
      <w:bookmarkEnd w:id="28"/>
      <w:bookmarkEnd w:id="29"/>
    </w:p>
    <w:p>
      <w:pPr>
        <w:adjustRightInd w:val="0"/>
        <w:snapToGrid w:val="0"/>
        <w:spacing w:line="576" w:lineRule="exact"/>
        <w:ind w:firstLine="480" w:firstLineChars="200"/>
        <w:outlineLvl w:val="0"/>
        <w:rPr>
          <w:rFonts w:ascii="宋体"/>
          <w:kern w:val="0"/>
          <w:sz w:val="24"/>
          <w:shd w:val="clear" w:color="auto" w:fill="FFFFFF"/>
        </w:rPr>
      </w:pPr>
      <w:bookmarkStart w:id="30" w:name="_Toc79163605"/>
      <w:bookmarkEnd w:id="30"/>
      <w:bookmarkStart w:id="31" w:name="_Toc79163855"/>
      <w:bookmarkEnd w:id="31"/>
      <w:bookmarkStart w:id="32" w:name="_Toc15377200"/>
      <w:bookmarkStart w:id="33" w:name="_Toc26843606"/>
      <w:bookmarkStart w:id="34" w:name="_Toc15396601"/>
      <w:r>
        <w:rPr>
          <w:rFonts w:hint="eastAsia" w:ascii="宋体"/>
          <w:kern w:val="0"/>
          <w:sz w:val="24"/>
          <w:shd w:val="clear" w:color="auto" w:fill="FFFFFF"/>
        </w:rPr>
        <w:t>一年来，在县委坚强领导、县人大及其常委会有力监督、县政府、县政协和社会各界的关心支持下，在州法院精心指导下，县人民法院坚持以习近平新时代中国特色社会主义思想为指导，认真贯彻落实党的十九大、十九届历次全会、党的二十大、习近平总书记来川视察重要指示精神和省、州、县历次全会精神，坚定贯彻县委“一二三六”发展思路，紧紧围绕“努力让人民群众在每一个司法案件中感受到公平正义”目标，忠实履行宪法法律赋予的职责，坚持服务大局、司法为民、公正司法，各项工作取得新成效。全年共受理各类案件1014件（旧存10件），审执结1003件，结收比99.9%。</w:t>
      </w:r>
    </w:p>
    <w:p>
      <w:pPr>
        <w:adjustRightInd w:val="0"/>
        <w:snapToGrid w:val="0"/>
        <w:spacing w:line="576" w:lineRule="exact"/>
        <w:ind w:firstLine="643" w:firstLineChars="200"/>
        <w:outlineLvl w:val="0"/>
        <w:rPr>
          <w:rStyle w:val="20"/>
          <w:rFonts w:ascii="Times New Roman" w:hAnsi="Times New Roman" w:eastAsia="黑体"/>
        </w:rPr>
      </w:pPr>
      <w:r>
        <w:rPr>
          <w:rStyle w:val="20"/>
          <w:rFonts w:ascii="Times New Roman" w:hAnsi="Times New Roman" w:eastAsia="黑体"/>
        </w:rPr>
        <w:t>二、机构设置</w:t>
      </w:r>
      <w:bookmarkEnd w:id="32"/>
      <w:bookmarkEnd w:id="33"/>
      <w:bookmarkEnd w:id="34"/>
    </w:p>
    <w:p>
      <w:pPr>
        <w:adjustRightInd w:val="0"/>
        <w:snapToGrid w:val="0"/>
        <w:spacing w:line="576" w:lineRule="exact"/>
        <w:ind w:firstLine="240" w:firstLineChars="100"/>
        <w:rPr>
          <w:kern w:val="0"/>
          <w:sz w:val="24"/>
          <w:szCs w:val="21"/>
        </w:rPr>
      </w:pPr>
      <w:bookmarkStart w:id="35" w:name="_Toc15396602"/>
      <w:bookmarkStart w:id="36" w:name="_Toc15377204"/>
      <w:bookmarkStart w:id="37" w:name="_Toc26843607"/>
      <w:r>
        <w:rPr>
          <w:rFonts w:hint="eastAsia"/>
          <w:kern w:val="0"/>
          <w:sz w:val="24"/>
          <w:szCs w:val="21"/>
        </w:rPr>
        <w:t>（一）机构情况</w:t>
      </w:r>
    </w:p>
    <w:p>
      <w:pPr>
        <w:adjustRightInd w:val="0"/>
        <w:snapToGrid w:val="0"/>
        <w:spacing w:line="576" w:lineRule="exact"/>
        <w:ind w:firstLine="360" w:firstLineChars="150"/>
        <w:rPr>
          <w:rFonts w:ascii="宋体"/>
          <w:kern w:val="0"/>
          <w:sz w:val="24"/>
          <w:shd w:val="clear" w:color="auto" w:fill="FFFFFF"/>
        </w:rPr>
      </w:pPr>
      <w:r>
        <w:rPr>
          <w:rFonts w:hint="eastAsia" w:ascii="宋体"/>
          <w:kern w:val="0"/>
          <w:sz w:val="24"/>
          <w:shd w:val="clear" w:color="auto" w:fill="FFFFFF"/>
        </w:rPr>
        <w:t>我单位只有一个行政核算机构。内设机构9个，具体为：综合办公室、政治部（督查室）、立案庭（诉讼服务中心）、民事审判庭（未成年案件审判庭）、刑事审判庭（环境资源审判庭）、行政审判庭、执行局、审判管理办公室（研究室）、司法警察大队。</w:t>
      </w:r>
    </w:p>
    <w:p>
      <w:pPr>
        <w:adjustRightInd w:val="0"/>
        <w:snapToGrid w:val="0"/>
        <w:spacing w:line="576" w:lineRule="exact"/>
        <w:ind w:firstLine="240" w:firstLineChars="100"/>
        <w:rPr>
          <w:kern w:val="0"/>
          <w:sz w:val="24"/>
          <w:szCs w:val="21"/>
        </w:rPr>
      </w:pPr>
      <w:r>
        <w:rPr>
          <w:rFonts w:hint="eastAsia"/>
          <w:kern w:val="0"/>
          <w:sz w:val="24"/>
          <w:szCs w:val="21"/>
        </w:rPr>
        <w:t>(二）人员情况</w:t>
      </w:r>
    </w:p>
    <w:p>
      <w:pPr>
        <w:adjustRightInd w:val="0"/>
        <w:snapToGrid w:val="0"/>
        <w:spacing w:line="576" w:lineRule="exact"/>
        <w:ind w:firstLine="360" w:firstLineChars="150"/>
        <w:rPr>
          <w:rFonts w:ascii="宋体"/>
          <w:kern w:val="0"/>
          <w:sz w:val="24"/>
          <w:shd w:val="clear" w:color="auto" w:fill="FFFFFF"/>
        </w:rPr>
      </w:pPr>
      <w:r>
        <w:rPr>
          <w:rFonts w:hint="eastAsia" w:ascii="宋体"/>
          <w:kern w:val="0"/>
          <w:sz w:val="24"/>
          <w:shd w:val="clear" w:color="auto" w:fill="FFFFFF"/>
        </w:rPr>
        <w:t>我院2022年年末在职53人，退休17人，遗嘱4人。总编制数55人（其中:行政编制52人，工勤编制3人）。</w:t>
      </w:r>
    </w:p>
    <w:p>
      <w:pPr>
        <w:pStyle w:val="13"/>
        <w:shd w:val="clear" w:color="auto" w:fill="FFFFFF"/>
        <w:spacing w:before="0" w:beforeAutospacing="0"/>
        <w:jc w:val="center"/>
        <w:rPr>
          <w:rStyle w:val="17"/>
          <w:b w:val="0"/>
          <w:sz w:val="39"/>
          <w:szCs w:val="39"/>
        </w:rPr>
      </w:pPr>
      <w:r>
        <w:rPr>
          <w:rStyle w:val="17"/>
          <w:sz w:val="39"/>
          <w:szCs w:val="39"/>
        </w:rPr>
        <w:t>第二部分 202</w:t>
      </w:r>
      <w:r>
        <w:rPr>
          <w:rStyle w:val="17"/>
          <w:rFonts w:hint="eastAsia"/>
          <w:sz w:val="39"/>
          <w:szCs w:val="39"/>
        </w:rPr>
        <w:t>2</w:t>
      </w:r>
      <w:r>
        <w:rPr>
          <w:rStyle w:val="17"/>
          <w:sz w:val="39"/>
          <w:szCs w:val="39"/>
        </w:rPr>
        <w:t>年度部门决算情况说明</w:t>
      </w:r>
      <w:bookmarkEnd w:id="35"/>
      <w:bookmarkEnd w:id="36"/>
      <w:bookmarkEnd w:id="37"/>
    </w:p>
    <w:p>
      <w:pPr>
        <w:pStyle w:val="25"/>
        <w:numPr>
          <w:ilvl w:val="0"/>
          <w:numId w:val="1"/>
        </w:numPr>
        <w:spacing w:line="576" w:lineRule="exact"/>
        <w:ind w:firstLineChars="0"/>
        <w:outlineLvl w:val="1"/>
        <w:rPr>
          <w:rFonts w:ascii="宋体"/>
          <w:b/>
          <w:bCs/>
          <w:kern w:val="0"/>
          <w:sz w:val="24"/>
          <w:shd w:val="clear" w:color="auto" w:fill="FFFFFF"/>
        </w:rPr>
      </w:pPr>
      <w:bookmarkStart w:id="38" w:name="_Toc15396603"/>
      <w:bookmarkStart w:id="39" w:name="_Toc15377205"/>
      <w:bookmarkStart w:id="40" w:name="_Toc26843608"/>
      <w:r>
        <w:rPr>
          <w:rFonts w:ascii="宋体"/>
          <w:b/>
          <w:bCs/>
          <w:kern w:val="0"/>
          <w:sz w:val="24"/>
          <w:shd w:val="clear" w:color="auto" w:fill="FFFFFF"/>
        </w:rPr>
        <w:t>收入支出决算总体情况说明</w:t>
      </w:r>
      <w:bookmarkEnd w:id="38"/>
      <w:bookmarkEnd w:id="39"/>
      <w:bookmarkEnd w:id="40"/>
    </w:p>
    <w:p>
      <w:pPr>
        <w:spacing w:line="576" w:lineRule="exact"/>
        <w:ind w:firstLine="480" w:firstLineChars="200"/>
        <w:rPr>
          <w:rFonts w:ascii="宋体"/>
          <w:kern w:val="0"/>
          <w:sz w:val="24"/>
          <w:shd w:val="clear" w:color="auto" w:fill="FFFFFF"/>
        </w:rPr>
      </w:pPr>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年度收、支总计</w:t>
      </w:r>
      <w:r>
        <w:rPr>
          <w:rFonts w:hint="eastAsia" w:ascii="宋体"/>
          <w:kern w:val="0"/>
          <w:sz w:val="24"/>
          <w:shd w:val="clear" w:color="auto" w:fill="FFFFFF"/>
        </w:rPr>
        <w:t>2030.31</w:t>
      </w:r>
      <w:r>
        <w:rPr>
          <w:rFonts w:ascii="宋体"/>
          <w:kern w:val="0"/>
          <w:sz w:val="24"/>
          <w:shd w:val="clear" w:color="auto" w:fill="FFFFFF"/>
        </w:rPr>
        <w:t>万元。与202</w:t>
      </w:r>
      <w:r>
        <w:rPr>
          <w:rFonts w:hint="eastAsia" w:ascii="宋体"/>
          <w:kern w:val="0"/>
          <w:sz w:val="24"/>
          <w:shd w:val="clear" w:color="auto" w:fill="FFFFFF"/>
        </w:rPr>
        <w:t>1</w:t>
      </w:r>
      <w:r>
        <w:rPr>
          <w:rFonts w:ascii="宋体"/>
          <w:kern w:val="0"/>
          <w:sz w:val="24"/>
          <w:shd w:val="clear" w:color="auto" w:fill="FFFFFF"/>
        </w:rPr>
        <w:t>年相比，收、支总计各增加</w:t>
      </w:r>
      <w:r>
        <w:rPr>
          <w:rFonts w:hint="eastAsia" w:ascii="宋体"/>
          <w:kern w:val="0"/>
          <w:sz w:val="24"/>
          <w:shd w:val="clear" w:color="auto" w:fill="FFFFFF"/>
        </w:rPr>
        <w:t>96.52</w:t>
      </w:r>
      <w:r>
        <w:rPr>
          <w:rFonts w:ascii="宋体"/>
          <w:kern w:val="0"/>
          <w:sz w:val="24"/>
          <w:shd w:val="clear" w:color="auto" w:fill="FFFFFF"/>
        </w:rPr>
        <w:t>万元，增长</w:t>
      </w:r>
      <w:r>
        <w:rPr>
          <w:rFonts w:hint="eastAsia" w:ascii="宋体"/>
          <w:kern w:val="0"/>
          <w:sz w:val="24"/>
          <w:shd w:val="clear" w:color="auto" w:fill="FFFFFF"/>
        </w:rPr>
        <w:t>5</w:t>
      </w:r>
      <w:r>
        <w:rPr>
          <w:rFonts w:ascii="宋体"/>
          <w:kern w:val="0"/>
          <w:sz w:val="24"/>
          <w:shd w:val="clear" w:color="auto" w:fill="FFFFFF"/>
        </w:rPr>
        <w:t>%。主要变动原因是本年度</w:t>
      </w:r>
      <w:r>
        <w:rPr>
          <w:rFonts w:hint="eastAsia" w:ascii="宋体"/>
          <w:kern w:val="0"/>
          <w:sz w:val="24"/>
          <w:shd w:val="clear" w:color="auto" w:fill="FFFFFF"/>
        </w:rPr>
        <w:t>单位</w:t>
      </w:r>
      <w:r>
        <w:rPr>
          <w:rFonts w:ascii="宋体"/>
          <w:kern w:val="0"/>
          <w:sz w:val="24"/>
          <w:shd w:val="clear" w:color="auto" w:fill="FFFFFF"/>
        </w:rPr>
        <w:t>增加了石榴籽调解室等项目。</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pict>
          <v:shape id="_x0000_s1028" o:spid="_x0000_s1028" o:spt="75" alt="1035813062" type="#_x0000_t75" style="position:absolute;left:0pt;margin-left:21.5pt;margin-top:9.05pt;height:162.1pt;width:376.15pt;z-index:251659264;mso-width-relative:page;mso-height-relative:page;" o:ole="t" filled="f" o:preferrelative="t" stroked="f" coordsize="21600,21600">
            <v:path/>
            <v:fill on="f" focussize="0,0"/>
            <v:stroke on="f" joinstyle="miter"/>
            <v:imagedata r:id="rId8" o:title="2"/>
            <o:lock v:ext="edit" aspectratio="t"/>
          </v:shape>
          <o:OLEObject Type="Embed" ProgID="MSGraph.Chart.8" ShapeID="_x0000_s1028" DrawAspect="Content" ObjectID="_1468075725" r:id="rId7">
            <o:LockedField>false</o:LockedField>
          </o:OLEObject>
        </w:pict>
      </w:r>
    </w:p>
    <w:p>
      <w:pPr>
        <w:spacing w:line="576" w:lineRule="exact"/>
        <w:ind w:firstLine="640" w:firstLineChars="200"/>
        <w:rPr>
          <w:rFonts w:eastAsia="仿宋"/>
          <w:sz w:val="32"/>
          <w:szCs w:val="32"/>
        </w:rPr>
      </w:pPr>
    </w:p>
    <w:p>
      <w:pPr>
        <w:spacing w:line="576" w:lineRule="exact"/>
        <w:ind w:firstLine="640" w:firstLineChars="200"/>
        <w:rPr>
          <w:rFonts w:eastAsia="仿宋"/>
          <w:sz w:val="32"/>
          <w:szCs w:val="32"/>
        </w:rPr>
      </w:pPr>
    </w:p>
    <w:p>
      <w:pPr>
        <w:spacing w:line="576" w:lineRule="exact"/>
        <w:rPr>
          <w:rFonts w:eastAsia="仿宋"/>
          <w:color w:val="FF0000"/>
          <w:sz w:val="32"/>
          <w:szCs w:val="32"/>
        </w:rPr>
      </w:pPr>
    </w:p>
    <w:p>
      <w:pPr>
        <w:spacing w:line="576" w:lineRule="exact"/>
        <w:rPr>
          <w:rFonts w:eastAsia="仿宋"/>
          <w:color w:val="FF0000"/>
          <w:sz w:val="32"/>
          <w:szCs w:val="32"/>
        </w:rPr>
      </w:pPr>
    </w:p>
    <w:p>
      <w:pPr>
        <w:spacing w:line="576" w:lineRule="exact"/>
        <w:rPr>
          <w:rFonts w:ascii="宋体"/>
          <w:b/>
          <w:bCs/>
          <w:kern w:val="0"/>
          <w:sz w:val="24"/>
          <w:shd w:val="clear" w:color="auto" w:fill="FFFFFF"/>
        </w:rPr>
      </w:pPr>
    </w:p>
    <w:p>
      <w:pPr>
        <w:spacing w:line="576" w:lineRule="exact"/>
        <w:ind w:firstLine="482" w:firstLineChars="200"/>
        <w:rPr>
          <w:rFonts w:ascii="宋体"/>
          <w:b/>
          <w:bCs/>
          <w:kern w:val="0"/>
          <w:sz w:val="24"/>
          <w:shd w:val="clear" w:color="auto" w:fill="FFFFFF"/>
        </w:rPr>
      </w:pPr>
      <w:r>
        <w:rPr>
          <w:rFonts w:ascii="宋体"/>
          <w:b/>
          <w:bCs/>
          <w:kern w:val="0"/>
          <w:sz w:val="24"/>
          <w:shd w:val="clear" w:color="auto" w:fill="FFFFFF"/>
        </w:rPr>
        <w:t>（图1：收、支决算总计变动情况图）（柱状图）</w:t>
      </w:r>
    </w:p>
    <w:p>
      <w:pPr>
        <w:pStyle w:val="25"/>
        <w:numPr>
          <w:ilvl w:val="0"/>
          <w:numId w:val="1"/>
        </w:numPr>
        <w:spacing w:line="576" w:lineRule="exact"/>
        <w:ind w:firstLineChars="0"/>
        <w:outlineLvl w:val="1"/>
        <w:rPr>
          <w:rFonts w:ascii="宋体"/>
          <w:b/>
          <w:bCs/>
          <w:kern w:val="0"/>
          <w:sz w:val="24"/>
          <w:shd w:val="clear" w:color="auto" w:fill="FFFFFF"/>
        </w:rPr>
      </w:pPr>
      <w:bookmarkStart w:id="41" w:name="_Toc26843609"/>
      <w:bookmarkStart w:id="42" w:name="_Toc15396604"/>
      <w:bookmarkStart w:id="43" w:name="_Toc15377206"/>
      <w:r>
        <w:rPr>
          <w:rFonts w:ascii="宋体"/>
          <w:b/>
          <w:bCs/>
          <w:kern w:val="0"/>
          <w:sz w:val="24"/>
          <w:shd w:val="clear" w:color="auto" w:fill="FFFFFF"/>
        </w:rPr>
        <w:t>收入决算情况说明</w:t>
      </w:r>
      <w:bookmarkEnd w:id="41"/>
      <w:bookmarkEnd w:id="42"/>
      <w:bookmarkEnd w:id="43"/>
    </w:p>
    <w:p>
      <w:pPr>
        <w:spacing w:line="576" w:lineRule="exact"/>
        <w:ind w:firstLine="480" w:firstLineChars="200"/>
        <w:rPr>
          <w:rFonts w:ascii="宋体"/>
          <w:kern w:val="0"/>
          <w:sz w:val="24"/>
          <w:shd w:val="clear" w:color="auto" w:fill="FFFFFF"/>
        </w:rPr>
      </w:pPr>
      <w:bookmarkStart w:id="44" w:name="_Toc26843610"/>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年度收入合计</w:t>
      </w:r>
      <w:r>
        <w:rPr>
          <w:rFonts w:hint="eastAsia" w:ascii="宋体"/>
          <w:kern w:val="0"/>
          <w:sz w:val="24"/>
          <w:shd w:val="clear" w:color="auto" w:fill="FFFFFF"/>
        </w:rPr>
        <w:t>2030.31</w:t>
      </w:r>
      <w:r>
        <w:rPr>
          <w:rFonts w:ascii="宋体"/>
          <w:kern w:val="0"/>
          <w:sz w:val="24"/>
          <w:shd w:val="clear" w:color="auto" w:fill="FFFFFF"/>
        </w:rPr>
        <w:t>万元，其中：一般公共预算财政拨款收入</w:t>
      </w:r>
      <w:r>
        <w:rPr>
          <w:rFonts w:hint="eastAsia" w:ascii="宋体"/>
          <w:kern w:val="0"/>
          <w:sz w:val="24"/>
          <w:shd w:val="clear" w:color="auto" w:fill="FFFFFF"/>
        </w:rPr>
        <w:t>1305.32</w:t>
      </w:r>
      <w:r>
        <w:rPr>
          <w:rFonts w:ascii="宋体"/>
          <w:kern w:val="0"/>
          <w:sz w:val="24"/>
          <w:shd w:val="clear" w:color="auto" w:fill="FFFFFF"/>
        </w:rPr>
        <w:t>万元，占</w:t>
      </w:r>
      <w:r>
        <w:rPr>
          <w:rFonts w:hint="eastAsia" w:ascii="宋体"/>
          <w:kern w:val="0"/>
          <w:sz w:val="24"/>
          <w:shd w:val="clear" w:color="auto" w:fill="FFFFFF"/>
        </w:rPr>
        <w:t>64.3</w:t>
      </w:r>
      <w:r>
        <w:rPr>
          <w:rFonts w:ascii="宋体"/>
          <w:kern w:val="0"/>
          <w:sz w:val="24"/>
          <w:shd w:val="clear" w:color="auto" w:fill="FFFFFF"/>
        </w:rPr>
        <w:t>%；政府性基金预算财政拨款收入0万元，占0%；国有资本经营预算财政拨款收入0万元，占0%；上级补助收入0万元，占0%；事业收入0万元，占0%；经营收入0万元，占0%；附属单位上缴收入0万元，占0%；其他收入</w:t>
      </w:r>
      <w:r>
        <w:rPr>
          <w:rFonts w:hint="eastAsia" w:ascii="宋体"/>
          <w:kern w:val="0"/>
          <w:sz w:val="24"/>
          <w:shd w:val="clear" w:color="auto" w:fill="FFFFFF"/>
        </w:rPr>
        <w:t>725万元（为县级财政拨款），</w:t>
      </w:r>
      <w:r>
        <w:rPr>
          <w:rFonts w:ascii="宋体"/>
          <w:kern w:val="0"/>
          <w:sz w:val="24"/>
          <w:shd w:val="clear" w:color="auto" w:fill="FFFFFF"/>
        </w:rPr>
        <w:t>占</w:t>
      </w:r>
      <w:r>
        <w:rPr>
          <w:rFonts w:hint="eastAsia" w:ascii="宋体"/>
          <w:kern w:val="0"/>
          <w:sz w:val="24"/>
          <w:shd w:val="clear" w:color="auto" w:fill="FFFFFF"/>
        </w:rPr>
        <w:t>35.7</w:t>
      </w:r>
      <w:r>
        <w:rPr>
          <w:rFonts w:ascii="宋体"/>
          <w:kern w:val="0"/>
          <w:sz w:val="24"/>
          <w:shd w:val="clear" w:color="auto" w:fill="FFFFFF"/>
        </w:rPr>
        <w:t>%</w:t>
      </w:r>
      <w:bookmarkEnd w:id="44"/>
      <w:r>
        <w:rPr>
          <w:rFonts w:hint="eastAsia" w:ascii="宋体"/>
          <w:kern w:val="0"/>
          <w:sz w:val="24"/>
          <w:shd w:val="clear" w:color="auto" w:fill="FFFFFF"/>
        </w:rPr>
        <w:t>。</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drawing>
          <wp:anchor distT="0" distB="0" distL="114300" distR="114300" simplePos="0" relativeHeight="251659264" behindDoc="0" locked="0" layoutInCell="1" allowOverlap="1">
            <wp:simplePos x="0" y="0"/>
            <wp:positionH relativeFrom="column">
              <wp:posOffset>1134110</wp:posOffset>
            </wp:positionH>
            <wp:positionV relativeFrom="paragraph">
              <wp:posOffset>225425</wp:posOffset>
            </wp:positionV>
            <wp:extent cx="3496945" cy="2228215"/>
            <wp:effectExtent l="19050" t="0" r="27305" b="635"/>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5"/>
        <w:spacing w:before="93" w:line="576" w:lineRule="exact"/>
        <w:rPr>
          <w:rFonts w:ascii="Times New Roman" w:eastAsia="仿宋"/>
          <w:color w:val="FF0000"/>
          <w:sz w:val="32"/>
          <w:szCs w:val="32"/>
        </w:rPr>
      </w:pPr>
    </w:p>
    <w:p>
      <w:pPr>
        <w:pStyle w:val="5"/>
        <w:spacing w:before="93" w:line="576" w:lineRule="exact"/>
        <w:rPr>
          <w:rFonts w:ascii="Times New Roman" w:eastAsia="仿宋"/>
          <w:color w:val="FF0000"/>
          <w:sz w:val="32"/>
          <w:szCs w:val="32"/>
        </w:rPr>
      </w:pPr>
    </w:p>
    <w:p>
      <w:pPr>
        <w:spacing w:line="576" w:lineRule="exact"/>
        <w:ind w:firstLine="640" w:firstLineChars="200"/>
        <w:rPr>
          <w:rFonts w:eastAsia="仿宋"/>
          <w:color w:val="FF0000"/>
          <w:sz w:val="32"/>
          <w:szCs w:val="32"/>
        </w:rPr>
      </w:pPr>
    </w:p>
    <w:p>
      <w:pPr>
        <w:spacing w:line="576" w:lineRule="exact"/>
        <w:ind w:firstLine="640" w:firstLineChars="200"/>
        <w:rPr>
          <w:rFonts w:eastAsia="仿宋"/>
          <w:sz w:val="32"/>
          <w:szCs w:val="32"/>
        </w:rPr>
      </w:pPr>
    </w:p>
    <w:p>
      <w:pPr>
        <w:spacing w:line="576" w:lineRule="exact"/>
        <w:ind w:firstLine="640" w:firstLineChars="200"/>
        <w:jc w:val="center"/>
        <w:rPr>
          <w:rFonts w:eastAsia="仿宋_GB2312"/>
          <w:sz w:val="32"/>
          <w:szCs w:val="32"/>
        </w:rPr>
      </w:pPr>
    </w:p>
    <w:p>
      <w:pPr>
        <w:spacing w:line="576" w:lineRule="exact"/>
        <w:ind w:firstLine="640" w:firstLineChars="200"/>
        <w:jc w:val="center"/>
        <w:rPr>
          <w:rFonts w:eastAsia="仿宋_GB2312"/>
          <w:sz w:val="32"/>
          <w:szCs w:val="32"/>
        </w:rPr>
      </w:pPr>
    </w:p>
    <w:p>
      <w:pPr>
        <w:spacing w:line="576" w:lineRule="exact"/>
        <w:ind w:firstLine="482" w:firstLineChars="200"/>
        <w:jc w:val="center"/>
        <w:rPr>
          <w:rFonts w:ascii="宋体"/>
          <w:b/>
          <w:bCs/>
          <w:kern w:val="0"/>
          <w:sz w:val="24"/>
          <w:shd w:val="clear" w:color="auto" w:fill="FFFFFF"/>
        </w:rPr>
      </w:pPr>
      <w:r>
        <w:rPr>
          <w:rFonts w:ascii="宋体"/>
          <w:b/>
          <w:bCs/>
          <w:kern w:val="0"/>
          <w:sz w:val="24"/>
          <w:shd w:val="clear" w:color="auto" w:fill="FFFFFF"/>
        </w:rPr>
        <w:t>（图2：收入决算结构图）（饼状图）</w:t>
      </w:r>
    </w:p>
    <w:p>
      <w:pPr>
        <w:pStyle w:val="25"/>
        <w:numPr>
          <w:ilvl w:val="0"/>
          <w:numId w:val="1"/>
        </w:numPr>
        <w:spacing w:line="576" w:lineRule="exact"/>
        <w:ind w:firstLineChars="0"/>
        <w:outlineLvl w:val="1"/>
        <w:rPr>
          <w:rFonts w:ascii="宋体"/>
          <w:b/>
          <w:kern w:val="0"/>
          <w:sz w:val="24"/>
          <w:shd w:val="clear" w:color="auto" w:fill="FFFFFF"/>
        </w:rPr>
      </w:pPr>
      <w:bookmarkStart w:id="45" w:name="_Toc15396605"/>
      <w:bookmarkStart w:id="46" w:name="_Toc15377207"/>
      <w:bookmarkStart w:id="47" w:name="_Toc26843612"/>
      <w:r>
        <w:rPr>
          <w:rFonts w:ascii="宋体"/>
          <w:b/>
          <w:bCs/>
          <w:kern w:val="0"/>
          <w:sz w:val="24"/>
          <w:shd w:val="clear" w:color="auto" w:fill="FFFFFF"/>
        </w:rPr>
        <w:t>支</w:t>
      </w:r>
      <w:r>
        <w:rPr>
          <w:rFonts w:ascii="宋体"/>
          <w:b/>
          <w:kern w:val="0"/>
          <w:sz w:val="24"/>
          <w:shd w:val="clear" w:color="auto" w:fill="FFFFFF"/>
        </w:rPr>
        <w:t>出决算情况说明</w:t>
      </w:r>
      <w:bookmarkEnd w:id="45"/>
      <w:bookmarkEnd w:id="46"/>
      <w:bookmarkEnd w:id="47"/>
    </w:p>
    <w:p>
      <w:pPr>
        <w:spacing w:line="576" w:lineRule="exact"/>
        <w:ind w:firstLine="480" w:firstLineChars="200"/>
        <w:outlineLvl w:val="1"/>
        <w:rPr>
          <w:rFonts w:ascii="宋体"/>
          <w:kern w:val="0"/>
          <w:sz w:val="24"/>
          <w:shd w:val="clear" w:color="auto" w:fill="FFFFFF"/>
        </w:rPr>
      </w:pPr>
      <w:bookmarkStart w:id="48" w:name="_Toc26843613"/>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年度支出合计</w:t>
      </w:r>
      <w:r>
        <w:rPr>
          <w:rFonts w:hint="eastAsia" w:ascii="宋体"/>
          <w:kern w:val="0"/>
          <w:sz w:val="24"/>
          <w:shd w:val="clear" w:color="auto" w:fill="FFFFFF"/>
        </w:rPr>
        <w:t>1970.31</w:t>
      </w:r>
      <w:r>
        <w:rPr>
          <w:rFonts w:ascii="宋体"/>
          <w:kern w:val="0"/>
          <w:sz w:val="24"/>
          <w:shd w:val="clear" w:color="auto" w:fill="FFFFFF"/>
        </w:rPr>
        <w:t>万元，其中：基本支出</w:t>
      </w:r>
      <w:r>
        <w:rPr>
          <w:rFonts w:hint="eastAsia" w:ascii="宋体"/>
          <w:kern w:val="0"/>
          <w:sz w:val="24"/>
          <w:shd w:val="clear" w:color="auto" w:fill="FFFFFF"/>
        </w:rPr>
        <w:t>1513.15</w:t>
      </w:r>
      <w:r>
        <w:rPr>
          <w:rFonts w:ascii="宋体"/>
          <w:kern w:val="0"/>
          <w:sz w:val="24"/>
          <w:shd w:val="clear" w:color="auto" w:fill="FFFFFF"/>
        </w:rPr>
        <w:t>万元，占</w:t>
      </w:r>
      <w:r>
        <w:rPr>
          <w:rFonts w:hint="eastAsia" w:ascii="宋体"/>
          <w:kern w:val="0"/>
          <w:sz w:val="24"/>
          <w:shd w:val="clear" w:color="auto" w:fill="FFFFFF"/>
        </w:rPr>
        <w:t>76.8</w:t>
      </w:r>
      <w:r>
        <w:rPr>
          <w:rFonts w:ascii="宋体"/>
          <w:kern w:val="0"/>
          <w:sz w:val="24"/>
          <w:shd w:val="clear" w:color="auto" w:fill="FFFFFF"/>
        </w:rPr>
        <w:t>%；项目支出</w:t>
      </w:r>
      <w:r>
        <w:rPr>
          <w:rFonts w:hint="eastAsia" w:ascii="宋体"/>
          <w:kern w:val="0"/>
          <w:sz w:val="24"/>
          <w:shd w:val="clear" w:color="auto" w:fill="FFFFFF"/>
        </w:rPr>
        <w:t>457.17</w:t>
      </w:r>
      <w:r>
        <w:rPr>
          <w:rFonts w:ascii="宋体"/>
          <w:kern w:val="0"/>
          <w:sz w:val="24"/>
          <w:shd w:val="clear" w:color="auto" w:fill="FFFFFF"/>
        </w:rPr>
        <w:t>万元，占</w:t>
      </w:r>
      <w:r>
        <w:rPr>
          <w:rFonts w:hint="eastAsia" w:ascii="宋体"/>
          <w:kern w:val="0"/>
          <w:sz w:val="24"/>
          <w:shd w:val="clear" w:color="auto" w:fill="FFFFFF"/>
        </w:rPr>
        <w:t>23.2</w:t>
      </w:r>
      <w:r>
        <w:rPr>
          <w:rFonts w:ascii="宋体"/>
          <w:kern w:val="0"/>
          <w:sz w:val="24"/>
          <w:shd w:val="clear" w:color="auto" w:fill="FFFFFF"/>
        </w:rPr>
        <w:t>%；上缴上级支出0万元，占0%；经营支出0万元，占0%；对附属单位补助支出0万元，占0%。</w:t>
      </w:r>
      <w:bookmarkEnd w:id="48"/>
    </w:p>
    <w:p>
      <w:pPr>
        <w:spacing w:line="576" w:lineRule="exact"/>
        <w:ind w:firstLine="640"/>
        <w:rPr>
          <w:rFonts w:eastAsia="仿宋"/>
          <w:sz w:val="32"/>
          <w:szCs w:val="32"/>
          <w:shd w:val="pct10" w:color="auto" w:fill="FFFFFF"/>
        </w:rPr>
      </w:pPr>
      <w:r>
        <w:rPr>
          <w:rFonts w:eastAsia="仿宋"/>
          <w:sz w:val="32"/>
          <w:szCs w:val="32"/>
        </w:rPr>
        <w:drawing>
          <wp:anchor distT="0" distB="0" distL="114300" distR="114300" simplePos="0" relativeHeight="251659264" behindDoc="0" locked="0" layoutInCell="1" allowOverlap="1">
            <wp:simplePos x="0" y="0"/>
            <wp:positionH relativeFrom="column">
              <wp:posOffset>963930</wp:posOffset>
            </wp:positionH>
            <wp:positionV relativeFrom="paragraph">
              <wp:posOffset>233045</wp:posOffset>
            </wp:positionV>
            <wp:extent cx="3674745" cy="2312035"/>
            <wp:effectExtent l="19050" t="0" r="20955" b="0"/>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5"/>
        <w:spacing w:before="93" w:line="576" w:lineRule="exact"/>
        <w:rPr>
          <w:rFonts w:ascii="Times New Roman" w:eastAsia="仿宋"/>
          <w:sz w:val="32"/>
          <w:szCs w:val="32"/>
          <w:shd w:val="pct10" w:color="auto" w:fill="FFFFFF"/>
        </w:rPr>
      </w:pPr>
    </w:p>
    <w:p>
      <w:pPr>
        <w:pStyle w:val="5"/>
        <w:spacing w:before="93" w:line="576" w:lineRule="exact"/>
        <w:rPr>
          <w:rFonts w:ascii="Times New Roman" w:eastAsia="仿宋"/>
          <w:sz w:val="32"/>
          <w:szCs w:val="32"/>
          <w:shd w:val="pct10" w:color="auto" w:fill="FFFFFF"/>
        </w:rPr>
      </w:pPr>
    </w:p>
    <w:p>
      <w:pPr>
        <w:pStyle w:val="5"/>
        <w:spacing w:before="93" w:line="576" w:lineRule="exact"/>
        <w:rPr>
          <w:rFonts w:ascii="Times New Roman" w:eastAsia="仿宋"/>
          <w:sz w:val="32"/>
          <w:szCs w:val="32"/>
          <w:shd w:val="pct10" w:color="auto" w:fill="FFFFFF"/>
        </w:rPr>
      </w:pPr>
    </w:p>
    <w:p>
      <w:pPr>
        <w:pStyle w:val="5"/>
        <w:spacing w:before="93" w:line="576" w:lineRule="exact"/>
        <w:rPr>
          <w:rFonts w:ascii="Times New Roman" w:eastAsia="仿宋"/>
          <w:sz w:val="32"/>
          <w:szCs w:val="32"/>
          <w:shd w:val="pct10" w:color="auto" w:fill="FFFFFF"/>
        </w:rPr>
      </w:pPr>
    </w:p>
    <w:p>
      <w:pPr>
        <w:pStyle w:val="5"/>
        <w:spacing w:before="93" w:line="576" w:lineRule="exact"/>
        <w:rPr>
          <w:rFonts w:ascii="Times New Roman" w:eastAsia="仿宋"/>
          <w:sz w:val="32"/>
          <w:szCs w:val="32"/>
          <w:shd w:val="pct10" w:color="auto" w:fill="FFFFFF"/>
        </w:rPr>
      </w:pPr>
    </w:p>
    <w:p>
      <w:pPr>
        <w:spacing w:line="576" w:lineRule="exact"/>
        <w:ind w:firstLine="482" w:firstLineChars="200"/>
        <w:jc w:val="center"/>
        <w:rPr>
          <w:rFonts w:ascii="宋体"/>
          <w:b/>
          <w:bCs/>
          <w:kern w:val="0"/>
          <w:sz w:val="24"/>
          <w:shd w:val="clear" w:color="auto" w:fill="FFFFFF"/>
        </w:rPr>
      </w:pPr>
      <w:r>
        <w:rPr>
          <w:rFonts w:ascii="宋体"/>
          <w:b/>
          <w:bCs/>
          <w:kern w:val="0"/>
          <w:sz w:val="24"/>
          <w:shd w:val="clear" w:color="auto" w:fill="FFFFFF"/>
        </w:rPr>
        <w:t>（图3：支出决算结构图）（饼状图）</w:t>
      </w:r>
    </w:p>
    <w:p>
      <w:pPr>
        <w:spacing w:line="576" w:lineRule="exact"/>
        <w:ind w:left="567"/>
        <w:outlineLvl w:val="1"/>
        <w:rPr>
          <w:rFonts w:ascii="宋体"/>
          <w:kern w:val="0"/>
          <w:sz w:val="24"/>
          <w:shd w:val="clear" w:color="auto" w:fill="FFFFFF"/>
        </w:rPr>
      </w:pPr>
      <w:bookmarkStart w:id="49" w:name="_Toc26843615"/>
      <w:bookmarkStart w:id="50" w:name="_Toc15396606"/>
      <w:bookmarkStart w:id="51" w:name="_Toc15377208"/>
      <w:r>
        <w:rPr>
          <w:rFonts w:ascii="宋体"/>
          <w:b/>
          <w:bCs/>
          <w:kern w:val="0"/>
          <w:sz w:val="24"/>
          <w:shd w:val="clear" w:color="auto" w:fill="FFFFFF"/>
        </w:rPr>
        <w:t>四、财政拨款收入支出决算总体情况说明</w:t>
      </w:r>
      <w:bookmarkEnd w:id="49"/>
      <w:bookmarkEnd w:id="50"/>
      <w:bookmarkEnd w:id="51"/>
    </w:p>
    <w:p>
      <w:pPr>
        <w:spacing w:line="576" w:lineRule="exact"/>
        <w:ind w:firstLine="480" w:firstLineChars="200"/>
        <w:rPr>
          <w:rFonts w:ascii="宋体"/>
          <w:kern w:val="0"/>
          <w:sz w:val="24"/>
          <w:shd w:val="clear" w:color="auto" w:fill="FFFFFF"/>
        </w:rPr>
      </w:pPr>
      <w:r>
        <w:rPr>
          <w:rFonts w:ascii="宋体"/>
          <w:kern w:val="0"/>
          <w:sz w:val="24"/>
          <w:shd w:val="clear" w:color="auto" w:fill="FFFFFF"/>
        </w:rPr>
        <w:pict>
          <v:shape id="_x0000_s1027" o:spid="_x0000_s1027" o:spt="75" alt="1035813062" type="#_x0000_t75" style="position:absolute;left:0pt;margin-left:24.4pt;margin-top:108.5pt;height:168.1pt;width:382.15pt;z-index:251659264;mso-width-relative:page;mso-height-relative:page;" o:ole="t" filled="f" o:preferrelative="t" stroked="f" coordsize="21600,21600">
            <v:path/>
            <v:fill on="f" focussize="0,0"/>
            <v:stroke on="f" joinstyle="miter"/>
            <v:imagedata r:id="rId12" o:title="6"/>
            <o:lock v:ext="edit" aspectratio="t"/>
          </v:shape>
          <o:OLEObject Type="Embed" ProgID="MSGraph.Chart.8" ShapeID="_x0000_s1027" DrawAspect="Content" ObjectID="_1468075726" r:id="rId11">
            <o:LockedField>false</o:LockedField>
          </o:OLEObject>
        </w:pict>
      </w:r>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年财政拨款收、支总计</w:t>
      </w:r>
      <w:r>
        <w:rPr>
          <w:rFonts w:hint="eastAsia" w:ascii="宋体"/>
          <w:kern w:val="0"/>
          <w:sz w:val="24"/>
          <w:shd w:val="clear" w:color="auto" w:fill="FFFFFF"/>
        </w:rPr>
        <w:t>1305.32</w:t>
      </w:r>
      <w:r>
        <w:rPr>
          <w:rFonts w:ascii="宋体"/>
          <w:kern w:val="0"/>
          <w:sz w:val="24"/>
          <w:shd w:val="clear" w:color="auto" w:fill="FFFFFF"/>
        </w:rPr>
        <w:t>万元。与202</w:t>
      </w:r>
      <w:r>
        <w:rPr>
          <w:rFonts w:hint="eastAsia" w:ascii="宋体"/>
          <w:kern w:val="0"/>
          <w:sz w:val="24"/>
          <w:shd w:val="clear" w:color="auto" w:fill="FFFFFF"/>
        </w:rPr>
        <w:t>1</w:t>
      </w:r>
      <w:r>
        <w:rPr>
          <w:rFonts w:ascii="宋体"/>
          <w:kern w:val="0"/>
          <w:sz w:val="24"/>
          <w:shd w:val="clear" w:color="auto" w:fill="FFFFFF"/>
        </w:rPr>
        <w:t>年相比，财政拨款收、支总计减少</w:t>
      </w:r>
      <w:r>
        <w:rPr>
          <w:rFonts w:hint="eastAsia" w:ascii="宋体"/>
          <w:kern w:val="0"/>
          <w:sz w:val="24"/>
          <w:shd w:val="clear" w:color="auto" w:fill="FFFFFF"/>
        </w:rPr>
        <w:t>628.47万元</w:t>
      </w:r>
      <w:r>
        <w:rPr>
          <w:rFonts w:ascii="宋体"/>
          <w:kern w:val="0"/>
          <w:sz w:val="24"/>
          <w:shd w:val="clear" w:color="auto" w:fill="FFFFFF"/>
        </w:rPr>
        <w:t>，</w:t>
      </w:r>
      <w:r>
        <w:rPr>
          <w:rFonts w:hint="eastAsia" w:ascii="宋体"/>
          <w:kern w:val="0"/>
          <w:sz w:val="24"/>
          <w:shd w:val="clear" w:color="auto" w:fill="FFFFFF"/>
        </w:rPr>
        <w:t>减少32.5</w:t>
      </w:r>
      <w:r>
        <w:rPr>
          <w:rFonts w:ascii="宋体"/>
          <w:kern w:val="0"/>
          <w:sz w:val="24"/>
          <w:shd w:val="clear" w:color="auto" w:fill="FFFFFF"/>
        </w:rPr>
        <w:t>%。主要变动原因是</w:t>
      </w:r>
      <w:r>
        <w:rPr>
          <w:rFonts w:hint="eastAsia" w:ascii="宋体"/>
          <w:kern w:val="0"/>
          <w:sz w:val="24"/>
          <w:shd w:val="clear" w:color="auto" w:fill="FFFFFF"/>
        </w:rPr>
        <w:t>2022年我院变更为州一级预算单位，县级财政拨款未计计入财政拨款收入。</w:t>
      </w:r>
    </w:p>
    <w:p>
      <w:pPr>
        <w:spacing w:line="576" w:lineRule="exact"/>
        <w:ind w:firstLine="480" w:firstLineChars="200"/>
        <w:rPr>
          <w:rFonts w:ascii="宋体"/>
          <w:kern w:val="0"/>
          <w:sz w:val="24"/>
          <w:shd w:val="clear" w:color="auto" w:fill="FFFFFF"/>
        </w:rPr>
      </w:pPr>
    </w:p>
    <w:p>
      <w:pPr>
        <w:pStyle w:val="5"/>
        <w:adjustRightInd w:val="0"/>
        <w:snapToGrid w:val="0"/>
        <w:spacing w:beforeLines="0" w:line="576" w:lineRule="exact"/>
        <w:ind w:firstLine="665" w:firstLineChars="208"/>
        <w:rPr>
          <w:rFonts w:ascii="Times New Roman"/>
          <w:sz w:val="32"/>
          <w:szCs w:val="32"/>
        </w:rPr>
      </w:pPr>
    </w:p>
    <w:p>
      <w:pPr>
        <w:pStyle w:val="5"/>
        <w:spacing w:before="93" w:line="576" w:lineRule="exact"/>
        <w:rPr>
          <w:rFonts w:ascii="Times New Roman" w:eastAsia="仿宋"/>
          <w:sz w:val="32"/>
          <w:szCs w:val="32"/>
        </w:rPr>
      </w:pPr>
    </w:p>
    <w:p>
      <w:pPr>
        <w:pStyle w:val="5"/>
        <w:spacing w:before="93" w:line="576" w:lineRule="exact"/>
        <w:rPr>
          <w:rFonts w:ascii="Times New Roman" w:eastAsia="仿宋"/>
          <w:sz w:val="32"/>
          <w:szCs w:val="32"/>
        </w:rPr>
      </w:pPr>
    </w:p>
    <w:p>
      <w:pPr>
        <w:pStyle w:val="5"/>
        <w:spacing w:before="93" w:line="576" w:lineRule="exact"/>
        <w:rPr>
          <w:rFonts w:ascii="Times New Roman" w:eastAsia="仿宋"/>
          <w:sz w:val="32"/>
          <w:szCs w:val="32"/>
        </w:rPr>
      </w:pPr>
    </w:p>
    <w:p>
      <w:pPr>
        <w:pStyle w:val="5"/>
        <w:spacing w:before="93" w:line="576" w:lineRule="exact"/>
        <w:rPr>
          <w:rFonts w:ascii="Times New Roman" w:eastAsia="仿宋"/>
          <w:sz w:val="32"/>
          <w:szCs w:val="32"/>
        </w:rPr>
      </w:pPr>
    </w:p>
    <w:p>
      <w:pPr>
        <w:spacing w:line="576" w:lineRule="exact"/>
        <w:ind w:firstLine="482" w:firstLineChars="200"/>
        <w:jc w:val="center"/>
        <w:rPr>
          <w:rFonts w:ascii="宋体"/>
          <w:b/>
          <w:bCs/>
          <w:kern w:val="0"/>
          <w:sz w:val="24"/>
          <w:shd w:val="clear" w:color="auto" w:fill="FFFFFF"/>
        </w:rPr>
      </w:pPr>
      <w:r>
        <w:rPr>
          <w:rFonts w:ascii="宋体"/>
          <w:b/>
          <w:bCs/>
          <w:kern w:val="0"/>
          <w:sz w:val="24"/>
          <w:shd w:val="clear" w:color="auto" w:fill="FFFFFF"/>
        </w:rPr>
        <w:t>（图4：财政拨款收、支决算总计变动情况）（柱状图）</w:t>
      </w:r>
      <w:bookmarkStart w:id="52" w:name="_Toc15377209"/>
      <w:bookmarkStart w:id="53" w:name="_Toc26843616"/>
      <w:bookmarkStart w:id="54" w:name="_Toc15396607"/>
    </w:p>
    <w:p>
      <w:pPr>
        <w:spacing w:line="576" w:lineRule="exact"/>
        <w:ind w:firstLine="482" w:firstLineChars="200"/>
        <w:outlineLvl w:val="2"/>
        <w:rPr>
          <w:rFonts w:ascii="宋体"/>
          <w:b/>
          <w:bCs/>
          <w:kern w:val="0"/>
          <w:sz w:val="24"/>
          <w:shd w:val="clear" w:color="auto" w:fill="FFFFFF"/>
        </w:rPr>
      </w:pPr>
      <w:r>
        <w:rPr>
          <w:rFonts w:ascii="宋体"/>
          <w:b/>
          <w:bCs/>
          <w:kern w:val="0"/>
          <w:sz w:val="24"/>
          <w:shd w:val="clear" w:color="auto" w:fill="FFFFFF"/>
        </w:rPr>
        <w:t>五、一般公共预算财政拨款支出决算情况说明</w:t>
      </w:r>
      <w:bookmarkEnd w:id="52"/>
      <w:bookmarkEnd w:id="53"/>
      <w:bookmarkEnd w:id="54"/>
    </w:p>
    <w:p>
      <w:pPr>
        <w:spacing w:line="576" w:lineRule="exact"/>
        <w:ind w:firstLine="354" w:firstLineChars="147"/>
        <w:outlineLvl w:val="1"/>
        <w:rPr>
          <w:rFonts w:ascii="宋体"/>
          <w:b/>
          <w:bCs/>
          <w:kern w:val="0"/>
          <w:sz w:val="24"/>
          <w:shd w:val="clear" w:color="auto" w:fill="FFFFFF"/>
        </w:rPr>
      </w:pPr>
      <w:bookmarkStart w:id="55" w:name="_Toc15377210"/>
      <w:r>
        <w:rPr>
          <w:rFonts w:ascii="宋体"/>
          <w:b/>
          <w:bCs/>
          <w:kern w:val="0"/>
          <w:sz w:val="24"/>
          <w:shd w:val="clear" w:color="auto" w:fill="FFFFFF"/>
        </w:rPr>
        <w:t>（一）一般公共预算财政拨款支出决算总体情况</w:t>
      </w:r>
      <w:bookmarkEnd w:id="55"/>
    </w:p>
    <w:p>
      <w:pPr>
        <w:spacing w:line="576" w:lineRule="exact"/>
        <w:ind w:firstLine="480" w:firstLineChars="200"/>
        <w:rPr>
          <w:rFonts w:ascii="宋体"/>
          <w:kern w:val="0"/>
          <w:sz w:val="24"/>
          <w:shd w:val="clear" w:color="auto" w:fill="FFFFFF"/>
        </w:rPr>
      </w:pPr>
      <w:r>
        <w:rPr>
          <w:rFonts w:ascii="宋体"/>
          <w:kern w:val="0"/>
          <w:sz w:val="24"/>
          <w:shd w:val="clear" w:color="auto" w:fill="FFFFFF"/>
        </w:rPr>
        <w:pict>
          <v:shape id="_x0000_s1026" o:spid="_x0000_s1026" o:spt="75" alt="1035813062" type="#_x0000_t75" style="position:absolute;left:0pt;margin-left:25.85pt;margin-top:138.35pt;height:209.8pt;width:432.15pt;z-index:251659264;mso-width-relative:page;mso-height-relative:page;" o:ole="t" filled="f" o:preferrelative="t" stroked="f" coordsize="21600,21600">
            <v:path/>
            <v:fill on="f" focussize="0,0"/>
            <v:stroke on="f" joinstyle="miter"/>
            <v:imagedata r:id="rId14" o:title="8"/>
            <o:lock v:ext="edit" aspectratio="t"/>
          </v:shape>
          <o:OLEObject Type="Embed" ProgID="MSGraph.Chart.8" ShapeID="_x0000_s1026" DrawAspect="Content" ObjectID="_1468075727" r:id="rId13">
            <o:LockedField>false</o:LockedField>
          </o:OLEObject>
        </w:pict>
      </w:r>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年一般公共预算财政拨款支出</w:t>
      </w:r>
      <w:r>
        <w:rPr>
          <w:rFonts w:hint="eastAsia" w:ascii="宋体"/>
          <w:kern w:val="0"/>
          <w:sz w:val="24"/>
          <w:shd w:val="clear" w:color="auto" w:fill="FFFFFF"/>
        </w:rPr>
        <w:t>1305.32</w:t>
      </w:r>
      <w:r>
        <w:rPr>
          <w:rFonts w:ascii="宋体"/>
          <w:kern w:val="0"/>
          <w:sz w:val="24"/>
          <w:shd w:val="clear" w:color="auto" w:fill="FFFFFF"/>
        </w:rPr>
        <w:t>万元，占本年支出合计的</w:t>
      </w:r>
      <w:r>
        <w:rPr>
          <w:rFonts w:hint="eastAsia" w:ascii="宋体"/>
          <w:kern w:val="0"/>
          <w:sz w:val="24"/>
          <w:shd w:val="clear" w:color="auto" w:fill="FFFFFF"/>
        </w:rPr>
        <w:t>66.25</w:t>
      </w:r>
      <w:r>
        <w:rPr>
          <w:rFonts w:ascii="宋体"/>
          <w:kern w:val="0"/>
          <w:sz w:val="24"/>
          <w:shd w:val="clear" w:color="auto" w:fill="FFFFFF"/>
        </w:rPr>
        <w:t>%。与202</w:t>
      </w:r>
      <w:r>
        <w:rPr>
          <w:rFonts w:hint="eastAsia" w:ascii="宋体"/>
          <w:kern w:val="0"/>
          <w:sz w:val="24"/>
          <w:shd w:val="clear" w:color="auto" w:fill="FFFFFF"/>
        </w:rPr>
        <w:t>1</w:t>
      </w:r>
      <w:r>
        <w:rPr>
          <w:rFonts w:ascii="宋体"/>
          <w:kern w:val="0"/>
          <w:sz w:val="24"/>
          <w:shd w:val="clear" w:color="auto" w:fill="FFFFFF"/>
        </w:rPr>
        <w:t>年相比，一般公共预算财政拨款支出</w:t>
      </w:r>
      <w:r>
        <w:rPr>
          <w:rFonts w:hint="eastAsia" w:ascii="宋体"/>
          <w:kern w:val="0"/>
          <w:sz w:val="24"/>
          <w:shd w:val="clear" w:color="auto" w:fill="FFFFFF"/>
        </w:rPr>
        <w:t>减少628.47</w:t>
      </w:r>
      <w:r>
        <w:rPr>
          <w:rFonts w:ascii="宋体"/>
          <w:kern w:val="0"/>
          <w:sz w:val="24"/>
          <w:shd w:val="clear" w:color="auto" w:fill="FFFFFF"/>
        </w:rPr>
        <w:t>万元，</w:t>
      </w:r>
      <w:r>
        <w:rPr>
          <w:rFonts w:hint="eastAsia" w:ascii="宋体"/>
          <w:kern w:val="0"/>
          <w:sz w:val="24"/>
          <w:shd w:val="clear" w:color="auto" w:fill="FFFFFF"/>
        </w:rPr>
        <w:t>减少32.5</w:t>
      </w:r>
      <w:r>
        <w:rPr>
          <w:rFonts w:ascii="宋体"/>
          <w:kern w:val="0"/>
          <w:sz w:val="24"/>
          <w:shd w:val="clear" w:color="auto" w:fill="FFFFFF"/>
        </w:rPr>
        <w:t>%。主要变动原因为</w:t>
      </w:r>
      <w:r>
        <w:rPr>
          <w:rFonts w:hint="eastAsia" w:ascii="宋体"/>
          <w:kern w:val="0"/>
          <w:sz w:val="24"/>
          <w:shd w:val="clear" w:color="auto" w:fill="FFFFFF"/>
        </w:rPr>
        <w:t>2022年年我院变更为州一级预算单位，县级财政拨款计入其他收入。</w:t>
      </w:r>
    </w:p>
    <w:p>
      <w:pPr>
        <w:spacing w:line="576" w:lineRule="exact"/>
        <w:ind w:firstLine="640" w:firstLineChars="200"/>
        <w:rPr>
          <w:rFonts w:eastAsia="仿宋_GB2312"/>
          <w:color w:val="FF0000"/>
          <w:sz w:val="32"/>
          <w:szCs w:val="32"/>
        </w:rPr>
      </w:pPr>
    </w:p>
    <w:p>
      <w:pPr>
        <w:pStyle w:val="13"/>
        <w:shd w:val="clear" w:color="auto" w:fill="FFFFFF"/>
        <w:spacing w:before="0" w:beforeAutospacing="0"/>
        <w:jc w:val="center"/>
        <w:rPr>
          <w:rStyle w:val="17"/>
          <w:sz w:val="39"/>
          <w:szCs w:val="39"/>
        </w:rPr>
      </w:pPr>
    </w:p>
    <w:p>
      <w:pPr>
        <w:pStyle w:val="13"/>
        <w:shd w:val="clear" w:color="auto" w:fill="FFFFFF"/>
        <w:spacing w:before="0" w:beforeAutospacing="0"/>
        <w:jc w:val="center"/>
        <w:rPr>
          <w:rStyle w:val="17"/>
          <w:sz w:val="39"/>
          <w:szCs w:val="39"/>
        </w:rPr>
      </w:pPr>
    </w:p>
    <w:p>
      <w:pPr>
        <w:pStyle w:val="13"/>
        <w:shd w:val="clear" w:color="auto" w:fill="FFFFFF"/>
        <w:spacing w:before="0" w:beforeAutospacing="0"/>
        <w:jc w:val="center"/>
        <w:rPr>
          <w:rStyle w:val="17"/>
          <w:sz w:val="39"/>
          <w:szCs w:val="39"/>
        </w:rPr>
      </w:pPr>
    </w:p>
    <w:p>
      <w:pPr>
        <w:spacing w:line="576" w:lineRule="exact"/>
        <w:ind w:firstLine="640" w:firstLineChars="200"/>
        <w:rPr>
          <w:rFonts w:eastAsia="仿宋"/>
          <w:color w:val="FF0000"/>
          <w:sz w:val="32"/>
          <w:szCs w:val="32"/>
        </w:rPr>
      </w:pPr>
    </w:p>
    <w:p>
      <w:pPr>
        <w:spacing w:line="576" w:lineRule="exact"/>
        <w:rPr>
          <w:rFonts w:eastAsia="仿宋"/>
          <w:color w:val="FF0000"/>
          <w:sz w:val="32"/>
          <w:szCs w:val="32"/>
        </w:rPr>
      </w:pPr>
    </w:p>
    <w:p>
      <w:pPr>
        <w:spacing w:line="576" w:lineRule="exact"/>
        <w:rPr>
          <w:rFonts w:eastAsia="仿宋"/>
          <w:color w:val="FF0000"/>
          <w:sz w:val="32"/>
          <w:szCs w:val="32"/>
        </w:rPr>
      </w:pPr>
    </w:p>
    <w:p>
      <w:pPr>
        <w:spacing w:line="576" w:lineRule="exact"/>
        <w:ind w:firstLine="482" w:firstLineChars="200"/>
        <w:jc w:val="center"/>
        <w:rPr>
          <w:rFonts w:ascii="宋体"/>
          <w:b/>
          <w:bCs/>
          <w:kern w:val="0"/>
          <w:sz w:val="24"/>
          <w:shd w:val="clear" w:color="auto" w:fill="FFFFFF"/>
        </w:rPr>
      </w:pPr>
      <w:r>
        <w:rPr>
          <w:rFonts w:ascii="宋体"/>
          <w:b/>
          <w:bCs/>
          <w:kern w:val="0"/>
          <w:sz w:val="24"/>
          <w:shd w:val="clear" w:color="auto" w:fill="FFFFFF"/>
        </w:rPr>
        <w:t>（图5：一般公共预算财政拨款支出决算变动情况</w:t>
      </w:r>
      <w:r>
        <w:rPr>
          <w:rFonts w:ascii="宋体"/>
          <w:bCs/>
          <w:kern w:val="0"/>
          <w:sz w:val="24"/>
          <w:shd w:val="clear" w:color="auto" w:fill="FFFFFF"/>
        </w:rPr>
        <w:t>）（</w:t>
      </w:r>
      <w:r>
        <w:rPr>
          <w:rFonts w:ascii="宋体"/>
          <w:b/>
          <w:bCs/>
          <w:kern w:val="0"/>
          <w:sz w:val="24"/>
          <w:shd w:val="clear" w:color="auto" w:fill="FFFFFF"/>
        </w:rPr>
        <w:t>柱状图）</w:t>
      </w:r>
    </w:p>
    <w:p>
      <w:pPr>
        <w:spacing w:line="576" w:lineRule="exact"/>
        <w:ind w:firstLine="482" w:firstLineChars="200"/>
        <w:jc w:val="center"/>
        <w:rPr>
          <w:rFonts w:ascii="宋体"/>
          <w:b/>
          <w:bCs/>
          <w:kern w:val="0"/>
          <w:sz w:val="24"/>
          <w:shd w:val="clear" w:color="auto" w:fill="FFFFFF"/>
        </w:rPr>
      </w:pPr>
    </w:p>
    <w:p>
      <w:pPr>
        <w:spacing w:line="576" w:lineRule="exact"/>
        <w:ind w:firstLine="482" w:firstLineChars="200"/>
        <w:outlineLvl w:val="2"/>
        <w:rPr>
          <w:rFonts w:ascii="宋体"/>
          <w:b/>
          <w:bCs/>
          <w:kern w:val="0"/>
          <w:sz w:val="24"/>
          <w:shd w:val="clear" w:color="auto" w:fill="FFFFFF"/>
        </w:rPr>
      </w:pPr>
      <w:bookmarkStart w:id="56" w:name="_Toc15377211"/>
      <w:r>
        <w:rPr>
          <w:rFonts w:ascii="宋体"/>
          <w:b/>
          <w:bCs/>
          <w:kern w:val="0"/>
          <w:sz w:val="24"/>
          <w:shd w:val="clear" w:color="auto" w:fill="FFFFFF"/>
        </w:rPr>
        <w:t>（二）一般公共预算财政拨款支出决算结构情况</w:t>
      </w:r>
      <w:bookmarkEnd w:id="56"/>
    </w:p>
    <w:p>
      <w:pPr>
        <w:spacing w:line="576" w:lineRule="exact"/>
        <w:ind w:firstLine="480" w:firstLineChars="200"/>
        <w:rPr>
          <w:rFonts w:ascii="宋体"/>
          <w:kern w:val="0"/>
          <w:sz w:val="24"/>
          <w:shd w:val="clear" w:color="auto" w:fill="FFFFFF"/>
        </w:rPr>
      </w:pPr>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年一般公共预算财政拨款支出</w:t>
      </w:r>
      <w:r>
        <w:rPr>
          <w:rFonts w:hint="eastAsia" w:ascii="宋体"/>
          <w:kern w:val="0"/>
          <w:sz w:val="24"/>
          <w:shd w:val="clear" w:color="auto" w:fill="FFFFFF"/>
        </w:rPr>
        <w:t>1305.32</w:t>
      </w:r>
      <w:r>
        <w:rPr>
          <w:rFonts w:ascii="宋体"/>
          <w:kern w:val="0"/>
          <w:sz w:val="24"/>
          <w:shd w:val="clear" w:color="auto" w:fill="FFFFFF"/>
        </w:rPr>
        <w:t>万元，主要用于以下方面:公共安全支出（20</w:t>
      </w:r>
      <w:r>
        <w:rPr>
          <w:rFonts w:hint="eastAsia" w:ascii="宋体"/>
          <w:kern w:val="0"/>
          <w:sz w:val="24"/>
          <w:shd w:val="clear" w:color="auto" w:fill="FFFFFF"/>
        </w:rPr>
        <w:t>4</w:t>
      </w:r>
      <w:r>
        <w:rPr>
          <w:rFonts w:ascii="宋体"/>
          <w:kern w:val="0"/>
          <w:sz w:val="24"/>
          <w:shd w:val="clear" w:color="auto" w:fill="FFFFFF"/>
        </w:rPr>
        <w:t>）支出</w:t>
      </w:r>
      <w:r>
        <w:rPr>
          <w:rFonts w:hint="eastAsia" w:ascii="宋体"/>
          <w:kern w:val="0"/>
          <w:sz w:val="24"/>
          <w:shd w:val="clear" w:color="auto" w:fill="FFFFFF"/>
        </w:rPr>
        <w:t>978.97</w:t>
      </w:r>
      <w:r>
        <w:rPr>
          <w:rFonts w:ascii="宋体"/>
          <w:kern w:val="0"/>
          <w:sz w:val="24"/>
          <w:shd w:val="clear" w:color="auto" w:fill="FFFFFF"/>
        </w:rPr>
        <w:t>万元，占</w:t>
      </w:r>
      <w:r>
        <w:rPr>
          <w:rFonts w:hint="eastAsia" w:ascii="宋体"/>
          <w:kern w:val="0"/>
          <w:sz w:val="24"/>
          <w:shd w:val="clear" w:color="auto" w:fill="FFFFFF"/>
        </w:rPr>
        <w:t>75</w:t>
      </w:r>
      <w:r>
        <w:rPr>
          <w:rFonts w:ascii="宋体"/>
          <w:kern w:val="0"/>
          <w:sz w:val="24"/>
          <w:shd w:val="clear" w:color="auto" w:fill="FFFFFF"/>
        </w:rPr>
        <w:t>%；社会保障和就业（208）支出</w:t>
      </w:r>
      <w:r>
        <w:rPr>
          <w:rFonts w:hint="eastAsia" w:ascii="宋体"/>
          <w:kern w:val="0"/>
          <w:sz w:val="24"/>
          <w:shd w:val="clear" w:color="auto" w:fill="FFFFFF"/>
        </w:rPr>
        <w:t>151.78</w:t>
      </w:r>
      <w:r>
        <w:rPr>
          <w:rFonts w:ascii="宋体"/>
          <w:kern w:val="0"/>
          <w:sz w:val="24"/>
          <w:shd w:val="clear" w:color="auto" w:fill="FFFFFF"/>
        </w:rPr>
        <w:t>万元，占</w:t>
      </w:r>
      <w:r>
        <w:rPr>
          <w:rFonts w:hint="eastAsia" w:ascii="宋体"/>
          <w:kern w:val="0"/>
          <w:sz w:val="24"/>
          <w:shd w:val="clear" w:color="auto" w:fill="FFFFFF"/>
        </w:rPr>
        <w:t>12</w:t>
      </w:r>
      <w:r>
        <w:rPr>
          <w:rFonts w:ascii="宋体"/>
          <w:kern w:val="0"/>
          <w:sz w:val="24"/>
          <w:shd w:val="clear" w:color="auto" w:fill="FFFFFF"/>
        </w:rPr>
        <w:t>%；卫生健康（210）支出</w:t>
      </w:r>
      <w:r>
        <w:rPr>
          <w:rFonts w:hint="eastAsia" w:ascii="宋体"/>
          <w:kern w:val="0"/>
          <w:sz w:val="24"/>
          <w:shd w:val="clear" w:color="auto" w:fill="FFFFFF"/>
        </w:rPr>
        <w:t>63.61</w:t>
      </w:r>
      <w:r>
        <w:rPr>
          <w:rFonts w:ascii="宋体"/>
          <w:kern w:val="0"/>
          <w:sz w:val="24"/>
          <w:shd w:val="clear" w:color="auto" w:fill="FFFFFF"/>
        </w:rPr>
        <w:t>万元，占</w:t>
      </w:r>
      <w:r>
        <w:rPr>
          <w:rFonts w:hint="eastAsia" w:ascii="宋体"/>
          <w:kern w:val="0"/>
          <w:sz w:val="24"/>
          <w:shd w:val="clear" w:color="auto" w:fill="FFFFFF"/>
        </w:rPr>
        <w:t>5</w:t>
      </w:r>
      <w:r>
        <w:rPr>
          <w:rFonts w:ascii="宋体"/>
          <w:kern w:val="0"/>
          <w:sz w:val="24"/>
          <w:shd w:val="clear" w:color="auto" w:fill="FFFFFF"/>
        </w:rPr>
        <w:t>%；住房保障（221）支出</w:t>
      </w:r>
      <w:r>
        <w:rPr>
          <w:rFonts w:hint="eastAsia" w:ascii="宋体"/>
          <w:kern w:val="0"/>
          <w:sz w:val="24"/>
          <w:shd w:val="clear" w:color="auto" w:fill="FFFFFF"/>
        </w:rPr>
        <w:t>110.96</w:t>
      </w:r>
      <w:r>
        <w:rPr>
          <w:rFonts w:ascii="宋体"/>
          <w:kern w:val="0"/>
          <w:sz w:val="24"/>
          <w:shd w:val="clear" w:color="auto" w:fill="FFFFFF"/>
        </w:rPr>
        <w:t>万元，占</w:t>
      </w:r>
      <w:r>
        <w:rPr>
          <w:rFonts w:hint="eastAsia" w:ascii="宋体"/>
          <w:kern w:val="0"/>
          <w:sz w:val="24"/>
          <w:shd w:val="clear" w:color="auto" w:fill="FFFFFF"/>
        </w:rPr>
        <w:t>8</w:t>
      </w:r>
      <w:r>
        <w:rPr>
          <w:rFonts w:ascii="宋体"/>
          <w:kern w:val="0"/>
          <w:sz w:val="24"/>
          <w:shd w:val="clear" w:color="auto" w:fill="FFFFFF"/>
        </w:rPr>
        <w:t>%。</w:t>
      </w:r>
    </w:p>
    <w:p>
      <w:pPr>
        <w:spacing w:line="576" w:lineRule="exact"/>
        <w:ind w:firstLine="640"/>
        <w:rPr>
          <w:rFonts w:eastAsia="仿宋"/>
          <w:sz w:val="32"/>
          <w:szCs w:val="32"/>
        </w:rPr>
      </w:pPr>
    </w:p>
    <w:p>
      <w:pPr>
        <w:spacing w:line="576" w:lineRule="exact"/>
        <w:ind w:firstLine="640"/>
        <w:rPr>
          <w:rFonts w:eastAsia="仿宋"/>
          <w:sz w:val="32"/>
          <w:szCs w:val="32"/>
        </w:rPr>
      </w:pPr>
    </w:p>
    <w:p>
      <w:pPr>
        <w:spacing w:line="576" w:lineRule="exact"/>
        <w:ind w:firstLine="640"/>
        <w:rPr>
          <w:rFonts w:eastAsia="仿宋"/>
          <w:sz w:val="32"/>
          <w:szCs w:val="32"/>
        </w:rPr>
      </w:pPr>
    </w:p>
    <w:p>
      <w:pPr>
        <w:spacing w:line="576" w:lineRule="exact"/>
        <w:ind w:firstLine="640"/>
        <w:rPr>
          <w:rFonts w:eastAsia="仿宋"/>
          <w:sz w:val="32"/>
          <w:szCs w:val="32"/>
        </w:rPr>
      </w:pPr>
      <w:r>
        <w:rPr>
          <w:rFonts w:eastAsia="仿宋"/>
          <w:sz w:val="32"/>
          <w:szCs w:val="32"/>
        </w:rPr>
        <w:drawing>
          <wp:anchor distT="0" distB="0" distL="114300" distR="114300" simplePos="0" relativeHeight="251659264" behindDoc="0" locked="0" layoutInCell="1" allowOverlap="1">
            <wp:simplePos x="0" y="0"/>
            <wp:positionH relativeFrom="column">
              <wp:posOffset>1246505</wp:posOffset>
            </wp:positionH>
            <wp:positionV relativeFrom="paragraph">
              <wp:posOffset>244475</wp:posOffset>
            </wp:positionV>
            <wp:extent cx="3139440" cy="2548890"/>
            <wp:effectExtent l="0" t="0" r="0" b="0"/>
            <wp:wrapNone/>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Style w:val="5"/>
        <w:spacing w:before="93"/>
        <w:jc w:val="distribute"/>
        <w:rPr>
          <w:rFonts w:ascii="Times New Roman" w:eastAsia="仿宋"/>
          <w:sz w:val="32"/>
          <w:szCs w:val="32"/>
        </w:rPr>
      </w:pPr>
    </w:p>
    <w:p>
      <w:pPr>
        <w:pStyle w:val="5"/>
        <w:spacing w:before="93"/>
        <w:jc w:val="distribute"/>
        <w:rPr>
          <w:rFonts w:ascii="Times New Roman" w:eastAsia="仿宋"/>
          <w:sz w:val="32"/>
          <w:szCs w:val="32"/>
        </w:rPr>
      </w:pPr>
    </w:p>
    <w:p>
      <w:pPr>
        <w:pStyle w:val="5"/>
        <w:spacing w:before="93"/>
        <w:jc w:val="distribute"/>
        <w:rPr>
          <w:rFonts w:ascii="Times New Roman" w:eastAsia="仿宋"/>
          <w:sz w:val="32"/>
          <w:szCs w:val="32"/>
        </w:rPr>
      </w:pPr>
    </w:p>
    <w:p>
      <w:pPr>
        <w:pStyle w:val="5"/>
        <w:spacing w:before="93"/>
        <w:jc w:val="distribute"/>
        <w:rPr>
          <w:rFonts w:ascii="Times New Roman" w:eastAsia="仿宋"/>
          <w:sz w:val="32"/>
          <w:szCs w:val="32"/>
        </w:rPr>
      </w:pPr>
    </w:p>
    <w:p>
      <w:pPr>
        <w:pStyle w:val="5"/>
        <w:spacing w:before="93"/>
        <w:jc w:val="distribute"/>
        <w:rPr>
          <w:rFonts w:ascii="Times New Roman" w:eastAsia="仿宋"/>
          <w:sz w:val="32"/>
          <w:szCs w:val="32"/>
        </w:rPr>
      </w:pPr>
    </w:p>
    <w:p>
      <w:pPr>
        <w:spacing w:line="576" w:lineRule="exact"/>
        <w:rPr>
          <w:rFonts w:eastAsia="仿宋"/>
          <w:sz w:val="32"/>
          <w:szCs w:val="32"/>
        </w:rPr>
      </w:pPr>
    </w:p>
    <w:p>
      <w:pPr>
        <w:spacing w:line="576" w:lineRule="exact"/>
        <w:ind w:firstLine="482" w:firstLineChars="200"/>
        <w:jc w:val="center"/>
        <w:rPr>
          <w:rFonts w:ascii="宋体"/>
          <w:b/>
          <w:bCs/>
          <w:kern w:val="0"/>
          <w:sz w:val="24"/>
          <w:shd w:val="clear" w:color="auto" w:fill="FFFFFF"/>
        </w:rPr>
      </w:pPr>
      <w:r>
        <w:rPr>
          <w:rFonts w:ascii="宋体"/>
          <w:b/>
          <w:bCs/>
          <w:kern w:val="0"/>
          <w:sz w:val="24"/>
          <w:shd w:val="clear" w:color="auto" w:fill="FFFFFF"/>
        </w:rPr>
        <w:t>（图6：一般公共预算财政拨款支出决算结构）（饼状图）</w:t>
      </w:r>
    </w:p>
    <w:p>
      <w:pPr>
        <w:spacing w:line="576" w:lineRule="exact"/>
        <w:ind w:firstLine="482" w:firstLineChars="200"/>
        <w:jc w:val="center"/>
        <w:rPr>
          <w:rFonts w:ascii="宋体"/>
          <w:b/>
          <w:bCs/>
          <w:kern w:val="0"/>
          <w:sz w:val="24"/>
          <w:shd w:val="clear" w:color="auto" w:fill="FFFFFF"/>
        </w:rPr>
      </w:pPr>
    </w:p>
    <w:p>
      <w:pPr>
        <w:spacing w:line="576" w:lineRule="exact"/>
        <w:ind w:firstLine="482" w:firstLineChars="200"/>
        <w:outlineLvl w:val="2"/>
        <w:rPr>
          <w:rFonts w:ascii="宋体"/>
          <w:b/>
          <w:bCs/>
          <w:kern w:val="0"/>
          <w:sz w:val="24"/>
          <w:shd w:val="clear" w:color="auto" w:fill="FFFFFF"/>
        </w:rPr>
      </w:pPr>
      <w:bookmarkStart w:id="57" w:name="_Toc15377212"/>
      <w:r>
        <w:rPr>
          <w:rFonts w:ascii="宋体"/>
          <w:b/>
          <w:bCs/>
          <w:kern w:val="0"/>
          <w:sz w:val="24"/>
          <w:shd w:val="clear" w:color="auto" w:fill="FFFFFF"/>
        </w:rPr>
        <w:t>（三）一般公共预算财政拨款支出决算具体情况</w:t>
      </w:r>
      <w:bookmarkEnd w:id="57"/>
    </w:p>
    <w:p>
      <w:pPr>
        <w:spacing w:line="576" w:lineRule="exact"/>
        <w:ind w:firstLine="480" w:firstLineChars="200"/>
        <w:rPr>
          <w:rFonts w:ascii="宋体"/>
          <w:kern w:val="0"/>
          <w:sz w:val="24"/>
          <w:shd w:val="clear" w:color="auto" w:fill="FFFFFF"/>
        </w:rPr>
      </w:pPr>
      <w:bookmarkStart w:id="58" w:name="_Toc15377213"/>
      <w:bookmarkStart w:id="59" w:name="_Toc15378460"/>
      <w:bookmarkStart w:id="60" w:name="_Toc15377444"/>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年一般公共预算支出决算数为</w:t>
      </w:r>
      <w:r>
        <w:rPr>
          <w:rFonts w:hint="eastAsia" w:ascii="宋体"/>
          <w:kern w:val="0"/>
          <w:sz w:val="24"/>
          <w:shd w:val="clear" w:color="auto" w:fill="FFFFFF"/>
        </w:rPr>
        <w:t>1305.32万元</w:t>
      </w:r>
      <w:r>
        <w:rPr>
          <w:rFonts w:ascii="宋体"/>
          <w:kern w:val="0"/>
          <w:sz w:val="24"/>
          <w:shd w:val="clear" w:color="auto" w:fill="FFFFFF"/>
        </w:rPr>
        <w:t>，</w:t>
      </w:r>
      <w:r>
        <w:rPr>
          <w:rFonts w:ascii="宋体"/>
          <w:b/>
          <w:kern w:val="0"/>
          <w:sz w:val="24"/>
          <w:shd w:val="clear" w:color="auto" w:fill="FFFFFF"/>
        </w:rPr>
        <w:t>完成预算100%。其中：</w:t>
      </w:r>
      <w:bookmarkEnd w:id="58"/>
      <w:bookmarkEnd w:id="59"/>
      <w:bookmarkEnd w:id="60"/>
    </w:p>
    <w:p>
      <w:pPr>
        <w:spacing w:line="576" w:lineRule="exact"/>
        <w:ind w:firstLine="482" w:firstLineChars="200"/>
        <w:rPr>
          <w:rFonts w:ascii="宋体"/>
          <w:b/>
          <w:kern w:val="0"/>
          <w:sz w:val="24"/>
          <w:shd w:val="clear" w:color="auto" w:fill="FFFFFF"/>
        </w:rPr>
      </w:pPr>
      <w:r>
        <w:rPr>
          <w:rFonts w:ascii="宋体"/>
          <w:b/>
          <w:kern w:val="0"/>
          <w:sz w:val="24"/>
          <w:shd w:val="clear" w:color="auto" w:fill="FFFFFF"/>
        </w:rPr>
        <w:t>1.</w:t>
      </w:r>
      <w:r>
        <w:rPr>
          <w:rFonts w:hint="eastAsia" w:ascii="宋体"/>
          <w:b/>
          <w:kern w:val="0"/>
          <w:sz w:val="24"/>
          <w:shd w:val="clear" w:color="auto" w:fill="FFFFFF"/>
        </w:rPr>
        <w:t>公共</w:t>
      </w:r>
      <w:r>
        <w:rPr>
          <w:rFonts w:ascii="宋体"/>
          <w:b/>
          <w:kern w:val="0"/>
          <w:sz w:val="24"/>
          <w:shd w:val="clear" w:color="auto" w:fill="FFFFFF"/>
        </w:rPr>
        <w:t>安全支出（20</w:t>
      </w:r>
      <w:r>
        <w:rPr>
          <w:rFonts w:hint="eastAsia" w:ascii="宋体"/>
          <w:b/>
          <w:kern w:val="0"/>
          <w:sz w:val="24"/>
          <w:shd w:val="clear" w:color="auto" w:fill="FFFFFF"/>
        </w:rPr>
        <w:t>4</w:t>
      </w:r>
      <w:r>
        <w:rPr>
          <w:rFonts w:ascii="宋体"/>
          <w:b/>
          <w:kern w:val="0"/>
          <w:sz w:val="24"/>
          <w:shd w:val="clear" w:color="auto" w:fill="FFFFFF"/>
        </w:rPr>
        <w:t>），支出决算为</w:t>
      </w:r>
      <w:r>
        <w:rPr>
          <w:rFonts w:hint="eastAsia" w:ascii="宋体"/>
          <w:b/>
          <w:kern w:val="0"/>
          <w:sz w:val="24"/>
          <w:shd w:val="clear" w:color="auto" w:fill="FFFFFF"/>
        </w:rPr>
        <w:t>978.97</w:t>
      </w:r>
      <w:r>
        <w:rPr>
          <w:rFonts w:ascii="宋体"/>
          <w:b/>
          <w:kern w:val="0"/>
          <w:sz w:val="24"/>
          <w:shd w:val="clear" w:color="auto" w:fill="FFFFFF"/>
        </w:rPr>
        <w:t>万元，完成预算100%。</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1.1行政运行（01）: 支出决算为</w:t>
      </w:r>
      <w:r>
        <w:rPr>
          <w:rFonts w:hint="eastAsia" w:ascii="宋体"/>
          <w:kern w:val="0"/>
          <w:sz w:val="24"/>
          <w:shd w:val="clear" w:color="auto" w:fill="FFFFFF"/>
        </w:rPr>
        <w:t>869.49</w:t>
      </w:r>
      <w:r>
        <w:rPr>
          <w:rFonts w:ascii="宋体"/>
          <w:kern w:val="0"/>
          <w:sz w:val="24"/>
          <w:shd w:val="clear" w:color="auto" w:fill="FFFFFF"/>
        </w:rPr>
        <w:t>万元，完成预算100%。</w:t>
      </w:r>
    </w:p>
    <w:p>
      <w:pPr>
        <w:spacing w:line="576" w:lineRule="exact"/>
        <w:ind w:firstLine="480" w:firstLineChars="200"/>
        <w:rPr>
          <w:rFonts w:ascii="宋体"/>
          <w:b/>
          <w:kern w:val="0"/>
          <w:sz w:val="24"/>
          <w:shd w:val="clear" w:color="auto" w:fill="FFFFFF"/>
        </w:rPr>
      </w:pPr>
      <w:r>
        <w:rPr>
          <w:rFonts w:ascii="宋体"/>
          <w:kern w:val="0"/>
          <w:sz w:val="24"/>
          <w:shd w:val="clear" w:color="auto" w:fill="FFFFFF"/>
        </w:rPr>
        <w:t>1</w:t>
      </w:r>
      <w:r>
        <w:rPr>
          <w:rFonts w:ascii="宋体"/>
          <w:b/>
          <w:kern w:val="0"/>
          <w:sz w:val="24"/>
          <w:shd w:val="clear" w:color="auto" w:fill="FFFFFF"/>
        </w:rPr>
        <w:t>.2</w:t>
      </w:r>
      <w:r>
        <w:rPr>
          <w:rFonts w:ascii="宋体"/>
          <w:kern w:val="0"/>
          <w:sz w:val="24"/>
          <w:shd w:val="clear" w:color="auto" w:fill="FFFFFF"/>
        </w:rPr>
        <w:t>一般行政管理事务（02）</w:t>
      </w:r>
      <w:r>
        <w:rPr>
          <w:rFonts w:ascii="宋体"/>
          <w:b/>
          <w:kern w:val="0"/>
          <w:sz w:val="24"/>
          <w:shd w:val="clear" w:color="auto" w:fill="FFFFFF"/>
        </w:rPr>
        <w:t>：</w:t>
      </w:r>
      <w:r>
        <w:rPr>
          <w:rFonts w:ascii="宋体"/>
          <w:kern w:val="0"/>
          <w:sz w:val="24"/>
          <w:shd w:val="clear" w:color="auto" w:fill="FFFFFF"/>
        </w:rPr>
        <w:t>支出决算为</w:t>
      </w:r>
      <w:r>
        <w:rPr>
          <w:rFonts w:hint="eastAsia" w:ascii="宋体"/>
          <w:kern w:val="0"/>
          <w:sz w:val="24"/>
          <w:shd w:val="clear" w:color="auto" w:fill="FFFFFF"/>
        </w:rPr>
        <w:t>109.48</w:t>
      </w:r>
      <w:r>
        <w:rPr>
          <w:rFonts w:ascii="宋体"/>
          <w:kern w:val="0"/>
          <w:sz w:val="24"/>
          <w:shd w:val="clear" w:color="auto" w:fill="FFFFFF"/>
        </w:rPr>
        <w:t>万元，完成预算100%。</w:t>
      </w:r>
    </w:p>
    <w:p>
      <w:pPr>
        <w:spacing w:line="576" w:lineRule="exact"/>
        <w:ind w:firstLine="482" w:firstLineChars="200"/>
        <w:rPr>
          <w:rFonts w:ascii="宋体"/>
          <w:kern w:val="0"/>
          <w:sz w:val="24"/>
          <w:shd w:val="clear" w:color="auto" w:fill="FFFFFF"/>
        </w:rPr>
      </w:pPr>
      <w:r>
        <w:rPr>
          <w:rFonts w:hint="eastAsia" w:ascii="宋体"/>
          <w:b/>
          <w:kern w:val="0"/>
          <w:sz w:val="24"/>
          <w:shd w:val="clear" w:color="auto" w:fill="FFFFFF"/>
        </w:rPr>
        <w:t>2</w:t>
      </w:r>
      <w:r>
        <w:rPr>
          <w:rFonts w:ascii="宋体"/>
          <w:b/>
          <w:kern w:val="0"/>
          <w:sz w:val="24"/>
          <w:shd w:val="clear" w:color="auto" w:fill="FFFFFF"/>
        </w:rPr>
        <w:t>.社会保障和就业（208）行政事业单位养老（05），</w:t>
      </w:r>
      <w:r>
        <w:rPr>
          <w:rFonts w:ascii="宋体"/>
          <w:kern w:val="0"/>
          <w:sz w:val="24"/>
          <w:shd w:val="clear" w:color="auto" w:fill="FFFFFF"/>
        </w:rPr>
        <w:t>支出决算为</w:t>
      </w:r>
      <w:r>
        <w:rPr>
          <w:rFonts w:hint="eastAsia" w:ascii="宋体"/>
          <w:kern w:val="0"/>
          <w:sz w:val="24"/>
          <w:shd w:val="clear" w:color="auto" w:fill="FFFFFF"/>
        </w:rPr>
        <w:t>151.78</w:t>
      </w:r>
      <w:r>
        <w:rPr>
          <w:rFonts w:ascii="宋体"/>
          <w:kern w:val="0"/>
          <w:sz w:val="24"/>
          <w:shd w:val="clear" w:color="auto" w:fill="FFFFFF"/>
        </w:rPr>
        <w:t>万元，完成预算100%。</w:t>
      </w:r>
    </w:p>
    <w:p>
      <w:pPr>
        <w:spacing w:line="576" w:lineRule="exact"/>
        <w:ind w:firstLine="482" w:firstLineChars="200"/>
        <w:rPr>
          <w:rFonts w:ascii="宋体"/>
          <w:kern w:val="0"/>
          <w:sz w:val="24"/>
          <w:shd w:val="clear" w:color="auto" w:fill="FFFFFF"/>
        </w:rPr>
      </w:pPr>
      <w:r>
        <w:rPr>
          <w:rFonts w:hint="eastAsia" w:ascii="宋体"/>
          <w:b/>
          <w:kern w:val="0"/>
          <w:sz w:val="24"/>
          <w:shd w:val="clear" w:color="auto" w:fill="FFFFFF"/>
        </w:rPr>
        <w:t>2</w:t>
      </w:r>
      <w:r>
        <w:rPr>
          <w:rFonts w:ascii="宋体"/>
          <w:b/>
          <w:kern w:val="0"/>
          <w:sz w:val="24"/>
          <w:shd w:val="clear" w:color="auto" w:fill="FFFFFF"/>
        </w:rPr>
        <w:t>.</w:t>
      </w:r>
      <w:r>
        <w:rPr>
          <w:rFonts w:ascii="宋体"/>
          <w:kern w:val="0"/>
          <w:sz w:val="24"/>
          <w:shd w:val="clear" w:color="auto" w:fill="FFFFFF"/>
        </w:rPr>
        <w:t>1机关事业单位基本养老保险缴费（05）：支出决算为</w:t>
      </w:r>
      <w:r>
        <w:rPr>
          <w:rFonts w:hint="eastAsia" w:ascii="宋体"/>
          <w:kern w:val="0"/>
          <w:sz w:val="24"/>
          <w:shd w:val="clear" w:color="auto" w:fill="FFFFFF"/>
        </w:rPr>
        <w:t>101.19</w:t>
      </w:r>
      <w:r>
        <w:rPr>
          <w:rFonts w:ascii="宋体"/>
          <w:kern w:val="0"/>
          <w:sz w:val="24"/>
          <w:shd w:val="clear" w:color="auto" w:fill="FFFFFF"/>
        </w:rPr>
        <w:t>万元，完成预算100%。</w:t>
      </w:r>
    </w:p>
    <w:p>
      <w:pPr>
        <w:spacing w:line="576" w:lineRule="exact"/>
        <w:ind w:firstLine="480" w:firstLineChars="200"/>
        <w:rPr>
          <w:rStyle w:val="17"/>
          <w:rFonts w:eastAsia="仿宋"/>
          <w:b w:val="0"/>
          <w:bCs/>
          <w:sz w:val="32"/>
          <w:szCs w:val="32"/>
        </w:rPr>
      </w:pPr>
      <w:r>
        <w:rPr>
          <w:rFonts w:hint="eastAsia" w:ascii="宋体"/>
          <w:kern w:val="0"/>
          <w:sz w:val="24"/>
          <w:shd w:val="clear" w:color="auto" w:fill="FFFFFF"/>
        </w:rPr>
        <w:t>2</w:t>
      </w:r>
      <w:r>
        <w:rPr>
          <w:rFonts w:ascii="宋体"/>
          <w:kern w:val="0"/>
          <w:sz w:val="24"/>
          <w:shd w:val="clear" w:color="auto" w:fill="FFFFFF"/>
        </w:rPr>
        <w:t>.2机关事业单位职业年金缴费（06）：支出决算为</w:t>
      </w:r>
      <w:r>
        <w:rPr>
          <w:rFonts w:hint="eastAsia" w:ascii="宋体"/>
          <w:kern w:val="0"/>
          <w:sz w:val="24"/>
          <w:shd w:val="clear" w:color="auto" w:fill="FFFFFF"/>
        </w:rPr>
        <w:t>50.59</w:t>
      </w:r>
      <w:r>
        <w:rPr>
          <w:rStyle w:val="17"/>
          <w:rFonts w:eastAsia="仿宋"/>
          <w:b w:val="0"/>
          <w:bCs/>
          <w:sz w:val="32"/>
          <w:szCs w:val="32"/>
        </w:rPr>
        <w:t>万元，完成预算100%。</w:t>
      </w:r>
    </w:p>
    <w:p>
      <w:pPr>
        <w:spacing w:line="576" w:lineRule="exact"/>
        <w:ind w:firstLine="482" w:firstLineChars="200"/>
        <w:rPr>
          <w:rFonts w:ascii="宋体"/>
          <w:kern w:val="0"/>
          <w:sz w:val="24"/>
          <w:shd w:val="clear" w:color="auto" w:fill="FFFFFF"/>
        </w:rPr>
      </w:pPr>
      <w:r>
        <w:rPr>
          <w:rFonts w:hint="eastAsia" w:ascii="宋体"/>
          <w:b/>
          <w:kern w:val="0"/>
          <w:sz w:val="24"/>
          <w:shd w:val="clear" w:color="auto" w:fill="FFFFFF"/>
        </w:rPr>
        <w:t>3</w:t>
      </w:r>
      <w:r>
        <w:rPr>
          <w:rFonts w:ascii="宋体"/>
          <w:kern w:val="0"/>
          <w:sz w:val="24"/>
          <w:shd w:val="clear" w:color="auto" w:fill="FFFFFF"/>
        </w:rPr>
        <w:t>卫生健康</w:t>
      </w:r>
      <w:r>
        <w:rPr>
          <w:rFonts w:ascii="宋体"/>
          <w:b/>
          <w:kern w:val="0"/>
          <w:sz w:val="24"/>
          <w:shd w:val="clear" w:color="auto" w:fill="FFFFFF"/>
        </w:rPr>
        <w:t>（210）行政事业单位医疗（11）:</w:t>
      </w:r>
      <w:r>
        <w:rPr>
          <w:rFonts w:ascii="宋体"/>
          <w:kern w:val="0"/>
          <w:sz w:val="24"/>
          <w:shd w:val="clear" w:color="auto" w:fill="FFFFFF"/>
        </w:rPr>
        <w:t>支出决算为</w:t>
      </w:r>
      <w:r>
        <w:rPr>
          <w:rFonts w:hint="eastAsia" w:ascii="宋体"/>
          <w:kern w:val="0"/>
          <w:sz w:val="24"/>
          <w:shd w:val="clear" w:color="auto" w:fill="FFFFFF"/>
        </w:rPr>
        <w:t>63.6</w:t>
      </w:r>
      <w:r>
        <w:rPr>
          <w:rFonts w:ascii="宋体"/>
          <w:kern w:val="0"/>
          <w:sz w:val="24"/>
          <w:shd w:val="clear" w:color="auto" w:fill="FFFFFF"/>
        </w:rPr>
        <w:t>万元，完成预算100%。</w:t>
      </w:r>
    </w:p>
    <w:p>
      <w:pPr>
        <w:spacing w:line="576" w:lineRule="exact"/>
        <w:ind w:firstLine="482" w:firstLineChars="200"/>
        <w:rPr>
          <w:rFonts w:ascii="宋体"/>
          <w:kern w:val="0"/>
          <w:sz w:val="24"/>
          <w:shd w:val="clear" w:color="auto" w:fill="FFFFFF"/>
        </w:rPr>
      </w:pPr>
      <w:r>
        <w:rPr>
          <w:rFonts w:hint="eastAsia" w:ascii="宋体"/>
          <w:b/>
          <w:kern w:val="0"/>
          <w:sz w:val="24"/>
          <w:shd w:val="clear" w:color="auto" w:fill="FFFFFF"/>
        </w:rPr>
        <w:t>3.</w:t>
      </w:r>
      <w:r>
        <w:rPr>
          <w:rFonts w:ascii="宋体"/>
          <w:kern w:val="0"/>
          <w:sz w:val="24"/>
          <w:shd w:val="clear" w:color="auto" w:fill="FFFFFF"/>
        </w:rPr>
        <w:t>1行政单位医疗（01）</w:t>
      </w:r>
      <w:r>
        <w:rPr>
          <w:rFonts w:ascii="宋体"/>
          <w:b/>
          <w:kern w:val="0"/>
          <w:sz w:val="24"/>
          <w:shd w:val="clear" w:color="auto" w:fill="FFFFFF"/>
        </w:rPr>
        <w:t>：</w:t>
      </w:r>
      <w:r>
        <w:rPr>
          <w:rFonts w:ascii="宋体"/>
          <w:kern w:val="0"/>
          <w:sz w:val="24"/>
          <w:shd w:val="clear" w:color="auto" w:fill="FFFFFF"/>
        </w:rPr>
        <w:t>支出决算为</w:t>
      </w:r>
      <w:r>
        <w:rPr>
          <w:rFonts w:hint="eastAsia" w:ascii="宋体"/>
          <w:kern w:val="0"/>
          <w:sz w:val="24"/>
          <w:shd w:val="clear" w:color="auto" w:fill="FFFFFF"/>
        </w:rPr>
        <w:t>50.86</w:t>
      </w:r>
      <w:r>
        <w:rPr>
          <w:rFonts w:ascii="宋体"/>
          <w:kern w:val="0"/>
          <w:sz w:val="24"/>
          <w:shd w:val="clear" w:color="auto" w:fill="FFFFFF"/>
        </w:rPr>
        <w:t>万元，完成预算100%。</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3</w:t>
      </w:r>
      <w:r>
        <w:rPr>
          <w:rFonts w:ascii="宋体"/>
          <w:kern w:val="0"/>
          <w:sz w:val="24"/>
          <w:shd w:val="clear" w:color="auto" w:fill="FFFFFF"/>
        </w:rPr>
        <w:t>.</w:t>
      </w:r>
      <w:r>
        <w:rPr>
          <w:rFonts w:hint="eastAsia" w:ascii="宋体"/>
          <w:kern w:val="0"/>
          <w:sz w:val="24"/>
          <w:shd w:val="clear" w:color="auto" w:fill="FFFFFF"/>
        </w:rPr>
        <w:t>2</w:t>
      </w:r>
      <w:r>
        <w:rPr>
          <w:rFonts w:ascii="宋体"/>
          <w:kern w:val="0"/>
          <w:sz w:val="24"/>
          <w:shd w:val="clear" w:color="auto" w:fill="FFFFFF"/>
        </w:rPr>
        <w:t>公务员医疗补助（03）：支出决算为</w:t>
      </w:r>
      <w:r>
        <w:rPr>
          <w:rFonts w:hint="eastAsia" w:ascii="宋体"/>
          <w:kern w:val="0"/>
          <w:sz w:val="24"/>
          <w:shd w:val="clear" w:color="auto" w:fill="FFFFFF"/>
        </w:rPr>
        <w:t>12.74</w:t>
      </w:r>
      <w:r>
        <w:rPr>
          <w:rFonts w:ascii="宋体"/>
          <w:kern w:val="0"/>
          <w:sz w:val="24"/>
          <w:shd w:val="clear" w:color="auto" w:fill="FFFFFF"/>
        </w:rPr>
        <w:t>万元，完成预算100%。</w:t>
      </w:r>
    </w:p>
    <w:p>
      <w:pPr>
        <w:spacing w:line="576" w:lineRule="exact"/>
        <w:ind w:firstLine="482" w:firstLineChars="200"/>
        <w:rPr>
          <w:rFonts w:ascii="宋体"/>
          <w:kern w:val="0"/>
          <w:sz w:val="24"/>
          <w:shd w:val="clear" w:color="auto" w:fill="FFFFFF"/>
        </w:rPr>
      </w:pPr>
      <w:r>
        <w:rPr>
          <w:rFonts w:ascii="宋体"/>
          <w:b/>
          <w:kern w:val="0"/>
          <w:sz w:val="24"/>
          <w:shd w:val="clear" w:color="auto" w:fill="FFFFFF"/>
        </w:rPr>
        <w:t>5.</w:t>
      </w:r>
      <w:r>
        <w:rPr>
          <w:rFonts w:ascii="宋体"/>
          <w:kern w:val="0"/>
          <w:sz w:val="24"/>
          <w:shd w:val="clear" w:color="auto" w:fill="FFFFFF"/>
        </w:rPr>
        <w:t>住房保障</w:t>
      </w:r>
      <w:r>
        <w:rPr>
          <w:rFonts w:ascii="宋体"/>
          <w:b/>
          <w:kern w:val="0"/>
          <w:sz w:val="24"/>
          <w:shd w:val="clear" w:color="auto" w:fill="FFFFFF"/>
        </w:rPr>
        <w:t>（221）住房改革（02）住房公积金（01）:</w:t>
      </w:r>
      <w:r>
        <w:rPr>
          <w:rFonts w:ascii="宋体"/>
          <w:kern w:val="0"/>
          <w:sz w:val="24"/>
          <w:shd w:val="clear" w:color="auto" w:fill="FFFFFF"/>
        </w:rPr>
        <w:t>支出决算为</w:t>
      </w:r>
      <w:r>
        <w:rPr>
          <w:rFonts w:hint="eastAsia" w:ascii="宋体"/>
          <w:kern w:val="0"/>
          <w:sz w:val="24"/>
          <w:shd w:val="clear" w:color="auto" w:fill="FFFFFF"/>
        </w:rPr>
        <w:t>110.96</w:t>
      </w:r>
      <w:r>
        <w:rPr>
          <w:rFonts w:ascii="宋体"/>
          <w:kern w:val="0"/>
          <w:sz w:val="24"/>
          <w:shd w:val="clear" w:color="auto" w:fill="FFFFFF"/>
        </w:rPr>
        <w:t>万元，完成预算100%。</w:t>
      </w:r>
    </w:p>
    <w:p>
      <w:pPr>
        <w:spacing w:line="576" w:lineRule="exact"/>
        <w:ind w:firstLine="482" w:firstLineChars="200"/>
        <w:outlineLvl w:val="2"/>
        <w:rPr>
          <w:rFonts w:ascii="宋体"/>
          <w:b/>
          <w:bCs/>
          <w:kern w:val="0"/>
          <w:sz w:val="24"/>
          <w:shd w:val="clear" w:color="auto" w:fill="FFFFFF"/>
        </w:rPr>
      </w:pPr>
      <w:bookmarkStart w:id="61" w:name="_Toc15396608"/>
      <w:bookmarkStart w:id="62" w:name="_Toc15377214"/>
      <w:bookmarkStart w:id="63" w:name="_Toc26843617"/>
      <w:r>
        <w:rPr>
          <w:rFonts w:ascii="宋体"/>
          <w:b/>
          <w:bCs/>
          <w:kern w:val="0"/>
          <w:sz w:val="24"/>
          <w:shd w:val="clear" w:color="auto" w:fill="FFFFFF"/>
        </w:rPr>
        <w:t>六、一般公共预算财政拨款基本支出决算情况说明</w:t>
      </w:r>
      <w:bookmarkEnd w:id="61"/>
      <w:bookmarkEnd w:id="62"/>
      <w:r>
        <w:rPr>
          <w:rFonts w:ascii="宋体"/>
          <w:b/>
          <w:bCs/>
          <w:kern w:val="0"/>
          <w:sz w:val="24"/>
          <w:shd w:val="clear" w:color="auto" w:fill="FFFFFF"/>
        </w:rPr>
        <w:tab/>
      </w:r>
      <w:bookmarkEnd w:id="63"/>
    </w:p>
    <w:p>
      <w:pPr>
        <w:spacing w:line="576" w:lineRule="exact"/>
        <w:ind w:firstLine="480" w:firstLineChars="200"/>
        <w:rPr>
          <w:rFonts w:ascii="宋体"/>
          <w:kern w:val="0"/>
          <w:sz w:val="24"/>
          <w:shd w:val="clear" w:color="auto" w:fill="FFFFFF"/>
        </w:rPr>
      </w:pPr>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年一般公共预算财政拨款基本支出</w:t>
      </w:r>
      <w:r>
        <w:rPr>
          <w:rFonts w:hint="eastAsia" w:ascii="宋体"/>
          <w:kern w:val="0"/>
          <w:sz w:val="24"/>
          <w:shd w:val="clear" w:color="auto" w:fill="FFFFFF"/>
        </w:rPr>
        <w:t>1195.84</w:t>
      </w:r>
      <w:r>
        <w:rPr>
          <w:rFonts w:ascii="宋体"/>
          <w:kern w:val="0"/>
          <w:sz w:val="24"/>
          <w:shd w:val="clear" w:color="auto" w:fill="FFFFFF"/>
        </w:rPr>
        <w:t>万元，其中：</w:t>
      </w:r>
    </w:p>
    <w:p>
      <w:pPr>
        <w:spacing w:line="576" w:lineRule="exact"/>
        <w:ind w:firstLine="480" w:firstLineChars="200"/>
        <w:rPr>
          <w:rFonts w:ascii="宋体"/>
          <w:kern w:val="0"/>
          <w:sz w:val="24"/>
          <w:shd w:val="clear" w:color="auto" w:fill="FFFFFF"/>
        </w:rPr>
      </w:pPr>
      <w:bookmarkStart w:id="64" w:name="_Toc26843618"/>
      <w:bookmarkStart w:id="65" w:name="_Toc15396609"/>
      <w:bookmarkStart w:id="66" w:name="_Toc15377215"/>
      <w:r>
        <w:rPr>
          <w:rFonts w:hint="eastAsia" w:ascii="宋体"/>
          <w:kern w:val="0"/>
          <w:sz w:val="24"/>
          <w:shd w:val="clear" w:color="auto" w:fill="FFFFFF"/>
        </w:rPr>
        <w:t>人员经费1065.56万元，包括基本工资270.69万元、津贴补贴330.31万元、奖金22.45万元、机关事业单位基本养老保险缴费101.19万元、职业年金缴费50.59万元、职工基本医疗保障缴费50.86万元、公务员医疗补助12.74万元、其他社会保障缴费4.89万元、生活补助6.51万元、奖励金0万元、住房公积金110.96万元、其他工资福利支出（聘用制书记员工资）104.36万元。</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公用经费130.28万元，主要包括：办公费48.05万元、印刷费1.53万元、水费1.2万元、电费6万元、邮电费4.33万元、取暖费0万元、差旅费28.66万元、因公出国（境）费用0元、维修（护）费19.75万元、培训费1.42万元、公务接待费0.32万元、劳务费13.08万元、福利费1.95万元、公务用车运行维护费4万元。</w:t>
      </w:r>
    </w:p>
    <w:p>
      <w:pPr>
        <w:spacing w:line="576" w:lineRule="exact"/>
        <w:ind w:firstLine="482" w:firstLineChars="200"/>
        <w:outlineLvl w:val="2"/>
        <w:rPr>
          <w:rFonts w:ascii="宋体"/>
          <w:b/>
          <w:bCs/>
          <w:kern w:val="0"/>
          <w:sz w:val="24"/>
          <w:shd w:val="clear" w:color="auto" w:fill="FFFFFF"/>
        </w:rPr>
      </w:pPr>
      <w:r>
        <w:rPr>
          <w:rFonts w:ascii="宋体"/>
          <w:b/>
          <w:bCs/>
          <w:kern w:val="0"/>
          <w:sz w:val="24"/>
          <w:shd w:val="clear" w:color="auto" w:fill="FFFFFF"/>
        </w:rPr>
        <w:t>七、“三公”经费财政拨款支出决算情况说明</w:t>
      </w:r>
      <w:bookmarkEnd w:id="64"/>
      <w:bookmarkEnd w:id="65"/>
      <w:bookmarkEnd w:id="66"/>
    </w:p>
    <w:p>
      <w:pPr>
        <w:spacing w:line="576" w:lineRule="exact"/>
        <w:ind w:firstLine="482" w:firstLineChars="200"/>
        <w:outlineLvl w:val="2"/>
        <w:rPr>
          <w:rFonts w:ascii="宋体"/>
          <w:b/>
          <w:bCs/>
          <w:kern w:val="0"/>
          <w:sz w:val="24"/>
          <w:shd w:val="clear" w:color="auto" w:fill="FFFFFF"/>
        </w:rPr>
      </w:pPr>
      <w:bookmarkStart w:id="67" w:name="_Toc15377216"/>
      <w:r>
        <w:rPr>
          <w:rFonts w:ascii="宋体"/>
          <w:b/>
          <w:bCs/>
          <w:kern w:val="0"/>
          <w:sz w:val="24"/>
          <w:shd w:val="clear" w:color="auto" w:fill="FFFFFF"/>
        </w:rPr>
        <w:t>（一）“三公”经费财政拨款支出决算总体情况说明</w:t>
      </w:r>
      <w:bookmarkEnd w:id="67"/>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金川县人民法院2022年度“三公”经费财政拨款支出决算为40.万元，其中：因公出国（境）费支出0万元；公务用车购置及运行维护费支出决算为39.69万元，完成预算100%；公务接待费支出决算为0.32万元，2022年度“三公”经费支出决算数大于年初预算数，主要原因：在办案业务费中支付35.69万元的公务用车运行维护费，办案业务费为执行中预算项目经费。</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2022年度“三公”经费财政拨款支出决算数比2021年减少26.28万元，减少39.65%，原因：2022年我院变更为州一级预算单位，县级保障经费未计入。</w:t>
      </w:r>
    </w:p>
    <w:p>
      <w:pPr>
        <w:spacing w:line="576" w:lineRule="exact"/>
        <w:ind w:firstLine="482" w:firstLineChars="200"/>
        <w:outlineLvl w:val="2"/>
        <w:rPr>
          <w:rFonts w:ascii="宋体"/>
          <w:b/>
          <w:bCs/>
          <w:kern w:val="0"/>
          <w:sz w:val="24"/>
          <w:shd w:val="clear" w:color="auto" w:fill="FFFFFF"/>
        </w:rPr>
      </w:pPr>
      <w:bookmarkStart w:id="68" w:name="_Toc15377217"/>
      <w:r>
        <w:rPr>
          <w:rFonts w:ascii="宋体"/>
          <w:b/>
          <w:bCs/>
          <w:kern w:val="0"/>
          <w:sz w:val="24"/>
          <w:shd w:val="clear" w:color="auto" w:fill="FFFFFF"/>
        </w:rPr>
        <w:t>（二）</w:t>
      </w:r>
      <w:bookmarkStart w:id="69" w:name="OLE_LINK2"/>
      <w:r>
        <w:rPr>
          <w:rFonts w:ascii="宋体"/>
          <w:b/>
          <w:bCs/>
          <w:kern w:val="0"/>
          <w:sz w:val="24"/>
          <w:shd w:val="clear" w:color="auto" w:fill="FFFFFF"/>
        </w:rPr>
        <w:t>“三公”经费财政拨款支出</w:t>
      </w:r>
      <w:bookmarkEnd w:id="69"/>
      <w:r>
        <w:rPr>
          <w:rFonts w:ascii="宋体"/>
          <w:b/>
          <w:bCs/>
          <w:kern w:val="0"/>
          <w:sz w:val="24"/>
          <w:shd w:val="clear" w:color="auto" w:fill="FFFFFF"/>
        </w:rPr>
        <w:t>决算具体情况说明</w:t>
      </w:r>
      <w:bookmarkEnd w:id="68"/>
    </w:p>
    <w:p>
      <w:pPr>
        <w:spacing w:line="576" w:lineRule="exact"/>
        <w:ind w:firstLine="480" w:firstLineChars="200"/>
        <w:rPr>
          <w:rFonts w:ascii="宋体"/>
          <w:kern w:val="0"/>
          <w:sz w:val="24"/>
          <w:shd w:val="clear" w:color="auto" w:fill="FFFFFF"/>
        </w:rPr>
      </w:pPr>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年“三公”经费财政拨款支出决算中，</w:t>
      </w:r>
      <w:bookmarkStart w:id="70" w:name="OLE_LINK3"/>
      <w:r>
        <w:rPr>
          <w:rFonts w:ascii="宋体"/>
          <w:kern w:val="0"/>
          <w:sz w:val="24"/>
          <w:shd w:val="clear" w:color="auto" w:fill="FFFFFF"/>
        </w:rPr>
        <w:t>因公出国（境）费支出</w:t>
      </w:r>
      <w:bookmarkEnd w:id="70"/>
      <w:r>
        <w:rPr>
          <w:rFonts w:ascii="宋体"/>
          <w:kern w:val="0"/>
          <w:sz w:val="24"/>
          <w:shd w:val="clear" w:color="auto" w:fill="FFFFFF"/>
        </w:rPr>
        <w:t>决算0万元，占0%；</w:t>
      </w:r>
      <w:bookmarkStart w:id="71" w:name="OLE_LINK4"/>
      <w:r>
        <w:rPr>
          <w:rFonts w:ascii="宋体"/>
          <w:kern w:val="0"/>
          <w:sz w:val="24"/>
          <w:shd w:val="clear" w:color="auto" w:fill="FFFFFF"/>
        </w:rPr>
        <w:t>公务用车购置及运行维护费支出</w:t>
      </w:r>
      <w:bookmarkEnd w:id="71"/>
      <w:r>
        <w:rPr>
          <w:rFonts w:ascii="宋体"/>
          <w:kern w:val="0"/>
          <w:sz w:val="24"/>
          <w:shd w:val="clear" w:color="auto" w:fill="FFFFFF"/>
        </w:rPr>
        <w:t>决算</w:t>
      </w:r>
      <w:r>
        <w:rPr>
          <w:rFonts w:hint="eastAsia" w:ascii="宋体"/>
          <w:kern w:val="0"/>
          <w:sz w:val="24"/>
          <w:shd w:val="clear" w:color="auto" w:fill="FFFFFF"/>
        </w:rPr>
        <w:t>39.69</w:t>
      </w:r>
      <w:r>
        <w:rPr>
          <w:rFonts w:ascii="宋体"/>
          <w:kern w:val="0"/>
          <w:sz w:val="24"/>
          <w:shd w:val="clear" w:color="auto" w:fill="FFFFFF"/>
        </w:rPr>
        <w:t>万元，占</w:t>
      </w:r>
      <w:r>
        <w:rPr>
          <w:rFonts w:hint="eastAsia" w:ascii="宋体"/>
          <w:kern w:val="0"/>
          <w:sz w:val="24"/>
          <w:shd w:val="clear" w:color="auto" w:fill="FFFFFF"/>
        </w:rPr>
        <w:t>99</w:t>
      </w:r>
      <w:r>
        <w:rPr>
          <w:rFonts w:ascii="宋体"/>
          <w:kern w:val="0"/>
          <w:sz w:val="24"/>
          <w:shd w:val="clear" w:color="auto" w:fill="FFFFFF"/>
        </w:rPr>
        <w:t>%；公务接待费支出决算</w:t>
      </w:r>
      <w:r>
        <w:rPr>
          <w:rFonts w:hint="eastAsia" w:ascii="宋体"/>
          <w:kern w:val="0"/>
          <w:sz w:val="24"/>
          <w:shd w:val="clear" w:color="auto" w:fill="FFFFFF"/>
        </w:rPr>
        <w:t>0.32</w:t>
      </w:r>
      <w:r>
        <w:rPr>
          <w:rFonts w:ascii="宋体"/>
          <w:kern w:val="0"/>
          <w:sz w:val="24"/>
          <w:shd w:val="clear" w:color="auto" w:fill="FFFFFF"/>
        </w:rPr>
        <w:t>万元，占</w:t>
      </w:r>
      <w:r>
        <w:rPr>
          <w:rFonts w:hint="eastAsia" w:ascii="宋体"/>
          <w:kern w:val="0"/>
          <w:sz w:val="24"/>
          <w:shd w:val="clear" w:color="auto" w:fill="FFFFFF"/>
        </w:rPr>
        <w:t>1</w:t>
      </w:r>
      <w:r>
        <w:rPr>
          <w:rFonts w:ascii="宋体"/>
          <w:kern w:val="0"/>
          <w:sz w:val="24"/>
          <w:shd w:val="clear" w:color="auto" w:fill="FFFFFF"/>
        </w:rPr>
        <w:t>%。具体情况如下：</w:t>
      </w:r>
    </w:p>
    <w:p>
      <w:pPr>
        <w:pStyle w:val="5"/>
        <w:spacing w:before="93" w:line="576" w:lineRule="exact"/>
        <w:rPr>
          <w:rFonts w:ascii="Times New Roman"/>
          <w:color w:val="FF0000"/>
        </w:rPr>
      </w:pPr>
      <w:r>
        <w:rPr>
          <w:rFonts w:ascii="Times New Roman" w:eastAsia="仿宋"/>
          <w:color w:val="FF0000"/>
          <w:sz w:val="32"/>
          <w:szCs w:val="32"/>
        </w:rPr>
        <w:drawing>
          <wp:anchor distT="0" distB="0" distL="114300" distR="114300" simplePos="0" relativeHeight="251659264" behindDoc="0" locked="0" layoutInCell="1" allowOverlap="1">
            <wp:simplePos x="0" y="0"/>
            <wp:positionH relativeFrom="column">
              <wp:posOffset>1188085</wp:posOffset>
            </wp:positionH>
            <wp:positionV relativeFrom="paragraph">
              <wp:posOffset>300990</wp:posOffset>
            </wp:positionV>
            <wp:extent cx="3139440" cy="2548890"/>
            <wp:effectExtent l="0" t="0" r="0" b="0"/>
            <wp:wrapNone/>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pStyle w:val="5"/>
        <w:spacing w:before="93" w:line="576" w:lineRule="exact"/>
        <w:rPr>
          <w:rFonts w:ascii="Times New Roman"/>
          <w:color w:val="FF0000"/>
        </w:rPr>
      </w:pPr>
    </w:p>
    <w:p>
      <w:pPr>
        <w:pStyle w:val="5"/>
        <w:spacing w:before="93" w:line="576" w:lineRule="exact"/>
        <w:rPr>
          <w:rFonts w:ascii="Times New Roman"/>
          <w:color w:val="FF0000"/>
        </w:rPr>
      </w:pPr>
    </w:p>
    <w:p>
      <w:pPr>
        <w:pStyle w:val="5"/>
        <w:spacing w:before="93" w:line="576" w:lineRule="exact"/>
        <w:rPr>
          <w:rFonts w:ascii="Times New Roman"/>
          <w:color w:val="FF0000"/>
        </w:rPr>
      </w:pPr>
    </w:p>
    <w:p>
      <w:pPr>
        <w:spacing w:line="576" w:lineRule="exact"/>
        <w:ind w:firstLine="640"/>
        <w:rPr>
          <w:rFonts w:eastAsia="仿宋"/>
          <w:color w:val="FF0000"/>
          <w:sz w:val="32"/>
          <w:szCs w:val="32"/>
        </w:rPr>
      </w:pPr>
    </w:p>
    <w:p>
      <w:pPr>
        <w:spacing w:line="576" w:lineRule="exact"/>
        <w:ind w:firstLine="640"/>
        <w:rPr>
          <w:rFonts w:eastAsia="仿宋"/>
          <w:color w:val="FF0000"/>
          <w:sz w:val="32"/>
          <w:szCs w:val="32"/>
        </w:rPr>
      </w:pPr>
    </w:p>
    <w:p>
      <w:pPr>
        <w:spacing w:line="576" w:lineRule="exact"/>
        <w:rPr>
          <w:rFonts w:eastAsia="仿宋"/>
          <w:color w:val="FF0000"/>
          <w:sz w:val="32"/>
          <w:szCs w:val="32"/>
        </w:rPr>
      </w:pPr>
    </w:p>
    <w:p>
      <w:pPr>
        <w:spacing w:line="576" w:lineRule="exact"/>
        <w:ind w:firstLine="482" w:firstLineChars="200"/>
        <w:jc w:val="center"/>
        <w:rPr>
          <w:rFonts w:ascii="宋体"/>
          <w:b/>
          <w:bCs/>
          <w:kern w:val="0"/>
          <w:sz w:val="24"/>
          <w:shd w:val="clear" w:color="auto" w:fill="FFFFFF"/>
        </w:rPr>
      </w:pPr>
      <w:r>
        <w:rPr>
          <w:rFonts w:ascii="宋体"/>
          <w:b/>
          <w:bCs/>
          <w:kern w:val="0"/>
          <w:sz w:val="24"/>
          <w:shd w:val="clear" w:color="auto" w:fill="FFFFFF"/>
        </w:rPr>
        <w:t>（图7：“三公”经费财政拨款支出结构）（饼状图）</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1.因公出国（境）经费支出0万元，完成预算100%。全年安排因公出国（境）团组0次，出国（境）0人。因公出国（境）支出决算比202</w:t>
      </w:r>
      <w:r>
        <w:rPr>
          <w:rFonts w:hint="eastAsia" w:ascii="宋体"/>
          <w:kern w:val="0"/>
          <w:sz w:val="24"/>
          <w:shd w:val="clear" w:color="auto" w:fill="FFFFFF"/>
        </w:rPr>
        <w:t>1</w:t>
      </w:r>
      <w:r>
        <w:rPr>
          <w:rFonts w:ascii="宋体"/>
          <w:kern w:val="0"/>
          <w:sz w:val="24"/>
          <w:shd w:val="clear" w:color="auto" w:fill="FFFFFF"/>
        </w:rPr>
        <w:t>年持平。</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2.公务用车购置及运行维护费支出</w:t>
      </w:r>
      <w:r>
        <w:rPr>
          <w:rFonts w:hint="eastAsia" w:ascii="宋体"/>
          <w:kern w:val="0"/>
          <w:sz w:val="24"/>
          <w:shd w:val="clear" w:color="auto" w:fill="FFFFFF"/>
        </w:rPr>
        <w:t>39.69</w:t>
      </w:r>
      <w:r>
        <w:rPr>
          <w:rFonts w:ascii="宋体"/>
          <w:kern w:val="0"/>
          <w:sz w:val="24"/>
          <w:shd w:val="clear" w:color="auto" w:fill="FFFFFF"/>
        </w:rPr>
        <w:t>万元,完成预算</w:t>
      </w:r>
      <w:r>
        <w:rPr>
          <w:rFonts w:hint="eastAsia" w:ascii="宋体"/>
          <w:kern w:val="0"/>
          <w:sz w:val="24"/>
          <w:shd w:val="clear" w:color="auto" w:fill="FFFFFF"/>
        </w:rPr>
        <w:t>100</w:t>
      </w:r>
      <w:r>
        <w:rPr>
          <w:rFonts w:ascii="宋体"/>
          <w:kern w:val="0"/>
          <w:sz w:val="24"/>
          <w:shd w:val="clear" w:color="auto" w:fill="FFFFFF"/>
        </w:rPr>
        <w:t>%。</w:t>
      </w:r>
      <w:r>
        <w:rPr>
          <w:rFonts w:hint="eastAsia" w:ascii="宋体"/>
          <w:kern w:val="0"/>
          <w:sz w:val="24"/>
          <w:shd w:val="clear" w:color="auto" w:fill="FFFFFF"/>
        </w:rPr>
        <w:t>2022年度“三公”经费财政拨款支出决算数比2021年减少26.28万元，减少39.65%，原因：2022年我院变更为州一级预算单位，县级保障经费未计入。</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其中：公务用车购置支出</w:t>
      </w:r>
      <w:r>
        <w:rPr>
          <w:rFonts w:hint="eastAsia" w:ascii="宋体"/>
          <w:kern w:val="0"/>
          <w:sz w:val="24"/>
          <w:shd w:val="clear" w:color="auto" w:fill="FFFFFF"/>
        </w:rPr>
        <w:t>0</w:t>
      </w:r>
      <w:r>
        <w:rPr>
          <w:rFonts w:ascii="宋体"/>
          <w:kern w:val="0"/>
          <w:sz w:val="24"/>
          <w:shd w:val="clear" w:color="auto" w:fill="FFFFFF"/>
        </w:rPr>
        <w:t>万元。截至202</w:t>
      </w:r>
      <w:r>
        <w:rPr>
          <w:rFonts w:hint="eastAsia" w:ascii="宋体"/>
          <w:kern w:val="0"/>
          <w:sz w:val="24"/>
          <w:shd w:val="clear" w:color="auto" w:fill="FFFFFF"/>
        </w:rPr>
        <w:t>2</w:t>
      </w:r>
      <w:r>
        <w:rPr>
          <w:rFonts w:ascii="宋体"/>
          <w:kern w:val="0"/>
          <w:sz w:val="24"/>
          <w:shd w:val="clear" w:color="auto" w:fill="FFFFFF"/>
        </w:rPr>
        <w:t>年12月底，部门共有</w:t>
      </w:r>
      <w:r>
        <w:rPr>
          <w:rFonts w:hint="eastAsia" w:ascii="宋体"/>
          <w:kern w:val="0"/>
          <w:sz w:val="24"/>
          <w:shd w:val="clear" w:color="auto" w:fill="FFFFFF"/>
        </w:rPr>
        <w:t>执法执勤10</w:t>
      </w:r>
      <w:r>
        <w:rPr>
          <w:rFonts w:ascii="宋体"/>
          <w:kern w:val="0"/>
          <w:sz w:val="24"/>
          <w:shd w:val="clear" w:color="auto" w:fill="FFFFFF"/>
        </w:rPr>
        <w:t>辆</w:t>
      </w:r>
      <w:r>
        <w:rPr>
          <w:rFonts w:hint="eastAsia" w:ascii="宋体"/>
          <w:kern w:val="0"/>
          <w:sz w:val="24"/>
          <w:shd w:val="clear" w:color="auto" w:fill="FFFFFF"/>
        </w:rPr>
        <w:t>。</w:t>
      </w:r>
      <w:r>
        <w:rPr>
          <w:rFonts w:ascii="宋体"/>
          <w:kern w:val="0"/>
          <w:sz w:val="24"/>
          <w:shd w:val="clear" w:color="auto" w:fill="FFFFFF"/>
        </w:rPr>
        <w:t xml:space="preserve"> </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公务用车运行维护费支出</w:t>
      </w:r>
      <w:r>
        <w:rPr>
          <w:rFonts w:hint="eastAsia" w:ascii="宋体"/>
          <w:kern w:val="0"/>
          <w:sz w:val="24"/>
          <w:shd w:val="clear" w:color="auto" w:fill="FFFFFF"/>
        </w:rPr>
        <w:t>39.69</w:t>
      </w:r>
      <w:r>
        <w:rPr>
          <w:rFonts w:ascii="宋体"/>
          <w:kern w:val="0"/>
          <w:sz w:val="24"/>
          <w:shd w:val="clear" w:color="auto" w:fill="FFFFFF"/>
        </w:rPr>
        <w:t>万元</w:t>
      </w:r>
      <w:r>
        <w:rPr>
          <w:rFonts w:hint="eastAsia" w:ascii="宋体"/>
          <w:kern w:val="0"/>
          <w:sz w:val="24"/>
          <w:shd w:val="clear" w:color="auto" w:fill="FFFFFF"/>
        </w:rPr>
        <w:t>。主要用于开展各项办案工作及行政工作所需的公务用车燃料费、车辆维修费、过路过桥费、车辆保险费等支出。</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3.公务接待费支出</w:t>
      </w:r>
      <w:r>
        <w:rPr>
          <w:rFonts w:hint="eastAsia" w:ascii="宋体"/>
          <w:kern w:val="0"/>
          <w:sz w:val="24"/>
          <w:shd w:val="clear" w:color="auto" w:fill="FFFFFF"/>
        </w:rPr>
        <w:t>0.32</w:t>
      </w:r>
      <w:r>
        <w:rPr>
          <w:rFonts w:ascii="宋体"/>
          <w:kern w:val="0"/>
          <w:sz w:val="24"/>
          <w:shd w:val="clear" w:color="auto" w:fill="FFFFFF"/>
        </w:rPr>
        <w:t>万元，完成预算</w:t>
      </w:r>
      <w:r>
        <w:rPr>
          <w:rFonts w:hint="eastAsia" w:ascii="宋体"/>
          <w:kern w:val="0"/>
          <w:sz w:val="24"/>
          <w:shd w:val="clear" w:color="auto" w:fill="FFFFFF"/>
        </w:rPr>
        <w:t>16</w:t>
      </w:r>
      <w:r>
        <w:rPr>
          <w:rFonts w:ascii="宋体"/>
          <w:kern w:val="0"/>
          <w:sz w:val="24"/>
          <w:shd w:val="clear" w:color="auto" w:fill="FFFFFF"/>
        </w:rPr>
        <w:t>%。公务接待费支出决算比202</w:t>
      </w:r>
      <w:r>
        <w:rPr>
          <w:rFonts w:hint="eastAsia" w:ascii="宋体"/>
          <w:kern w:val="0"/>
          <w:sz w:val="24"/>
          <w:shd w:val="clear" w:color="auto" w:fill="FFFFFF"/>
        </w:rPr>
        <w:t>1</w:t>
      </w:r>
      <w:r>
        <w:rPr>
          <w:rFonts w:ascii="宋体"/>
          <w:kern w:val="0"/>
          <w:sz w:val="24"/>
          <w:shd w:val="clear" w:color="auto" w:fill="FFFFFF"/>
        </w:rPr>
        <w:t>年减少0.</w:t>
      </w:r>
      <w:r>
        <w:rPr>
          <w:rFonts w:hint="eastAsia" w:ascii="宋体"/>
          <w:kern w:val="0"/>
          <w:sz w:val="24"/>
          <w:shd w:val="clear" w:color="auto" w:fill="FFFFFF"/>
        </w:rPr>
        <w:t>6</w:t>
      </w:r>
      <w:r>
        <w:rPr>
          <w:rFonts w:ascii="宋体"/>
          <w:kern w:val="0"/>
          <w:sz w:val="24"/>
          <w:shd w:val="clear" w:color="auto" w:fill="FFFFFF"/>
        </w:rPr>
        <w:t>5万元，下降</w:t>
      </w:r>
      <w:r>
        <w:rPr>
          <w:rFonts w:hint="eastAsia" w:ascii="宋体"/>
          <w:kern w:val="0"/>
          <w:sz w:val="24"/>
          <w:shd w:val="clear" w:color="auto" w:fill="FFFFFF"/>
        </w:rPr>
        <w:t>67</w:t>
      </w:r>
      <w:r>
        <w:rPr>
          <w:rFonts w:ascii="宋体"/>
          <w:kern w:val="0"/>
          <w:sz w:val="24"/>
          <w:shd w:val="clear" w:color="auto" w:fill="FFFFFF"/>
        </w:rPr>
        <w:t>%。主要原因是我单位本着厉行节约的原则，严格控制公务接待费开支，确保公务接待费支出逐年呈下降态势。20</w:t>
      </w:r>
      <w:r>
        <w:rPr>
          <w:rFonts w:hint="eastAsia" w:ascii="宋体"/>
          <w:kern w:val="0"/>
          <w:sz w:val="24"/>
          <w:shd w:val="clear" w:color="auto" w:fill="FFFFFF"/>
        </w:rPr>
        <w:t>22年公务接待费0.32万元。主要用于执行公务、开展业务活动开支的住宿费、用餐费等。国内公务接待5批次30人，共计支出0.32万元。主要用于执行公务、开展业务活动所开支的餐饮费等。</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外事接待支出0万元，外事接待0批次，0人，共计支出0万元</w:t>
      </w:r>
    </w:p>
    <w:p>
      <w:pPr>
        <w:spacing w:line="576" w:lineRule="exact"/>
        <w:ind w:firstLine="480" w:firstLineChars="200"/>
        <w:rPr>
          <w:rFonts w:ascii="宋体"/>
          <w:kern w:val="0"/>
          <w:sz w:val="24"/>
          <w:shd w:val="clear" w:color="auto" w:fill="FFFFFF"/>
        </w:rPr>
      </w:pPr>
      <w:bookmarkStart w:id="72" w:name="_Toc15377218"/>
      <w:bookmarkStart w:id="73" w:name="_Toc15396610"/>
    </w:p>
    <w:p>
      <w:pPr>
        <w:spacing w:line="576" w:lineRule="exact"/>
        <w:ind w:firstLine="482" w:firstLineChars="200"/>
        <w:outlineLvl w:val="2"/>
        <w:rPr>
          <w:rFonts w:ascii="宋体"/>
          <w:b/>
          <w:bCs/>
          <w:kern w:val="0"/>
          <w:sz w:val="24"/>
          <w:shd w:val="clear" w:color="auto" w:fill="FFFFFF"/>
        </w:rPr>
      </w:pPr>
      <w:bookmarkStart w:id="74" w:name="_Toc26843619"/>
      <w:r>
        <w:rPr>
          <w:rFonts w:ascii="宋体"/>
          <w:b/>
          <w:bCs/>
          <w:kern w:val="0"/>
          <w:sz w:val="24"/>
          <w:shd w:val="clear" w:color="auto" w:fill="FFFFFF"/>
        </w:rPr>
        <w:t>八、政府性基金预算支出决算情况说明</w:t>
      </w:r>
      <w:bookmarkEnd w:id="72"/>
      <w:bookmarkEnd w:id="73"/>
      <w:bookmarkEnd w:id="74"/>
    </w:p>
    <w:p>
      <w:pPr>
        <w:spacing w:line="576" w:lineRule="exact"/>
        <w:ind w:firstLine="480" w:firstLineChars="200"/>
        <w:rPr>
          <w:rFonts w:ascii="宋体"/>
          <w:kern w:val="0"/>
          <w:sz w:val="24"/>
          <w:shd w:val="clear" w:color="auto" w:fill="FFFFFF"/>
        </w:rPr>
      </w:pPr>
      <w:r>
        <w:rPr>
          <w:rFonts w:ascii="宋体"/>
          <w:kern w:val="0"/>
          <w:sz w:val="24"/>
          <w:shd w:val="clear" w:color="auto" w:fill="FFFFFF"/>
        </w:rPr>
        <w:t>2021年政府性基金预算财政拨款支出0万元。</w:t>
      </w:r>
    </w:p>
    <w:p>
      <w:pPr>
        <w:spacing w:line="576" w:lineRule="exact"/>
        <w:ind w:firstLine="480" w:firstLineChars="200"/>
        <w:rPr>
          <w:rFonts w:ascii="宋体"/>
          <w:kern w:val="0"/>
          <w:sz w:val="24"/>
          <w:shd w:val="clear" w:color="auto" w:fill="FFFFFF"/>
        </w:rPr>
      </w:pPr>
    </w:p>
    <w:p>
      <w:pPr>
        <w:spacing w:line="576" w:lineRule="exact"/>
        <w:ind w:firstLine="482" w:firstLineChars="200"/>
        <w:outlineLvl w:val="2"/>
        <w:rPr>
          <w:rFonts w:ascii="宋体"/>
          <w:b/>
          <w:bCs/>
          <w:kern w:val="0"/>
          <w:sz w:val="24"/>
          <w:shd w:val="clear" w:color="auto" w:fill="FFFFFF"/>
        </w:rPr>
      </w:pPr>
      <w:bookmarkStart w:id="75" w:name="_Toc26843620"/>
      <w:bookmarkStart w:id="76" w:name="_Toc15377219"/>
      <w:bookmarkStart w:id="77" w:name="_Toc15396611"/>
      <w:r>
        <w:rPr>
          <w:rFonts w:ascii="宋体"/>
          <w:b/>
          <w:bCs/>
          <w:kern w:val="0"/>
          <w:sz w:val="24"/>
          <w:shd w:val="clear" w:color="auto" w:fill="FFFFFF"/>
        </w:rPr>
        <w:t>九</w:t>
      </w:r>
      <w:r>
        <w:rPr>
          <w:rFonts w:hint="eastAsia" w:ascii="宋体"/>
          <w:b/>
          <w:bCs/>
          <w:kern w:val="0"/>
          <w:sz w:val="24"/>
          <w:shd w:val="clear" w:color="auto" w:fill="FFFFFF"/>
        </w:rPr>
        <w:t>、</w:t>
      </w:r>
      <w:r>
        <w:rPr>
          <w:rFonts w:ascii="宋体"/>
          <w:b/>
          <w:bCs/>
          <w:kern w:val="0"/>
          <w:sz w:val="24"/>
          <w:shd w:val="clear" w:color="auto" w:fill="FFFFFF"/>
        </w:rPr>
        <w:t>国有资本经营预算支出决算情况说明</w:t>
      </w:r>
      <w:bookmarkEnd w:id="75"/>
      <w:bookmarkEnd w:id="76"/>
      <w:bookmarkEnd w:id="77"/>
    </w:p>
    <w:p>
      <w:pPr>
        <w:spacing w:line="576" w:lineRule="exact"/>
        <w:ind w:firstLine="480" w:firstLineChars="200"/>
        <w:rPr>
          <w:rFonts w:ascii="宋体"/>
          <w:kern w:val="0"/>
          <w:sz w:val="24"/>
          <w:shd w:val="clear" w:color="auto" w:fill="FFFFFF"/>
        </w:rPr>
      </w:pPr>
      <w:r>
        <w:rPr>
          <w:rFonts w:ascii="宋体"/>
          <w:kern w:val="0"/>
          <w:sz w:val="24"/>
          <w:shd w:val="clear" w:color="auto" w:fill="FFFFFF"/>
        </w:rPr>
        <w:t>2021年国有资本经营预算财政拨款支出0万元。</w:t>
      </w:r>
    </w:p>
    <w:p>
      <w:pPr>
        <w:spacing w:line="576" w:lineRule="exact"/>
        <w:ind w:firstLine="480" w:firstLineChars="200"/>
        <w:rPr>
          <w:rFonts w:ascii="宋体"/>
          <w:kern w:val="0"/>
          <w:sz w:val="24"/>
          <w:shd w:val="clear" w:color="auto" w:fill="FFFFFF"/>
        </w:rPr>
      </w:pPr>
    </w:p>
    <w:p>
      <w:pPr>
        <w:spacing w:line="576" w:lineRule="exact"/>
        <w:ind w:firstLine="482" w:firstLineChars="200"/>
        <w:outlineLvl w:val="2"/>
        <w:rPr>
          <w:rFonts w:ascii="宋体"/>
          <w:b/>
          <w:bCs/>
          <w:kern w:val="0"/>
          <w:sz w:val="24"/>
          <w:shd w:val="clear" w:color="auto" w:fill="FFFFFF"/>
        </w:rPr>
      </w:pPr>
      <w:bookmarkStart w:id="78" w:name="_Toc15396612"/>
      <w:bookmarkStart w:id="79" w:name="_Toc15377221"/>
      <w:bookmarkStart w:id="80" w:name="_Toc26843621"/>
      <w:r>
        <w:rPr>
          <w:rFonts w:ascii="宋体"/>
          <w:b/>
          <w:bCs/>
          <w:kern w:val="0"/>
          <w:sz w:val="24"/>
          <w:shd w:val="clear" w:color="auto" w:fill="FFFFFF"/>
        </w:rPr>
        <w:t>十</w:t>
      </w:r>
      <w:r>
        <w:rPr>
          <w:rFonts w:hint="eastAsia" w:ascii="宋体"/>
          <w:b/>
          <w:bCs/>
          <w:kern w:val="0"/>
          <w:sz w:val="24"/>
          <w:shd w:val="clear" w:color="auto" w:fill="FFFFFF"/>
        </w:rPr>
        <w:t>、</w:t>
      </w:r>
      <w:r>
        <w:rPr>
          <w:rFonts w:ascii="宋体"/>
          <w:b/>
          <w:bCs/>
          <w:kern w:val="0"/>
          <w:sz w:val="24"/>
          <w:shd w:val="clear" w:color="auto" w:fill="FFFFFF"/>
        </w:rPr>
        <w:t>其他重要事项的情况说明</w:t>
      </w:r>
      <w:bookmarkEnd w:id="78"/>
      <w:bookmarkEnd w:id="79"/>
      <w:bookmarkEnd w:id="80"/>
    </w:p>
    <w:p>
      <w:pPr>
        <w:spacing w:line="576" w:lineRule="exact"/>
        <w:ind w:firstLine="482" w:firstLineChars="200"/>
        <w:outlineLvl w:val="2"/>
        <w:rPr>
          <w:rFonts w:ascii="宋体"/>
          <w:b/>
          <w:bCs/>
          <w:kern w:val="0"/>
          <w:sz w:val="24"/>
          <w:shd w:val="clear" w:color="auto" w:fill="FFFFFF"/>
        </w:rPr>
      </w:pPr>
      <w:bookmarkStart w:id="81" w:name="_Toc15377222"/>
      <w:r>
        <w:rPr>
          <w:rFonts w:ascii="宋体"/>
          <w:b/>
          <w:bCs/>
          <w:kern w:val="0"/>
          <w:sz w:val="24"/>
          <w:shd w:val="clear" w:color="auto" w:fill="FFFFFF"/>
        </w:rPr>
        <w:t>（一）机关运行经费支出情况</w:t>
      </w:r>
      <w:bookmarkEnd w:id="81"/>
    </w:p>
    <w:p>
      <w:pPr>
        <w:spacing w:line="576" w:lineRule="exact"/>
        <w:ind w:firstLine="480" w:firstLineChars="200"/>
        <w:rPr>
          <w:rFonts w:ascii="宋体"/>
          <w:kern w:val="0"/>
          <w:sz w:val="24"/>
          <w:shd w:val="clear" w:color="auto" w:fill="FFFFFF"/>
        </w:rPr>
      </w:pPr>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w:t>
      </w:r>
      <w:r>
        <w:rPr>
          <w:rFonts w:hint="eastAsia" w:ascii="宋体"/>
          <w:kern w:val="0"/>
          <w:sz w:val="24"/>
          <w:shd w:val="clear" w:color="auto" w:fill="FFFFFF"/>
        </w:rPr>
        <w:t>金川县人民法院</w:t>
      </w:r>
      <w:r>
        <w:rPr>
          <w:rFonts w:ascii="宋体"/>
          <w:kern w:val="0"/>
          <w:sz w:val="24"/>
          <w:shd w:val="clear" w:color="auto" w:fill="FFFFFF"/>
        </w:rPr>
        <w:t>机关运行经费支出</w:t>
      </w:r>
      <w:r>
        <w:rPr>
          <w:rFonts w:hint="eastAsia" w:ascii="宋体"/>
          <w:kern w:val="0"/>
          <w:sz w:val="24"/>
          <w:shd w:val="clear" w:color="auto" w:fill="FFFFFF"/>
        </w:rPr>
        <w:t>130.28</w:t>
      </w:r>
      <w:r>
        <w:rPr>
          <w:rFonts w:ascii="宋体"/>
          <w:kern w:val="0"/>
          <w:sz w:val="24"/>
          <w:shd w:val="clear" w:color="auto" w:fill="FFFFFF"/>
        </w:rPr>
        <w:t>万元，比202</w:t>
      </w:r>
      <w:r>
        <w:rPr>
          <w:rFonts w:hint="eastAsia" w:ascii="宋体"/>
          <w:kern w:val="0"/>
          <w:sz w:val="24"/>
          <w:shd w:val="clear" w:color="auto" w:fill="FFFFFF"/>
        </w:rPr>
        <w:t>1</w:t>
      </w:r>
      <w:r>
        <w:rPr>
          <w:rFonts w:ascii="宋体"/>
          <w:kern w:val="0"/>
          <w:sz w:val="24"/>
          <w:shd w:val="clear" w:color="auto" w:fill="FFFFFF"/>
        </w:rPr>
        <w:t>年</w:t>
      </w:r>
      <w:r>
        <w:rPr>
          <w:rFonts w:hint="eastAsia" w:ascii="宋体"/>
          <w:kern w:val="0"/>
          <w:sz w:val="24"/>
          <w:shd w:val="clear" w:color="auto" w:fill="FFFFFF"/>
        </w:rPr>
        <w:t>减少2.81</w:t>
      </w:r>
      <w:r>
        <w:rPr>
          <w:rFonts w:ascii="宋体"/>
          <w:kern w:val="0"/>
          <w:sz w:val="24"/>
          <w:shd w:val="clear" w:color="auto" w:fill="FFFFFF"/>
        </w:rPr>
        <w:t>万元，</w:t>
      </w:r>
      <w:r>
        <w:rPr>
          <w:rFonts w:hint="eastAsia" w:ascii="宋体"/>
          <w:kern w:val="0"/>
          <w:sz w:val="24"/>
          <w:shd w:val="clear" w:color="auto" w:fill="FFFFFF"/>
        </w:rPr>
        <w:t>减少2</w:t>
      </w:r>
      <w:r>
        <w:rPr>
          <w:rFonts w:ascii="宋体"/>
          <w:kern w:val="0"/>
          <w:sz w:val="24"/>
          <w:shd w:val="clear" w:color="auto" w:fill="FFFFFF"/>
        </w:rPr>
        <w:t>%。</w:t>
      </w:r>
    </w:p>
    <w:p>
      <w:pPr>
        <w:spacing w:line="576" w:lineRule="exact"/>
        <w:ind w:firstLine="482" w:firstLineChars="200"/>
        <w:outlineLvl w:val="2"/>
        <w:rPr>
          <w:rFonts w:ascii="宋体"/>
          <w:b/>
          <w:bCs/>
          <w:kern w:val="0"/>
          <w:sz w:val="24"/>
          <w:shd w:val="clear" w:color="auto" w:fill="FFFFFF"/>
        </w:rPr>
      </w:pPr>
      <w:bookmarkStart w:id="82" w:name="_Toc15377223"/>
      <w:r>
        <w:rPr>
          <w:rFonts w:ascii="宋体"/>
          <w:b/>
          <w:bCs/>
          <w:kern w:val="0"/>
          <w:sz w:val="24"/>
          <w:shd w:val="clear" w:color="auto" w:fill="FFFFFF"/>
        </w:rPr>
        <w:t>（二）政府采购支出情况</w:t>
      </w:r>
      <w:bookmarkEnd w:id="82"/>
    </w:p>
    <w:p>
      <w:pPr>
        <w:spacing w:line="576" w:lineRule="exact"/>
        <w:ind w:firstLine="480" w:firstLineChars="200"/>
        <w:rPr>
          <w:rFonts w:ascii="宋体"/>
          <w:kern w:val="0"/>
          <w:sz w:val="24"/>
          <w:shd w:val="clear" w:color="auto" w:fill="FFFFFF"/>
        </w:rPr>
      </w:pPr>
      <w:r>
        <w:rPr>
          <w:rFonts w:ascii="宋体"/>
          <w:kern w:val="0"/>
          <w:sz w:val="24"/>
          <w:shd w:val="clear" w:color="auto" w:fill="FFFFFF"/>
        </w:rPr>
        <w:t>202</w:t>
      </w:r>
      <w:r>
        <w:rPr>
          <w:rFonts w:hint="eastAsia" w:ascii="宋体"/>
          <w:kern w:val="0"/>
          <w:sz w:val="24"/>
          <w:shd w:val="clear" w:color="auto" w:fill="FFFFFF"/>
        </w:rPr>
        <w:t>2</w:t>
      </w:r>
      <w:r>
        <w:rPr>
          <w:rFonts w:ascii="宋体"/>
          <w:kern w:val="0"/>
          <w:sz w:val="24"/>
          <w:shd w:val="clear" w:color="auto" w:fill="FFFFFF"/>
        </w:rPr>
        <w:t>年，</w:t>
      </w:r>
      <w:r>
        <w:rPr>
          <w:rFonts w:hint="eastAsia" w:ascii="宋体"/>
          <w:kern w:val="0"/>
          <w:sz w:val="24"/>
          <w:shd w:val="clear" w:color="auto" w:fill="FFFFFF"/>
        </w:rPr>
        <w:t>金川县人民</w:t>
      </w:r>
      <w:r>
        <w:rPr>
          <w:rFonts w:ascii="宋体"/>
          <w:kern w:val="0"/>
          <w:sz w:val="24"/>
          <w:shd w:val="clear" w:color="auto" w:fill="FFFFFF"/>
        </w:rPr>
        <w:t>法院采购支出总额</w:t>
      </w:r>
      <w:r>
        <w:rPr>
          <w:rFonts w:hint="eastAsia" w:ascii="宋体"/>
          <w:kern w:val="0"/>
          <w:sz w:val="24"/>
          <w:shd w:val="clear" w:color="auto" w:fill="FFFFFF"/>
        </w:rPr>
        <w:t>20.66</w:t>
      </w:r>
      <w:r>
        <w:rPr>
          <w:rFonts w:ascii="宋体"/>
          <w:kern w:val="0"/>
          <w:sz w:val="24"/>
          <w:shd w:val="clear" w:color="auto" w:fill="FFFFFF"/>
        </w:rPr>
        <w:t>万元，其中：政府采购货物支出</w:t>
      </w:r>
      <w:r>
        <w:rPr>
          <w:rFonts w:hint="eastAsia" w:ascii="宋体"/>
          <w:kern w:val="0"/>
          <w:sz w:val="24"/>
          <w:shd w:val="clear" w:color="auto" w:fill="FFFFFF"/>
        </w:rPr>
        <w:t>20.66</w:t>
      </w:r>
      <w:r>
        <w:rPr>
          <w:rFonts w:ascii="宋体"/>
          <w:kern w:val="0"/>
          <w:sz w:val="24"/>
          <w:shd w:val="clear" w:color="auto" w:fill="FFFFFF"/>
        </w:rPr>
        <w:t>万元、政府采购工程支出0万元、政府采购服务支出0万元。主要用</w:t>
      </w:r>
      <w:r>
        <w:rPr>
          <w:rFonts w:hint="eastAsia" w:ascii="宋体"/>
          <w:kern w:val="0"/>
          <w:sz w:val="24"/>
          <w:shd w:val="clear" w:color="auto" w:fill="FFFFFF"/>
        </w:rPr>
        <w:t>采购</w:t>
      </w:r>
      <w:r>
        <w:rPr>
          <w:rFonts w:ascii="宋体"/>
          <w:kern w:val="0"/>
          <w:sz w:val="24"/>
          <w:shd w:val="clear" w:color="auto" w:fill="FFFFFF"/>
        </w:rPr>
        <w:t>电脑</w:t>
      </w:r>
      <w:r>
        <w:rPr>
          <w:rFonts w:hint="eastAsia" w:ascii="宋体"/>
          <w:kern w:val="0"/>
          <w:sz w:val="24"/>
          <w:shd w:val="clear" w:color="auto" w:fill="FFFFFF"/>
        </w:rPr>
        <w:t>、打印机</w:t>
      </w:r>
      <w:r>
        <w:rPr>
          <w:rFonts w:ascii="宋体"/>
          <w:kern w:val="0"/>
          <w:sz w:val="24"/>
          <w:shd w:val="clear" w:color="auto" w:fill="FFFFFF"/>
        </w:rPr>
        <w:t>等。其中</w:t>
      </w:r>
      <w:r>
        <w:rPr>
          <w:rFonts w:hint="eastAsia" w:ascii="宋体"/>
          <w:kern w:val="0"/>
          <w:sz w:val="24"/>
          <w:shd w:val="clear" w:color="auto" w:fill="FFFFFF"/>
        </w:rPr>
        <w:t>：</w:t>
      </w:r>
      <w:r>
        <w:rPr>
          <w:rFonts w:ascii="宋体"/>
          <w:kern w:val="0"/>
          <w:sz w:val="24"/>
          <w:shd w:val="clear" w:color="auto" w:fill="FFFFFF"/>
        </w:rPr>
        <w:t>授予中小企业合同金额</w:t>
      </w:r>
      <w:r>
        <w:rPr>
          <w:rFonts w:hint="eastAsia" w:ascii="宋体"/>
          <w:kern w:val="0"/>
          <w:sz w:val="24"/>
          <w:shd w:val="clear" w:color="auto" w:fill="FFFFFF"/>
        </w:rPr>
        <w:t>20.66</w:t>
      </w:r>
      <w:r>
        <w:rPr>
          <w:rFonts w:ascii="宋体"/>
          <w:kern w:val="0"/>
          <w:sz w:val="24"/>
          <w:shd w:val="clear" w:color="auto" w:fill="FFFFFF"/>
        </w:rPr>
        <w:t>万元，占政府采购支出总额的100%</w:t>
      </w:r>
      <w:r>
        <w:rPr>
          <w:rFonts w:hint="eastAsia" w:ascii="宋体"/>
          <w:kern w:val="0"/>
          <w:sz w:val="24"/>
          <w:shd w:val="clear" w:color="auto" w:fill="FFFFFF"/>
        </w:rPr>
        <w:t>。</w:t>
      </w:r>
      <w:r>
        <w:rPr>
          <w:rFonts w:ascii="宋体"/>
          <w:kern w:val="0"/>
          <w:sz w:val="24"/>
          <w:shd w:val="clear" w:color="auto" w:fill="FFFFFF"/>
        </w:rPr>
        <w:t xml:space="preserve"> </w:t>
      </w:r>
    </w:p>
    <w:p>
      <w:pPr>
        <w:spacing w:line="576" w:lineRule="exact"/>
        <w:ind w:firstLine="482" w:firstLineChars="200"/>
        <w:outlineLvl w:val="2"/>
        <w:rPr>
          <w:rFonts w:ascii="宋体"/>
          <w:b/>
          <w:bCs/>
          <w:kern w:val="0"/>
          <w:sz w:val="24"/>
          <w:shd w:val="clear" w:color="auto" w:fill="FFFFFF"/>
        </w:rPr>
      </w:pPr>
      <w:bookmarkStart w:id="83" w:name="_Toc15377224"/>
      <w:r>
        <w:rPr>
          <w:rFonts w:ascii="宋体"/>
          <w:b/>
          <w:bCs/>
          <w:kern w:val="0"/>
          <w:sz w:val="24"/>
          <w:shd w:val="clear" w:color="auto" w:fill="FFFFFF"/>
        </w:rPr>
        <w:t>（三）国有资产占有使用情况</w:t>
      </w:r>
      <w:bookmarkEnd w:id="83"/>
    </w:p>
    <w:p>
      <w:pPr>
        <w:spacing w:line="576" w:lineRule="exact"/>
        <w:ind w:firstLine="480" w:firstLineChars="200"/>
        <w:rPr>
          <w:rFonts w:ascii="宋体"/>
          <w:kern w:val="0"/>
          <w:sz w:val="24"/>
          <w:shd w:val="clear" w:color="auto" w:fill="FFFFFF"/>
        </w:rPr>
      </w:pPr>
      <w:r>
        <w:rPr>
          <w:rFonts w:ascii="宋体"/>
          <w:kern w:val="0"/>
          <w:sz w:val="24"/>
          <w:shd w:val="clear" w:color="auto" w:fill="FFFFFF"/>
        </w:rPr>
        <w:t>截至202</w:t>
      </w:r>
      <w:r>
        <w:rPr>
          <w:rFonts w:hint="eastAsia" w:ascii="宋体"/>
          <w:kern w:val="0"/>
          <w:sz w:val="24"/>
          <w:shd w:val="clear" w:color="auto" w:fill="FFFFFF"/>
        </w:rPr>
        <w:t>2</w:t>
      </w:r>
      <w:r>
        <w:rPr>
          <w:rFonts w:ascii="宋体"/>
          <w:kern w:val="0"/>
          <w:sz w:val="24"/>
          <w:shd w:val="clear" w:color="auto" w:fill="FFFFFF"/>
        </w:rPr>
        <w:t>年12月31日，</w:t>
      </w:r>
      <w:r>
        <w:rPr>
          <w:rFonts w:hint="eastAsia" w:ascii="宋体"/>
          <w:kern w:val="0"/>
          <w:sz w:val="24"/>
          <w:shd w:val="clear" w:color="auto" w:fill="FFFFFF"/>
        </w:rPr>
        <w:t>金川</w:t>
      </w:r>
      <w:r>
        <w:rPr>
          <w:rFonts w:ascii="宋体"/>
          <w:kern w:val="0"/>
          <w:sz w:val="24"/>
          <w:shd w:val="clear" w:color="auto" w:fill="FFFFFF"/>
        </w:rPr>
        <w:t>县人民法院共有车辆</w:t>
      </w:r>
      <w:r>
        <w:rPr>
          <w:rFonts w:hint="eastAsia" w:ascii="宋体"/>
          <w:kern w:val="0"/>
          <w:sz w:val="24"/>
          <w:shd w:val="clear" w:color="auto" w:fill="FFFFFF"/>
        </w:rPr>
        <w:t>10</w:t>
      </w:r>
      <w:r>
        <w:rPr>
          <w:rFonts w:ascii="宋体"/>
          <w:kern w:val="0"/>
          <w:sz w:val="24"/>
          <w:shd w:val="clear" w:color="auto" w:fill="FFFFFF"/>
        </w:rPr>
        <w:t>辆，其中：</w:t>
      </w:r>
      <w:r>
        <w:rPr>
          <w:rFonts w:hint="eastAsia" w:ascii="宋体"/>
          <w:kern w:val="0"/>
          <w:sz w:val="24"/>
          <w:shd w:val="clear" w:color="auto" w:fill="FFFFFF"/>
        </w:rPr>
        <w:t>7辆为执法执勤用车,3辆特殊专业技术用车；单价50万元以上通用设备1套为特殊专业技术用车（流动法庭），无单价100万元以上专用设备。</w:t>
      </w:r>
    </w:p>
    <w:p>
      <w:pPr>
        <w:spacing w:line="576" w:lineRule="exact"/>
        <w:ind w:firstLine="482" w:firstLineChars="200"/>
        <w:outlineLvl w:val="2"/>
        <w:rPr>
          <w:rFonts w:ascii="宋体"/>
          <w:b/>
          <w:bCs/>
          <w:kern w:val="0"/>
          <w:sz w:val="24"/>
          <w:shd w:val="clear" w:color="auto" w:fill="FFFFFF"/>
        </w:rPr>
      </w:pPr>
      <w:r>
        <w:rPr>
          <w:rFonts w:ascii="宋体"/>
          <w:b/>
          <w:bCs/>
          <w:kern w:val="0"/>
          <w:sz w:val="24"/>
          <w:shd w:val="clear" w:color="auto" w:fill="FFFFFF"/>
        </w:rPr>
        <w:t>（四）预算绩效管理情况</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根据预算绩效管理要求，本部门在202</w:t>
      </w:r>
      <w:r>
        <w:rPr>
          <w:rFonts w:hint="eastAsia" w:ascii="宋体"/>
          <w:kern w:val="0"/>
          <w:sz w:val="24"/>
          <w:shd w:val="clear" w:color="auto" w:fill="FFFFFF"/>
        </w:rPr>
        <w:t>2</w:t>
      </w:r>
      <w:r>
        <w:rPr>
          <w:rFonts w:ascii="宋体"/>
          <w:kern w:val="0"/>
          <w:sz w:val="24"/>
          <w:shd w:val="clear" w:color="auto" w:fill="FFFFFF"/>
        </w:rPr>
        <w:t>年度预算编制阶段，组织对</w:t>
      </w:r>
      <w:r>
        <w:rPr>
          <w:rFonts w:hint="eastAsia" w:ascii="宋体"/>
          <w:kern w:val="0"/>
          <w:sz w:val="24"/>
          <w:shd w:val="clear" w:color="auto" w:fill="FFFFFF"/>
        </w:rPr>
        <w:t>转移</w:t>
      </w:r>
      <w:r>
        <w:rPr>
          <w:rFonts w:ascii="宋体"/>
          <w:kern w:val="0"/>
          <w:sz w:val="24"/>
          <w:shd w:val="clear" w:color="auto" w:fill="FFFFFF"/>
        </w:rPr>
        <w:t>支付资金</w:t>
      </w:r>
      <w:r>
        <w:rPr>
          <w:rFonts w:hint="eastAsia" w:ascii="宋体"/>
          <w:kern w:val="0"/>
          <w:sz w:val="24"/>
          <w:shd w:val="clear" w:color="auto" w:fill="FFFFFF"/>
        </w:rPr>
        <w:t>1</w:t>
      </w:r>
      <w:r>
        <w:rPr>
          <w:rFonts w:ascii="宋体"/>
          <w:kern w:val="0"/>
          <w:sz w:val="24"/>
          <w:shd w:val="clear" w:color="auto" w:fill="FFFFFF"/>
        </w:rPr>
        <w:t>个项目开展了预算事前绩效评估，对</w:t>
      </w:r>
      <w:r>
        <w:rPr>
          <w:rFonts w:hint="eastAsia" w:ascii="宋体"/>
          <w:kern w:val="0"/>
          <w:sz w:val="24"/>
          <w:shd w:val="clear" w:color="auto" w:fill="FFFFFF"/>
        </w:rPr>
        <w:t>1</w:t>
      </w:r>
      <w:r>
        <w:rPr>
          <w:rFonts w:ascii="宋体"/>
          <w:kern w:val="0"/>
          <w:sz w:val="24"/>
          <w:shd w:val="clear" w:color="auto" w:fill="FFFFFF"/>
        </w:rPr>
        <w:t>个项目编制了绩效目标，预算执行过程中，选取</w:t>
      </w:r>
      <w:r>
        <w:rPr>
          <w:rFonts w:hint="eastAsia" w:ascii="宋体"/>
          <w:kern w:val="0"/>
          <w:sz w:val="24"/>
          <w:shd w:val="clear" w:color="auto" w:fill="FFFFFF"/>
        </w:rPr>
        <w:t>1</w:t>
      </w:r>
      <w:r>
        <w:rPr>
          <w:rFonts w:ascii="宋体"/>
          <w:kern w:val="0"/>
          <w:sz w:val="24"/>
          <w:shd w:val="clear" w:color="auto" w:fill="FFFFFF"/>
        </w:rPr>
        <w:t>个项目开展绩效监控，年终执行完毕后，对</w:t>
      </w:r>
      <w:r>
        <w:rPr>
          <w:rFonts w:hint="eastAsia" w:ascii="宋体"/>
          <w:kern w:val="0"/>
          <w:sz w:val="24"/>
          <w:shd w:val="clear" w:color="auto" w:fill="FFFFFF"/>
        </w:rPr>
        <w:t>1</w:t>
      </w:r>
      <w:r>
        <w:rPr>
          <w:rFonts w:ascii="宋体"/>
          <w:kern w:val="0"/>
          <w:sz w:val="24"/>
          <w:shd w:val="clear" w:color="auto" w:fill="FFFFFF"/>
        </w:rPr>
        <w:t>个项目开展了绩效自评。同时，本部门对202</w:t>
      </w:r>
      <w:r>
        <w:rPr>
          <w:rFonts w:hint="eastAsia" w:ascii="宋体"/>
          <w:kern w:val="0"/>
          <w:sz w:val="24"/>
          <w:shd w:val="clear" w:color="auto" w:fill="FFFFFF"/>
        </w:rPr>
        <w:t>2</w:t>
      </w:r>
      <w:r>
        <w:rPr>
          <w:rFonts w:ascii="宋体"/>
          <w:kern w:val="0"/>
          <w:sz w:val="24"/>
          <w:shd w:val="clear" w:color="auto" w:fill="FFFFFF"/>
        </w:rPr>
        <w:t>年部门整体开展绩效自评，《202</w:t>
      </w:r>
      <w:r>
        <w:rPr>
          <w:rFonts w:hint="eastAsia" w:ascii="宋体"/>
          <w:kern w:val="0"/>
          <w:sz w:val="24"/>
          <w:shd w:val="clear" w:color="auto" w:fill="FFFFFF"/>
        </w:rPr>
        <w:t>2</w:t>
      </w:r>
      <w:r>
        <w:rPr>
          <w:rFonts w:ascii="宋体"/>
          <w:kern w:val="0"/>
          <w:sz w:val="24"/>
          <w:shd w:val="clear" w:color="auto" w:fill="FFFFFF"/>
        </w:rPr>
        <w:t>年</w:t>
      </w:r>
      <w:r>
        <w:rPr>
          <w:rFonts w:hint="eastAsia" w:ascii="宋体"/>
          <w:kern w:val="0"/>
          <w:sz w:val="24"/>
          <w:shd w:val="clear" w:color="auto" w:fill="FFFFFF"/>
        </w:rPr>
        <w:t>金川</w:t>
      </w:r>
      <w:r>
        <w:rPr>
          <w:rFonts w:ascii="宋体"/>
          <w:kern w:val="0"/>
          <w:sz w:val="24"/>
          <w:shd w:val="clear" w:color="auto" w:fill="FFFFFF"/>
        </w:rPr>
        <w:t>县人民法院部门整体绩效评价报告》见附件（第四部分）。</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br w:type="page"/>
      </w:r>
    </w:p>
    <w:p>
      <w:pPr>
        <w:pStyle w:val="13"/>
        <w:shd w:val="clear" w:color="auto" w:fill="FFFFFF"/>
        <w:spacing w:before="93" w:beforeAutospacing="0"/>
        <w:jc w:val="center"/>
      </w:pPr>
      <w:r>
        <w:rPr>
          <w:rStyle w:val="17"/>
          <w:sz w:val="39"/>
          <w:szCs w:val="39"/>
        </w:rPr>
        <w:t>第三部分 名词解释</w:t>
      </w:r>
    </w:p>
    <w:p>
      <w:pPr>
        <w:spacing w:line="576" w:lineRule="exact"/>
        <w:jc w:val="left"/>
        <w:rPr>
          <w:b/>
          <w:sz w:val="44"/>
          <w:szCs w:val="44"/>
        </w:rPr>
      </w:pPr>
    </w:p>
    <w:p>
      <w:pPr>
        <w:spacing w:line="576" w:lineRule="exact"/>
        <w:ind w:firstLine="480" w:firstLineChars="200"/>
        <w:rPr>
          <w:rFonts w:ascii="宋体"/>
          <w:kern w:val="0"/>
          <w:sz w:val="24"/>
          <w:shd w:val="clear" w:color="auto" w:fill="FFFFFF"/>
        </w:rPr>
      </w:pPr>
      <w:r>
        <w:rPr>
          <w:rFonts w:ascii="宋体"/>
          <w:kern w:val="0"/>
          <w:sz w:val="24"/>
          <w:shd w:val="clear" w:color="auto" w:fill="FFFFFF"/>
        </w:rPr>
        <w:t>1.财政拨款收入：指单位从同级财政部门取得的财政预算资金。</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2</w:t>
      </w:r>
      <w:r>
        <w:rPr>
          <w:rFonts w:ascii="宋体"/>
          <w:kern w:val="0"/>
          <w:sz w:val="24"/>
          <w:shd w:val="clear" w:color="auto" w:fill="FFFFFF"/>
        </w:rPr>
        <w:t xml:space="preserve">.其他收入：指单位取得的除上述收入以外的各项收入。主要是利息收入等。 </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3</w:t>
      </w:r>
      <w:r>
        <w:rPr>
          <w:rFonts w:ascii="宋体"/>
          <w:kern w:val="0"/>
          <w:sz w:val="24"/>
          <w:shd w:val="clear" w:color="auto" w:fill="FFFFFF"/>
        </w:rPr>
        <w:t xml:space="preserve">.年初结转和结余：指以前年度尚未完成、结转到本年按有关规定继续使用的资金。 </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4</w:t>
      </w:r>
      <w:r>
        <w:rPr>
          <w:rFonts w:hint="eastAsia" w:ascii="宋体"/>
          <w:kern w:val="0"/>
          <w:sz w:val="24"/>
          <w:shd w:val="clear" w:color="auto" w:fill="FFFFFF"/>
          <w:lang w:val="en-US" w:eastAsia="zh-CN"/>
        </w:rPr>
        <w:t>.</w:t>
      </w:r>
      <w:bookmarkStart w:id="88" w:name="_GoBack"/>
      <w:bookmarkEnd w:id="88"/>
      <w:r>
        <w:rPr>
          <w:rFonts w:ascii="宋体"/>
          <w:kern w:val="0"/>
          <w:sz w:val="24"/>
          <w:shd w:val="clear" w:color="auto" w:fill="FFFFFF"/>
        </w:rPr>
        <w:t>年末结转和结余：指单位按有关规定结转到下年或以后年度继续使用的资金。</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5.公共</w:t>
      </w:r>
      <w:r>
        <w:rPr>
          <w:rFonts w:ascii="宋体"/>
          <w:kern w:val="0"/>
          <w:sz w:val="24"/>
          <w:shd w:val="clear" w:color="auto" w:fill="FFFFFF"/>
        </w:rPr>
        <w:t>安全支出：行政运行，反映</w:t>
      </w:r>
      <w:r>
        <w:rPr>
          <w:rFonts w:hint="eastAsia" w:ascii="宋体"/>
          <w:kern w:val="0"/>
          <w:sz w:val="24"/>
          <w:shd w:val="clear" w:color="auto" w:fill="FFFFFF"/>
        </w:rPr>
        <w:t>法院（包括专门法院）</w:t>
      </w:r>
      <w:r>
        <w:rPr>
          <w:rFonts w:ascii="宋体"/>
          <w:kern w:val="0"/>
          <w:sz w:val="24"/>
          <w:shd w:val="clear" w:color="auto" w:fill="FFFFFF"/>
        </w:rPr>
        <w:t>的基本支出；一般行政管理事务，反映行政单位（包括实行公务员管理的事业单位）未单独设置项级科目的其他项目支出。</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6.</w:t>
      </w:r>
      <w:r>
        <w:rPr>
          <w:rFonts w:ascii="宋体"/>
          <w:kern w:val="0"/>
          <w:sz w:val="24"/>
          <w:shd w:val="clear" w:color="auto" w:fill="FFFFFF"/>
        </w:rPr>
        <w:t>社会保障和就业：反映政府在社会保障与就业方面的支出。</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7</w:t>
      </w:r>
      <w:r>
        <w:rPr>
          <w:rFonts w:ascii="宋体"/>
          <w:kern w:val="0"/>
          <w:sz w:val="24"/>
          <w:shd w:val="clear" w:color="auto" w:fill="FFFFFF"/>
        </w:rPr>
        <w:t>.医疗卫生与计划生育：反映政府医疗卫生计划生育管理方面的支出。</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8</w:t>
      </w:r>
      <w:r>
        <w:rPr>
          <w:rFonts w:ascii="宋体"/>
          <w:kern w:val="0"/>
          <w:sz w:val="24"/>
          <w:shd w:val="clear" w:color="auto" w:fill="FFFFFF"/>
        </w:rPr>
        <w:t>.住房保障支出：集中反映政府用于住房方面的支出。</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9</w:t>
      </w:r>
      <w:r>
        <w:rPr>
          <w:rFonts w:ascii="宋体"/>
          <w:kern w:val="0"/>
          <w:sz w:val="24"/>
          <w:shd w:val="clear" w:color="auto" w:fill="FFFFFF"/>
        </w:rPr>
        <w:t>.基本支出：指为保障机构正常运转、完成日常工作任务而发生的人员支出和公用支出。</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10</w:t>
      </w:r>
      <w:r>
        <w:rPr>
          <w:rFonts w:ascii="宋体"/>
          <w:kern w:val="0"/>
          <w:sz w:val="24"/>
          <w:shd w:val="clear" w:color="auto" w:fill="FFFFFF"/>
        </w:rPr>
        <w:t xml:space="preserve">.项目支出：指在基本支出之外为完成特定行政任务和事业发展目标所发生的支出。 </w:t>
      </w:r>
    </w:p>
    <w:p>
      <w:pPr>
        <w:spacing w:line="576" w:lineRule="exact"/>
        <w:ind w:firstLine="480" w:firstLineChars="200"/>
        <w:rPr>
          <w:rFonts w:ascii="宋体"/>
          <w:kern w:val="0"/>
          <w:sz w:val="24"/>
          <w:shd w:val="clear" w:color="auto" w:fill="FFFFFF"/>
        </w:rPr>
      </w:pPr>
      <w:r>
        <w:rPr>
          <w:rFonts w:hint="eastAsia" w:ascii="宋体"/>
          <w:kern w:val="0"/>
          <w:sz w:val="24"/>
          <w:shd w:val="clear" w:color="auto" w:fill="FFFFFF"/>
        </w:rPr>
        <w:t>11</w:t>
      </w:r>
      <w:r>
        <w:rPr>
          <w:rFonts w:ascii="宋体"/>
          <w:kern w:val="0"/>
          <w:sz w:val="24"/>
          <w:shd w:val="clear" w:color="auto"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480" w:firstLineChars="200"/>
        <w:rPr>
          <w:rFonts w:ascii="宋体"/>
          <w:kern w:val="0"/>
          <w:sz w:val="24"/>
          <w:shd w:val="clear" w:color="auto" w:fill="FFFFFF"/>
        </w:rPr>
      </w:pPr>
      <w:r>
        <w:rPr>
          <w:rFonts w:ascii="宋体"/>
          <w:kern w:val="0"/>
          <w:sz w:val="24"/>
          <w:shd w:val="clear" w:color="auto" w:fill="FFFFFF"/>
        </w:rPr>
        <w:t>1</w:t>
      </w:r>
      <w:r>
        <w:rPr>
          <w:rFonts w:hint="eastAsia" w:ascii="宋体"/>
          <w:kern w:val="0"/>
          <w:sz w:val="24"/>
          <w:shd w:val="clear" w:color="auto" w:fill="FFFFFF"/>
        </w:rPr>
        <w:t>2</w:t>
      </w:r>
      <w:r>
        <w:rPr>
          <w:rFonts w:ascii="宋体"/>
          <w:kern w:val="0"/>
          <w:sz w:val="24"/>
          <w:shd w:val="clear" w:color="auto"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ind w:firstLine="480" w:firstLineChars="200"/>
        <w:rPr>
          <w:rStyle w:val="19"/>
          <w:rFonts w:eastAsia="黑体"/>
          <w:b w:val="0"/>
        </w:rPr>
      </w:pPr>
      <w:bookmarkStart w:id="84" w:name="_Toc15377226"/>
      <w:r>
        <w:rPr>
          <w:rFonts w:ascii="宋体"/>
          <w:kern w:val="0"/>
          <w:sz w:val="24"/>
          <w:shd w:val="clear" w:color="auto" w:fill="FFFFFF"/>
        </w:rPr>
        <w:br w:type="page"/>
      </w:r>
      <w:bookmarkStart w:id="85" w:name="_Toc26843623"/>
      <w:bookmarkStart w:id="86" w:name="_Toc15396614"/>
      <w:r>
        <w:rPr>
          <w:rFonts w:eastAsia="黑体"/>
          <w:sz w:val="44"/>
          <w:szCs w:val="44"/>
        </w:rPr>
        <w:t>第</w:t>
      </w:r>
      <w:r>
        <w:rPr>
          <w:rStyle w:val="19"/>
          <w:rFonts w:eastAsia="黑体"/>
          <w:b w:val="0"/>
        </w:rPr>
        <w:t>四部分 附件</w:t>
      </w:r>
      <w:bookmarkEnd w:id="85"/>
      <w:bookmarkEnd w:id="86"/>
    </w:p>
    <w:p>
      <w:pPr>
        <w:spacing w:line="576" w:lineRule="exact"/>
        <w:jc w:val="left"/>
        <w:outlineLvl w:val="0"/>
        <w:rPr>
          <w:kern w:val="0"/>
          <w:sz w:val="24"/>
          <w:szCs w:val="21"/>
        </w:rPr>
      </w:pPr>
      <w:bookmarkStart w:id="87" w:name="_Toc26843624"/>
      <w:r>
        <w:rPr>
          <w:kern w:val="0"/>
          <w:sz w:val="24"/>
          <w:szCs w:val="21"/>
        </w:rPr>
        <w:t>附件</w:t>
      </w:r>
      <w:bookmarkEnd w:id="87"/>
      <w:r>
        <w:rPr>
          <w:rFonts w:hint="eastAsia"/>
          <w:kern w:val="0"/>
          <w:sz w:val="24"/>
          <w:szCs w:val="21"/>
        </w:rPr>
        <w:t>1</w:t>
      </w:r>
    </w:p>
    <w:p>
      <w:pPr>
        <w:pStyle w:val="13"/>
        <w:shd w:val="clear" w:color="auto" w:fill="FFFFFF"/>
        <w:spacing w:before="0" w:beforeAutospacing="0"/>
        <w:ind w:firstLine="1950" w:firstLineChars="500"/>
        <w:jc w:val="center"/>
        <w:rPr>
          <w:sz w:val="39"/>
          <w:szCs w:val="39"/>
        </w:rPr>
      </w:pPr>
      <w:r>
        <w:rPr>
          <w:rFonts w:hint="eastAsia"/>
          <w:sz w:val="39"/>
          <w:szCs w:val="39"/>
        </w:rPr>
        <w:t>金川县人民法院</w:t>
      </w:r>
    </w:p>
    <w:p>
      <w:pPr>
        <w:pStyle w:val="13"/>
        <w:shd w:val="clear" w:color="auto" w:fill="FFFFFF"/>
        <w:spacing w:before="0" w:beforeAutospacing="0"/>
        <w:ind w:firstLine="1950" w:firstLineChars="500"/>
        <w:jc w:val="center"/>
        <w:rPr>
          <w:sz w:val="39"/>
          <w:szCs w:val="39"/>
        </w:rPr>
      </w:pPr>
      <w:r>
        <w:rPr>
          <w:rFonts w:hint="eastAsia"/>
          <w:sz w:val="39"/>
          <w:szCs w:val="39"/>
        </w:rPr>
        <w:t>部门整体支出绩效评价报告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一、部门（单位）概况</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（一）机构组成。</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我单位只有一个行政核算机构。</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（二）机构职能。</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1.审判法律规定由金川县人民法院管辖和其认为应当由自己审判的刑事民事经济行政等一审案件；</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2.审判州中级人民法院指令再审案件和不服一审判决裁定的各类申诉和申请再审案件；</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3.依法行使司法执行权和司法决定权；</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4.针对审理案件中发现的问题提出司法建议；</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5.负责各人民法庭和内部庭室的思想政治纪律教育培训工作按照权限管理法官执行员书记员司法警察及司法行政人员；</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6.管理好法院有关经费和装备加强物质文明的建设；</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7.宣传法制教育公民忠于社会主义自觉地遵守宪法法律和社会公德；</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8.承办其他应由金川县人民法院负责的工作。</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（三）人员概况。</w:t>
      </w:r>
    </w:p>
    <w:p>
      <w:pPr>
        <w:adjustRightInd w:val="0"/>
        <w:snapToGrid w:val="0"/>
        <w:spacing w:line="576" w:lineRule="exact"/>
        <w:ind w:firstLine="360" w:firstLineChars="150"/>
        <w:rPr>
          <w:rFonts w:ascii="宋体"/>
          <w:kern w:val="0"/>
          <w:sz w:val="24"/>
          <w:shd w:val="clear" w:color="auto" w:fill="FFFFFF"/>
        </w:rPr>
      </w:pPr>
      <w:r>
        <w:rPr>
          <w:rFonts w:hint="eastAsia"/>
          <w:kern w:val="0"/>
          <w:sz w:val="24"/>
          <w:szCs w:val="21"/>
        </w:rPr>
        <w:t>截至2022年12月31日，</w:t>
      </w:r>
      <w:r>
        <w:rPr>
          <w:rFonts w:hint="eastAsia" w:ascii="宋体"/>
          <w:kern w:val="0"/>
          <w:sz w:val="24"/>
          <w:shd w:val="clear" w:color="auto" w:fill="FFFFFF"/>
        </w:rPr>
        <w:t>我院2022年年末在职53人，退休17人，遗嘱4人。总编制数55人（其中:行政编制52人，工勤编制3人）。</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二、部门财政资金收支情况</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（一）部门财政资金收入情况。</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2022年财政拨款收入1,305.32万元，其中一般公共预算财政拨款收入1,305.32万元，占全年总收入的100%。</w:t>
      </w:r>
    </w:p>
    <w:p>
      <w:pPr>
        <w:widowControl/>
        <w:numPr>
          <w:ilvl w:val="0"/>
          <w:numId w:val="2"/>
        </w:numPr>
        <w:adjustRightInd w:val="0"/>
        <w:snapToGrid w:val="0"/>
        <w:spacing w:line="580" w:lineRule="exact"/>
        <w:ind w:firstLine="480" w:firstLineChars="200"/>
        <w:contextualSpacing/>
        <w:jc w:val="left"/>
        <w:rPr>
          <w:kern w:val="0"/>
          <w:sz w:val="24"/>
          <w:szCs w:val="21"/>
        </w:rPr>
      </w:pPr>
      <w:r>
        <w:rPr>
          <w:rFonts w:hint="eastAsia"/>
          <w:kern w:val="0"/>
          <w:sz w:val="24"/>
          <w:szCs w:val="21"/>
        </w:rPr>
        <w:t>部门财政资金支出情况。</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2022年财政拨款支出1,305.32万元。</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按功能科目大类分：公共安全支出978.97万元，占全年总支出75.00%；社会保障和就业支出151.78万元，占全年总支出11.63%；卫生健康支出63.61万元，占全年总支出4.87%；住房保障支出110.96万元，占全年总支出8.50%。</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按支出性质分：基本支出1,195.84万元，占全年总支出91.61%，项目支出109.48万元，占全年总支出8.39%。</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按经济分类分：工资福利支出1,059.05万元，占全年总支出81.13%；商品和服务支出219.10万元，占全年支出16.79%；对个人和家庭的补助6.51万元，占全年支出0.50%；资本性支出20.66万元，占全年支出1.58%。</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三、部门整体预算绩效管理情况</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（一）部门预算管理。</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1.在“纯”字上显本色，政治建设更过硬</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坚持中国特色社会主义法治道路，牢记政法机关的政治属性，学习党的创新理论，坚持党对法院工作的绝对领导，主动接受人大、政协和社会各界的监督。一是认真贯彻落实十九届六中全会、省委、州委和县委历次会议精神，为实现中共金川县第十三次代表大会所确定的目标提供司法保障；二是深入学习《中国共产党政法工作条例》，确保党中央和省州县重大决策部署落到实处。</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2.在“优”字上下功夫，执法办案更高效</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严厉打击破坏生态环境资源犯罪，以“四圈四同”环资审判为抓手，助推独松沟“生态文明建设教育基地”发挥警示作用，增强民众环保意识，严惩危害公共安全和公共财产安全的暴力犯罪，增强人民群众安全感；依法审理民（商）事纠纷，维护社会和谐稳定；妥善化解行政争议，引导群众合法表达利益诉求，支持行政机关依法行政。一是面临案件数快速上升的趋势，加强诉源治理，发挥多元化解作用，将矛盾纠纷消弭在萌芽，化解在基层；二是针对建设工程领域乱象问题，进一步规范全县工程建设市场秩序，法院会同县发展改革和经济商务信息化局等8个行政机关建立工程建设领域民事司法与行政执法衔接联动工作机制。三是深入水电开发、锂矿开采等企业开展《环境保护法》宣传，以案释法，增强生态环境保护主体责任意识。</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3.在“精”字上做文章，法治创新更突出</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不断开拓创新，推进完善各项便民措施，运用信息化手段进一步为群众提供更便捷的诉讼服务，满足人民群众新期盼和新要求。一是全力建设观音桥家事审判法庭，充分彰显家事审判人身性、道德性、情理性特点；二是落实习近平总书记关于“各民族要像石榴籽那样紧紧抱在一起”的重要指示精神，建好院机关、观音桥镇、撒瓦脚乡三个“石榴籽”调解室，满足群众日益增长的司法需求。</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4.在“严”字上见实效，作风建设更扎实</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打铁还需自身硬”，严格执行习近平总书记对政法工作提出的重要要求，锻造一支“忠诚、为民、公正、廉洁”的法院铁军，坚决惩治司法腐败，对违纪违法行为从严惩处，以“真管真严、敢管敢严、长管长严”的坚定决心和行动确保廉洁司法。一是以深化党史学习教育为契机，持续巩固政法队伍教育整顿成果，强化政治理论学习，进一步加强党的政治纪律和政治规矩的学习教育。二是坚持违法违纪“零容忍”，常态化开展审务督查。三是领悟“人管人累死人，制度管人有章可循”道理，建章立制，规范办案行为，转变工作作风，实现我院所确立的“作风建设精进年”目标。</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5.在“高”字上求发展，基础建设更夯实</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加强基层基础建设，提升硬件配套设施设备，为执法办案提供物质保障。切实改善办公审判条件，积极争取党委政府和上级法院的关心支持，尽快落实建筑面积为7647.8平方米的建设用地、可研报告、设计图纸、立项批复，争取资金早日启动“金川县人民法院审判法庭及业务配套辅助用房”建设项目。</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上诉绩效目标要素完整，且细化量化；绩效目标实际实现程度与预期目标的偏离度小于30%，绩效目标基本实现。全年预算调剂金额/年初部门预算数〈0.1，部门年初预算编制较为科学准确。公用经费及非定额公用支出控制情况偏差度在10%以内。无动态调整，部门预算执行进度除6月执行进度小于规定的进度外、9月、11月均达到目标进度。上一年度部门预算管理合法、合规。已按要求将部门整体绩效自评情况和自行组织的评价情况向社会公开，在规定时间内向财政部门反馈应用绩效结果报告。针对绩效管理过程中（包括绩效目标核查、绩效监控核查和重点绩效评价）提出的问题进行整改，将绩效管理结果与预算安排进行挂钩。2022年我单位参照主要工作职责和任务完成情况详细进行了自评报告编制工作，自评报告包括我单位整体支出情况与项目完成情况，内容较为全面、系统、完整、客观。</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（二）结果应用情况。</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我单位高度重视绩效评价结果的应用，采用多种方式运用绩效评价结果，并将其转化为提高预算资金使用绩效的具体行动，加强财政支出管理的抓手。一是针对评价结果中所提出的问题和建议督促落实整改措施，及时将落实的整改情况以整改报告书的形式反馈到相关部门。增强责任和效益观念，提高财政资金支出决策水平、管理水平和资金使用效益，并加强项目财务管理。二是充分运用自评结果，将绩效评价结果作为下年安排支出资金的重要依据，为预算编制提供参考，促进财政资金的合理分配与有效使用。三是结合绩效评价结果，对被评价项目的绩效目标进行梳理，对不符合单位职能职责的项目绩效目标进行调整，同时细化量化项目绩效目标，并指引预算明细支出，从而使项目支出与部门职能职责相符，并按照相关要求将绩效信息随同决算公开。</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四、评价结论及建议</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（一）评价结论。</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2022年，我单位预算编制较为准确、绩效目标设置基本科学合理，较好地完成了绩效目标各项任务，有效保障了我单位正常运转。依据《阿坝州财政局关于开展2023年财政重点绩效评价工作的通知》（阿州财监绩〔2023〕17号），我单位开展整体支出绩效评价工作，经对各类指标进行评分和汇总分析，部门整体支出绩效评价得分98分。</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（二）存在问题。</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一是预算经费支出进度不均衡；二是部门决算上报处理效率还需继续提升。</w:t>
      </w:r>
    </w:p>
    <w:p>
      <w:pPr>
        <w:widowControl/>
        <w:adjustRightInd w:val="0"/>
        <w:snapToGrid w:val="0"/>
        <w:spacing w:line="580" w:lineRule="exact"/>
        <w:ind w:firstLine="480" w:firstLineChars="200"/>
        <w:contextualSpacing/>
        <w:jc w:val="left"/>
        <w:rPr>
          <w:kern w:val="0"/>
          <w:sz w:val="24"/>
          <w:szCs w:val="21"/>
        </w:rPr>
      </w:pPr>
      <w:r>
        <w:rPr>
          <w:rFonts w:hint="eastAsia"/>
          <w:kern w:val="0"/>
          <w:sz w:val="24"/>
          <w:szCs w:val="21"/>
        </w:rPr>
        <w:t>（三）改进建议。</w:t>
      </w:r>
    </w:p>
    <w:p>
      <w:pPr>
        <w:pStyle w:val="29"/>
        <w:ind w:firstLine="480"/>
        <w:rPr>
          <w:rFonts w:eastAsia="宋体" w:cs="Times New Roman"/>
          <w:kern w:val="0"/>
          <w:sz w:val="24"/>
          <w:szCs w:val="21"/>
          <w:lang w:val="en-US"/>
        </w:rPr>
      </w:pPr>
      <w:r>
        <w:rPr>
          <w:rFonts w:hint="eastAsia" w:eastAsia="宋体" w:cs="Times New Roman"/>
          <w:kern w:val="0"/>
          <w:sz w:val="24"/>
          <w:szCs w:val="21"/>
          <w:lang w:val="en-US"/>
        </w:rPr>
        <w:t>针对上述问题，我单位将采取以下措施：一是加快预算执行进度，提高资金使用效率；二是完善机关财务管理规章制度、加强会计核算和财务管理能力，及时与财政局相关科室对接工作，提升工作效率。</w:t>
      </w:r>
    </w:p>
    <w:p>
      <w:pPr>
        <w:spacing w:line="576" w:lineRule="exact"/>
        <w:jc w:val="left"/>
        <w:outlineLvl w:val="0"/>
        <w:rPr>
          <w:rFonts w:hint="eastAsia"/>
          <w:kern w:val="0"/>
          <w:sz w:val="24"/>
          <w:szCs w:val="21"/>
        </w:rPr>
      </w:pPr>
    </w:p>
    <w:p>
      <w:pPr>
        <w:spacing w:line="576" w:lineRule="exact"/>
        <w:jc w:val="left"/>
        <w:outlineLvl w:val="0"/>
        <w:rPr>
          <w:rFonts w:hint="eastAsia"/>
          <w:kern w:val="0"/>
          <w:sz w:val="24"/>
          <w:szCs w:val="21"/>
        </w:rPr>
      </w:pPr>
    </w:p>
    <w:p>
      <w:pPr>
        <w:spacing w:line="576" w:lineRule="exact"/>
        <w:jc w:val="left"/>
        <w:outlineLvl w:val="0"/>
        <w:rPr>
          <w:rFonts w:hint="eastAsia"/>
          <w:kern w:val="0"/>
          <w:sz w:val="24"/>
          <w:szCs w:val="21"/>
        </w:rPr>
      </w:pPr>
    </w:p>
    <w:p>
      <w:pPr>
        <w:spacing w:line="576" w:lineRule="exact"/>
        <w:jc w:val="left"/>
        <w:outlineLvl w:val="0"/>
        <w:rPr>
          <w:kern w:val="0"/>
          <w:sz w:val="24"/>
          <w:szCs w:val="21"/>
        </w:rPr>
      </w:pPr>
      <w:r>
        <w:rPr>
          <w:kern w:val="0"/>
          <w:sz w:val="24"/>
          <w:szCs w:val="21"/>
        </w:rPr>
        <w:t>附件</w:t>
      </w:r>
      <w:r>
        <w:rPr>
          <w:rFonts w:hint="eastAsia"/>
          <w:kern w:val="0"/>
          <w:sz w:val="24"/>
          <w:szCs w:val="21"/>
        </w:rPr>
        <w:t>2</w:t>
      </w:r>
    </w:p>
    <w:p>
      <w:pPr>
        <w:jc w:val="center"/>
        <w:rPr>
          <w:rFonts w:eastAsia="仿宋_GB2312" w:cs="仿宋_GB2312"/>
          <w:sz w:val="32"/>
        </w:rPr>
      </w:pPr>
      <w:r>
        <w:rPr>
          <w:rFonts w:hint="eastAsia" w:eastAsia="仿宋_GB2312" w:cs="仿宋_GB2312"/>
          <w:sz w:val="32"/>
        </w:rPr>
        <w:t>部门预算项目支出绩效自评表（2022年度）</w:t>
      </w:r>
    </w:p>
    <w:tbl>
      <w:tblPr>
        <w:tblStyle w:val="15"/>
        <w:tblW w:w="4773" w:type="pct"/>
        <w:tblInd w:w="0" w:type="dxa"/>
        <w:tblLayout w:type="autofit"/>
        <w:tblCellMar>
          <w:top w:w="0" w:type="dxa"/>
          <w:left w:w="108" w:type="dxa"/>
          <w:bottom w:w="0" w:type="dxa"/>
          <w:right w:w="108" w:type="dxa"/>
        </w:tblCellMar>
      </w:tblPr>
      <w:tblGrid>
        <w:gridCol w:w="771"/>
        <w:gridCol w:w="959"/>
        <w:gridCol w:w="1098"/>
        <w:gridCol w:w="820"/>
        <w:gridCol w:w="3676"/>
        <w:gridCol w:w="811"/>
      </w:tblGrid>
      <w:tr>
        <w:tblPrEx>
          <w:tblCellMar>
            <w:top w:w="0" w:type="dxa"/>
            <w:left w:w="108" w:type="dxa"/>
            <w:bottom w:w="0" w:type="dxa"/>
            <w:right w:w="108" w:type="dxa"/>
          </w:tblCellMar>
        </w:tblPrEx>
        <w:trPr>
          <w:trHeight w:val="365" w:hRule="atLeast"/>
        </w:trPr>
        <w:tc>
          <w:tcPr>
            <w:tcW w:w="1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绩效指标</w:t>
            </w:r>
          </w:p>
        </w:tc>
        <w:tc>
          <w:tcPr>
            <w:tcW w:w="5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指标分值</w:t>
            </w:r>
          </w:p>
        </w:tc>
        <w:tc>
          <w:tcPr>
            <w:tcW w:w="22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指标解释</w:t>
            </w:r>
          </w:p>
        </w:tc>
        <w:tc>
          <w:tcPr>
            <w:tcW w:w="4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备注</w:t>
            </w:r>
          </w:p>
        </w:tc>
      </w:tr>
      <w:tr>
        <w:tblPrEx>
          <w:tblCellMar>
            <w:top w:w="0" w:type="dxa"/>
            <w:left w:w="108" w:type="dxa"/>
            <w:bottom w:w="0" w:type="dxa"/>
            <w:right w:w="108" w:type="dxa"/>
          </w:tblCellMar>
        </w:tblPrEx>
        <w:trPr>
          <w:trHeight w:val="488"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一级指标</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二级指标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三级指标</w:t>
            </w:r>
          </w:p>
        </w:tc>
        <w:tc>
          <w:tcPr>
            <w:tcW w:w="5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18"/>
                <w:szCs w:val="18"/>
              </w:rPr>
            </w:pPr>
          </w:p>
        </w:tc>
        <w:tc>
          <w:tcPr>
            <w:tcW w:w="2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18"/>
                <w:szCs w:val="18"/>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18"/>
                <w:szCs w:val="18"/>
              </w:rPr>
            </w:pPr>
          </w:p>
        </w:tc>
      </w:tr>
      <w:tr>
        <w:tblPrEx>
          <w:tblCellMar>
            <w:top w:w="0" w:type="dxa"/>
            <w:left w:w="108" w:type="dxa"/>
            <w:bottom w:w="0" w:type="dxa"/>
            <w:right w:w="108" w:type="dxa"/>
          </w:tblCellMar>
        </w:tblPrEx>
        <w:trPr>
          <w:trHeight w:val="365" w:hRule="atLeast"/>
        </w:trPr>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部门预算总体绩效</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（30分）</w:t>
            </w:r>
          </w:p>
        </w:tc>
        <w:tc>
          <w:tcPr>
            <w:tcW w:w="5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目标管理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（15分）</w:t>
            </w:r>
          </w:p>
        </w:tc>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目标制定</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部门年初绩效目标编制质量。</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r>
      <w:tr>
        <w:tblPrEx>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预算编制阶段人大反馈绩效目标质量审查情况。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r>
      <w:tr>
        <w:tblPrEx>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部门绩效目标制定是否纳入本部门集体决策范围。</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r>
      <w:tr>
        <w:tblPrEx>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目标实现</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部门整体绩效目标中数量指标、成本指标的完成情况。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部门整体绩效目标实现程度与预期目标的偏离情况。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r>
      <w:tr>
        <w:tblPrEx>
          <w:tblCellMar>
            <w:top w:w="0" w:type="dxa"/>
            <w:left w:w="108" w:type="dxa"/>
            <w:bottom w:w="0" w:type="dxa"/>
            <w:right w:w="108" w:type="dxa"/>
          </w:tblCellMar>
        </w:tblPrEx>
        <w:trPr>
          <w:trHeight w:val="365"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xml:space="preserve">                                                                             过程控制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（10分）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执行进度</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部门在6、9、11月的预算执行情况。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同步调整</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部门预算执行中，预算调整和绩效目标调整同步实现情况。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365"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及时处置</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部门绩效运行监控处置情况。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1074"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完成效率</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预算结余率</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（低效无效率）</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部门预算项目年终预算结余情况。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1428"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项目绩效</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（20分）</w:t>
            </w:r>
          </w:p>
        </w:tc>
        <w:tc>
          <w:tcPr>
            <w:tcW w:w="40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财政重点绩效评价组结合部门管理的特定目标类部门预算项目数量，选取部分特定目标类部门预算项目实施评价并打分，将形成的项目评价分数的平均分（百分制）按20%的比例换算得分。</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w:t>
            </w:r>
          </w:p>
        </w:tc>
      </w:tr>
      <w:tr>
        <w:tblPrEx>
          <w:tblCellMar>
            <w:top w:w="0" w:type="dxa"/>
            <w:left w:w="108" w:type="dxa"/>
            <w:bottom w:w="0" w:type="dxa"/>
            <w:right w:w="108" w:type="dxa"/>
          </w:tblCellMar>
        </w:tblPrEx>
        <w:trPr>
          <w:trHeight w:val="1074"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专项预算绩效（30分）</w:t>
            </w:r>
          </w:p>
        </w:tc>
        <w:tc>
          <w:tcPr>
            <w:tcW w:w="40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根据财政厅组织开展对专项预算项目自评报告质量会审结果换算得分。 （有两个以上专项预算项目的，以平均分换算得分）。</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r>
      <w:tr>
        <w:tblPrEx>
          <w:tblCellMar>
            <w:top w:w="0" w:type="dxa"/>
            <w:left w:w="108" w:type="dxa"/>
            <w:bottom w:w="0" w:type="dxa"/>
            <w:right w:w="108" w:type="dxa"/>
          </w:tblCellMar>
        </w:tblPrEx>
        <w:trPr>
          <w:trHeight w:val="720" w:hRule="atLeast"/>
        </w:trPr>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绩效结果应用（14分）</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内部应用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预算挂钩</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部门内部绩效结果与预算挂钩情况。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信息公开</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自评公开</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部门是否按要求将部门整体绩效自评情况和自行组织的评价情况向社会公开。</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r>
      <w:tr>
        <w:tblPrEx>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整改反馈</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问题整改</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部门根据绩效管理结果整改问题、完善政策、改进管理的情况。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应用反馈</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部门按要求及时向财政部门反馈问题整改及结果应用情况。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723" w:hRule="atLeast"/>
        </w:trPr>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自评质量</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（6分）</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自评质量</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自评质量</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部门整体支出自评准确率。</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r>
      <w:tr>
        <w:tblPrEx>
          <w:tblCellMar>
            <w:top w:w="0" w:type="dxa"/>
            <w:left w:w="108" w:type="dxa"/>
            <w:bottom w:w="0" w:type="dxa"/>
            <w:right w:w="108" w:type="dxa"/>
          </w:tblCellMar>
        </w:tblPrEx>
        <w:trPr>
          <w:trHeight w:val="720" w:hRule="atLeast"/>
        </w:trPr>
        <w:tc>
          <w:tcPr>
            <w:tcW w:w="173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扣分项（5分）</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根据审计监督、财会监督和决算审查结果反映部门上一年度部门预算管理是否符合相关财政财务管理规定。</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r>
      <w:tr>
        <w:tblPrEx>
          <w:tblCellMar>
            <w:top w:w="0" w:type="dxa"/>
            <w:left w:w="108" w:type="dxa"/>
            <w:bottom w:w="0" w:type="dxa"/>
            <w:right w:w="108" w:type="dxa"/>
          </w:tblCellMar>
        </w:tblPrEx>
        <w:trPr>
          <w:trHeight w:val="365" w:hRule="atLeast"/>
        </w:trPr>
        <w:tc>
          <w:tcPr>
            <w:tcW w:w="173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被评价单位配合评价工作情况。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r>
      <w:tr>
        <w:tblPrEx>
          <w:tblCellMar>
            <w:top w:w="0" w:type="dxa"/>
            <w:left w:w="108" w:type="dxa"/>
            <w:bottom w:w="0" w:type="dxa"/>
            <w:right w:w="108" w:type="dxa"/>
          </w:tblCellMar>
        </w:tblPrEx>
        <w:trPr>
          <w:trHeight w:val="377" w:hRule="atLeast"/>
        </w:trPr>
        <w:tc>
          <w:tcPr>
            <w:tcW w:w="1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合计得分</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25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r>
    </w:tbl>
    <w:p/>
    <w:p>
      <w:pPr>
        <w:pStyle w:val="13"/>
        <w:shd w:val="clear" w:color="auto" w:fill="FFFFFF"/>
        <w:spacing w:before="0" w:beforeAutospacing="0"/>
        <w:jc w:val="center"/>
      </w:pPr>
    </w:p>
    <w:p>
      <w:pPr>
        <w:pStyle w:val="13"/>
        <w:shd w:val="clear" w:color="auto" w:fill="FFFFFF"/>
        <w:spacing w:before="0" w:beforeAutospacing="0"/>
        <w:jc w:val="center"/>
      </w:pPr>
    </w:p>
    <w:p>
      <w:pPr>
        <w:pStyle w:val="13"/>
        <w:shd w:val="clear" w:color="auto" w:fill="FFFFFF"/>
        <w:spacing w:before="0" w:beforeAutospacing="0"/>
      </w:pPr>
    </w:p>
    <w:p>
      <w:pPr>
        <w:pStyle w:val="13"/>
        <w:shd w:val="clear" w:color="auto" w:fill="FFFFFF"/>
        <w:spacing w:before="0" w:beforeAutospacing="0"/>
        <w:jc w:val="center"/>
        <w:rPr>
          <w:rStyle w:val="17"/>
          <w:sz w:val="39"/>
          <w:szCs w:val="39"/>
        </w:rPr>
      </w:pPr>
      <w:r>
        <w:rPr>
          <w:rStyle w:val="17"/>
          <w:sz w:val="39"/>
          <w:szCs w:val="39"/>
        </w:rPr>
        <w:t>第五部分 附表</w:t>
      </w:r>
    </w:p>
    <w:p>
      <w:pPr>
        <w:pStyle w:val="13"/>
        <w:shd w:val="clear" w:color="auto" w:fill="FFFFFF"/>
        <w:spacing w:before="0" w:beforeAutospacing="0"/>
      </w:pPr>
      <w:r>
        <w:t>一、收入支出决算总表</w:t>
      </w:r>
    </w:p>
    <w:p>
      <w:pPr>
        <w:pStyle w:val="13"/>
        <w:shd w:val="clear" w:color="auto" w:fill="FFFFFF"/>
        <w:spacing w:before="0" w:beforeAutospacing="0"/>
      </w:pPr>
      <w:r>
        <w:t>二、收入决算表</w:t>
      </w:r>
    </w:p>
    <w:p>
      <w:pPr>
        <w:pStyle w:val="13"/>
        <w:shd w:val="clear" w:color="auto" w:fill="FFFFFF"/>
        <w:spacing w:before="0" w:beforeAutospacing="0"/>
      </w:pPr>
      <w:r>
        <w:t>三、支出决算表</w:t>
      </w:r>
    </w:p>
    <w:p>
      <w:pPr>
        <w:pStyle w:val="13"/>
        <w:shd w:val="clear" w:color="auto" w:fill="FFFFFF"/>
        <w:spacing w:before="0" w:beforeAutospacing="0"/>
      </w:pPr>
      <w:r>
        <w:t>四、财政拨款收入支出决算总表</w:t>
      </w:r>
    </w:p>
    <w:p>
      <w:pPr>
        <w:pStyle w:val="13"/>
        <w:shd w:val="clear" w:color="auto" w:fill="FFFFFF"/>
        <w:spacing w:before="0" w:beforeAutospacing="0"/>
      </w:pPr>
      <w:r>
        <w:t>五、财政拨款支出决算明细表</w:t>
      </w:r>
    </w:p>
    <w:p>
      <w:pPr>
        <w:pStyle w:val="13"/>
        <w:shd w:val="clear" w:color="auto" w:fill="FFFFFF"/>
        <w:spacing w:before="0" w:beforeAutospacing="0"/>
      </w:pPr>
      <w:r>
        <w:t>六、一般公共预算财政拨款支出决算表</w:t>
      </w:r>
    </w:p>
    <w:p>
      <w:pPr>
        <w:pStyle w:val="13"/>
        <w:shd w:val="clear" w:color="auto" w:fill="FFFFFF"/>
        <w:spacing w:before="0" w:beforeAutospacing="0"/>
      </w:pPr>
      <w:r>
        <w:t>七、一般公共预算财政拨款支出决算明细表</w:t>
      </w:r>
    </w:p>
    <w:p>
      <w:pPr>
        <w:pStyle w:val="13"/>
        <w:shd w:val="clear" w:color="auto" w:fill="FFFFFF"/>
        <w:spacing w:before="0" w:beforeAutospacing="0"/>
      </w:pPr>
      <w:r>
        <w:t>八、一般公共预算财政拨款基本支出决算表</w:t>
      </w:r>
    </w:p>
    <w:p>
      <w:pPr>
        <w:pStyle w:val="13"/>
        <w:shd w:val="clear" w:color="auto" w:fill="FFFFFF"/>
        <w:spacing w:before="0" w:beforeAutospacing="0"/>
      </w:pPr>
      <w:r>
        <w:t>九、一般公共预算财政拨款项目支出决算表</w:t>
      </w:r>
    </w:p>
    <w:p>
      <w:pPr>
        <w:pStyle w:val="13"/>
        <w:shd w:val="clear" w:color="auto" w:fill="FFFFFF"/>
        <w:spacing w:before="0" w:beforeAutospacing="0"/>
      </w:pPr>
      <w:r>
        <w:t>十、政府性基金预算财政拨款收入支出决算表</w:t>
      </w:r>
    </w:p>
    <w:p>
      <w:pPr>
        <w:pStyle w:val="13"/>
        <w:shd w:val="clear" w:color="auto" w:fill="FFFFFF"/>
        <w:spacing w:before="0" w:beforeAutospacing="0"/>
      </w:pPr>
      <w:r>
        <w:t>十一、国有资本经营预算财政拨款收入支出决算表</w:t>
      </w:r>
    </w:p>
    <w:p>
      <w:pPr>
        <w:pStyle w:val="13"/>
        <w:shd w:val="clear" w:color="auto" w:fill="FFFFFF"/>
        <w:spacing w:before="0" w:beforeAutospacing="0"/>
      </w:pPr>
      <w:r>
        <w:t>十二、国有资本经营预算财政拨款支出决算表</w:t>
      </w:r>
    </w:p>
    <w:p>
      <w:pPr>
        <w:pStyle w:val="13"/>
        <w:shd w:val="clear" w:color="auto" w:fill="FFFFFF"/>
        <w:spacing w:before="0" w:beforeAutospacing="0"/>
      </w:pPr>
      <w:r>
        <w:t>十三、财政拨款“三公”经费支出决算表</w:t>
      </w:r>
    </w:p>
    <w:bookmarkEnd w:id="84"/>
    <w:p>
      <w:pPr>
        <w:pStyle w:val="13"/>
        <w:shd w:val="clear" w:color="auto" w:fill="FFFFFF"/>
        <w:spacing w:before="0" w:beforeAutospacing="0"/>
        <w:jc w:val="center"/>
      </w:pPr>
    </w:p>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Lucida Sans">
    <w:altName w:val="Lucida Sans Unicode"/>
    <w:panose1 w:val="00000000000000000000"/>
    <w:charset w:val="01"/>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fldChar w:fldCharType="begin"/>
    </w:r>
    <w:r>
      <w:instrText xml:space="preserve"> PAGE   \* MERGEFORMAT </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287" w:hanging="720"/>
      </w:pPr>
      <w:rPr>
        <w:rFonts w:hint="default"/>
        <w:b w:val="0"/>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
    <w:nsid w:val="30EA077E"/>
    <w:multiLevelType w:val="singleLevel"/>
    <w:tmpl w:val="30EA077E"/>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YWQxMTVhMzA0ZmI5MzE0ZTQ4Njg5NWUwM2ZhMTJkY2QifQ=="/>
  </w:docVars>
  <w:rsids>
    <w:rsidRoot w:val="0011248C"/>
    <w:rsid w:val="00040276"/>
    <w:rsid w:val="000528C8"/>
    <w:rsid w:val="000622A2"/>
    <w:rsid w:val="000A56ED"/>
    <w:rsid w:val="000D5BEE"/>
    <w:rsid w:val="000D70A9"/>
    <w:rsid w:val="0011248C"/>
    <w:rsid w:val="0015567B"/>
    <w:rsid w:val="00160E9A"/>
    <w:rsid w:val="00186B0D"/>
    <w:rsid w:val="001921EE"/>
    <w:rsid w:val="001B2CF7"/>
    <w:rsid w:val="002061EB"/>
    <w:rsid w:val="00225400"/>
    <w:rsid w:val="00275F76"/>
    <w:rsid w:val="00286A13"/>
    <w:rsid w:val="002C1570"/>
    <w:rsid w:val="002E313D"/>
    <w:rsid w:val="00321FF3"/>
    <w:rsid w:val="00375434"/>
    <w:rsid w:val="0039079F"/>
    <w:rsid w:val="003E1DD7"/>
    <w:rsid w:val="003E2D02"/>
    <w:rsid w:val="00422126"/>
    <w:rsid w:val="00436928"/>
    <w:rsid w:val="0044688C"/>
    <w:rsid w:val="0045482B"/>
    <w:rsid w:val="004C2C4B"/>
    <w:rsid w:val="004F5A51"/>
    <w:rsid w:val="00507BED"/>
    <w:rsid w:val="00511C4C"/>
    <w:rsid w:val="00537AE1"/>
    <w:rsid w:val="00542A87"/>
    <w:rsid w:val="00543E39"/>
    <w:rsid w:val="00546DC3"/>
    <w:rsid w:val="005A1D39"/>
    <w:rsid w:val="005B0E65"/>
    <w:rsid w:val="005B5BCE"/>
    <w:rsid w:val="005B6E35"/>
    <w:rsid w:val="006535D3"/>
    <w:rsid w:val="00676EBF"/>
    <w:rsid w:val="00695376"/>
    <w:rsid w:val="006A2245"/>
    <w:rsid w:val="006E56C3"/>
    <w:rsid w:val="00754584"/>
    <w:rsid w:val="00767BD9"/>
    <w:rsid w:val="007B2CE2"/>
    <w:rsid w:val="007E2B17"/>
    <w:rsid w:val="007F453E"/>
    <w:rsid w:val="0080514A"/>
    <w:rsid w:val="008124D7"/>
    <w:rsid w:val="00855512"/>
    <w:rsid w:val="00897E26"/>
    <w:rsid w:val="008B2FC0"/>
    <w:rsid w:val="008F3B6B"/>
    <w:rsid w:val="00945738"/>
    <w:rsid w:val="00947622"/>
    <w:rsid w:val="00970EED"/>
    <w:rsid w:val="00986690"/>
    <w:rsid w:val="0099768C"/>
    <w:rsid w:val="009E39C0"/>
    <w:rsid w:val="00A01148"/>
    <w:rsid w:val="00A97F9D"/>
    <w:rsid w:val="00AD4CFB"/>
    <w:rsid w:val="00AD662C"/>
    <w:rsid w:val="00B0698F"/>
    <w:rsid w:val="00B12F2B"/>
    <w:rsid w:val="00B14441"/>
    <w:rsid w:val="00B2117C"/>
    <w:rsid w:val="00B452FC"/>
    <w:rsid w:val="00BC2143"/>
    <w:rsid w:val="00C30712"/>
    <w:rsid w:val="00C31D92"/>
    <w:rsid w:val="00C62E14"/>
    <w:rsid w:val="00CF7C39"/>
    <w:rsid w:val="00D036AB"/>
    <w:rsid w:val="00D22C8A"/>
    <w:rsid w:val="00D578AF"/>
    <w:rsid w:val="00D85E03"/>
    <w:rsid w:val="00DB04AF"/>
    <w:rsid w:val="00DC1F3F"/>
    <w:rsid w:val="00DD189C"/>
    <w:rsid w:val="00E51EFF"/>
    <w:rsid w:val="00E8786A"/>
    <w:rsid w:val="00EA291B"/>
    <w:rsid w:val="00EB5380"/>
    <w:rsid w:val="00EE06BA"/>
    <w:rsid w:val="00F179F8"/>
    <w:rsid w:val="00F356EC"/>
    <w:rsid w:val="00F373D9"/>
    <w:rsid w:val="00F647A0"/>
    <w:rsid w:val="00F64D75"/>
    <w:rsid w:val="00F6747E"/>
    <w:rsid w:val="00F72CBB"/>
    <w:rsid w:val="00F81EE1"/>
    <w:rsid w:val="00F90F7B"/>
    <w:rsid w:val="00FB2024"/>
    <w:rsid w:val="00FE1F3E"/>
    <w:rsid w:val="00FE45D8"/>
    <w:rsid w:val="00FF0A84"/>
    <w:rsid w:val="1AB27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uiPriority w:val="0"/>
    <w:pPr>
      <w:keepNext/>
      <w:keepLines/>
      <w:spacing w:before="340" w:after="330" w:line="578" w:lineRule="auto"/>
      <w:outlineLvl w:val="0"/>
    </w:pPr>
    <w:rPr>
      <w:b/>
      <w:bCs/>
      <w:kern w:val="44"/>
      <w:sz w:val="44"/>
      <w:szCs w:val="44"/>
    </w:rPr>
  </w:style>
  <w:style w:type="paragraph" w:styleId="3">
    <w:name w:val="heading 2"/>
    <w:basedOn w:val="1"/>
    <w:next w:val="1"/>
    <w:link w:val="20"/>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beforeLines="30"/>
    </w:pPr>
    <w:rPr>
      <w:rFonts w:ascii="仿宋_GB2312" w:eastAsia="仿宋_GB2312"/>
      <w:kern w:val="0"/>
      <w:sz w:val="30"/>
    </w:rPr>
  </w:style>
  <w:style w:type="paragraph" w:styleId="6">
    <w:name w:val="Body Text Indent"/>
    <w:basedOn w:val="1"/>
    <w:link w:val="31"/>
    <w:semiHidden/>
    <w:unhideWhenUsed/>
    <w:uiPriority w:val="99"/>
    <w:pPr>
      <w:spacing w:after="120"/>
      <w:ind w:left="420" w:leftChars="200"/>
    </w:pPr>
  </w:style>
  <w:style w:type="paragraph" w:styleId="7">
    <w:name w:val="toc 3"/>
    <w:basedOn w:val="1"/>
    <w:next w:val="1"/>
    <w:uiPriority w:val="0"/>
    <w:pPr>
      <w:tabs>
        <w:tab w:val="right" w:leader="dot" w:pos="8296"/>
      </w:tabs>
      <w:ind w:left="400" w:leftChars="400"/>
    </w:pPr>
  </w:style>
  <w:style w:type="paragraph" w:styleId="8">
    <w:name w:val="Balloon Text"/>
    <w:basedOn w:val="1"/>
    <w:uiPriority w:val="0"/>
    <w:rPr>
      <w:sz w:val="18"/>
      <w:szCs w:val="18"/>
    </w:rPr>
  </w:style>
  <w:style w:type="paragraph" w:styleId="9">
    <w:name w:val="footer"/>
    <w:basedOn w:val="1"/>
    <w:link w:val="30"/>
    <w:uiPriority w:val="99"/>
    <w:pPr>
      <w:tabs>
        <w:tab w:val="center" w:pos="4153"/>
        <w:tab w:val="right" w:pos="8306"/>
      </w:tabs>
      <w:snapToGrid w:val="0"/>
      <w:jc w:val="left"/>
    </w:pPr>
    <w:rPr>
      <w:rFonts w:ascii="Calibri" w:hAnsi="Calibri"/>
      <w:kern w:val="0"/>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iPriority w:val="0"/>
    <w:pPr>
      <w:tabs>
        <w:tab w:val="right" w:leader="dot" w:pos="8296"/>
      </w:tabs>
      <w:spacing w:before="93"/>
      <w:jc w:val="center"/>
    </w:pPr>
    <w:rPr>
      <w:rFonts w:ascii="仿宋" w:eastAsia="仿宋"/>
      <w:sz w:val="28"/>
      <w:szCs w:val="28"/>
    </w:rPr>
  </w:style>
  <w:style w:type="paragraph" w:styleId="12">
    <w:name w:val="toc 2"/>
    <w:basedOn w:val="1"/>
    <w:next w:val="1"/>
    <w:uiPriority w:val="0"/>
    <w:pPr>
      <w:tabs>
        <w:tab w:val="right" w:leader="dot" w:pos="8296"/>
      </w:tabs>
      <w:ind w:left="200" w:leftChars="200"/>
    </w:pPr>
  </w:style>
  <w:style w:type="paragraph" w:styleId="13">
    <w:name w:val="Normal (Web)"/>
    <w:basedOn w:val="1"/>
    <w:uiPriority w:val="0"/>
    <w:pPr>
      <w:widowControl/>
      <w:spacing w:before="100" w:beforeAutospacing="1" w:after="100" w:afterAutospacing="1"/>
      <w:jc w:val="left"/>
    </w:pPr>
    <w:rPr>
      <w:kern w:val="0"/>
      <w:sz w:val="24"/>
      <w:szCs w:val="21"/>
    </w:rPr>
  </w:style>
  <w:style w:type="paragraph" w:styleId="14">
    <w:name w:val="Body Text First Indent 2"/>
    <w:basedOn w:val="6"/>
    <w:link w:val="32"/>
    <w:semiHidden/>
    <w:unhideWhenUsed/>
    <w:uiPriority w:val="99"/>
    <w:pPr>
      <w:ind w:firstLine="420" w:firstLineChars="200"/>
    </w:pPr>
  </w:style>
  <w:style w:type="character" w:styleId="17">
    <w:name w:val="Strong"/>
    <w:basedOn w:val="16"/>
    <w:qFormat/>
    <w:uiPriority w:val="0"/>
    <w:rPr>
      <w:b/>
    </w:rPr>
  </w:style>
  <w:style w:type="character" w:styleId="18">
    <w:name w:val="Hyperlink"/>
    <w:basedOn w:val="16"/>
    <w:uiPriority w:val="0"/>
    <w:rPr>
      <w:color w:val="0000FF"/>
      <w:u w:val="single"/>
    </w:rPr>
  </w:style>
  <w:style w:type="character" w:customStyle="1" w:styleId="19">
    <w:name w:val="标题 1 Char"/>
    <w:basedOn w:val="16"/>
    <w:link w:val="2"/>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6"/>
    <w:link w:val="3"/>
    <w:uiPriority w:val="0"/>
    <w:rPr>
      <w:rFonts w:ascii="Cambria" w:hAnsi="Cambria" w:eastAsia="宋体" w:cs="Times New Roman"/>
      <w:b/>
      <w:bCs/>
      <w:kern w:val="2"/>
      <w:sz w:val="32"/>
      <w:szCs w:val="32"/>
      <w:lang w:val="en-US" w:eastAsia="zh-CN" w:bidi="ar-SA"/>
    </w:rPr>
  </w:style>
  <w:style w:type="character" w:customStyle="1" w:styleId="21">
    <w:name w:val="Header Char"/>
    <w:basedOn w:val="16"/>
    <w:uiPriority w:val="0"/>
    <w:rPr>
      <w:rFonts w:ascii="Times New Roman" w:hAnsi="Times New Roman"/>
      <w:sz w:val="18"/>
      <w:szCs w:val="18"/>
    </w:rPr>
  </w:style>
  <w:style w:type="character" w:customStyle="1" w:styleId="22">
    <w:name w:val="Footer Char"/>
    <w:basedOn w:val="16"/>
    <w:uiPriority w:val="0"/>
    <w:rPr>
      <w:rFonts w:ascii="Times New Roman" w:hAnsi="Times New Roman"/>
      <w:sz w:val="18"/>
      <w:szCs w:val="18"/>
    </w:rPr>
  </w:style>
  <w:style w:type="character" w:customStyle="1" w:styleId="23">
    <w:name w:val="Body Text Char"/>
    <w:basedOn w:val="16"/>
    <w:uiPriority w:val="0"/>
    <w:rPr>
      <w:rFonts w:ascii="Times New Roman" w:hAnsi="Times New Roman"/>
      <w:szCs w:val="24"/>
    </w:rPr>
  </w:style>
  <w:style w:type="paragraph" w:customStyle="1" w:styleId="24">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uiPriority w:val="0"/>
    <w:pPr>
      <w:ind w:firstLine="200" w:firstLineChars="200"/>
    </w:pPr>
  </w:style>
  <w:style w:type="paragraph" w:customStyle="1" w:styleId="26">
    <w:name w:val="TOC 标题1"/>
    <w:basedOn w:val="2"/>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TOC 标题2"/>
    <w:basedOn w:val="2"/>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文档正文"/>
    <w:uiPriority w:val="0"/>
    <w:pPr>
      <w:adjustRightInd w:val="0"/>
      <w:spacing w:line="480" w:lineRule="atLeast"/>
      <w:textAlignment w:val="baseline"/>
    </w:pPr>
    <w:rPr>
      <w:rFonts w:ascii="Arial" w:hAnsi="Arial" w:eastAsia="宋体" w:cs="Times New Roman"/>
      <w:lang w:val="en-US" w:eastAsia="zh-CN" w:bidi="ar-SA"/>
    </w:rPr>
  </w:style>
  <w:style w:type="paragraph" w:customStyle="1" w:styleId="29">
    <w:name w:val="公文"/>
    <w:basedOn w:val="1"/>
    <w:qFormat/>
    <w:uiPriority w:val="0"/>
    <w:pPr>
      <w:widowControl/>
      <w:adjustRightInd w:val="0"/>
      <w:snapToGrid w:val="0"/>
      <w:spacing w:line="596" w:lineRule="exact"/>
      <w:ind w:firstLine="640" w:firstLineChars="200"/>
      <w:contextualSpacing/>
      <w:jc w:val="left"/>
    </w:pPr>
    <w:rPr>
      <w:rFonts w:eastAsia="仿宋_GB2312" w:cstheme="minorBidi"/>
      <w:sz w:val="32"/>
      <w:szCs w:val="22"/>
      <w:lang w:val="zh-CN"/>
    </w:rPr>
  </w:style>
  <w:style w:type="character" w:customStyle="1" w:styleId="30">
    <w:name w:val="页脚 Char"/>
    <w:basedOn w:val="16"/>
    <w:link w:val="9"/>
    <w:uiPriority w:val="99"/>
    <w:rPr>
      <w:rFonts w:ascii="Calibri" w:hAnsi="Calibri"/>
      <w:sz w:val="18"/>
      <w:szCs w:val="18"/>
    </w:rPr>
  </w:style>
  <w:style w:type="character" w:customStyle="1" w:styleId="31">
    <w:name w:val="正文文本缩进 Char"/>
    <w:basedOn w:val="16"/>
    <w:link w:val="6"/>
    <w:semiHidden/>
    <w:uiPriority w:val="99"/>
    <w:rPr>
      <w:kern w:val="2"/>
      <w:sz w:val="21"/>
      <w:szCs w:val="24"/>
    </w:rPr>
  </w:style>
  <w:style w:type="character" w:customStyle="1" w:styleId="32">
    <w:name w:val="正文首行缩进 2 Char"/>
    <w:basedOn w:val="31"/>
    <w:link w:val="14"/>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202</a:t>
            </a:r>
            <a:r>
              <a:rPr lang="en-US" altLang="zh-CN"/>
              <a:t>2</a:t>
            </a:r>
            <a:endParaRPr lang="en-US" altLang="zh-CN"/>
          </a:p>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年收入</a:t>
            </a:r>
            <a:endParaRPr lang="zh-CN"/>
          </a:p>
        </c:rich>
      </c:tx>
      <c:layout/>
      <c:overlay val="0"/>
      <c:spPr>
        <a:noFill/>
        <a:ln>
          <a:noFill/>
        </a:ln>
      </c:spPr>
    </c:title>
    <c:autoTitleDeleted val="0"/>
    <c:plotArea>
      <c:layout/>
      <c:pieChart>
        <c:varyColors val="1"/>
        <c:ser>
          <c:idx val="0"/>
          <c:order val="0"/>
          <c:tx>
            <c:strRef>
              <c:f>Sheet1!$B$1</c:f>
              <c:strCache>
                <c:ptCount val="1"/>
                <c:pt idx="0">
                  <c:v>2022年收入</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1305.32</c:v>
                </c:pt>
                <c:pt idx="1">
                  <c:v>725</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159768"/>
          <c:y val="0.873560129999999"/>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202</a:t>
            </a:r>
            <a:r>
              <a:rPr lang="en-US" altLang="zh-CN"/>
              <a:t>2</a:t>
            </a:r>
            <a:r>
              <a:rPr lang="zh-CN"/>
              <a:t>年支出</a:t>
            </a:r>
            <a:endParaRPr lang="zh-CN"/>
          </a:p>
        </c:rich>
      </c:tx>
      <c:layout/>
      <c:overlay val="0"/>
      <c:spPr>
        <a:noFill/>
        <a:ln>
          <a:noFill/>
        </a:ln>
      </c:spPr>
    </c:title>
    <c:autoTitleDeleted val="0"/>
    <c:plotArea>
      <c:layout/>
      <c:pieChart>
        <c:varyColors val="1"/>
        <c:ser>
          <c:idx val="0"/>
          <c:order val="0"/>
          <c:tx>
            <c:strRef>
              <c:f>'Sheet1 (2)'!$B$1</c:f>
              <c:strCache>
                <c:ptCount val="1"/>
                <c:pt idx="0">
                  <c:v>2022年支出</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elete val="1"/>
          </c:dLbls>
          <c:cat>
            <c:strRef>
              <c:f>'Sheet1 (2)'!$A$2:$A$3</c:f>
              <c:strCache>
                <c:ptCount val="2"/>
                <c:pt idx="0">
                  <c:v>基本支出</c:v>
                </c:pt>
                <c:pt idx="1">
                  <c:v>项目支出</c:v>
                </c:pt>
              </c:strCache>
            </c:strRef>
          </c:cat>
          <c:val>
            <c:numRef>
              <c:f>'Sheet1 (2)'!$B$2:$B$3</c:f>
              <c:numCache>
                <c:formatCode>General</c:formatCode>
                <c:ptCount val="2"/>
                <c:pt idx="0">
                  <c:v>1513.15</c:v>
                </c:pt>
                <c:pt idx="1">
                  <c:v>457.17</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159768"/>
          <c:y val="0.873560129999999"/>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manualLayout>
          <c:xMode val="edge"/>
          <c:yMode val="edge"/>
          <c:x val="0.3960356"/>
          <c:y val="0.00747384200000003"/>
        </c:manualLayout>
      </c:layout>
      <c:overlay val="0"/>
      <c:spPr>
        <a:noFill/>
        <a:ln>
          <a:noFill/>
        </a:ln>
      </c:spPr>
    </c:title>
    <c:autoTitleDeleted val="0"/>
    <c:plotArea>
      <c:layout/>
      <c:pieChart>
        <c:varyColors val="1"/>
        <c:ser>
          <c:idx val="0"/>
          <c:order val="0"/>
          <c:tx>
            <c:strRef>
              <c:f>'Sheet1 (3)'!$B$1</c:f>
              <c:strCache>
                <c:ptCount val="1"/>
                <c:pt idx="0">
                  <c:v>2022年一般公共预算财政拨款支出</c:v>
                </c:pt>
              </c:strCache>
            </c:strRef>
          </c:tx>
          <c:spPr>
            <a:solidFill>
              <a:srgbClr val="4F81BD"/>
            </a:solidFill>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(3)'!$A$2:$A$5</c:f>
              <c:strCache>
                <c:ptCount val="4"/>
                <c:pt idx="0">
                  <c:v>公共安全支出</c:v>
                </c:pt>
                <c:pt idx="1">
                  <c:v>社会保障和就业</c:v>
                </c:pt>
                <c:pt idx="2">
                  <c:v>卫生健康</c:v>
                </c:pt>
                <c:pt idx="3">
                  <c:v>住房保障</c:v>
                </c:pt>
              </c:strCache>
            </c:strRef>
          </c:cat>
          <c:val>
            <c:numRef>
              <c:f>'Sheet1 (3)'!$B$2:$B$5</c:f>
              <c:numCache>
                <c:formatCode>General</c:formatCode>
                <c:ptCount val="4"/>
                <c:pt idx="0">
                  <c:v>978.97</c:v>
                </c:pt>
                <c:pt idx="1">
                  <c:v>151.78</c:v>
                </c:pt>
                <c:pt idx="2">
                  <c:v>63.6</c:v>
                </c:pt>
                <c:pt idx="3">
                  <c:v>110.96</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manualLayout>
          <c:xMode val="edge"/>
          <c:yMode val="edge"/>
          <c:x val="0.3960356"/>
          <c:y val="0.00747384200000003"/>
        </c:manualLayout>
      </c:layout>
      <c:overlay val="0"/>
      <c:spPr>
        <a:noFill/>
        <a:ln>
          <a:noFill/>
        </a:ln>
      </c:spPr>
    </c:title>
    <c:autoTitleDeleted val="0"/>
    <c:plotArea>
      <c:layout/>
      <c:pieChart>
        <c:varyColors val="1"/>
        <c:ser>
          <c:idx val="0"/>
          <c:order val="0"/>
          <c:tx>
            <c:strRef>
              <c:f>'Sheet1 (4)'!$B$1</c:f>
              <c:strCache>
                <c:ptCount val="1"/>
                <c:pt idx="0">
                  <c:v>“三公”经费财政拨款支出</c:v>
                </c:pt>
              </c:strCache>
            </c:strRef>
          </c:tx>
          <c:spPr>
            <a:solidFill>
              <a:srgbClr val="4F81BD"/>
            </a:solidFill>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(4)'!$A$2:$A$4</c:f>
              <c:strCache>
                <c:ptCount val="3"/>
                <c:pt idx="0">
                  <c:v>因公出国（境）费支出</c:v>
                </c:pt>
                <c:pt idx="1">
                  <c:v>公务用车购置及运行维护费支出</c:v>
                </c:pt>
                <c:pt idx="2">
                  <c:v>公务接待费支出</c:v>
                </c:pt>
              </c:strCache>
            </c:strRef>
          </c:cat>
          <c:val>
            <c:numRef>
              <c:f>'Sheet1 (4)'!$B$2:$B$4</c:f>
              <c:numCache>
                <c:formatCode>General</c:formatCode>
                <c:ptCount val="3"/>
                <c:pt idx="0">
                  <c:v>0</c:v>
                </c:pt>
                <c:pt idx="1">
                  <c:v>40</c:v>
                </c:pt>
                <c:pt idx="2">
                  <c:v>0.320000000000001</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1ECF63-50E9-4EA6-8A17-0937B5911D6B}">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21</Pages>
  <Words>1635</Words>
  <Characters>9323</Characters>
  <Lines>77</Lines>
  <Paragraphs>21</Paragraphs>
  <TotalTime>883</TotalTime>
  <ScaleCrop>false</ScaleCrop>
  <LinksUpToDate>false</LinksUpToDate>
  <CharactersWithSpaces>10937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2023-09-21T09:49:00Z</dcterms:created>
  <dc:creator>曹颖</dc:creator>
  <cp:lastModifiedBy>Administrator</cp:lastModifiedBy>
  <cp:lastPrinted>2023-12-05T03:21:00Z</cp:lastPrinted>
  <dcterms:modified xsi:type="dcterms:W3CDTF">2023-12-05T03:59:24Z</dcterms:modified>
  <dc:title>四川省***</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BC54DA9398424DE59D63E92CA15B24B7</vt:lpwstr>
  </property>
</Properties>
</file>