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CFC6E">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06267"/>
      <w:bookmarkStart w:id="2" w:name="_Toc15396475"/>
      <w:bookmarkStart w:id="3" w:name="_Toc15377193"/>
      <w:bookmarkStart w:id="4" w:name="_Toc15377425"/>
      <w:bookmarkStart w:id="5" w:name="_Toc15378441"/>
    </w:p>
    <w:p w14:paraId="20B2F5E5">
      <w:pPr>
        <w:pStyle w:val="8"/>
        <w:rPr>
          <w:rFonts w:hint="eastAsia" w:ascii="Times New Roman" w:hAnsi="Times New Roman" w:eastAsia="方正小标宋简体" w:cs="Times New Roman"/>
          <w:color w:val="auto"/>
          <w:kern w:val="2"/>
          <w:sz w:val="72"/>
          <w:szCs w:val="72"/>
          <w:highlight w:val="none"/>
          <w:lang w:val="en-US" w:eastAsia="zh-CN" w:bidi="ar-SA"/>
        </w:rPr>
      </w:pPr>
    </w:p>
    <w:p w14:paraId="16864CC5">
      <w:pPr>
        <w:pStyle w:val="8"/>
        <w:rPr>
          <w:rFonts w:hint="eastAsia" w:ascii="Times New Roman" w:hAnsi="Times New Roman" w:eastAsia="方正小标宋简体" w:cs="Times New Roman"/>
          <w:color w:val="auto"/>
          <w:kern w:val="2"/>
          <w:sz w:val="72"/>
          <w:szCs w:val="72"/>
          <w:highlight w:val="none"/>
          <w:lang w:val="en-US" w:eastAsia="zh-CN" w:bidi="ar-SA"/>
        </w:rPr>
      </w:pPr>
    </w:p>
    <w:bookmarkEnd w:id="0"/>
    <w:bookmarkEnd w:id="1"/>
    <w:bookmarkEnd w:id="2"/>
    <w:bookmarkEnd w:id="3"/>
    <w:bookmarkEnd w:id="4"/>
    <w:bookmarkEnd w:id="5"/>
    <w:p w14:paraId="750E7AB0">
      <w:pPr>
        <w:adjustRightInd w:val="0"/>
        <w:snapToGrid w:val="0"/>
        <w:spacing w:line="360" w:lineRule="auto"/>
        <w:jc w:val="center"/>
        <w:outlineLvl w:val="0"/>
        <w:rPr>
          <w:rFonts w:ascii="Times New Roman" w:hAnsi="Times New Roman" w:eastAsia="方正小标宋简体" w:cs="Times New Roman"/>
          <w:sz w:val="72"/>
          <w:szCs w:val="72"/>
        </w:rPr>
      </w:pPr>
      <w:bookmarkStart w:id="6" w:name="_Toc26843601"/>
      <w:r>
        <w:rPr>
          <w:rFonts w:ascii="Times New Roman" w:hAnsi="Times New Roman" w:eastAsia="方正小标宋简体" w:cs="Times New Roman"/>
          <w:sz w:val="72"/>
          <w:szCs w:val="72"/>
        </w:rPr>
        <w:t>202</w:t>
      </w:r>
      <w:r>
        <w:rPr>
          <w:rFonts w:hint="eastAsia" w:eastAsia="方正小标宋简体" w:cs="Times New Roman"/>
          <w:sz w:val="72"/>
          <w:szCs w:val="72"/>
          <w:lang w:val="en-US" w:eastAsia="zh-CN"/>
        </w:rPr>
        <w:t>4</w:t>
      </w:r>
      <w:r>
        <w:rPr>
          <w:rFonts w:ascii="Times New Roman" w:hAnsi="Times New Roman" w:eastAsia="方正小标宋简体" w:cs="Times New Roman"/>
          <w:sz w:val="72"/>
          <w:szCs w:val="72"/>
        </w:rPr>
        <w:t>年度</w:t>
      </w:r>
      <w:bookmarkEnd w:id="6"/>
    </w:p>
    <w:p w14:paraId="07C157B1">
      <w:pPr>
        <w:adjustRightInd w:val="0"/>
        <w:snapToGrid w:val="0"/>
        <w:spacing w:line="360" w:lineRule="auto"/>
        <w:jc w:val="center"/>
        <w:outlineLvl w:val="0"/>
        <w:rPr>
          <w:rFonts w:hint="default" w:ascii="Times New Roman" w:hAnsi="Times New Roman" w:eastAsia="方正小标宋简体" w:cs="Times New Roman"/>
          <w:sz w:val="72"/>
          <w:szCs w:val="72"/>
          <w:lang w:val="en-US" w:eastAsia="zh-CN"/>
        </w:rPr>
      </w:pPr>
      <w:bookmarkStart w:id="7" w:name="_Toc15377426"/>
      <w:bookmarkStart w:id="8" w:name="_Toc15378442"/>
      <w:bookmarkStart w:id="9" w:name="_Toc15306268"/>
      <w:bookmarkStart w:id="10" w:name="_Toc15396598"/>
      <w:bookmarkStart w:id="11" w:name="_Toc15377194"/>
      <w:bookmarkStart w:id="12" w:name="_Toc15396476"/>
      <w:r>
        <w:rPr>
          <w:rFonts w:hint="eastAsia" w:eastAsia="方正小标宋简体" w:cs="Times New Roman"/>
          <w:sz w:val="72"/>
          <w:szCs w:val="72"/>
          <w:lang w:val="en-US" w:eastAsia="zh-CN"/>
        </w:rPr>
        <w:t>金川县人民检察院</w:t>
      </w:r>
    </w:p>
    <w:p w14:paraId="3EEB57B1">
      <w:pPr>
        <w:bidi w:val="0"/>
        <w:jc w:val="center"/>
        <w:rPr>
          <w:sz w:val="72"/>
          <w:szCs w:val="72"/>
        </w:rPr>
      </w:pPr>
      <w:bookmarkStart w:id="13" w:name="_Toc26843603"/>
      <w:r>
        <w:rPr>
          <w:rFonts w:ascii="Times New Roman" w:hAnsi="Times New Roman" w:eastAsia="方正小标宋简体" w:cs="Times New Roman"/>
          <w:sz w:val="72"/>
          <w:szCs w:val="72"/>
        </w:rPr>
        <w:t>部门决算</w:t>
      </w:r>
      <w:bookmarkEnd w:id="7"/>
      <w:bookmarkEnd w:id="8"/>
      <w:bookmarkEnd w:id="9"/>
      <w:bookmarkEnd w:id="10"/>
      <w:bookmarkEnd w:id="11"/>
      <w:bookmarkEnd w:id="12"/>
      <w:bookmarkEnd w:id="13"/>
    </w:p>
    <w:p w14:paraId="427B6CBC">
      <w:pPr>
        <w:pStyle w:val="8"/>
        <w:spacing w:before="93" w:beforeLines="0"/>
        <w:rPr>
          <w:rFonts w:ascii="Times New Roman" w:hAnsi="Times New Roman" w:eastAsia="方正小标宋简体" w:cs="Times New Roman"/>
          <w:sz w:val="52"/>
          <w:szCs w:val="52"/>
        </w:rPr>
      </w:pPr>
    </w:p>
    <w:p w14:paraId="021A8D1E">
      <w:pPr>
        <w:pStyle w:val="8"/>
        <w:spacing w:before="93" w:beforeLines="0"/>
        <w:rPr>
          <w:rFonts w:ascii="Times New Roman" w:hAnsi="Times New Roman" w:cs="Times New Roman"/>
        </w:rPr>
      </w:pPr>
    </w:p>
    <w:p w14:paraId="29755053">
      <w:pPr>
        <w:pStyle w:val="8"/>
        <w:spacing w:before="93" w:beforeLines="0"/>
        <w:rPr>
          <w:rFonts w:ascii="Times New Roman" w:hAnsi="Times New Roman" w:cs="Times New Roman"/>
        </w:rPr>
      </w:pPr>
    </w:p>
    <w:p w14:paraId="737ACB09">
      <w:pPr>
        <w:pStyle w:val="8"/>
        <w:spacing w:before="93" w:beforeLines="0"/>
        <w:rPr>
          <w:rFonts w:ascii="Times New Roman" w:hAnsi="Times New Roman" w:cs="Times New Roman"/>
        </w:rPr>
      </w:pPr>
    </w:p>
    <w:p w14:paraId="7AD6BD65">
      <w:pPr>
        <w:pStyle w:val="8"/>
        <w:spacing w:before="93" w:beforeLines="0"/>
        <w:rPr>
          <w:rFonts w:ascii="Times New Roman" w:hAnsi="Times New Roman" w:cs="Times New Roman"/>
        </w:rPr>
      </w:pPr>
    </w:p>
    <w:p w14:paraId="56EF34B3">
      <w:pPr>
        <w:pStyle w:val="8"/>
        <w:spacing w:before="93" w:beforeLines="0"/>
        <w:rPr>
          <w:rFonts w:ascii="Times New Roman" w:hAnsi="Times New Roman" w:cs="Times New Roman"/>
        </w:rPr>
      </w:pPr>
    </w:p>
    <w:p w14:paraId="07A77F34">
      <w:pPr>
        <w:pStyle w:val="8"/>
        <w:spacing w:before="93" w:beforeLines="0"/>
        <w:rPr>
          <w:rFonts w:ascii="Times New Roman" w:hAnsi="Times New Roman" w:cs="Times New Roman"/>
        </w:rPr>
      </w:pPr>
    </w:p>
    <w:p w14:paraId="2E80C8C9">
      <w:pPr>
        <w:pStyle w:val="14"/>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imes New Roman" w:hAnsi="Times New Roman" w:eastAsia="黑体"/>
          <w:color w:val="auto"/>
          <w:sz w:val="48"/>
          <w:szCs w:val="48"/>
          <w:highlight w:val="none"/>
        </w:rPr>
      </w:pPr>
      <w:r>
        <w:rPr>
          <w:rFonts w:ascii="Times New Roman" w:hAnsi="Times New Roman" w:eastAsia="仿宋_GB2312" w:cs="Times New Roman"/>
          <w:sz w:val="32"/>
          <w:szCs w:val="32"/>
        </w:rPr>
        <w:t>已经保密审查、内容审定，同意对外公开</w:t>
      </w: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10B45464">
      <w:pPr>
        <w:widowControl/>
        <w:jc w:val="center"/>
        <w:rPr>
          <w:rFonts w:ascii="Times New Roman" w:hAnsi="Times New Roman" w:eastAsia="黑体" w:cstheme="minorBidi"/>
          <w:color w:val="auto"/>
          <w:sz w:val="28"/>
          <w:szCs w:val="28"/>
          <w:highlight w:val="none"/>
        </w:rPr>
      </w:pPr>
    </w:p>
    <w:p w14:paraId="656C4568">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15</w:t>
      </w:r>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lang w:val="en-US" w:eastAsia="zh-CN" w:bidi="ar-SA"/>
        </w:rPr>
        <w:id w:val="147475811"/>
        <w15:color w:val="DBDBDB"/>
        <w:docPartObj>
          <w:docPartGallery w:val="Table of Contents"/>
          <w:docPartUnique/>
        </w:docPartObj>
      </w:sdtPr>
      <w:sdtEndPr>
        <w:rPr>
          <w:rFonts w:ascii="Times New Roman" w:hAnsi="Times New Roman" w:eastAsia="宋体" w:cs="Times New Roman"/>
          <w:kern w:val="2"/>
          <w:sz w:val="18"/>
          <w:szCs w:val="18"/>
          <w:lang w:val="en-US" w:eastAsia="zh-CN" w:bidi="ar-SA"/>
        </w:rPr>
      </w:sdtEndPr>
      <w:sdtContent>
        <w:p w14:paraId="5DB72A9F">
          <w:pPr>
            <w:spacing w:before="0" w:beforeLines="0" w:after="0" w:afterLines="0" w:line="240" w:lineRule="auto"/>
            <w:ind w:left="0" w:leftChars="0" w:right="0" w:rightChars="0" w:firstLine="0" w:firstLineChars="0"/>
            <w:jc w:val="center"/>
          </w:pPr>
          <w:bookmarkStart w:id="95" w:name="_GoBack"/>
          <w:bookmarkEnd w:id="95"/>
        </w:p>
        <w:p w14:paraId="3E28801E">
          <w:pPr>
            <w:pStyle w:val="13"/>
            <w:tabs>
              <w:tab w:val="right" w:leader="dot" w:pos="8306"/>
              <w:tab w:val="clear" w:pos="8296"/>
            </w:tabs>
          </w:pPr>
          <w:r>
            <w:fldChar w:fldCharType="begin"/>
          </w:r>
          <w:r>
            <w:instrText xml:space="preserve">TOC \o "1-3" \h \u </w:instrText>
          </w:r>
          <w:r>
            <w:fldChar w:fldCharType="separate"/>
          </w:r>
        </w:p>
        <w:p w14:paraId="6F6A28C0">
          <w:pPr>
            <w:pStyle w:val="13"/>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_Toc24568 </w:instrText>
          </w:r>
          <w:r>
            <w:rPr>
              <w:rFonts w:hint="eastAsia" w:ascii="仿宋_GB2312" w:hAnsi="仿宋_GB2312" w:eastAsia="仿宋_GB2312" w:cs="仿宋_GB2312"/>
              <w:sz w:val="32"/>
              <w:szCs w:val="32"/>
            </w:rPr>
            <w:fldChar w:fldCharType="separate"/>
          </w:r>
          <w:r>
            <w:rPr>
              <w:rFonts w:hint="eastAsia" w:ascii="黑体" w:hAnsi="黑体" w:eastAsia="黑体" w:cs="黑体"/>
              <w:sz w:val="32"/>
              <w:szCs w:val="32"/>
            </w:rPr>
            <w:t>第一部分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_Toc24568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0012AC6">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_Toc26691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一、 部门职责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_Toc26691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BC23CA8">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_Toc21387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_Toc21387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0646A9C">
          <w:pPr>
            <w:pStyle w:val="13"/>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_Toc6186 </w:instrText>
          </w:r>
          <w:r>
            <w:rPr>
              <w:rFonts w:hint="eastAsia" w:ascii="仿宋_GB2312" w:hAnsi="仿宋_GB2312" w:eastAsia="仿宋_GB2312" w:cs="仿宋_GB2312"/>
              <w:sz w:val="32"/>
              <w:szCs w:val="32"/>
            </w:rPr>
            <w:fldChar w:fldCharType="separate"/>
          </w:r>
          <w:r>
            <w:rPr>
              <w:rFonts w:hint="eastAsia" w:ascii="黑体" w:hAnsi="黑体" w:eastAsia="黑体" w:cs="黑体"/>
              <w:sz w:val="32"/>
              <w:szCs w:val="32"/>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2024年度</w:t>
          </w:r>
          <w:r>
            <w:rPr>
              <w:rFonts w:hint="eastAsia" w:ascii="黑体" w:hAnsi="黑体" w:eastAsia="黑体" w:cs="黑体"/>
              <w:sz w:val="32"/>
              <w:szCs w:val="32"/>
            </w:rPr>
            <w:t>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_Toc6186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63AB9D9">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_Toc15893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_Toc15893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C081176">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_Toc7022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_Toc7022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6F90204">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_Toc22216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_Toc22216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FAF9CEF">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_Toc10360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_Toc10360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8CA71D8">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_Toc28260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_Toc28260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0D84510">
          <w:pPr>
            <w:pStyle w:val="9"/>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_Toc22809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（一）一般公共预算财政拨款支出决算总体情况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_Toc22809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8144B6F">
          <w:pPr>
            <w:pStyle w:val="9"/>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_Toc23357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（二）一般公共预算财政拨款支出决算结构情况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_Toc23357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08450E">
          <w:pPr>
            <w:pStyle w:val="9"/>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_Toc26363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（三）一般公共预算财政拨款支出决算具体情况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_Toc26363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738F886">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_Toc17007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_Toc17007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3377C86">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_Toc21626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七、财政拨款“三公”经费支出决算情况说明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_Toc21626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7CAA3D8">
          <w:pPr>
            <w:pStyle w:val="9"/>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_Toc4049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（一）“三公”经费财政拨款支出决算总体情况说明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_Toc4049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D077072">
          <w:pPr>
            <w:pStyle w:val="9"/>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_Toc11604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（二）“三公”经费财政拨款支出决算具体情况说明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_Toc11604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440377B">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_Toc14949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_Toc14949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07F5842">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_Toc9684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_Toc9684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254995B">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_Toc8531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_Toc8531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36AEB3E">
          <w:pPr>
            <w:pStyle w:val="9"/>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_Toc21605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（一）机关运行经费支出情况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_Toc21605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7E1CE55">
          <w:pPr>
            <w:pStyle w:val="9"/>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_Toc28082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（二）政府采购支出情况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_Toc28082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C2C9E43">
          <w:pPr>
            <w:pStyle w:val="9"/>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_Toc24752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（三）国有资产占有使用情况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_Toc24752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37F0C74">
          <w:pPr>
            <w:pStyle w:val="9"/>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（四）预算绩效管理情况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797EFF2">
          <w:pPr>
            <w:pStyle w:val="13"/>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_Toc7347 </w:instrText>
          </w:r>
          <w:r>
            <w:rPr>
              <w:rFonts w:hint="eastAsia" w:ascii="仿宋_GB2312" w:hAnsi="仿宋_GB2312" w:eastAsia="仿宋_GB2312" w:cs="仿宋_GB2312"/>
              <w:sz w:val="32"/>
              <w:szCs w:val="32"/>
            </w:rPr>
            <w:fldChar w:fldCharType="separate"/>
          </w:r>
          <w:r>
            <w:rPr>
              <w:rFonts w:hint="eastAsia" w:ascii="黑体" w:hAnsi="黑体" w:eastAsia="黑体" w:cs="黑体"/>
              <w:sz w:val="32"/>
              <w:szCs w:val="32"/>
            </w:rPr>
            <w:t>第</w:t>
          </w:r>
          <w:r>
            <w:rPr>
              <w:rFonts w:hint="eastAsia" w:ascii="黑体" w:hAnsi="黑体" w:eastAsia="黑体" w:cs="黑体"/>
              <w:sz w:val="32"/>
              <w:szCs w:val="32"/>
              <w:lang w:eastAsia="zh-CN"/>
            </w:rPr>
            <w:t>三</w:t>
          </w:r>
          <w:r>
            <w:rPr>
              <w:rFonts w:hint="eastAsia" w:ascii="黑体" w:hAnsi="黑体" w:eastAsia="黑体" w:cs="黑体"/>
              <w:sz w:val="32"/>
              <w:szCs w:val="32"/>
            </w:rPr>
            <w:t>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_Toc7347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2094CE3">
          <w:pPr>
            <w:pStyle w:val="13"/>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_Toc25043 </w:instrText>
          </w:r>
          <w:r>
            <w:rPr>
              <w:rFonts w:hint="eastAsia" w:ascii="仿宋_GB2312" w:hAnsi="仿宋_GB2312" w:eastAsia="仿宋_GB2312" w:cs="仿宋_GB2312"/>
              <w:sz w:val="32"/>
              <w:szCs w:val="32"/>
            </w:rPr>
            <w:fldChar w:fldCharType="separate"/>
          </w:r>
          <w:r>
            <w:rPr>
              <w:rFonts w:hint="eastAsia" w:ascii="黑体" w:hAnsi="黑体" w:eastAsia="黑体" w:cs="黑体"/>
              <w:sz w:val="32"/>
              <w:szCs w:val="32"/>
            </w:rPr>
            <w:t>第四部分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_Toc25043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35EB7D4">
          <w:pPr>
            <w:pStyle w:val="13"/>
            <w:tabs>
              <w:tab w:val="right" w:leader="dot" w:pos="8306"/>
              <w:tab w:val="clear" w:pos="829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_Toc24426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_Toc24426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DD002E">
          <w:pPr>
            <w:pStyle w:val="2"/>
            <w:rPr>
              <w:rFonts w:ascii="Times New Roman" w:hAnsi="Times New Roman" w:eastAsia="宋体" w:cs="Times New Roman"/>
              <w:kern w:val="2"/>
              <w:sz w:val="18"/>
              <w:szCs w:val="18"/>
              <w:lang w:val="en-US" w:eastAsia="zh-CN" w:bidi="ar-SA"/>
            </w:rPr>
          </w:pPr>
          <w:r>
            <w:fldChar w:fldCharType="end"/>
          </w:r>
        </w:p>
      </w:sdtContent>
    </w:sdt>
    <w:p w14:paraId="08C47F5D">
      <w:pPr>
        <w:pStyle w:val="3"/>
      </w:pPr>
    </w:p>
    <w:p w14:paraId="3E1B0796">
      <w:pPr>
        <w:pStyle w:val="5"/>
        <w:bidi w:val="0"/>
        <w:jc w:val="center"/>
        <w:rPr>
          <w:rFonts w:hint="eastAsia"/>
        </w:rPr>
      </w:pPr>
      <w:bookmarkStart w:id="14" w:name="_Toc15377196"/>
      <w:bookmarkStart w:id="15" w:name="_Toc24568"/>
      <w:bookmarkStart w:id="16" w:name="_Toc15396599"/>
    </w:p>
    <w:p w14:paraId="17249B62">
      <w:pPr>
        <w:pStyle w:val="5"/>
        <w:bidi w:val="0"/>
        <w:jc w:val="center"/>
        <w:rPr>
          <w:rFonts w:hint="eastAsia"/>
        </w:rPr>
      </w:pPr>
    </w:p>
    <w:p w14:paraId="14CC01A2">
      <w:pPr>
        <w:pStyle w:val="5"/>
        <w:bidi w:val="0"/>
        <w:jc w:val="center"/>
        <w:rPr>
          <w:rFonts w:hint="eastAsia"/>
        </w:rPr>
      </w:pPr>
    </w:p>
    <w:p w14:paraId="5EEBFFCD">
      <w:pPr>
        <w:pStyle w:val="5"/>
        <w:bidi w:val="0"/>
        <w:jc w:val="center"/>
        <w:rPr>
          <w:rFonts w:hint="eastAsia"/>
        </w:rPr>
      </w:pPr>
    </w:p>
    <w:p w14:paraId="323D711D">
      <w:pPr>
        <w:pStyle w:val="5"/>
        <w:bidi w:val="0"/>
        <w:jc w:val="center"/>
        <w:rPr>
          <w:rFonts w:hint="eastAsia"/>
        </w:rPr>
      </w:pPr>
    </w:p>
    <w:p w14:paraId="2EA146BB">
      <w:pPr>
        <w:rPr>
          <w:rFonts w:hint="eastAsia"/>
        </w:rPr>
      </w:pPr>
    </w:p>
    <w:p w14:paraId="09C6CE4B">
      <w:pPr>
        <w:pStyle w:val="5"/>
        <w:bidi w:val="0"/>
        <w:jc w:val="center"/>
        <w:rPr>
          <w:rFonts w:hint="eastAsia"/>
        </w:rPr>
      </w:pPr>
      <w:r>
        <w:rPr>
          <w:rFonts w:hint="eastAsia"/>
        </w:rPr>
        <w:t>第一部分</w:t>
      </w:r>
      <w:r>
        <w:rPr>
          <w:rFonts w:hint="eastAsia"/>
          <w:lang w:val="en-US" w:eastAsia="zh-CN"/>
        </w:rPr>
        <w:t xml:space="preserve"> </w:t>
      </w:r>
      <w:r>
        <w:rPr>
          <w:rFonts w:hint="eastAsia"/>
        </w:rPr>
        <w:t xml:space="preserve"> 部门概况</w:t>
      </w:r>
      <w:bookmarkEnd w:id="14"/>
      <w:bookmarkEnd w:id="15"/>
      <w:bookmarkEnd w:id="16"/>
    </w:p>
    <w:p w14:paraId="0B13100C">
      <w:pPr>
        <w:widowControl/>
        <w:jc w:val="left"/>
        <w:rPr>
          <w:rFonts w:ascii="Times New Roman" w:hAnsi="Times New Roman" w:eastAsia="黑体"/>
          <w:color w:val="auto"/>
          <w:sz w:val="32"/>
          <w:szCs w:val="32"/>
          <w:highlight w:val="none"/>
        </w:rPr>
      </w:pPr>
    </w:p>
    <w:p w14:paraId="4B1A8B60">
      <w:pPr>
        <w:pStyle w:val="6"/>
        <w:numPr>
          <w:ilvl w:val="0"/>
          <w:numId w:val="1"/>
        </w:numPr>
        <w:bidi w:val="0"/>
        <w:rPr>
          <w:rFonts w:hint="eastAsia"/>
          <w:lang w:eastAsia="zh-CN"/>
        </w:rPr>
      </w:pPr>
      <w:bookmarkStart w:id="17" w:name="_Toc26691"/>
      <w:r>
        <w:rPr>
          <w:rFonts w:hint="eastAsia"/>
          <w:lang w:eastAsia="zh-CN"/>
        </w:rPr>
        <w:t>部门职责</w:t>
      </w:r>
      <w:bookmarkEnd w:id="17"/>
    </w:p>
    <w:p w14:paraId="07DAB56A">
      <w:pPr>
        <w:snapToGrid w:val="0"/>
        <w:spacing w:line="520" w:lineRule="exact"/>
        <w:ind w:firstLine="643" w:firstLineChars="200"/>
        <w:rPr>
          <w:rFonts w:hint="eastAsia" w:ascii="楷体_GB2312" w:hAnsi="仿宋" w:eastAsia="楷体_GB2312"/>
          <w:b/>
          <w:sz w:val="32"/>
          <w:szCs w:val="32"/>
          <w:highlight w:val="none"/>
        </w:rPr>
      </w:pPr>
      <w:r>
        <w:rPr>
          <w:rFonts w:hint="eastAsia" w:ascii="楷体_GB2312" w:hAnsi="仿宋" w:eastAsia="楷体_GB2312"/>
          <w:b/>
          <w:sz w:val="32"/>
          <w:szCs w:val="32"/>
          <w:highlight w:val="none"/>
        </w:rPr>
        <w:t>（一）基本情况。</w:t>
      </w:r>
    </w:p>
    <w:p w14:paraId="020FBFAE">
      <w:pPr>
        <w:snapToGrid w:val="0"/>
        <w:spacing w:line="52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主要职能。</w:t>
      </w:r>
    </w:p>
    <w:p w14:paraId="7A711EDE">
      <w:pPr>
        <w:snapToGrid w:val="0"/>
        <w:spacing w:line="520" w:lineRule="exact"/>
        <w:ind w:firstLine="640" w:firstLineChars="200"/>
        <w:rPr>
          <w:rFonts w:hint="default"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人民检察院是国家的法律监督机关，依法行使下列职权：对于叛国案、分裂国家案以及严重破坏国家的政策、法律、政令统一实施的重大犯罪案件，行使检察权。对于直接受理的国家工作人员利用职权实施的犯罪案件，进行侦查。对于公安机关、国家安全机关等侦查机关侦查的案件进行审查，决定是否逮捕、起诉或者不起诉。并对侦查机关的侦查活动是否合法实行监督。对于刑事案件提起公诉，支持公诉；对于人民法院的刑事判决、裁定是否正确和审判活动是否合法实行监督。对于监狱、看守所等执行机关执行刑罚的活动是否合法实行监督。对于人民法院的民事审判活动实行法律监督，对人民法院已经发生效力的判决、裁定，发现违反法律、法规规定的，依法提出抗诉。对于行政诉讼实行法律监督。对人民法院已经发生效力的判决、裁定发现违反法律、法规规定的，依法提出抗诉。。</w:t>
      </w:r>
    </w:p>
    <w:p w14:paraId="60C2525C">
      <w:pPr>
        <w:snapToGrid w:val="0"/>
        <w:spacing w:line="520" w:lineRule="exact"/>
        <w:ind w:firstLine="643" w:firstLineChars="200"/>
        <w:rPr>
          <w:rFonts w:hint="eastAsia" w:ascii="楷体_GB2312" w:hAnsi="仿宋" w:eastAsia="楷体_GB2312"/>
          <w:b/>
          <w:sz w:val="32"/>
          <w:szCs w:val="32"/>
          <w:highlight w:val="none"/>
        </w:rPr>
      </w:pPr>
      <w:r>
        <w:rPr>
          <w:rFonts w:hint="eastAsia" w:ascii="楷体_GB2312" w:hAnsi="仿宋" w:eastAsia="楷体_GB2312"/>
          <w:b/>
          <w:sz w:val="32"/>
          <w:szCs w:val="32"/>
          <w:highlight w:val="none"/>
        </w:rPr>
        <w:t>（二）当年取得的主要事业成效。</w:t>
      </w:r>
    </w:p>
    <w:p w14:paraId="1AD4462C">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一、旗帜鲜明讲政治，以更高站位坚定检察工作方向</w:t>
      </w:r>
    </w:p>
    <w:p w14:paraId="47AF46C3">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始终把党的政治建设摆在首位，持续强化党的创新理论武装，坚定拥护“两个确立”，坚决做到“两个维护”，不折不扣把党的各项决策部署落实到检察履职全过程。</w:t>
      </w:r>
    </w:p>
    <w:p w14:paraId="7B2770EE">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一是强化思想引领恪守政治本色。坚持以习近平新时代中国特色社会主义思想凝心铸魂，深入学习贯彻习近平法治思想，牢牢把握检察工作正确政治方向。今年来，我院认真落实“第一议题”常态化学习制度，召开党组会、中心组学习会、专题研讨会15次专题学习党的二十届历次全会精神及习近平总书记系列重要讲话精神。</w:t>
      </w:r>
    </w:p>
    <w:p w14:paraId="01CA153D">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是服从党的领导贯彻条例规定。认真贯彻落实《中国共产党政法工作条例》，不断筑牢党对检察工作绝对领导的思想根基，及时向县委和县委政法委请示报告重大案（事）件10余次。持续推进意识形态工作“一岗双责”， 召开意识形态专题部署会4次，研究制定《意识形态工作责任制正面清单、负面清单》《意识形态工作责任制实施方案》等制度规定和具体措施，全面落实意识形态责任制。</w:t>
      </w:r>
    </w:p>
    <w:p w14:paraId="2333E445">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三是推进“党建+业务”深度融合。持续提升党建品牌的凝聚力、引领力、辐射力，打造“党建红+检察蓝”党建项目，推出“党旗扬 检徽亮”金川检察品牌。建立《金川县人民检察院党员“微行为”积分评星管理》制度，构建“党建+业务”“党建+法律宣传”等一系列融合工作模式，常态化开展“我为群众办实事活动”，引导党员干警到学校、社区、养老院，提供法律咨询、法治讲座、困难群众帮扶系列服务20余次。</w:t>
      </w:r>
    </w:p>
    <w:p w14:paraId="00064460">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二、主动作为护大局，以检察履职服务经济社会发展</w:t>
      </w:r>
    </w:p>
    <w:p w14:paraId="6D81E245">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深刻把握高质量发展硬道理，以法治思维和法治方式，服务金川经济社会发展大局，切实维护稳定、促进发展、保障经济社会安全稳定。</w:t>
      </w:r>
    </w:p>
    <w:p w14:paraId="198CA7AA">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一是积极投入平安金川建设。始终把维护国家安全、社会稳定和人民安宁摆在首位。</w:t>
      </w:r>
    </w:p>
    <w:p w14:paraId="65859678">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二是着力优化法治化营商环境。依法严厉打击侵害民营企业合法权益违法犯罪，认真做好问计于企、法律风险提示、释法说理等工作。</w:t>
      </w:r>
    </w:p>
    <w:p w14:paraId="452A9266">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三是全力守护金川绿水青山。坚持不懈服务打好蓝天、碧水、净土保卫战，依法严惩破坏生态环境和自然资源犯罪，办理非法采矿、盗伐林木督促属地乡镇履行生态环保职责，持续巩固生态文明建设成果。</w:t>
      </w:r>
    </w:p>
    <w:p w14:paraId="5999AA0B">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四是源头化解基层矛盾纠纷。全面落实最高检群众信访“件件有回复”制度，开展涉法涉诉信访事项化解攻坚专项行动，为群众提供快捷、高效的纠纷化解渠道，推动矛盾纠纷多元化解。</w:t>
      </w:r>
    </w:p>
    <w:p w14:paraId="3A61D7A4">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三、聚焦主业开新局，以笃行实干推进监督提质增效</w:t>
      </w:r>
    </w:p>
    <w:p w14:paraId="2D53D241">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牢固树立“一体履职、综合履职、能动履职”检察理念，持续推进刑事、民事、行政、公益诉讼“四大检察”全面协调充分发展，确保高质效办好每一个案件。</w:t>
      </w:r>
    </w:p>
    <w:p w14:paraId="0A7C73A9">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四、司法为民守初心，以检察担当纾解群众急难愁盼</w:t>
      </w:r>
    </w:p>
    <w:p w14:paraId="30126FA5">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认真落实以人民为中心的发展思想，把人民群众满意作为监督履职的出发点和落脚点，实现人民群众可感受、能体验、得实惠的检察为民。</w:t>
      </w:r>
    </w:p>
    <w:p w14:paraId="49DA02CC">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一是用心传递检察办案温度。依法开展刑事司法救助工作，对生活困难的刑事被害人及其近亲属及时给予救助。</w:t>
      </w:r>
    </w:p>
    <w:p w14:paraId="527E3F63">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二是精心守护未成年人成长。以“零容忍”态度严惩侵害未成年人犯罪。</w:t>
      </w:r>
    </w:p>
    <w:p w14:paraId="5A7010A3">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三是尽心保障舌尖上的安全。为贯彻落实最高检 “检护民生”专项行动，进一步筑牢食品安全防线， 守护人民群众“舌尖上的安全”。督促相关部门履行食品安全职责。</w:t>
      </w:r>
    </w:p>
    <w:p w14:paraId="0615C1DC">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五、多措并举强监督，以阳光检务提升司法办案质效</w:t>
      </w:r>
    </w:p>
    <w:p w14:paraId="614BDAAE">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秉持“监督者更应接受监督”的司法理念，坚定不移打造“阳光检务”，彰显检察机关办案工作透明度，在自觉接受监督中践行全过程人民民主。</w:t>
      </w:r>
    </w:p>
    <w:p w14:paraId="462976ED">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六、固本强基练本领，以磐石之心锻造高原检察铁军</w:t>
      </w:r>
    </w:p>
    <w:p w14:paraId="766A73D6">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坚持把检察队伍建设作为基础性、战略性工程常抓不懈，充分发扬“缺氧不缺信仰”的高原检察精神，不断夯实基层工作现代化建设根基。</w:t>
      </w:r>
    </w:p>
    <w:p w14:paraId="4B7BAA1F">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一是始终坚持政治思想建设。充分利用各种形式，以“读原著、强信念、作表率”读书活动和实践活动为载体，自觉用习近平新时代中国特色社会主义思想武装头脑、指导实践、推动检察工作。</w:t>
      </w:r>
    </w:p>
    <w:p w14:paraId="3E2BAD4A">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二是始终坚持综合能力建设。紧盯实战需求，突出人才培养，努力造就适应检察事业发展需要的人才队伍。进一步注入新鲜血液，夯实基层发展根基。</w:t>
      </w:r>
    </w:p>
    <w:p w14:paraId="3761C8C1">
      <w:pPr>
        <w:snapToGrid w:val="0"/>
        <w:spacing w:line="52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三是始终坚持党风廉政建设。严格落实全面从严治党、全面从严治检主体责任，全体检察人员纪律意识、规矩意识更加巩固</w:t>
      </w:r>
      <w:r>
        <w:rPr>
          <w:rFonts w:hint="eastAsia" w:ascii="仿宋_GB2312" w:hAnsi="仿宋" w:eastAsia="仿宋_GB2312"/>
          <w:sz w:val="32"/>
          <w:szCs w:val="32"/>
          <w:highlight w:val="none"/>
        </w:rPr>
        <w:t>。</w:t>
      </w:r>
    </w:p>
    <w:p w14:paraId="170428B8">
      <w:pPr>
        <w:numPr>
          <w:ilvl w:val="0"/>
          <w:numId w:val="0"/>
        </w:numPr>
        <w:rPr>
          <w:rFonts w:hint="eastAsia"/>
          <w:lang w:eastAsia="zh-CN"/>
        </w:rPr>
      </w:pPr>
    </w:p>
    <w:p w14:paraId="42A1AA64">
      <w:pPr>
        <w:pStyle w:val="6"/>
        <w:bidi w:val="0"/>
      </w:pPr>
      <w:bookmarkStart w:id="18" w:name="_Toc21387"/>
      <w:bookmarkStart w:id="19" w:name="_Toc15396601"/>
      <w:bookmarkStart w:id="20" w:name="_Toc15377200"/>
      <w:r>
        <w:rPr>
          <w:rFonts w:hint="eastAsia"/>
        </w:rPr>
        <w:t>二、机构设置</w:t>
      </w:r>
      <w:bookmarkEnd w:id="18"/>
      <w:bookmarkEnd w:id="19"/>
      <w:bookmarkEnd w:id="20"/>
    </w:p>
    <w:p w14:paraId="33AF2970">
      <w:pPr>
        <w:widowControl/>
        <w:jc w:val="left"/>
        <w:rPr>
          <w:rFonts w:ascii="Times New Roman" w:hAnsi="Times New Roman" w:eastAsia="仿宋"/>
          <w:color w:val="auto"/>
          <w:kern w:val="0"/>
          <w:sz w:val="32"/>
          <w:szCs w:val="32"/>
          <w:highlight w:val="none"/>
        </w:rPr>
      </w:pPr>
      <w:r>
        <w:rPr>
          <w:rFonts w:hint="eastAsia" w:ascii="仿宋_GB2312" w:hAnsi="仿宋" w:eastAsia="仿宋_GB2312"/>
          <w:sz w:val="32"/>
          <w:szCs w:val="32"/>
          <w:highlight w:val="none"/>
          <w:lang w:val="en-US" w:eastAsia="zh-CN"/>
        </w:rPr>
        <w:t>我院属行政机构中公检法司机构，系独立核算单位。独立编制机构数1个，独立核算机构数1个。</w:t>
      </w:r>
      <w:r>
        <w:rPr>
          <w:rFonts w:ascii="Times New Roman" w:hAnsi="Times New Roman" w:eastAsia="仿宋"/>
          <w:color w:val="auto"/>
          <w:sz w:val="32"/>
          <w:szCs w:val="32"/>
          <w:highlight w:val="none"/>
        </w:rPr>
        <w:br w:type="page"/>
      </w:r>
    </w:p>
    <w:p w14:paraId="0EC62A18">
      <w:pPr>
        <w:pStyle w:val="5"/>
        <w:bidi w:val="0"/>
        <w:rPr>
          <w:rFonts w:hint="eastAsia"/>
        </w:rPr>
      </w:pPr>
      <w:bookmarkStart w:id="21" w:name="_Toc15377204"/>
      <w:bookmarkStart w:id="22" w:name="_Toc15396602"/>
      <w:bookmarkStart w:id="23" w:name="_Toc6186"/>
      <w:r>
        <w:rPr>
          <w:rFonts w:hint="eastAsia"/>
        </w:rPr>
        <w:t>第二部分</w:t>
      </w:r>
      <w:r>
        <w:rPr>
          <w:rFonts w:hint="eastAsia"/>
          <w:lang w:val="en-US" w:eastAsia="zh-CN"/>
        </w:rPr>
        <w:t xml:space="preserve"> </w:t>
      </w:r>
      <w:r>
        <w:rPr>
          <w:rFonts w:hint="eastAsia"/>
        </w:rPr>
        <w:t xml:space="preserve"> </w:t>
      </w:r>
      <w:r>
        <w:rPr>
          <w:rFonts w:hint="eastAsia"/>
          <w:lang w:val="en-US" w:eastAsia="zh-CN"/>
        </w:rPr>
        <w:t>2024年度</w:t>
      </w:r>
      <w:r>
        <w:rPr>
          <w:rFonts w:hint="eastAsia"/>
        </w:rPr>
        <w:t>部门决算情况说明</w:t>
      </w:r>
      <w:bookmarkEnd w:id="21"/>
      <w:bookmarkEnd w:id="22"/>
      <w:bookmarkEnd w:id="23"/>
    </w:p>
    <w:p w14:paraId="07957D84">
      <w:pPr>
        <w:rPr>
          <w:rFonts w:ascii="Times New Roman" w:hAnsi="Times New Roman"/>
          <w:color w:val="auto"/>
          <w:highlight w:val="none"/>
        </w:rPr>
      </w:pPr>
    </w:p>
    <w:p w14:paraId="33D85722">
      <w:pPr>
        <w:pStyle w:val="6"/>
        <w:bidi w:val="0"/>
        <w:rPr>
          <w:rFonts w:hint="eastAsia"/>
        </w:rPr>
      </w:pPr>
      <w:bookmarkStart w:id="24" w:name="_Toc15377205"/>
      <w:bookmarkStart w:id="25" w:name="_Toc15893"/>
      <w:bookmarkStart w:id="26" w:name="_Toc15396603"/>
      <w:r>
        <w:rPr>
          <w:rFonts w:hint="eastAsia"/>
          <w:lang w:eastAsia="zh-CN"/>
        </w:rPr>
        <w:t>一、</w:t>
      </w:r>
      <w:r>
        <w:rPr>
          <w:rFonts w:hint="eastAsia"/>
        </w:rPr>
        <w:t>收入支出决算总体情况说明</w:t>
      </w:r>
      <w:bookmarkEnd w:id="24"/>
      <w:bookmarkEnd w:id="25"/>
      <w:bookmarkEnd w:id="26"/>
    </w:p>
    <w:p w14:paraId="53884BB1">
      <w:pPr>
        <w:snapToGrid w:val="0"/>
        <w:spacing w:line="520" w:lineRule="exact"/>
        <w:ind w:firstLine="640" w:firstLineChars="200"/>
        <w:rPr>
          <w:rFonts w:hint="eastAsia" w:ascii="仿宋" w:hAnsi="仿宋" w:eastAsia="仿宋" w:cs="仿宋"/>
          <w:sz w:val="32"/>
          <w:szCs w:val="32"/>
          <w:highlight w:val="none"/>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1094.24</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总计各增加/减少</w:t>
      </w:r>
      <w:r>
        <w:rPr>
          <w:rFonts w:hint="eastAsia" w:ascii="仿宋" w:hAnsi="仿宋" w:eastAsia="仿宋"/>
          <w:color w:val="auto"/>
          <w:sz w:val="32"/>
          <w:szCs w:val="32"/>
          <w:highlight w:val="none"/>
          <w:lang w:val="en-US" w:eastAsia="zh-CN"/>
        </w:rPr>
        <w:t>281.65</w:t>
      </w:r>
      <w:r>
        <w:rPr>
          <w:rFonts w:hint="eastAsia" w:ascii="Times New Roman" w:hAnsi="Times New Roman" w:eastAsia="仿宋_GB2312" w:cs="仿宋_GB2312"/>
          <w:color w:val="auto"/>
          <w:sz w:val="32"/>
          <w:szCs w:val="32"/>
          <w:highlight w:val="none"/>
        </w:rPr>
        <w:t>万元，增长/下降</w:t>
      </w:r>
      <w:r>
        <w:rPr>
          <w:rFonts w:hint="eastAsia" w:eastAsia="仿宋_GB2312" w:cs="仿宋_GB2312"/>
          <w:color w:val="auto"/>
          <w:sz w:val="32"/>
          <w:szCs w:val="32"/>
          <w:highlight w:val="none"/>
          <w:lang w:val="en-US" w:eastAsia="zh-CN"/>
        </w:rPr>
        <w:t>36.82</w:t>
      </w:r>
      <w:r>
        <w:rPr>
          <w:rFonts w:hint="eastAsia" w:ascii="Times New Roman" w:hAnsi="Times New Roman" w:eastAsia="仿宋_GB2312" w:cs="仿宋_GB2312"/>
          <w:color w:val="auto"/>
          <w:sz w:val="32"/>
          <w:szCs w:val="32"/>
          <w:highlight w:val="none"/>
        </w:rPr>
        <w:t>%。主要变动原因是</w:t>
      </w:r>
      <w:r>
        <w:rPr>
          <w:rFonts w:hint="eastAsia" w:ascii="仿宋" w:hAnsi="仿宋" w:eastAsia="仿宋"/>
          <w:color w:val="auto"/>
          <w:sz w:val="32"/>
          <w:szCs w:val="32"/>
          <w:highlight w:val="none"/>
          <w:lang w:val="en-US" w:eastAsia="zh-CN"/>
        </w:rPr>
        <w:t>增加县级财政拨款支出</w:t>
      </w:r>
      <w:r>
        <w:rPr>
          <w:rFonts w:hint="eastAsia" w:ascii="仿宋_GB2312" w:hAnsi="仿宋" w:eastAsia="仿宋_GB2312"/>
          <w:sz w:val="32"/>
          <w:szCs w:val="32"/>
          <w:highlight w:val="none"/>
        </w:rPr>
        <w:t>。</w:t>
      </w:r>
    </w:p>
    <w:p w14:paraId="696F9DCE">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35DDF0E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仿宋_GB2312" w:cs="仿宋_GB2312"/>
          <w:color w:val="auto"/>
          <w:sz w:val="32"/>
          <w:szCs w:val="32"/>
          <w:highlight w:val="none"/>
        </w:rPr>
      </w:pPr>
      <w:r>
        <w:rPr>
          <w:highlight w:val="none"/>
        </w:rPr>
        <w:drawing>
          <wp:inline distT="0" distB="0" distL="114300" distR="114300">
            <wp:extent cx="5759450" cy="3455670"/>
            <wp:effectExtent l="0" t="0" r="12700" b="11430"/>
            <wp:docPr id="1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1"/>
                    <pic:cNvPicPr>
                      <a:picLocks noChangeAspect="1"/>
                    </pic:cNvPicPr>
                  </pic:nvPicPr>
                  <pic:blipFill>
                    <a:blip r:embed="rId7"/>
                    <a:stretch>
                      <a:fillRect/>
                    </a:stretch>
                  </pic:blipFill>
                  <pic:spPr>
                    <a:xfrm>
                      <a:off x="0" y="0"/>
                      <a:ext cx="5760000" cy="3456000"/>
                    </a:xfrm>
                    <a:prstGeom prst="rect">
                      <a:avLst/>
                    </a:prstGeom>
                  </pic:spPr>
                </pic:pic>
              </a:graphicData>
            </a:graphic>
          </wp:inline>
        </w:drawing>
      </w:r>
    </w:p>
    <w:p w14:paraId="47E4BA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777100C0">
      <w:pPr>
        <w:pStyle w:val="6"/>
        <w:bidi w:val="0"/>
        <w:rPr>
          <w:rFonts w:hint="eastAsia"/>
          <w:lang w:eastAsia="zh-CN"/>
        </w:rPr>
      </w:pPr>
      <w:bookmarkStart w:id="27" w:name="_Toc15396604"/>
      <w:bookmarkStart w:id="28" w:name="_Toc7022"/>
      <w:bookmarkStart w:id="29" w:name="_Toc15377206"/>
      <w:r>
        <w:rPr>
          <w:rFonts w:hint="eastAsia"/>
          <w:lang w:eastAsia="zh-CN"/>
        </w:rPr>
        <w:t>二、收入决算情况说明</w:t>
      </w:r>
      <w:bookmarkEnd w:id="27"/>
      <w:bookmarkEnd w:id="28"/>
      <w:bookmarkEnd w:id="29"/>
    </w:p>
    <w:p w14:paraId="603530EB">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1094.24万元，其中：一般公共预算财政拨款收入858.12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78.42</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236.12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21.57</w:t>
      </w:r>
      <w:r>
        <w:rPr>
          <w:rFonts w:hint="eastAsia" w:ascii="仿宋_GB2312" w:hAnsi="仿宋_GB2312" w:eastAsia="仿宋_GB2312" w:cs="仿宋_GB2312"/>
          <w:color w:val="auto"/>
          <w:sz w:val="32"/>
          <w:szCs w:val="32"/>
          <w:highlight w:val="none"/>
          <w:lang w:eastAsia="zh-CN"/>
        </w:rPr>
        <w:t>%。</w:t>
      </w:r>
      <w:r>
        <w:rPr>
          <w:highlight w:val="none"/>
        </w:rPr>
        <w:drawing>
          <wp:inline distT="0" distB="0" distL="114300" distR="114300">
            <wp:extent cx="5759450" cy="5027930"/>
            <wp:effectExtent l="0" t="0" r="12700" b="1270"/>
            <wp:docPr id="1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1"/>
                    <pic:cNvPicPr>
                      <a:picLocks noChangeAspect="1"/>
                    </pic:cNvPicPr>
                  </pic:nvPicPr>
                  <pic:blipFill>
                    <a:blip r:embed="rId8"/>
                    <a:stretch>
                      <a:fillRect/>
                    </a:stretch>
                  </pic:blipFill>
                  <pic:spPr>
                    <a:xfrm>
                      <a:off x="0" y="0"/>
                      <a:ext cx="5760000" cy="5028161"/>
                    </a:xfrm>
                    <a:prstGeom prst="rect">
                      <a:avLst/>
                    </a:prstGeom>
                  </pic:spPr>
                </pic:pic>
              </a:graphicData>
            </a:graphic>
          </wp:inline>
        </w:drawing>
      </w:r>
    </w:p>
    <w:p w14:paraId="606FE267">
      <w:pPr>
        <w:ind w:firstLine="800" w:firstLineChars="250"/>
        <w:rPr>
          <w:rFonts w:hint="eastAsia" w:ascii="Times New Roman" w:hAnsi="Times New Roman" w:eastAsia="仿宋_GB2312" w:cs="仿宋_GB2312"/>
          <w:color w:val="auto"/>
          <w:sz w:val="32"/>
          <w:szCs w:val="32"/>
          <w:highlight w:val="none"/>
          <w:lang w:eastAsia="zh-CN"/>
        </w:rPr>
      </w:pPr>
    </w:p>
    <w:p w14:paraId="37BFC551">
      <w:pPr>
        <w:pStyle w:val="6"/>
        <w:bidi w:val="0"/>
        <w:rPr>
          <w:rFonts w:hint="eastAsia"/>
        </w:rPr>
      </w:pPr>
      <w:bookmarkStart w:id="30" w:name="_Toc15396605"/>
      <w:bookmarkStart w:id="31" w:name="_Toc22216"/>
      <w:bookmarkStart w:id="32" w:name="_Toc15377207"/>
      <w:r>
        <w:rPr>
          <w:rFonts w:hint="eastAsia"/>
          <w:lang w:eastAsia="zh-CN"/>
        </w:rPr>
        <w:t>三、</w:t>
      </w:r>
      <w:r>
        <w:rPr>
          <w:rFonts w:hint="eastAsia"/>
        </w:rPr>
        <w:t>支出决算情况说明</w:t>
      </w:r>
      <w:bookmarkEnd w:id="30"/>
      <w:bookmarkEnd w:id="31"/>
      <w:bookmarkEnd w:id="32"/>
    </w:p>
    <w:p w14:paraId="47BE87F9">
      <w:pPr>
        <w:ind w:firstLine="800" w:firstLineChars="25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1087.27</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845.1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77.72</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242.17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22.27</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34FFC8EC">
      <w:pPr>
        <w:pStyle w:val="8"/>
        <w:rPr>
          <w:rFonts w:hint="eastAsia"/>
          <w:lang w:eastAsia="zh-CN"/>
        </w:rPr>
      </w:pPr>
    </w:p>
    <w:p w14:paraId="7438F7DF">
      <w:pPr>
        <w:pStyle w:val="8"/>
        <w:rPr>
          <w:rFonts w:hint="eastAsia"/>
          <w:lang w:eastAsia="zh-CN"/>
        </w:rPr>
      </w:pPr>
    </w:p>
    <w:p w14:paraId="782FF587">
      <w:pPr>
        <w:ind w:firstLine="525" w:firstLineChars="250"/>
        <w:rPr>
          <w:rFonts w:hint="eastAsia" w:ascii="Times New Roman" w:hAnsi="Times New Roman" w:eastAsia="仿宋_GB2312" w:cs="仿宋_GB2312"/>
          <w:color w:val="auto"/>
          <w:sz w:val="32"/>
          <w:szCs w:val="32"/>
          <w:highlight w:val="none"/>
          <w:lang w:eastAsia="zh-CN"/>
        </w:rPr>
      </w:pPr>
      <w:r>
        <w:rPr>
          <w:highlight w:val="none"/>
        </w:rPr>
        <w:drawing>
          <wp:inline distT="0" distB="0" distL="114300" distR="114300">
            <wp:extent cx="5759450" cy="5027930"/>
            <wp:effectExtent l="0" t="0" r="3175" b="1270"/>
            <wp:docPr id="1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Picture 1"/>
                    <pic:cNvPicPr>
                      <a:picLocks noChangeAspect="1"/>
                    </pic:cNvPicPr>
                  </pic:nvPicPr>
                  <pic:blipFill>
                    <a:blip r:embed="rId9"/>
                    <a:stretch>
                      <a:fillRect/>
                    </a:stretch>
                  </pic:blipFill>
                  <pic:spPr>
                    <a:xfrm>
                      <a:off x="0" y="0"/>
                      <a:ext cx="5760000" cy="5028161"/>
                    </a:xfrm>
                    <a:prstGeom prst="rect">
                      <a:avLst/>
                    </a:prstGeom>
                  </pic:spPr>
                </pic:pic>
              </a:graphicData>
            </a:graphic>
          </wp:inline>
        </w:drawing>
      </w:r>
    </w:p>
    <w:p w14:paraId="5026F51B">
      <w:pPr>
        <w:spacing w:line="600" w:lineRule="exact"/>
        <w:ind w:firstLine="640" w:firstLineChars="200"/>
        <w:outlineLvl w:val="1"/>
        <w:rPr>
          <w:rStyle w:val="29"/>
          <w:rFonts w:ascii="Times New Roman" w:hAnsi="Times New Roman" w:eastAsia="黑体"/>
          <w:b w:val="0"/>
          <w:color w:val="auto"/>
          <w:highlight w:val="none"/>
        </w:rPr>
      </w:pPr>
      <w:bookmarkStart w:id="33" w:name="_Toc10360"/>
      <w:bookmarkStart w:id="34" w:name="_Toc15396606"/>
      <w:bookmarkStart w:id="35" w:name="_Toc15377208"/>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33"/>
      <w:bookmarkEnd w:id="34"/>
      <w:bookmarkEnd w:id="35"/>
    </w:p>
    <w:p w14:paraId="23A5F6C2">
      <w:pPr>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858.12</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58.38</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7.29</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Times New Roman" w:hAnsi="Times New Roman" w:eastAsia="仿宋_GB2312" w:cs="Times New Roman"/>
          <w:sz w:val="32"/>
          <w:szCs w:val="32"/>
          <w:lang w:val="en-US" w:eastAsia="zh-CN"/>
        </w:rPr>
        <w:t>一是202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年增加项目经费预算，二是由于人员变动，使实际人员经费存在差异</w:t>
      </w:r>
      <w:r>
        <w:rPr>
          <w:rFonts w:hint="eastAsia" w:ascii="Times New Roman" w:hAnsi="Times New Roman" w:eastAsia="仿宋_GB2312" w:cs="Times New Roman"/>
          <w:sz w:val="32"/>
          <w:szCs w:val="32"/>
        </w:rPr>
        <w:t>。</w:t>
      </w:r>
    </w:p>
    <w:p w14:paraId="4C8E31A6">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1CB33ED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8E8FDD7">
      <w:pPr>
        <w:spacing w:line="600" w:lineRule="exact"/>
        <w:ind w:firstLine="640" w:firstLineChars="200"/>
        <w:outlineLvl w:val="1"/>
        <w:rPr>
          <w:rStyle w:val="29"/>
          <w:rFonts w:ascii="Times New Roman" w:hAnsi="Times New Roman" w:eastAsia="黑体"/>
          <w:b w:val="0"/>
          <w:color w:val="auto"/>
          <w:highlight w:val="none"/>
        </w:rPr>
      </w:pPr>
      <w:bookmarkStart w:id="36" w:name="_Toc15377209"/>
      <w:bookmarkStart w:id="37" w:name="_Toc15396607"/>
      <w:bookmarkStart w:id="38" w:name="_Toc28260"/>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36"/>
      <w:bookmarkEnd w:id="37"/>
      <w:bookmarkEnd w:id="38"/>
    </w:p>
    <w:p w14:paraId="4032257E">
      <w:pPr>
        <w:pStyle w:val="7"/>
        <w:bidi w:val="0"/>
        <w:rPr>
          <w:rFonts w:hint="eastAsia"/>
        </w:rPr>
      </w:pPr>
      <w:bookmarkStart w:id="39" w:name="_Toc15377210"/>
      <w:bookmarkStart w:id="40" w:name="_Toc22809"/>
      <w:r>
        <w:rPr>
          <w:rFonts w:hint="eastAsia"/>
        </w:rPr>
        <w:t>（一）一般公共预算财政拨款支出决算总体情况</w:t>
      </w:r>
      <w:bookmarkEnd w:id="39"/>
      <w:bookmarkEnd w:id="40"/>
    </w:p>
    <w:p w14:paraId="55568AF7">
      <w:pPr>
        <w:spacing w:line="600" w:lineRule="exact"/>
        <w:ind w:firstLine="640"/>
        <w:rPr>
          <w:rFonts w:hint="eastAsia" w:ascii="Times New Roman" w:hAnsi="Times New Roman" w:eastAsia="仿宋_GB2312" w:cs="Times New Roman"/>
          <w:sz w:val="32"/>
          <w:szCs w:val="32"/>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858.12</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78.92</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w:t>
      </w:r>
      <w:r>
        <w:rPr>
          <w:rFonts w:hint="eastAsia" w:eastAsia="仿宋_GB2312" w:cs="仿宋_GB2312"/>
          <w:color w:val="auto"/>
          <w:kern w:val="2"/>
          <w:sz w:val="32"/>
          <w:szCs w:val="32"/>
          <w:highlight w:val="none"/>
          <w:lang w:val="en-US" w:eastAsia="zh-CN" w:bidi="ar-SA"/>
        </w:rPr>
        <w:t>58.38</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7.29</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Times New Roman" w:hAnsi="Times New Roman" w:eastAsia="仿宋_GB2312" w:cs="Times New Roman"/>
          <w:sz w:val="32"/>
          <w:szCs w:val="32"/>
          <w:lang w:val="en-US" w:eastAsia="zh-CN"/>
        </w:rPr>
        <w:t>一是202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年增加项目经费预算，二是由于人员变动，使实际人员经费存在差异</w:t>
      </w:r>
      <w:r>
        <w:rPr>
          <w:rFonts w:hint="eastAsia" w:ascii="Times New Roman" w:hAnsi="Times New Roman" w:eastAsia="仿宋_GB2312" w:cs="Times New Roman"/>
          <w:sz w:val="32"/>
          <w:szCs w:val="32"/>
        </w:rPr>
        <w:t>。</w:t>
      </w:r>
    </w:p>
    <w:p w14:paraId="2A02E1AF">
      <w:pPr>
        <w:pStyle w:val="2"/>
        <w:rPr>
          <w:rFonts w:hint="eastAsia" w:ascii="Times New Roman" w:hAnsi="Times New Roman" w:eastAsia="仿宋_GB2312" w:cs="Times New Roman"/>
          <w:sz w:val="32"/>
          <w:szCs w:val="32"/>
        </w:rPr>
      </w:pPr>
    </w:p>
    <w:p w14:paraId="674E390F">
      <w:pPr>
        <w:pStyle w:val="3"/>
        <w:rPr>
          <w:rFonts w:hint="eastAsia"/>
          <w:lang w:val="en-US" w:eastAsia="zh-CN"/>
        </w:rPr>
      </w:pPr>
      <w:r>
        <w:rPr>
          <w:highlight w:val="none"/>
        </w:rPr>
        <w:drawing>
          <wp:inline distT="0" distB="0" distL="114300" distR="114300">
            <wp:extent cx="5759450" cy="5027930"/>
            <wp:effectExtent l="0" t="0" r="1270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5760000" cy="5028161"/>
                    </a:xfrm>
                    <a:prstGeom prst="rect">
                      <a:avLst/>
                    </a:prstGeom>
                  </pic:spPr>
                </pic:pic>
              </a:graphicData>
            </a:graphic>
          </wp:inline>
        </w:drawing>
      </w:r>
    </w:p>
    <w:p w14:paraId="2731C7AD">
      <w:pPr>
        <w:pStyle w:val="7"/>
        <w:bidi w:val="0"/>
        <w:rPr>
          <w:rFonts w:hint="eastAsia"/>
        </w:rPr>
      </w:pPr>
      <w:bookmarkStart w:id="41" w:name="_Toc23357"/>
      <w:bookmarkStart w:id="42" w:name="_Toc15377211"/>
      <w:r>
        <w:rPr>
          <w:rFonts w:hint="eastAsia"/>
        </w:rPr>
        <w:t>（二）一般公共预算财政拨款支出决算结构情况</w:t>
      </w:r>
      <w:bookmarkEnd w:id="41"/>
      <w:bookmarkEnd w:id="42"/>
    </w:p>
    <w:p w14:paraId="62BE0438">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858.12</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公共安全支出</w:t>
      </w:r>
      <w:r>
        <w:rPr>
          <w:rFonts w:hint="eastAsia" w:eastAsia="仿宋_GB2312" w:cs="仿宋_GB2312"/>
          <w:color w:val="auto"/>
          <w:kern w:val="2"/>
          <w:sz w:val="32"/>
          <w:szCs w:val="32"/>
          <w:highlight w:val="none"/>
          <w:lang w:val="en-US" w:eastAsia="zh-CN" w:bidi="ar-SA"/>
        </w:rPr>
        <w:t>675.54</w:t>
      </w:r>
      <w:r>
        <w:rPr>
          <w:rFonts w:hint="eastAsia" w:ascii="Times New Roman" w:hAnsi="Times New Roman" w:eastAsia="仿宋_GB2312" w:cs="仿宋_GB2312"/>
          <w:color w:val="auto"/>
          <w:kern w:val="2"/>
          <w:sz w:val="32"/>
          <w:szCs w:val="32"/>
          <w:highlight w:val="none"/>
          <w:lang w:val="en-US" w:eastAsia="zh-CN" w:bidi="ar-SA"/>
        </w:rPr>
        <w:t>万元，占**%；社会保障和就业支出</w:t>
      </w:r>
      <w:r>
        <w:rPr>
          <w:rFonts w:hint="eastAsia" w:eastAsia="仿宋_GB2312" w:cs="仿宋_GB2312"/>
          <w:color w:val="auto"/>
          <w:kern w:val="2"/>
          <w:sz w:val="32"/>
          <w:szCs w:val="32"/>
          <w:highlight w:val="none"/>
          <w:lang w:val="en-US" w:eastAsia="zh-CN" w:bidi="ar-SA"/>
        </w:rPr>
        <w:t>87.46</w:t>
      </w:r>
      <w:r>
        <w:rPr>
          <w:rFonts w:hint="eastAsia" w:ascii="Times New Roman" w:hAnsi="Times New Roman" w:eastAsia="仿宋_GB2312" w:cs="仿宋_GB2312"/>
          <w:color w:val="auto"/>
          <w:kern w:val="2"/>
          <w:sz w:val="32"/>
          <w:szCs w:val="32"/>
          <w:highlight w:val="none"/>
          <w:lang w:val="en-US" w:eastAsia="zh-CN" w:bidi="ar-SA"/>
        </w:rPr>
        <w:t>万元，占**%；卫生健康支出</w:t>
      </w:r>
      <w:r>
        <w:rPr>
          <w:rFonts w:hint="eastAsia" w:eastAsia="仿宋_GB2312" w:cs="仿宋_GB2312"/>
          <w:color w:val="auto"/>
          <w:kern w:val="2"/>
          <w:sz w:val="32"/>
          <w:szCs w:val="32"/>
          <w:highlight w:val="none"/>
          <w:lang w:val="en-US" w:eastAsia="zh-CN" w:bidi="ar-SA"/>
        </w:rPr>
        <w:t>38.81</w:t>
      </w:r>
      <w:r>
        <w:rPr>
          <w:rFonts w:hint="eastAsia" w:ascii="Times New Roman" w:hAnsi="Times New Roman" w:eastAsia="仿宋_GB2312" w:cs="仿宋_GB2312"/>
          <w:color w:val="auto"/>
          <w:kern w:val="2"/>
          <w:sz w:val="32"/>
          <w:szCs w:val="32"/>
          <w:highlight w:val="none"/>
          <w:lang w:val="en-US" w:eastAsia="zh-CN" w:bidi="ar-SA"/>
        </w:rPr>
        <w:t>万元，占**%；住房保障支出</w:t>
      </w:r>
      <w:r>
        <w:rPr>
          <w:rFonts w:hint="eastAsia" w:eastAsia="仿宋_GB2312" w:cs="仿宋_GB2312"/>
          <w:color w:val="auto"/>
          <w:kern w:val="2"/>
          <w:sz w:val="32"/>
          <w:szCs w:val="32"/>
          <w:highlight w:val="none"/>
          <w:lang w:val="en-US" w:eastAsia="zh-CN" w:bidi="ar-SA"/>
        </w:rPr>
        <w:t>56.31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w:t>
      </w:r>
    </w:p>
    <w:p w14:paraId="717B0F65">
      <w:pPr>
        <w:pStyle w:val="2"/>
        <w:rPr>
          <w:rFonts w:hint="eastAsia"/>
          <w:lang w:val="en-US" w:eastAsia="zh-CN"/>
        </w:rPr>
      </w:pPr>
    </w:p>
    <w:p w14:paraId="0E3E069F">
      <w:pPr>
        <w:pStyle w:val="3"/>
        <w:rPr>
          <w:rFonts w:hint="eastAsia"/>
          <w:lang w:val="en-US" w:eastAsia="zh-CN"/>
        </w:rPr>
      </w:pPr>
      <w:r>
        <w:drawing>
          <wp:inline distT="0" distB="0" distL="114300" distR="114300">
            <wp:extent cx="4826000" cy="2743200"/>
            <wp:effectExtent l="4445" t="4445" r="8255" b="14605"/>
            <wp:docPr id="7" name="图表 6"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4439CF">
      <w:pPr>
        <w:pStyle w:val="7"/>
        <w:bidi w:val="0"/>
        <w:rPr>
          <w:rFonts w:hint="eastAsia"/>
        </w:rPr>
      </w:pPr>
      <w:bookmarkStart w:id="43" w:name="_Toc15377212"/>
      <w:bookmarkStart w:id="44" w:name="_Toc26363"/>
      <w:r>
        <w:rPr>
          <w:rFonts w:hint="eastAsia"/>
        </w:rPr>
        <w:t>（三）一般公共预算财政拨款支出决算具体情况</w:t>
      </w:r>
      <w:bookmarkEnd w:id="43"/>
      <w:bookmarkEnd w:id="44"/>
    </w:p>
    <w:p w14:paraId="30932DB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5" w:name="_Toc15378460"/>
      <w:bookmarkStart w:id="46" w:name="_Toc15377444"/>
      <w:bookmarkStart w:id="47"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858.12</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45"/>
      <w:bookmarkEnd w:id="46"/>
      <w:bookmarkEnd w:id="47"/>
    </w:p>
    <w:p w14:paraId="23E45C80">
      <w:pPr>
        <w:spacing w:line="560" w:lineRule="exact"/>
        <w:ind w:firstLine="643" w:firstLineChars="200"/>
        <w:rPr>
          <w:rStyle w:val="17"/>
          <w:rFonts w:hint="eastAsia" w:ascii="仿宋_GB2312" w:eastAsia="仿宋_GB2312"/>
          <w:color w:val="000000"/>
          <w:sz w:val="32"/>
          <w:szCs w:val="32"/>
        </w:rPr>
      </w:pPr>
      <w:r>
        <w:rPr>
          <w:rStyle w:val="17"/>
          <w:rFonts w:ascii="Times New Roman" w:hAnsi="Times New Roman" w:eastAsia="仿宋" w:cs="Times New Roman"/>
          <w:bCs/>
          <w:sz w:val="32"/>
          <w:szCs w:val="32"/>
        </w:rPr>
        <w:t>1.</w:t>
      </w:r>
      <w:r>
        <w:rPr>
          <w:rStyle w:val="17"/>
          <w:rFonts w:hint="eastAsia" w:ascii="仿宋_GB2312" w:eastAsia="仿宋_GB2312"/>
          <w:color w:val="000000"/>
          <w:sz w:val="32"/>
          <w:szCs w:val="32"/>
        </w:rPr>
        <w:t>公共安全支出:</w:t>
      </w:r>
    </w:p>
    <w:p w14:paraId="3E41F19A">
      <w:pPr>
        <w:spacing w:line="560" w:lineRule="exact"/>
        <w:rPr>
          <w:rFonts w:hint="eastAsia" w:ascii="仿宋_GB2312" w:eastAsia="仿宋_GB2312"/>
          <w:color w:val="000000"/>
          <w:sz w:val="32"/>
          <w:szCs w:val="32"/>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公共安全204（类）检察04（款）行政运行01（项）：202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年决算数为</w:t>
      </w:r>
      <w:r>
        <w:rPr>
          <w:rFonts w:hint="eastAsia" w:ascii="仿宋_GB2312" w:eastAsia="仿宋_GB2312"/>
          <w:color w:val="000000"/>
          <w:sz w:val="32"/>
          <w:szCs w:val="32"/>
          <w:lang w:val="en-US" w:eastAsia="zh-CN"/>
        </w:rPr>
        <w:t>446.55</w:t>
      </w:r>
      <w:r>
        <w:rPr>
          <w:rFonts w:hint="eastAsia" w:ascii="仿宋_GB2312" w:eastAsia="仿宋_GB2312"/>
          <w:color w:val="000000"/>
          <w:sz w:val="32"/>
          <w:szCs w:val="32"/>
        </w:rPr>
        <w:t>万元，完成预算100%</w:t>
      </w:r>
      <w:r>
        <w:rPr>
          <w:rFonts w:hint="eastAsia" w:ascii="仿宋_GB2312" w:eastAsia="仿宋_GB2312"/>
          <w:color w:val="000000"/>
          <w:sz w:val="32"/>
          <w:szCs w:val="32"/>
          <w:lang w:eastAsia="zh-CN"/>
        </w:rPr>
        <w:t>。</w:t>
      </w:r>
    </w:p>
    <w:p w14:paraId="1F66A4BD">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公共安全204（类）检察04（款）一般行政管理事务02（项）：202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年决算数为</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万元，完成预算100%。</w:t>
      </w:r>
    </w:p>
    <w:p w14:paraId="33FF817A">
      <w:pPr>
        <w:spacing w:line="560" w:lineRule="exact"/>
        <w:ind w:firstLine="643" w:firstLineChars="200"/>
        <w:rPr>
          <w:rStyle w:val="17"/>
          <w:rFonts w:hint="eastAsia" w:ascii="仿宋_GB2312" w:eastAsia="仿宋_GB2312"/>
          <w:color w:val="000000"/>
          <w:sz w:val="32"/>
          <w:szCs w:val="32"/>
        </w:rPr>
      </w:pPr>
      <w:r>
        <w:rPr>
          <w:rStyle w:val="17"/>
          <w:rFonts w:ascii="Times New Roman" w:hAnsi="Times New Roman" w:eastAsia="仿宋" w:cs="Times New Roman"/>
          <w:bCs/>
          <w:sz w:val="32"/>
          <w:szCs w:val="32"/>
        </w:rPr>
        <w:t>2.</w:t>
      </w:r>
      <w:r>
        <w:rPr>
          <w:rStyle w:val="17"/>
          <w:rFonts w:hint="eastAsia" w:ascii="仿宋_GB2312" w:eastAsia="仿宋_GB2312"/>
          <w:color w:val="000000"/>
          <w:sz w:val="32"/>
          <w:szCs w:val="32"/>
        </w:rPr>
        <w:t>社会保障和就业:</w:t>
      </w:r>
    </w:p>
    <w:p w14:paraId="4635B624">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社会保障和就业208（类）行政事业单位离退休05（款）机关事业单位基本养老保险缴费支出05（项）：202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年决算数为</w:t>
      </w:r>
      <w:r>
        <w:rPr>
          <w:rFonts w:hint="eastAsia" w:ascii="仿宋_GB2312" w:eastAsia="仿宋_GB2312"/>
          <w:color w:val="000000"/>
          <w:sz w:val="32"/>
          <w:szCs w:val="32"/>
          <w:lang w:val="en-US" w:eastAsia="zh-CN"/>
        </w:rPr>
        <w:t>58.30</w:t>
      </w:r>
      <w:r>
        <w:rPr>
          <w:rFonts w:hint="eastAsia" w:ascii="仿宋_GB2312" w:eastAsia="仿宋_GB2312"/>
          <w:color w:val="000000"/>
          <w:sz w:val="32"/>
          <w:szCs w:val="32"/>
        </w:rPr>
        <w:t>万元，完成预算100%；</w:t>
      </w:r>
    </w:p>
    <w:p w14:paraId="3202C5E6">
      <w:pPr>
        <w:spacing w:line="600" w:lineRule="exact"/>
        <w:ind w:firstLine="640" w:firstLineChars="200"/>
        <w:rPr>
          <w:rFonts w:ascii="Times New Roman" w:hAnsi="Times New Roman" w:eastAsia="仿宋" w:cs="Times New Roman"/>
          <w:b/>
          <w:sz w:val="32"/>
          <w:szCs w:val="32"/>
        </w:rPr>
      </w:pPr>
      <w:r>
        <w:rPr>
          <w:rFonts w:hint="eastAsia" w:ascii="仿宋_GB2312" w:eastAsia="仿宋_GB2312"/>
          <w:color w:val="000000"/>
          <w:sz w:val="32"/>
          <w:szCs w:val="32"/>
        </w:rPr>
        <w:t>社会保障和就业208（类）行政事业单位离退休05（款）机关事业单位职业年金缴费支出06（项）：202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年决算数为</w:t>
      </w:r>
      <w:r>
        <w:rPr>
          <w:rFonts w:hint="eastAsia" w:ascii="仿宋_GB2312" w:eastAsia="仿宋_GB2312"/>
          <w:color w:val="000000"/>
          <w:sz w:val="32"/>
          <w:szCs w:val="32"/>
          <w:lang w:val="en-US" w:eastAsia="zh-CN"/>
        </w:rPr>
        <w:t>29.15</w:t>
      </w:r>
      <w:r>
        <w:rPr>
          <w:rFonts w:hint="eastAsia" w:ascii="仿宋_GB2312" w:eastAsia="仿宋_GB2312"/>
          <w:color w:val="000000"/>
          <w:sz w:val="32"/>
          <w:szCs w:val="32"/>
        </w:rPr>
        <w:t>万元，完成预算100%。</w:t>
      </w:r>
    </w:p>
    <w:p w14:paraId="32226E85">
      <w:pPr>
        <w:spacing w:line="560" w:lineRule="exact"/>
        <w:ind w:firstLine="643" w:firstLineChars="200"/>
        <w:rPr>
          <w:rFonts w:hint="eastAsia" w:ascii="仿宋_GB2312" w:eastAsia="仿宋_GB2312"/>
          <w:color w:val="000000"/>
          <w:sz w:val="32"/>
          <w:szCs w:val="32"/>
        </w:rPr>
      </w:pPr>
      <w:r>
        <w:rPr>
          <w:rStyle w:val="17"/>
          <w:rFonts w:ascii="Times New Roman" w:hAnsi="Times New Roman" w:eastAsia="仿宋" w:cs="Times New Roman"/>
          <w:bCs/>
          <w:sz w:val="32"/>
          <w:szCs w:val="32"/>
        </w:rPr>
        <w:t>3.</w:t>
      </w:r>
      <w:r>
        <w:rPr>
          <w:rStyle w:val="17"/>
          <w:rFonts w:hint="eastAsia" w:ascii="仿宋_GB2312" w:eastAsia="仿宋_GB2312"/>
          <w:color w:val="000000"/>
          <w:sz w:val="32"/>
          <w:szCs w:val="32"/>
        </w:rPr>
        <w:t>卫生健康支出:</w:t>
      </w:r>
    </w:p>
    <w:p w14:paraId="7175754A">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卫生健康210（类）行政单位医疗11（款）行政单位医疗01（项）</w:t>
      </w:r>
      <w:r>
        <w:rPr>
          <w:rFonts w:hint="eastAsia" w:ascii="仿宋_GB2312" w:eastAsia="仿宋_GB2312"/>
          <w:color w:val="000000"/>
          <w:sz w:val="32"/>
          <w:szCs w:val="32"/>
          <w:lang w:eastAsia="zh-CN"/>
        </w:rPr>
        <w:t>：</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年决算数为</w:t>
      </w:r>
      <w:r>
        <w:rPr>
          <w:rFonts w:hint="eastAsia" w:ascii="仿宋_GB2312" w:eastAsia="仿宋_GB2312"/>
          <w:color w:val="000000"/>
          <w:sz w:val="32"/>
          <w:szCs w:val="32"/>
          <w:lang w:val="en-US" w:eastAsia="zh-CN"/>
        </w:rPr>
        <w:t>28.6</w:t>
      </w:r>
      <w:r>
        <w:rPr>
          <w:rFonts w:hint="eastAsia" w:ascii="仿宋_GB2312" w:eastAsia="仿宋_GB2312"/>
          <w:color w:val="000000"/>
          <w:sz w:val="32"/>
          <w:szCs w:val="32"/>
        </w:rPr>
        <w:t>万元，完成预算100%。</w:t>
      </w:r>
    </w:p>
    <w:p w14:paraId="791BD1C0">
      <w:pPr>
        <w:spacing w:line="560" w:lineRule="exact"/>
        <w:ind w:firstLine="640" w:firstLineChars="200"/>
        <w:rPr>
          <w:rFonts w:ascii="Times New Roman" w:hAnsi="Times New Roman" w:cs="Times New Roman"/>
        </w:rPr>
      </w:pPr>
      <w:r>
        <w:rPr>
          <w:rFonts w:hint="eastAsia" w:ascii="仿宋_GB2312" w:eastAsia="仿宋_GB2312"/>
          <w:color w:val="000000"/>
          <w:sz w:val="32"/>
          <w:szCs w:val="32"/>
        </w:rPr>
        <w:t>卫生健康210（类）行政单位医疗11（款）公务员医疗补助03（项）：202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年决算数为</w:t>
      </w:r>
      <w:r>
        <w:rPr>
          <w:rFonts w:hint="eastAsia" w:ascii="仿宋_GB2312" w:eastAsia="仿宋_GB2312"/>
          <w:color w:val="000000"/>
          <w:sz w:val="32"/>
          <w:szCs w:val="32"/>
          <w:lang w:val="en-US" w:eastAsia="zh-CN"/>
        </w:rPr>
        <w:t>10.21</w:t>
      </w:r>
      <w:r>
        <w:rPr>
          <w:rFonts w:hint="eastAsia" w:ascii="仿宋_GB2312" w:eastAsia="仿宋_GB2312"/>
          <w:color w:val="000000"/>
          <w:sz w:val="32"/>
          <w:szCs w:val="32"/>
        </w:rPr>
        <w:t>万元，完成预算100%。</w:t>
      </w:r>
    </w:p>
    <w:p w14:paraId="07CA6942">
      <w:pPr>
        <w:spacing w:line="560" w:lineRule="exact"/>
        <w:ind w:firstLine="643" w:firstLineChars="200"/>
        <w:rPr>
          <w:rStyle w:val="17"/>
          <w:rFonts w:hint="eastAsia" w:ascii="仿宋_GB2312" w:eastAsia="仿宋_GB2312"/>
          <w:color w:val="000000"/>
          <w:sz w:val="32"/>
          <w:szCs w:val="32"/>
        </w:rPr>
      </w:pPr>
      <w:r>
        <w:rPr>
          <w:rStyle w:val="17"/>
          <w:rFonts w:ascii="Times New Roman" w:hAnsi="Times New Roman" w:eastAsia="仿宋" w:cs="Times New Roman"/>
          <w:bCs/>
          <w:sz w:val="32"/>
          <w:szCs w:val="32"/>
        </w:rPr>
        <w:t>4.</w:t>
      </w:r>
      <w:r>
        <w:rPr>
          <w:rStyle w:val="17"/>
          <w:rFonts w:hint="eastAsia" w:ascii="仿宋_GB2312" w:eastAsia="仿宋_GB2312"/>
          <w:color w:val="000000"/>
          <w:sz w:val="32"/>
          <w:szCs w:val="32"/>
        </w:rPr>
        <w:t>住房保障支出:</w:t>
      </w:r>
    </w:p>
    <w:p w14:paraId="73E34F0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olor w:val="000000"/>
          <w:sz w:val="32"/>
          <w:szCs w:val="32"/>
        </w:rPr>
        <w:t>住房保障支出221（类）住房改革支出02（款）住房公积金01（项）： 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年决算数为</w:t>
      </w:r>
      <w:r>
        <w:rPr>
          <w:rFonts w:hint="eastAsia" w:ascii="仿宋_GB2312" w:eastAsia="仿宋_GB2312"/>
          <w:color w:val="000000"/>
          <w:sz w:val="32"/>
          <w:szCs w:val="32"/>
          <w:lang w:val="en-US" w:eastAsia="zh-CN"/>
        </w:rPr>
        <w:t>56.31</w:t>
      </w:r>
      <w:r>
        <w:rPr>
          <w:rFonts w:hint="eastAsia" w:ascii="仿宋_GB2312" w:eastAsia="仿宋_GB2312"/>
          <w:color w:val="000000"/>
          <w:sz w:val="32"/>
          <w:szCs w:val="32"/>
        </w:rPr>
        <w:t>万元，完成预算100%；</w:t>
      </w:r>
    </w:p>
    <w:p w14:paraId="1DE68825">
      <w:pPr>
        <w:tabs>
          <w:tab w:val="right" w:pos="8306"/>
        </w:tabs>
        <w:spacing w:line="600" w:lineRule="exact"/>
        <w:ind w:firstLine="640"/>
        <w:outlineLvl w:val="1"/>
        <w:rPr>
          <w:rStyle w:val="29"/>
          <w:rFonts w:ascii="Times New Roman" w:hAnsi="Times New Roman"/>
          <w:color w:val="auto"/>
          <w:highlight w:val="none"/>
        </w:rPr>
      </w:pPr>
      <w:bookmarkStart w:id="48" w:name="_Toc15396608"/>
      <w:bookmarkStart w:id="49" w:name="_Toc17007"/>
      <w:bookmarkStart w:id="50" w:name="_Toc15377214"/>
      <w:r>
        <w:rPr>
          <w:rStyle w:val="29"/>
          <w:rFonts w:hint="eastAsia"/>
        </w:rPr>
        <w:t>六、一般公共预算财政拨款基本支出决算情况说明</w:t>
      </w:r>
      <w:bookmarkEnd w:id="48"/>
      <w:bookmarkEnd w:id="49"/>
      <w:bookmarkEnd w:id="50"/>
      <w:r>
        <w:rPr>
          <w:rStyle w:val="29"/>
          <w:rFonts w:ascii="Times New Roman" w:hAnsi="Times New Roman" w:eastAsia="黑体"/>
          <w:b w:val="0"/>
          <w:color w:val="auto"/>
          <w:highlight w:val="none"/>
        </w:rPr>
        <w:tab/>
      </w:r>
    </w:p>
    <w:p w14:paraId="5929217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629.13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73A11C6C">
      <w:pPr>
        <w:spacing w:line="560" w:lineRule="exact"/>
        <w:ind w:firstLine="645"/>
        <w:rPr>
          <w:rFonts w:hint="eastAsia" w:ascii="仿宋_GB2312" w:eastAsia="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550.29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_GB2312" w:eastAsia="仿宋_GB2312"/>
          <w:color w:val="000000"/>
          <w:sz w:val="32"/>
          <w:szCs w:val="32"/>
        </w:rPr>
        <w:t>基本工资</w:t>
      </w:r>
      <w:r>
        <w:rPr>
          <w:rFonts w:hint="eastAsia" w:ascii="仿宋_GB2312" w:eastAsia="仿宋_GB2312"/>
          <w:color w:val="000000"/>
          <w:sz w:val="32"/>
          <w:szCs w:val="32"/>
          <w:lang w:val="en-US" w:eastAsia="zh-CN"/>
        </w:rPr>
        <w:t>129.47</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158.39</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10.94</w:t>
      </w:r>
      <w:r>
        <w:rPr>
          <w:rFonts w:hint="eastAsia" w:ascii="仿宋_GB2312" w:eastAsia="仿宋_GB2312"/>
          <w:color w:val="000000"/>
          <w:sz w:val="32"/>
          <w:szCs w:val="32"/>
        </w:rPr>
        <w:t>万元、伙食补助费</w:t>
      </w:r>
      <w:r>
        <w:rPr>
          <w:rFonts w:hint="eastAsia" w:ascii="仿宋_GB2312" w:eastAsia="仿宋_GB2312"/>
          <w:color w:val="000000"/>
          <w:sz w:val="32"/>
          <w:szCs w:val="32"/>
          <w:lang w:val="en-US" w:eastAsia="zh-CN"/>
        </w:rPr>
        <w:t>5.93</w:t>
      </w:r>
      <w:r>
        <w:rPr>
          <w:rFonts w:hint="eastAsia" w:ascii="仿宋_GB2312" w:eastAsia="仿宋_GB2312"/>
          <w:color w:val="000000"/>
          <w:sz w:val="32"/>
          <w:szCs w:val="32"/>
        </w:rPr>
        <w:t>万元、绩效工资0万元、机关事业单位基本养老保险缴费</w:t>
      </w:r>
      <w:r>
        <w:rPr>
          <w:rFonts w:hint="eastAsia" w:ascii="仿宋_GB2312" w:eastAsia="仿宋_GB2312"/>
          <w:color w:val="000000"/>
          <w:sz w:val="32"/>
          <w:szCs w:val="32"/>
          <w:lang w:val="en-US" w:eastAsia="zh-CN"/>
        </w:rPr>
        <w:t>58.3</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29.15</w:t>
      </w:r>
      <w:r>
        <w:rPr>
          <w:rFonts w:hint="eastAsia" w:ascii="仿宋_GB2312" w:eastAsia="仿宋_GB2312"/>
          <w:color w:val="000000"/>
          <w:sz w:val="32"/>
          <w:szCs w:val="32"/>
        </w:rPr>
        <w:t>万元、行政单位医疗</w:t>
      </w:r>
      <w:r>
        <w:rPr>
          <w:rFonts w:hint="eastAsia" w:ascii="仿宋_GB2312" w:eastAsia="仿宋_GB2312"/>
          <w:color w:val="000000"/>
          <w:sz w:val="32"/>
          <w:szCs w:val="32"/>
          <w:lang w:val="en-US" w:eastAsia="zh-CN"/>
        </w:rPr>
        <w:t>28.6</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10.21</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0.74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住房公积金56.31万元、</w:t>
      </w:r>
      <w:r>
        <w:rPr>
          <w:rFonts w:hint="eastAsia" w:ascii="仿宋_GB2312" w:eastAsia="仿宋_GB2312"/>
          <w:color w:val="000000"/>
          <w:sz w:val="32"/>
          <w:szCs w:val="32"/>
        </w:rPr>
        <w:t>其他工资福利支出</w:t>
      </w:r>
      <w:r>
        <w:rPr>
          <w:rFonts w:hint="eastAsia" w:ascii="仿宋_GB2312" w:eastAsia="仿宋_GB2312"/>
          <w:color w:val="000000"/>
          <w:sz w:val="32"/>
          <w:szCs w:val="32"/>
          <w:lang w:val="en-US" w:eastAsia="zh-CN"/>
        </w:rPr>
        <w:t>59.85</w:t>
      </w:r>
      <w:r>
        <w:rPr>
          <w:rFonts w:hint="eastAsia" w:ascii="仿宋_GB2312" w:eastAsia="仿宋_GB2312"/>
          <w:color w:val="000000"/>
          <w:sz w:val="32"/>
          <w:szCs w:val="32"/>
        </w:rPr>
        <w:t>万元、离休费0万元、退休费0万元、抚恤金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万元、生活补助</w:t>
      </w:r>
      <w:r>
        <w:rPr>
          <w:rFonts w:hint="eastAsia" w:ascii="仿宋_GB2312" w:eastAsia="仿宋_GB2312"/>
          <w:color w:val="000000"/>
          <w:sz w:val="32"/>
          <w:szCs w:val="32"/>
          <w:lang w:val="en-US" w:eastAsia="zh-CN"/>
        </w:rPr>
        <w:t>2.39</w:t>
      </w:r>
      <w:r>
        <w:rPr>
          <w:rFonts w:hint="eastAsia" w:ascii="仿宋_GB2312" w:eastAsia="仿宋_GB2312"/>
          <w:color w:val="000000"/>
          <w:sz w:val="32"/>
          <w:szCs w:val="32"/>
        </w:rPr>
        <w:t>万元、救济费</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w:t>
      </w:r>
    </w:p>
    <w:p w14:paraId="70C9F5A2">
      <w:pPr>
        <w:spacing w:line="560" w:lineRule="exact"/>
        <w:ind w:firstLine="640" w:firstLineChars="200"/>
        <w:rPr>
          <w:rFonts w:ascii="Times New Roman" w:hAnsi="Times New Roman" w:cs="Times New Roman"/>
        </w:rPr>
      </w:pP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78.83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_GB2312" w:eastAsia="仿宋_GB2312"/>
          <w:color w:val="000000"/>
          <w:sz w:val="32"/>
          <w:szCs w:val="32"/>
        </w:rPr>
        <w:t>办公费</w:t>
      </w:r>
      <w:r>
        <w:rPr>
          <w:rFonts w:hint="eastAsia" w:ascii="仿宋_GB2312" w:eastAsia="仿宋_GB2312"/>
          <w:color w:val="000000"/>
          <w:sz w:val="32"/>
          <w:szCs w:val="32"/>
          <w:lang w:val="en-US" w:eastAsia="zh-CN"/>
        </w:rPr>
        <w:t>62.97</w:t>
      </w:r>
      <w:r>
        <w:rPr>
          <w:rFonts w:hint="eastAsia" w:ascii="仿宋_GB2312" w:eastAsia="仿宋_GB2312"/>
          <w:color w:val="000000"/>
          <w:sz w:val="32"/>
          <w:szCs w:val="32"/>
        </w:rPr>
        <w:t>万元、印刷费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万元、咨询费0万元、手续费0万元、水费</w:t>
      </w:r>
      <w:r>
        <w:rPr>
          <w:rFonts w:hint="eastAsia" w:ascii="仿宋_GB2312" w:eastAsia="仿宋_GB2312"/>
          <w:color w:val="000000"/>
          <w:sz w:val="32"/>
          <w:szCs w:val="32"/>
          <w:lang w:val="en-US" w:eastAsia="zh-CN"/>
        </w:rPr>
        <w:t>0.15</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25.35</w:t>
      </w:r>
      <w:r>
        <w:rPr>
          <w:rFonts w:hint="eastAsia" w:ascii="仿宋_GB2312" w:eastAsia="仿宋_GB2312"/>
          <w:color w:val="000000"/>
          <w:sz w:val="32"/>
          <w:szCs w:val="32"/>
        </w:rPr>
        <w:t>万元、取暖费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万元、物业管理费0万元、差旅费</w:t>
      </w:r>
      <w:r>
        <w:rPr>
          <w:rFonts w:hint="eastAsia" w:ascii="仿宋_GB2312" w:eastAsia="仿宋_GB2312"/>
          <w:color w:val="000000"/>
          <w:sz w:val="32"/>
          <w:szCs w:val="32"/>
          <w:lang w:val="en-US" w:eastAsia="zh-CN"/>
        </w:rPr>
        <w:t>46.79</w:t>
      </w:r>
      <w:r>
        <w:rPr>
          <w:rFonts w:hint="eastAsia" w:ascii="仿宋_GB2312" w:eastAsia="仿宋_GB2312"/>
          <w:color w:val="000000"/>
          <w:sz w:val="32"/>
          <w:szCs w:val="32"/>
        </w:rPr>
        <w:t>万元、因公出国（境）费用0万元、维修（护）费</w:t>
      </w:r>
      <w:r>
        <w:rPr>
          <w:rFonts w:hint="eastAsia" w:ascii="仿宋_GB2312" w:eastAsia="仿宋_GB2312"/>
          <w:color w:val="000000"/>
          <w:sz w:val="32"/>
          <w:szCs w:val="32"/>
          <w:lang w:val="en-US" w:eastAsia="zh-CN"/>
        </w:rPr>
        <w:t>6.95</w:t>
      </w:r>
      <w:r>
        <w:rPr>
          <w:rFonts w:hint="eastAsia" w:ascii="仿宋_GB2312" w:eastAsia="仿宋_GB2312"/>
          <w:color w:val="000000"/>
          <w:sz w:val="32"/>
          <w:szCs w:val="32"/>
        </w:rPr>
        <w:t>万元、租赁费0万元、会议费</w:t>
      </w:r>
      <w:r>
        <w:rPr>
          <w:rFonts w:hint="eastAsia" w:ascii="仿宋_GB2312" w:eastAsia="仿宋_GB2312"/>
          <w:color w:val="000000"/>
          <w:sz w:val="32"/>
          <w:szCs w:val="32"/>
          <w:lang w:val="en-US" w:eastAsia="zh-CN"/>
        </w:rPr>
        <w:t>1.09</w:t>
      </w:r>
      <w:r>
        <w:rPr>
          <w:rFonts w:hint="eastAsia" w:ascii="仿宋_GB2312" w:eastAsia="仿宋_GB2312"/>
          <w:color w:val="000000"/>
          <w:sz w:val="32"/>
          <w:szCs w:val="32"/>
        </w:rPr>
        <w:t>万元、培训费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万元、公务接待费</w:t>
      </w: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万元、被装购置费</w:t>
      </w:r>
      <w:r>
        <w:rPr>
          <w:rFonts w:hint="eastAsia" w:ascii="仿宋_GB2312" w:eastAsia="仿宋_GB2312"/>
          <w:color w:val="000000"/>
          <w:sz w:val="32"/>
          <w:szCs w:val="32"/>
          <w:lang w:val="en-US" w:eastAsia="zh-CN"/>
        </w:rPr>
        <w:t>1.34</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30.18</w:t>
      </w:r>
      <w:r>
        <w:rPr>
          <w:rFonts w:hint="eastAsia" w:ascii="仿宋_GB2312" w:eastAsia="仿宋_GB2312"/>
          <w:color w:val="000000"/>
          <w:sz w:val="32"/>
          <w:szCs w:val="32"/>
        </w:rPr>
        <w:t>万元、委托业务费0万元、工会经费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万元、福利费</w:t>
      </w:r>
      <w:r>
        <w:rPr>
          <w:rFonts w:hint="eastAsia" w:ascii="仿宋_GB2312" w:eastAsia="仿宋_GB2312"/>
          <w:color w:val="000000"/>
          <w:sz w:val="32"/>
          <w:szCs w:val="32"/>
          <w:lang w:val="en-US" w:eastAsia="zh-CN"/>
        </w:rPr>
        <w:t>6.07</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8.39</w:t>
      </w:r>
      <w:r>
        <w:rPr>
          <w:rFonts w:hint="eastAsia" w:ascii="仿宋_GB2312" w:eastAsia="仿宋_GB2312"/>
          <w:color w:val="000000"/>
          <w:sz w:val="32"/>
          <w:szCs w:val="32"/>
        </w:rPr>
        <w:t>万元、其他交通费</w:t>
      </w:r>
      <w:r>
        <w:rPr>
          <w:rFonts w:hint="eastAsia" w:ascii="仿宋_GB2312" w:eastAsia="仿宋_GB2312"/>
          <w:color w:val="000000"/>
          <w:sz w:val="32"/>
          <w:szCs w:val="32"/>
          <w:lang w:val="en-US" w:eastAsia="zh-CN"/>
        </w:rPr>
        <w:t>25.58</w:t>
      </w:r>
      <w:r>
        <w:rPr>
          <w:rFonts w:hint="eastAsia" w:ascii="仿宋_GB2312" w:eastAsia="仿宋_GB2312"/>
          <w:color w:val="000000"/>
          <w:sz w:val="32"/>
          <w:szCs w:val="32"/>
        </w:rPr>
        <w:t>万元、税金及附加费用0万元、其他商品和服务支出</w:t>
      </w:r>
      <w:r>
        <w:rPr>
          <w:rFonts w:hint="eastAsia" w:ascii="仿宋_GB2312" w:eastAsia="仿宋_GB2312"/>
          <w:color w:val="000000"/>
          <w:sz w:val="32"/>
          <w:szCs w:val="32"/>
          <w:lang w:val="en-US" w:eastAsia="zh-CN"/>
        </w:rPr>
        <w:t>2.65</w:t>
      </w:r>
      <w:r>
        <w:rPr>
          <w:rFonts w:hint="eastAsia" w:ascii="仿宋_GB2312" w:eastAsia="仿宋_GB2312"/>
          <w:color w:val="000000"/>
          <w:sz w:val="32"/>
          <w:szCs w:val="32"/>
        </w:rPr>
        <w:t>万元、办公设备购置</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万元、专用设备购置0万元、信息网络及软件购置更新</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万元、其他资本性支出0万元等。</w:t>
      </w:r>
    </w:p>
    <w:p w14:paraId="6666FFAE">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14:paraId="314351C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38D2ECD">
      <w:pPr>
        <w:pStyle w:val="6"/>
        <w:bidi w:val="0"/>
      </w:pPr>
      <w:bookmarkStart w:id="51" w:name="_Toc15377215"/>
      <w:bookmarkStart w:id="52" w:name="_Toc21626"/>
      <w:bookmarkStart w:id="53" w:name="_Toc15396609"/>
      <w:r>
        <w:rPr>
          <w:rFonts w:hint="eastAsia"/>
        </w:rPr>
        <w:t>七、财政拨款“三公”经费支出决算情况说明</w:t>
      </w:r>
      <w:bookmarkEnd w:id="51"/>
      <w:bookmarkEnd w:id="52"/>
      <w:bookmarkEnd w:id="53"/>
    </w:p>
    <w:p w14:paraId="62204D30">
      <w:pPr>
        <w:pStyle w:val="7"/>
        <w:bidi w:val="0"/>
        <w:rPr>
          <w:rFonts w:hint="eastAsia" w:ascii="Times New Roman" w:hAnsi="Times New Roman" w:eastAsia="楷体_GB2312" w:cs="楷体_GB2312"/>
          <w:b/>
          <w:color w:val="auto"/>
          <w:szCs w:val="32"/>
          <w:highlight w:val="none"/>
        </w:rPr>
      </w:pPr>
      <w:bookmarkStart w:id="54" w:name="_Toc4049"/>
      <w:bookmarkStart w:id="55" w:name="_Toc15377216"/>
      <w:r>
        <w:rPr>
          <w:rFonts w:hint="eastAsia"/>
        </w:rPr>
        <w:t>（一）“三公”经费财政拨款支出决算总体情况说明</w:t>
      </w:r>
      <w:bookmarkEnd w:id="54"/>
      <w:bookmarkEnd w:id="55"/>
    </w:p>
    <w:p w14:paraId="00A3FAA0">
      <w:pPr>
        <w:snapToGrid w:val="0"/>
        <w:spacing w:line="520" w:lineRule="exact"/>
        <w:ind w:firstLine="640" w:firstLineChars="200"/>
        <w:rPr>
          <w:rFonts w:hint="eastAsia" w:ascii="仿宋_GB2312" w:hAnsi="宋体" w:eastAsia="仿宋_GB2312"/>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9.59</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宋体" w:eastAsia="仿宋_GB2312"/>
          <w:color w:val="auto"/>
          <w:sz w:val="32"/>
          <w:szCs w:val="32"/>
          <w:highlight w:val="none"/>
        </w:rPr>
        <w:t>：</w:t>
      </w:r>
      <w:r>
        <w:rPr>
          <w:rFonts w:hint="eastAsia" w:ascii="仿宋_GB2312" w:eastAsia="仿宋_GB2312"/>
          <w:color w:val="auto"/>
          <w:sz w:val="32"/>
          <w:szCs w:val="32"/>
          <w:highlight w:val="none"/>
        </w:rPr>
        <w:t>①</w:t>
      </w:r>
      <w:r>
        <w:rPr>
          <w:rFonts w:hint="eastAsia" w:ascii="仿宋_GB2312" w:hAnsi="宋体" w:eastAsia="仿宋_GB2312"/>
          <w:color w:val="auto"/>
          <w:sz w:val="32"/>
          <w:szCs w:val="32"/>
          <w:highlight w:val="none"/>
        </w:rPr>
        <w:t>因公出国（境）费预算</w:t>
      </w:r>
      <w:r>
        <w:rPr>
          <w:rFonts w:hint="eastAsia" w:ascii="仿宋" w:hAnsi="仿宋" w:eastAsia="仿宋"/>
          <w:color w:val="auto"/>
          <w:sz w:val="32"/>
          <w:szCs w:val="32"/>
          <w:highlight w:val="none"/>
          <w:lang w:val="en-US" w:eastAsia="zh-CN"/>
        </w:rPr>
        <w:t>0.00</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，实际支出</w:t>
      </w:r>
      <w:r>
        <w:rPr>
          <w:rFonts w:hint="eastAsia" w:ascii="仿宋" w:hAnsi="仿宋" w:eastAsia="仿宋"/>
          <w:color w:val="auto"/>
          <w:sz w:val="32"/>
          <w:szCs w:val="32"/>
          <w:highlight w:val="none"/>
          <w:lang w:val="en-US" w:eastAsia="zh-CN"/>
        </w:rPr>
        <w:t>0.00</w:t>
      </w:r>
      <w:r>
        <w:rPr>
          <w:rFonts w:hint="eastAsia" w:ascii="仿宋_GB2312" w:hAnsi="宋体" w:eastAsia="仿宋_GB2312" w:cs="宋体"/>
          <w:color w:val="auto"/>
          <w:sz w:val="32"/>
          <w:szCs w:val="32"/>
          <w:highlight w:val="none"/>
        </w:rPr>
        <w:t>万元</w:t>
      </w:r>
      <w:r>
        <w:rPr>
          <w:rFonts w:hint="eastAsia" w:ascii="仿宋" w:hAnsi="仿宋" w:eastAsia="仿宋" w:cs="Times New Roman"/>
          <w:color w:val="auto"/>
          <w:kern w:val="2"/>
          <w:sz w:val="32"/>
          <w:szCs w:val="32"/>
          <w:highlight w:val="none"/>
          <w:lang w:val="en-US" w:eastAsia="zh-CN" w:bidi="ar-SA"/>
        </w:rPr>
        <w:t>，</w:t>
      </w:r>
      <w:r>
        <w:rPr>
          <w:rFonts w:hint="eastAsia" w:ascii="仿宋" w:hAnsi="仿宋" w:eastAsia="仿宋"/>
          <w:color w:val="auto"/>
          <w:sz w:val="32"/>
          <w:szCs w:val="32"/>
          <w:highlight w:val="none"/>
          <w:lang w:val="en-US" w:eastAsia="zh-CN"/>
        </w:rPr>
        <w:t>与上年持平</w:t>
      </w:r>
      <w:r>
        <w:rPr>
          <w:rFonts w:hint="eastAsia" w:ascii="仿宋_GB2312" w:hAnsi="宋体" w:eastAsia="仿宋_GB2312"/>
          <w:color w:val="auto"/>
          <w:sz w:val="32"/>
          <w:szCs w:val="32"/>
          <w:highlight w:val="none"/>
        </w:rPr>
        <w:t>；</w:t>
      </w:r>
      <w:r>
        <w:rPr>
          <w:rFonts w:hint="eastAsia" w:ascii="仿宋_GB2312" w:hAnsi="宋体" w:eastAsia="仿宋_GB2312" w:cs="宋体"/>
          <w:color w:val="auto"/>
          <w:sz w:val="32"/>
          <w:szCs w:val="32"/>
          <w:highlight w:val="none"/>
        </w:rPr>
        <w:t>②</w:t>
      </w:r>
      <w:r>
        <w:rPr>
          <w:rFonts w:hint="eastAsia" w:ascii="仿宋_GB2312" w:hAnsi="宋体" w:eastAsia="仿宋_GB2312"/>
          <w:color w:val="auto"/>
          <w:sz w:val="32"/>
          <w:szCs w:val="32"/>
          <w:highlight w:val="none"/>
          <w:lang w:eastAsia="zh-CN"/>
        </w:rPr>
        <w:t>单位公车保有量</w:t>
      </w:r>
      <w:r>
        <w:rPr>
          <w:rFonts w:hint="eastAsia" w:ascii="仿宋" w:hAnsi="仿宋" w:eastAsia="仿宋"/>
          <w:color w:val="auto"/>
          <w:sz w:val="32"/>
          <w:szCs w:val="32"/>
          <w:highlight w:val="none"/>
          <w:lang w:val="en-US" w:eastAsia="zh-CN"/>
        </w:rPr>
        <w:t>6</w:t>
      </w:r>
      <w:r>
        <w:rPr>
          <w:rFonts w:hint="eastAsia" w:ascii="仿宋_GB2312" w:hAnsi="宋体" w:eastAsia="仿宋_GB2312"/>
          <w:color w:val="auto"/>
          <w:sz w:val="32"/>
          <w:szCs w:val="32"/>
          <w:highlight w:val="none"/>
          <w:lang w:val="en-US" w:eastAsia="zh-CN"/>
        </w:rPr>
        <w:t>辆，公务</w:t>
      </w:r>
      <w:r>
        <w:rPr>
          <w:rFonts w:hint="eastAsia" w:ascii="仿宋_GB2312" w:hAnsi="宋体" w:eastAsia="仿宋_GB2312"/>
          <w:color w:val="auto"/>
          <w:sz w:val="32"/>
          <w:szCs w:val="32"/>
          <w:highlight w:val="none"/>
        </w:rPr>
        <w:t>用车公务用车购置及运行维护费预算</w:t>
      </w:r>
      <w:r>
        <w:rPr>
          <w:rFonts w:hint="eastAsia" w:ascii="仿宋" w:hAnsi="仿宋" w:eastAsia="仿宋"/>
          <w:color w:val="auto"/>
          <w:sz w:val="32"/>
          <w:szCs w:val="32"/>
          <w:highlight w:val="none"/>
          <w:lang w:val="en-US" w:eastAsia="zh-CN"/>
        </w:rPr>
        <w:t>8.39</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，实际支出</w:t>
      </w:r>
      <w:r>
        <w:rPr>
          <w:rFonts w:hint="eastAsia" w:ascii="仿宋" w:hAnsi="仿宋" w:eastAsia="仿宋"/>
          <w:color w:val="auto"/>
          <w:sz w:val="32"/>
          <w:szCs w:val="32"/>
          <w:highlight w:val="none"/>
          <w:lang w:val="en-US" w:eastAsia="zh-CN"/>
        </w:rPr>
        <w:t>8.39</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w:t>
      </w:r>
      <w:r>
        <w:rPr>
          <w:rFonts w:hint="eastAsia" w:ascii="仿宋" w:hAnsi="仿宋" w:eastAsia="仿宋"/>
          <w:color w:val="auto"/>
          <w:sz w:val="32"/>
          <w:szCs w:val="32"/>
          <w:highlight w:val="none"/>
          <w:lang w:val="en-US" w:eastAsia="zh-CN"/>
        </w:rPr>
        <w:t>较2023年减少7.01万元,原因是三公经费今年大幅减少</w:t>
      </w:r>
      <w:r>
        <w:rPr>
          <w:rFonts w:hint="eastAsia" w:ascii="仿宋_GB2312" w:hAnsi="宋体" w:eastAsia="仿宋_GB2312"/>
          <w:color w:val="auto"/>
          <w:sz w:val="32"/>
          <w:szCs w:val="32"/>
          <w:highlight w:val="none"/>
        </w:rPr>
        <w:t>；</w:t>
      </w:r>
      <w:r>
        <w:rPr>
          <w:rFonts w:hint="eastAsia" w:ascii="仿宋_GB2312" w:hAnsi="宋体" w:eastAsia="仿宋_GB2312" w:cs="宋体"/>
          <w:sz w:val="32"/>
          <w:szCs w:val="32"/>
          <w:highlight w:val="none"/>
        </w:rPr>
        <w:t>③</w:t>
      </w:r>
      <w:r>
        <w:rPr>
          <w:rFonts w:hint="eastAsia" w:ascii="仿宋_GB2312" w:hAnsi="宋体" w:eastAsia="仿宋_GB2312"/>
          <w:color w:val="auto"/>
          <w:sz w:val="32"/>
          <w:szCs w:val="32"/>
          <w:highlight w:val="none"/>
        </w:rPr>
        <w:t>公务接待费预算</w:t>
      </w:r>
      <w:r>
        <w:rPr>
          <w:rFonts w:hint="eastAsia" w:ascii="仿宋" w:hAnsi="仿宋" w:eastAsia="仿宋"/>
          <w:color w:val="auto"/>
          <w:sz w:val="32"/>
          <w:szCs w:val="32"/>
          <w:highlight w:val="none"/>
          <w:lang w:val="en-US" w:eastAsia="zh-CN"/>
        </w:rPr>
        <w:t>1.20</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，实际支出</w:t>
      </w:r>
      <w:r>
        <w:rPr>
          <w:rFonts w:hint="eastAsia" w:ascii="仿宋" w:hAnsi="仿宋" w:eastAsia="仿宋"/>
          <w:color w:val="auto"/>
          <w:sz w:val="32"/>
          <w:szCs w:val="32"/>
          <w:highlight w:val="none"/>
          <w:lang w:val="en-US" w:eastAsia="zh-CN"/>
        </w:rPr>
        <w:t>1.20</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w:t>
      </w:r>
      <w:r>
        <w:rPr>
          <w:rFonts w:hint="eastAsia" w:ascii="仿宋" w:hAnsi="仿宋" w:eastAsia="仿宋"/>
          <w:color w:val="auto"/>
          <w:sz w:val="32"/>
          <w:szCs w:val="32"/>
          <w:highlight w:val="none"/>
          <w:lang w:val="en-US" w:eastAsia="zh-CN"/>
        </w:rPr>
        <w:t>较2023年减少0.04万元</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202</w:t>
      </w:r>
      <w:r>
        <w:rPr>
          <w:rFonts w:hint="eastAsia" w:ascii="仿宋_GB2312" w:hAnsi="宋体" w:eastAsia="仿宋_GB2312"/>
          <w:color w:val="auto"/>
          <w:sz w:val="32"/>
          <w:szCs w:val="32"/>
          <w:highlight w:val="none"/>
          <w:lang w:val="en-US" w:eastAsia="zh-CN"/>
        </w:rPr>
        <w:t>4</w:t>
      </w:r>
      <w:r>
        <w:rPr>
          <w:rFonts w:hint="eastAsia" w:ascii="仿宋_GB2312" w:hAnsi="宋体" w:eastAsia="仿宋_GB2312"/>
          <w:color w:val="auto"/>
          <w:sz w:val="32"/>
          <w:szCs w:val="32"/>
          <w:highlight w:val="none"/>
          <w:lang w:eastAsia="zh-CN"/>
        </w:rPr>
        <w:t>年</w:t>
      </w:r>
      <w:r>
        <w:rPr>
          <w:rFonts w:hint="eastAsia" w:ascii="仿宋_GB2312" w:hAnsi="宋体" w:eastAsia="仿宋_GB2312"/>
          <w:color w:val="auto"/>
          <w:sz w:val="32"/>
          <w:szCs w:val="32"/>
          <w:highlight w:val="none"/>
        </w:rPr>
        <w:t>本单位公务接待</w:t>
      </w:r>
      <w:r>
        <w:rPr>
          <w:rFonts w:hint="eastAsia" w:ascii="仿宋" w:hAnsi="仿宋" w:eastAsia="仿宋"/>
          <w:color w:val="auto"/>
          <w:sz w:val="32"/>
          <w:szCs w:val="32"/>
          <w:highlight w:val="none"/>
          <w:lang w:val="en-US" w:eastAsia="zh-CN"/>
        </w:rPr>
        <w:t>8</w:t>
      </w:r>
      <w:r>
        <w:rPr>
          <w:rFonts w:hint="eastAsia" w:ascii="仿宋_GB2312" w:hAnsi="宋体" w:eastAsia="仿宋_GB2312"/>
          <w:color w:val="auto"/>
          <w:sz w:val="32"/>
          <w:szCs w:val="32"/>
          <w:highlight w:val="none"/>
        </w:rPr>
        <w:t>批次，共计</w:t>
      </w:r>
      <w:r>
        <w:rPr>
          <w:rFonts w:hint="eastAsia" w:ascii="仿宋" w:hAnsi="仿宋" w:eastAsia="仿宋"/>
          <w:color w:val="auto"/>
          <w:sz w:val="32"/>
          <w:szCs w:val="32"/>
          <w:highlight w:val="none"/>
          <w:lang w:val="en-US" w:eastAsia="zh-CN"/>
        </w:rPr>
        <w:t>80</w:t>
      </w:r>
      <w:r>
        <w:rPr>
          <w:rFonts w:hint="eastAsia" w:ascii="仿宋_GB2312" w:hAnsi="宋体" w:eastAsia="仿宋_GB2312"/>
          <w:color w:val="auto"/>
          <w:sz w:val="32"/>
          <w:szCs w:val="32"/>
          <w:highlight w:val="none"/>
        </w:rPr>
        <w:t>人</w:t>
      </w:r>
      <w:r>
        <w:rPr>
          <w:rFonts w:hint="eastAsia" w:ascii="仿宋_GB2312" w:hAnsi="宋体" w:eastAsia="仿宋_GB2312"/>
          <w:color w:val="auto"/>
          <w:sz w:val="32"/>
          <w:szCs w:val="32"/>
          <w:highlight w:val="none"/>
          <w:lang w:val="en-US" w:eastAsia="zh-CN"/>
        </w:rPr>
        <w:t>次</w:t>
      </w:r>
      <w:r>
        <w:rPr>
          <w:rFonts w:hint="eastAsia" w:ascii="仿宋_GB2312" w:hAnsi="宋体" w:eastAsia="仿宋_GB2312"/>
          <w:color w:val="auto"/>
          <w:sz w:val="32"/>
          <w:szCs w:val="32"/>
          <w:highlight w:val="none"/>
          <w:lang w:eastAsia="zh-CN"/>
        </w:rPr>
        <w:t>。</w:t>
      </w:r>
    </w:p>
    <w:p w14:paraId="3029A133">
      <w:pPr>
        <w:pStyle w:val="7"/>
        <w:bidi w:val="0"/>
        <w:rPr>
          <w:rFonts w:hint="eastAsia"/>
        </w:rPr>
      </w:pPr>
      <w:bookmarkStart w:id="56" w:name="_Toc15377217"/>
      <w:bookmarkStart w:id="57" w:name="_Toc11604"/>
      <w:r>
        <w:rPr>
          <w:rFonts w:hint="eastAsia"/>
        </w:rPr>
        <w:t>（二）“三公”经费财政拨款支出决算具体情况说明</w:t>
      </w:r>
      <w:bookmarkEnd w:id="56"/>
      <w:bookmarkEnd w:id="57"/>
    </w:p>
    <w:p w14:paraId="50878AFB">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w:t>
      </w:r>
      <w:r>
        <w:drawing>
          <wp:anchor distT="0" distB="0" distL="114300" distR="114300" simplePos="0" relativeHeight="251659264" behindDoc="0" locked="0" layoutInCell="1" allowOverlap="1">
            <wp:simplePos x="0" y="0"/>
            <wp:positionH relativeFrom="column">
              <wp:posOffset>107950</wp:posOffset>
            </wp:positionH>
            <wp:positionV relativeFrom="paragraph">
              <wp:posOffset>912495</wp:posOffset>
            </wp:positionV>
            <wp:extent cx="4826000" cy="2743200"/>
            <wp:effectExtent l="4445" t="4445" r="8255" b="14605"/>
            <wp:wrapTopAndBottom/>
            <wp:docPr id="8" name="图表 7"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_GB2312" w:eastAsia="仿宋_GB2312" w:cs="仿宋_GB2312"/>
          <w:color w:val="auto"/>
          <w:kern w:val="2"/>
          <w:sz w:val="32"/>
          <w:szCs w:val="32"/>
          <w:highlight w:val="none"/>
          <w:lang w:val="en-US" w:eastAsia="zh-CN" w:bidi="ar-SA"/>
        </w:rPr>
        <w:t>费支出决算</w:t>
      </w:r>
      <w:r>
        <w:rPr>
          <w:rFonts w:hint="eastAsia" w:ascii="仿宋_GB2312" w:hAnsi="仿宋_GB2312" w:eastAsia="仿宋_GB2312" w:cs="仿宋_GB2312"/>
          <w:sz w:val="32"/>
          <w:szCs w:val="32"/>
        </w:rPr>
        <w:t>8.39</w:t>
      </w:r>
      <w:r>
        <w:rPr>
          <w:rFonts w:hint="eastAsia" w:ascii="仿宋_GB2312" w:hAnsi="仿宋_GB2312" w:eastAsia="仿宋_GB2312" w:cs="仿宋_GB2312"/>
          <w:color w:val="auto"/>
          <w:kern w:val="2"/>
          <w:sz w:val="32"/>
          <w:szCs w:val="32"/>
          <w:highlight w:val="none"/>
          <w:lang w:val="en-US" w:eastAsia="zh-CN" w:bidi="ar-SA"/>
        </w:rPr>
        <w:t>万元，占87.48%；公务接待费支出决算</w:t>
      </w:r>
      <w:r>
        <w:rPr>
          <w:rFonts w:hint="eastAsia" w:ascii="仿宋_GB2312" w:hAnsi="仿宋_GB2312" w:eastAsia="仿宋_GB2312" w:cs="仿宋_GB2312"/>
          <w:sz w:val="32"/>
          <w:szCs w:val="32"/>
        </w:rPr>
        <w:t>1.2</w:t>
      </w:r>
      <w:r>
        <w:rPr>
          <w:rFonts w:hint="eastAsia" w:ascii="仿宋_GB2312" w:hAnsi="仿宋_GB2312" w:eastAsia="仿宋_GB2312" w:cs="仿宋_GB2312"/>
          <w:color w:val="auto"/>
          <w:kern w:val="2"/>
          <w:sz w:val="32"/>
          <w:szCs w:val="32"/>
          <w:highlight w:val="none"/>
          <w:lang w:val="en-US" w:eastAsia="zh-CN" w:bidi="ar-SA"/>
        </w:rPr>
        <w:t>万元，占12.52%。具体情况如下：</w:t>
      </w:r>
    </w:p>
    <w:p w14:paraId="2BB3914B">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14:paraId="05ABB375">
      <w:pPr>
        <w:spacing w:line="600" w:lineRule="exact"/>
        <w:rPr>
          <w:rFonts w:hint="eastAsia" w:ascii="Times New Roman" w:hAnsi="Times New Roman" w:eastAsia="仿宋_GB2312" w:cs="仿宋_GB2312"/>
          <w:b/>
          <w:bCs/>
          <w:color w:val="auto"/>
          <w:kern w:val="2"/>
          <w:sz w:val="32"/>
          <w:szCs w:val="32"/>
          <w:highlight w:val="none"/>
          <w:lang w:val="en-US" w:eastAsia="zh-CN" w:bidi="ar-SA"/>
        </w:rPr>
      </w:pPr>
    </w:p>
    <w:p w14:paraId="7B79F38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1.因公出国（境）经费支出**万元，完成预算**%。</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4AA9A6FB">
      <w:pPr>
        <w:spacing w:line="600" w:lineRule="exact"/>
        <w:ind w:firstLine="640"/>
        <w:rPr>
          <w:rFonts w:hint="eastAsia" w:ascii="仿宋" w:hAnsi="仿宋" w:eastAsia="仿宋"/>
          <w:color w:val="auto"/>
          <w:sz w:val="32"/>
          <w:szCs w:val="32"/>
          <w:highlight w:val="none"/>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8.39万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w:t>
      </w:r>
      <w:r>
        <w:rPr>
          <w:rFonts w:hint="eastAsia" w:ascii="仿宋" w:hAnsi="仿宋" w:eastAsia="仿宋"/>
          <w:color w:val="auto"/>
          <w:sz w:val="32"/>
          <w:szCs w:val="32"/>
          <w:highlight w:val="none"/>
          <w:lang w:val="en-US" w:eastAsia="zh-CN"/>
        </w:rPr>
        <w:t>7.01万元,原因是三公经费今年大幅减少</w:t>
      </w:r>
    </w:p>
    <w:p w14:paraId="18E5561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14:paraId="3D46706C">
      <w:pPr>
        <w:pageBreakBefore w:val="0"/>
        <w:widowControl w:val="0"/>
        <w:kinsoku/>
        <w:wordWrap/>
        <w:overflowPunct/>
        <w:topLinePunct w:val="0"/>
        <w:bidi w:val="0"/>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8.39</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仿宋_GB2312" w:eastAsia="仿宋_GB2312"/>
          <w:color w:val="000000"/>
          <w:sz w:val="32"/>
          <w:szCs w:val="32"/>
        </w:rPr>
        <w:t>办案等所需的公务用车燃料费、维修费、过路过桥费、保险费等支出</w:t>
      </w:r>
      <w:r>
        <w:rPr>
          <w:rFonts w:hint="eastAsia" w:ascii="Times New Roman" w:hAnsi="Times New Roman" w:eastAsia="仿宋_GB2312" w:cs="仿宋_GB2312"/>
          <w:color w:val="auto"/>
          <w:kern w:val="2"/>
          <w:sz w:val="32"/>
          <w:szCs w:val="32"/>
          <w:highlight w:val="none"/>
          <w:lang w:val="en-US" w:eastAsia="zh-CN" w:bidi="ar-SA"/>
        </w:rPr>
        <w:t>。</w:t>
      </w:r>
    </w:p>
    <w:p w14:paraId="3F207A9D">
      <w:pPr>
        <w:numPr>
          <w:ilvl w:val="0"/>
          <w:numId w:val="2"/>
        </w:num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公务接待费支出</w:t>
      </w:r>
      <w:r>
        <w:rPr>
          <w:rFonts w:hint="eastAsia" w:ascii="仿宋_GB2312" w:hAnsi="仿宋_GB2312" w:eastAsia="仿宋_GB2312" w:cs="仿宋_GB2312"/>
          <w:b/>
          <w:bCs/>
          <w:color w:val="auto"/>
          <w:kern w:val="2"/>
          <w:sz w:val="32"/>
          <w:szCs w:val="32"/>
          <w:highlight w:val="none"/>
          <w:lang w:val="en-US" w:eastAsia="zh-CN" w:bidi="ar-SA"/>
        </w:rPr>
        <w:t>1.2万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p>
    <w:p w14:paraId="729B755A">
      <w:pPr>
        <w:snapToGrid w:val="0"/>
        <w:spacing w:line="520" w:lineRule="exact"/>
        <w:ind w:firstLine="640" w:firstLineChars="200"/>
        <w:rPr>
          <w:rFonts w:hint="eastAsia" w:ascii="仿宋_GB2312" w:hAnsi="宋体" w:eastAsia="仿宋_GB2312"/>
          <w:color w:val="auto"/>
          <w:sz w:val="32"/>
          <w:szCs w:val="32"/>
          <w:highlight w:val="none"/>
          <w:lang w:eastAsia="zh-CN"/>
        </w:rPr>
      </w:pPr>
      <w:bookmarkStart w:id="58" w:name="_Toc15396610"/>
      <w:bookmarkStart w:id="59" w:name="_Toc15377218"/>
      <w:r>
        <w:rPr>
          <w:rFonts w:hint="eastAsia" w:ascii="仿宋_GB2312" w:hAnsi="宋体" w:eastAsia="仿宋_GB2312"/>
          <w:color w:val="auto"/>
          <w:sz w:val="32"/>
          <w:szCs w:val="32"/>
          <w:highlight w:val="none"/>
        </w:rPr>
        <w:t>公务接待费预算</w:t>
      </w:r>
      <w:r>
        <w:rPr>
          <w:rFonts w:hint="eastAsia" w:ascii="仿宋" w:hAnsi="仿宋" w:eastAsia="仿宋"/>
          <w:color w:val="auto"/>
          <w:sz w:val="32"/>
          <w:szCs w:val="32"/>
          <w:highlight w:val="none"/>
          <w:lang w:val="en-US" w:eastAsia="zh-CN"/>
        </w:rPr>
        <w:t>1.20</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，实际支出</w:t>
      </w:r>
      <w:r>
        <w:rPr>
          <w:rFonts w:hint="eastAsia" w:ascii="仿宋" w:hAnsi="仿宋" w:eastAsia="仿宋"/>
          <w:color w:val="auto"/>
          <w:sz w:val="32"/>
          <w:szCs w:val="32"/>
          <w:highlight w:val="none"/>
          <w:lang w:val="en-US" w:eastAsia="zh-CN"/>
        </w:rPr>
        <w:t>1.20</w:t>
      </w:r>
      <w:r>
        <w:rPr>
          <w:rFonts w:hint="eastAsia" w:ascii="仿宋_GB2312" w:hAnsi="宋体" w:eastAsia="仿宋_GB2312" w:cs="宋体"/>
          <w:color w:val="auto"/>
          <w:sz w:val="32"/>
          <w:szCs w:val="32"/>
          <w:highlight w:val="none"/>
        </w:rPr>
        <w:t>万元</w:t>
      </w:r>
      <w:r>
        <w:rPr>
          <w:rFonts w:hint="eastAsia" w:ascii="仿宋_GB2312" w:hAnsi="宋体" w:eastAsia="仿宋_GB2312"/>
          <w:color w:val="auto"/>
          <w:sz w:val="32"/>
          <w:szCs w:val="32"/>
          <w:highlight w:val="none"/>
        </w:rPr>
        <w:t>，</w:t>
      </w:r>
      <w:r>
        <w:rPr>
          <w:rFonts w:hint="eastAsia" w:ascii="仿宋" w:hAnsi="仿宋" w:eastAsia="仿宋"/>
          <w:color w:val="auto"/>
          <w:sz w:val="32"/>
          <w:szCs w:val="32"/>
          <w:highlight w:val="none"/>
          <w:lang w:val="en-US" w:eastAsia="zh-CN"/>
        </w:rPr>
        <w:t>较2023年减少0.04万元</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eastAsia="zh-CN"/>
        </w:rPr>
        <w:t>202</w:t>
      </w:r>
      <w:r>
        <w:rPr>
          <w:rFonts w:hint="eastAsia" w:ascii="仿宋_GB2312" w:hAnsi="宋体" w:eastAsia="仿宋_GB2312"/>
          <w:color w:val="auto"/>
          <w:sz w:val="32"/>
          <w:szCs w:val="32"/>
          <w:highlight w:val="none"/>
          <w:lang w:val="en-US" w:eastAsia="zh-CN"/>
        </w:rPr>
        <w:t>4</w:t>
      </w:r>
      <w:r>
        <w:rPr>
          <w:rFonts w:hint="eastAsia" w:ascii="仿宋_GB2312" w:hAnsi="宋体" w:eastAsia="仿宋_GB2312"/>
          <w:color w:val="auto"/>
          <w:sz w:val="32"/>
          <w:szCs w:val="32"/>
          <w:highlight w:val="none"/>
          <w:lang w:eastAsia="zh-CN"/>
        </w:rPr>
        <w:t>年</w:t>
      </w:r>
      <w:r>
        <w:rPr>
          <w:rFonts w:hint="eastAsia" w:ascii="仿宋_GB2312" w:hAnsi="宋体" w:eastAsia="仿宋_GB2312"/>
          <w:color w:val="auto"/>
          <w:sz w:val="32"/>
          <w:szCs w:val="32"/>
          <w:highlight w:val="none"/>
        </w:rPr>
        <w:t>本单位公务接待</w:t>
      </w:r>
      <w:r>
        <w:rPr>
          <w:rFonts w:hint="eastAsia" w:ascii="仿宋" w:hAnsi="仿宋" w:eastAsia="仿宋"/>
          <w:color w:val="auto"/>
          <w:sz w:val="32"/>
          <w:szCs w:val="32"/>
          <w:highlight w:val="none"/>
          <w:lang w:val="en-US" w:eastAsia="zh-CN"/>
        </w:rPr>
        <w:t>8</w:t>
      </w:r>
      <w:r>
        <w:rPr>
          <w:rFonts w:hint="eastAsia" w:ascii="仿宋_GB2312" w:hAnsi="宋体" w:eastAsia="仿宋_GB2312"/>
          <w:color w:val="auto"/>
          <w:sz w:val="32"/>
          <w:szCs w:val="32"/>
          <w:highlight w:val="none"/>
        </w:rPr>
        <w:t>批次，共计</w:t>
      </w:r>
      <w:r>
        <w:rPr>
          <w:rFonts w:hint="eastAsia" w:ascii="仿宋" w:hAnsi="仿宋" w:eastAsia="仿宋"/>
          <w:color w:val="auto"/>
          <w:sz w:val="32"/>
          <w:szCs w:val="32"/>
          <w:highlight w:val="none"/>
          <w:lang w:val="en-US" w:eastAsia="zh-CN"/>
        </w:rPr>
        <w:t>80</w:t>
      </w:r>
      <w:r>
        <w:rPr>
          <w:rFonts w:hint="eastAsia" w:ascii="仿宋_GB2312" w:hAnsi="宋体" w:eastAsia="仿宋_GB2312"/>
          <w:color w:val="auto"/>
          <w:sz w:val="32"/>
          <w:szCs w:val="32"/>
          <w:highlight w:val="none"/>
        </w:rPr>
        <w:t>人</w:t>
      </w:r>
      <w:r>
        <w:rPr>
          <w:rFonts w:hint="eastAsia" w:ascii="仿宋_GB2312" w:hAnsi="宋体" w:eastAsia="仿宋_GB2312"/>
          <w:color w:val="auto"/>
          <w:sz w:val="32"/>
          <w:szCs w:val="32"/>
          <w:highlight w:val="none"/>
          <w:lang w:val="en-US" w:eastAsia="zh-CN"/>
        </w:rPr>
        <w:t>次</w:t>
      </w:r>
      <w:r>
        <w:rPr>
          <w:rFonts w:hint="eastAsia" w:ascii="仿宋_GB2312" w:hAnsi="宋体" w:eastAsia="仿宋_GB2312"/>
          <w:color w:val="auto"/>
          <w:sz w:val="32"/>
          <w:szCs w:val="32"/>
          <w:highlight w:val="none"/>
          <w:lang w:eastAsia="zh-CN"/>
        </w:rPr>
        <w:t>。</w:t>
      </w:r>
    </w:p>
    <w:p w14:paraId="5F6D6BF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33D0D5D">
      <w:pPr>
        <w:pStyle w:val="6"/>
        <w:bidi w:val="0"/>
        <w:rPr>
          <w:rStyle w:val="29"/>
          <w:rFonts w:ascii="Times New Roman" w:hAnsi="Times New Roman" w:eastAsia="黑体"/>
          <w:b/>
          <w:bCs/>
          <w:color w:val="auto"/>
          <w:highlight w:val="none"/>
        </w:rPr>
      </w:pPr>
      <w:bookmarkStart w:id="60" w:name="_Toc14949"/>
      <w:r>
        <w:rPr>
          <w:rFonts w:hint="eastAsia"/>
        </w:rPr>
        <w:t>八、政府性基金预算支出决算情况说明</w:t>
      </w:r>
      <w:bookmarkEnd w:id="58"/>
      <w:bookmarkEnd w:id="59"/>
      <w:bookmarkEnd w:id="60"/>
    </w:p>
    <w:p w14:paraId="6643B1CC">
      <w:pPr>
        <w:spacing w:line="600" w:lineRule="exact"/>
        <w:ind w:firstLine="640"/>
        <w:rPr>
          <w:rFonts w:hint="default"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仿宋_GB2312" w:hAnsi="宋体" w:eastAsia="仿宋_GB2312"/>
          <w:color w:val="auto"/>
          <w:sz w:val="32"/>
          <w:szCs w:val="32"/>
          <w:highlight w:val="none"/>
          <w:lang w:eastAsia="zh-CN"/>
        </w:rPr>
        <w:t>。</w:t>
      </w:r>
    </w:p>
    <w:p w14:paraId="7B223F8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0EAE4BD">
      <w:pPr>
        <w:pStyle w:val="6"/>
        <w:bidi w:val="0"/>
      </w:pPr>
      <w:bookmarkStart w:id="61" w:name="_Toc9684"/>
      <w:bookmarkStart w:id="62" w:name="_Toc15377219"/>
      <w:bookmarkStart w:id="63" w:name="_Toc15396611"/>
      <w:r>
        <w:rPr>
          <w:rFonts w:hint="eastAsia"/>
          <w:lang w:eastAsia="zh-CN"/>
        </w:rPr>
        <w:t>九、</w:t>
      </w:r>
      <w:r>
        <w:rPr>
          <w:rFonts w:hint="eastAsia"/>
        </w:rPr>
        <w:t>国有资本经营预算支出决算情况说明</w:t>
      </w:r>
      <w:bookmarkEnd w:id="61"/>
      <w:bookmarkEnd w:id="62"/>
      <w:bookmarkEnd w:id="63"/>
    </w:p>
    <w:p w14:paraId="0B7FED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仿宋_GB2312" w:hAnsi="宋体" w:eastAsia="仿宋_GB2312"/>
          <w:color w:val="auto"/>
          <w:sz w:val="32"/>
          <w:szCs w:val="32"/>
          <w:highlight w:val="none"/>
          <w:lang w:eastAsia="zh-CN"/>
        </w:rPr>
        <w:t>。</w:t>
      </w:r>
    </w:p>
    <w:p w14:paraId="2AEF827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314AF43">
      <w:pPr>
        <w:pStyle w:val="6"/>
        <w:bidi w:val="0"/>
        <w:rPr>
          <w:rStyle w:val="29"/>
          <w:rFonts w:hint="eastAsia" w:ascii="Times New Roman" w:hAnsi="Times New Roman" w:eastAsia="黑体"/>
          <w:b w:val="0"/>
          <w:bCs/>
          <w:color w:val="auto"/>
          <w:highlight w:val="none"/>
        </w:rPr>
      </w:pPr>
      <w:bookmarkStart w:id="64" w:name="_Toc8531"/>
      <w:bookmarkStart w:id="65" w:name="_Toc15396612"/>
      <w:bookmarkStart w:id="66" w:name="_Toc15377221"/>
      <w:r>
        <w:rPr>
          <w:rFonts w:hint="eastAsia"/>
          <w:lang w:eastAsia="zh-CN"/>
        </w:rPr>
        <w:t>十、</w:t>
      </w:r>
      <w:r>
        <w:rPr>
          <w:rFonts w:hint="eastAsia"/>
        </w:rPr>
        <w:t>其他重要事项的情况说明</w:t>
      </w:r>
      <w:bookmarkEnd w:id="64"/>
      <w:bookmarkEnd w:id="65"/>
      <w:bookmarkEnd w:id="66"/>
    </w:p>
    <w:p w14:paraId="35EA434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7" w:name="_Toc15377222"/>
      <w:bookmarkStart w:id="68" w:name="_Toc21605"/>
      <w:r>
        <w:rPr>
          <w:rFonts w:hint="eastAsia" w:ascii="Times New Roman" w:hAnsi="Times New Roman" w:eastAsia="楷体_GB2312" w:cs="楷体_GB2312"/>
          <w:b/>
          <w:color w:val="auto"/>
          <w:sz w:val="32"/>
          <w:szCs w:val="32"/>
          <w:highlight w:val="none"/>
        </w:rPr>
        <w:t>（一）机关运行经费支出情况</w:t>
      </w:r>
      <w:bookmarkEnd w:id="67"/>
      <w:bookmarkEnd w:id="68"/>
    </w:p>
    <w:p w14:paraId="5895049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金川县人民检察院</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78.83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4.1</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4.94</w:t>
      </w:r>
      <w:r>
        <w:rPr>
          <w:rFonts w:hint="eastAsia" w:ascii="Times New Roman" w:hAnsi="Times New Roman" w:eastAsia="仿宋_GB2312" w:cs="仿宋_GB2312"/>
          <w:color w:val="auto"/>
          <w:kern w:val="2"/>
          <w:sz w:val="32"/>
          <w:szCs w:val="32"/>
          <w:highlight w:val="none"/>
          <w:lang w:val="en-US" w:eastAsia="zh-CN" w:bidi="ar-SA"/>
        </w:rPr>
        <w:t>%（或与2023年度决算数持平）。主要原因是</w:t>
      </w:r>
      <w:r>
        <w:rPr>
          <w:rFonts w:ascii="仿宋_GB2312" w:eastAsia="仿宋_GB2312" w:cs="仿宋_GB2312"/>
          <w:sz w:val="32"/>
          <w:szCs w:val="32"/>
        </w:rPr>
        <w:t>202</w:t>
      </w:r>
      <w:r>
        <w:rPr>
          <w:rFonts w:hint="eastAsia" w:ascii="仿宋_GB2312" w:eastAsia="仿宋_GB2312" w:cs="仿宋_GB2312"/>
          <w:sz w:val="32"/>
          <w:szCs w:val="32"/>
          <w:lang w:val="en-US" w:eastAsia="zh-CN"/>
        </w:rPr>
        <w:t>4</w:t>
      </w:r>
      <w:r>
        <w:rPr>
          <w:rFonts w:ascii="仿宋_GB2312" w:eastAsia="仿宋_GB2312" w:cs="仿宋_GB2312"/>
          <w:sz w:val="32"/>
          <w:szCs w:val="32"/>
        </w:rPr>
        <w:t>年</w:t>
      </w:r>
      <w:r>
        <w:rPr>
          <w:rFonts w:hint="eastAsia" w:ascii="仿宋_GB2312" w:eastAsia="仿宋_GB2312" w:cs="仿宋_GB2312"/>
          <w:sz w:val="32"/>
          <w:szCs w:val="32"/>
          <w:lang w:val="en-US" w:eastAsia="zh-CN"/>
        </w:rPr>
        <w:t>案件数量及案件质量提高</w:t>
      </w:r>
      <w:r>
        <w:rPr>
          <w:rFonts w:ascii="仿宋_GB2312" w:eastAsia="仿宋_GB2312" w:cs="仿宋_GB2312"/>
          <w:sz w:val="32"/>
          <w:szCs w:val="32"/>
        </w:rPr>
        <w:t>差旅费和公务用车运费有所</w:t>
      </w:r>
      <w:r>
        <w:rPr>
          <w:rFonts w:hint="eastAsia" w:ascii="仿宋_GB2312" w:eastAsia="仿宋_GB2312" w:cs="仿宋_GB2312"/>
          <w:sz w:val="32"/>
          <w:szCs w:val="32"/>
          <w:lang w:val="en-US" w:eastAsia="zh-CN"/>
        </w:rPr>
        <w:t>下降。</w:t>
      </w:r>
    </w:p>
    <w:p w14:paraId="56AA8C6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9" w:name="_Toc15377223"/>
      <w:bookmarkStart w:id="70" w:name="_Toc28082"/>
      <w:r>
        <w:rPr>
          <w:rFonts w:hint="eastAsia" w:ascii="Times New Roman" w:hAnsi="Times New Roman" w:eastAsia="楷体_GB2312" w:cs="楷体_GB2312"/>
          <w:b/>
          <w:color w:val="auto"/>
          <w:sz w:val="32"/>
          <w:szCs w:val="32"/>
          <w:highlight w:val="none"/>
        </w:rPr>
        <w:t>（二）政府采购支出情况</w:t>
      </w:r>
      <w:bookmarkEnd w:id="69"/>
      <w:bookmarkEnd w:id="70"/>
    </w:p>
    <w:p w14:paraId="5ECB6EAA">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金川县人民检察院</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33.93</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33.93</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4C0DC80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0A6358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1" w:name="_Toc24752"/>
      <w:bookmarkStart w:id="72" w:name="_Toc15377224"/>
      <w:r>
        <w:rPr>
          <w:rFonts w:hint="eastAsia" w:ascii="Times New Roman" w:hAnsi="Times New Roman" w:eastAsia="楷体_GB2312" w:cs="楷体_GB2312"/>
          <w:b/>
          <w:color w:val="auto"/>
          <w:sz w:val="32"/>
          <w:szCs w:val="32"/>
          <w:highlight w:val="none"/>
        </w:rPr>
        <w:t>（三）国有资产占有使用情况</w:t>
      </w:r>
      <w:bookmarkEnd w:id="71"/>
      <w:bookmarkEnd w:id="72"/>
    </w:p>
    <w:p w14:paraId="3DDFB2B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金川县人民检察院</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6</w:t>
      </w:r>
      <w:r>
        <w:rPr>
          <w:rFonts w:hint="eastAsia" w:ascii="仿宋_GB2312" w:hAnsi="仿宋_GB2312" w:eastAsia="仿宋_GB2312" w:cs="仿宋_GB2312"/>
          <w:color w:val="auto"/>
          <w:kern w:val="2"/>
          <w:sz w:val="32"/>
          <w:szCs w:val="32"/>
          <w:highlight w:val="none"/>
          <w:lang w:val="en-US" w:eastAsia="zh-CN" w:bidi="ar-SA"/>
        </w:rPr>
        <w:t>辆，其中：</w:t>
      </w:r>
      <w:r>
        <w:rPr>
          <w:rFonts w:hint="eastAsia" w:ascii="仿宋_GB2312" w:eastAsia="仿宋_GB2312"/>
          <w:color w:val="000000"/>
          <w:sz w:val="32"/>
          <w:szCs w:val="32"/>
          <w:lang w:val="en-US" w:eastAsia="zh-CN"/>
        </w:rPr>
        <w:t>我院</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辆，主要</w:t>
      </w:r>
      <w:r>
        <w:rPr>
          <w:rFonts w:hint="eastAsia" w:ascii="仿宋_GB2312" w:eastAsia="仿宋_GB2312"/>
          <w:color w:val="000000"/>
          <w:sz w:val="32"/>
          <w:szCs w:val="32"/>
          <w:lang w:eastAsia="zh-CN"/>
        </w:rPr>
        <w:t>为</w:t>
      </w:r>
      <w:r>
        <w:rPr>
          <w:rFonts w:hint="eastAsia" w:ascii="仿宋_GB2312" w:eastAsia="仿宋_GB2312"/>
          <w:color w:val="000000"/>
          <w:sz w:val="32"/>
          <w:szCs w:val="32"/>
        </w:rPr>
        <w:t>执法执勤用车</w:t>
      </w:r>
      <w:r>
        <w:rPr>
          <w:rFonts w:hint="eastAsia" w:ascii="仿宋_GB2312" w:eastAsia="仿宋_GB2312"/>
          <w:color w:val="000000"/>
          <w:sz w:val="32"/>
          <w:szCs w:val="32"/>
          <w:lang w:val="en-US" w:eastAsia="zh-CN"/>
        </w:rPr>
        <w:t>5辆及特种车1辆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Times New Roman" w:hAnsi="Times New Roman" w:eastAsia="仿宋_GB2312" w:cs="仿宋_GB2312"/>
          <w:color w:val="auto"/>
          <w:kern w:val="2"/>
          <w:sz w:val="32"/>
          <w:szCs w:val="32"/>
          <w:highlight w:val="none"/>
          <w:lang w:val="en-US" w:eastAsia="zh-CN" w:bidi="ar-SA"/>
        </w:rPr>
        <w:t>。</w:t>
      </w:r>
    </w:p>
    <w:p w14:paraId="1C46167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43BF24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3" w:name="_Toc1968"/>
      <w:r>
        <w:rPr>
          <w:rFonts w:hint="eastAsia" w:ascii="Times New Roman" w:hAnsi="Times New Roman" w:eastAsia="楷体_GB2312" w:cs="楷体_GB2312"/>
          <w:b/>
          <w:color w:val="auto"/>
          <w:sz w:val="32"/>
          <w:szCs w:val="32"/>
          <w:highlight w:val="none"/>
        </w:rPr>
        <w:t>（四）预算绩效管理情况</w:t>
      </w:r>
      <w:bookmarkEnd w:id="73"/>
    </w:p>
    <w:p w14:paraId="3F0530FB">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ascii="Times New Roman" w:hAnsi="Times New Roman" w:eastAsia="仿宋_GB2312" w:cs="Times New Roman"/>
          <w:sz w:val="32"/>
          <w:szCs w:val="32"/>
        </w:rPr>
        <w:t>本部门在202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年度预算编制阶段，</w:t>
      </w:r>
      <w:r>
        <w:rPr>
          <w:rFonts w:hint="eastAsia" w:eastAsia="仿宋_GB2312" w:cs="Times New Roman"/>
          <w:sz w:val="32"/>
          <w:szCs w:val="32"/>
          <w:lang w:val="en-US" w:eastAsia="zh-CN"/>
        </w:rPr>
        <w:t>2023年上半年业务装备费</w:t>
      </w:r>
      <w:r>
        <w:rPr>
          <w:rFonts w:ascii="Times New Roman" w:hAnsi="Times New Roman" w:eastAsia="仿宋_GB2312" w:cs="Times New Roman"/>
          <w:sz w:val="32"/>
          <w:szCs w:val="32"/>
        </w:rPr>
        <w:t>等</w:t>
      </w:r>
      <w:r>
        <w:rPr>
          <w:rFonts w:hint="eastAsia" w:eastAsia="仿宋_GB2312" w:cs="Times New Roman"/>
          <w:sz w:val="32"/>
          <w:szCs w:val="32"/>
          <w:lang w:val="en-US" w:eastAsia="zh-CN"/>
        </w:rPr>
        <w:t>6</w:t>
      </w:r>
      <w:r>
        <w:rPr>
          <w:rFonts w:ascii="Times New Roman" w:hAnsi="Times New Roman" w:eastAsia="仿宋_GB2312" w:cs="Times New Roman"/>
          <w:sz w:val="32"/>
          <w:szCs w:val="32"/>
        </w:rPr>
        <w:t>个项目开展了预算事前绩效评估，对</w:t>
      </w:r>
      <w:r>
        <w:rPr>
          <w:rFonts w:hint="eastAsia" w:eastAsia="仿宋_GB2312" w:cs="Times New Roman"/>
          <w:sz w:val="32"/>
          <w:szCs w:val="32"/>
          <w:lang w:val="en-US" w:eastAsia="zh-CN"/>
        </w:rPr>
        <w:t>6</w:t>
      </w:r>
      <w:r>
        <w:rPr>
          <w:rFonts w:ascii="Times New Roman" w:hAnsi="Times New Roman" w:eastAsia="仿宋_GB2312" w:cs="Times New Roman"/>
          <w:sz w:val="32"/>
          <w:szCs w:val="32"/>
        </w:rPr>
        <w:t>个项目编制了绩效目标，预算执行过程中，选取</w:t>
      </w:r>
      <w:r>
        <w:rPr>
          <w:rFonts w:hint="eastAsia" w:eastAsia="仿宋_GB2312" w:cs="Times New Roman"/>
          <w:sz w:val="32"/>
          <w:szCs w:val="32"/>
          <w:lang w:val="en-US" w:eastAsia="zh-CN"/>
        </w:rPr>
        <w:t>6</w:t>
      </w:r>
      <w:r>
        <w:rPr>
          <w:rFonts w:ascii="Times New Roman" w:hAnsi="Times New Roman" w:eastAsia="仿宋_GB2312" w:cs="Times New Roman"/>
          <w:sz w:val="32"/>
          <w:szCs w:val="32"/>
        </w:rPr>
        <w:t>个项目开展绩效监控，年终执行完毕后，对</w:t>
      </w:r>
      <w:r>
        <w:rPr>
          <w:rFonts w:hint="eastAsia" w:eastAsia="仿宋_GB2312" w:cs="Times New Roman"/>
          <w:sz w:val="32"/>
          <w:szCs w:val="32"/>
          <w:lang w:val="en-US" w:eastAsia="zh-CN"/>
        </w:rPr>
        <w:t>6</w:t>
      </w:r>
      <w:r>
        <w:rPr>
          <w:rFonts w:ascii="Times New Roman" w:hAnsi="Times New Roman" w:eastAsia="仿宋_GB2312" w:cs="Times New Roman"/>
          <w:sz w:val="32"/>
          <w:szCs w:val="32"/>
        </w:rPr>
        <w:t>个项目开展了绩效自评。同时，本部门对202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年部门整体开展绩效自评，</w:t>
      </w:r>
      <w:r>
        <w:rPr>
          <w:rFonts w:hint="eastAsia" w:eastAsia="仿宋_GB2312" w:cs="Times New Roman"/>
          <w:sz w:val="32"/>
          <w:szCs w:val="32"/>
          <w:lang w:val="en-US" w:eastAsia="zh-CN"/>
        </w:rPr>
        <w:t>自评得分为：</w:t>
      </w:r>
      <w:r>
        <w:rPr>
          <w:rFonts w:hint="eastAsia" w:eastAsia="仿宋_GB2312" w:cs="Times New Roman"/>
          <w:color w:val="auto"/>
          <w:kern w:val="0"/>
          <w:sz w:val="32"/>
          <w:szCs w:val="32"/>
          <w:lang w:val="en-US" w:eastAsia="zh-CN" w:bidi="ar-SA"/>
        </w:rPr>
        <w:t>89.97</w:t>
      </w:r>
      <w:r>
        <w:rPr>
          <w:rFonts w:hint="eastAsia" w:ascii="Times New Roman" w:hAnsi="Times New Roman" w:eastAsia="仿宋_GB2312" w:cs="Times New Roman"/>
          <w:color w:val="auto"/>
          <w:kern w:val="0"/>
          <w:sz w:val="32"/>
          <w:szCs w:val="32"/>
          <w:lang w:val="zh-CN" w:eastAsia="zh-CN" w:bidi="ar-SA"/>
        </w:rPr>
        <w:t>分</w:t>
      </w:r>
      <w:r>
        <w:rPr>
          <w:rFonts w:hint="eastAsia" w:eastAsia="仿宋_GB2312" w:cs="Times New Roman"/>
          <w:color w:val="auto"/>
          <w:kern w:val="0"/>
          <w:sz w:val="32"/>
          <w:szCs w:val="32"/>
          <w:lang w:val="zh-CN" w:eastAsia="zh-CN" w:bidi="ar-SA"/>
        </w:rPr>
        <w:t>。</w:t>
      </w:r>
      <w:r>
        <w:rPr>
          <w:rFonts w:ascii="Times New Roman" w:hAnsi="Times New Roman" w:eastAsia="仿宋_GB2312" w:cs="Times New Roman"/>
          <w:sz w:val="32"/>
          <w:szCs w:val="32"/>
        </w:rPr>
        <w:t>《202</w:t>
      </w:r>
      <w:r>
        <w:rPr>
          <w:rFonts w:hint="eastAsia" w:eastAsia="仿宋_GB2312" w:cs="Times New Roman"/>
          <w:sz w:val="32"/>
          <w:szCs w:val="32"/>
          <w:lang w:val="en-US" w:eastAsia="zh-CN"/>
        </w:rPr>
        <w:t>3</w:t>
      </w:r>
      <w:r>
        <w:rPr>
          <w:rFonts w:ascii="Times New Roman" w:hAnsi="Times New Roman" w:eastAsia="仿宋_GB2312" w:cs="Times New Roman"/>
          <w:sz w:val="32"/>
          <w:szCs w:val="32"/>
        </w:rPr>
        <w:t>年</w:t>
      </w:r>
      <w:r>
        <w:rPr>
          <w:rFonts w:hint="eastAsia" w:eastAsia="仿宋_GB2312" w:cs="Times New Roman"/>
          <w:sz w:val="32"/>
          <w:szCs w:val="32"/>
          <w:lang w:val="en-US" w:eastAsia="zh-CN"/>
        </w:rPr>
        <w:t>金川检察院</w:t>
      </w:r>
      <w:r>
        <w:rPr>
          <w:rFonts w:ascii="Times New Roman" w:hAnsi="Times New Roman" w:eastAsia="仿宋_GB2312" w:cs="Times New Roman"/>
          <w:sz w:val="32"/>
          <w:szCs w:val="32"/>
        </w:rPr>
        <w:t>部门整体绩效评价报告》见附件（第四部分）。</w:t>
      </w:r>
    </w:p>
    <w:p w14:paraId="24B0C911">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14:paraId="246679E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68AFE3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DDE721F">
      <w:pPr>
        <w:pStyle w:val="5"/>
        <w:bidi w:val="0"/>
        <w:jc w:val="center"/>
        <w:rPr>
          <w:rFonts w:hint="eastAsia"/>
        </w:rPr>
      </w:pPr>
      <w:bookmarkStart w:id="74" w:name="_Toc15377225"/>
      <w:bookmarkStart w:id="75" w:name="_Toc15396613"/>
      <w:bookmarkStart w:id="76" w:name="_Toc7347"/>
      <w:r>
        <w:rPr>
          <w:rFonts w:hint="eastAsia"/>
        </w:rPr>
        <w:t>第</w:t>
      </w:r>
      <w:r>
        <w:rPr>
          <w:rFonts w:hint="eastAsia"/>
          <w:lang w:eastAsia="zh-CN"/>
        </w:rPr>
        <w:t>三</w:t>
      </w:r>
      <w:r>
        <w:rPr>
          <w:rFonts w:hint="eastAsia"/>
        </w:rPr>
        <w:t>部分</w:t>
      </w:r>
      <w:r>
        <w:rPr>
          <w:rFonts w:hint="eastAsia"/>
          <w:lang w:val="en-US" w:eastAsia="zh-CN"/>
        </w:rPr>
        <w:t xml:space="preserve">  </w:t>
      </w:r>
      <w:r>
        <w:rPr>
          <w:rFonts w:hint="eastAsia"/>
        </w:rPr>
        <w:t>名词解释</w:t>
      </w:r>
      <w:bookmarkEnd w:id="74"/>
      <w:bookmarkEnd w:id="75"/>
      <w:bookmarkEnd w:id="76"/>
    </w:p>
    <w:p w14:paraId="6F05ADA9">
      <w:pPr>
        <w:spacing w:line="600" w:lineRule="exact"/>
        <w:jc w:val="left"/>
        <w:rPr>
          <w:rFonts w:ascii="Times New Roman" w:hAnsi="Times New Roman"/>
          <w:b/>
          <w:color w:val="auto"/>
          <w:sz w:val="44"/>
          <w:szCs w:val="44"/>
          <w:highlight w:val="none"/>
        </w:rPr>
      </w:pPr>
    </w:p>
    <w:p w14:paraId="4C6DAD5B">
      <w:pPr>
        <w:pStyle w:val="26"/>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14:paraId="673522DC">
      <w:pPr>
        <w:pStyle w:val="26"/>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2.事业收入：指事业单位开展专业业务活动及辅助活动取得的收入。</w:t>
      </w:r>
    </w:p>
    <w:p w14:paraId="4FE61F7C">
      <w:pPr>
        <w:pStyle w:val="26"/>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3.经营收入：指事业单位在专业业务活动及其辅助活动之外开展非独立核算经营活动取得的收入</w:t>
      </w:r>
    </w:p>
    <w:p w14:paraId="4638120F">
      <w:pPr>
        <w:pStyle w:val="26"/>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4.其他收入：指单位取得的除上述收入以外的各项收入。主要是利息收入等。 </w:t>
      </w:r>
    </w:p>
    <w:p w14:paraId="3C831263">
      <w:pPr>
        <w:pStyle w:val="26"/>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14:paraId="2B04FF84">
      <w:pPr>
        <w:pStyle w:val="26"/>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6.年初结转和结余：指以前年度尚未完成、结转到本年按有关规定继续使用的资金。 </w:t>
      </w:r>
    </w:p>
    <w:p w14:paraId="4B45A423">
      <w:pPr>
        <w:pStyle w:val="26"/>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14:paraId="1B9211BF">
      <w:pPr>
        <w:pStyle w:val="26"/>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8、年末结转和结余：指单位按有关规定结转到下年或以后年度继续使用的资金。</w:t>
      </w:r>
    </w:p>
    <w:p w14:paraId="353EA2D0">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ascii="Times New Roman" w:hAnsi="Times New Roman" w:eastAsia="仿宋_GB2312" w:cs="Times New Roman"/>
          <w:bCs/>
          <w:kern w:val="0"/>
          <w:sz w:val="32"/>
          <w:szCs w:val="32"/>
        </w:rPr>
        <w:t>一般公共服务：行政运行</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反映党委办公厅（室）及相关机构的支出；一般行政管理事务</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反映行政单位（包括实行公务员管理的事业单位）未单独设置项级科目的其他项目支出。</w:t>
      </w:r>
    </w:p>
    <w:p w14:paraId="487238A3">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ascii="Times New Roman" w:hAnsi="Times New Roman" w:eastAsia="仿宋_GB2312" w:cs="Times New Roman"/>
          <w:bCs/>
          <w:kern w:val="0"/>
          <w:sz w:val="32"/>
          <w:szCs w:val="32"/>
        </w:rPr>
        <w:t>社会保障和就业：反映政府在社会保障与就业方面的支出</w:t>
      </w:r>
      <w:r>
        <w:rPr>
          <w:rFonts w:ascii="Times New Roman" w:hAnsi="Times New Roman" w:eastAsia="仿宋_GB2312" w:cs="Times New Roman"/>
          <w:bCs/>
          <w:kern w:val="0"/>
          <w:sz w:val="32"/>
          <w:szCs w:val="32"/>
          <w:lang w:eastAsia="zh-CN"/>
        </w:rPr>
        <w:t>。</w:t>
      </w:r>
    </w:p>
    <w:p w14:paraId="217B2FB4">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ascii="Times New Roman" w:hAnsi="Times New Roman" w:eastAsia="仿宋_GB2312" w:cs="Times New Roman"/>
          <w:bCs/>
          <w:sz w:val="32"/>
          <w:szCs w:val="32"/>
        </w:rPr>
        <w:t>医疗卫生与计划生育：反映政府医疗卫生计划生育管理方面的支出</w:t>
      </w:r>
      <w:r>
        <w:rPr>
          <w:rFonts w:ascii="Times New Roman" w:hAnsi="Times New Roman" w:eastAsia="仿宋_GB2312" w:cs="Times New Roman"/>
          <w:bCs/>
          <w:sz w:val="32"/>
          <w:szCs w:val="32"/>
          <w:lang w:eastAsia="zh-CN"/>
        </w:rPr>
        <w:t>。</w:t>
      </w:r>
    </w:p>
    <w:p w14:paraId="239ACFCC">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12.住房保障支出：集中反映政府用于住房方面的支出。</w:t>
      </w:r>
    </w:p>
    <w:p w14:paraId="0DC3DFE9">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13.基本支出：指为保障机构正常运转、完成日常工作任务而发生的人员支出和公用支出。</w:t>
      </w:r>
    </w:p>
    <w:p w14:paraId="46B9D88C">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14.项目支出：指在基本支出之外为完成特定行政任务和事业发展目标所发生的支出。 </w:t>
      </w:r>
    </w:p>
    <w:p w14:paraId="05C23FF8">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15.经营支出：指事业单位在专业业务活动及其辅助活动之外开展非独立核算经营活动发生的支出。</w:t>
      </w:r>
    </w:p>
    <w:p w14:paraId="62609C34">
      <w:pPr>
        <w:pStyle w:val="26"/>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59F210E">
      <w:pPr>
        <w:pStyle w:val="26"/>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32AFA39">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14:paraId="7C3E1038">
      <w:pPr>
        <w:pStyle w:val="5"/>
        <w:bidi w:val="0"/>
        <w:jc w:val="center"/>
        <w:rPr>
          <w:rStyle w:val="28"/>
          <w:rFonts w:hint="eastAsia" w:ascii="Times New Roman" w:hAnsi="Times New Roman" w:eastAsia="黑体"/>
          <w:b w:val="0"/>
          <w:bCs/>
          <w:color w:val="auto"/>
          <w:highlight w:val="none"/>
          <w:lang w:eastAsia="zh-CN"/>
        </w:rPr>
      </w:pPr>
      <w:bookmarkStart w:id="77" w:name="_Toc15377226"/>
      <w:r>
        <w:rPr>
          <w:rFonts w:hint="eastAsia" w:ascii="Times New Roman" w:hAnsi="Times New Roman" w:eastAsia="仿宋_GB2312" w:cs="仿宋_GB2312"/>
          <w:color w:val="auto"/>
          <w:kern w:val="2"/>
          <w:szCs w:val="32"/>
          <w:highlight w:val="none"/>
          <w:lang w:val="en-US" w:eastAsia="zh-CN" w:bidi="ar-SA"/>
        </w:rPr>
        <w:br w:type="page"/>
      </w:r>
      <w:bookmarkStart w:id="78" w:name="_Toc15396614"/>
      <w:bookmarkStart w:id="79" w:name="_Toc25043"/>
      <w:r>
        <w:rPr>
          <w:rFonts w:hint="eastAsia"/>
        </w:rPr>
        <w:t>第四部分</w:t>
      </w:r>
      <w:r>
        <w:rPr>
          <w:rFonts w:hint="eastAsia"/>
          <w:lang w:val="en-US" w:eastAsia="zh-CN"/>
        </w:rPr>
        <w:t xml:space="preserve"> </w:t>
      </w:r>
      <w:r>
        <w:rPr>
          <w:rFonts w:hint="eastAsia"/>
        </w:rPr>
        <w:t xml:space="preserve"> 附件</w:t>
      </w:r>
      <w:bookmarkEnd w:id="78"/>
      <w:bookmarkEnd w:id="79"/>
    </w:p>
    <w:p w14:paraId="693B4EBE">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2B1649E2">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bookmarkStart w:id="80" w:name="_Toc24426"/>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80"/>
    </w:p>
    <w:p w14:paraId="62EBB54E">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3E092434">
      <w:pPr>
        <w:widowControl/>
        <w:spacing w:line="580" w:lineRule="exact"/>
        <w:contextualSpacing/>
        <w:jc w:val="center"/>
        <w:rPr>
          <w:rFonts w:hint="eastAsia" w:ascii="宋体" w:eastAsia="宋体"/>
          <w:b/>
          <w:sz w:val="44"/>
          <w:szCs w:val="44"/>
          <w:highlight w:val="none"/>
          <w:shd w:val="clear" w:color="auto" w:fill="FFFFFF"/>
          <w:lang w:eastAsia="zh-CN"/>
        </w:rPr>
      </w:pPr>
      <w:r>
        <w:rPr>
          <w:rFonts w:hint="eastAsia" w:ascii="宋体" w:eastAsia="宋体"/>
          <w:b/>
          <w:sz w:val="44"/>
          <w:szCs w:val="44"/>
          <w:highlight w:val="none"/>
          <w:shd w:val="clear" w:color="auto" w:fill="FFFFFF"/>
        </w:rPr>
        <w:t>20</w:t>
      </w:r>
      <w:r>
        <w:rPr>
          <w:rFonts w:hint="eastAsia" w:ascii="宋体" w:eastAsia="宋体"/>
          <w:b/>
          <w:sz w:val="44"/>
          <w:szCs w:val="44"/>
          <w:highlight w:val="none"/>
          <w:shd w:val="clear" w:color="auto" w:fill="FFFFFF"/>
          <w:lang w:val="en-US" w:eastAsia="zh-CN"/>
        </w:rPr>
        <w:t>24</w:t>
      </w:r>
      <w:r>
        <w:rPr>
          <w:rFonts w:hint="eastAsia" w:ascii="宋体" w:eastAsia="宋体"/>
          <w:b/>
          <w:sz w:val="44"/>
          <w:szCs w:val="44"/>
          <w:highlight w:val="none"/>
          <w:shd w:val="clear" w:color="auto" w:fill="FFFFFF"/>
        </w:rPr>
        <w:t>年</w:t>
      </w:r>
      <w:r>
        <w:rPr>
          <w:rFonts w:hint="eastAsia" w:ascii="宋体" w:eastAsia="宋体"/>
          <w:b/>
          <w:sz w:val="44"/>
          <w:szCs w:val="44"/>
          <w:highlight w:val="none"/>
          <w:shd w:val="clear" w:color="auto" w:fill="FFFFFF"/>
          <w:lang w:eastAsia="zh-CN"/>
        </w:rPr>
        <w:t>阿坝州金川县人民检察院</w:t>
      </w:r>
    </w:p>
    <w:p w14:paraId="26260AD9">
      <w:pPr>
        <w:widowControl/>
        <w:spacing w:line="580" w:lineRule="exact"/>
        <w:contextualSpacing/>
        <w:jc w:val="center"/>
        <w:rPr>
          <w:rFonts w:ascii="宋体" w:eastAsia="宋体"/>
          <w:b/>
          <w:sz w:val="44"/>
          <w:szCs w:val="44"/>
          <w:highlight w:val="none"/>
          <w:shd w:val="clear" w:color="auto" w:fill="FFFFFF"/>
        </w:rPr>
      </w:pPr>
      <w:r>
        <w:rPr>
          <w:rFonts w:hint="eastAsia" w:ascii="宋体" w:eastAsia="宋体"/>
          <w:b/>
          <w:sz w:val="44"/>
          <w:szCs w:val="44"/>
          <w:highlight w:val="none"/>
          <w:shd w:val="clear" w:color="auto" w:fill="FFFFFF"/>
          <w:lang w:val="en-US" w:eastAsia="zh-CN"/>
        </w:rPr>
        <w:t>部门</w:t>
      </w:r>
      <w:r>
        <w:rPr>
          <w:rFonts w:hint="eastAsia" w:ascii="宋体" w:eastAsia="宋体"/>
          <w:b/>
          <w:sz w:val="44"/>
          <w:szCs w:val="44"/>
          <w:highlight w:val="none"/>
          <w:shd w:val="clear" w:color="auto" w:fill="FFFFFF"/>
        </w:rPr>
        <w:t>整体支出绩效评价报告</w:t>
      </w:r>
    </w:p>
    <w:p w14:paraId="4AFFA4ED">
      <w:pPr>
        <w:widowControl/>
        <w:adjustRightInd w:val="0"/>
        <w:snapToGrid w:val="0"/>
        <w:spacing w:line="580" w:lineRule="exact"/>
        <w:ind w:firstLine="480" w:firstLineChars="200"/>
        <w:contextualSpacing/>
        <w:jc w:val="left"/>
        <w:rPr>
          <w:rFonts w:ascii="黑体" w:eastAsia="黑体" w:cs="宋体"/>
          <w:color w:val="000000"/>
          <w:kern w:val="0"/>
          <w:sz w:val="24"/>
          <w:szCs w:val="32"/>
          <w:highlight w:val="none"/>
          <w:shd w:val="clear" w:color="auto" w:fill="FFFFFF"/>
        </w:rPr>
      </w:pPr>
    </w:p>
    <w:p w14:paraId="0FC3A896">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val="zh-CN" w:eastAsia="zh-CN"/>
        </w:rPr>
        <w:t>部门（单位）概况</w:t>
      </w:r>
    </w:p>
    <w:p w14:paraId="2A028CDF">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（一）机构组成。</w:t>
      </w:r>
    </w:p>
    <w:p w14:paraId="736B148F">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阿坝州金川县人民检察院现设第一检察部、第二检察部、第三检察部、办公室、政治部等5个内设机构和2个派驻乡镇检察室。</w:t>
      </w:r>
    </w:p>
    <w:p w14:paraId="4670E89A">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zh-CN" w:eastAsia="zh-CN"/>
        </w:rPr>
        <w:t>第一检察部（刑事检察部）</w:t>
      </w:r>
    </w:p>
    <w:p w14:paraId="0BB84213">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负责刑事犯罪案件审查逮捕、审查起诉、补充侦查、出庭支持公诉、抗诉以及立案监督、侦查监督、审判监督；负责相关刑事申诉案件的办理；审查办理强制医疗案件。负责对法律规定由人民检察院办理的司法工作人员利用职权实施的非法拘禁、刑讯逼供、非法搜查等侵犯公民权利、损害司法公正犯罪以及按照刑事诉讼法规定需要由人民检察院直接受理的其他重大犯罪案件的侦查。</w:t>
      </w:r>
    </w:p>
    <w:p w14:paraId="77A255C8">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2.第二检察部（民行与公益诉讼检察部）</w:t>
      </w:r>
    </w:p>
    <w:p w14:paraId="183C2F46">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负责办理对人民法院已经发生法律效力的民事、行政判决、裁定、调解书的监督案件；负责对人民法院民事、行政诉讼活动以及民事、行政执行活动进行法律监督；对审判监督程序以外的其他民事、行政审判程序中审判人员的违法行为提出检察建议；开展民事支持起诉工作；负责相关民事、行政申诉案件的办理。负责办理破坏生态环境和资源保护、食品药品安全领域侵害众多消费者合法权益等损害社会公共利益的民事公益诉讼案件；负责办理生态环境和资源保护、食品药品安全、国有财产保护、国有土地使用权出让等领域的行政公益诉讼案件；负责办理侵害英雄烈士姓名、肖像、名誉、荣誉的公益诉讼案件；对同级法院开庭审理的公益诉讼案件，派员出席法庭，依照有关规定提出检察建议；负责相关公益诉讼申诉案件的办理。</w:t>
      </w:r>
    </w:p>
    <w:p w14:paraId="6187B122">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3.第三检察部（业务监管部）</w:t>
      </w:r>
    </w:p>
    <w:p w14:paraId="4481182C">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负责案件的统一受理流转、办案流程监控、涉案财物的监管、法律文书监管、案件信息公开；负责组织办案质量评查、业务考评；负责业务统计分析研判；负责管理检察机关统一业务应用系统；负责人民监督员工作。负责检察技术工作的管理，负责与案件有关的检验鉴定、技术性证据审查、参与勘查取证等工作。负责检察机关贯彻执行党的政策、国家法律情况以及检察业务工作的调查研究；负责检察理论研究工作；承办检察工作适用法律问题的请示事项；承担检察委员会日常工作。处理来信来访，受理控告申诉；承办国家赔偿案件；负责国家司法救助工作。负责检察机关司法警察勤务管理和使用。负责对执行法律、法规和有关检察工作规定、决定情况进行督察，承担内部执法监督和组织检务督察职能；负责检风检纪督查；负责与派驻本院纪检监察机构的工作协调。起草审核文件文稿。</w:t>
      </w:r>
    </w:p>
    <w:p w14:paraId="6DA673D1">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4.政治部</w:t>
      </w:r>
    </w:p>
    <w:p w14:paraId="779F2263">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负责思想政治工作和组织人事工作。协同机构编制部门进行机构编制实名制管理、统计等日常管理事项；负责机关干部人事管理、工资管理、表彰奖励、思想政治、教育培训、意识形态、新闻宣传、检察文化等工作。负责检察机关司法警察警衔管理。负责机关离退休干部工作。</w:t>
      </w:r>
    </w:p>
    <w:p w14:paraId="248DE459">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5.办公室</w:t>
      </w:r>
    </w:p>
    <w:p w14:paraId="08C9362A">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负责机关文电、会务、机要、保密、档案等工作；协助院领导处理检察政务，组织协调重要工作部署、重大决策的贯彻实施，管理秘书事务，处理和编发检察信息；负责人大代表、政协委员联络工作和特约检察员联系工作；负责有关工作部署、领导批办事项的督查工作。编制支出规划和部门预决算，负责财务管理、国有资产管理、政府采购；负责机关车辆使用管理等后勤服务和保障工作。负责检察信息化系统的设施建设、设备选用；负责检察机关通信、计算机网络、智能会议、信息安全、信息化应用、信息数据的管理、维护和保障工作。</w:t>
      </w:r>
    </w:p>
    <w:p w14:paraId="0357D728">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（二）机构职能。</w:t>
      </w:r>
    </w:p>
    <w:p w14:paraId="720F3C2D">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审查批准逮捕、决定起诉并出席法庭支持公诉的职能。人民检察院是国家的法律监督机关，行使国家的检察权。对于叛国案、分裂国家案以及严重破坏国家的政策、法律、政令统一实施的重大犯罪案件，行使检察权。对于直接受理的国家工作人员利用职权实施的犯罪案件，进行侦查。对于公安机关、国家安全机关等侦查机关侦查的案件进行审查，决定是否逮捕、是否起诉，并监督侦查机关的侦查活动是否合法。对于刑事案件提起公诉，支持公诉；对于人民法院的刑事判决、裁定是否正确和审判活动是否合法实行监督。对于监狱、看守所等监所机关执行刑罚的活动是否合法实行监督。对于人民法院的民事审判活动实行法律监督，对人民法院已经发生效力的判决、裁定，发现违反法律、法规规定的，依法提出抗诉。对于行政诉讼实行法律监督。对人民法院已经发生效力的判决、裁定发现违反法律、法规规定的，依法提出抗诉。</w:t>
      </w:r>
    </w:p>
    <w:p w14:paraId="4D9C82C2">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（三）人员概况。</w:t>
      </w:r>
    </w:p>
    <w:p w14:paraId="410DBD7C">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 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eastAsia="zh-CN"/>
        </w:rPr>
        <w:t>独立编制单位机构数为 1个，财政供养人员编制为 </w:t>
      </w:r>
      <w:r>
        <w:rPr>
          <w:rFonts w:hint="eastAsia" w:ascii="Times New Roman" w:hAnsi="Times New Roman" w:eastAsia="仿宋_GB2312" w:cs="Times New Roman"/>
          <w:sz w:val="32"/>
          <w:szCs w:val="32"/>
          <w:lang w:val="en-US" w:eastAsia="zh-CN"/>
        </w:rPr>
        <w:t>27</w:t>
      </w:r>
      <w:r>
        <w:rPr>
          <w:rFonts w:hint="eastAsia" w:ascii="Times New Roman" w:hAnsi="Times New Roman" w:eastAsia="仿宋_GB2312" w:cs="Times New Roman"/>
          <w:sz w:val="32"/>
          <w:szCs w:val="32"/>
          <w:lang w:val="zh-CN" w:eastAsia="zh-CN"/>
        </w:rPr>
        <w:t>名，其中行政编制24名，行政工勤编制3名，事业编制0名（其中参照公务员法管理人员编制0人）；202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eastAsia="zh-CN"/>
        </w:rPr>
        <w:t>实际财政供养人员</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val="zh-CN" w:eastAsia="zh-CN"/>
        </w:rPr>
        <w:t>人，较上年</w:t>
      </w:r>
      <w:r>
        <w:rPr>
          <w:rFonts w:hint="eastAsia" w:ascii="Times New Roman" w:hAnsi="Times New Roman" w:eastAsia="仿宋_GB2312" w:cs="Times New Roman"/>
          <w:sz w:val="32"/>
          <w:szCs w:val="32"/>
          <w:lang w:val="en-US" w:eastAsia="zh-CN"/>
        </w:rPr>
        <w:t>增加1</w:t>
      </w:r>
      <w:r>
        <w:rPr>
          <w:rFonts w:hint="eastAsia" w:ascii="Times New Roman" w:hAnsi="Times New Roman" w:eastAsia="仿宋_GB2312" w:cs="Times New Roman"/>
          <w:sz w:val="32"/>
          <w:szCs w:val="32"/>
          <w:lang w:val="zh-CN" w:eastAsia="zh-CN"/>
        </w:rPr>
        <w:t>人，其中：行政2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eastAsia="zh-CN"/>
        </w:rPr>
        <w:t>人，行政工勤2人，事业0人。</w:t>
      </w:r>
    </w:p>
    <w:p w14:paraId="6E528EB1">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二、部门财政资金收支情况</w:t>
      </w:r>
    </w:p>
    <w:p w14:paraId="5A709ED2">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（一）部门财政资金收入情况。</w:t>
      </w:r>
    </w:p>
    <w:p w14:paraId="25521E64">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阿坝州金川县人民检察院</w:t>
      </w:r>
      <w:r>
        <w:rPr>
          <w:rFonts w:hint="eastAsia" w:ascii="Times New Roman" w:hAnsi="Times New Roman" w:eastAsia="仿宋_GB2312" w:cs="Times New Roman"/>
          <w:sz w:val="32"/>
          <w:szCs w:val="32"/>
          <w:lang w:val="en-US" w:eastAsia="zh-CN"/>
        </w:rPr>
        <w:t>2024年年初预算收入627.2万元，</w:t>
      </w:r>
      <w:r>
        <w:rPr>
          <w:rFonts w:hint="eastAsia" w:ascii="Times New Roman" w:hAnsi="Times New Roman" w:eastAsia="仿宋_GB2312" w:cs="Times New Roman"/>
          <w:sz w:val="32"/>
          <w:szCs w:val="32"/>
          <w:lang w:val="zh-CN" w:eastAsia="zh-CN"/>
        </w:rPr>
        <w:t>年</w:t>
      </w:r>
      <w:r>
        <w:rPr>
          <w:rFonts w:hint="eastAsia" w:ascii="Times New Roman" w:hAnsi="Times New Roman" w:eastAsia="仿宋_GB2312" w:cs="Times New Roman"/>
          <w:sz w:val="32"/>
          <w:szCs w:val="32"/>
          <w:lang w:val="en-US" w:eastAsia="zh-CN"/>
        </w:rPr>
        <w:t>末决算</w:t>
      </w:r>
      <w:r>
        <w:rPr>
          <w:rFonts w:hint="eastAsia" w:ascii="Times New Roman" w:hAnsi="Times New Roman" w:eastAsia="仿宋_GB2312" w:cs="Times New Roman"/>
          <w:sz w:val="32"/>
          <w:szCs w:val="32"/>
          <w:lang w:val="zh-CN" w:eastAsia="zh-CN"/>
        </w:rPr>
        <w:t>部门财政资金收入</w:t>
      </w:r>
      <w:r>
        <w:rPr>
          <w:rFonts w:hint="eastAsia" w:ascii="Times New Roman" w:hAnsi="Times New Roman" w:eastAsia="仿宋_GB2312" w:cs="Times New Roman"/>
          <w:sz w:val="32"/>
          <w:szCs w:val="32"/>
          <w:lang w:val="en-US" w:eastAsia="zh-CN"/>
        </w:rPr>
        <w:t>总计1094.24</w:t>
      </w:r>
      <w:r>
        <w:rPr>
          <w:rFonts w:hint="eastAsia" w:ascii="Times New Roman" w:hAnsi="Times New Roman" w:eastAsia="仿宋_GB2312" w:cs="Times New Roman"/>
          <w:sz w:val="32"/>
          <w:szCs w:val="32"/>
          <w:lang w:val="zh-CN" w:eastAsia="zh-CN"/>
        </w:rPr>
        <w:t>万元，其中：一般公共预算财政拨款收入</w:t>
      </w:r>
      <w:r>
        <w:rPr>
          <w:rFonts w:hint="eastAsia" w:ascii="Times New Roman" w:hAnsi="Times New Roman" w:eastAsia="仿宋_GB2312" w:cs="Times New Roman"/>
          <w:sz w:val="32"/>
          <w:szCs w:val="32"/>
          <w:lang w:val="en-US" w:eastAsia="zh-CN"/>
        </w:rPr>
        <w:t>858.12</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其他收入（县级财政拨款收入）236.12万元</w:t>
      </w:r>
      <w:r>
        <w:rPr>
          <w:rFonts w:hint="eastAsia" w:ascii="Times New Roman" w:hAnsi="Times New Roman" w:eastAsia="仿宋_GB2312" w:cs="Times New Roman"/>
          <w:sz w:val="32"/>
          <w:szCs w:val="32"/>
          <w:lang w:val="zh-CN" w:eastAsia="zh-CN"/>
        </w:rPr>
        <w:t>。</w:t>
      </w:r>
    </w:p>
    <w:p w14:paraId="785CB8B1">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（二）部门财政资金支出情况。</w:t>
      </w:r>
    </w:p>
    <w:p w14:paraId="0C71E618">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zh-CN" w:eastAsia="zh-CN"/>
        </w:rPr>
        <w:t>阿坝州金川县人民检察院</w:t>
      </w:r>
      <w:r>
        <w:rPr>
          <w:rFonts w:hint="eastAsia" w:ascii="Times New Roman" w:hAnsi="Times New Roman" w:eastAsia="仿宋_GB2312" w:cs="Times New Roman"/>
          <w:sz w:val="32"/>
          <w:szCs w:val="32"/>
          <w:lang w:val="en-US" w:eastAsia="zh-CN"/>
        </w:rPr>
        <w:t>2024年年初预算支出627.2万元，年末决算财政资金支出合计1087.27万元。按功能分类划分，其中：公共安全支出904.69万元，社会保障和就业支出87.46万元，卫生健康支出38.81万元，住房保障支出56.31万元。</w:t>
      </w:r>
    </w:p>
    <w:p w14:paraId="0CC7213E">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按支出性质和经济分类划分，其中：基本支出845.1万元（其中人员经费5766.27万元、日常公用经费支出78.83万元），项目支出242.17万元。</w:t>
      </w:r>
    </w:p>
    <w:p w14:paraId="0CD89E76">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结余分配和结转结余情况</w:t>
      </w:r>
      <w:r>
        <w:rPr>
          <w:rFonts w:hint="eastAsia" w:ascii="Times New Roman" w:hAnsi="Times New Roman" w:eastAsia="仿宋_GB2312" w:cs="Times New Roman"/>
          <w:sz w:val="32"/>
          <w:szCs w:val="32"/>
          <w:lang w:val="zh-CN" w:eastAsia="zh-CN"/>
        </w:rPr>
        <w:t>。</w:t>
      </w:r>
    </w:p>
    <w:p w14:paraId="63472F1C">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 xml:space="preserve">    金川人民检察院根据财政经费使用管理要求，年末报表中结转结余为6.98万元。</w:t>
      </w:r>
    </w:p>
    <w:p w14:paraId="4295589F">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三、部门预算绩效分析</w:t>
      </w:r>
    </w:p>
    <w:p w14:paraId="446984FA">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（一）部门</w:t>
      </w:r>
      <w:r>
        <w:rPr>
          <w:rFonts w:hint="eastAsia" w:ascii="Times New Roman" w:hAnsi="Times New Roman" w:eastAsia="仿宋_GB2312" w:cs="Times New Roman"/>
          <w:sz w:val="32"/>
          <w:szCs w:val="32"/>
          <w:lang w:val="en-US" w:eastAsia="zh-CN"/>
        </w:rPr>
        <w:t>预算总体绩效分析</w:t>
      </w:r>
    </w:p>
    <w:p w14:paraId="2D97E6C2">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履职效能。</w:t>
      </w:r>
      <w:r>
        <w:rPr>
          <w:rFonts w:hint="eastAsia" w:ascii="Times New Roman" w:hAnsi="Times New Roman" w:eastAsia="仿宋_GB2312" w:cs="Times New Roman"/>
          <w:sz w:val="32"/>
          <w:szCs w:val="32"/>
          <w:lang w:val="zh-CN" w:eastAsia="zh-CN"/>
        </w:rPr>
        <w:t>“目标制定”自评质量标总分</w:t>
      </w:r>
      <w:r>
        <w:rPr>
          <w:rFonts w:hint="eastAsia" w:ascii="Times New Roman" w:hAnsi="Times New Roman" w:eastAsia="仿宋_GB2312" w:cs="Times New Roman"/>
          <w:sz w:val="32"/>
          <w:szCs w:val="32"/>
          <w:lang w:val="en-US" w:eastAsia="zh-CN"/>
        </w:rPr>
        <w:t>15</w:t>
      </w:r>
      <w:r>
        <w:rPr>
          <w:rFonts w:hint="eastAsia" w:ascii="Times New Roman" w:hAnsi="Times New Roman" w:eastAsia="仿宋_GB2312" w:cs="Times New Roman"/>
          <w:sz w:val="32"/>
          <w:szCs w:val="32"/>
          <w:lang w:val="zh-CN" w:eastAsia="zh-CN"/>
        </w:rPr>
        <w:t>分，自评得分</w:t>
      </w:r>
      <w:r>
        <w:rPr>
          <w:rFonts w:hint="eastAsia" w:ascii="Times New Roman" w:hAnsi="Times New Roman" w:eastAsia="仿宋_GB2312" w:cs="Times New Roman"/>
          <w:sz w:val="32"/>
          <w:szCs w:val="32"/>
          <w:lang w:val="en-US" w:eastAsia="zh-CN"/>
        </w:rPr>
        <w:t>15</w:t>
      </w:r>
      <w:r>
        <w:rPr>
          <w:rFonts w:hint="eastAsia" w:ascii="Times New Roman" w:hAnsi="Times New Roman" w:eastAsia="仿宋_GB2312" w:cs="Times New Roman"/>
          <w:sz w:val="32"/>
          <w:szCs w:val="32"/>
          <w:lang w:val="zh-CN" w:eastAsia="zh-CN"/>
        </w:rPr>
        <w:t>分。</w:t>
      </w:r>
    </w:p>
    <w:p w14:paraId="073897FA">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1.数量指标得5分，2024年我院案件设定指标150件，结案率95%以上，2024年共办理案件194件，结案率100%，该指标得分129%。</w:t>
      </w:r>
    </w:p>
    <w:p w14:paraId="3B3AA4BD">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2.满意度指标得5分，2024年我院满意度设定指标大于等于95%，通过年底问卷调查我院满意度为100%，该指标得分105%。</w:t>
      </w:r>
    </w:p>
    <w:p w14:paraId="295451B0">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3.社会成本指标得5分，2024年我院财政资金均足额到位，资金到位率为100%。      </w:t>
      </w:r>
    </w:p>
    <w:p w14:paraId="183F5AA1">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（2）预算管理。</w:t>
      </w:r>
      <w:r>
        <w:rPr>
          <w:rFonts w:hint="eastAsia" w:ascii="Times New Roman" w:hAnsi="Times New Roman" w:eastAsia="仿宋_GB2312" w:cs="Times New Roman"/>
          <w:sz w:val="32"/>
          <w:szCs w:val="32"/>
          <w:lang w:val="zh-CN" w:eastAsia="zh-CN"/>
        </w:rPr>
        <w:t>“目标制定”自评质量标总分</w:t>
      </w:r>
      <w:r>
        <w:rPr>
          <w:rFonts w:hint="eastAsia" w:ascii="Times New Roman" w:hAnsi="Times New Roman" w:eastAsia="仿宋_GB2312" w:cs="Times New Roman"/>
          <w:sz w:val="32"/>
          <w:szCs w:val="32"/>
          <w:lang w:val="en-US" w:eastAsia="zh-CN"/>
        </w:rPr>
        <w:t>25</w:t>
      </w:r>
      <w:r>
        <w:rPr>
          <w:rFonts w:hint="eastAsia" w:ascii="Times New Roman" w:hAnsi="Times New Roman" w:eastAsia="仿宋_GB2312" w:cs="Times New Roman"/>
          <w:sz w:val="32"/>
          <w:szCs w:val="32"/>
          <w:lang w:val="zh-CN" w:eastAsia="zh-CN"/>
        </w:rPr>
        <w:t>分，</w:t>
      </w:r>
      <w:r>
        <w:rPr>
          <w:rFonts w:hint="eastAsia" w:ascii="Times New Roman" w:hAnsi="Times New Roman" w:eastAsia="仿宋_GB2312" w:cs="Times New Roman"/>
          <w:sz w:val="32"/>
          <w:szCs w:val="32"/>
          <w:lang w:val="en-US" w:eastAsia="zh-CN"/>
        </w:rPr>
        <w:t>自评得分18.87分。</w:t>
      </w:r>
    </w:p>
    <w:p w14:paraId="60350631">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1.预算编制质量指标分值12分，自评得分9.84分。财政拨款预算偏离度为36.82%，资产配置及政府采购偏离度都为0。</w:t>
      </w:r>
    </w:p>
    <w:p w14:paraId="283DBD6A">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2.支出执行进度指标值6分，自评得分5.63分。通过比率分值法计算得1-6月执行进度得分1.79分,1-10月执行进度得分1.84分。1-6月1-10月均无预警金额得2分。</w:t>
      </w:r>
    </w:p>
    <w:p w14:paraId="38C5182B">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3.预算年终结余指标分值2分，自评得分0分。有结余资金。</w:t>
      </w:r>
    </w:p>
    <w:p w14:paraId="0D1EA4DE">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4.严控一般性支出指分值5分，自评得分3.4分。一般性支出财政拨款年初预算较上年实现压减得1分，压减率为3%得0.6分；一般性支出财政拨款预算执行较上年实现压减得1分，压减率为4%得0.8分。</w:t>
      </w:r>
    </w:p>
    <w:p w14:paraId="6D7C4591">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（3）财务管理。</w:t>
      </w:r>
      <w:r>
        <w:rPr>
          <w:rFonts w:hint="eastAsia" w:ascii="Times New Roman" w:hAnsi="Times New Roman" w:eastAsia="仿宋_GB2312" w:cs="Times New Roman"/>
          <w:sz w:val="32"/>
          <w:szCs w:val="32"/>
          <w:lang w:val="zh-CN" w:eastAsia="zh-CN"/>
        </w:rPr>
        <w:t>“目标制定”自评质量标总分</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val="zh-CN" w:eastAsia="zh-CN"/>
        </w:rPr>
        <w:t>分，</w:t>
      </w:r>
      <w:r>
        <w:rPr>
          <w:rFonts w:hint="eastAsia" w:ascii="Times New Roman" w:hAnsi="Times New Roman" w:eastAsia="仿宋_GB2312" w:cs="Times New Roman"/>
          <w:sz w:val="32"/>
          <w:szCs w:val="32"/>
          <w:lang w:val="en-US" w:eastAsia="zh-CN"/>
        </w:rPr>
        <w:t>自评得分10分。</w:t>
      </w:r>
      <w:r>
        <w:rPr>
          <w:rFonts w:hint="eastAsia" w:ascii="Times New Roman" w:hAnsi="Times New Roman" w:eastAsia="仿宋_GB2312" w:cs="Times New Roman"/>
          <w:sz w:val="32"/>
          <w:szCs w:val="32"/>
          <w:lang w:val="zh-CN" w:eastAsia="zh-CN"/>
        </w:rPr>
        <w:t>我院制定了经费管理办法指导日常经费规范支出，按照不相容岗位相分离的原则，设置财务负责人、资产管理人、会计、出纳等岗位，并规范相应工作职责。资金使用中按照预算进行安排，不存在虚列支出、超范围超标准使用经费等情况。</w:t>
      </w:r>
    </w:p>
    <w:p w14:paraId="3BFFDF4C">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（4）资产管理。</w:t>
      </w:r>
      <w:r>
        <w:rPr>
          <w:rFonts w:hint="eastAsia" w:ascii="Times New Roman" w:hAnsi="Times New Roman" w:eastAsia="仿宋_GB2312" w:cs="Times New Roman"/>
          <w:sz w:val="32"/>
          <w:szCs w:val="32"/>
          <w:lang w:val="zh-CN" w:eastAsia="zh-CN"/>
        </w:rPr>
        <w:t>“目标制定”自评质量标总分</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val="zh-CN" w:eastAsia="zh-CN"/>
        </w:rPr>
        <w:t>分，</w:t>
      </w:r>
      <w:r>
        <w:rPr>
          <w:rFonts w:hint="eastAsia" w:ascii="Times New Roman" w:hAnsi="Times New Roman" w:eastAsia="仿宋_GB2312" w:cs="Times New Roman"/>
          <w:sz w:val="32"/>
          <w:szCs w:val="32"/>
          <w:lang w:val="en-US" w:eastAsia="zh-CN"/>
        </w:rPr>
        <w:t>自评得分5.1分。人均资产变化率为8.9%小于州直行事业单位人均资产变化率得1.5分；办公家具超最低年限资产利用率为2.57%，办公设备超最低使用年限资产利用率为36.54%,得分0.6分；本单位两年均无闲置资产得3分。</w:t>
      </w:r>
    </w:p>
    <w:p w14:paraId="30C74CB8">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（5）采购管理。</w:t>
      </w:r>
      <w:r>
        <w:rPr>
          <w:rFonts w:hint="eastAsia" w:ascii="Times New Roman" w:hAnsi="Times New Roman" w:eastAsia="仿宋_GB2312" w:cs="Times New Roman"/>
          <w:sz w:val="32"/>
          <w:szCs w:val="32"/>
          <w:lang w:val="zh-CN" w:eastAsia="zh-CN"/>
        </w:rPr>
        <w:t>“目标制定”自评质量标总分</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zh-CN" w:eastAsia="zh-CN"/>
        </w:rPr>
        <w:t>分，</w:t>
      </w:r>
      <w:r>
        <w:rPr>
          <w:rFonts w:hint="eastAsia" w:ascii="Times New Roman" w:hAnsi="Times New Roman" w:eastAsia="仿宋_GB2312" w:cs="Times New Roman"/>
          <w:sz w:val="32"/>
          <w:szCs w:val="32"/>
          <w:lang w:val="en-US" w:eastAsia="zh-CN"/>
        </w:rPr>
        <w:t>自评得分6分。我院2024年大力支持中小企业发展，在采购预算中单独列示；当年政府采购实际支付总金额÷（当年政府采购总预算数-当年已完成采购项目节约金额）×100%×3，且有节约资金，无扣分。</w:t>
      </w:r>
    </w:p>
    <w:p w14:paraId="35C0A05E">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部门预算项目绩效分析</w:t>
      </w:r>
    </w:p>
    <w:p w14:paraId="46116D91">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（1）项目决策。</w:t>
      </w:r>
      <w:r>
        <w:rPr>
          <w:rFonts w:hint="eastAsia" w:ascii="Times New Roman" w:hAnsi="Times New Roman" w:eastAsia="仿宋_GB2312" w:cs="Times New Roman"/>
          <w:sz w:val="32"/>
          <w:szCs w:val="32"/>
          <w:lang w:val="zh-CN" w:eastAsia="zh-CN"/>
        </w:rPr>
        <w:t>“目标制定”自评质量标总分</w:t>
      </w: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cs="Times New Roman"/>
          <w:sz w:val="32"/>
          <w:szCs w:val="32"/>
          <w:lang w:val="zh-CN" w:eastAsia="zh-CN"/>
        </w:rPr>
        <w:t>分，</w:t>
      </w:r>
      <w:r>
        <w:rPr>
          <w:rFonts w:hint="eastAsia" w:ascii="Times New Roman" w:hAnsi="Times New Roman" w:eastAsia="仿宋_GB2312" w:cs="Times New Roman"/>
          <w:sz w:val="32"/>
          <w:szCs w:val="32"/>
          <w:lang w:val="en-US" w:eastAsia="zh-CN"/>
        </w:rPr>
        <w:t>自评得分12分。2024年度我院转移支付资金项目按照资金使用用途即预期实现目标，在财政资金安排前进行绩效目标设置并按期完成项目入库工作。</w:t>
      </w:r>
    </w:p>
    <w:p w14:paraId="69304555">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转移支付资金项目是根据《中共中央转发&lt;中央政法委员会关于深化司法体制改革若干问题的意见&gt;的通知》（中发〔2008〕19号）、中共中央办公厅、国务院办公厅《关于加强政法经费保障工作的意见》（厅字〔2009〕32号）、财政部《关于印发&lt;政法经费分类保障办法（试行）&gt;的通知》、四川省财政厅《关于印发&lt;四川省政法经费分类保障实施细则（试行）&gt;的通知》确定。根据目标设定资金到位率、资金支付率、装备购置数量、装备购置验收合格率等三级指标，通过项目年度实施自评，项目达到预期效果。</w:t>
      </w:r>
    </w:p>
    <w:p w14:paraId="02317FDC">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（2）项目执行。“</w:t>
      </w:r>
      <w:r>
        <w:rPr>
          <w:rFonts w:hint="eastAsia" w:ascii="Times New Roman" w:hAnsi="Times New Roman" w:eastAsia="仿宋_GB2312" w:cs="Times New Roman"/>
          <w:sz w:val="32"/>
          <w:szCs w:val="32"/>
          <w:lang w:val="zh-CN" w:eastAsia="zh-CN"/>
        </w:rPr>
        <w:t>目标制定”自评质量标总分</w:t>
      </w: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cs="Times New Roman"/>
          <w:sz w:val="32"/>
          <w:szCs w:val="32"/>
          <w:lang w:val="zh-CN" w:eastAsia="zh-CN"/>
        </w:rPr>
        <w:t>分，</w:t>
      </w:r>
      <w:r>
        <w:rPr>
          <w:rFonts w:hint="eastAsia" w:ascii="Times New Roman" w:hAnsi="Times New Roman" w:eastAsia="仿宋_GB2312" w:cs="Times New Roman"/>
          <w:sz w:val="32"/>
          <w:szCs w:val="32"/>
          <w:lang w:val="en-US" w:eastAsia="zh-CN"/>
        </w:rPr>
        <w:t>自评得分12分。</w:t>
      </w:r>
      <w:r>
        <w:rPr>
          <w:rFonts w:hint="eastAsia" w:ascii="Times New Roman" w:hAnsi="Times New Roman" w:eastAsia="仿宋_GB2312" w:cs="Times New Roman"/>
          <w:sz w:val="32"/>
          <w:szCs w:val="32"/>
          <w:lang w:val="zh-CN" w:eastAsia="zh-CN"/>
        </w:rPr>
        <w:t>各项目在实施过程中资金到位率和支付均均满足设定目标，在实施过程中经费不足，及时作出调整向财政申请资金追加，最终顺利完成全年预期目标。各项目实施后其设定的社会效益指标和满意度指标均达预期，项目执行达预期目标。</w:t>
      </w:r>
    </w:p>
    <w:p w14:paraId="1A61FFCC">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zh-CN" w:eastAsia="zh-CN"/>
        </w:rPr>
        <w:t>目标实现。</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zh-CN" w:eastAsia="zh-CN"/>
        </w:rPr>
        <w:t>目标制定”自评质量标总分</w:t>
      </w: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sz w:val="32"/>
          <w:szCs w:val="32"/>
          <w:lang w:val="zh-CN" w:eastAsia="zh-CN"/>
        </w:rPr>
        <w:t>分，</w:t>
      </w:r>
      <w:r>
        <w:rPr>
          <w:rFonts w:hint="eastAsia" w:ascii="Times New Roman" w:hAnsi="Times New Roman" w:eastAsia="仿宋_GB2312" w:cs="Times New Roman"/>
          <w:sz w:val="32"/>
          <w:szCs w:val="32"/>
          <w:lang w:val="en-US" w:eastAsia="zh-CN"/>
        </w:rPr>
        <w:t>自评得分11分。</w:t>
      </w:r>
      <w:r>
        <w:rPr>
          <w:rFonts w:hint="eastAsia" w:ascii="Times New Roman" w:hAnsi="Times New Roman" w:eastAsia="仿宋_GB2312" w:cs="Times New Roman"/>
          <w:sz w:val="32"/>
          <w:szCs w:val="32"/>
          <w:lang w:val="zh-CN" w:eastAsia="zh-CN"/>
        </w:rPr>
        <w:t>所有项目均顺利完成年初设定目标，未出现目标偏离情况，项目实施有效缓解当事人困难、提升检察干警工作积极性、保障检察设施设备提到提升，维护了社会和谐稳定，提升了社会满意度。</w:t>
      </w:r>
    </w:p>
    <w:p w14:paraId="13D3EF05">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四、评价结论及建议</w:t>
      </w:r>
    </w:p>
    <w:p w14:paraId="4B803E44">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（一）评价结论。</w:t>
      </w:r>
    </w:p>
    <w:p w14:paraId="2934B619">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eastAsia="zh-CN"/>
        </w:rPr>
        <w:t>年，</w:t>
      </w:r>
      <w:r>
        <w:rPr>
          <w:rFonts w:hint="eastAsia" w:ascii="Times New Roman" w:hAnsi="Times New Roman" w:eastAsia="仿宋_GB2312" w:cs="Times New Roman"/>
          <w:sz w:val="32"/>
          <w:szCs w:val="32"/>
          <w:lang w:val="en-US" w:eastAsia="zh-CN"/>
        </w:rPr>
        <w:t>单位</w:t>
      </w:r>
      <w:r>
        <w:rPr>
          <w:rFonts w:hint="eastAsia" w:ascii="Times New Roman" w:hAnsi="Times New Roman" w:eastAsia="仿宋_GB2312" w:cs="Times New Roman"/>
          <w:sz w:val="32"/>
          <w:szCs w:val="32"/>
          <w:lang w:val="zh-CN" w:eastAsia="zh-CN"/>
        </w:rPr>
        <w:t>积极履行工作职责、强化内部管理、规范资金使用，较好地完成年度工作目标，高质高效保障</w:t>
      </w:r>
      <w:r>
        <w:rPr>
          <w:rFonts w:hint="eastAsia" w:ascii="Times New Roman" w:hAnsi="Times New Roman" w:eastAsia="仿宋_GB2312" w:cs="Times New Roman"/>
          <w:sz w:val="32"/>
          <w:szCs w:val="32"/>
          <w:lang w:val="en-US" w:eastAsia="zh-CN"/>
        </w:rPr>
        <w:t>单位</w:t>
      </w:r>
      <w:r>
        <w:rPr>
          <w:rFonts w:hint="eastAsia" w:ascii="Times New Roman" w:hAnsi="Times New Roman" w:eastAsia="仿宋_GB2312" w:cs="Times New Roman"/>
          <w:sz w:val="32"/>
          <w:szCs w:val="32"/>
          <w:lang w:val="zh-CN" w:eastAsia="zh-CN"/>
        </w:rPr>
        <w:t>各项重点工作有序</w:t>
      </w:r>
      <w:r>
        <w:rPr>
          <w:rFonts w:hint="eastAsia" w:ascii="Times New Roman" w:hAnsi="Times New Roman" w:eastAsia="仿宋_GB2312" w:cs="Times New Roman"/>
          <w:sz w:val="32"/>
          <w:szCs w:val="32"/>
          <w:lang w:val="en-US" w:eastAsia="zh-CN"/>
        </w:rPr>
        <w:t>实施</w:t>
      </w:r>
      <w:r>
        <w:rPr>
          <w:rFonts w:hint="eastAsia" w:ascii="Times New Roman" w:hAnsi="Times New Roman" w:eastAsia="仿宋_GB2312" w:cs="Times New Roman"/>
          <w:sz w:val="32"/>
          <w:szCs w:val="32"/>
          <w:lang w:val="zh-CN" w:eastAsia="zh-CN"/>
        </w:rPr>
        <w:t>完成。为落实好</w:t>
      </w:r>
      <w:r>
        <w:rPr>
          <w:rFonts w:hint="eastAsia" w:ascii="Times New Roman" w:hAnsi="Times New Roman" w:eastAsia="仿宋_GB2312" w:cs="Times New Roman"/>
          <w:sz w:val="32"/>
          <w:szCs w:val="32"/>
          <w:lang w:val="en-US" w:eastAsia="zh-CN"/>
        </w:rPr>
        <w:t>单位</w:t>
      </w:r>
      <w:r>
        <w:rPr>
          <w:rFonts w:hint="eastAsia" w:ascii="Times New Roman" w:hAnsi="Times New Roman" w:eastAsia="仿宋_GB2312" w:cs="Times New Roman"/>
          <w:sz w:val="32"/>
          <w:szCs w:val="32"/>
          <w:lang w:val="zh-CN" w:eastAsia="zh-CN"/>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eastAsia="zh-CN"/>
        </w:rPr>
        <w:t>年部门整体支出绩效自评工作要求，根据阿坝州财政局《关于开展202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zh-CN" w:eastAsia="zh-CN"/>
        </w:rPr>
        <w:t>年</w:t>
      </w:r>
      <w:r>
        <w:rPr>
          <w:rFonts w:hint="eastAsia" w:ascii="Times New Roman" w:hAnsi="Times New Roman" w:eastAsia="仿宋_GB2312" w:cs="Times New Roman"/>
          <w:sz w:val="32"/>
          <w:szCs w:val="32"/>
          <w:lang w:val="en-US" w:eastAsia="zh-CN"/>
        </w:rPr>
        <w:t>财政重点</w:t>
      </w:r>
      <w:r>
        <w:rPr>
          <w:rFonts w:hint="eastAsia" w:ascii="Times New Roman" w:hAnsi="Times New Roman" w:eastAsia="仿宋_GB2312" w:cs="Times New Roman"/>
          <w:sz w:val="32"/>
          <w:szCs w:val="32"/>
          <w:lang w:val="zh-CN" w:eastAsia="zh-CN"/>
        </w:rPr>
        <w:t>绩效评价工作的通知》（</w:t>
      </w:r>
      <w:r>
        <w:rPr>
          <w:rFonts w:hint="eastAsia" w:ascii="Times New Roman" w:hAnsi="Times New Roman" w:eastAsia="仿宋_GB2312" w:cs="Times New Roman"/>
          <w:sz w:val="32"/>
          <w:szCs w:val="32"/>
          <w:lang w:val="en-US" w:eastAsia="zh-CN"/>
        </w:rPr>
        <w:t>阿州</w:t>
      </w:r>
      <w:r>
        <w:rPr>
          <w:rFonts w:hint="eastAsia" w:ascii="Times New Roman" w:hAnsi="Times New Roman" w:eastAsia="仿宋_GB2312" w:cs="Times New Roman"/>
          <w:sz w:val="32"/>
          <w:szCs w:val="32"/>
          <w:lang w:val="zh-CN" w:eastAsia="zh-CN"/>
        </w:rPr>
        <w:t>财监绩〔202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eastAsia="zh-CN"/>
        </w:rPr>
        <w:t>号）文件精神，由我</w:t>
      </w:r>
      <w:r>
        <w:rPr>
          <w:rFonts w:hint="eastAsia" w:ascii="Times New Roman" w:hAnsi="Times New Roman" w:eastAsia="仿宋_GB2312" w:cs="Times New Roman"/>
          <w:sz w:val="32"/>
          <w:szCs w:val="32"/>
          <w:lang w:val="en-US" w:eastAsia="zh-CN"/>
        </w:rPr>
        <w:t>院</w:t>
      </w:r>
      <w:r>
        <w:rPr>
          <w:rFonts w:hint="eastAsia" w:ascii="Times New Roman" w:hAnsi="Times New Roman" w:eastAsia="仿宋_GB2312" w:cs="Times New Roman"/>
          <w:sz w:val="32"/>
          <w:szCs w:val="32"/>
          <w:lang w:val="zh-CN" w:eastAsia="zh-CN"/>
        </w:rPr>
        <w:t>主要领导统筹部署、财务人员牵头组织实施、各股室各责任岗位配合提供相关资料和数据信息，本着客观、真实、准确的原则开展自评工作。</w:t>
      </w:r>
    </w:p>
    <w:p w14:paraId="1DFA3871">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经评价，202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eastAsia="zh-CN"/>
        </w:rPr>
        <w:t>年</w:t>
      </w:r>
      <w:r>
        <w:rPr>
          <w:rFonts w:hint="eastAsia" w:ascii="Times New Roman" w:hAnsi="Times New Roman" w:eastAsia="仿宋_GB2312" w:cs="Times New Roman"/>
          <w:sz w:val="32"/>
          <w:szCs w:val="32"/>
          <w:lang w:val="en-US" w:eastAsia="zh-CN"/>
        </w:rPr>
        <w:t>金川县人民检察院</w:t>
      </w:r>
      <w:r>
        <w:rPr>
          <w:rFonts w:hint="eastAsia" w:ascii="Times New Roman" w:hAnsi="Times New Roman" w:eastAsia="仿宋_GB2312" w:cs="Times New Roman"/>
          <w:sz w:val="32"/>
          <w:szCs w:val="32"/>
          <w:lang w:val="zh-CN" w:eastAsia="zh-CN"/>
        </w:rPr>
        <w:t>部门整体支出绩效自评得分</w:t>
      </w:r>
      <w:r>
        <w:rPr>
          <w:rFonts w:hint="eastAsia" w:ascii="Times New Roman" w:hAnsi="Times New Roman" w:eastAsia="仿宋_GB2312" w:cs="Times New Roman"/>
          <w:sz w:val="32"/>
          <w:szCs w:val="32"/>
          <w:lang w:val="en-US" w:eastAsia="zh-CN"/>
        </w:rPr>
        <w:t>89.97</w:t>
      </w:r>
      <w:r>
        <w:rPr>
          <w:rFonts w:hint="eastAsia" w:ascii="Times New Roman" w:hAnsi="Times New Roman" w:eastAsia="仿宋_GB2312" w:cs="Times New Roman"/>
          <w:sz w:val="32"/>
          <w:szCs w:val="32"/>
          <w:lang w:val="zh-CN" w:eastAsia="zh-CN"/>
        </w:rPr>
        <w:t>分。评分明细详见附件《</w:t>
      </w:r>
      <w:r>
        <w:rPr>
          <w:rFonts w:hint="eastAsia" w:ascii="Times New Roman" w:hAnsi="Times New Roman" w:eastAsia="仿宋_GB2312" w:cs="Times New Roman"/>
          <w:sz w:val="32"/>
          <w:szCs w:val="32"/>
          <w:lang w:val="en-US" w:eastAsia="zh-CN"/>
        </w:rPr>
        <w:t>2024年度</w:t>
      </w:r>
      <w:r>
        <w:rPr>
          <w:rFonts w:hint="eastAsia" w:ascii="Times New Roman" w:hAnsi="Times New Roman" w:eastAsia="仿宋_GB2312" w:cs="Times New Roman"/>
          <w:sz w:val="32"/>
          <w:szCs w:val="32"/>
          <w:lang w:val="zh-CN" w:eastAsia="zh-CN"/>
        </w:rPr>
        <w:t>部门整体支出绩效评价指标体系》。</w:t>
      </w:r>
    </w:p>
    <w:p w14:paraId="42C9A110">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存在问题</w:t>
      </w:r>
    </w:p>
    <w:p w14:paraId="7900E481">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ab/>
      </w:r>
      <w:r>
        <w:rPr>
          <w:rFonts w:hint="eastAsia" w:ascii="Times New Roman" w:hAnsi="Times New Roman" w:eastAsia="仿宋_GB2312" w:cs="Times New Roman"/>
          <w:sz w:val="32"/>
          <w:szCs w:val="32"/>
          <w:lang w:val="en-US" w:eastAsia="zh-CN"/>
        </w:rPr>
        <w:t>一是部分项目上半年预算执行进度缓慢，项目负责人关注项目实施进展，不重视项目资金支付进度。二是特定项目资金下拨时间不确定，一定程度上影响单位预算整体安排，导致资金下拨后不能及时有效使用，影响整体支付进度。</w:t>
      </w:r>
    </w:p>
    <w:p w14:paraId="111BC551">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val="zh-CN" w:eastAsia="zh-CN"/>
        </w:rPr>
        <w:t>）改进建议。</w:t>
      </w:r>
    </w:p>
    <w:p w14:paraId="55B3B8A7">
      <w:pPr>
        <w:pageBreakBefore w:val="0"/>
        <w:widowControl w:val="0"/>
        <w:kinsoku/>
        <w:wordWrap/>
        <w:overflowPunct/>
        <w:topLinePunct w:val="0"/>
        <w:bidi w:val="0"/>
        <w:spacing w:line="576" w:lineRule="exact"/>
        <w:ind w:firstLine="640" w:firstLineChars="200"/>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在下</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val="zh-CN" w:eastAsia="zh-CN"/>
        </w:rPr>
        <w:t>步工作中，将进一步提升预算编制的准确性。编制</w:t>
      </w:r>
      <w:r>
        <w:rPr>
          <w:rFonts w:hint="eastAsia" w:ascii="Times New Roman" w:hAnsi="Times New Roman" w:eastAsia="仿宋_GB2312" w:cs="Times New Roman"/>
          <w:sz w:val="32"/>
          <w:szCs w:val="32"/>
          <w:lang w:val="en-US" w:eastAsia="zh-CN"/>
        </w:rPr>
        <w:t>单位</w:t>
      </w:r>
      <w:r>
        <w:rPr>
          <w:rFonts w:hint="eastAsia" w:ascii="Times New Roman" w:hAnsi="Times New Roman" w:eastAsia="仿宋_GB2312" w:cs="Times New Roman"/>
          <w:sz w:val="32"/>
          <w:szCs w:val="32"/>
          <w:lang w:val="zh-CN" w:eastAsia="zh-CN"/>
        </w:rPr>
        <w:t>预算时，应根据工作需要提出</w:t>
      </w:r>
      <w:r>
        <w:rPr>
          <w:rFonts w:hint="eastAsia" w:ascii="Times New Roman" w:hAnsi="Times New Roman" w:eastAsia="仿宋_GB2312" w:cs="Times New Roman"/>
          <w:sz w:val="32"/>
          <w:szCs w:val="32"/>
          <w:lang w:val="en-US" w:eastAsia="zh-CN"/>
        </w:rPr>
        <w:t>经费</w:t>
      </w:r>
      <w:r>
        <w:rPr>
          <w:rFonts w:hint="eastAsia" w:ascii="Times New Roman" w:hAnsi="Times New Roman" w:eastAsia="仿宋_GB2312" w:cs="Times New Roman"/>
          <w:sz w:val="32"/>
          <w:szCs w:val="32"/>
          <w:lang w:val="zh-CN" w:eastAsia="zh-CN"/>
        </w:rPr>
        <w:t>需求，同时根据经费总量、</w:t>
      </w:r>
      <w:r>
        <w:rPr>
          <w:rFonts w:hint="eastAsia" w:ascii="Times New Roman" w:hAnsi="Times New Roman" w:eastAsia="仿宋_GB2312" w:cs="Times New Roman"/>
          <w:sz w:val="32"/>
          <w:szCs w:val="32"/>
          <w:lang w:val="en-US" w:eastAsia="zh-CN"/>
        </w:rPr>
        <w:t>收支</w:t>
      </w:r>
      <w:r>
        <w:rPr>
          <w:rFonts w:hint="eastAsia" w:ascii="Times New Roman" w:hAnsi="Times New Roman" w:eastAsia="仿宋_GB2312" w:cs="Times New Roman"/>
          <w:sz w:val="32"/>
          <w:szCs w:val="32"/>
          <w:lang w:val="zh-CN" w:eastAsia="zh-CN"/>
        </w:rPr>
        <w:t>标准、编配标准等因素进行平衡，预算编制、政府采购、资产管理、</w:t>
      </w:r>
      <w:r>
        <w:rPr>
          <w:rFonts w:hint="eastAsia" w:ascii="Times New Roman" w:hAnsi="Times New Roman" w:eastAsia="仿宋_GB2312" w:cs="Times New Roman"/>
          <w:sz w:val="32"/>
          <w:szCs w:val="32"/>
          <w:lang w:val="en-US" w:eastAsia="zh-CN"/>
        </w:rPr>
        <w:t>业务部门</w:t>
      </w:r>
      <w:r>
        <w:rPr>
          <w:rFonts w:hint="eastAsia" w:ascii="Times New Roman" w:hAnsi="Times New Roman" w:eastAsia="仿宋_GB2312" w:cs="Times New Roman"/>
          <w:sz w:val="32"/>
          <w:szCs w:val="32"/>
          <w:lang w:val="zh-CN" w:eastAsia="zh-CN"/>
        </w:rPr>
        <w:t>等</w:t>
      </w:r>
      <w:r>
        <w:rPr>
          <w:rFonts w:hint="eastAsia" w:ascii="Times New Roman" w:hAnsi="Times New Roman" w:eastAsia="仿宋_GB2312" w:cs="Times New Roman"/>
          <w:sz w:val="32"/>
          <w:szCs w:val="32"/>
          <w:lang w:val="en-US" w:eastAsia="zh-CN"/>
        </w:rPr>
        <w:t>相关预算</w:t>
      </w:r>
      <w:r>
        <w:rPr>
          <w:rFonts w:hint="eastAsia" w:ascii="Times New Roman" w:hAnsi="Times New Roman" w:eastAsia="仿宋_GB2312" w:cs="Times New Roman"/>
          <w:sz w:val="32"/>
          <w:szCs w:val="32"/>
          <w:lang w:val="zh-CN" w:eastAsia="zh-CN"/>
        </w:rPr>
        <w:t>岗位之间应密切沟通协调，使预算能满足各项业务工作计划的需要，和编配标准相适应。</w:t>
      </w:r>
      <w:r>
        <w:rPr>
          <w:rFonts w:hint="eastAsia" w:ascii="Times New Roman" w:hAnsi="Times New Roman" w:eastAsia="仿宋_GB2312" w:cs="Times New Roman"/>
          <w:sz w:val="32"/>
          <w:szCs w:val="32"/>
          <w:lang w:val="en-US" w:eastAsia="zh-CN"/>
        </w:rPr>
        <w:t>同时，严格落实预算绩效管理要求，</w:t>
      </w:r>
      <w:r>
        <w:rPr>
          <w:rFonts w:hint="eastAsia" w:ascii="Times New Roman" w:hAnsi="Times New Roman" w:eastAsia="仿宋_GB2312" w:cs="Times New Roman"/>
          <w:sz w:val="32"/>
          <w:szCs w:val="32"/>
          <w:lang w:val="zh-CN" w:eastAsia="zh-CN"/>
        </w:rPr>
        <w:t>进一步强化绩效管理理念，夯实基础工作，加强前期调研与论证，结合项目业务特点或借鉴学习先进可行的绩效目标操作管理方法，提高绩效目标填报水平、预算执行有效性、绩效自评质量、绩效结果应用等。</w:t>
      </w:r>
    </w:p>
    <w:p w14:paraId="297F37EE">
      <w:pPr>
        <w:pStyle w:val="8"/>
        <w:rPr>
          <w:rFonts w:hint="eastAsia" w:ascii="Times New Roman" w:hAnsi="Times New Roman" w:cs="宋体"/>
          <w:color w:val="FF0000"/>
          <w:kern w:val="0"/>
          <w:sz w:val="32"/>
          <w:szCs w:val="32"/>
          <w:highlight w:val="yellow"/>
          <w:shd w:val="clear" w:color="auto" w:fill="FFFFFF"/>
          <w:lang w:val="zh-CN"/>
        </w:rPr>
      </w:pPr>
    </w:p>
    <w:p w14:paraId="1D6E4BAD">
      <w:pPr>
        <w:rPr>
          <w:rFonts w:hint="eastAsia" w:ascii="Times New Roman" w:hAnsi="Times New Roman" w:eastAsia="黑体" w:cs="黑体"/>
          <w:color w:val="auto"/>
          <w:kern w:val="0"/>
          <w:sz w:val="32"/>
          <w:szCs w:val="32"/>
          <w:highlight w:val="none"/>
          <w:shd w:val="clear" w:color="auto" w:fill="FFFFFF"/>
          <w:lang w:val="zh-CN"/>
        </w:rPr>
      </w:pPr>
    </w:p>
    <w:p w14:paraId="054B5DE9">
      <w:pPr>
        <w:pStyle w:val="2"/>
        <w:rPr>
          <w:rFonts w:hint="eastAsia" w:ascii="Times New Roman" w:hAnsi="Times New Roman" w:eastAsia="黑体" w:cs="黑体"/>
          <w:color w:val="auto"/>
          <w:kern w:val="0"/>
          <w:sz w:val="32"/>
          <w:szCs w:val="32"/>
          <w:highlight w:val="none"/>
          <w:shd w:val="clear" w:color="auto" w:fill="FFFFFF"/>
          <w:lang w:val="zh-CN"/>
        </w:rPr>
      </w:pPr>
    </w:p>
    <w:p w14:paraId="5658CC04">
      <w:pPr>
        <w:pStyle w:val="3"/>
        <w:rPr>
          <w:rFonts w:hint="eastAsia" w:ascii="Times New Roman" w:hAnsi="Times New Roman" w:eastAsia="黑体" w:cs="黑体"/>
          <w:color w:val="auto"/>
          <w:kern w:val="0"/>
          <w:sz w:val="32"/>
          <w:szCs w:val="32"/>
          <w:highlight w:val="none"/>
          <w:shd w:val="clear" w:color="auto" w:fill="FFFFFF"/>
          <w:lang w:val="zh-CN"/>
        </w:rPr>
      </w:pPr>
    </w:p>
    <w:p w14:paraId="624593B7">
      <w:pPr>
        <w:pStyle w:val="3"/>
        <w:rPr>
          <w:rFonts w:hint="eastAsia" w:ascii="Times New Roman" w:hAnsi="Times New Roman" w:eastAsia="黑体" w:cs="黑体"/>
          <w:color w:val="auto"/>
          <w:kern w:val="0"/>
          <w:sz w:val="32"/>
          <w:szCs w:val="32"/>
          <w:highlight w:val="none"/>
          <w:shd w:val="clear" w:color="auto" w:fill="FFFFFF"/>
          <w:lang w:val="zh-CN"/>
        </w:rPr>
      </w:pPr>
    </w:p>
    <w:p w14:paraId="46380F92">
      <w:pPr>
        <w:pStyle w:val="8"/>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5C67E4FF">
      <w:pPr>
        <w:pStyle w:val="34"/>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tbl>
      <w:tblPr>
        <w:tblStyle w:val="15"/>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776"/>
        <w:gridCol w:w="777"/>
        <w:gridCol w:w="777"/>
        <w:gridCol w:w="777"/>
        <w:gridCol w:w="816"/>
        <w:gridCol w:w="777"/>
        <w:gridCol w:w="2955"/>
      </w:tblGrid>
      <w:tr w14:paraId="64249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2374" w:type="dxa"/>
            <w:gridSpan w:val="8"/>
            <w:tcBorders>
              <w:top w:val="nil"/>
              <w:left w:val="nil"/>
              <w:bottom w:val="nil"/>
              <w:right w:val="nil"/>
            </w:tcBorders>
            <w:shd w:val="clear" w:color="auto" w:fill="auto"/>
            <w:vAlign w:val="center"/>
          </w:tcPr>
          <w:p w14:paraId="3D0D3243">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部门整体支出绩效目标申报表</w:t>
            </w:r>
          </w:p>
        </w:tc>
      </w:tr>
      <w:tr w14:paraId="318FD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374" w:type="dxa"/>
            <w:gridSpan w:val="8"/>
            <w:tcBorders>
              <w:top w:val="nil"/>
              <w:left w:val="nil"/>
              <w:bottom w:val="nil"/>
              <w:right w:val="nil"/>
            </w:tcBorders>
            <w:shd w:val="clear" w:color="auto" w:fill="auto"/>
            <w:vAlign w:val="center"/>
          </w:tcPr>
          <w:p w14:paraId="5814D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w:t>
            </w:r>
          </w:p>
        </w:tc>
      </w:tr>
      <w:tr w14:paraId="0C6C9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374" w:type="dxa"/>
            <w:gridSpan w:val="8"/>
            <w:tcBorders>
              <w:top w:val="nil"/>
              <w:left w:val="nil"/>
              <w:bottom w:val="single" w:color="000000" w:sz="4" w:space="0"/>
              <w:right w:val="nil"/>
            </w:tcBorders>
            <w:shd w:val="clear" w:color="auto" w:fill="auto"/>
            <w:vAlign w:val="center"/>
          </w:tcPr>
          <w:p w14:paraId="793D810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47A55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2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3FA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9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104D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金川县人民检察院部门</w:t>
            </w:r>
          </w:p>
        </w:tc>
      </w:tr>
      <w:tr w14:paraId="29A8D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96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DD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C2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70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B22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0C48A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76A44">
            <w:pPr>
              <w:jc w:val="center"/>
              <w:rPr>
                <w:rFonts w:hint="eastAsia" w:ascii="宋体" w:hAnsi="宋体" w:eastAsia="宋体" w:cs="宋体"/>
                <w:i w:val="0"/>
                <w:iCs w:val="0"/>
                <w:color w:val="000000"/>
                <w:sz w:val="18"/>
                <w:szCs w:val="18"/>
                <w:u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16B6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627.20</w:t>
            </w: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FABF9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627.20</w:t>
            </w:r>
          </w:p>
        </w:tc>
        <w:tc>
          <w:tcPr>
            <w:tcW w:w="70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61E9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14:paraId="7F74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9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1130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04FAE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责绩效目标;职责绩效目标;职责绩效目标;职责绩效目标;一、负责对刑事犯罪案件依法审查批准逮捕、决定逮捕、提起公诉；依法对本县民事和行政案件审判活动进行法律监督；依法对执行机关执行刑罚的活动和监管活动是否合法实行监督；对本县人民法院作出的已经发生法律效力、但确有错误的判决和裁定，依法提出抗诉。受理公民控告、申诉和检举；办理刑事赔偿事项；受理对贪污贿赂等犯罪的举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二、符合批准逮捕条件的，作出逮捕的决定，不符合逮捕的作出不批捕的决定。</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三、依照法律规定对由县人民检察院直接受理的刑事案件行使侦查权，开展对依照法律规定由人民检察院直接受理的刑事案件的侦查工作。负责依法对贪污贿赂犯罪、国家工作人员的渎职侵权,国家工作人员利用职权实施侵犯公民人身权利的犯罪以及侵犯公民民主权利的犯罪案件的进行侦查,依法对本省需要直接受理的国家机关工作人员利用职权实施的其他重大犯罪案件进行侦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四、负责对本县检察干部进行培训、表彰奖励、查办违法乱纪案件、巡视工作、印刷、业务报刊、人民监督员工作、保密工作等综合管理事务。</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五、对涉访涉诉及案件当事人进行救济及救助</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六 、用于发放聘用制书记员工资 </w:t>
            </w:r>
          </w:p>
        </w:tc>
      </w:tr>
      <w:tr w14:paraId="03EC8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65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AD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9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CFB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09890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0A6AA">
            <w:pPr>
              <w:jc w:val="center"/>
              <w:rPr>
                <w:rFonts w:hint="eastAsia" w:ascii="宋体" w:hAnsi="宋体" w:eastAsia="宋体" w:cs="宋体"/>
                <w:i w:val="0"/>
                <w:iCs w:val="0"/>
                <w:color w:val="000000"/>
                <w:sz w:val="18"/>
                <w:szCs w:val="18"/>
                <w:u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344D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司法救助</w:t>
            </w:r>
          </w:p>
        </w:tc>
        <w:tc>
          <w:tcPr>
            <w:tcW w:w="9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DD2A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对涉访涉诉及案件当事人进行救济及救助</w:t>
            </w:r>
          </w:p>
        </w:tc>
      </w:tr>
      <w:tr w14:paraId="67C92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6434E">
            <w:pPr>
              <w:jc w:val="center"/>
              <w:rPr>
                <w:rFonts w:hint="eastAsia" w:ascii="宋体" w:hAnsi="宋体" w:eastAsia="宋体" w:cs="宋体"/>
                <w:i w:val="0"/>
                <w:iCs w:val="0"/>
                <w:color w:val="000000"/>
                <w:sz w:val="18"/>
                <w:szCs w:val="18"/>
                <w:u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723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聘用制书记员管理</w:t>
            </w:r>
          </w:p>
        </w:tc>
        <w:tc>
          <w:tcPr>
            <w:tcW w:w="9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E5D3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用于发放聘用制书记员工资</w:t>
            </w:r>
          </w:p>
        </w:tc>
      </w:tr>
      <w:tr w14:paraId="686D5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A34AC">
            <w:pPr>
              <w:jc w:val="center"/>
              <w:rPr>
                <w:rFonts w:hint="eastAsia" w:ascii="宋体" w:hAnsi="宋体" w:eastAsia="宋体" w:cs="宋体"/>
                <w:i w:val="0"/>
                <w:iCs w:val="0"/>
                <w:color w:val="000000"/>
                <w:sz w:val="18"/>
                <w:szCs w:val="18"/>
                <w:u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266D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查办司法工作人员职务犯罪</w:t>
            </w:r>
          </w:p>
        </w:tc>
        <w:tc>
          <w:tcPr>
            <w:tcW w:w="9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BC94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依照法律规定对由县人民检察院直接受理的刑事案件行使侦查权，开展对依照法律规定由人民检察院直接受理的刑事案件的侦查工作。负责依法对贪污贿赂犯罪、国家工作人员的渎职侵权,国家工作人员利用职权实施侵犯公民人身权利的犯罪以及侵犯公民民主权利的犯罪案件的进行侦查,依法对本省需要直接受理的国家机关工作人员利用职权实施的其他重大犯罪案件进行侦查。</w:t>
            </w:r>
          </w:p>
        </w:tc>
      </w:tr>
      <w:tr w14:paraId="724FD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9003E">
            <w:pPr>
              <w:jc w:val="center"/>
              <w:rPr>
                <w:rFonts w:hint="eastAsia" w:ascii="宋体" w:hAnsi="宋体" w:eastAsia="宋体" w:cs="宋体"/>
                <w:i w:val="0"/>
                <w:iCs w:val="0"/>
                <w:color w:val="000000"/>
                <w:sz w:val="18"/>
                <w:szCs w:val="18"/>
                <w:u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595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公诉及检察监督</w:t>
            </w:r>
          </w:p>
        </w:tc>
        <w:tc>
          <w:tcPr>
            <w:tcW w:w="9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4689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负责对刑事犯罪案件依法审查批准逮捕、决定逮捕、提起公诉；依法对本县民事和行政案件审判活动进行法律监督；依法对执行机关执行刑罚的活动和监管活动是否合法实行监督；对本县人民法院作出的已经发生法律效力、但确有错误的判决和裁定，依法提出抗诉。受理公民控告、申诉和检举；办理刑事赔偿事项；受理对贪污贿赂等犯罪的举报；</w:t>
            </w:r>
          </w:p>
        </w:tc>
      </w:tr>
      <w:tr w14:paraId="28B53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F8420">
            <w:pPr>
              <w:jc w:val="center"/>
              <w:rPr>
                <w:rFonts w:hint="eastAsia" w:ascii="宋体" w:hAnsi="宋体" w:eastAsia="宋体" w:cs="宋体"/>
                <w:i w:val="0"/>
                <w:iCs w:val="0"/>
                <w:color w:val="000000"/>
                <w:sz w:val="18"/>
                <w:szCs w:val="18"/>
                <w:u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E7C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审查批捕</w:t>
            </w:r>
          </w:p>
        </w:tc>
        <w:tc>
          <w:tcPr>
            <w:tcW w:w="9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B0AF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符合批准逮捕条件的，作出逮捕的决定，不符合逮捕的作出不批捕的决定。</w:t>
            </w:r>
          </w:p>
        </w:tc>
      </w:tr>
      <w:tr w14:paraId="03DC3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47B96">
            <w:pPr>
              <w:jc w:val="center"/>
              <w:rPr>
                <w:rFonts w:hint="eastAsia" w:ascii="宋体" w:hAnsi="宋体" w:eastAsia="宋体" w:cs="宋体"/>
                <w:i w:val="0"/>
                <w:iCs w:val="0"/>
                <w:color w:val="000000"/>
                <w:sz w:val="18"/>
                <w:szCs w:val="18"/>
                <w:u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EEF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综合检察政务</w:t>
            </w:r>
          </w:p>
        </w:tc>
        <w:tc>
          <w:tcPr>
            <w:tcW w:w="9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DC18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负责对本县检察干部进行培训、表彰奖励、查办违法乱纪案件、巡视工作、印刷、业务报刊、人民监督员工作、保密工作等综合管理事务。</w:t>
            </w:r>
          </w:p>
        </w:tc>
      </w:tr>
      <w:tr w14:paraId="01F98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C0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8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3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1C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0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A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0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3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62BE8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23F5D">
            <w:pPr>
              <w:jc w:val="center"/>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585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2E2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DD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45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C8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21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6B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43D7E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74445">
            <w:pPr>
              <w:jc w:val="cente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71E49">
            <w:pPr>
              <w:jc w:val="left"/>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A7F49">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5A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人员经费足额保障率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24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16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07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C8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8C7B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B1A71">
            <w:pPr>
              <w:jc w:val="cente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068B0">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2C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62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66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FB7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0C3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4B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06341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ED8D2">
            <w:pPr>
              <w:jc w:val="cente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12C10">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9F8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29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资金发放及时率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22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92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09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8D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5A405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1A39E">
            <w:pPr>
              <w:jc w:val="center"/>
              <w:rPr>
                <w:rFonts w:hint="eastAsia" w:ascii="宋体" w:hAnsi="宋体" w:eastAsia="宋体" w:cs="宋体"/>
                <w:i w:val="0"/>
                <w:iCs w:val="0"/>
                <w:color w:val="000000"/>
                <w:sz w:val="18"/>
                <w:szCs w:val="18"/>
                <w:u w:val="none"/>
              </w:rPr>
            </w:pP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AD9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13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688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预算结余率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A4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A23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CF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B9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E4DC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321F3">
            <w:pPr>
              <w:jc w:val="center"/>
              <w:rPr>
                <w:rFonts w:hint="eastAsia" w:ascii="宋体" w:hAnsi="宋体" w:eastAsia="宋体" w:cs="宋体"/>
                <w:i w:val="0"/>
                <w:iCs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96F6B">
            <w:pPr>
              <w:jc w:val="left"/>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A8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F1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8C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0B9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2B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AD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EF47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A0EDC">
            <w:pPr>
              <w:jc w:val="center"/>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D88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13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68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职工满意度</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B4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FA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C5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6E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537EF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38E11">
            <w:pPr>
              <w:jc w:val="center"/>
              <w:rPr>
                <w:rFonts w:hint="eastAsia" w:ascii="宋体" w:hAnsi="宋体" w:eastAsia="宋体" w:cs="宋体"/>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61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AD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1E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2C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E8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6F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5D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2C488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0E82">
            <w:pPr>
              <w:jc w:val="center"/>
              <w:rPr>
                <w:rFonts w:hint="eastAsia" w:ascii="宋体" w:hAnsi="宋体" w:eastAsia="宋体" w:cs="宋体"/>
                <w:i w:val="0"/>
                <w:iCs w:val="0"/>
                <w:color w:val="000000"/>
                <w:sz w:val="18"/>
                <w:szCs w:val="18"/>
                <w:u w:val="none"/>
              </w:rPr>
            </w:pPr>
          </w:p>
          <w:p w14:paraId="248156B1">
            <w:pPr>
              <w:pStyle w:val="2"/>
              <w:rPr>
                <w:rFonts w:hint="eastAsia"/>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F97E">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69D9">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78944">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2B06">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C0E5">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576E">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4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BAD8">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bl>
    <w:p w14:paraId="43DAEEF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8F9FB65">
      <w:pPr>
        <w:pStyle w:val="2"/>
        <w:rPr>
          <w:rFonts w:hint="eastAsia" w:ascii="Times New Roman" w:hAnsi="Times New Roman" w:eastAsia="仿宋_GB2312" w:cs="仿宋_GB2312"/>
          <w:b w:val="0"/>
          <w:bCs w:val="0"/>
          <w:kern w:val="0"/>
          <w:position w:val="0"/>
          <w:sz w:val="32"/>
          <w:szCs w:val="32"/>
          <w:highlight w:val="none"/>
          <w:lang w:val="en-US" w:eastAsia="zh-CN" w:bidi="ar-SA"/>
        </w:rPr>
      </w:pPr>
    </w:p>
    <w:p w14:paraId="6A0E0247">
      <w:pPr>
        <w:pStyle w:val="3"/>
        <w:rPr>
          <w:rFonts w:hint="eastAsia" w:ascii="Times New Roman" w:hAnsi="Times New Roman" w:eastAsia="仿宋_GB2312" w:cs="仿宋_GB2312"/>
          <w:b w:val="0"/>
          <w:bCs w:val="0"/>
          <w:kern w:val="0"/>
          <w:position w:val="0"/>
          <w:sz w:val="32"/>
          <w:szCs w:val="32"/>
          <w:highlight w:val="none"/>
          <w:lang w:val="en-US" w:eastAsia="zh-CN" w:bidi="ar-SA"/>
        </w:rPr>
      </w:pPr>
    </w:p>
    <w:p w14:paraId="1674634C">
      <w:pPr>
        <w:pStyle w:val="3"/>
        <w:rPr>
          <w:rFonts w:hint="eastAsia" w:ascii="Times New Roman" w:hAnsi="Times New Roman" w:eastAsia="仿宋_GB2312" w:cs="仿宋_GB2312"/>
          <w:b w:val="0"/>
          <w:bCs w:val="0"/>
          <w:kern w:val="0"/>
          <w:position w:val="0"/>
          <w:sz w:val="32"/>
          <w:szCs w:val="32"/>
          <w:highlight w:val="none"/>
          <w:lang w:val="en-US" w:eastAsia="zh-CN" w:bidi="ar-SA"/>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48"/>
        <w:gridCol w:w="448"/>
        <w:gridCol w:w="331"/>
        <w:gridCol w:w="331"/>
        <w:gridCol w:w="446"/>
        <w:gridCol w:w="561"/>
        <w:gridCol w:w="5453"/>
        <w:gridCol w:w="504"/>
      </w:tblGrid>
      <w:tr w14:paraId="29A82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36" w:hRule="atLeast"/>
        </w:trPr>
        <w:tc>
          <w:tcPr>
            <w:tcW w:w="263" w:type="pct"/>
            <w:tcBorders>
              <w:top w:val="nil"/>
              <w:left w:val="nil"/>
              <w:bottom w:val="nil"/>
              <w:right w:val="nil"/>
            </w:tcBorders>
            <w:shd w:val="clear"/>
            <w:noWrap/>
            <w:vAlign w:val="center"/>
          </w:tcPr>
          <w:p w14:paraId="29813F55">
            <w:pPr>
              <w:rPr>
                <w:rFonts w:hint="eastAsia" w:ascii="宋体" w:hAnsi="宋体" w:eastAsia="宋体" w:cs="宋体"/>
                <w:i w:val="0"/>
                <w:iCs w:val="0"/>
                <w:color w:val="000000"/>
                <w:sz w:val="22"/>
                <w:szCs w:val="22"/>
                <w:u w:val="none"/>
              </w:rPr>
            </w:pPr>
          </w:p>
        </w:tc>
        <w:tc>
          <w:tcPr>
            <w:tcW w:w="4439" w:type="pct"/>
            <w:gridSpan w:val="6"/>
            <w:tcBorders>
              <w:top w:val="nil"/>
              <w:left w:val="nil"/>
              <w:bottom w:val="nil"/>
              <w:right w:val="nil"/>
            </w:tcBorders>
            <w:shd w:val="clear"/>
            <w:vAlign w:val="center"/>
          </w:tcPr>
          <w:p w14:paraId="12C768A6">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bdr w:val="none" w:color="auto" w:sz="0" w:space="0"/>
                <w:lang w:val="en-US" w:eastAsia="zh-CN" w:bidi="ar"/>
              </w:rPr>
              <w:t>部门预算绩效评价指标体系</w:t>
            </w:r>
          </w:p>
        </w:tc>
        <w:tc>
          <w:tcPr>
            <w:tcW w:w="296" w:type="pct"/>
            <w:tcBorders>
              <w:top w:val="nil"/>
              <w:left w:val="nil"/>
              <w:bottom w:val="nil"/>
              <w:right w:val="nil"/>
            </w:tcBorders>
            <w:shd w:val="clear"/>
            <w:vAlign w:val="center"/>
          </w:tcPr>
          <w:p w14:paraId="57FA8AC1">
            <w:pPr>
              <w:jc w:val="center"/>
              <w:rPr>
                <w:rFonts w:hint="eastAsia" w:ascii="方正小标宋简体" w:hAnsi="方正小标宋简体" w:eastAsia="方正小标宋简体" w:cs="方正小标宋简体"/>
                <w:i w:val="0"/>
                <w:iCs w:val="0"/>
                <w:color w:val="000000"/>
                <w:sz w:val="24"/>
                <w:szCs w:val="24"/>
                <w:u w:val="none"/>
              </w:rPr>
            </w:pPr>
          </w:p>
        </w:tc>
      </w:tr>
      <w:tr w14:paraId="0F6DB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12" w:hRule="atLeast"/>
        </w:trPr>
        <w:tc>
          <w:tcPr>
            <w:tcW w:w="917" w:type="pct"/>
            <w:gridSpan w:val="4"/>
            <w:tcBorders>
              <w:top w:val="single" w:color="000000" w:sz="4" w:space="0"/>
              <w:left w:val="single" w:color="000000" w:sz="4" w:space="0"/>
              <w:bottom w:val="single" w:color="000000" w:sz="4" w:space="0"/>
              <w:right w:val="single" w:color="000000" w:sz="4" w:space="0"/>
            </w:tcBorders>
            <w:shd w:val="clear"/>
            <w:vAlign w:val="center"/>
          </w:tcPr>
          <w:p w14:paraId="50638C8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绩效评价指标</w:t>
            </w:r>
            <w:r>
              <w:rPr>
                <w:rFonts w:hint="eastAsia" w:ascii="黑体" w:hAnsi="宋体" w:eastAsia="黑体" w:cs="黑体"/>
                <w:i w:val="0"/>
                <w:iCs w:val="0"/>
                <w:color w:val="000000"/>
                <w:kern w:val="0"/>
                <w:sz w:val="24"/>
                <w:szCs w:val="24"/>
                <w:u w:val="none"/>
                <w:bdr w:val="none" w:color="auto" w:sz="0" w:space="0"/>
                <w:lang w:val="en-US" w:eastAsia="zh-CN" w:bidi="ar"/>
              </w:rPr>
              <w:br w:type="textWrapping"/>
            </w:r>
            <w:r>
              <w:rPr>
                <w:rFonts w:hint="eastAsia" w:ascii="黑体" w:hAnsi="宋体" w:eastAsia="黑体" w:cs="黑体"/>
                <w:i w:val="0"/>
                <w:iCs w:val="0"/>
                <w:color w:val="000000"/>
                <w:kern w:val="0"/>
                <w:sz w:val="24"/>
                <w:szCs w:val="24"/>
                <w:u w:val="none"/>
                <w:bdr w:val="none" w:color="auto" w:sz="0" w:space="0"/>
                <w:lang w:val="en-US" w:eastAsia="zh-CN" w:bidi="ar"/>
              </w:rPr>
              <w:t>指标分值</w:t>
            </w:r>
          </w:p>
        </w:tc>
        <w:tc>
          <w:tcPr>
            <w:tcW w:w="262" w:type="pct"/>
            <w:vMerge w:val="restart"/>
            <w:tcBorders>
              <w:top w:val="single" w:color="000000" w:sz="4" w:space="0"/>
              <w:left w:val="single" w:color="000000" w:sz="4" w:space="0"/>
              <w:bottom w:val="single" w:color="000000" w:sz="4" w:space="0"/>
              <w:right w:val="single" w:color="000000" w:sz="4" w:space="0"/>
            </w:tcBorders>
            <w:shd w:val="clear"/>
            <w:vAlign w:val="center"/>
          </w:tcPr>
          <w:p w14:paraId="34B0F9C8">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指标解释</w:t>
            </w:r>
          </w:p>
        </w:tc>
        <w:tc>
          <w:tcPr>
            <w:tcW w:w="329" w:type="pct"/>
            <w:vMerge w:val="restart"/>
            <w:tcBorders>
              <w:top w:val="single" w:color="000000" w:sz="4" w:space="0"/>
              <w:left w:val="single" w:color="000000" w:sz="4" w:space="0"/>
              <w:bottom w:val="single" w:color="000000" w:sz="4" w:space="0"/>
              <w:right w:val="single" w:color="000000" w:sz="4" w:space="0"/>
            </w:tcBorders>
            <w:shd w:val="clear"/>
            <w:vAlign w:val="center"/>
          </w:tcPr>
          <w:p w14:paraId="58B0E5B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自评得分</w:t>
            </w:r>
          </w:p>
        </w:tc>
        <w:tc>
          <w:tcPr>
            <w:tcW w:w="3193" w:type="pct"/>
            <w:vMerge w:val="restart"/>
            <w:tcBorders>
              <w:top w:val="single" w:color="000000" w:sz="4" w:space="0"/>
              <w:left w:val="single" w:color="000000" w:sz="4" w:space="0"/>
              <w:bottom w:val="single" w:color="000000" w:sz="4" w:space="0"/>
              <w:right w:val="single" w:color="000000" w:sz="4" w:space="0"/>
            </w:tcBorders>
            <w:shd w:val="clear"/>
            <w:vAlign w:val="center"/>
          </w:tcPr>
          <w:p w14:paraId="310EF04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评分说明</w:t>
            </w:r>
          </w:p>
        </w:tc>
        <w:tc>
          <w:tcPr>
            <w:tcW w:w="296" w:type="pct"/>
            <w:vMerge w:val="restart"/>
            <w:tcBorders>
              <w:top w:val="single" w:color="000000" w:sz="4" w:space="0"/>
              <w:left w:val="single" w:color="000000" w:sz="4" w:space="0"/>
              <w:bottom w:val="single" w:color="000000" w:sz="4" w:space="0"/>
              <w:right w:val="single" w:color="000000" w:sz="4" w:space="0"/>
            </w:tcBorders>
            <w:shd w:val="clear"/>
            <w:vAlign w:val="center"/>
          </w:tcPr>
          <w:p w14:paraId="0786A05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备注</w:t>
            </w:r>
          </w:p>
        </w:tc>
      </w:tr>
      <w:tr w14:paraId="4F52E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24" w:hRule="atLeast"/>
        </w:trPr>
        <w:tc>
          <w:tcPr>
            <w:tcW w:w="263" w:type="pct"/>
            <w:tcBorders>
              <w:top w:val="single" w:color="000000" w:sz="4" w:space="0"/>
              <w:left w:val="single" w:color="000000" w:sz="4" w:space="0"/>
              <w:bottom w:val="single" w:color="000000" w:sz="4" w:space="0"/>
              <w:right w:val="nil"/>
            </w:tcBorders>
            <w:shd w:val="clear"/>
            <w:vAlign w:val="center"/>
          </w:tcPr>
          <w:p w14:paraId="2AF1AE5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一级指标</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0381E55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二级指标</w:t>
            </w: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415C7DF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三级指标</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330D7E8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指标</w:t>
            </w:r>
            <w:r>
              <w:rPr>
                <w:rFonts w:hint="eastAsia" w:ascii="黑体" w:hAnsi="宋体" w:eastAsia="黑体" w:cs="黑体"/>
                <w:i w:val="0"/>
                <w:iCs w:val="0"/>
                <w:color w:val="000000"/>
                <w:kern w:val="0"/>
                <w:sz w:val="24"/>
                <w:szCs w:val="24"/>
                <w:u w:val="none"/>
                <w:bdr w:val="none" w:color="auto" w:sz="0" w:space="0"/>
                <w:lang w:val="en-US" w:eastAsia="zh-CN" w:bidi="ar"/>
              </w:rPr>
              <w:br w:type="textWrapping"/>
            </w:r>
            <w:r>
              <w:rPr>
                <w:rFonts w:hint="eastAsia" w:ascii="黑体" w:hAnsi="宋体" w:eastAsia="黑体" w:cs="黑体"/>
                <w:i w:val="0"/>
                <w:iCs w:val="0"/>
                <w:color w:val="000000"/>
                <w:kern w:val="0"/>
                <w:sz w:val="24"/>
                <w:szCs w:val="24"/>
                <w:u w:val="none"/>
                <w:bdr w:val="none" w:color="auto" w:sz="0" w:space="0"/>
                <w:lang w:val="en-US" w:eastAsia="zh-CN" w:bidi="ar"/>
              </w:rPr>
              <w:t>分值</w:t>
            </w:r>
          </w:p>
        </w:tc>
        <w:tc>
          <w:tcPr>
            <w:tcW w:w="262"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20AC087">
            <w:pPr>
              <w:jc w:val="center"/>
              <w:rPr>
                <w:rFonts w:hint="eastAsia" w:ascii="黑体" w:hAnsi="宋体" w:eastAsia="黑体" w:cs="黑体"/>
                <w:i w:val="0"/>
                <w:iCs w:val="0"/>
                <w:color w:val="000000"/>
                <w:sz w:val="24"/>
                <w:szCs w:val="24"/>
                <w:u w:val="none"/>
              </w:rPr>
            </w:pPr>
          </w:p>
        </w:tc>
        <w:tc>
          <w:tcPr>
            <w:tcW w:w="329"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763F3BA">
            <w:pPr>
              <w:jc w:val="center"/>
              <w:rPr>
                <w:rFonts w:hint="eastAsia" w:ascii="黑体" w:hAnsi="宋体" w:eastAsia="黑体" w:cs="黑体"/>
                <w:i w:val="0"/>
                <w:iCs w:val="0"/>
                <w:color w:val="000000"/>
                <w:sz w:val="24"/>
                <w:szCs w:val="24"/>
                <w:u w:val="none"/>
              </w:rPr>
            </w:pP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5309DDE">
            <w:pPr>
              <w:jc w:val="center"/>
              <w:rPr>
                <w:rFonts w:hint="eastAsia" w:ascii="黑体" w:hAnsi="宋体" w:eastAsia="黑体" w:cs="黑体"/>
                <w:i w:val="0"/>
                <w:iCs w:val="0"/>
                <w:color w:val="000000"/>
                <w:sz w:val="24"/>
                <w:szCs w:val="24"/>
                <w:u w:val="none"/>
              </w:rPr>
            </w:pP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3537002">
            <w:pPr>
              <w:jc w:val="center"/>
              <w:rPr>
                <w:rFonts w:hint="eastAsia" w:ascii="黑体" w:hAnsi="宋体" w:eastAsia="黑体" w:cs="黑体"/>
                <w:i w:val="0"/>
                <w:iCs w:val="0"/>
                <w:color w:val="000000"/>
                <w:sz w:val="24"/>
                <w:szCs w:val="24"/>
                <w:u w:val="none"/>
              </w:rPr>
            </w:pPr>
          </w:p>
        </w:tc>
      </w:tr>
      <w:tr w14:paraId="653C1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263" w:type="pct"/>
            <w:vMerge w:val="restart"/>
            <w:tcBorders>
              <w:top w:val="single" w:color="000000" w:sz="4" w:space="0"/>
              <w:left w:val="single" w:color="000000" w:sz="4" w:space="0"/>
              <w:bottom w:val="single" w:color="000000" w:sz="4" w:space="0"/>
              <w:right w:val="single" w:color="000000" w:sz="4" w:space="0"/>
            </w:tcBorders>
            <w:shd w:val="clear"/>
            <w:vAlign w:val="center"/>
          </w:tcPr>
          <w:p w14:paraId="5D0954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总体绩效</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（65分）</w:t>
            </w:r>
          </w:p>
        </w:tc>
        <w:tc>
          <w:tcPr>
            <w:tcW w:w="263" w:type="pct"/>
            <w:vMerge w:val="restart"/>
            <w:tcBorders>
              <w:top w:val="single" w:color="000000" w:sz="4" w:space="0"/>
              <w:left w:val="single" w:color="000000" w:sz="4" w:space="0"/>
              <w:bottom w:val="single" w:color="000000" w:sz="4" w:space="0"/>
              <w:right w:val="single" w:color="000000" w:sz="4" w:space="0"/>
            </w:tcBorders>
            <w:shd w:val="clear"/>
            <w:vAlign w:val="center"/>
          </w:tcPr>
          <w:p w14:paraId="3838B1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履职效能</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（15分）</w:t>
            </w:r>
          </w:p>
        </w:tc>
        <w:tc>
          <w:tcPr>
            <w:tcW w:w="194" w:type="pct"/>
            <w:vMerge w:val="restart"/>
            <w:tcBorders>
              <w:top w:val="single" w:color="000000" w:sz="4" w:space="0"/>
              <w:left w:val="single" w:color="000000" w:sz="4" w:space="0"/>
              <w:bottom w:val="single" w:color="000000" w:sz="4" w:space="0"/>
              <w:right w:val="single" w:color="000000" w:sz="4" w:space="0"/>
            </w:tcBorders>
            <w:shd w:val="clear"/>
            <w:vAlign w:val="center"/>
          </w:tcPr>
          <w:p w14:paraId="67B88C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刑事检察履职效果</w:t>
            </w:r>
          </w:p>
        </w:tc>
        <w:tc>
          <w:tcPr>
            <w:tcW w:w="195" w:type="pct"/>
            <w:vMerge w:val="restart"/>
            <w:tcBorders>
              <w:top w:val="nil"/>
              <w:left w:val="single" w:color="000000" w:sz="4" w:space="0"/>
              <w:bottom w:val="single" w:color="000000" w:sz="4" w:space="0"/>
              <w:right w:val="single" w:color="000000" w:sz="4" w:space="0"/>
            </w:tcBorders>
            <w:shd w:val="clear"/>
            <w:vAlign w:val="center"/>
          </w:tcPr>
          <w:p w14:paraId="1BED98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262" w:type="pct"/>
            <w:vMerge w:val="restart"/>
            <w:tcBorders>
              <w:top w:val="single" w:color="000000" w:sz="4" w:space="0"/>
              <w:left w:val="single" w:color="000000" w:sz="4" w:space="0"/>
              <w:bottom w:val="single" w:color="000000" w:sz="4" w:space="0"/>
              <w:right w:val="single" w:color="000000" w:sz="4" w:space="0"/>
            </w:tcBorders>
            <w:shd w:val="clear"/>
            <w:vAlign w:val="center"/>
          </w:tcPr>
          <w:p w14:paraId="32F269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部门整体绩效目标中选定3-5个核心职能目标，反映该项职能目标完成效果情况</w:t>
            </w:r>
          </w:p>
        </w:tc>
        <w:tc>
          <w:tcPr>
            <w:tcW w:w="329" w:type="pct"/>
            <w:vMerge w:val="restart"/>
            <w:tcBorders>
              <w:top w:val="single" w:color="000000" w:sz="4" w:space="0"/>
              <w:left w:val="single" w:color="000000" w:sz="4" w:space="0"/>
              <w:bottom w:val="single" w:color="000000" w:sz="4" w:space="0"/>
              <w:right w:val="single" w:color="000000" w:sz="4" w:space="0"/>
            </w:tcBorders>
            <w:shd w:val="clear"/>
            <w:vAlign w:val="center"/>
          </w:tcPr>
          <w:p w14:paraId="19F918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15分</w:t>
            </w:r>
          </w:p>
        </w:tc>
        <w:tc>
          <w:tcPr>
            <w:tcW w:w="3193" w:type="pct"/>
            <w:vMerge w:val="restart"/>
            <w:tcBorders>
              <w:top w:val="single" w:color="000000" w:sz="4" w:space="0"/>
              <w:left w:val="single" w:color="000000" w:sz="4" w:space="0"/>
              <w:bottom w:val="single" w:color="000000" w:sz="4" w:space="0"/>
              <w:right w:val="single" w:color="000000" w:sz="4" w:space="0"/>
            </w:tcBorders>
            <w:shd w:val="clear"/>
            <w:vAlign w:val="center"/>
          </w:tcPr>
          <w:p w14:paraId="7AE466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数量指标得5分，2024年我院案件设定指标150件，结案率95%以上，2024年共办理案件194件，结案率100%，该指标得分129%。2.满意度指标得5分，2024年我院满意度设定指标大于等于95%，通过年底问卷调查我院满意度为100%，该指标得分105%。3.社会成本指标得5分，2024年我院财政资金均足额到位，资金到位率为100%。   </w:t>
            </w:r>
          </w:p>
        </w:tc>
        <w:tc>
          <w:tcPr>
            <w:tcW w:w="296" w:type="pct"/>
            <w:vMerge w:val="restart"/>
            <w:tcBorders>
              <w:top w:val="single" w:color="000000" w:sz="4" w:space="0"/>
              <w:left w:val="single" w:color="000000" w:sz="4" w:space="0"/>
              <w:bottom w:val="single" w:color="000000" w:sz="4" w:space="0"/>
              <w:right w:val="single" w:color="000000" w:sz="4" w:space="0"/>
            </w:tcBorders>
            <w:shd w:val="clear"/>
            <w:vAlign w:val="center"/>
          </w:tcPr>
          <w:p w14:paraId="026276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自评得分共计：89.97</w:t>
            </w:r>
          </w:p>
        </w:tc>
      </w:tr>
      <w:tr w14:paraId="77F08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0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801BF52">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CE0063E">
            <w:pPr>
              <w:jc w:val="center"/>
              <w:rPr>
                <w:rFonts w:hint="eastAsia" w:ascii="宋体" w:hAnsi="宋体" w:eastAsia="宋体" w:cs="宋体"/>
                <w:b/>
                <w:bCs/>
                <w:i w:val="0"/>
                <w:iCs w:val="0"/>
                <w:color w:val="000000"/>
                <w:sz w:val="24"/>
                <w:szCs w:val="24"/>
                <w:u w:val="none"/>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632CCB6">
            <w:pPr>
              <w:jc w:val="center"/>
              <w:rPr>
                <w:rFonts w:hint="eastAsia" w:ascii="宋体" w:hAnsi="宋体" w:eastAsia="宋体" w:cs="宋体"/>
                <w:i w:val="0"/>
                <w:iCs w:val="0"/>
                <w:color w:val="000000"/>
                <w:sz w:val="24"/>
                <w:szCs w:val="24"/>
                <w:u w:val="none"/>
              </w:rPr>
            </w:pPr>
          </w:p>
        </w:tc>
        <w:tc>
          <w:tcPr>
            <w:tcW w:w="195" w:type="pct"/>
            <w:vMerge w:val="continue"/>
            <w:tcBorders>
              <w:top w:val="nil"/>
              <w:left w:val="single" w:color="000000" w:sz="4" w:space="0"/>
              <w:bottom w:val="single" w:color="000000" w:sz="4" w:space="0"/>
              <w:right w:val="single" w:color="000000" w:sz="4" w:space="0"/>
            </w:tcBorders>
            <w:shd w:val="clear"/>
            <w:vAlign w:val="center"/>
          </w:tcPr>
          <w:p w14:paraId="34751E60">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DF94DF3">
            <w:pPr>
              <w:jc w:val="left"/>
              <w:rPr>
                <w:rFonts w:hint="eastAsia" w:ascii="宋体" w:hAnsi="宋体" w:eastAsia="宋体" w:cs="宋体"/>
                <w:i w:val="0"/>
                <w:iCs w:val="0"/>
                <w:color w:val="000000"/>
                <w:sz w:val="24"/>
                <w:szCs w:val="24"/>
                <w:u w:val="none"/>
              </w:rPr>
            </w:pPr>
          </w:p>
        </w:tc>
        <w:tc>
          <w:tcPr>
            <w:tcW w:w="329"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6A31EA9">
            <w:pPr>
              <w:jc w:val="center"/>
              <w:rPr>
                <w:rFonts w:hint="eastAsia" w:ascii="宋体" w:hAnsi="宋体" w:eastAsia="宋体" w:cs="宋体"/>
                <w:i w:val="0"/>
                <w:iCs w:val="0"/>
                <w:color w:val="000000"/>
                <w:sz w:val="24"/>
                <w:szCs w:val="24"/>
                <w:u w:val="none"/>
              </w:rPr>
            </w:pP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C8BE85A">
            <w:pPr>
              <w:jc w:val="left"/>
              <w:rPr>
                <w:rFonts w:hint="eastAsia" w:ascii="宋体" w:hAnsi="宋体" w:eastAsia="宋体" w:cs="宋体"/>
                <w:i w:val="0"/>
                <w:iCs w:val="0"/>
                <w:color w:val="000000"/>
                <w:sz w:val="24"/>
                <w:szCs w:val="24"/>
                <w:u w:val="none"/>
              </w:rPr>
            </w:pP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D315C52">
            <w:pPr>
              <w:jc w:val="center"/>
              <w:rPr>
                <w:rFonts w:hint="eastAsia" w:ascii="宋体" w:hAnsi="宋体" w:eastAsia="宋体" w:cs="宋体"/>
                <w:i w:val="0"/>
                <w:iCs w:val="0"/>
                <w:color w:val="000000"/>
                <w:sz w:val="24"/>
                <w:szCs w:val="24"/>
                <w:u w:val="none"/>
              </w:rPr>
            </w:pPr>
          </w:p>
        </w:tc>
      </w:tr>
      <w:tr w14:paraId="53CBA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0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BC3A93D">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205DF92">
            <w:pPr>
              <w:jc w:val="center"/>
              <w:rPr>
                <w:rFonts w:hint="eastAsia" w:ascii="宋体" w:hAnsi="宋体" w:eastAsia="宋体" w:cs="宋体"/>
                <w:b/>
                <w:bCs/>
                <w:i w:val="0"/>
                <w:iCs w:val="0"/>
                <w:color w:val="000000"/>
                <w:sz w:val="24"/>
                <w:szCs w:val="24"/>
                <w:u w:val="none"/>
              </w:rPr>
            </w:pPr>
          </w:p>
        </w:tc>
        <w:tc>
          <w:tcPr>
            <w:tcW w:w="194" w:type="pct"/>
            <w:vMerge w:val="restart"/>
            <w:tcBorders>
              <w:top w:val="single" w:color="000000" w:sz="4" w:space="0"/>
              <w:left w:val="single" w:color="000000" w:sz="4" w:space="0"/>
              <w:bottom w:val="single" w:color="000000" w:sz="4" w:space="0"/>
              <w:right w:val="single" w:color="000000" w:sz="4" w:space="0"/>
            </w:tcBorders>
            <w:shd w:val="clear"/>
            <w:vAlign w:val="center"/>
          </w:tcPr>
          <w:p w14:paraId="1943D7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公益诉讼检察履职效果</w:t>
            </w:r>
          </w:p>
        </w:tc>
        <w:tc>
          <w:tcPr>
            <w:tcW w:w="195" w:type="pct"/>
            <w:vMerge w:val="continue"/>
            <w:tcBorders>
              <w:top w:val="nil"/>
              <w:left w:val="single" w:color="000000" w:sz="4" w:space="0"/>
              <w:bottom w:val="single" w:color="000000" w:sz="4" w:space="0"/>
              <w:right w:val="single" w:color="000000" w:sz="4" w:space="0"/>
            </w:tcBorders>
            <w:shd w:val="clear"/>
            <w:vAlign w:val="center"/>
          </w:tcPr>
          <w:p w14:paraId="4FF5A474">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D88CDD6">
            <w:pPr>
              <w:jc w:val="left"/>
              <w:rPr>
                <w:rFonts w:hint="eastAsia" w:ascii="宋体" w:hAnsi="宋体" w:eastAsia="宋体" w:cs="宋体"/>
                <w:i w:val="0"/>
                <w:iCs w:val="0"/>
                <w:color w:val="000000"/>
                <w:sz w:val="24"/>
                <w:szCs w:val="24"/>
                <w:u w:val="none"/>
              </w:rPr>
            </w:pPr>
          </w:p>
        </w:tc>
        <w:tc>
          <w:tcPr>
            <w:tcW w:w="329"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32F1AAF">
            <w:pPr>
              <w:jc w:val="center"/>
              <w:rPr>
                <w:rFonts w:hint="eastAsia" w:ascii="宋体" w:hAnsi="宋体" w:eastAsia="宋体" w:cs="宋体"/>
                <w:i w:val="0"/>
                <w:iCs w:val="0"/>
                <w:color w:val="000000"/>
                <w:sz w:val="24"/>
                <w:szCs w:val="24"/>
                <w:u w:val="none"/>
              </w:rPr>
            </w:pP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7C42325">
            <w:pPr>
              <w:jc w:val="left"/>
              <w:rPr>
                <w:rFonts w:hint="eastAsia" w:ascii="宋体" w:hAnsi="宋体" w:eastAsia="宋体" w:cs="宋体"/>
                <w:i w:val="0"/>
                <w:iCs w:val="0"/>
                <w:color w:val="000000"/>
                <w:sz w:val="24"/>
                <w:szCs w:val="24"/>
                <w:u w:val="none"/>
              </w:rPr>
            </w:pP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D1DC473">
            <w:pPr>
              <w:jc w:val="center"/>
              <w:rPr>
                <w:rFonts w:hint="eastAsia" w:ascii="宋体" w:hAnsi="宋体" w:eastAsia="宋体" w:cs="宋体"/>
                <w:i w:val="0"/>
                <w:iCs w:val="0"/>
                <w:color w:val="000000"/>
                <w:sz w:val="24"/>
                <w:szCs w:val="24"/>
                <w:u w:val="none"/>
              </w:rPr>
            </w:pPr>
          </w:p>
        </w:tc>
      </w:tr>
      <w:tr w14:paraId="7FA53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0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0A2D06B">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00E970C">
            <w:pPr>
              <w:jc w:val="center"/>
              <w:rPr>
                <w:rFonts w:hint="eastAsia" w:ascii="宋体" w:hAnsi="宋体" w:eastAsia="宋体" w:cs="宋体"/>
                <w:b/>
                <w:bCs/>
                <w:i w:val="0"/>
                <w:iCs w:val="0"/>
                <w:color w:val="000000"/>
                <w:sz w:val="24"/>
                <w:szCs w:val="24"/>
                <w:u w:val="none"/>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C023345">
            <w:pPr>
              <w:jc w:val="center"/>
              <w:rPr>
                <w:rFonts w:hint="eastAsia" w:ascii="宋体" w:hAnsi="宋体" w:eastAsia="宋体" w:cs="宋体"/>
                <w:i w:val="0"/>
                <w:iCs w:val="0"/>
                <w:color w:val="000000"/>
                <w:sz w:val="24"/>
                <w:szCs w:val="24"/>
                <w:u w:val="none"/>
              </w:rPr>
            </w:pPr>
          </w:p>
        </w:tc>
        <w:tc>
          <w:tcPr>
            <w:tcW w:w="195" w:type="pct"/>
            <w:vMerge w:val="continue"/>
            <w:tcBorders>
              <w:top w:val="nil"/>
              <w:left w:val="single" w:color="000000" w:sz="4" w:space="0"/>
              <w:bottom w:val="single" w:color="000000" w:sz="4" w:space="0"/>
              <w:right w:val="single" w:color="000000" w:sz="4" w:space="0"/>
            </w:tcBorders>
            <w:shd w:val="clear"/>
            <w:vAlign w:val="center"/>
          </w:tcPr>
          <w:p w14:paraId="47235C24">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CC372A1">
            <w:pPr>
              <w:jc w:val="left"/>
              <w:rPr>
                <w:rFonts w:hint="eastAsia" w:ascii="宋体" w:hAnsi="宋体" w:eastAsia="宋体" w:cs="宋体"/>
                <w:i w:val="0"/>
                <w:iCs w:val="0"/>
                <w:color w:val="000000"/>
                <w:sz w:val="24"/>
                <w:szCs w:val="24"/>
                <w:u w:val="none"/>
              </w:rPr>
            </w:pPr>
          </w:p>
        </w:tc>
        <w:tc>
          <w:tcPr>
            <w:tcW w:w="329"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7762623">
            <w:pPr>
              <w:jc w:val="center"/>
              <w:rPr>
                <w:rFonts w:hint="eastAsia" w:ascii="宋体" w:hAnsi="宋体" w:eastAsia="宋体" w:cs="宋体"/>
                <w:i w:val="0"/>
                <w:iCs w:val="0"/>
                <w:color w:val="000000"/>
                <w:sz w:val="24"/>
                <w:szCs w:val="24"/>
                <w:u w:val="none"/>
              </w:rPr>
            </w:pP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AE0DD91">
            <w:pPr>
              <w:jc w:val="left"/>
              <w:rPr>
                <w:rFonts w:hint="eastAsia" w:ascii="宋体" w:hAnsi="宋体" w:eastAsia="宋体" w:cs="宋体"/>
                <w:i w:val="0"/>
                <w:iCs w:val="0"/>
                <w:color w:val="000000"/>
                <w:sz w:val="24"/>
                <w:szCs w:val="24"/>
                <w:u w:val="none"/>
              </w:rPr>
            </w:pP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294ECE7">
            <w:pPr>
              <w:jc w:val="center"/>
              <w:rPr>
                <w:rFonts w:hint="eastAsia" w:ascii="宋体" w:hAnsi="宋体" w:eastAsia="宋体" w:cs="宋体"/>
                <w:i w:val="0"/>
                <w:iCs w:val="0"/>
                <w:color w:val="000000"/>
                <w:sz w:val="24"/>
                <w:szCs w:val="24"/>
                <w:u w:val="none"/>
              </w:rPr>
            </w:pPr>
          </w:p>
        </w:tc>
      </w:tr>
      <w:tr w14:paraId="017E2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0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8B92767">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784B567">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4DB8B4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维护社会稳定履职效果</w:t>
            </w:r>
          </w:p>
        </w:tc>
        <w:tc>
          <w:tcPr>
            <w:tcW w:w="195" w:type="pct"/>
            <w:vMerge w:val="continue"/>
            <w:tcBorders>
              <w:top w:val="nil"/>
              <w:left w:val="single" w:color="000000" w:sz="4" w:space="0"/>
              <w:bottom w:val="single" w:color="000000" w:sz="4" w:space="0"/>
              <w:right w:val="single" w:color="000000" w:sz="4" w:space="0"/>
            </w:tcBorders>
            <w:shd w:val="clear"/>
            <w:vAlign w:val="center"/>
          </w:tcPr>
          <w:p w14:paraId="000F3ABE">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225B942">
            <w:pPr>
              <w:jc w:val="left"/>
              <w:rPr>
                <w:rFonts w:hint="eastAsia" w:ascii="宋体" w:hAnsi="宋体" w:eastAsia="宋体" w:cs="宋体"/>
                <w:i w:val="0"/>
                <w:iCs w:val="0"/>
                <w:color w:val="000000"/>
                <w:sz w:val="24"/>
                <w:szCs w:val="24"/>
                <w:u w:val="none"/>
              </w:rPr>
            </w:pPr>
          </w:p>
        </w:tc>
        <w:tc>
          <w:tcPr>
            <w:tcW w:w="329"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8132987">
            <w:pPr>
              <w:jc w:val="center"/>
              <w:rPr>
                <w:rFonts w:hint="eastAsia" w:ascii="宋体" w:hAnsi="宋体" w:eastAsia="宋体" w:cs="宋体"/>
                <w:i w:val="0"/>
                <w:iCs w:val="0"/>
                <w:color w:val="000000"/>
                <w:sz w:val="24"/>
                <w:szCs w:val="24"/>
                <w:u w:val="none"/>
              </w:rPr>
            </w:pP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5419BCA">
            <w:pPr>
              <w:jc w:val="left"/>
              <w:rPr>
                <w:rFonts w:hint="eastAsia" w:ascii="宋体" w:hAnsi="宋体" w:eastAsia="宋体" w:cs="宋体"/>
                <w:i w:val="0"/>
                <w:iCs w:val="0"/>
                <w:color w:val="000000"/>
                <w:sz w:val="24"/>
                <w:szCs w:val="24"/>
                <w:u w:val="none"/>
              </w:rPr>
            </w:pP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F194F2B">
            <w:pPr>
              <w:jc w:val="center"/>
              <w:rPr>
                <w:rFonts w:hint="eastAsia" w:ascii="宋体" w:hAnsi="宋体" w:eastAsia="宋体" w:cs="宋体"/>
                <w:i w:val="0"/>
                <w:iCs w:val="0"/>
                <w:color w:val="000000"/>
                <w:sz w:val="24"/>
                <w:szCs w:val="24"/>
                <w:u w:val="none"/>
              </w:rPr>
            </w:pPr>
          </w:p>
        </w:tc>
      </w:tr>
      <w:tr w14:paraId="01DAE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6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571E31E">
            <w:pPr>
              <w:jc w:val="center"/>
              <w:rPr>
                <w:rFonts w:hint="eastAsia" w:ascii="宋体" w:hAnsi="宋体" w:eastAsia="宋体" w:cs="宋体"/>
                <w:b/>
                <w:bCs/>
                <w:i w:val="0"/>
                <w:iCs w:val="0"/>
                <w:color w:val="000000"/>
                <w:sz w:val="24"/>
                <w:szCs w:val="24"/>
                <w:u w:val="none"/>
              </w:rPr>
            </w:pPr>
          </w:p>
        </w:tc>
        <w:tc>
          <w:tcPr>
            <w:tcW w:w="263" w:type="pct"/>
            <w:vMerge w:val="restart"/>
            <w:tcBorders>
              <w:top w:val="single" w:color="000000" w:sz="4" w:space="0"/>
              <w:left w:val="single" w:color="000000" w:sz="4" w:space="0"/>
              <w:bottom w:val="single" w:color="000000" w:sz="4" w:space="0"/>
              <w:right w:val="single" w:color="000000" w:sz="4" w:space="0"/>
            </w:tcBorders>
            <w:shd w:val="clear"/>
            <w:vAlign w:val="center"/>
          </w:tcPr>
          <w:p w14:paraId="64C9E1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预算管理</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（25分）</w:t>
            </w: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11711E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预算编制质量</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18D5C5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06CA9C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部门是否严格按要求编制年初部门预算，年初预算编制的科学性和准确性</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59D80C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9.84分</w:t>
            </w:r>
          </w:p>
        </w:tc>
        <w:tc>
          <w:tcPr>
            <w:tcW w:w="3193" w:type="pct"/>
            <w:tcBorders>
              <w:top w:val="nil"/>
              <w:left w:val="nil"/>
              <w:bottom w:val="nil"/>
              <w:right w:val="nil"/>
            </w:tcBorders>
            <w:shd w:val="clear"/>
            <w:vAlign w:val="center"/>
          </w:tcPr>
          <w:p w14:paraId="71D524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预算编制质量指标分值12分，自评得分9.84分。财政拨款预算偏离度为36.82%，设置评分6分，得3.84分，资产配置及政府采购偏离度都为0，得6分。</w:t>
            </w:r>
          </w:p>
        </w:tc>
        <w:tc>
          <w:tcPr>
            <w:tcW w:w="296" w:type="pct"/>
            <w:vMerge w:val="restart"/>
            <w:tcBorders>
              <w:top w:val="single" w:color="000000" w:sz="4" w:space="0"/>
              <w:left w:val="single" w:color="000000" w:sz="4" w:space="0"/>
              <w:bottom w:val="single" w:color="000000" w:sz="4" w:space="0"/>
              <w:right w:val="single" w:color="000000" w:sz="4" w:space="0"/>
            </w:tcBorders>
            <w:shd w:val="clear"/>
            <w:vAlign w:val="center"/>
          </w:tcPr>
          <w:p w14:paraId="60627D65">
            <w:pPr>
              <w:jc w:val="center"/>
              <w:rPr>
                <w:rFonts w:hint="eastAsia" w:ascii="宋体" w:hAnsi="宋体" w:eastAsia="宋体" w:cs="宋体"/>
                <w:i w:val="0"/>
                <w:iCs w:val="0"/>
                <w:color w:val="000000"/>
                <w:sz w:val="24"/>
                <w:szCs w:val="24"/>
                <w:u w:val="none"/>
              </w:rPr>
            </w:pPr>
          </w:p>
        </w:tc>
      </w:tr>
      <w:tr w14:paraId="4A06E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8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7D306FE">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CA7B1B4">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74C6D2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单位收入统筹</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064181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6AC132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部门统筹自有收入程度</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59C4C2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0分</w:t>
            </w:r>
          </w:p>
        </w:tc>
        <w:tc>
          <w:tcPr>
            <w:tcW w:w="3193" w:type="pct"/>
            <w:tcBorders>
              <w:top w:val="single" w:color="000000" w:sz="4" w:space="0"/>
              <w:left w:val="single" w:color="000000" w:sz="4" w:space="0"/>
              <w:bottom w:val="single" w:color="000000" w:sz="4" w:space="0"/>
              <w:right w:val="single" w:color="000000" w:sz="4" w:space="0"/>
            </w:tcBorders>
            <w:shd w:val="clear"/>
            <w:vAlign w:val="center"/>
          </w:tcPr>
          <w:p w14:paraId="2891AF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不涉及该指标，已纳入预算编制质量</w:t>
            </w: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E7FB078">
            <w:pPr>
              <w:jc w:val="center"/>
              <w:rPr>
                <w:rFonts w:hint="eastAsia" w:ascii="宋体" w:hAnsi="宋体" w:eastAsia="宋体" w:cs="宋体"/>
                <w:i w:val="0"/>
                <w:iCs w:val="0"/>
                <w:color w:val="000000"/>
                <w:sz w:val="24"/>
                <w:szCs w:val="24"/>
                <w:u w:val="none"/>
              </w:rPr>
            </w:pPr>
          </w:p>
        </w:tc>
      </w:tr>
      <w:tr w14:paraId="3AA33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46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59461AB">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F41FC53">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6C70D9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支出执行进度</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078625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26F182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部门1至6月、1至10月预算执行情况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50CD1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5.63分</w:t>
            </w:r>
          </w:p>
        </w:tc>
        <w:tc>
          <w:tcPr>
            <w:tcW w:w="3193" w:type="pct"/>
            <w:tcBorders>
              <w:top w:val="nil"/>
              <w:left w:val="nil"/>
              <w:bottom w:val="nil"/>
              <w:right w:val="nil"/>
            </w:tcBorders>
            <w:shd w:val="clear"/>
            <w:vAlign w:val="center"/>
          </w:tcPr>
          <w:p w14:paraId="569A08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通过比率分值法计算得1-6月执行进度得分1.79分,1-10月执行进度得分1.84分。1-6月1-10月均无预警金额得2分。</w:t>
            </w: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3EA5934">
            <w:pPr>
              <w:jc w:val="center"/>
              <w:rPr>
                <w:rFonts w:hint="eastAsia" w:ascii="宋体" w:hAnsi="宋体" w:eastAsia="宋体" w:cs="宋体"/>
                <w:i w:val="0"/>
                <w:iCs w:val="0"/>
                <w:color w:val="000000"/>
                <w:sz w:val="24"/>
                <w:szCs w:val="24"/>
                <w:u w:val="none"/>
              </w:rPr>
            </w:pPr>
          </w:p>
        </w:tc>
      </w:tr>
      <w:tr w14:paraId="0B716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A5083FC">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B97139A">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59AF8C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预算年终结余</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6A41B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F5766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部门整体年终预算结余情况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7097A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0分</w:t>
            </w:r>
          </w:p>
        </w:tc>
        <w:tc>
          <w:tcPr>
            <w:tcW w:w="3193" w:type="pct"/>
            <w:tcBorders>
              <w:top w:val="nil"/>
              <w:left w:val="nil"/>
              <w:bottom w:val="nil"/>
              <w:right w:val="nil"/>
            </w:tcBorders>
            <w:shd w:val="clear"/>
            <w:vAlign w:val="center"/>
          </w:tcPr>
          <w:p w14:paraId="2A9B43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有结余资金。</w:t>
            </w: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BA73998">
            <w:pPr>
              <w:jc w:val="center"/>
              <w:rPr>
                <w:rFonts w:hint="eastAsia" w:ascii="宋体" w:hAnsi="宋体" w:eastAsia="宋体" w:cs="宋体"/>
                <w:i w:val="0"/>
                <w:iCs w:val="0"/>
                <w:color w:val="000000"/>
                <w:sz w:val="24"/>
                <w:szCs w:val="24"/>
                <w:u w:val="none"/>
              </w:rPr>
            </w:pPr>
          </w:p>
        </w:tc>
      </w:tr>
      <w:tr w14:paraId="66271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86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7857076">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0FE1C7D">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62DD85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严控一般性支出</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01FF3F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06A58D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部门严控“三公”经费、会议、培训、差旅、办节办展、办公设备购置、信息网络及软件购置更新、课题经费等8项一般性支出情况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78337D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3.4分</w:t>
            </w:r>
          </w:p>
        </w:tc>
        <w:tc>
          <w:tcPr>
            <w:tcW w:w="3193" w:type="pct"/>
            <w:tcBorders>
              <w:top w:val="nil"/>
              <w:left w:val="nil"/>
              <w:bottom w:val="nil"/>
              <w:right w:val="nil"/>
            </w:tcBorders>
            <w:shd w:val="clear"/>
            <w:vAlign w:val="center"/>
          </w:tcPr>
          <w:p w14:paraId="41C3A7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一般性支出财政拨款年初预算较上年实现压减得1分，压减率为3%得0.6分；一般性支出财政拨款预算执行较上年实现压减得1分，压减率为4%得0.8分</w:t>
            </w: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A30F443">
            <w:pPr>
              <w:jc w:val="center"/>
              <w:rPr>
                <w:rFonts w:hint="eastAsia" w:ascii="宋体" w:hAnsi="宋体" w:eastAsia="宋体" w:cs="宋体"/>
                <w:i w:val="0"/>
                <w:iCs w:val="0"/>
                <w:color w:val="000000"/>
                <w:sz w:val="24"/>
                <w:szCs w:val="24"/>
                <w:u w:val="none"/>
              </w:rPr>
            </w:pPr>
          </w:p>
        </w:tc>
      </w:tr>
      <w:tr w14:paraId="1E034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12"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213799B">
            <w:pPr>
              <w:jc w:val="center"/>
              <w:rPr>
                <w:rFonts w:hint="eastAsia" w:ascii="宋体" w:hAnsi="宋体" w:eastAsia="宋体" w:cs="宋体"/>
                <w:b/>
                <w:bCs/>
                <w:i w:val="0"/>
                <w:iCs w:val="0"/>
                <w:color w:val="000000"/>
                <w:sz w:val="24"/>
                <w:szCs w:val="24"/>
                <w:u w:val="none"/>
              </w:rPr>
            </w:pPr>
          </w:p>
        </w:tc>
        <w:tc>
          <w:tcPr>
            <w:tcW w:w="263" w:type="pct"/>
            <w:vMerge w:val="restart"/>
            <w:tcBorders>
              <w:top w:val="single" w:color="000000" w:sz="4" w:space="0"/>
              <w:left w:val="single" w:color="000000" w:sz="4" w:space="0"/>
              <w:bottom w:val="single" w:color="000000" w:sz="4" w:space="0"/>
              <w:right w:val="single" w:color="000000" w:sz="4" w:space="0"/>
            </w:tcBorders>
            <w:shd w:val="clear"/>
            <w:vAlign w:val="center"/>
          </w:tcPr>
          <w:p w14:paraId="4D4DE7C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财务管理</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（10分）</w:t>
            </w: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1FCB3C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财务管理制度</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436285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08C8CB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部门财务管理制度建立情况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4FA253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4分</w:t>
            </w:r>
          </w:p>
        </w:tc>
        <w:tc>
          <w:tcPr>
            <w:tcW w:w="3193" w:type="pct"/>
            <w:vMerge w:val="restart"/>
            <w:tcBorders>
              <w:top w:val="single" w:color="000000" w:sz="4" w:space="0"/>
              <w:left w:val="single" w:color="000000" w:sz="4" w:space="0"/>
              <w:bottom w:val="single" w:color="000000" w:sz="4" w:space="0"/>
              <w:right w:val="single" w:color="000000" w:sz="4" w:space="0"/>
            </w:tcBorders>
            <w:shd w:val="clear"/>
            <w:vAlign w:val="center"/>
          </w:tcPr>
          <w:p w14:paraId="6D2330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我院制定了经费管理办法指导日常经费规范支出，按照不相容岗位相分离的原则，设置财务负责人、资产管理人、会计、出纳等岗位，并规范相应工作职责。资金使用中按照预算进行安排，不存在虚列支出、超范围超标准使用经费等情况。</w:t>
            </w:r>
          </w:p>
        </w:tc>
        <w:tc>
          <w:tcPr>
            <w:tcW w:w="296" w:type="pct"/>
            <w:vMerge w:val="restart"/>
            <w:tcBorders>
              <w:top w:val="single" w:color="000000" w:sz="4" w:space="0"/>
              <w:left w:val="single" w:color="000000" w:sz="4" w:space="0"/>
              <w:bottom w:val="single" w:color="000000" w:sz="4" w:space="0"/>
              <w:right w:val="single" w:color="000000" w:sz="4" w:space="0"/>
            </w:tcBorders>
            <w:shd w:val="clear"/>
            <w:vAlign w:val="center"/>
          </w:tcPr>
          <w:p w14:paraId="44BDDB9F">
            <w:pPr>
              <w:jc w:val="center"/>
              <w:rPr>
                <w:rFonts w:hint="eastAsia" w:ascii="宋体" w:hAnsi="宋体" w:eastAsia="宋体" w:cs="宋体"/>
                <w:i w:val="0"/>
                <w:iCs w:val="0"/>
                <w:color w:val="000000"/>
                <w:sz w:val="24"/>
                <w:szCs w:val="24"/>
                <w:u w:val="none"/>
              </w:rPr>
            </w:pPr>
          </w:p>
        </w:tc>
      </w:tr>
      <w:tr w14:paraId="08562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24"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A872763">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4FF8394">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069DF1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财务岗位设置</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6E8A6C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D9BDE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部门财务岗位设置是否符合相关财务管理制度要求</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43649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2分</w:t>
            </w: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457D693">
            <w:pPr>
              <w:jc w:val="left"/>
              <w:rPr>
                <w:rFonts w:hint="eastAsia" w:ascii="宋体" w:hAnsi="宋体" w:eastAsia="宋体" w:cs="宋体"/>
                <w:i w:val="0"/>
                <w:iCs w:val="0"/>
                <w:color w:val="000000"/>
                <w:sz w:val="24"/>
                <w:szCs w:val="24"/>
                <w:u w:val="none"/>
              </w:rPr>
            </w:pP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4DD3D13">
            <w:pPr>
              <w:jc w:val="center"/>
              <w:rPr>
                <w:rFonts w:hint="eastAsia" w:ascii="宋体" w:hAnsi="宋体" w:eastAsia="宋体" w:cs="宋体"/>
                <w:i w:val="0"/>
                <w:iCs w:val="0"/>
                <w:color w:val="000000"/>
                <w:sz w:val="24"/>
                <w:szCs w:val="24"/>
                <w:u w:val="none"/>
              </w:rPr>
            </w:pPr>
          </w:p>
        </w:tc>
      </w:tr>
      <w:tr w14:paraId="70E46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24"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D9B7A34">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4196347">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57D220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资金使用规范</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65BCFC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73DBAF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部门资金使用是否符合相关财务管理制度规定</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6642CC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4分</w:t>
            </w: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779DFC1">
            <w:pPr>
              <w:jc w:val="left"/>
              <w:rPr>
                <w:rFonts w:hint="eastAsia" w:ascii="宋体" w:hAnsi="宋体" w:eastAsia="宋体" w:cs="宋体"/>
                <w:i w:val="0"/>
                <w:iCs w:val="0"/>
                <w:color w:val="000000"/>
                <w:sz w:val="24"/>
                <w:szCs w:val="24"/>
                <w:u w:val="none"/>
              </w:rPr>
            </w:pP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E1DA53E">
            <w:pPr>
              <w:jc w:val="center"/>
              <w:rPr>
                <w:rFonts w:hint="eastAsia" w:ascii="宋体" w:hAnsi="宋体" w:eastAsia="宋体" w:cs="宋体"/>
                <w:i w:val="0"/>
                <w:iCs w:val="0"/>
                <w:color w:val="000000"/>
                <w:sz w:val="24"/>
                <w:szCs w:val="24"/>
                <w:u w:val="none"/>
              </w:rPr>
            </w:pPr>
          </w:p>
        </w:tc>
      </w:tr>
      <w:tr w14:paraId="38027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60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79BB6A2">
            <w:pPr>
              <w:jc w:val="center"/>
              <w:rPr>
                <w:rFonts w:hint="eastAsia" w:ascii="宋体" w:hAnsi="宋体" w:eastAsia="宋体" w:cs="宋体"/>
                <w:b/>
                <w:bCs/>
                <w:i w:val="0"/>
                <w:iCs w:val="0"/>
                <w:color w:val="000000"/>
                <w:sz w:val="24"/>
                <w:szCs w:val="24"/>
                <w:u w:val="none"/>
              </w:rPr>
            </w:pPr>
          </w:p>
        </w:tc>
        <w:tc>
          <w:tcPr>
            <w:tcW w:w="263" w:type="pct"/>
            <w:vMerge w:val="restart"/>
            <w:tcBorders>
              <w:top w:val="single" w:color="000000" w:sz="4" w:space="0"/>
              <w:left w:val="single" w:color="000000" w:sz="4" w:space="0"/>
              <w:bottom w:val="single" w:color="000000" w:sz="4" w:space="0"/>
              <w:right w:val="single" w:color="000000" w:sz="4" w:space="0"/>
            </w:tcBorders>
            <w:shd w:val="clear"/>
            <w:vAlign w:val="center"/>
          </w:tcPr>
          <w:p w14:paraId="674F8F8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资产管理</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（9分）</w:t>
            </w: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6F11C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人均资产变化率</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188415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570781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部门人均资产变化情况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75E37D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1.5分</w:t>
            </w:r>
          </w:p>
        </w:tc>
        <w:tc>
          <w:tcPr>
            <w:tcW w:w="3193" w:type="pct"/>
            <w:tcBorders>
              <w:top w:val="nil"/>
              <w:left w:val="nil"/>
              <w:bottom w:val="nil"/>
              <w:right w:val="nil"/>
            </w:tcBorders>
            <w:shd w:val="clear"/>
            <w:vAlign w:val="center"/>
          </w:tcPr>
          <w:p w14:paraId="44AC04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人均资产变化率为8.9%小于州直行事业单位人均资产变化率得1.5分；</w:t>
            </w:r>
          </w:p>
        </w:tc>
        <w:tc>
          <w:tcPr>
            <w:tcW w:w="296" w:type="pct"/>
            <w:vMerge w:val="restart"/>
            <w:tcBorders>
              <w:top w:val="single" w:color="000000" w:sz="4" w:space="0"/>
              <w:left w:val="single" w:color="000000" w:sz="4" w:space="0"/>
              <w:bottom w:val="single" w:color="000000" w:sz="4" w:space="0"/>
              <w:right w:val="single" w:color="000000" w:sz="4" w:space="0"/>
            </w:tcBorders>
            <w:shd w:val="clear"/>
            <w:vAlign w:val="center"/>
          </w:tcPr>
          <w:p w14:paraId="7986BB4E">
            <w:pPr>
              <w:jc w:val="center"/>
              <w:rPr>
                <w:rFonts w:hint="eastAsia" w:ascii="宋体" w:hAnsi="宋体" w:eastAsia="宋体" w:cs="宋体"/>
                <w:i w:val="0"/>
                <w:iCs w:val="0"/>
                <w:color w:val="000000"/>
                <w:sz w:val="24"/>
                <w:szCs w:val="24"/>
                <w:u w:val="none"/>
              </w:rPr>
            </w:pPr>
          </w:p>
        </w:tc>
      </w:tr>
      <w:tr w14:paraId="4D1E5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70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5E52B2F">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D66837F">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368A48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资产利用率</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1F7868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70F682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部门资产超最低使用年限情况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7D57D3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0.6分</w:t>
            </w:r>
          </w:p>
        </w:tc>
        <w:tc>
          <w:tcPr>
            <w:tcW w:w="3193" w:type="pct"/>
            <w:tcBorders>
              <w:top w:val="nil"/>
              <w:left w:val="nil"/>
              <w:bottom w:val="nil"/>
              <w:right w:val="nil"/>
            </w:tcBorders>
            <w:shd w:val="clear"/>
            <w:noWrap/>
            <w:vAlign w:val="center"/>
          </w:tcPr>
          <w:p w14:paraId="0954E1E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办公家具超最低年限资产利用率为2.57%，办公设备超最低使用年限资产利用率为36.54%,得分0.6分；</w:t>
            </w: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A6E10DC">
            <w:pPr>
              <w:jc w:val="center"/>
              <w:rPr>
                <w:rFonts w:hint="eastAsia" w:ascii="宋体" w:hAnsi="宋体" w:eastAsia="宋体" w:cs="宋体"/>
                <w:i w:val="0"/>
                <w:iCs w:val="0"/>
                <w:color w:val="000000"/>
                <w:sz w:val="24"/>
                <w:szCs w:val="24"/>
                <w:u w:val="none"/>
              </w:rPr>
            </w:pPr>
          </w:p>
        </w:tc>
      </w:tr>
      <w:tr w14:paraId="0A4AE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560" w:hRule="atLeast"/>
        </w:trPr>
        <w:tc>
          <w:tcPr>
            <w:tcW w:w="263" w:type="pct"/>
            <w:vMerge w:val="restart"/>
            <w:tcBorders>
              <w:top w:val="single" w:color="000000" w:sz="4" w:space="0"/>
              <w:left w:val="single" w:color="000000" w:sz="4" w:space="0"/>
              <w:bottom w:val="single" w:color="000000" w:sz="4" w:space="0"/>
              <w:right w:val="single" w:color="000000" w:sz="4" w:space="0"/>
            </w:tcBorders>
            <w:shd w:val="clear"/>
            <w:vAlign w:val="center"/>
          </w:tcPr>
          <w:p w14:paraId="15C02F1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总体绩效</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（65分）</w:t>
            </w:r>
          </w:p>
        </w:tc>
        <w:tc>
          <w:tcPr>
            <w:tcW w:w="263" w:type="pct"/>
            <w:tcBorders>
              <w:top w:val="single" w:color="000000" w:sz="4" w:space="0"/>
              <w:left w:val="single" w:color="000000" w:sz="4" w:space="0"/>
              <w:bottom w:val="single" w:color="000000" w:sz="4" w:space="0"/>
              <w:right w:val="single" w:color="000000" w:sz="4" w:space="0"/>
            </w:tcBorders>
            <w:shd w:val="clear"/>
            <w:vAlign w:val="center"/>
          </w:tcPr>
          <w:p w14:paraId="76FF462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资产管理</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（9分）</w:t>
            </w: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66A759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资产盘活率</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3CF5D5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2842F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部门闲置一年以上的资产盘活情况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204FD9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3分</w:t>
            </w:r>
          </w:p>
        </w:tc>
        <w:tc>
          <w:tcPr>
            <w:tcW w:w="3193" w:type="pct"/>
            <w:tcBorders>
              <w:top w:val="nil"/>
              <w:left w:val="nil"/>
              <w:bottom w:val="nil"/>
              <w:right w:val="nil"/>
            </w:tcBorders>
            <w:shd w:val="clear"/>
            <w:noWrap/>
            <w:vAlign w:val="center"/>
          </w:tcPr>
          <w:p w14:paraId="1CE30C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本单位两年均无闲置资产得3分</w:t>
            </w:r>
          </w:p>
        </w:tc>
        <w:tc>
          <w:tcPr>
            <w:tcW w:w="296" w:type="pct"/>
            <w:tcBorders>
              <w:top w:val="single" w:color="000000" w:sz="4" w:space="0"/>
              <w:left w:val="single" w:color="000000" w:sz="4" w:space="0"/>
              <w:bottom w:val="single" w:color="000000" w:sz="4" w:space="0"/>
              <w:right w:val="single" w:color="000000" w:sz="4" w:space="0"/>
            </w:tcBorders>
            <w:shd w:val="clear"/>
            <w:vAlign w:val="center"/>
          </w:tcPr>
          <w:p w14:paraId="40A904D2">
            <w:pPr>
              <w:jc w:val="center"/>
              <w:rPr>
                <w:rFonts w:hint="eastAsia" w:ascii="宋体" w:hAnsi="宋体" w:eastAsia="宋体" w:cs="宋体"/>
                <w:i w:val="0"/>
                <w:iCs w:val="0"/>
                <w:color w:val="000000"/>
                <w:sz w:val="24"/>
                <w:szCs w:val="24"/>
                <w:u w:val="none"/>
              </w:rPr>
            </w:pPr>
          </w:p>
        </w:tc>
      </w:tr>
      <w:tr w14:paraId="4F17C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24"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E709896">
            <w:pPr>
              <w:jc w:val="center"/>
              <w:rPr>
                <w:rFonts w:hint="eastAsia" w:ascii="宋体" w:hAnsi="宋体" w:eastAsia="宋体" w:cs="宋体"/>
                <w:b/>
                <w:bCs/>
                <w:i w:val="0"/>
                <w:iCs w:val="0"/>
                <w:color w:val="000000"/>
                <w:sz w:val="24"/>
                <w:szCs w:val="24"/>
                <w:u w:val="none"/>
              </w:rPr>
            </w:pPr>
          </w:p>
        </w:tc>
        <w:tc>
          <w:tcPr>
            <w:tcW w:w="263" w:type="pct"/>
            <w:vMerge w:val="restart"/>
            <w:tcBorders>
              <w:top w:val="single" w:color="000000" w:sz="4" w:space="0"/>
              <w:left w:val="single" w:color="000000" w:sz="4" w:space="0"/>
              <w:bottom w:val="single" w:color="000000" w:sz="4" w:space="0"/>
              <w:right w:val="single" w:color="000000" w:sz="4" w:space="0"/>
            </w:tcBorders>
            <w:shd w:val="clear"/>
            <w:vAlign w:val="center"/>
          </w:tcPr>
          <w:p w14:paraId="08F2979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采购管理</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（6分）</w:t>
            </w: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27839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支持中小企业发展</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3D85C0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429693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部门是否严格执行政府采购促进中小企业发展相关管理办法</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670ED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3分</w:t>
            </w:r>
          </w:p>
        </w:tc>
        <w:tc>
          <w:tcPr>
            <w:tcW w:w="3193" w:type="pct"/>
            <w:vMerge w:val="restart"/>
            <w:tcBorders>
              <w:top w:val="single" w:color="000000" w:sz="4" w:space="0"/>
              <w:left w:val="single" w:color="000000" w:sz="4" w:space="0"/>
              <w:bottom w:val="single" w:color="000000" w:sz="4" w:space="0"/>
              <w:right w:val="single" w:color="000000" w:sz="4" w:space="0"/>
            </w:tcBorders>
            <w:shd w:val="clear"/>
            <w:vAlign w:val="center"/>
          </w:tcPr>
          <w:p w14:paraId="6778A4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我院2024年大力支持中小企业发展，在采购预算中单独列示；当年政府采购实际支付总金额÷（当年政府采购总预算数-当年已完成采购项目节约金额）×100%×3，且有节约资金，无扣分。</w:t>
            </w:r>
          </w:p>
        </w:tc>
        <w:tc>
          <w:tcPr>
            <w:tcW w:w="296" w:type="pct"/>
            <w:vMerge w:val="restart"/>
            <w:tcBorders>
              <w:top w:val="single" w:color="000000" w:sz="4" w:space="0"/>
              <w:left w:val="single" w:color="000000" w:sz="4" w:space="0"/>
              <w:bottom w:val="single" w:color="000000" w:sz="4" w:space="0"/>
              <w:right w:val="single" w:color="000000" w:sz="4" w:space="0"/>
            </w:tcBorders>
            <w:shd w:val="clear"/>
            <w:vAlign w:val="center"/>
          </w:tcPr>
          <w:p w14:paraId="420D3E49">
            <w:pPr>
              <w:jc w:val="center"/>
              <w:rPr>
                <w:rFonts w:hint="eastAsia" w:ascii="宋体" w:hAnsi="宋体" w:eastAsia="宋体" w:cs="宋体"/>
                <w:i w:val="0"/>
                <w:iCs w:val="0"/>
                <w:color w:val="000000"/>
                <w:sz w:val="24"/>
                <w:szCs w:val="24"/>
                <w:u w:val="none"/>
              </w:rPr>
            </w:pPr>
          </w:p>
        </w:tc>
      </w:tr>
      <w:tr w14:paraId="08C19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24"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6892480">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C6081C7">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7364EA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采购执行率</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3A09CC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4DA1D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部门政府采购项目资金支付比例情况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187D5F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3分</w:t>
            </w: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A679162">
            <w:pPr>
              <w:jc w:val="left"/>
              <w:rPr>
                <w:rFonts w:hint="eastAsia" w:ascii="宋体" w:hAnsi="宋体" w:eastAsia="宋体" w:cs="宋体"/>
                <w:i w:val="0"/>
                <w:iCs w:val="0"/>
                <w:color w:val="000000"/>
                <w:sz w:val="24"/>
                <w:szCs w:val="24"/>
                <w:u w:val="none"/>
              </w:rPr>
            </w:pPr>
          </w:p>
        </w:tc>
        <w:tc>
          <w:tcPr>
            <w:tcW w:w="296"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C873DDC">
            <w:pPr>
              <w:jc w:val="center"/>
              <w:rPr>
                <w:rFonts w:hint="eastAsia" w:ascii="宋体" w:hAnsi="宋体" w:eastAsia="宋体" w:cs="宋体"/>
                <w:i w:val="0"/>
                <w:iCs w:val="0"/>
                <w:color w:val="000000"/>
                <w:sz w:val="24"/>
                <w:szCs w:val="24"/>
                <w:u w:val="none"/>
              </w:rPr>
            </w:pPr>
          </w:p>
        </w:tc>
      </w:tr>
      <w:tr w14:paraId="0F15C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80" w:hRule="atLeast"/>
        </w:trPr>
        <w:tc>
          <w:tcPr>
            <w:tcW w:w="263" w:type="pct"/>
            <w:vMerge w:val="restart"/>
            <w:tcBorders>
              <w:top w:val="single" w:color="000000" w:sz="4" w:space="0"/>
              <w:left w:val="single" w:color="000000" w:sz="4" w:space="0"/>
              <w:bottom w:val="single" w:color="000000" w:sz="4" w:space="0"/>
              <w:right w:val="single" w:color="000000" w:sz="4" w:space="0"/>
            </w:tcBorders>
            <w:shd w:val="clear"/>
            <w:vAlign w:val="center"/>
          </w:tcPr>
          <w:p w14:paraId="6994A70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项目绩效</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（35分）</w:t>
            </w:r>
          </w:p>
        </w:tc>
        <w:tc>
          <w:tcPr>
            <w:tcW w:w="263" w:type="pct"/>
            <w:vMerge w:val="restart"/>
            <w:tcBorders>
              <w:top w:val="single" w:color="000000" w:sz="4" w:space="0"/>
              <w:left w:val="single" w:color="000000" w:sz="4" w:space="0"/>
              <w:bottom w:val="nil"/>
              <w:right w:val="single" w:color="000000" w:sz="4" w:space="0"/>
            </w:tcBorders>
            <w:shd w:val="clear"/>
            <w:vAlign w:val="center"/>
          </w:tcPr>
          <w:p w14:paraId="51288BD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项目决策</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（12分）</w:t>
            </w: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3EF972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决策程序</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03F486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5C6DDF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部门预算项目设立是否按规定履行评估论证、申报程序</w:t>
            </w:r>
          </w:p>
        </w:tc>
        <w:tc>
          <w:tcPr>
            <w:tcW w:w="329" w:type="pct"/>
            <w:tcBorders>
              <w:top w:val="single" w:color="000000" w:sz="4" w:space="0"/>
              <w:left w:val="single" w:color="000000" w:sz="4" w:space="0"/>
              <w:bottom w:val="single" w:color="000000" w:sz="4" w:space="0"/>
              <w:right w:val="nil"/>
            </w:tcBorders>
            <w:shd w:val="clear"/>
            <w:vAlign w:val="center"/>
          </w:tcPr>
          <w:p w14:paraId="307A1E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4分</w:t>
            </w:r>
          </w:p>
        </w:tc>
        <w:tc>
          <w:tcPr>
            <w:tcW w:w="3193" w:type="pct"/>
            <w:vMerge w:val="restart"/>
            <w:tcBorders>
              <w:top w:val="single" w:color="000000" w:sz="4" w:space="0"/>
              <w:left w:val="single" w:color="000000" w:sz="4" w:space="0"/>
              <w:bottom w:val="single" w:color="000000" w:sz="4" w:space="0"/>
              <w:right w:val="single" w:color="000000" w:sz="4" w:space="0"/>
            </w:tcBorders>
            <w:shd w:val="clear"/>
            <w:vAlign w:val="center"/>
          </w:tcPr>
          <w:p w14:paraId="342B64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2024年度我院对转移支付业务费及装备费项目按照资金使用用途即预期实现目标，在财政资金安排前进行绩效目标设置并按期完成项目入库工作</w:t>
            </w:r>
          </w:p>
        </w:tc>
        <w:tc>
          <w:tcPr>
            <w:tcW w:w="296" w:type="pct"/>
            <w:tcBorders>
              <w:top w:val="single" w:color="000000" w:sz="4" w:space="0"/>
              <w:left w:val="nil"/>
              <w:bottom w:val="single" w:color="000000" w:sz="4" w:space="0"/>
              <w:right w:val="single" w:color="000000" w:sz="4" w:space="0"/>
            </w:tcBorders>
            <w:shd w:val="clear"/>
            <w:vAlign w:val="center"/>
          </w:tcPr>
          <w:p w14:paraId="6F7E9C03">
            <w:pPr>
              <w:jc w:val="center"/>
              <w:rPr>
                <w:rFonts w:hint="eastAsia" w:ascii="宋体" w:hAnsi="宋体" w:eastAsia="宋体" w:cs="宋体"/>
                <w:i w:val="0"/>
                <w:iCs w:val="0"/>
                <w:color w:val="000000"/>
                <w:sz w:val="24"/>
                <w:szCs w:val="24"/>
                <w:u w:val="none"/>
              </w:rPr>
            </w:pPr>
          </w:p>
        </w:tc>
      </w:tr>
      <w:tr w14:paraId="54772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4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A0F5733">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nil"/>
              <w:right w:val="single" w:color="000000" w:sz="4" w:space="0"/>
            </w:tcBorders>
            <w:shd w:val="clear"/>
            <w:vAlign w:val="center"/>
          </w:tcPr>
          <w:p w14:paraId="5668B506">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316CB6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目标设置</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3812F6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21D7F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部门预算项目绩效目标与计划期内的任务量、预算安排的资金量匹配情况，绩效目标设置是否科学合理、规范完整、量化细化、预算匹配</w:t>
            </w:r>
          </w:p>
        </w:tc>
        <w:tc>
          <w:tcPr>
            <w:tcW w:w="329" w:type="pct"/>
            <w:tcBorders>
              <w:top w:val="single" w:color="000000" w:sz="4" w:space="0"/>
              <w:left w:val="single" w:color="000000" w:sz="4" w:space="0"/>
              <w:bottom w:val="single" w:color="000000" w:sz="4" w:space="0"/>
              <w:right w:val="nil"/>
            </w:tcBorders>
            <w:shd w:val="clear"/>
            <w:vAlign w:val="center"/>
          </w:tcPr>
          <w:p w14:paraId="2CBEB3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4分</w:t>
            </w: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9742F35">
            <w:pPr>
              <w:jc w:val="left"/>
              <w:rPr>
                <w:rFonts w:hint="eastAsia" w:ascii="宋体" w:hAnsi="宋体" w:eastAsia="宋体" w:cs="宋体"/>
                <w:i w:val="0"/>
                <w:iCs w:val="0"/>
                <w:color w:val="000000"/>
                <w:sz w:val="24"/>
                <w:szCs w:val="24"/>
                <w:u w:val="none"/>
              </w:rPr>
            </w:pPr>
          </w:p>
        </w:tc>
        <w:tc>
          <w:tcPr>
            <w:tcW w:w="296" w:type="pct"/>
            <w:tcBorders>
              <w:top w:val="single" w:color="000000" w:sz="4" w:space="0"/>
              <w:left w:val="nil"/>
              <w:bottom w:val="single" w:color="000000" w:sz="4" w:space="0"/>
              <w:right w:val="single" w:color="000000" w:sz="4" w:space="0"/>
            </w:tcBorders>
            <w:shd w:val="clear"/>
            <w:vAlign w:val="center"/>
          </w:tcPr>
          <w:p w14:paraId="513BAEEA">
            <w:pPr>
              <w:jc w:val="center"/>
              <w:rPr>
                <w:rFonts w:hint="eastAsia" w:ascii="宋体" w:hAnsi="宋体" w:eastAsia="宋体" w:cs="宋体"/>
                <w:i w:val="0"/>
                <w:iCs w:val="0"/>
                <w:color w:val="000000"/>
                <w:sz w:val="24"/>
                <w:szCs w:val="24"/>
                <w:u w:val="none"/>
              </w:rPr>
            </w:pPr>
          </w:p>
        </w:tc>
      </w:tr>
      <w:tr w14:paraId="30635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6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5BC450E">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nil"/>
              <w:right w:val="single" w:color="000000" w:sz="4" w:space="0"/>
            </w:tcBorders>
            <w:shd w:val="clear"/>
            <w:vAlign w:val="center"/>
          </w:tcPr>
          <w:p w14:paraId="0D2F48C2">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146695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项目入库</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4F066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55B20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部门预算项目是否在规定时间完成项目入库</w:t>
            </w:r>
          </w:p>
        </w:tc>
        <w:tc>
          <w:tcPr>
            <w:tcW w:w="329" w:type="pct"/>
            <w:tcBorders>
              <w:top w:val="single" w:color="000000" w:sz="4" w:space="0"/>
              <w:left w:val="single" w:color="000000" w:sz="4" w:space="0"/>
              <w:bottom w:val="single" w:color="000000" w:sz="4" w:space="0"/>
              <w:right w:val="nil"/>
            </w:tcBorders>
            <w:shd w:val="clear"/>
            <w:vAlign w:val="center"/>
          </w:tcPr>
          <w:p w14:paraId="654E94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4分</w:t>
            </w: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899310B">
            <w:pPr>
              <w:jc w:val="left"/>
              <w:rPr>
                <w:rFonts w:hint="eastAsia" w:ascii="宋体" w:hAnsi="宋体" w:eastAsia="宋体" w:cs="宋体"/>
                <w:i w:val="0"/>
                <w:iCs w:val="0"/>
                <w:color w:val="000000"/>
                <w:sz w:val="24"/>
                <w:szCs w:val="24"/>
                <w:u w:val="none"/>
              </w:rPr>
            </w:pPr>
          </w:p>
        </w:tc>
        <w:tc>
          <w:tcPr>
            <w:tcW w:w="296" w:type="pct"/>
            <w:tcBorders>
              <w:top w:val="single" w:color="000000" w:sz="4" w:space="0"/>
              <w:left w:val="nil"/>
              <w:bottom w:val="single" w:color="000000" w:sz="4" w:space="0"/>
              <w:right w:val="single" w:color="000000" w:sz="4" w:space="0"/>
            </w:tcBorders>
            <w:shd w:val="clear"/>
            <w:vAlign w:val="center"/>
          </w:tcPr>
          <w:p w14:paraId="7A8BBDFF">
            <w:pPr>
              <w:jc w:val="center"/>
              <w:rPr>
                <w:rFonts w:hint="eastAsia" w:ascii="宋体" w:hAnsi="宋体" w:eastAsia="宋体" w:cs="宋体"/>
                <w:i w:val="0"/>
                <w:iCs w:val="0"/>
                <w:color w:val="000000"/>
                <w:sz w:val="24"/>
                <w:szCs w:val="24"/>
                <w:u w:val="none"/>
              </w:rPr>
            </w:pPr>
          </w:p>
        </w:tc>
      </w:tr>
      <w:tr w14:paraId="4F41B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2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67EB6DB">
            <w:pPr>
              <w:jc w:val="center"/>
              <w:rPr>
                <w:rFonts w:hint="eastAsia" w:ascii="宋体" w:hAnsi="宋体" w:eastAsia="宋体" w:cs="宋体"/>
                <w:b/>
                <w:bCs/>
                <w:i w:val="0"/>
                <w:iCs w:val="0"/>
                <w:color w:val="000000"/>
                <w:sz w:val="24"/>
                <w:szCs w:val="24"/>
                <w:u w:val="none"/>
              </w:rPr>
            </w:pPr>
          </w:p>
        </w:tc>
        <w:tc>
          <w:tcPr>
            <w:tcW w:w="263" w:type="pct"/>
            <w:vMerge w:val="restart"/>
            <w:tcBorders>
              <w:top w:val="single" w:color="000000" w:sz="4" w:space="0"/>
              <w:left w:val="single" w:color="000000" w:sz="4" w:space="0"/>
              <w:bottom w:val="nil"/>
              <w:right w:val="single" w:color="000000" w:sz="4" w:space="0"/>
            </w:tcBorders>
            <w:shd w:val="clear"/>
            <w:vAlign w:val="center"/>
          </w:tcPr>
          <w:p w14:paraId="1E5B6A2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项目执行</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（12分）</w:t>
            </w: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77CBD8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执行同向</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045CE6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77B715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部门预算项目实际列支内容是否与绩效目标设置方向相符</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1B0A09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4分</w:t>
            </w:r>
          </w:p>
        </w:tc>
        <w:tc>
          <w:tcPr>
            <w:tcW w:w="3193" w:type="pct"/>
            <w:vMerge w:val="restart"/>
            <w:tcBorders>
              <w:top w:val="single" w:color="000000" w:sz="4" w:space="0"/>
              <w:left w:val="single" w:color="000000" w:sz="4" w:space="0"/>
              <w:bottom w:val="single" w:color="000000" w:sz="4" w:space="0"/>
              <w:right w:val="single" w:color="000000" w:sz="4" w:space="0"/>
            </w:tcBorders>
            <w:shd w:val="clear"/>
            <w:vAlign w:val="center"/>
          </w:tcPr>
          <w:p w14:paraId="76EB0E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各项目在实施过程中资金到位率和支付均均满足设定目标，在实施过程中经费不足，及时作出调整向财政申请资金追加，最终顺利完成全年预期目标。各项目实施后其设定的社会效益指标和满意度指标均达预期，项目执行达预期目标。</w:t>
            </w:r>
          </w:p>
        </w:tc>
        <w:tc>
          <w:tcPr>
            <w:tcW w:w="296" w:type="pct"/>
            <w:tcBorders>
              <w:top w:val="single" w:color="000000" w:sz="4" w:space="0"/>
              <w:left w:val="single" w:color="000000" w:sz="4" w:space="0"/>
              <w:bottom w:val="single" w:color="000000" w:sz="4" w:space="0"/>
              <w:right w:val="single" w:color="000000" w:sz="4" w:space="0"/>
            </w:tcBorders>
            <w:shd w:val="clear"/>
            <w:vAlign w:val="center"/>
          </w:tcPr>
          <w:p w14:paraId="57701647">
            <w:pPr>
              <w:jc w:val="center"/>
              <w:rPr>
                <w:rFonts w:hint="eastAsia" w:ascii="宋体" w:hAnsi="宋体" w:eastAsia="宋体" w:cs="宋体"/>
                <w:i w:val="0"/>
                <w:iCs w:val="0"/>
                <w:color w:val="000000"/>
                <w:sz w:val="24"/>
                <w:szCs w:val="24"/>
                <w:u w:val="none"/>
              </w:rPr>
            </w:pPr>
          </w:p>
        </w:tc>
      </w:tr>
      <w:tr w14:paraId="2B29D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02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DC4C5D0">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nil"/>
              <w:right w:val="single" w:color="000000" w:sz="4" w:space="0"/>
            </w:tcBorders>
            <w:shd w:val="clear"/>
            <w:vAlign w:val="center"/>
          </w:tcPr>
          <w:p w14:paraId="3ED9B213">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nil"/>
              <w:right w:val="single" w:color="000000" w:sz="4" w:space="0"/>
            </w:tcBorders>
            <w:shd w:val="clear"/>
            <w:vAlign w:val="center"/>
          </w:tcPr>
          <w:p w14:paraId="020DB7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项目调整</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650BF0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6EABF1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部门预算项目是否采取对应调整措施</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78970D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4分</w:t>
            </w: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5F9E9E9">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vAlign w:val="center"/>
          </w:tcPr>
          <w:p w14:paraId="28854F67">
            <w:pPr>
              <w:jc w:val="center"/>
              <w:rPr>
                <w:rFonts w:hint="eastAsia" w:ascii="宋体" w:hAnsi="宋体" w:eastAsia="宋体" w:cs="宋体"/>
                <w:i w:val="0"/>
                <w:iCs w:val="0"/>
                <w:color w:val="000000"/>
                <w:sz w:val="24"/>
                <w:szCs w:val="24"/>
                <w:u w:val="none"/>
              </w:rPr>
            </w:pPr>
          </w:p>
        </w:tc>
      </w:tr>
      <w:tr w14:paraId="5804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06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BF83C49">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nil"/>
              <w:right w:val="single" w:color="000000" w:sz="4" w:space="0"/>
            </w:tcBorders>
            <w:shd w:val="clear"/>
            <w:vAlign w:val="center"/>
          </w:tcPr>
          <w:p w14:paraId="21C07116">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132B5D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执行结果</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2D8EC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5ABAC1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部门预算项目预算执行情况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1636ED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4分</w:t>
            </w: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3039470">
            <w:pPr>
              <w:jc w:val="center"/>
              <w:rPr>
                <w:rFonts w:hint="eastAsia" w:ascii="宋体" w:hAnsi="宋体" w:eastAsia="宋体" w:cs="宋体"/>
                <w:i w:val="0"/>
                <w:iCs w:val="0"/>
                <w:color w:val="000000"/>
                <w:sz w:val="24"/>
                <w:szCs w:val="24"/>
                <w:u w:val="none"/>
              </w:rPr>
            </w:pPr>
          </w:p>
        </w:tc>
        <w:tc>
          <w:tcPr>
            <w:tcW w:w="296" w:type="pct"/>
            <w:tcBorders>
              <w:top w:val="nil"/>
              <w:left w:val="single" w:color="000000" w:sz="4" w:space="0"/>
              <w:bottom w:val="single" w:color="000000" w:sz="4" w:space="0"/>
              <w:right w:val="single" w:color="000000" w:sz="4" w:space="0"/>
            </w:tcBorders>
            <w:shd w:val="clear"/>
            <w:vAlign w:val="center"/>
          </w:tcPr>
          <w:p w14:paraId="4CDCDE85">
            <w:pPr>
              <w:jc w:val="center"/>
              <w:rPr>
                <w:rFonts w:hint="eastAsia" w:ascii="宋体" w:hAnsi="宋体" w:eastAsia="宋体" w:cs="宋体"/>
                <w:i w:val="0"/>
                <w:iCs w:val="0"/>
                <w:color w:val="000000"/>
                <w:sz w:val="24"/>
                <w:szCs w:val="24"/>
                <w:u w:val="none"/>
              </w:rPr>
            </w:pPr>
          </w:p>
        </w:tc>
      </w:tr>
      <w:tr w14:paraId="2C0D3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82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F5FD6F8">
            <w:pPr>
              <w:jc w:val="center"/>
              <w:rPr>
                <w:rFonts w:hint="eastAsia" w:ascii="宋体" w:hAnsi="宋体" w:eastAsia="宋体" w:cs="宋体"/>
                <w:b/>
                <w:bCs/>
                <w:i w:val="0"/>
                <w:iCs w:val="0"/>
                <w:color w:val="000000"/>
                <w:sz w:val="24"/>
                <w:szCs w:val="24"/>
                <w:u w:val="none"/>
              </w:rPr>
            </w:pPr>
          </w:p>
        </w:tc>
        <w:tc>
          <w:tcPr>
            <w:tcW w:w="263" w:type="pct"/>
            <w:vMerge w:val="restart"/>
            <w:tcBorders>
              <w:top w:val="single" w:color="000000" w:sz="4" w:space="0"/>
              <w:left w:val="single" w:color="000000" w:sz="4" w:space="0"/>
              <w:bottom w:val="single" w:color="000000" w:sz="4" w:space="0"/>
              <w:right w:val="single" w:color="000000" w:sz="4" w:space="0"/>
            </w:tcBorders>
            <w:shd w:val="clear"/>
            <w:vAlign w:val="center"/>
          </w:tcPr>
          <w:p w14:paraId="5746DCB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目标实现</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（11分）</w:t>
            </w: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413B47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目标完成</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17441D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75F47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部门预算项目绩效目标数量指标完成情况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54BDAD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4分</w:t>
            </w:r>
          </w:p>
        </w:tc>
        <w:tc>
          <w:tcPr>
            <w:tcW w:w="3193" w:type="pct"/>
            <w:vMerge w:val="restart"/>
            <w:tcBorders>
              <w:top w:val="single" w:color="000000" w:sz="4" w:space="0"/>
              <w:left w:val="single" w:color="000000" w:sz="4" w:space="0"/>
              <w:bottom w:val="single" w:color="000000" w:sz="4" w:space="0"/>
              <w:right w:val="single" w:color="000000" w:sz="4" w:space="0"/>
            </w:tcBorders>
            <w:shd w:val="clear"/>
            <w:vAlign w:val="center"/>
          </w:tcPr>
          <w:p w14:paraId="4BAEEC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目标制定”自评质量标总分11分，自评得分10分。所有项目均顺利完成年初设定目标；未出现目标偏离情况，项目实施有效缓解当事人困难、提升检察干警工作积极性、保障检察设施设备提到提升，维护了社会和谐稳定，提升了社会满意度。</w:t>
            </w:r>
          </w:p>
        </w:tc>
        <w:tc>
          <w:tcPr>
            <w:tcW w:w="296" w:type="pct"/>
            <w:tcBorders>
              <w:top w:val="single" w:color="000000" w:sz="4" w:space="0"/>
              <w:left w:val="single" w:color="000000" w:sz="4" w:space="0"/>
              <w:bottom w:val="single" w:color="000000" w:sz="4" w:space="0"/>
              <w:right w:val="single" w:color="000000" w:sz="4" w:space="0"/>
            </w:tcBorders>
            <w:shd w:val="clear"/>
            <w:vAlign w:val="center"/>
          </w:tcPr>
          <w:p w14:paraId="185A5EB2">
            <w:pPr>
              <w:jc w:val="center"/>
              <w:rPr>
                <w:rFonts w:hint="eastAsia" w:ascii="宋体" w:hAnsi="宋体" w:eastAsia="宋体" w:cs="宋体"/>
                <w:i w:val="0"/>
                <w:iCs w:val="0"/>
                <w:color w:val="000000"/>
                <w:sz w:val="24"/>
                <w:szCs w:val="24"/>
                <w:u w:val="none"/>
              </w:rPr>
            </w:pPr>
          </w:p>
        </w:tc>
      </w:tr>
      <w:tr w14:paraId="7483D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8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37520C1">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72B02C6">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139D5D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目标偏离</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2DB861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83F10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部门预算项目绩效目标数量指标实现程度与预期目标的偏离情况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64ADF5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4分</w:t>
            </w: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CAF80F5">
            <w:pPr>
              <w:jc w:val="left"/>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vAlign w:val="center"/>
          </w:tcPr>
          <w:p w14:paraId="51442694">
            <w:pPr>
              <w:jc w:val="center"/>
              <w:rPr>
                <w:rFonts w:hint="eastAsia" w:ascii="宋体" w:hAnsi="宋体" w:eastAsia="宋体" w:cs="宋体"/>
                <w:i w:val="0"/>
                <w:iCs w:val="0"/>
                <w:color w:val="000000"/>
                <w:sz w:val="24"/>
                <w:szCs w:val="24"/>
                <w:u w:val="none"/>
              </w:rPr>
            </w:pPr>
          </w:p>
        </w:tc>
      </w:tr>
      <w:tr w14:paraId="3D64D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86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B718E30">
            <w:pPr>
              <w:jc w:val="center"/>
              <w:rPr>
                <w:rFonts w:hint="eastAsia" w:ascii="宋体" w:hAnsi="宋体" w:eastAsia="宋体" w:cs="宋体"/>
                <w:b/>
                <w:bCs/>
                <w:i w:val="0"/>
                <w:iCs w:val="0"/>
                <w:color w:val="000000"/>
                <w:sz w:val="24"/>
                <w:szCs w:val="24"/>
                <w:u w:val="none"/>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F077CC4">
            <w:pPr>
              <w:jc w:val="center"/>
              <w:rPr>
                <w:rFonts w:hint="eastAsia" w:ascii="宋体" w:hAnsi="宋体" w:eastAsia="宋体" w:cs="宋体"/>
                <w:b/>
                <w:bCs/>
                <w:i w:val="0"/>
                <w:iCs w:val="0"/>
                <w:color w:val="000000"/>
                <w:sz w:val="24"/>
                <w:szCs w:val="24"/>
                <w:u w:val="none"/>
              </w:rPr>
            </w:pPr>
          </w:p>
        </w:tc>
        <w:tc>
          <w:tcPr>
            <w:tcW w:w="194" w:type="pct"/>
            <w:tcBorders>
              <w:top w:val="single" w:color="000000" w:sz="4" w:space="0"/>
              <w:left w:val="single" w:color="000000" w:sz="4" w:space="0"/>
              <w:bottom w:val="single" w:color="000000" w:sz="4" w:space="0"/>
              <w:right w:val="single" w:color="000000" w:sz="4" w:space="0"/>
            </w:tcBorders>
            <w:shd w:val="clear"/>
            <w:vAlign w:val="center"/>
          </w:tcPr>
          <w:p w14:paraId="0174AF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实现效果</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212796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F060D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部门预算项目绩效目标效益指标实施效果</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0D9F6E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3分</w:t>
            </w:r>
          </w:p>
        </w:tc>
        <w:tc>
          <w:tcPr>
            <w:tcW w:w="319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04D0751">
            <w:pPr>
              <w:jc w:val="left"/>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vAlign w:val="center"/>
          </w:tcPr>
          <w:p w14:paraId="02CE6DDE">
            <w:pPr>
              <w:jc w:val="center"/>
              <w:rPr>
                <w:rFonts w:hint="eastAsia" w:ascii="宋体" w:hAnsi="宋体" w:eastAsia="宋体" w:cs="宋体"/>
                <w:i w:val="0"/>
                <w:iCs w:val="0"/>
                <w:color w:val="000000"/>
                <w:sz w:val="24"/>
                <w:szCs w:val="24"/>
                <w:u w:val="none"/>
              </w:rPr>
            </w:pPr>
          </w:p>
        </w:tc>
      </w:tr>
      <w:tr w14:paraId="490E9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80" w:hRule="atLeast"/>
        </w:trPr>
        <w:tc>
          <w:tcPr>
            <w:tcW w:w="263" w:type="pct"/>
            <w:vMerge w:val="restart"/>
            <w:tcBorders>
              <w:top w:val="single" w:color="000000" w:sz="4" w:space="0"/>
              <w:left w:val="single" w:color="000000" w:sz="4" w:space="0"/>
              <w:bottom w:val="single" w:color="000000" w:sz="4" w:space="0"/>
              <w:right w:val="single" w:color="000000" w:sz="4" w:space="0"/>
            </w:tcBorders>
            <w:shd w:val="clear"/>
            <w:vAlign w:val="center"/>
          </w:tcPr>
          <w:p w14:paraId="33DFE98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扣分项</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（10分）</w:t>
            </w:r>
          </w:p>
        </w:tc>
        <w:tc>
          <w:tcPr>
            <w:tcW w:w="458" w:type="pct"/>
            <w:gridSpan w:val="2"/>
            <w:tcBorders>
              <w:top w:val="single" w:color="000000" w:sz="4" w:space="0"/>
              <w:left w:val="single" w:color="000000" w:sz="4" w:space="0"/>
              <w:bottom w:val="single" w:color="000000" w:sz="4" w:space="0"/>
              <w:right w:val="single" w:color="000000" w:sz="4" w:space="0"/>
            </w:tcBorders>
            <w:shd w:val="clear"/>
            <w:vAlign w:val="center"/>
          </w:tcPr>
          <w:p w14:paraId="1C62D3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预算绩效存在问题</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270A06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3B5976C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预算管理和绩效管理工作存在问题</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7A6D08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缺（错）项</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扣分法</w:t>
            </w:r>
          </w:p>
        </w:tc>
        <w:tc>
          <w:tcPr>
            <w:tcW w:w="3193" w:type="pct"/>
            <w:tcBorders>
              <w:top w:val="single" w:color="000000" w:sz="4" w:space="0"/>
              <w:left w:val="single" w:color="000000" w:sz="4" w:space="0"/>
              <w:bottom w:val="single" w:color="000000" w:sz="4" w:space="0"/>
              <w:right w:val="single" w:color="000000" w:sz="4" w:space="0"/>
            </w:tcBorders>
            <w:shd w:val="clear"/>
            <w:vAlign w:val="center"/>
          </w:tcPr>
          <w:p w14:paraId="7AD389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依据评价年度人大监督、巡视巡察、审计监督、财会监督等结果以及评价指标体系涉及的履职效果、预算管理、财务管理、资产管理、采购管理、项目绩效等方面出现的问题，每有一个问题点扣1分，扣完为止。</w:t>
            </w:r>
          </w:p>
        </w:tc>
        <w:tc>
          <w:tcPr>
            <w:tcW w:w="296" w:type="pct"/>
            <w:tcBorders>
              <w:top w:val="single" w:color="000000" w:sz="4" w:space="0"/>
              <w:left w:val="single" w:color="000000" w:sz="4" w:space="0"/>
              <w:bottom w:val="single" w:color="000000" w:sz="4" w:space="0"/>
              <w:right w:val="single" w:color="000000" w:sz="4" w:space="0"/>
            </w:tcBorders>
            <w:shd w:val="clear"/>
            <w:vAlign w:val="center"/>
          </w:tcPr>
          <w:p w14:paraId="1944C5D1">
            <w:pPr>
              <w:jc w:val="center"/>
              <w:rPr>
                <w:rFonts w:hint="eastAsia" w:ascii="宋体" w:hAnsi="宋体" w:eastAsia="宋体" w:cs="宋体"/>
                <w:i w:val="0"/>
                <w:iCs w:val="0"/>
                <w:color w:val="000000"/>
                <w:sz w:val="24"/>
                <w:szCs w:val="24"/>
                <w:u w:val="none"/>
              </w:rPr>
            </w:pPr>
          </w:p>
        </w:tc>
      </w:tr>
      <w:tr w14:paraId="694F3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00" w:hRule="atLeast"/>
        </w:trPr>
        <w:tc>
          <w:tcPr>
            <w:tcW w:w="26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9121751">
            <w:pPr>
              <w:jc w:val="center"/>
              <w:rPr>
                <w:rFonts w:hint="eastAsia" w:ascii="宋体" w:hAnsi="宋体" w:eastAsia="宋体" w:cs="宋体"/>
                <w:b/>
                <w:bCs/>
                <w:i w:val="0"/>
                <w:iCs w:val="0"/>
                <w:color w:val="000000"/>
                <w:sz w:val="24"/>
                <w:szCs w:val="24"/>
                <w:u w:val="none"/>
              </w:rPr>
            </w:pPr>
          </w:p>
        </w:tc>
        <w:tc>
          <w:tcPr>
            <w:tcW w:w="458" w:type="pct"/>
            <w:gridSpan w:val="2"/>
            <w:tcBorders>
              <w:top w:val="single" w:color="000000" w:sz="4" w:space="0"/>
              <w:left w:val="single" w:color="000000" w:sz="4" w:space="0"/>
              <w:bottom w:val="single" w:color="000000" w:sz="4" w:space="0"/>
              <w:right w:val="single" w:color="000000" w:sz="4" w:space="0"/>
            </w:tcBorders>
            <w:shd w:val="clear"/>
            <w:vAlign w:val="center"/>
          </w:tcPr>
          <w:p w14:paraId="179023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被评价部门配合度</w:t>
            </w:r>
          </w:p>
        </w:tc>
        <w:tc>
          <w:tcPr>
            <w:tcW w:w="195" w:type="pct"/>
            <w:tcBorders>
              <w:top w:val="single" w:color="000000" w:sz="4" w:space="0"/>
              <w:left w:val="single" w:color="000000" w:sz="4" w:space="0"/>
              <w:bottom w:val="single" w:color="000000" w:sz="4" w:space="0"/>
              <w:right w:val="single" w:color="000000" w:sz="4" w:space="0"/>
            </w:tcBorders>
            <w:shd w:val="clear"/>
            <w:vAlign w:val="center"/>
          </w:tcPr>
          <w:p w14:paraId="0CFDF2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w:t>
            </w:r>
          </w:p>
        </w:tc>
        <w:tc>
          <w:tcPr>
            <w:tcW w:w="262" w:type="pct"/>
            <w:tcBorders>
              <w:top w:val="single" w:color="000000" w:sz="4" w:space="0"/>
              <w:left w:val="single" w:color="000000" w:sz="4" w:space="0"/>
              <w:bottom w:val="single" w:color="000000" w:sz="4" w:space="0"/>
              <w:right w:val="single" w:color="000000" w:sz="4" w:space="0"/>
            </w:tcBorders>
            <w:shd w:val="clear"/>
            <w:vAlign w:val="center"/>
          </w:tcPr>
          <w:p w14:paraId="1AB49E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被评价对象工作配合情况</w:t>
            </w:r>
          </w:p>
        </w:tc>
        <w:tc>
          <w:tcPr>
            <w:tcW w:w="329" w:type="pct"/>
            <w:tcBorders>
              <w:top w:val="single" w:color="000000" w:sz="4" w:space="0"/>
              <w:left w:val="single" w:color="000000" w:sz="4" w:space="0"/>
              <w:bottom w:val="single" w:color="000000" w:sz="4" w:space="0"/>
              <w:right w:val="single" w:color="000000" w:sz="4" w:space="0"/>
            </w:tcBorders>
            <w:shd w:val="clear"/>
            <w:vAlign w:val="center"/>
          </w:tcPr>
          <w:p w14:paraId="46F62D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缺（错）项</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扣分法</w:t>
            </w:r>
          </w:p>
        </w:tc>
        <w:tc>
          <w:tcPr>
            <w:tcW w:w="3193" w:type="pct"/>
            <w:tcBorders>
              <w:top w:val="single" w:color="000000" w:sz="4" w:space="0"/>
              <w:left w:val="single" w:color="000000" w:sz="4" w:space="0"/>
              <w:bottom w:val="single" w:color="000000" w:sz="4" w:space="0"/>
              <w:right w:val="single" w:color="000000" w:sz="4" w:space="0"/>
            </w:tcBorders>
            <w:shd w:val="clear"/>
            <w:vAlign w:val="center"/>
          </w:tcPr>
          <w:p w14:paraId="6FEA32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评价工作开展过程中，被评价对象拖延推诿、提交资料不及时等拒不配合评价工作的，每发现一次扣1分，扣完为止。</w:t>
            </w:r>
          </w:p>
        </w:tc>
        <w:tc>
          <w:tcPr>
            <w:tcW w:w="296" w:type="pct"/>
            <w:tcBorders>
              <w:top w:val="single" w:color="000000" w:sz="4" w:space="0"/>
              <w:left w:val="single" w:color="000000" w:sz="4" w:space="0"/>
              <w:bottom w:val="single" w:color="000000" w:sz="4" w:space="0"/>
              <w:right w:val="single" w:color="000000" w:sz="4" w:space="0"/>
            </w:tcBorders>
            <w:shd w:val="clear"/>
            <w:vAlign w:val="center"/>
          </w:tcPr>
          <w:p w14:paraId="2E012CC4">
            <w:pPr>
              <w:jc w:val="center"/>
              <w:rPr>
                <w:rFonts w:hint="eastAsia" w:ascii="宋体" w:hAnsi="宋体" w:eastAsia="宋体" w:cs="宋体"/>
                <w:i w:val="0"/>
                <w:iCs w:val="0"/>
                <w:color w:val="000000"/>
                <w:sz w:val="24"/>
                <w:szCs w:val="24"/>
                <w:u w:val="none"/>
              </w:rPr>
            </w:pPr>
          </w:p>
        </w:tc>
      </w:tr>
      <w:tr w14:paraId="1B2D5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trPr>
        <w:tc>
          <w:tcPr>
            <w:tcW w:w="263" w:type="pct"/>
            <w:tcBorders>
              <w:top w:val="nil"/>
              <w:left w:val="nil"/>
              <w:bottom w:val="nil"/>
              <w:right w:val="nil"/>
            </w:tcBorders>
            <w:shd w:val="clear"/>
            <w:vAlign w:val="center"/>
          </w:tcPr>
          <w:p w14:paraId="684308F5">
            <w:pPr>
              <w:jc w:val="center"/>
              <w:rPr>
                <w:rFonts w:hint="eastAsia" w:ascii="宋体" w:hAnsi="宋体" w:eastAsia="宋体" w:cs="宋体"/>
                <w:b/>
                <w:bCs/>
                <w:i w:val="0"/>
                <w:iCs w:val="0"/>
                <w:color w:val="000000"/>
                <w:sz w:val="24"/>
                <w:szCs w:val="24"/>
                <w:u w:val="none"/>
              </w:rPr>
            </w:pPr>
          </w:p>
        </w:tc>
        <w:tc>
          <w:tcPr>
            <w:tcW w:w="263" w:type="pct"/>
            <w:tcBorders>
              <w:top w:val="nil"/>
              <w:left w:val="nil"/>
              <w:bottom w:val="nil"/>
              <w:right w:val="nil"/>
            </w:tcBorders>
            <w:shd w:val="clear"/>
            <w:vAlign w:val="center"/>
          </w:tcPr>
          <w:p w14:paraId="3D048E8B">
            <w:pPr>
              <w:jc w:val="center"/>
              <w:rPr>
                <w:rFonts w:hint="eastAsia" w:ascii="宋体" w:hAnsi="宋体" w:eastAsia="宋体" w:cs="宋体"/>
                <w:i w:val="0"/>
                <w:iCs w:val="0"/>
                <w:color w:val="000000"/>
                <w:sz w:val="24"/>
                <w:szCs w:val="24"/>
                <w:u w:val="none"/>
              </w:rPr>
            </w:pPr>
          </w:p>
        </w:tc>
        <w:tc>
          <w:tcPr>
            <w:tcW w:w="194" w:type="pct"/>
            <w:tcBorders>
              <w:top w:val="nil"/>
              <w:left w:val="nil"/>
              <w:bottom w:val="nil"/>
              <w:right w:val="nil"/>
            </w:tcBorders>
            <w:shd w:val="clear"/>
            <w:vAlign w:val="center"/>
          </w:tcPr>
          <w:p w14:paraId="37FABA52">
            <w:pPr>
              <w:jc w:val="center"/>
              <w:rPr>
                <w:rFonts w:hint="eastAsia" w:ascii="宋体" w:hAnsi="宋体" w:eastAsia="宋体" w:cs="宋体"/>
                <w:i w:val="0"/>
                <w:iCs w:val="0"/>
                <w:color w:val="000000"/>
                <w:sz w:val="24"/>
                <w:szCs w:val="24"/>
                <w:u w:val="none"/>
              </w:rPr>
            </w:pPr>
          </w:p>
        </w:tc>
        <w:tc>
          <w:tcPr>
            <w:tcW w:w="195" w:type="pct"/>
            <w:tcBorders>
              <w:top w:val="nil"/>
              <w:left w:val="nil"/>
              <w:bottom w:val="nil"/>
              <w:right w:val="nil"/>
            </w:tcBorders>
            <w:shd w:val="clear"/>
            <w:vAlign w:val="center"/>
          </w:tcPr>
          <w:p w14:paraId="786A0ACF">
            <w:pPr>
              <w:jc w:val="center"/>
              <w:rPr>
                <w:rFonts w:hint="eastAsia" w:ascii="宋体" w:hAnsi="宋体" w:eastAsia="宋体" w:cs="宋体"/>
                <w:i w:val="0"/>
                <w:iCs w:val="0"/>
                <w:color w:val="000000"/>
                <w:sz w:val="24"/>
                <w:szCs w:val="24"/>
                <w:u w:val="none"/>
              </w:rPr>
            </w:pPr>
          </w:p>
        </w:tc>
        <w:tc>
          <w:tcPr>
            <w:tcW w:w="262" w:type="pct"/>
            <w:tcBorders>
              <w:top w:val="nil"/>
              <w:left w:val="nil"/>
              <w:bottom w:val="nil"/>
              <w:right w:val="nil"/>
            </w:tcBorders>
            <w:shd w:val="clear"/>
            <w:vAlign w:val="center"/>
          </w:tcPr>
          <w:p w14:paraId="1AC20B45">
            <w:pPr>
              <w:jc w:val="left"/>
              <w:rPr>
                <w:rFonts w:hint="eastAsia" w:ascii="宋体" w:hAnsi="宋体" w:eastAsia="宋体" w:cs="宋体"/>
                <w:i w:val="0"/>
                <w:iCs w:val="0"/>
                <w:color w:val="000000"/>
                <w:sz w:val="24"/>
                <w:szCs w:val="24"/>
                <w:u w:val="none"/>
              </w:rPr>
            </w:pPr>
          </w:p>
        </w:tc>
        <w:tc>
          <w:tcPr>
            <w:tcW w:w="329" w:type="pct"/>
            <w:tcBorders>
              <w:top w:val="nil"/>
              <w:left w:val="nil"/>
              <w:bottom w:val="nil"/>
              <w:right w:val="nil"/>
            </w:tcBorders>
            <w:shd w:val="clear"/>
            <w:vAlign w:val="center"/>
          </w:tcPr>
          <w:p w14:paraId="70CBE946">
            <w:pPr>
              <w:jc w:val="center"/>
              <w:rPr>
                <w:rFonts w:hint="eastAsia" w:ascii="宋体" w:hAnsi="宋体" w:eastAsia="宋体" w:cs="宋体"/>
                <w:i w:val="0"/>
                <w:iCs w:val="0"/>
                <w:color w:val="000000"/>
                <w:sz w:val="24"/>
                <w:szCs w:val="24"/>
                <w:u w:val="none"/>
              </w:rPr>
            </w:pPr>
          </w:p>
        </w:tc>
        <w:tc>
          <w:tcPr>
            <w:tcW w:w="3193" w:type="pct"/>
            <w:tcBorders>
              <w:top w:val="nil"/>
              <w:left w:val="nil"/>
              <w:bottom w:val="nil"/>
              <w:right w:val="nil"/>
            </w:tcBorders>
            <w:shd w:val="clear"/>
            <w:vAlign w:val="center"/>
          </w:tcPr>
          <w:p w14:paraId="503CF18F">
            <w:pPr>
              <w:jc w:val="left"/>
              <w:rPr>
                <w:rFonts w:hint="eastAsia" w:ascii="宋体" w:hAnsi="宋体" w:eastAsia="宋体" w:cs="宋体"/>
                <w:i w:val="0"/>
                <w:iCs w:val="0"/>
                <w:color w:val="000000"/>
                <w:sz w:val="24"/>
                <w:szCs w:val="24"/>
                <w:u w:val="none"/>
              </w:rPr>
            </w:pPr>
          </w:p>
        </w:tc>
        <w:tc>
          <w:tcPr>
            <w:tcW w:w="296" w:type="pct"/>
            <w:tcBorders>
              <w:top w:val="nil"/>
              <w:left w:val="nil"/>
              <w:bottom w:val="nil"/>
              <w:right w:val="nil"/>
            </w:tcBorders>
            <w:shd w:val="clear"/>
            <w:vAlign w:val="center"/>
          </w:tcPr>
          <w:p w14:paraId="311EB36A">
            <w:pPr>
              <w:jc w:val="center"/>
              <w:rPr>
                <w:rFonts w:hint="eastAsia" w:ascii="宋体" w:hAnsi="宋体" w:eastAsia="宋体" w:cs="宋体"/>
                <w:i w:val="0"/>
                <w:iCs w:val="0"/>
                <w:color w:val="000000"/>
                <w:sz w:val="24"/>
                <w:szCs w:val="24"/>
                <w:u w:val="none"/>
              </w:rPr>
            </w:pPr>
          </w:p>
        </w:tc>
      </w:tr>
      <w:tr w14:paraId="5AE94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12" w:hRule="atLeast"/>
        </w:trPr>
        <w:tc>
          <w:tcPr>
            <w:tcW w:w="263" w:type="pct"/>
            <w:tcBorders>
              <w:top w:val="nil"/>
              <w:left w:val="nil"/>
              <w:bottom w:val="nil"/>
              <w:right w:val="nil"/>
            </w:tcBorders>
            <w:shd w:val="clear"/>
            <w:noWrap/>
            <w:vAlign w:val="center"/>
          </w:tcPr>
          <w:p w14:paraId="68F9C860">
            <w:pPr>
              <w:rPr>
                <w:rFonts w:hint="eastAsia" w:ascii="宋体" w:hAnsi="宋体" w:eastAsia="宋体" w:cs="宋体"/>
                <w:i w:val="0"/>
                <w:iCs w:val="0"/>
                <w:color w:val="000000"/>
                <w:sz w:val="22"/>
                <w:szCs w:val="22"/>
                <w:u w:val="none"/>
              </w:rPr>
            </w:pPr>
          </w:p>
        </w:tc>
        <w:tc>
          <w:tcPr>
            <w:tcW w:w="263" w:type="pct"/>
            <w:tcBorders>
              <w:top w:val="nil"/>
              <w:left w:val="nil"/>
              <w:bottom w:val="nil"/>
              <w:right w:val="nil"/>
            </w:tcBorders>
            <w:shd w:val="clear"/>
            <w:noWrap/>
            <w:vAlign w:val="center"/>
          </w:tcPr>
          <w:p w14:paraId="249B59DD">
            <w:pPr>
              <w:rPr>
                <w:rFonts w:hint="eastAsia" w:ascii="宋体" w:hAnsi="宋体" w:eastAsia="宋体" w:cs="宋体"/>
                <w:i w:val="0"/>
                <w:iCs w:val="0"/>
                <w:color w:val="000000"/>
                <w:sz w:val="22"/>
                <w:szCs w:val="22"/>
                <w:u w:val="none"/>
              </w:rPr>
            </w:pPr>
          </w:p>
        </w:tc>
        <w:tc>
          <w:tcPr>
            <w:tcW w:w="194" w:type="pct"/>
            <w:tcBorders>
              <w:top w:val="nil"/>
              <w:left w:val="nil"/>
              <w:bottom w:val="nil"/>
              <w:right w:val="nil"/>
            </w:tcBorders>
            <w:shd w:val="clear"/>
            <w:noWrap/>
            <w:vAlign w:val="center"/>
          </w:tcPr>
          <w:p w14:paraId="56E64E8D">
            <w:pPr>
              <w:rPr>
                <w:rFonts w:hint="eastAsia" w:ascii="宋体" w:hAnsi="宋体" w:eastAsia="宋体" w:cs="宋体"/>
                <w:i w:val="0"/>
                <w:iCs w:val="0"/>
                <w:color w:val="000000"/>
                <w:sz w:val="22"/>
                <w:szCs w:val="22"/>
                <w:u w:val="none"/>
              </w:rPr>
            </w:pPr>
          </w:p>
        </w:tc>
        <w:tc>
          <w:tcPr>
            <w:tcW w:w="195" w:type="pct"/>
            <w:tcBorders>
              <w:top w:val="nil"/>
              <w:left w:val="nil"/>
              <w:bottom w:val="nil"/>
              <w:right w:val="nil"/>
            </w:tcBorders>
            <w:shd w:val="clear"/>
            <w:noWrap/>
            <w:vAlign w:val="center"/>
          </w:tcPr>
          <w:p w14:paraId="6FE04E2C">
            <w:pPr>
              <w:rPr>
                <w:rFonts w:hint="eastAsia" w:ascii="宋体" w:hAnsi="宋体" w:eastAsia="宋体" w:cs="宋体"/>
                <w:i w:val="0"/>
                <w:iCs w:val="0"/>
                <w:color w:val="000000"/>
                <w:sz w:val="22"/>
                <w:szCs w:val="22"/>
                <w:u w:val="none"/>
              </w:rPr>
            </w:pPr>
          </w:p>
        </w:tc>
        <w:tc>
          <w:tcPr>
            <w:tcW w:w="262" w:type="pct"/>
            <w:tcBorders>
              <w:top w:val="nil"/>
              <w:left w:val="nil"/>
              <w:bottom w:val="nil"/>
              <w:right w:val="nil"/>
            </w:tcBorders>
            <w:shd w:val="clear"/>
            <w:noWrap/>
            <w:vAlign w:val="center"/>
          </w:tcPr>
          <w:p w14:paraId="6969F136">
            <w:pPr>
              <w:rPr>
                <w:rFonts w:hint="eastAsia" w:ascii="宋体" w:hAnsi="宋体" w:eastAsia="宋体" w:cs="宋体"/>
                <w:i w:val="0"/>
                <w:iCs w:val="0"/>
                <w:color w:val="000000"/>
                <w:sz w:val="22"/>
                <w:szCs w:val="22"/>
                <w:u w:val="none"/>
              </w:rPr>
            </w:pPr>
          </w:p>
        </w:tc>
        <w:tc>
          <w:tcPr>
            <w:tcW w:w="329" w:type="pct"/>
            <w:tcBorders>
              <w:top w:val="nil"/>
              <w:left w:val="nil"/>
              <w:bottom w:val="nil"/>
              <w:right w:val="nil"/>
            </w:tcBorders>
            <w:shd w:val="clear"/>
            <w:noWrap/>
            <w:vAlign w:val="center"/>
          </w:tcPr>
          <w:p w14:paraId="15B9AD0C">
            <w:pPr>
              <w:rPr>
                <w:rFonts w:hint="eastAsia" w:ascii="宋体" w:hAnsi="宋体" w:eastAsia="宋体" w:cs="宋体"/>
                <w:i w:val="0"/>
                <w:iCs w:val="0"/>
                <w:color w:val="000000"/>
                <w:sz w:val="22"/>
                <w:szCs w:val="22"/>
                <w:u w:val="none"/>
              </w:rPr>
            </w:pPr>
          </w:p>
        </w:tc>
        <w:tc>
          <w:tcPr>
            <w:tcW w:w="3193" w:type="pct"/>
            <w:tcBorders>
              <w:top w:val="nil"/>
              <w:left w:val="nil"/>
              <w:bottom w:val="nil"/>
              <w:right w:val="nil"/>
            </w:tcBorders>
            <w:shd w:val="clear"/>
            <w:noWrap/>
            <w:vAlign w:val="center"/>
          </w:tcPr>
          <w:p w14:paraId="164BB2DC">
            <w:pPr>
              <w:rPr>
                <w:rFonts w:hint="eastAsia" w:ascii="宋体" w:hAnsi="宋体" w:eastAsia="宋体" w:cs="宋体"/>
                <w:i w:val="0"/>
                <w:iCs w:val="0"/>
                <w:color w:val="000000"/>
                <w:sz w:val="22"/>
                <w:szCs w:val="22"/>
                <w:u w:val="none"/>
              </w:rPr>
            </w:pPr>
          </w:p>
        </w:tc>
        <w:tc>
          <w:tcPr>
            <w:tcW w:w="296" w:type="pct"/>
            <w:tcBorders>
              <w:top w:val="nil"/>
              <w:left w:val="nil"/>
              <w:bottom w:val="nil"/>
              <w:right w:val="nil"/>
            </w:tcBorders>
            <w:shd w:val="clear"/>
            <w:vAlign w:val="center"/>
          </w:tcPr>
          <w:p w14:paraId="58BFE310">
            <w:pPr>
              <w:jc w:val="center"/>
              <w:rPr>
                <w:rFonts w:hint="eastAsia" w:ascii="宋体" w:hAnsi="宋体" w:eastAsia="宋体" w:cs="宋体"/>
                <w:i w:val="0"/>
                <w:iCs w:val="0"/>
                <w:color w:val="000000"/>
                <w:sz w:val="24"/>
                <w:szCs w:val="24"/>
                <w:u w:val="none"/>
              </w:rPr>
            </w:pPr>
          </w:p>
        </w:tc>
      </w:tr>
      <w:tr w14:paraId="38F3F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263" w:type="pct"/>
            <w:tcBorders>
              <w:top w:val="nil"/>
              <w:left w:val="nil"/>
              <w:bottom w:val="nil"/>
              <w:right w:val="nil"/>
            </w:tcBorders>
            <w:shd w:val="clear"/>
            <w:noWrap/>
            <w:vAlign w:val="center"/>
          </w:tcPr>
          <w:p w14:paraId="672491DE">
            <w:pPr>
              <w:rPr>
                <w:rFonts w:hint="eastAsia" w:ascii="宋体" w:hAnsi="宋体" w:eastAsia="宋体" w:cs="宋体"/>
                <w:i w:val="0"/>
                <w:iCs w:val="0"/>
                <w:color w:val="000000"/>
                <w:sz w:val="22"/>
                <w:szCs w:val="22"/>
                <w:u w:val="none"/>
              </w:rPr>
            </w:pPr>
          </w:p>
        </w:tc>
        <w:tc>
          <w:tcPr>
            <w:tcW w:w="263" w:type="pct"/>
            <w:tcBorders>
              <w:top w:val="nil"/>
              <w:left w:val="nil"/>
              <w:bottom w:val="nil"/>
              <w:right w:val="nil"/>
            </w:tcBorders>
            <w:shd w:val="clear"/>
            <w:noWrap/>
            <w:vAlign w:val="center"/>
          </w:tcPr>
          <w:p w14:paraId="0221AA05">
            <w:pPr>
              <w:rPr>
                <w:rFonts w:hint="eastAsia" w:ascii="宋体" w:hAnsi="宋体" w:eastAsia="宋体" w:cs="宋体"/>
                <w:i w:val="0"/>
                <w:iCs w:val="0"/>
                <w:color w:val="000000"/>
                <w:sz w:val="22"/>
                <w:szCs w:val="22"/>
                <w:u w:val="none"/>
              </w:rPr>
            </w:pPr>
          </w:p>
        </w:tc>
        <w:tc>
          <w:tcPr>
            <w:tcW w:w="194" w:type="pct"/>
            <w:tcBorders>
              <w:top w:val="nil"/>
              <w:left w:val="nil"/>
              <w:bottom w:val="nil"/>
              <w:right w:val="nil"/>
            </w:tcBorders>
            <w:shd w:val="clear"/>
            <w:noWrap/>
            <w:vAlign w:val="center"/>
          </w:tcPr>
          <w:p w14:paraId="37F71C0D">
            <w:pPr>
              <w:rPr>
                <w:rFonts w:hint="eastAsia" w:ascii="宋体" w:hAnsi="宋体" w:eastAsia="宋体" w:cs="宋体"/>
                <w:i w:val="0"/>
                <w:iCs w:val="0"/>
                <w:color w:val="000000"/>
                <w:sz w:val="22"/>
                <w:szCs w:val="22"/>
                <w:u w:val="none"/>
              </w:rPr>
            </w:pPr>
          </w:p>
        </w:tc>
        <w:tc>
          <w:tcPr>
            <w:tcW w:w="195" w:type="pct"/>
            <w:tcBorders>
              <w:top w:val="nil"/>
              <w:left w:val="nil"/>
              <w:bottom w:val="nil"/>
              <w:right w:val="nil"/>
            </w:tcBorders>
            <w:shd w:val="clear"/>
            <w:noWrap/>
            <w:vAlign w:val="center"/>
          </w:tcPr>
          <w:p w14:paraId="22091B83">
            <w:pPr>
              <w:rPr>
                <w:rFonts w:hint="eastAsia" w:ascii="宋体" w:hAnsi="宋体" w:eastAsia="宋体" w:cs="宋体"/>
                <w:i w:val="0"/>
                <w:iCs w:val="0"/>
                <w:color w:val="000000"/>
                <w:sz w:val="22"/>
                <w:szCs w:val="22"/>
                <w:u w:val="none"/>
              </w:rPr>
            </w:pPr>
          </w:p>
        </w:tc>
        <w:tc>
          <w:tcPr>
            <w:tcW w:w="262" w:type="pct"/>
            <w:tcBorders>
              <w:top w:val="nil"/>
              <w:left w:val="nil"/>
              <w:bottom w:val="nil"/>
              <w:right w:val="nil"/>
            </w:tcBorders>
            <w:shd w:val="clear"/>
            <w:noWrap/>
            <w:vAlign w:val="center"/>
          </w:tcPr>
          <w:p w14:paraId="4EEEB440">
            <w:pPr>
              <w:rPr>
                <w:rFonts w:hint="eastAsia" w:ascii="宋体" w:hAnsi="宋体" w:eastAsia="宋体" w:cs="宋体"/>
                <w:i w:val="0"/>
                <w:iCs w:val="0"/>
                <w:color w:val="000000"/>
                <w:sz w:val="22"/>
                <w:szCs w:val="22"/>
                <w:u w:val="none"/>
              </w:rPr>
            </w:pPr>
          </w:p>
        </w:tc>
        <w:tc>
          <w:tcPr>
            <w:tcW w:w="329" w:type="pct"/>
            <w:tcBorders>
              <w:top w:val="nil"/>
              <w:left w:val="nil"/>
              <w:bottom w:val="nil"/>
              <w:right w:val="nil"/>
            </w:tcBorders>
            <w:shd w:val="clear"/>
            <w:noWrap/>
            <w:vAlign w:val="center"/>
          </w:tcPr>
          <w:p w14:paraId="4B5AB541">
            <w:pPr>
              <w:rPr>
                <w:rFonts w:hint="eastAsia" w:ascii="宋体" w:hAnsi="宋体" w:eastAsia="宋体" w:cs="宋体"/>
                <w:i w:val="0"/>
                <w:iCs w:val="0"/>
                <w:color w:val="000000"/>
                <w:sz w:val="22"/>
                <w:szCs w:val="22"/>
                <w:u w:val="none"/>
              </w:rPr>
            </w:pPr>
          </w:p>
        </w:tc>
        <w:tc>
          <w:tcPr>
            <w:tcW w:w="3193" w:type="pct"/>
            <w:tcBorders>
              <w:top w:val="nil"/>
              <w:left w:val="nil"/>
              <w:bottom w:val="nil"/>
              <w:right w:val="nil"/>
            </w:tcBorders>
            <w:shd w:val="clear"/>
            <w:noWrap/>
            <w:vAlign w:val="center"/>
          </w:tcPr>
          <w:p w14:paraId="6239E828">
            <w:pPr>
              <w:rPr>
                <w:rFonts w:hint="eastAsia" w:ascii="宋体" w:hAnsi="宋体" w:eastAsia="宋体" w:cs="宋体"/>
                <w:i w:val="0"/>
                <w:iCs w:val="0"/>
                <w:color w:val="000000"/>
                <w:sz w:val="22"/>
                <w:szCs w:val="22"/>
                <w:u w:val="none"/>
              </w:rPr>
            </w:pPr>
          </w:p>
        </w:tc>
        <w:tc>
          <w:tcPr>
            <w:tcW w:w="296" w:type="pct"/>
            <w:tcBorders>
              <w:top w:val="nil"/>
              <w:left w:val="nil"/>
              <w:bottom w:val="nil"/>
              <w:right w:val="nil"/>
            </w:tcBorders>
            <w:shd w:val="clear"/>
            <w:vAlign w:val="center"/>
          </w:tcPr>
          <w:p w14:paraId="226F51CB">
            <w:pPr>
              <w:jc w:val="center"/>
              <w:rPr>
                <w:rFonts w:hint="eastAsia" w:ascii="宋体" w:hAnsi="宋体" w:eastAsia="宋体" w:cs="宋体"/>
                <w:i w:val="0"/>
                <w:iCs w:val="0"/>
                <w:color w:val="000000"/>
                <w:sz w:val="24"/>
                <w:szCs w:val="24"/>
                <w:u w:val="none"/>
              </w:rPr>
            </w:pPr>
          </w:p>
        </w:tc>
      </w:tr>
      <w:tr w14:paraId="42A33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0" w:hRule="atLeast"/>
        </w:trPr>
        <w:tc>
          <w:tcPr>
            <w:tcW w:w="263" w:type="pct"/>
            <w:tcBorders>
              <w:top w:val="nil"/>
              <w:left w:val="nil"/>
              <w:bottom w:val="nil"/>
              <w:right w:val="nil"/>
            </w:tcBorders>
            <w:shd w:val="clear"/>
            <w:noWrap/>
            <w:vAlign w:val="center"/>
          </w:tcPr>
          <w:p w14:paraId="2F4C48BF">
            <w:pPr>
              <w:rPr>
                <w:rFonts w:hint="eastAsia" w:ascii="宋体" w:hAnsi="宋体" w:eastAsia="宋体" w:cs="宋体"/>
                <w:i w:val="0"/>
                <w:iCs w:val="0"/>
                <w:color w:val="000000"/>
                <w:sz w:val="22"/>
                <w:szCs w:val="22"/>
                <w:u w:val="none"/>
              </w:rPr>
            </w:pPr>
          </w:p>
        </w:tc>
        <w:tc>
          <w:tcPr>
            <w:tcW w:w="263" w:type="pct"/>
            <w:tcBorders>
              <w:top w:val="nil"/>
              <w:left w:val="nil"/>
              <w:bottom w:val="nil"/>
              <w:right w:val="nil"/>
            </w:tcBorders>
            <w:shd w:val="clear"/>
            <w:noWrap/>
            <w:vAlign w:val="center"/>
          </w:tcPr>
          <w:p w14:paraId="0B4FD63D">
            <w:pPr>
              <w:rPr>
                <w:rFonts w:hint="eastAsia" w:ascii="宋体" w:hAnsi="宋体" w:eastAsia="宋体" w:cs="宋体"/>
                <w:i w:val="0"/>
                <w:iCs w:val="0"/>
                <w:color w:val="000000"/>
                <w:sz w:val="22"/>
                <w:szCs w:val="22"/>
                <w:u w:val="none"/>
              </w:rPr>
            </w:pPr>
          </w:p>
        </w:tc>
        <w:tc>
          <w:tcPr>
            <w:tcW w:w="194" w:type="pct"/>
            <w:tcBorders>
              <w:top w:val="nil"/>
              <w:left w:val="nil"/>
              <w:bottom w:val="nil"/>
              <w:right w:val="nil"/>
            </w:tcBorders>
            <w:shd w:val="clear"/>
            <w:noWrap/>
            <w:vAlign w:val="center"/>
          </w:tcPr>
          <w:p w14:paraId="0051D930">
            <w:pPr>
              <w:rPr>
                <w:rFonts w:hint="eastAsia" w:ascii="宋体" w:hAnsi="宋体" w:eastAsia="宋体" w:cs="宋体"/>
                <w:i w:val="0"/>
                <w:iCs w:val="0"/>
                <w:color w:val="000000"/>
                <w:sz w:val="22"/>
                <w:szCs w:val="22"/>
                <w:u w:val="none"/>
              </w:rPr>
            </w:pPr>
          </w:p>
        </w:tc>
        <w:tc>
          <w:tcPr>
            <w:tcW w:w="195" w:type="pct"/>
            <w:tcBorders>
              <w:top w:val="nil"/>
              <w:left w:val="nil"/>
              <w:bottom w:val="nil"/>
              <w:right w:val="nil"/>
            </w:tcBorders>
            <w:shd w:val="clear"/>
            <w:noWrap/>
            <w:vAlign w:val="center"/>
          </w:tcPr>
          <w:p w14:paraId="32964C1A">
            <w:pPr>
              <w:rPr>
                <w:rFonts w:hint="eastAsia" w:ascii="宋体" w:hAnsi="宋体" w:eastAsia="宋体" w:cs="宋体"/>
                <w:i w:val="0"/>
                <w:iCs w:val="0"/>
                <w:color w:val="000000"/>
                <w:sz w:val="22"/>
                <w:szCs w:val="22"/>
                <w:u w:val="none"/>
              </w:rPr>
            </w:pPr>
          </w:p>
        </w:tc>
        <w:tc>
          <w:tcPr>
            <w:tcW w:w="262" w:type="pct"/>
            <w:tcBorders>
              <w:top w:val="nil"/>
              <w:left w:val="nil"/>
              <w:bottom w:val="nil"/>
              <w:right w:val="nil"/>
            </w:tcBorders>
            <w:shd w:val="clear"/>
            <w:noWrap/>
            <w:vAlign w:val="center"/>
          </w:tcPr>
          <w:p w14:paraId="05D20442">
            <w:pPr>
              <w:rPr>
                <w:rFonts w:hint="eastAsia" w:ascii="宋体" w:hAnsi="宋体" w:eastAsia="宋体" w:cs="宋体"/>
                <w:i w:val="0"/>
                <w:iCs w:val="0"/>
                <w:color w:val="000000"/>
                <w:sz w:val="22"/>
                <w:szCs w:val="22"/>
                <w:u w:val="none"/>
              </w:rPr>
            </w:pPr>
          </w:p>
        </w:tc>
        <w:tc>
          <w:tcPr>
            <w:tcW w:w="329" w:type="pct"/>
            <w:tcBorders>
              <w:top w:val="nil"/>
              <w:left w:val="nil"/>
              <w:bottom w:val="nil"/>
              <w:right w:val="nil"/>
            </w:tcBorders>
            <w:shd w:val="clear"/>
            <w:noWrap/>
            <w:vAlign w:val="center"/>
          </w:tcPr>
          <w:p w14:paraId="7331DECD">
            <w:pPr>
              <w:rPr>
                <w:rFonts w:hint="eastAsia" w:ascii="宋体" w:hAnsi="宋体" w:eastAsia="宋体" w:cs="宋体"/>
                <w:i w:val="0"/>
                <w:iCs w:val="0"/>
                <w:color w:val="000000"/>
                <w:sz w:val="22"/>
                <w:szCs w:val="22"/>
                <w:u w:val="none"/>
              </w:rPr>
            </w:pPr>
          </w:p>
        </w:tc>
        <w:tc>
          <w:tcPr>
            <w:tcW w:w="3193" w:type="pct"/>
            <w:tcBorders>
              <w:top w:val="nil"/>
              <w:left w:val="nil"/>
              <w:bottom w:val="nil"/>
              <w:right w:val="nil"/>
            </w:tcBorders>
            <w:shd w:val="clear"/>
            <w:noWrap/>
            <w:vAlign w:val="center"/>
          </w:tcPr>
          <w:p w14:paraId="65FDAD19">
            <w:pPr>
              <w:rPr>
                <w:rFonts w:hint="eastAsia" w:ascii="宋体" w:hAnsi="宋体" w:eastAsia="宋体" w:cs="宋体"/>
                <w:i w:val="0"/>
                <w:iCs w:val="0"/>
                <w:color w:val="000000"/>
                <w:sz w:val="22"/>
                <w:szCs w:val="22"/>
                <w:u w:val="none"/>
              </w:rPr>
            </w:pPr>
          </w:p>
        </w:tc>
        <w:tc>
          <w:tcPr>
            <w:tcW w:w="296" w:type="pct"/>
            <w:tcBorders>
              <w:top w:val="nil"/>
              <w:left w:val="nil"/>
              <w:bottom w:val="nil"/>
              <w:right w:val="nil"/>
            </w:tcBorders>
            <w:shd w:val="clear"/>
            <w:vAlign w:val="center"/>
          </w:tcPr>
          <w:p w14:paraId="4D134E93">
            <w:pPr>
              <w:jc w:val="center"/>
              <w:rPr>
                <w:rFonts w:hint="eastAsia" w:ascii="宋体" w:hAnsi="宋体" w:eastAsia="宋体" w:cs="宋体"/>
                <w:i w:val="0"/>
                <w:iCs w:val="0"/>
                <w:color w:val="000000"/>
                <w:sz w:val="24"/>
                <w:szCs w:val="24"/>
                <w:u w:val="none"/>
              </w:rPr>
            </w:pPr>
          </w:p>
        </w:tc>
      </w:tr>
    </w:tbl>
    <w:p w14:paraId="247E13CF">
      <w:pPr>
        <w:pStyle w:val="2"/>
        <w:rPr>
          <w:rFonts w:hint="eastAsia" w:ascii="Times New Roman" w:hAnsi="Times New Roman" w:eastAsia="仿宋_GB2312" w:cs="仿宋_GB2312"/>
          <w:b w:val="0"/>
          <w:bCs w:val="0"/>
          <w:kern w:val="0"/>
          <w:position w:val="0"/>
          <w:sz w:val="32"/>
          <w:szCs w:val="32"/>
          <w:highlight w:val="none"/>
          <w:lang w:val="en-US" w:eastAsia="zh-CN" w:bidi="ar-SA"/>
        </w:rPr>
      </w:pPr>
    </w:p>
    <w:p w14:paraId="0D285D8B">
      <w:pPr>
        <w:pStyle w:val="2"/>
        <w:rPr>
          <w:rFonts w:hint="eastAsia" w:ascii="Times New Roman" w:hAnsi="Times New Roman" w:eastAsia="仿宋_GB2312" w:cs="仿宋_GB2312"/>
          <w:b w:val="0"/>
          <w:bCs w:val="0"/>
          <w:kern w:val="0"/>
          <w:position w:val="0"/>
          <w:sz w:val="32"/>
          <w:szCs w:val="32"/>
          <w:highlight w:val="none"/>
          <w:lang w:val="en-US" w:eastAsia="zh-CN" w:bidi="ar-SA"/>
        </w:rPr>
      </w:pPr>
    </w:p>
    <w:p w14:paraId="1ECEC5A7">
      <w:pPr>
        <w:pStyle w:val="2"/>
        <w:rPr>
          <w:rFonts w:hint="eastAsia" w:ascii="Times New Roman" w:hAnsi="Times New Roman" w:eastAsia="仿宋_GB2312" w:cs="仿宋_GB2312"/>
          <w:b w:val="0"/>
          <w:bCs w:val="0"/>
          <w:kern w:val="0"/>
          <w:position w:val="0"/>
          <w:sz w:val="32"/>
          <w:szCs w:val="32"/>
          <w:highlight w:val="none"/>
          <w:lang w:val="en-US" w:eastAsia="zh-CN" w:bidi="ar-SA"/>
        </w:rPr>
      </w:pPr>
    </w:p>
    <w:p w14:paraId="0A5FFB4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48B7131">
      <w:pPr>
        <w:pStyle w:val="2"/>
        <w:rPr>
          <w:rFonts w:hint="eastAsia" w:ascii="Times New Roman" w:hAnsi="Times New Roman" w:eastAsia="仿宋_GB2312" w:cs="仿宋_GB2312"/>
          <w:b w:val="0"/>
          <w:bCs w:val="0"/>
          <w:kern w:val="0"/>
          <w:position w:val="0"/>
          <w:sz w:val="32"/>
          <w:szCs w:val="32"/>
          <w:highlight w:val="none"/>
          <w:lang w:val="en-US" w:eastAsia="zh-CN" w:bidi="ar-SA"/>
        </w:rPr>
      </w:pPr>
    </w:p>
    <w:p w14:paraId="715826AD">
      <w:pPr>
        <w:pStyle w:val="3"/>
        <w:rPr>
          <w:rFonts w:hint="eastAsia" w:ascii="Times New Roman" w:hAnsi="Times New Roman" w:eastAsia="仿宋_GB2312" w:cs="仿宋_GB2312"/>
          <w:b w:val="0"/>
          <w:bCs w:val="0"/>
          <w:kern w:val="0"/>
          <w:position w:val="0"/>
          <w:sz w:val="32"/>
          <w:szCs w:val="32"/>
          <w:highlight w:val="none"/>
          <w:lang w:val="en-US" w:eastAsia="zh-CN" w:bidi="ar-SA"/>
        </w:rPr>
      </w:pPr>
    </w:p>
    <w:p w14:paraId="2F8CE742">
      <w:pPr>
        <w:pStyle w:val="3"/>
        <w:rPr>
          <w:rFonts w:hint="eastAsia" w:ascii="Times New Roman" w:hAnsi="Times New Roman" w:eastAsia="仿宋_GB2312" w:cs="仿宋_GB2312"/>
          <w:b w:val="0"/>
          <w:bCs w:val="0"/>
          <w:kern w:val="0"/>
          <w:position w:val="0"/>
          <w:sz w:val="32"/>
          <w:szCs w:val="32"/>
          <w:highlight w:val="none"/>
          <w:lang w:val="en-US" w:eastAsia="zh-CN" w:bidi="ar-SA"/>
        </w:rPr>
      </w:pPr>
    </w:p>
    <w:p w14:paraId="37391225">
      <w:pPr>
        <w:widowControl/>
        <w:jc w:val="center"/>
        <w:rPr>
          <w:rFonts w:hint="eastAsia" w:ascii="Times New Roman" w:hAnsi="Times New Roman" w:eastAsia="仿宋"/>
          <w:b w:val="0"/>
          <w:color w:val="auto"/>
          <w:highlight w:val="none"/>
        </w:rPr>
      </w:pPr>
      <w:bookmarkStart w:id="81" w:name="_Toc15396618"/>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77"/>
      <w:bookmarkEnd w:id="81"/>
      <w:bookmarkStart w:id="82" w:name="_Toc15396619"/>
    </w:p>
    <w:p w14:paraId="18A9AB1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21BDD04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82"/>
    </w:p>
    <w:p w14:paraId="2653CB0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3" w:name="_Toc15396620"/>
      <w:r>
        <w:rPr>
          <w:rFonts w:hint="eastAsia" w:ascii="Times New Roman" w:hAnsi="Times New Roman" w:eastAsia="仿宋_GB2312" w:cs="仿宋_GB2312"/>
          <w:color w:val="auto"/>
          <w:sz w:val="32"/>
          <w:szCs w:val="32"/>
          <w:highlight w:val="none"/>
        </w:rPr>
        <w:t>二、收入决算表</w:t>
      </w:r>
      <w:bookmarkEnd w:id="83"/>
    </w:p>
    <w:p w14:paraId="3AC6C27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4" w:name="_Toc15396621"/>
      <w:r>
        <w:rPr>
          <w:rFonts w:hint="eastAsia" w:ascii="Times New Roman" w:hAnsi="Times New Roman" w:eastAsia="仿宋_GB2312" w:cs="仿宋_GB2312"/>
          <w:color w:val="auto"/>
          <w:sz w:val="32"/>
          <w:szCs w:val="32"/>
          <w:highlight w:val="none"/>
        </w:rPr>
        <w:t>三、支出决算表</w:t>
      </w:r>
      <w:bookmarkEnd w:id="84"/>
    </w:p>
    <w:p w14:paraId="159E0B7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5" w:name="_Toc15396622"/>
      <w:r>
        <w:rPr>
          <w:rFonts w:hint="eastAsia" w:ascii="Times New Roman" w:hAnsi="Times New Roman" w:eastAsia="仿宋_GB2312" w:cs="仿宋_GB2312"/>
          <w:color w:val="auto"/>
          <w:sz w:val="32"/>
          <w:szCs w:val="32"/>
          <w:highlight w:val="none"/>
        </w:rPr>
        <w:t>四、财政拨款收入支出决算总表</w:t>
      </w:r>
      <w:bookmarkEnd w:id="85"/>
    </w:p>
    <w:p w14:paraId="5F5150A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6" w:name="_Toc15396623"/>
      <w:r>
        <w:rPr>
          <w:rFonts w:hint="eastAsia" w:ascii="Times New Roman" w:hAnsi="Times New Roman" w:eastAsia="仿宋_GB2312" w:cs="仿宋_GB2312"/>
          <w:color w:val="auto"/>
          <w:sz w:val="32"/>
          <w:szCs w:val="32"/>
          <w:highlight w:val="none"/>
        </w:rPr>
        <w:t>五、财政拨款支出决算明细表</w:t>
      </w:r>
      <w:bookmarkEnd w:id="86"/>
      <w:bookmarkStart w:id="87" w:name="_Toc15396624"/>
    </w:p>
    <w:p w14:paraId="7C8B180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87"/>
    </w:p>
    <w:p w14:paraId="48D7FDA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8" w:name="_Toc15396625"/>
      <w:r>
        <w:rPr>
          <w:rFonts w:hint="eastAsia" w:ascii="Times New Roman" w:hAnsi="Times New Roman" w:eastAsia="仿宋_GB2312" w:cs="仿宋_GB2312"/>
          <w:color w:val="auto"/>
          <w:sz w:val="32"/>
          <w:szCs w:val="32"/>
          <w:highlight w:val="none"/>
        </w:rPr>
        <w:t>七、一般公共预算财政拨款支出决算明细表</w:t>
      </w:r>
      <w:bookmarkEnd w:id="88"/>
    </w:p>
    <w:p w14:paraId="7AB4F44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9" w:name="_Toc15396626"/>
      <w:r>
        <w:rPr>
          <w:rFonts w:hint="eastAsia" w:ascii="Times New Roman" w:hAnsi="Times New Roman" w:eastAsia="仿宋_GB2312" w:cs="仿宋_GB2312"/>
          <w:color w:val="auto"/>
          <w:sz w:val="32"/>
          <w:szCs w:val="32"/>
          <w:highlight w:val="none"/>
        </w:rPr>
        <w:t>八、一般公共预算财政拨款基本支出决算表</w:t>
      </w:r>
      <w:bookmarkEnd w:id="89"/>
    </w:p>
    <w:p w14:paraId="752B413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0" w:name="_Toc15396627"/>
      <w:r>
        <w:rPr>
          <w:rFonts w:hint="eastAsia" w:ascii="Times New Roman" w:hAnsi="Times New Roman" w:eastAsia="仿宋_GB2312" w:cs="仿宋_GB2312"/>
          <w:color w:val="auto"/>
          <w:sz w:val="32"/>
          <w:szCs w:val="32"/>
          <w:highlight w:val="none"/>
        </w:rPr>
        <w:t>九、一般公共预算财政拨款项目支出决算表</w:t>
      </w:r>
      <w:bookmarkEnd w:id="90"/>
    </w:p>
    <w:p w14:paraId="214DF7C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1" w:name="_Toc15396628"/>
      <w:r>
        <w:rPr>
          <w:rFonts w:hint="eastAsia" w:ascii="Times New Roman" w:hAnsi="Times New Roman" w:eastAsia="仿宋_GB2312" w:cs="仿宋_GB2312"/>
          <w:color w:val="auto"/>
          <w:sz w:val="32"/>
          <w:szCs w:val="32"/>
          <w:highlight w:val="none"/>
        </w:rPr>
        <w:t>十、</w:t>
      </w:r>
      <w:bookmarkEnd w:id="91"/>
      <w:r>
        <w:rPr>
          <w:rFonts w:hint="eastAsia" w:ascii="Times New Roman" w:hAnsi="Times New Roman" w:eastAsia="仿宋_GB2312" w:cs="仿宋_GB2312"/>
          <w:color w:val="auto"/>
          <w:sz w:val="32"/>
          <w:szCs w:val="32"/>
          <w:highlight w:val="none"/>
        </w:rPr>
        <w:t>政府性基金预算财政拨款收入支出决算表</w:t>
      </w:r>
    </w:p>
    <w:p w14:paraId="029D670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2" w:name="_Toc15396629"/>
      <w:r>
        <w:rPr>
          <w:rFonts w:hint="eastAsia" w:ascii="Times New Roman" w:hAnsi="Times New Roman" w:eastAsia="仿宋_GB2312" w:cs="仿宋_GB2312"/>
          <w:color w:val="auto"/>
          <w:sz w:val="32"/>
          <w:szCs w:val="32"/>
          <w:highlight w:val="none"/>
        </w:rPr>
        <w:t>十一、</w:t>
      </w:r>
      <w:bookmarkEnd w:id="92"/>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55A95E32">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3" w:name="_Toc15396630"/>
      <w:r>
        <w:rPr>
          <w:rFonts w:hint="eastAsia" w:ascii="Times New Roman" w:hAnsi="Times New Roman" w:eastAsia="仿宋_GB2312" w:cs="仿宋_GB2312"/>
          <w:color w:val="auto"/>
          <w:sz w:val="32"/>
          <w:szCs w:val="32"/>
          <w:highlight w:val="none"/>
        </w:rPr>
        <w:t>十二、</w:t>
      </w:r>
      <w:bookmarkEnd w:id="93"/>
      <w:r>
        <w:rPr>
          <w:rFonts w:hint="eastAsia" w:ascii="Times New Roman" w:hAnsi="Times New Roman" w:eastAsia="仿宋_GB2312" w:cs="仿宋_GB2312"/>
          <w:color w:val="auto"/>
          <w:sz w:val="32"/>
          <w:szCs w:val="32"/>
          <w:highlight w:val="none"/>
          <w:lang w:eastAsia="zh-CN"/>
        </w:rPr>
        <w:t>国有资本经营预算财政拨款支出决算表</w:t>
      </w:r>
    </w:p>
    <w:p w14:paraId="68B2BE0D">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94" w:name="_Toc15396631"/>
      <w:r>
        <w:rPr>
          <w:rFonts w:hint="eastAsia" w:ascii="Times New Roman" w:hAnsi="Times New Roman" w:eastAsia="仿宋_GB2312" w:cs="仿宋_GB2312"/>
          <w:color w:val="auto"/>
          <w:sz w:val="32"/>
          <w:szCs w:val="32"/>
          <w:highlight w:val="none"/>
        </w:rPr>
        <w:t>十三、</w:t>
      </w:r>
      <w:bookmarkEnd w:id="94"/>
      <w:r>
        <w:rPr>
          <w:rFonts w:hint="eastAsia" w:ascii="Times New Roman" w:hAnsi="Times New Roman" w:eastAsia="仿宋_GB2312" w:cs="仿宋_GB2312"/>
          <w:color w:val="auto"/>
          <w:sz w:val="32"/>
          <w:szCs w:val="32"/>
          <w:highlight w:val="none"/>
          <w:lang w:eastAsia="zh-CN"/>
        </w:rPr>
        <w:t>财政拨款“三公”经费支出决算表</w:t>
      </w:r>
    </w:p>
    <w:p w14:paraId="09CE115F">
      <w:pPr>
        <w:rPr>
          <w:rFonts w:hint="eastAsia" w:ascii="Times New Roman" w:hAnsi="Times New Roman"/>
          <w:lang w:eastAsia="zh-CN"/>
        </w:rPr>
      </w:pPr>
    </w:p>
    <w:p w14:paraId="7E2A7AD8">
      <w:pPr>
        <w:pStyle w:val="2"/>
        <w:rPr>
          <w:rFonts w:hint="eastAsia" w:ascii="Times New Roman" w:hAnsi="Times New Roman"/>
          <w:lang w:eastAsia="zh-CN"/>
        </w:rPr>
      </w:pPr>
    </w:p>
    <w:p w14:paraId="4E09DB14">
      <w:pPr>
        <w:pStyle w:val="2"/>
        <w:rPr>
          <w:rFonts w:hint="eastAsia" w:ascii="Times New Roman" w:hAnsi="Times New Roman"/>
          <w:lang w:eastAsia="zh-CN"/>
        </w:rPr>
      </w:pPr>
    </w:p>
    <w:p w14:paraId="33E2DEB7">
      <w:pPr>
        <w:pStyle w:val="2"/>
        <w:rPr>
          <w:rFonts w:hint="eastAsia" w:ascii="Times New Roman" w:hAnsi="Times New Roman"/>
          <w:lang w:eastAsia="zh-CN"/>
        </w:rPr>
      </w:pPr>
    </w:p>
    <w:p w14:paraId="6437FA0A">
      <w:pPr>
        <w:pStyle w:val="3"/>
        <w:rPr>
          <w:rFonts w:hint="eastAsia" w:ascii="Times New Roman" w:hAnsi="Times New Roman"/>
          <w:lang w:eastAsia="zh-CN"/>
        </w:rPr>
      </w:pPr>
    </w:p>
    <w:p w14:paraId="7AFD40A1">
      <w:pPr>
        <w:pStyle w:val="3"/>
        <w:rPr>
          <w:rFonts w:hint="eastAsia" w:ascii="Times New Roman" w:hAnsi="Times New Roman"/>
          <w:lang w:eastAsia="zh-CN"/>
        </w:rPr>
      </w:pPr>
    </w:p>
    <w:p w14:paraId="48BB703E">
      <w:pPr>
        <w:pStyle w:val="3"/>
        <w:rPr>
          <w:rFonts w:hint="eastAsia" w:ascii="Times New Roman" w:hAnsi="Times New Roman"/>
          <w:lang w:eastAsia="zh-CN"/>
        </w:rPr>
      </w:pPr>
    </w:p>
    <w:p w14:paraId="2F667C5C">
      <w:pPr>
        <w:pStyle w:val="3"/>
        <w:rPr>
          <w:rFonts w:hint="eastAsia" w:ascii="Times New Roman" w:hAnsi="Times New Roman"/>
          <w:lang w:eastAsia="zh-CN"/>
        </w:rPr>
      </w:pPr>
    </w:p>
    <w:p w14:paraId="471A888D">
      <w:pPr>
        <w:pStyle w:val="3"/>
        <w:rPr>
          <w:rFonts w:hint="eastAsia" w:ascii="Times New Roman" w:hAnsi="Times New Roman"/>
          <w:lang w:eastAsia="zh-CN"/>
        </w:rPr>
      </w:pPr>
    </w:p>
    <w:p w14:paraId="3EDC834E">
      <w:pPr>
        <w:pStyle w:val="3"/>
        <w:rPr>
          <w:rFonts w:hint="eastAsia" w:ascii="Times New Roman" w:hAnsi="Times New Roman"/>
          <w:lang w:eastAsia="zh-CN"/>
        </w:rPr>
      </w:pPr>
    </w:p>
    <w:p w14:paraId="5DB25774">
      <w:pPr>
        <w:pStyle w:val="3"/>
        <w:rPr>
          <w:rFonts w:hint="eastAsia" w:ascii="Times New Roman" w:hAnsi="Times New Roman"/>
          <w:lang w:eastAsia="zh-CN"/>
        </w:rPr>
      </w:pPr>
    </w:p>
    <w:p w14:paraId="4735BAA2">
      <w:pPr>
        <w:pStyle w:val="3"/>
        <w:rPr>
          <w:rFonts w:hint="eastAsia" w:ascii="Times New Roman" w:hAnsi="Times New Roman"/>
          <w:lang w:eastAsia="zh-CN"/>
        </w:rPr>
      </w:pPr>
    </w:p>
    <w:p w14:paraId="11D6BDDB">
      <w:pPr>
        <w:pStyle w:val="3"/>
        <w:rPr>
          <w:rFonts w:hint="eastAsia" w:ascii="Times New Roman" w:hAnsi="Times New Roman"/>
          <w:lang w:eastAsia="zh-CN"/>
        </w:rPr>
      </w:pPr>
    </w:p>
    <w:p w14:paraId="07146F93">
      <w:pPr>
        <w:pStyle w:val="3"/>
        <w:rPr>
          <w:rFonts w:hint="eastAsia" w:ascii="Times New Roman" w:hAnsi="Times New Roman"/>
          <w:lang w:eastAsia="zh-CN"/>
        </w:rPr>
      </w:pPr>
    </w:p>
    <w:p w14:paraId="1B05E109">
      <w:pPr>
        <w:pStyle w:val="3"/>
        <w:rPr>
          <w:rFonts w:hint="eastAsia" w:ascii="Times New Roman" w:hAnsi="Times New Roman"/>
          <w:lang w:eastAsia="zh-CN"/>
        </w:rPr>
      </w:pPr>
    </w:p>
    <w:p w14:paraId="0E3E0BD8">
      <w:pPr>
        <w:pStyle w:val="3"/>
        <w:rPr>
          <w:rFonts w:hint="eastAsia" w:ascii="Times New Roman" w:hAnsi="Times New Roman"/>
          <w:lang w:eastAsia="zh-CN"/>
        </w:rPr>
      </w:pPr>
    </w:p>
    <w:p w14:paraId="749FF58D">
      <w:pPr>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金川县人民检察院</w:t>
      </w:r>
    </w:p>
    <w:p w14:paraId="0DCC9C51">
      <w:pPr>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关于在2024年度决算公开中没有数据进行零报告的文字说明</w:t>
      </w:r>
    </w:p>
    <w:p w14:paraId="7F8ACAD5">
      <w:pPr>
        <w:jc w:val="center"/>
        <w:rPr>
          <w:rFonts w:hint="eastAsia" w:ascii="仿宋_GB2312" w:hAnsi="仿宋_GB2312" w:eastAsia="仿宋_GB2312" w:cs="仿宋_GB2312"/>
          <w:sz w:val="44"/>
          <w:szCs w:val="44"/>
          <w:lang w:val="en-US" w:eastAsia="zh-CN"/>
        </w:rPr>
      </w:pPr>
    </w:p>
    <w:p w14:paraId="18B54352">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我院2024年度决算报表中，政府性基金预算财政拨款收入支出决算表、国有资本经营预算财政拨款收入支出决算表、国有资本经营预算财政拨款支出决算表均未发生相关业务，无数据，进行零报告。</w:t>
      </w:r>
    </w:p>
    <w:p w14:paraId="1EF14319">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特此说明。</w:t>
      </w:r>
    </w:p>
    <w:p w14:paraId="0017D960">
      <w:pPr>
        <w:ind w:firstLine="640" w:firstLineChars="200"/>
        <w:jc w:val="both"/>
        <w:rPr>
          <w:rFonts w:hint="eastAsia" w:ascii="仿宋_GB2312" w:hAnsi="仿宋_GB2312" w:eastAsia="仿宋_GB2312" w:cs="仿宋_GB2312"/>
          <w:sz w:val="32"/>
          <w:szCs w:val="32"/>
          <w:lang w:val="en-US" w:eastAsia="zh-CN"/>
        </w:rPr>
      </w:pPr>
    </w:p>
    <w:p w14:paraId="4F08520D">
      <w:pPr>
        <w:ind w:firstLine="640" w:firstLineChars="200"/>
        <w:jc w:val="both"/>
        <w:rPr>
          <w:rFonts w:hint="eastAsia" w:ascii="仿宋_GB2312" w:hAnsi="仿宋_GB2312" w:eastAsia="仿宋_GB2312" w:cs="仿宋_GB2312"/>
          <w:sz w:val="32"/>
          <w:szCs w:val="32"/>
          <w:lang w:val="en-US" w:eastAsia="zh-CN"/>
        </w:rPr>
      </w:pPr>
    </w:p>
    <w:p w14:paraId="1FED1096">
      <w:pPr>
        <w:ind w:firstLine="640" w:firstLineChars="20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金川县人民检察院</w:t>
      </w:r>
    </w:p>
    <w:p w14:paraId="5BF06693">
      <w:pPr>
        <w:ind w:firstLine="640" w:firstLineChars="20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2025年9月15日</w:t>
      </w:r>
    </w:p>
    <w:p w14:paraId="09F0EAB9">
      <w:pPr>
        <w:pStyle w:val="2"/>
        <w:rPr>
          <w:rFonts w:hint="eastAsia" w:ascii="Times New Roman" w:hAnsi="Times New Roman"/>
          <w:lang w:eastAsia="zh-CN"/>
        </w:rPr>
      </w:pPr>
    </w:p>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01ED03-AC45-4AD3-8FD5-777C320AAA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AE040612-C590-4B63-A4B1-6369AAF4DD9C}"/>
  </w:font>
  <w:font w:name="仿宋_GB2312">
    <w:panose1 w:val="02010609030101010101"/>
    <w:charset w:val="86"/>
    <w:family w:val="modern"/>
    <w:pitch w:val="default"/>
    <w:sig w:usb0="00000001" w:usb1="080E0000" w:usb2="00000000" w:usb3="00000000" w:csb0="00040000" w:csb1="00000000"/>
    <w:embedRegular r:id="rId3" w:fontKey="{05DB9275-BE6F-4C96-B583-B9AB0DAE6DDA}"/>
  </w:font>
  <w:font w:name="仿宋">
    <w:panose1 w:val="02010609060101010101"/>
    <w:charset w:val="86"/>
    <w:family w:val="modern"/>
    <w:pitch w:val="default"/>
    <w:sig w:usb0="800002BF" w:usb1="38CF7CFA" w:usb2="00000016" w:usb3="00000000" w:csb0="00040001" w:csb1="00000000"/>
    <w:embedRegular r:id="rId4" w:fontKey="{E364F9DA-94E2-480C-9873-B690BD1BE75C}"/>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embedRegular r:id="rId5" w:fontKey="{9180ECA4-BFAD-4DF6-96E3-74F3AAB7B639}"/>
  </w:font>
  <w:font w:name="楷体_GB2312">
    <w:panose1 w:val="02010609030101010101"/>
    <w:charset w:val="86"/>
    <w:family w:val="auto"/>
    <w:pitch w:val="default"/>
    <w:sig w:usb0="00000001" w:usb1="080E0000" w:usb2="00000000" w:usb3="00000000" w:csb0="00040000" w:csb1="00000000"/>
    <w:embedRegular r:id="rId6" w:fontKey="{90418A86-4910-416B-A443-DA1E8102046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DF9C4">
    <w:pPr>
      <w:pStyle w:val="11"/>
      <w:jc w:val="center"/>
    </w:pPr>
  </w:p>
  <w:p w14:paraId="7390E87C">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CD56F3">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DCD56F3">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3DA5353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A6A8E">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D4002">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9D4002">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AAA1A">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5B470D"/>
    <w:multiLevelType w:val="singleLevel"/>
    <w:tmpl w:val="FE5B470D"/>
    <w:lvl w:ilvl="0" w:tentative="0">
      <w:start w:val="1"/>
      <w:numFmt w:val="chineseCounting"/>
      <w:suff w:val="nothing"/>
      <w:lvlText w:val="%1、"/>
      <w:lvlJc w:val="left"/>
      <w:rPr>
        <w:rFonts w:hint="eastAsia"/>
      </w:rPr>
    </w:lvl>
  </w:abstractNum>
  <w:abstractNum w:abstractNumId="1">
    <w:nsid w:val="447B3DB2"/>
    <w:multiLevelType w:val="singleLevel"/>
    <w:tmpl w:val="447B3DB2"/>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627ED5"/>
    <w:rsid w:val="0F98263C"/>
    <w:rsid w:val="10007A72"/>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80F0B"/>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344AA"/>
    <w:rsid w:val="55170BA8"/>
    <w:rsid w:val="553218C9"/>
    <w:rsid w:val="567E1AA5"/>
    <w:rsid w:val="56E47B74"/>
    <w:rsid w:val="57175D52"/>
    <w:rsid w:val="57BD3DD4"/>
    <w:rsid w:val="59C42312"/>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oleObject" Target="file:///C:\Users\&#21331;&#22030;\Desktop\&#36861;&#21152;&#24037;&#36164;&#26126;&#32454;&#34920;.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21331;&#22030;\Desktop\&#36861;&#21152;&#24037;&#36164;&#26126;&#32454;&#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一般公共预算财政拨款支出</a:t>
            </a:r>
          </a:p>
        </c:rich>
      </c:tx>
      <c:layout/>
      <c:overlay val="0"/>
      <c:spPr>
        <a:noFill/>
        <a:ln>
          <a:noFill/>
        </a:ln>
        <a:effectLst/>
      </c:spPr>
    </c:title>
    <c:autoTitleDeleted val="0"/>
    <c:plotArea>
      <c:layout/>
      <c:pieChart>
        <c:varyColors val="1"/>
        <c:ser>
          <c:idx val="0"/>
          <c:order val="0"/>
          <c:tx>
            <c:strRef>
              <c:f>[追加工资明细表.xlsx]Sheet5!$C$3</c:f>
              <c:strCache>
                <c:ptCount val="1"/>
                <c:pt idx="0">
                  <c:v>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[追加工资明细表.xlsx]Sheet5!$B$4:$B$7</c:f>
              <c:strCache>
                <c:ptCount val="4"/>
                <c:pt idx="0">
                  <c:v>公共安全支出</c:v>
                </c:pt>
                <c:pt idx="1">
                  <c:v>社会保障和就业支出</c:v>
                </c:pt>
                <c:pt idx="2">
                  <c:v>卫生健康支出</c:v>
                </c:pt>
                <c:pt idx="3">
                  <c:v>住房保障支出</c:v>
                </c:pt>
              </c:strCache>
            </c:strRef>
          </c:cat>
          <c:val>
            <c:numRef>
              <c:f>[追加工资明细表.xlsx]Sheet5!$C$4:$C$7</c:f>
              <c:numCache>
                <c:formatCode>General</c:formatCode>
                <c:ptCount val="4"/>
                <c:pt idx="0">
                  <c:v>675.54</c:v>
                </c:pt>
                <c:pt idx="1">
                  <c:v>87.46</c:v>
                </c:pt>
                <c:pt idx="2">
                  <c:v>38.81</c:v>
                </c:pt>
                <c:pt idx="3">
                  <c:v>56.31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8968f4bb-0e01-41eb-aca9-81116e9ca391}"/>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“三公”经费财政拨款支出结构</a:t>
            </a:r>
          </a:p>
        </c:rich>
      </c:tx>
      <c:layout/>
      <c:overlay val="0"/>
      <c:spPr>
        <a:noFill/>
        <a:ln>
          <a:noFill/>
        </a:ln>
        <a:effectLst/>
      </c:spPr>
    </c:title>
    <c:autoTitleDeleted val="0"/>
    <c:plotArea>
      <c:layout/>
      <c:pieChart>
        <c:varyColors val="1"/>
        <c:ser>
          <c:idx val="1"/>
          <c:order val="0"/>
          <c:tx>
            <c:strRef>
              <c:f>[追加工资明细表.xlsx]Sheet5!$C$10</c:f>
              <c:strCache>
                <c:ptCount val="1"/>
                <c:pt idx="0">
                  <c:v>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[追加工资明细表.xlsx]Sheet5!$B$11:$B$13</c:f>
              <c:strCache>
                <c:ptCount val="3"/>
                <c:pt idx="0">
                  <c:v>因公出国（境）费支出</c:v>
                </c:pt>
                <c:pt idx="1">
                  <c:v>公务用车购置及运行维护费支出</c:v>
                </c:pt>
                <c:pt idx="2">
                  <c:v>公务接待费支出</c:v>
                </c:pt>
              </c:strCache>
            </c:strRef>
          </c:cat>
          <c:val>
            <c:numRef>
              <c:f>[追加工资明细表.xlsx]Sheet5!$C$11:$C$13</c:f>
              <c:numCache>
                <c:formatCode>General</c:formatCode>
                <c:ptCount val="3"/>
                <c:pt idx="0">
                  <c:v>0</c:v>
                </c:pt>
                <c:pt idx="1">
                  <c:v>8.39</c:v>
                </c:pt>
                <c:pt idx="2">
                  <c:v>1.2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2ab63ae3-6240-43e4-8b9c-b867b1d7ce17}"/>
      </c:ext>
    </c:extLst>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50</Pages>
  <Words>443</Words>
  <Characters>472</Characters>
  <Lines>61</Lines>
  <Paragraphs>17</Paragraphs>
  <TotalTime>15</TotalTime>
  <ScaleCrop>false</ScaleCrop>
  <LinksUpToDate>false</LinksUpToDate>
  <CharactersWithSpaces>507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qhm123456</cp:lastModifiedBy>
  <cp:lastPrinted>2025-08-06T17:34:00Z</cp:lastPrinted>
  <dcterms:modified xsi:type="dcterms:W3CDTF">2025-09-15T08:01:56Z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eyJoZGlkIjoiYzcwZDFiZmIzOGZmOTQ4ZTllNmM2NTcyNTgwMWY5NjgifQ==</vt:lpwstr>
  </property>
</Properties>
</file>