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outlineLvl w:val="9"/>
        <w:rPr>
          <w:rFonts w:ascii="方正小标宋简体" w:hAnsi="宋体" w:eastAsia="方正小标宋简体"/>
          <w:sz w:val="28"/>
          <w:szCs w:val="28"/>
        </w:rPr>
      </w:pPr>
      <w:bookmarkStart w:id="0" w:name="_Toc15306267"/>
    </w:p>
    <w:p>
      <w:pPr>
        <w:spacing w:line="600" w:lineRule="exact"/>
        <w:jc w:val="left"/>
        <w:outlineLvl w:val="9"/>
        <w:rPr>
          <w:rFonts w:ascii="方正小标宋简体" w:hAnsi="宋体" w:eastAsia="方正小标宋简体"/>
          <w:szCs w:val="21"/>
        </w:rPr>
      </w:pPr>
    </w:p>
    <w:p>
      <w:pPr>
        <w:spacing w:line="600" w:lineRule="exact"/>
        <w:jc w:val="center"/>
        <w:outlineLvl w:val="9"/>
        <w:rPr>
          <w:rFonts w:ascii="方正小标宋简体" w:hAnsi="宋体" w:eastAsia="方正小标宋简体"/>
          <w:sz w:val="72"/>
          <w:szCs w:val="72"/>
        </w:rPr>
      </w:pPr>
    </w:p>
    <w:p>
      <w:pPr>
        <w:spacing w:line="600" w:lineRule="exact"/>
        <w:jc w:val="center"/>
        <w:outlineLvl w:val="9"/>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 w:name="_Toc15396597"/>
      <w:bookmarkStart w:id="2" w:name="_Toc15396475"/>
      <w:bookmarkStart w:id="3" w:name="_Toc15377425"/>
      <w:bookmarkStart w:id="4" w:name="_Toc15377193"/>
      <w:bookmarkStart w:id="5" w:name="_Toc15378441"/>
      <w:bookmarkStart w:id="6" w:name="_Toc30665"/>
      <w:bookmarkStart w:id="7" w:name="_Toc32281"/>
      <w:r>
        <w:rPr>
          <w:rFonts w:hint="eastAsia" w:ascii="方正小标宋简体" w:hAnsi="方正小标宋简体" w:eastAsia="方正小标宋简体" w:cs="方正小标宋简体"/>
          <w:sz w:val="72"/>
          <w:szCs w:val="72"/>
        </w:rPr>
        <w:t>2022</w:t>
      </w:r>
      <w:bookmarkEnd w:id="1"/>
      <w:bookmarkEnd w:id="2"/>
      <w:bookmarkEnd w:id="3"/>
      <w:bookmarkEnd w:id="4"/>
      <w:bookmarkEnd w:id="5"/>
      <w:r>
        <w:rPr>
          <w:rFonts w:ascii="方正小标宋简体" w:hAnsi="方正小标宋简体" w:eastAsia="方正小标宋简体" w:cs="方正小标宋简体"/>
          <w:sz w:val="72"/>
          <w:u w:color="auto"/>
        </w:rPr>
        <w:t>年度</w:t>
      </w:r>
      <w:bookmarkEnd w:id="6"/>
      <w:bookmarkEnd w:id="7"/>
    </w:p>
    <w:bookmarkEnd w:id="0"/>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8" w:name="_Toc15306268"/>
      <w:bookmarkStart w:id="9" w:name="_Toc15396598"/>
      <w:bookmarkStart w:id="10" w:name="_Toc15377194"/>
      <w:bookmarkStart w:id="11" w:name="_Toc15396476"/>
      <w:bookmarkStart w:id="12" w:name="_Toc15378442"/>
      <w:bookmarkStart w:id="13" w:name="_Toc15377426"/>
      <w:bookmarkStart w:id="14" w:name="_Toc6823"/>
      <w:bookmarkStart w:id="15" w:name="_Toc4738"/>
      <w:r>
        <w:rPr>
          <w:rFonts w:hint="eastAsia" w:ascii="方正小标宋简体" w:hAnsi="方正小标宋简体" w:eastAsia="方正小标宋简体" w:cs="方正小标宋简体"/>
          <w:sz w:val="72"/>
          <w:szCs w:val="72"/>
        </w:rPr>
        <w:t>阿坝州马尔康市人民法院</w:t>
      </w:r>
      <w:bookmarkEnd w:id="8"/>
      <w:bookmarkEnd w:id="9"/>
      <w:bookmarkEnd w:id="10"/>
      <w:bookmarkEnd w:id="11"/>
      <w:bookmarkEnd w:id="12"/>
      <w:bookmarkEnd w:id="13"/>
      <w:r>
        <w:rPr>
          <w:rFonts w:hint="eastAsia" w:ascii="方正小标宋简体" w:hAnsi="方正小标宋简体" w:eastAsia="方正小标宋简体" w:cs="方正小标宋简体"/>
          <w:sz w:val="72"/>
          <w:u w:color="auto"/>
          <w:lang w:val="en-US" w:eastAsia="zh-CN"/>
        </w:rPr>
        <w:t>部门</w:t>
      </w:r>
      <w:r>
        <w:rPr>
          <w:rFonts w:ascii="方正小标宋简体" w:hAnsi="方正小标宋简体" w:eastAsia="方正小标宋简体" w:cs="方正小标宋简体"/>
          <w:sz w:val="72"/>
          <w:u w:color="auto"/>
        </w:rPr>
        <w:t>决算</w:t>
      </w:r>
      <w:bookmarkEnd w:id="14"/>
      <w:bookmarkEnd w:id="15"/>
    </w:p>
    <w:p>
      <w:pPr>
        <w:widowControl/>
        <w:jc w:val="center"/>
        <w:rPr>
          <w:rFonts w:hint="eastAsia" w:ascii="黑体" w:hAnsi="黑体" w:eastAsia="黑体"/>
          <w:sz w:val="48"/>
          <w:szCs w:val="48"/>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pPr>
        <w:widowControl/>
        <w:jc w:val="center"/>
        <w:rPr>
          <w:rFonts w:ascii="黑体" w:hAnsi="黑体" w:eastAsia="黑体"/>
          <w:sz w:val="48"/>
          <w:szCs w:val="48"/>
        </w:rPr>
      </w:pP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1"/>
      </w:pPr>
      <w:r>
        <w:rPr>
          <w:rFonts w:hint="eastAsia"/>
        </w:rPr>
        <w:t>公开时间：2023年</w:t>
      </w:r>
      <w:r>
        <w:rPr>
          <w:rFonts w:hint="eastAsia"/>
          <w:lang w:val="en-US" w:eastAsia="zh-CN"/>
        </w:rPr>
        <w:t>09</w:t>
      </w:r>
      <w:r>
        <w:rPr>
          <w:rFonts w:hint="eastAsia"/>
        </w:rPr>
        <w:t>月</w:t>
      </w:r>
      <w:r>
        <w:rPr>
          <w:rFonts w:hint="eastAsia"/>
          <w:lang w:val="en-US" w:eastAsia="zh-CN"/>
        </w:rPr>
        <w:t>25</w:t>
      </w:r>
      <w:r>
        <w:rPr>
          <w:rFonts w:hint="eastAsia"/>
        </w:rPr>
        <w:t>日</w:t>
      </w:r>
    </w:p>
    <w:sdt>
      <w:sdtPr>
        <w:rPr>
          <w:rFonts w:ascii="宋体" w:hAnsi="宋体" w:eastAsia="宋体" w:cs="Times New Roman"/>
          <w:kern w:val="2"/>
          <w:sz w:val="21"/>
          <w:szCs w:val="24"/>
          <w:lang w:val="en-US" w:eastAsia="zh-CN" w:bidi="ar-SA"/>
        </w:rPr>
        <w:id w:val="147453086"/>
        <w15:color w:val="DBDBDB"/>
        <w:docPartObj>
          <w:docPartGallery w:val="Table of Contents"/>
          <w:docPartUnique/>
        </w:docPartObj>
      </w:sdtPr>
      <w:sdtEndPr>
        <w:rPr>
          <w:rFonts w:ascii="宋体" w:hAnsi="宋体" w:eastAsia="宋体" w:cs="Times New Roman"/>
          <w:b/>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33"/>
            <w:tabs>
              <w:tab w:val="right" w:leader="dot" w:pos="8306"/>
            </w:tabs>
            <w:rPr>
              <w:b/>
            </w:rPr>
          </w:pPr>
          <w:r>
            <w:fldChar w:fldCharType="begin"/>
          </w:r>
          <w:r>
            <w:instrText xml:space="preserve">TOC \o "1-2" \h \u </w:instrText>
          </w:r>
          <w:r>
            <w:fldChar w:fldCharType="separate"/>
          </w:r>
        </w:p>
        <w:p>
          <w:pPr>
            <w:pStyle w:val="33"/>
            <w:tabs>
              <w:tab w:val="right" w:leader="dot" w:pos="8306"/>
            </w:tabs>
            <w:rPr>
              <w:rFonts w:hint="eastAsia"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fldChar w:fldCharType="begin"/>
          </w:r>
          <w:r>
            <w:rPr>
              <w:rFonts w:hint="eastAsia" w:asciiTheme="majorEastAsia" w:hAnsiTheme="majorEastAsia" w:eastAsiaTheme="majorEastAsia" w:cstheme="majorEastAsia"/>
              <w:b/>
              <w:sz w:val="28"/>
              <w:szCs w:val="28"/>
            </w:rPr>
            <w:instrText xml:space="preserve"> HYPERLINK \l _Toc14345 </w:instrText>
          </w:r>
          <w:r>
            <w:rPr>
              <w:rFonts w:hint="eastAsia" w:asciiTheme="majorEastAsia" w:hAnsiTheme="majorEastAsia" w:eastAsiaTheme="majorEastAsia" w:cstheme="majorEastAsia"/>
              <w:b/>
              <w:sz w:val="28"/>
              <w:szCs w:val="28"/>
            </w:rPr>
            <w:fldChar w:fldCharType="separate"/>
          </w:r>
          <w:r>
            <w:rPr>
              <w:rFonts w:hint="eastAsia" w:asciiTheme="majorEastAsia" w:hAnsiTheme="majorEastAsia" w:eastAsiaTheme="majorEastAsia" w:cstheme="majorEastAsia"/>
              <w:b/>
              <w:sz w:val="28"/>
              <w:szCs w:val="28"/>
            </w:rPr>
            <w:t>第一部分</w:t>
          </w:r>
          <w:r>
            <w:rPr>
              <w:rFonts w:hint="eastAsia" w:asciiTheme="majorEastAsia" w:hAnsiTheme="majorEastAsia" w:eastAsiaTheme="majorEastAsia" w:cstheme="majorEastAsia"/>
              <w:b/>
              <w:sz w:val="28"/>
              <w:szCs w:val="28"/>
              <w:lang w:val="en-US" w:eastAsia="zh-CN"/>
            </w:rPr>
            <w:t>部门</w:t>
          </w:r>
          <w:r>
            <w:rPr>
              <w:rFonts w:hint="eastAsia" w:asciiTheme="majorEastAsia" w:hAnsiTheme="majorEastAsia" w:eastAsiaTheme="majorEastAsia" w:cstheme="majorEastAsia"/>
              <w:b/>
              <w:bCs w:val="0"/>
              <w:sz w:val="28"/>
              <w:szCs w:val="28"/>
            </w:rPr>
            <w:t>概况</w:t>
          </w:r>
          <w:r>
            <w:rPr>
              <w:rFonts w:hint="eastAsia" w:asciiTheme="majorEastAsia" w:hAnsiTheme="majorEastAsia" w:eastAsiaTheme="majorEastAsia" w:cstheme="majorEastAsia"/>
              <w:b/>
              <w:sz w:val="28"/>
              <w:szCs w:val="28"/>
            </w:rPr>
            <w:tab/>
          </w:r>
          <w:r>
            <w:rPr>
              <w:rFonts w:hint="eastAsia" w:asciiTheme="majorEastAsia" w:hAnsiTheme="majorEastAsia" w:eastAsiaTheme="majorEastAsia" w:cstheme="majorEastAsia"/>
              <w:b/>
              <w:sz w:val="28"/>
              <w:szCs w:val="28"/>
            </w:rPr>
            <w:fldChar w:fldCharType="begin"/>
          </w:r>
          <w:r>
            <w:rPr>
              <w:rFonts w:hint="eastAsia" w:asciiTheme="majorEastAsia" w:hAnsiTheme="majorEastAsia" w:eastAsiaTheme="majorEastAsia" w:cstheme="majorEastAsia"/>
              <w:b/>
              <w:sz w:val="28"/>
              <w:szCs w:val="28"/>
            </w:rPr>
            <w:instrText xml:space="preserve"> PAGEREF _Toc14345 \h </w:instrText>
          </w:r>
          <w:r>
            <w:rPr>
              <w:rFonts w:hint="eastAsia" w:asciiTheme="majorEastAsia" w:hAnsiTheme="majorEastAsia" w:eastAsiaTheme="majorEastAsia" w:cstheme="majorEastAsia"/>
              <w:b/>
              <w:sz w:val="28"/>
              <w:szCs w:val="28"/>
            </w:rPr>
            <w:fldChar w:fldCharType="separate"/>
          </w:r>
          <w:r>
            <w:rPr>
              <w:rFonts w:hint="eastAsia" w:asciiTheme="majorEastAsia" w:hAnsiTheme="majorEastAsia" w:eastAsiaTheme="majorEastAsia" w:cstheme="majorEastAsia"/>
              <w:b/>
              <w:sz w:val="28"/>
              <w:szCs w:val="28"/>
            </w:rPr>
            <w:t>1</w:t>
          </w:r>
          <w:r>
            <w:rPr>
              <w:rFonts w:hint="eastAsia" w:asciiTheme="majorEastAsia" w:hAnsiTheme="majorEastAsia" w:eastAsiaTheme="majorEastAsia" w:cstheme="majorEastAsia"/>
              <w:b/>
              <w:sz w:val="28"/>
              <w:szCs w:val="28"/>
            </w:rPr>
            <w:fldChar w:fldCharType="end"/>
          </w:r>
          <w:r>
            <w:rPr>
              <w:rFonts w:hint="eastAsia" w:asciiTheme="majorEastAsia" w:hAnsiTheme="majorEastAsia" w:eastAsiaTheme="majorEastAsia" w:cstheme="majorEastAsia"/>
              <w:b/>
              <w:sz w:val="28"/>
              <w:szCs w:val="28"/>
            </w:rPr>
            <w:fldChar w:fldCharType="end"/>
          </w:r>
        </w:p>
        <w:p>
          <w:pPr>
            <w:pStyle w:val="34"/>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_Toc22545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bCs w:val="0"/>
              <w:sz w:val="28"/>
              <w:szCs w:val="28"/>
            </w:rPr>
            <w:t>一、</w:t>
          </w:r>
          <w:r>
            <w:rPr>
              <w:rFonts w:hint="eastAsia" w:asciiTheme="majorEastAsia" w:hAnsiTheme="majorEastAsia" w:eastAsiaTheme="majorEastAsia" w:cstheme="majorEastAsia"/>
              <w:bCs w:val="0"/>
              <w:sz w:val="28"/>
              <w:szCs w:val="28"/>
              <w:lang w:val="en-US" w:eastAsia="zh-CN"/>
            </w:rPr>
            <w:t>基本职能及主要工作</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lang w:val="en-US" w:eastAsia="zh-CN"/>
            </w:rPr>
            <w:t>1</w:t>
          </w:r>
          <w:r>
            <w:rPr>
              <w:rFonts w:hint="eastAsia" w:asciiTheme="majorEastAsia" w:hAnsiTheme="majorEastAsia" w:eastAsiaTheme="majorEastAsia" w:cstheme="majorEastAsia"/>
              <w:sz w:val="28"/>
              <w:szCs w:val="28"/>
            </w:rPr>
            <w:fldChar w:fldCharType="end"/>
          </w:r>
        </w:p>
        <w:p>
          <w:pPr>
            <w:pStyle w:val="34"/>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_Toc12558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二、机构设置</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lang w:val="en-US" w:eastAsia="zh-CN"/>
            </w:rPr>
            <w:t>2</w:t>
          </w:r>
          <w:r>
            <w:rPr>
              <w:rFonts w:hint="eastAsia" w:asciiTheme="majorEastAsia" w:hAnsiTheme="majorEastAsia" w:eastAsiaTheme="majorEastAsia" w:cstheme="majorEastAsia"/>
              <w:sz w:val="28"/>
              <w:szCs w:val="28"/>
            </w:rPr>
            <w:fldChar w:fldCharType="end"/>
          </w:r>
        </w:p>
        <w:p>
          <w:pPr>
            <w:pStyle w:val="33"/>
            <w:tabs>
              <w:tab w:val="right" w:leader="dot" w:pos="8306"/>
            </w:tabs>
            <w:rPr>
              <w:rFonts w:hint="eastAsia"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fldChar w:fldCharType="begin"/>
          </w:r>
          <w:r>
            <w:rPr>
              <w:rFonts w:hint="eastAsia" w:asciiTheme="majorEastAsia" w:hAnsiTheme="majorEastAsia" w:eastAsiaTheme="majorEastAsia" w:cstheme="majorEastAsia"/>
              <w:b/>
              <w:sz w:val="28"/>
              <w:szCs w:val="28"/>
            </w:rPr>
            <w:instrText xml:space="preserve"> HYPERLINK \l _Toc31237 </w:instrText>
          </w:r>
          <w:r>
            <w:rPr>
              <w:rFonts w:hint="eastAsia" w:asciiTheme="majorEastAsia" w:hAnsiTheme="majorEastAsia" w:eastAsiaTheme="majorEastAsia" w:cstheme="majorEastAsia"/>
              <w:b/>
              <w:sz w:val="28"/>
              <w:szCs w:val="28"/>
            </w:rPr>
            <w:fldChar w:fldCharType="separate"/>
          </w:r>
          <w:r>
            <w:rPr>
              <w:rFonts w:hint="eastAsia" w:asciiTheme="majorEastAsia" w:hAnsiTheme="majorEastAsia" w:eastAsiaTheme="majorEastAsia" w:cstheme="majorEastAsia"/>
              <w:b/>
              <w:sz w:val="28"/>
              <w:szCs w:val="28"/>
            </w:rPr>
            <w:t>第二部分2022年度</w:t>
          </w:r>
          <w:r>
            <w:rPr>
              <w:rFonts w:hint="eastAsia" w:asciiTheme="majorEastAsia" w:hAnsiTheme="majorEastAsia" w:eastAsiaTheme="majorEastAsia" w:cstheme="majorEastAsia"/>
              <w:b/>
              <w:bCs/>
              <w:sz w:val="28"/>
              <w:szCs w:val="28"/>
              <w:lang w:val="en-US" w:eastAsia="zh-CN"/>
            </w:rPr>
            <w:t>部门</w:t>
          </w:r>
          <w:r>
            <w:rPr>
              <w:rFonts w:hint="eastAsia" w:asciiTheme="majorEastAsia" w:hAnsiTheme="majorEastAsia" w:eastAsiaTheme="majorEastAsia" w:cstheme="majorEastAsia"/>
              <w:b/>
              <w:bCs/>
              <w:sz w:val="28"/>
              <w:szCs w:val="28"/>
            </w:rPr>
            <w:t>决算情况说明</w:t>
          </w:r>
          <w:r>
            <w:rPr>
              <w:rFonts w:hint="eastAsia" w:asciiTheme="majorEastAsia" w:hAnsiTheme="majorEastAsia" w:eastAsiaTheme="majorEastAsia" w:cstheme="majorEastAsia"/>
              <w:b/>
              <w:sz w:val="28"/>
              <w:szCs w:val="28"/>
            </w:rPr>
            <w:tab/>
          </w:r>
          <w:r>
            <w:rPr>
              <w:rFonts w:hint="eastAsia" w:asciiTheme="majorEastAsia" w:hAnsiTheme="majorEastAsia" w:eastAsiaTheme="majorEastAsia" w:cstheme="majorEastAsia"/>
              <w:b/>
              <w:sz w:val="28"/>
              <w:szCs w:val="28"/>
            </w:rPr>
            <w:fldChar w:fldCharType="begin"/>
          </w:r>
          <w:r>
            <w:rPr>
              <w:rFonts w:hint="eastAsia" w:asciiTheme="majorEastAsia" w:hAnsiTheme="majorEastAsia" w:eastAsiaTheme="majorEastAsia" w:cstheme="majorEastAsia"/>
              <w:b/>
              <w:sz w:val="28"/>
              <w:szCs w:val="28"/>
            </w:rPr>
            <w:instrText xml:space="preserve"> PAGEREF _Toc31237 \h </w:instrText>
          </w:r>
          <w:r>
            <w:rPr>
              <w:rFonts w:hint="eastAsia" w:asciiTheme="majorEastAsia" w:hAnsiTheme="majorEastAsia" w:eastAsiaTheme="majorEastAsia" w:cstheme="majorEastAsia"/>
              <w:b/>
              <w:sz w:val="28"/>
              <w:szCs w:val="28"/>
            </w:rPr>
            <w:fldChar w:fldCharType="separate"/>
          </w:r>
          <w:r>
            <w:rPr>
              <w:rFonts w:hint="eastAsia" w:asciiTheme="majorEastAsia" w:hAnsiTheme="majorEastAsia" w:eastAsiaTheme="majorEastAsia" w:cstheme="majorEastAsia"/>
              <w:b/>
              <w:sz w:val="28"/>
              <w:szCs w:val="28"/>
            </w:rPr>
            <w:t>3</w:t>
          </w:r>
          <w:r>
            <w:rPr>
              <w:rFonts w:hint="eastAsia" w:asciiTheme="majorEastAsia" w:hAnsiTheme="majorEastAsia" w:eastAsiaTheme="majorEastAsia" w:cstheme="majorEastAsia"/>
              <w:b/>
              <w:sz w:val="28"/>
              <w:szCs w:val="28"/>
            </w:rPr>
            <w:fldChar w:fldCharType="end"/>
          </w:r>
          <w:r>
            <w:rPr>
              <w:rFonts w:hint="eastAsia" w:asciiTheme="majorEastAsia" w:hAnsiTheme="majorEastAsia" w:eastAsiaTheme="majorEastAsia" w:cstheme="majorEastAsia"/>
              <w:b/>
              <w:sz w:val="28"/>
              <w:szCs w:val="28"/>
            </w:rPr>
            <w:fldChar w:fldCharType="end"/>
          </w:r>
        </w:p>
        <w:p>
          <w:pPr>
            <w:pStyle w:val="34"/>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_Toc26055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一、收入支出决算总体情况说明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_Toc26055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34"/>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_Toc18237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二、收入决算情况说明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_Toc18237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34"/>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_Toc2709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三、支出决算情况说明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_Toc2709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34"/>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_Toc18322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四、财政拨款收入支出决算总体情况说明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_Toc18322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34"/>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_Toc259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五、一般公共预算财政拨款支出决算情况说明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_Toc259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5</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34"/>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_Toc13093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六、一般公共预算财政拨款基本支出决算情况说明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_Toc13093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34"/>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_Toc12873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七、财政拨款“三公”经费支出决算情况说明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_Toc12873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34"/>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_Toc8561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八、政府性基金预算支出决算情况说明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_Toc8561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9</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34"/>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_Toc18096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九、国有资本经营预算支出决算情况说明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_Toc18096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9</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34"/>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_Toc5504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十、其他重要事项的情况说明</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_Toc5504 \h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9</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fldChar w:fldCharType="end"/>
          </w:r>
        </w:p>
        <w:p>
          <w:pPr>
            <w:pStyle w:val="33"/>
            <w:tabs>
              <w:tab w:val="right" w:leader="dot" w:pos="8306"/>
            </w:tabs>
            <w:rPr>
              <w:rFonts w:hint="eastAsia"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fldChar w:fldCharType="begin"/>
          </w:r>
          <w:r>
            <w:rPr>
              <w:rFonts w:hint="eastAsia" w:asciiTheme="majorEastAsia" w:hAnsiTheme="majorEastAsia" w:eastAsiaTheme="majorEastAsia" w:cstheme="majorEastAsia"/>
              <w:b/>
              <w:sz w:val="28"/>
              <w:szCs w:val="28"/>
            </w:rPr>
            <w:instrText xml:space="preserve"> HYPERLINK \l _Toc26966 </w:instrText>
          </w:r>
          <w:r>
            <w:rPr>
              <w:rFonts w:hint="eastAsia" w:asciiTheme="majorEastAsia" w:hAnsiTheme="majorEastAsia" w:eastAsiaTheme="majorEastAsia" w:cstheme="majorEastAsia"/>
              <w:b/>
              <w:sz w:val="28"/>
              <w:szCs w:val="28"/>
            </w:rPr>
            <w:fldChar w:fldCharType="separate"/>
          </w:r>
          <w:r>
            <w:rPr>
              <w:rFonts w:hint="eastAsia" w:asciiTheme="majorEastAsia" w:hAnsiTheme="majorEastAsia" w:eastAsiaTheme="majorEastAsia" w:cstheme="majorEastAsia"/>
              <w:b/>
              <w:sz w:val="28"/>
              <w:szCs w:val="28"/>
            </w:rPr>
            <w:t>第三部分名词解释</w:t>
          </w:r>
          <w:r>
            <w:rPr>
              <w:rFonts w:hint="eastAsia" w:asciiTheme="majorEastAsia" w:hAnsiTheme="majorEastAsia" w:eastAsiaTheme="majorEastAsia" w:cstheme="majorEastAsia"/>
              <w:b/>
              <w:sz w:val="28"/>
              <w:szCs w:val="28"/>
            </w:rPr>
            <w:tab/>
          </w:r>
          <w:r>
            <w:rPr>
              <w:rFonts w:hint="eastAsia" w:asciiTheme="majorEastAsia" w:hAnsiTheme="majorEastAsia" w:eastAsiaTheme="majorEastAsia" w:cstheme="majorEastAsia"/>
              <w:b/>
              <w:sz w:val="28"/>
              <w:szCs w:val="28"/>
            </w:rPr>
            <w:fldChar w:fldCharType="begin"/>
          </w:r>
          <w:r>
            <w:rPr>
              <w:rFonts w:hint="eastAsia" w:asciiTheme="majorEastAsia" w:hAnsiTheme="majorEastAsia" w:eastAsiaTheme="majorEastAsia" w:cstheme="majorEastAsia"/>
              <w:b/>
              <w:sz w:val="28"/>
              <w:szCs w:val="28"/>
            </w:rPr>
            <w:instrText xml:space="preserve"> PAGEREF _Toc26966 \h </w:instrText>
          </w:r>
          <w:r>
            <w:rPr>
              <w:rFonts w:hint="eastAsia" w:asciiTheme="majorEastAsia" w:hAnsiTheme="majorEastAsia" w:eastAsiaTheme="majorEastAsia" w:cstheme="majorEastAsia"/>
              <w:b/>
              <w:sz w:val="28"/>
              <w:szCs w:val="28"/>
            </w:rPr>
            <w:fldChar w:fldCharType="separate"/>
          </w:r>
          <w:r>
            <w:rPr>
              <w:rFonts w:hint="eastAsia" w:asciiTheme="majorEastAsia" w:hAnsiTheme="majorEastAsia" w:eastAsiaTheme="majorEastAsia" w:cstheme="majorEastAsia"/>
              <w:b/>
              <w:sz w:val="28"/>
              <w:szCs w:val="28"/>
            </w:rPr>
            <w:t>11</w:t>
          </w:r>
          <w:r>
            <w:rPr>
              <w:rFonts w:hint="eastAsia" w:asciiTheme="majorEastAsia" w:hAnsiTheme="majorEastAsia" w:eastAsiaTheme="majorEastAsia" w:cstheme="majorEastAsia"/>
              <w:b/>
              <w:sz w:val="28"/>
              <w:szCs w:val="28"/>
            </w:rPr>
            <w:fldChar w:fldCharType="end"/>
          </w:r>
          <w:r>
            <w:rPr>
              <w:rFonts w:hint="eastAsia" w:asciiTheme="majorEastAsia" w:hAnsiTheme="majorEastAsia" w:eastAsiaTheme="majorEastAsia" w:cstheme="majorEastAsia"/>
              <w:b/>
              <w:sz w:val="28"/>
              <w:szCs w:val="28"/>
            </w:rPr>
            <w:fldChar w:fldCharType="end"/>
          </w:r>
        </w:p>
        <w:p>
          <w:pPr>
            <w:pStyle w:val="33"/>
            <w:tabs>
              <w:tab w:val="right" w:leader="dot" w:pos="8306"/>
            </w:tabs>
            <w:rPr>
              <w:rFonts w:hint="eastAsia"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fldChar w:fldCharType="begin"/>
          </w:r>
          <w:r>
            <w:rPr>
              <w:rFonts w:hint="eastAsia" w:asciiTheme="majorEastAsia" w:hAnsiTheme="majorEastAsia" w:eastAsiaTheme="majorEastAsia" w:cstheme="majorEastAsia"/>
              <w:b/>
              <w:sz w:val="28"/>
              <w:szCs w:val="28"/>
            </w:rPr>
            <w:instrText xml:space="preserve"> HYPERLINK \l _Toc31029 </w:instrText>
          </w:r>
          <w:r>
            <w:rPr>
              <w:rFonts w:hint="eastAsia" w:asciiTheme="majorEastAsia" w:hAnsiTheme="majorEastAsia" w:eastAsiaTheme="majorEastAsia" w:cstheme="majorEastAsia"/>
              <w:b/>
              <w:sz w:val="28"/>
              <w:szCs w:val="28"/>
            </w:rPr>
            <w:fldChar w:fldCharType="separate"/>
          </w:r>
          <w:r>
            <w:rPr>
              <w:rFonts w:hint="eastAsia" w:asciiTheme="majorEastAsia" w:hAnsiTheme="majorEastAsia" w:eastAsiaTheme="majorEastAsia" w:cstheme="majorEastAsia"/>
              <w:b/>
              <w:sz w:val="28"/>
              <w:szCs w:val="28"/>
            </w:rPr>
            <w:t>第四部分附件</w:t>
          </w:r>
          <w:r>
            <w:rPr>
              <w:rFonts w:hint="eastAsia" w:asciiTheme="majorEastAsia" w:hAnsiTheme="majorEastAsia" w:eastAsiaTheme="majorEastAsia" w:cstheme="majorEastAsia"/>
              <w:b/>
              <w:sz w:val="28"/>
              <w:szCs w:val="28"/>
            </w:rPr>
            <w:tab/>
          </w:r>
          <w:r>
            <w:rPr>
              <w:rFonts w:hint="eastAsia" w:asciiTheme="majorEastAsia" w:hAnsiTheme="majorEastAsia" w:eastAsiaTheme="majorEastAsia" w:cstheme="majorEastAsia"/>
              <w:b/>
              <w:sz w:val="28"/>
              <w:szCs w:val="28"/>
            </w:rPr>
            <w:fldChar w:fldCharType="begin"/>
          </w:r>
          <w:r>
            <w:rPr>
              <w:rFonts w:hint="eastAsia" w:asciiTheme="majorEastAsia" w:hAnsiTheme="majorEastAsia" w:eastAsiaTheme="majorEastAsia" w:cstheme="majorEastAsia"/>
              <w:b/>
              <w:sz w:val="28"/>
              <w:szCs w:val="28"/>
            </w:rPr>
            <w:instrText xml:space="preserve"> PAGEREF _Toc31029 \h </w:instrText>
          </w:r>
          <w:r>
            <w:rPr>
              <w:rFonts w:hint="eastAsia" w:asciiTheme="majorEastAsia" w:hAnsiTheme="majorEastAsia" w:eastAsiaTheme="majorEastAsia" w:cstheme="majorEastAsia"/>
              <w:b/>
              <w:sz w:val="28"/>
              <w:szCs w:val="28"/>
            </w:rPr>
            <w:fldChar w:fldCharType="separate"/>
          </w:r>
          <w:r>
            <w:rPr>
              <w:rFonts w:hint="eastAsia" w:asciiTheme="majorEastAsia" w:hAnsiTheme="majorEastAsia" w:eastAsiaTheme="majorEastAsia" w:cstheme="majorEastAsia"/>
              <w:b/>
              <w:sz w:val="28"/>
              <w:szCs w:val="28"/>
            </w:rPr>
            <w:t>14</w:t>
          </w:r>
          <w:r>
            <w:rPr>
              <w:rFonts w:hint="eastAsia" w:asciiTheme="majorEastAsia" w:hAnsiTheme="majorEastAsia" w:eastAsiaTheme="majorEastAsia" w:cstheme="majorEastAsia"/>
              <w:b/>
              <w:sz w:val="28"/>
              <w:szCs w:val="28"/>
            </w:rPr>
            <w:fldChar w:fldCharType="end"/>
          </w:r>
          <w:r>
            <w:rPr>
              <w:rFonts w:hint="eastAsia" w:asciiTheme="majorEastAsia" w:hAnsiTheme="majorEastAsia" w:eastAsiaTheme="majorEastAsia" w:cstheme="majorEastAsia"/>
              <w:b/>
              <w:sz w:val="28"/>
              <w:szCs w:val="28"/>
            </w:rPr>
            <w:fldChar w:fldCharType="end"/>
          </w:r>
        </w:p>
        <w:p>
          <w:pPr>
            <w:pStyle w:val="33"/>
            <w:tabs>
              <w:tab w:val="right" w:leader="dot" w:pos="8306"/>
            </w:tabs>
            <w:rPr>
              <w:b/>
            </w:rPr>
          </w:pPr>
          <w:r>
            <w:rPr>
              <w:rFonts w:hint="eastAsia" w:asciiTheme="majorEastAsia" w:hAnsiTheme="majorEastAsia" w:eastAsiaTheme="majorEastAsia" w:cstheme="majorEastAsia"/>
              <w:b/>
              <w:sz w:val="28"/>
              <w:szCs w:val="28"/>
            </w:rPr>
            <w:fldChar w:fldCharType="begin"/>
          </w:r>
          <w:r>
            <w:rPr>
              <w:rFonts w:hint="eastAsia" w:asciiTheme="majorEastAsia" w:hAnsiTheme="majorEastAsia" w:eastAsiaTheme="majorEastAsia" w:cstheme="majorEastAsia"/>
              <w:b/>
              <w:sz w:val="28"/>
              <w:szCs w:val="28"/>
            </w:rPr>
            <w:instrText xml:space="preserve"> HYPERLINK \l _Toc744 </w:instrText>
          </w:r>
          <w:r>
            <w:rPr>
              <w:rFonts w:hint="eastAsia" w:asciiTheme="majorEastAsia" w:hAnsiTheme="majorEastAsia" w:eastAsiaTheme="majorEastAsia" w:cstheme="majorEastAsia"/>
              <w:b/>
              <w:sz w:val="28"/>
              <w:szCs w:val="28"/>
            </w:rPr>
            <w:fldChar w:fldCharType="separate"/>
          </w:r>
          <w:r>
            <w:rPr>
              <w:rFonts w:hint="eastAsia" w:asciiTheme="majorEastAsia" w:hAnsiTheme="majorEastAsia" w:eastAsiaTheme="majorEastAsia" w:cstheme="majorEastAsia"/>
              <w:b/>
              <w:sz w:val="28"/>
              <w:szCs w:val="28"/>
            </w:rPr>
            <w:t>第五部分附表</w:t>
          </w:r>
          <w:r>
            <w:rPr>
              <w:rFonts w:hint="eastAsia" w:asciiTheme="majorEastAsia" w:hAnsiTheme="majorEastAsia" w:eastAsiaTheme="majorEastAsia" w:cstheme="majorEastAsia"/>
              <w:b/>
              <w:sz w:val="28"/>
              <w:szCs w:val="28"/>
            </w:rPr>
            <w:tab/>
          </w:r>
          <w:r>
            <w:rPr>
              <w:rFonts w:hint="eastAsia" w:asciiTheme="majorEastAsia" w:hAnsiTheme="majorEastAsia" w:eastAsiaTheme="majorEastAsia" w:cstheme="majorEastAsia"/>
              <w:b/>
              <w:sz w:val="28"/>
              <w:szCs w:val="28"/>
            </w:rPr>
            <w:fldChar w:fldCharType="begin"/>
          </w:r>
          <w:r>
            <w:rPr>
              <w:rFonts w:hint="eastAsia" w:asciiTheme="majorEastAsia" w:hAnsiTheme="majorEastAsia" w:eastAsiaTheme="majorEastAsia" w:cstheme="majorEastAsia"/>
              <w:b/>
              <w:sz w:val="28"/>
              <w:szCs w:val="28"/>
            </w:rPr>
            <w:instrText xml:space="preserve"> PAGEREF _Toc744 \h </w:instrText>
          </w:r>
          <w:r>
            <w:rPr>
              <w:rFonts w:hint="eastAsia" w:asciiTheme="majorEastAsia" w:hAnsiTheme="majorEastAsia" w:eastAsiaTheme="majorEastAsia" w:cstheme="majorEastAsia"/>
              <w:b/>
              <w:sz w:val="28"/>
              <w:szCs w:val="28"/>
            </w:rPr>
            <w:fldChar w:fldCharType="separate"/>
          </w:r>
          <w:r>
            <w:rPr>
              <w:rFonts w:hint="eastAsia" w:asciiTheme="majorEastAsia" w:hAnsiTheme="majorEastAsia" w:eastAsiaTheme="majorEastAsia" w:cstheme="majorEastAsia"/>
              <w:b/>
              <w:sz w:val="28"/>
              <w:szCs w:val="28"/>
            </w:rPr>
            <w:t>26</w:t>
          </w:r>
          <w:r>
            <w:rPr>
              <w:rFonts w:hint="eastAsia" w:asciiTheme="majorEastAsia" w:hAnsiTheme="majorEastAsia" w:eastAsiaTheme="majorEastAsia" w:cstheme="majorEastAsia"/>
              <w:b/>
              <w:sz w:val="28"/>
              <w:szCs w:val="28"/>
            </w:rPr>
            <w:fldChar w:fldCharType="end"/>
          </w:r>
          <w:r>
            <w:rPr>
              <w:rFonts w:hint="eastAsia" w:asciiTheme="majorEastAsia" w:hAnsiTheme="majorEastAsia" w:eastAsiaTheme="majorEastAsia" w:cstheme="majorEastAsia"/>
              <w:b/>
              <w:sz w:val="28"/>
              <w:szCs w:val="28"/>
            </w:rPr>
            <w:fldChar w:fldCharType="end"/>
          </w:r>
        </w:p>
        <w:p>
          <w:pPr>
            <w:pStyle w:val="34"/>
            <w:tabs>
              <w:tab w:val="right" w:leader="dot" w:pos="8306"/>
            </w:tabs>
          </w:pPr>
        </w:p>
        <w:p>
          <w:r>
            <w:rPr>
              <w:b/>
            </w:rPr>
            <w:fldChar w:fldCharType="end"/>
          </w:r>
        </w:p>
      </w:sdtContent>
    </w:sdt>
    <w:p>
      <w:pPr>
        <w:pStyle w:val="3"/>
        <w:jc w:val="center"/>
        <w:rPr>
          <w:rFonts w:hint="eastAsia" w:ascii="黑体" w:hAnsi="黑体" w:eastAsia="黑体"/>
          <w:b w:val="0"/>
        </w:rPr>
        <w:sectPr>
          <w:footerReference r:id="rId6" w:type="first"/>
          <w:footerReference r:id="rId5" w:type="default"/>
          <w:pgSz w:w="11906" w:h="16838"/>
          <w:pgMar w:top="1440" w:right="1800" w:bottom="1440" w:left="1800" w:header="851" w:footer="992" w:gutter="0"/>
          <w:pgNumType w:fmt="decimal" w:start="1"/>
          <w:cols w:space="425" w:num="1"/>
          <w:titlePg/>
          <w:docGrid w:type="lines" w:linePitch="312" w:charSpace="0"/>
        </w:sectPr>
      </w:pPr>
      <w:bookmarkStart w:id="16" w:name="_Toc14345"/>
    </w:p>
    <w:p>
      <w:pPr>
        <w:pStyle w:val="3"/>
        <w:jc w:val="center"/>
        <w:rPr>
          <w:rFonts w:ascii="黑体" w:eastAsia="黑体"/>
          <w:sz w:val="32"/>
          <w:szCs w:val="32"/>
        </w:rPr>
      </w:pPr>
      <w:r>
        <w:rPr>
          <w:rFonts w:hint="eastAsia" w:ascii="黑体" w:hAnsi="黑体" w:eastAsia="黑体"/>
          <w:b w:val="0"/>
        </w:rPr>
        <w:t>第一部分</w:t>
      </w:r>
      <w:r>
        <w:rPr>
          <w:rFonts w:hint="eastAsia" w:ascii="黑体" w:hAnsi="黑体" w:eastAsia="黑体"/>
          <w:b w:val="0"/>
          <w:lang w:val="en-US" w:eastAsia="zh-CN"/>
        </w:rPr>
        <w:t>部门</w:t>
      </w:r>
      <w:r>
        <w:rPr>
          <w:rStyle w:val="27"/>
          <w:rFonts w:hint="eastAsia" w:ascii="黑体" w:hAnsi="黑体" w:eastAsia="黑体"/>
          <w:b w:val="0"/>
          <w:bCs w:val="0"/>
        </w:rPr>
        <w:t>概况</w:t>
      </w:r>
      <w:bookmarkEnd w:id="16"/>
    </w:p>
    <w:p>
      <w:pPr>
        <w:pStyle w:val="4"/>
        <w:keepNext w:val="0"/>
        <w:keepLines w:val="0"/>
        <w:widowControl/>
        <w:suppressLineNumbers w:val="0"/>
        <w:spacing w:before="0" w:beforeAutospacing="0"/>
        <w:ind w:left="0"/>
        <w:jc w:val="left"/>
        <w:rPr>
          <w:rFonts w:hint="eastAsia" w:ascii="黑体" w:hAnsi="黑体" w:eastAsia="黑体" w:cs="黑体"/>
          <w:shd w:val="clear" w:fill="FFFFFF"/>
        </w:rPr>
      </w:pPr>
      <w:bookmarkStart w:id="17" w:name="_Toc15396600"/>
      <w:bookmarkStart w:id="18" w:name="_Toc15377197"/>
      <w:r>
        <w:rPr>
          <w:rFonts w:hint="eastAsia" w:ascii="黑体" w:hAnsi="黑体" w:eastAsia="黑体" w:cs="黑体"/>
          <w:shd w:val="clear" w:fill="FFFFFF"/>
        </w:rPr>
        <w:t>一、基本职能及主要工作</w:t>
      </w:r>
    </w:p>
    <w:p>
      <w:pPr>
        <w:pStyle w:val="14"/>
        <w:shd w:val="clear" w:color="auto" w:fill="FFFFFF"/>
        <w:spacing w:line="576" w:lineRule="exact"/>
        <w:ind w:firstLine="640" w:firstLineChars="200"/>
        <w:contextualSpacing/>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（一）主要职能。</w:t>
      </w:r>
    </w:p>
    <w:p>
      <w:pPr>
        <w:pStyle w:val="14"/>
        <w:shd w:val="clear" w:color="auto" w:fill="FFFFFF"/>
        <w:spacing w:line="576" w:lineRule="exact"/>
        <w:ind w:firstLine="640" w:firstLineChars="200"/>
        <w:contextualSpacing/>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马尔康市人民法院充分发挥审判职能，推进社会矛盾化解；及时审理各类民商事纠纷案件；积极稳妥地审理好行政案件；加强执行工作，确保权利人的合法权利得到实现；加强立案、信访接待工作；加强审判质量评查与管理，提高审判质量。</w:t>
      </w:r>
    </w:p>
    <w:p>
      <w:pPr>
        <w:pStyle w:val="14"/>
        <w:shd w:val="clear" w:color="auto" w:fill="FFFFFF"/>
        <w:spacing w:line="576" w:lineRule="exact"/>
        <w:ind w:firstLine="640" w:firstLineChars="200"/>
        <w:contextualSpacing/>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（二）2022年重点工作完成情况。</w:t>
      </w:r>
    </w:p>
    <w:p>
      <w:pPr>
        <w:pStyle w:val="14"/>
        <w:shd w:val="clear" w:color="auto" w:fill="FFFFFF"/>
        <w:spacing w:line="576" w:lineRule="exact"/>
        <w:ind w:firstLine="640" w:firstLineChars="200"/>
        <w:contextualSpacing/>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2022年，马尔康市人民法院在市委的坚强领导、市人大及其常委会的有力监督、市政府、市政协和社会各界的大力支持及上级法院的精心指导下，坚持以习近平新时代中国特色社会主义思想为指导，深入学习贯彻党的十九届六中、七中全会和党的二十大精神及省、州第十二次党代会精神，紧紧围绕马尔康市“一城两区三地”建设目标，充分履行审判职能，攻坚克难、锐意进取，各项工作取得新成绩。全年共受理案件794件，同比下降1.97%，结案786件，结案率98.99%，同比增长2.17%。办理民事纠纷诉前调解案件115件，同比增长43.75%。</w:t>
      </w:r>
    </w:p>
    <w:bookmarkEnd w:id="17"/>
    <w:bookmarkEnd w:id="18"/>
    <w:p>
      <w:pPr>
        <w:pStyle w:val="4"/>
        <w:keepNext w:val="0"/>
        <w:keepLines w:val="0"/>
        <w:widowControl/>
        <w:suppressLineNumbers w:val="0"/>
        <w:spacing w:before="0" w:beforeAutospacing="0"/>
        <w:ind w:left="0"/>
        <w:jc w:val="left"/>
        <w:rPr>
          <w:shd w:val="clear" w:fill="FFFFFF"/>
        </w:rPr>
      </w:pPr>
    </w:p>
    <w:p>
      <w:pPr>
        <w:pStyle w:val="4"/>
        <w:keepNext w:val="0"/>
        <w:keepLines w:val="0"/>
        <w:widowControl/>
        <w:suppressLineNumbers w:val="0"/>
        <w:spacing w:before="0" w:beforeAutospacing="0"/>
        <w:ind w:left="0"/>
        <w:jc w:val="left"/>
        <w:rPr>
          <w:shd w:val="clear" w:fill="FFFFFF"/>
        </w:rPr>
      </w:pPr>
    </w:p>
    <w:p>
      <w:pPr>
        <w:pStyle w:val="4"/>
        <w:keepNext w:val="0"/>
        <w:keepLines w:val="0"/>
        <w:widowControl/>
        <w:suppressLineNumbers w:val="0"/>
        <w:spacing w:before="0" w:beforeAutospacing="0"/>
        <w:ind w:left="0"/>
        <w:jc w:val="left"/>
        <w:rPr>
          <w:rFonts w:hint="eastAsia" w:ascii="黑体" w:hAnsi="黑体" w:eastAsia="黑体" w:cs="黑体"/>
        </w:rPr>
      </w:pPr>
      <w:r>
        <w:rPr>
          <w:rFonts w:hint="eastAsia" w:ascii="黑体" w:hAnsi="黑体" w:eastAsia="黑体" w:cs="黑体"/>
          <w:shd w:val="clear" w:fill="FFFFFF"/>
        </w:rPr>
        <w:t>二、机构设置</w:t>
      </w:r>
    </w:p>
    <w:p>
      <w:pPr>
        <w:pStyle w:val="14"/>
        <w:shd w:val="clear" w:color="auto" w:fill="FFFFFF"/>
        <w:spacing w:line="576" w:lineRule="exact"/>
        <w:ind w:firstLine="640" w:firstLineChars="200"/>
        <w:contextualSpacing/>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本部门本年度纳入本套决算编制范围的独立编制机构数共1个，比上年增加0个；独立核算机构数共1个，比上年增加0个。</w:t>
      </w:r>
    </w:p>
    <w:p>
      <w:pPr>
        <w:pStyle w:val="14"/>
        <w:shd w:val="clear" w:color="auto" w:fill="FFFFFF"/>
        <w:spacing w:line="576" w:lineRule="exact"/>
        <w:ind w:firstLine="640" w:firstLineChars="200"/>
        <w:contextualSpacing/>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本部门本年度年末实有人数为58人，比上年增加-1人；年末实有离退休人数为0人，比上年增加0人；变动情况及原因为本年在职转退休干部1人。年末实有其他人数为0人，比上年增加0人。</w:t>
      </w:r>
    </w:p>
    <w:p>
      <w:pPr>
        <w:widowControl/>
        <w:jc w:val="left"/>
        <w:rPr>
          <w:rFonts w:ascii="仿宋" w:hAnsi="仿宋" w:eastAsia="仿宋"/>
          <w:kern w:val="0"/>
          <w:sz w:val="32"/>
          <w:szCs w:val="32"/>
        </w:rPr>
      </w:pPr>
      <w:r>
        <w:rPr>
          <w:rFonts w:hint="eastAsia" w:ascii="宋体" w:hAnsi="宋体" w:cs="宋体"/>
          <w:sz w:val="30"/>
          <w:szCs w:val="30"/>
        </w:rPr>
        <w:br w:type="page"/>
      </w:r>
    </w:p>
    <w:p>
      <w:pPr>
        <w:pStyle w:val="3"/>
        <w:ind w:right="440"/>
        <w:jc w:val="center"/>
        <w:rPr>
          <w:rStyle w:val="27"/>
          <w:rFonts w:ascii="黑体" w:hAnsi="黑体" w:eastAsia="黑体"/>
          <w:b w:val="0"/>
          <w:bCs/>
        </w:rPr>
      </w:pPr>
      <w:bookmarkStart w:id="19" w:name="_Toc31237"/>
      <w:bookmarkStart w:id="20" w:name="_Toc15377204"/>
      <w:bookmarkStart w:id="21" w:name="_Toc15396602"/>
      <w:r>
        <w:rPr>
          <w:rFonts w:hint="eastAsia" w:ascii="黑体" w:hAnsi="黑体" w:eastAsia="黑体"/>
          <w:b w:val="0"/>
        </w:rPr>
        <w:t>第二部分</w:t>
      </w:r>
      <w:r>
        <w:rPr>
          <w:rFonts w:ascii="黑体" w:hAnsi="黑体" w:eastAsia="黑体"/>
          <w:u w:color="auto"/>
        </w:rPr>
        <w:t>2022年度</w:t>
      </w:r>
      <w:r>
        <w:rPr>
          <w:rStyle w:val="27"/>
          <w:rFonts w:hint="eastAsia" w:ascii="黑体" w:hAnsi="黑体" w:eastAsia="黑体"/>
          <w:b w:val="0"/>
          <w:bCs/>
          <w:lang w:val="en-US" w:eastAsia="zh-CN"/>
        </w:rPr>
        <w:t>部门</w:t>
      </w:r>
      <w:r>
        <w:rPr>
          <w:rStyle w:val="27"/>
          <w:rFonts w:hint="eastAsia" w:ascii="黑体" w:hAnsi="黑体" w:eastAsia="黑体"/>
          <w:b w:val="0"/>
          <w:bCs/>
        </w:rPr>
        <w:t>决算情况说明</w:t>
      </w:r>
      <w:bookmarkEnd w:id="19"/>
      <w:bookmarkEnd w:id="20"/>
      <w:bookmarkEnd w:id="21"/>
    </w:p>
    <w:p/>
    <w:p>
      <w:pPr>
        <w:pStyle w:val="26"/>
        <w:numPr>
          <w:ilvl w:val="0"/>
          <w:numId w:val="1"/>
        </w:numPr>
        <w:spacing w:line="600" w:lineRule="exact"/>
        <w:ind w:firstLineChars="0"/>
        <w:outlineLvl w:val="1"/>
        <w:rPr>
          <w:rStyle w:val="28"/>
          <w:rFonts w:ascii="黑体" w:hAnsi="黑体" w:eastAsia="黑体"/>
          <w:b w:val="0"/>
        </w:rPr>
      </w:pPr>
      <w:bookmarkStart w:id="22" w:name="_Toc15377205"/>
      <w:bookmarkStart w:id="23" w:name="_Toc15396603"/>
      <w:bookmarkStart w:id="24" w:name="_Toc26055"/>
      <w:r>
        <w:rPr>
          <w:rFonts w:hint="eastAsia" w:ascii="黑体" w:hAnsi="黑体" w:eastAsia="黑体"/>
          <w:sz w:val="32"/>
          <w:szCs w:val="32"/>
        </w:rPr>
        <w:t>收</w:t>
      </w:r>
      <w:r>
        <w:rPr>
          <w:rStyle w:val="28"/>
          <w:rFonts w:hint="eastAsia" w:ascii="黑体" w:hAnsi="黑体" w:eastAsia="黑体"/>
          <w:b w:val="0"/>
        </w:rPr>
        <w:t>入支出决算总体情况说明</w:t>
      </w:r>
      <w:bookmarkEnd w:id="22"/>
      <w:bookmarkEnd w:id="23"/>
      <w:bookmarkEnd w:id="24"/>
    </w:p>
    <w:p>
      <w:pPr>
        <w:spacing w:line="600" w:lineRule="exact"/>
        <w:ind w:firstLine="640" w:firstLineChars="200"/>
        <w:rPr>
          <w:rFonts w:ascii="仿宋" w:hAnsi="仿宋" w:eastAsia="仿宋"/>
          <w:sz w:val="32"/>
          <w:szCs w:val="32"/>
        </w:rPr>
      </w:pPr>
      <w:r>
        <w:rPr>
          <w:rFonts w:hint="eastAsia" w:ascii="仿宋" w:hAnsi="仿宋" w:eastAsia="仿宋"/>
          <w:sz w:val="32"/>
          <w:szCs w:val="32"/>
        </w:rPr>
        <w:t>2022</w:t>
      </w:r>
      <w:r>
        <w:rPr>
          <w:rFonts w:ascii="仿宋" w:hAnsi="仿宋" w:eastAsia="仿宋"/>
          <w:sz w:val="32"/>
          <w:u w:color="auto"/>
        </w:rPr>
        <w:t>年度收、支总计</w:t>
      </w:r>
      <w:r>
        <w:rPr>
          <w:rFonts w:ascii="仿宋" w:hAnsi="仿宋" w:eastAsia="仿宋"/>
          <w:sz w:val="32"/>
          <w:szCs w:val="32"/>
        </w:rPr>
        <w:t>1770.44</w:t>
      </w:r>
      <w:bookmarkStart w:id="25" w:name="_Hlk144296454"/>
      <w:bookmarkEnd w:id="25"/>
      <w:r>
        <w:rPr>
          <w:rFonts w:hint="eastAsia" w:ascii="仿宋" w:hAnsi="仿宋" w:eastAsia="仿宋"/>
          <w:sz w:val="32"/>
          <w:szCs w:val="32"/>
        </w:rPr>
        <w:t>万元。与</w:t>
      </w:r>
      <w:bookmarkStart w:id="26" w:name="_Hlk144296733"/>
      <w:r>
        <w:rPr>
          <w:rFonts w:ascii="仿宋" w:hAnsi="仿宋" w:eastAsia="仿宋"/>
          <w:sz w:val="32"/>
          <w:u w:color="auto"/>
        </w:rPr>
        <w:t>2021年相比，收、支总计各</w:t>
      </w:r>
      <w:r>
        <w:rPr>
          <w:rFonts w:hint="eastAsia" w:ascii="仿宋" w:hAnsi="仿宋" w:eastAsia="仿宋"/>
          <w:sz w:val="32"/>
          <w:szCs w:val="32"/>
        </w:rPr>
        <w:t>减少</w:t>
      </w:r>
      <w:bookmarkEnd w:id="26"/>
      <w:r>
        <w:rPr>
          <w:rFonts w:hint="eastAsia" w:ascii="仿宋" w:hAnsi="仿宋" w:eastAsia="仿宋"/>
          <w:sz w:val="32"/>
          <w:szCs w:val="32"/>
        </w:rPr>
        <w:t>609.52万元，</w:t>
      </w:r>
      <w:r>
        <w:rPr>
          <w:rFonts w:ascii="仿宋" w:hAnsi="仿宋" w:eastAsia="仿宋"/>
          <w:sz w:val="32"/>
          <w:u w:color="auto"/>
        </w:rPr>
        <w:t>下降25.61</w:t>
      </w:r>
      <w:r>
        <w:rPr>
          <w:rFonts w:ascii="仿宋" w:hAnsi="仿宋" w:eastAsia="仿宋"/>
          <w:sz w:val="32"/>
          <w:szCs w:val="32"/>
        </w:rPr>
        <w:t>%</w:t>
      </w:r>
      <w:r>
        <w:rPr>
          <w:rFonts w:hint="eastAsia" w:ascii="仿宋" w:hAnsi="仿宋" w:eastAsia="仿宋"/>
          <w:sz w:val="32"/>
          <w:szCs w:val="32"/>
        </w:rPr>
        <w:t>。主要变动原因是本年人员减少、目标绩效奖金减少，支出减少。</w:t>
      </w:r>
    </w:p>
    <w:p>
      <w:r>
        <w:drawing>
          <wp:inline distT="0" distB="0" distL="114300" distR="114300">
            <wp:extent cx="5057140" cy="1842770"/>
            <wp:effectExtent l="5080" t="4445" r="5080" b="19685"/>
            <wp:docPr id="4" name="图表 1" descr="{{chartIncomeExpend}}" title="{{chartIncomeExpend}}"/>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jc w:val="center"/>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w:t>
      </w:r>
    </w:p>
    <w:p>
      <w:pPr>
        <w:pStyle w:val="26"/>
        <w:numPr>
          <w:ilvl w:val="0"/>
          <w:numId w:val="1"/>
        </w:numPr>
        <w:spacing w:line="600" w:lineRule="exact"/>
        <w:ind w:firstLineChars="0"/>
        <w:outlineLvl w:val="1"/>
        <w:rPr>
          <w:rStyle w:val="28"/>
          <w:rFonts w:ascii="黑体" w:hAnsi="黑体" w:eastAsia="黑体"/>
          <w:b w:val="0"/>
        </w:rPr>
      </w:pPr>
      <w:bookmarkStart w:id="27" w:name="_Toc15396604"/>
      <w:bookmarkStart w:id="28" w:name="_Toc18237"/>
      <w:bookmarkStart w:id="29" w:name="_Toc15377206"/>
      <w:r>
        <w:rPr>
          <w:rFonts w:hint="eastAsia" w:ascii="黑体" w:hAnsi="黑体" w:eastAsia="黑体"/>
          <w:sz w:val="32"/>
          <w:szCs w:val="32"/>
        </w:rPr>
        <w:t>收</w:t>
      </w:r>
      <w:r>
        <w:rPr>
          <w:rStyle w:val="28"/>
          <w:rFonts w:hint="eastAsia" w:ascii="黑体" w:hAnsi="黑体" w:eastAsia="黑体"/>
          <w:b w:val="0"/>
        </w:rPr>
        <w:t>入决算情况说明</w:t>
      </w:r>
      <w:bookmarkEnd w:id="27"/>
      <w:bookmarkEnd w:id="28"/>
      <w:bookmarkEnd w:id="29"/>
    </w:p>
    <w:p>
      <w:pPr>
        <w:pStyle w:val="13"/>
        <w:widowControl/>
        <w:shd w:val="clear" w:color="auto" w:fill="FFFFFF"/>
        <w:ind w:firstLine="640" w:firstLineChars="200"/>
        <w:rPr>
          <w:rFonts w:hint="default" w:ascii="仿宋" w:hAnsi="仿宋" w:eastAsia="仿宋" w:cs="宋体"/>
          <w:sz w:val="32"/>
          <w:szCs w:val="32"/>
        </w:rPr>
      </w:pPr>
      <w:r>
        <w:rPr>
          <w:rFonts w:ascii="仿宋" w:hAnsi="仿宋" w:eastAsia="仿宋"/>
          <w:sz w:val="32"/>
          <w:szCs w:val="32"/>
        </w:rPr>
        <w:t>2022</w:t>
      </w:r>
      <w:r>
        <w:rPr>
          <w:rFonts w:ascii="仿宋" w:hAnsi="仿宋" w:eastAsia="仿宋"/>
          <w:sz w:val="32"/>
          <w:u w:color="auto"/>
        </w:rPr>
        <w:t>年本年收入合计1770.44万元，其中：</w:t>
      </w:r>
      <w:bookmarkStart w:id="30" w:name="_Hlk144813712"/>
      <w:bookmarkEnd w:id="30"/>
      <w:bookmarkStart w:id="31" w:name="_Hlk144806406"/>
      <w:bookmarkEnd w:id="31"/>
      <w:r>
        <w:rPr>
          <w:rFonts w:ascii="仿宋" w:hAnsi="仿宋" w:eastAsia="仿宋"/>
          <w:sz w:val="32"/>
          <w:u w:color="auto"/>
        </w:rPr>
        <w:t>一般公共预算财政拨款收入1611.62万元，占</w:t>
      </w:r>
      <w:r>
        <w:rPr>
          <w:rFonts w:ascii="仿宋" w:hAnsi="仿宋" w:eastAsia="仿宋" w:cs="宋体"/>
          <w:sz w:val="32"/>
          <w:szCs w:val="32"/>
        </w:rPr>
        <w:t>91.03%</w:t>
      </w:r>
      <w:r>
        <w:rPr>
          <w:rFonts w:ascii="仿宋" w:hAnsi="仿宋" w:eastAsia="仿宋"/>
          <w:sz w:val="32"/>
          <w:szCs w:val="32"/>
        </w:rPr>
        <w:t>；</w:t>
      </w:r>
      <w:r>
        <w:rPr>
          <w:rFonts w:ascii="仿宋" w:hAnsi="仿宋" w:eastAsia="仿宋"/>
          <w:sz w:val="32"/>
          <w:u w:color="auto"/>
        </w:rPr>
        <w:t>其他收入158.82万元，占</w:t>
      </w:r>
      <w:r>
        <w:rPr>
          <w:rFonts w:ascii="仿宋" w:hAnsi="仿宋" w:eastAsia="仿宋" w:cs="宋体"/>
          <w:sz w:val="32"/>
          <w:szCs w:val="32"/>
        </w:rPr>
        <w:t>8.97%</w:t>
      </w:r>
      <w:bookmarkStart w:id="32" w:name="_Hlk144806438"/>
      <w:r>
        <w:rPr>
          <w:rFonts w:ascii="仿宋" w:hAnsi="仿宋" w:eastAsia="仿宋" w:cs="宋体"/>
          <w:sz w:val="32"/>
          <w:szCs w:val="32"/>
        </w:rPr>
        <w:t>。</w:t>
      </w:r>
      <w:bookmarkEnd w:id="32"/>
    </w:p>
    <w:p>
      <w:pPr>
        <w:jc w:val="center"/>
        <w:rPr>
          <w:rFonts w:hint="eastAsia" w:eastAsia="宋体"/>
          <w:lang w:eastAsia="zh-CN"/>
        </w:rPr>
      </w:pPr>
      <w:r>
        <w:rPr>
          <w:rFonts w:hint="eastAsia" w:eastAsia="宋体"/>
          <w:lang w:eastAsia="zh-CN"/>
        </w:rPr>
        <w:drawing>
          <wp:inline distT="0" distB="0" distL="114300" distR="114300">
            <wp:extent cx="5156200" cy="1730375"/>
            <wp:effectExtent l="4445" t="4445" r="20955" b="17780"/>
            <wp:docPr id="8" name="图表 8" title="{{#this}}"/>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jc w:val="center"/>
        <w:rPr>
          <w:rFonts w:ascii="仿宋" w:hAnsi="仿宋" w:eastAsia="仿宋"/>
          <w:sz w:val="32"/>
          <w:szCs w:val="32"/>
        </w:rPr>
      </w:pPr>
      <w:r>
        <w:rPr>
          <w:rFonts w:hint="eastAsia" w:ascii="仿宋" w:hAnsi="仿宋" w:eastAsia="仿宋"/>
          <w:sz w:val="32"/>
          <w:szCs w:val="32"/>
        </w:rPr>
        <w:t>（图2：收入决算结构图）</w:t>
      </w:r>
    </w:p>
    <w:p>
      <w:pPr>
        <w:pStyle w:val="26"/>
        <w:numPr>
          <w:ilvl w:val="0"/>
          <w:numId w:val="1"/>
        </w:numPr>
        <w:spacing w:line="600" w:lineRule="exact"/>
        <w:ind w:firstLineChars="0"/>
        <w:outlineLvl w:val="1"/>
        <w:rPr>
          <w:rStyle w:val="28"/>
          <w:rFonts w:ascii="黑体" w:hAnsi="黑体" w:eastAsia="黑体"/>
          <w:b w:val="0"/>
        </w:rPr>
      </w:pPr>
      <w:bookmarkStart w:id="33" w:name="_Toc15377207"/>
      <w:bookmarkStart w:id="34" w:name="_Toc15396605"/>
      <w:bookmarkStart w:id="35" w:name="_Toc2709"/>
      <w:r>
        <w:rPr>
          <w:rFonts w:hint="eastAsia" w:ascii="黑体" w:hAnsi="黑体" w:eastAsia="黑体"/>
          <w:sz w:val="32"/>
          <w:szCs w:val="32"/>
        </w:rPr>
        <w:t>支</w:t>
      </w:r>
      <w:r>
        <w:rPr>
          <w:rStyle w:val="28"/>
          <w:rFonts w:hint="eastAsia" w:ascii="黑体" w:hAnsi="黑体" w:eastAsia="黑体"/>
          <w:b w:val="0"/>
        </w:rPr>
        <w:t>出决算情况说明</w:t>
      </w:r>
      <w:bookmarkEnd w:id="33"/>
      <w:bookmarkEnd w:id="34"/>
      <w:bookmarkEnd w:id="35"/>
    </w:p>
    <w:p>
      <w:pPr>
        <w:spacing w:line="600" w:lineRule="exact"/>
        <w:ind w:firstLine="640" w:firstLineChars="200"/>
        <w:rPr>
          <w:rFonts w:ascii="仿宋" w:hAnsi="仿宋" w:eastAsia="仿宋" w:cs="宋体"/>
          <w:kern w:val="0"/>
          <w:sz w:val="32"/>
          <w:szCs w:val="32"/>
          <w:lang w:bidi="ar"/>
        </w:rPr>
      </w:pPr>
      <w:r>
        <w:rPr>
          <w:rFonts w:hint="eastAsia" w:ascii="仿宋" w:hAnsi="仿宋" w:eastAsia="仿宋" w:cs="宋体"/>
          <w:kern w:val="0"/>
          <w:sz w:val="32"/>
          <w:szCs w:val="32"/>
          <w:lang w:bidi="ar"/>
        </w:rPr>
        <w:t>2022</w:t>
      </w:r>
      <w:bookmarkStart w:id="36" w:name="_Hlk144893831"/>
      <w:bookmarkEnd w:id="36"/>
      <w:r>
        <w:rPr>
          <w:rFonts w:ascii="仿宋" w:hAnsi="仿宋" w:eastAsia="仿宋" w:cs="仿宋"/>
          <w:sz w:val="32"/>
          <w:u w:color="auto"/>
        </w:rPr>
        <w:t>年本年支出合计1653.07</w:t>
      </w:r>
      <w:r>
        <w:rPr>
          <w:rFonts w:hint="eastAsia" w:ascii="仿宋" w:hAnsi="仿宋" w:eastAsia="仿宋" w:cs="宋体"/>
          <w:kern w:val="0"/>
          <w:sz w:val="32"/>
          <w:szCs w:val="32"/>
          <w:lang w:bidi="ar"/>
        </w:rPr>
        <w:t>万元，其中：</w:t>
      </w:r>
      <w:r>
        <w:rPr>
          <w:rFonts w:ascii="仿宋" w:hAnsi="仿宋" w:eastAsia="仿宋" w:cs="仿宋"/>
          <w:sz w:val="32"/>
          <w:u w:color="auto"/>
        </w:rPr>
        <w:t>基本支出1359.38</w:t>
      </w:r>
      <w:r>
        <w:rPr>
          <w:rFonts w:hint="eastAsia" w:ascii="仿宋" w:hAnsi="仿宋" w:eastAsia="仿宋" w:cs="宋体"/>
          <w:kern w:val="0"/>
          <w:sz w:val="32"/>
          <w:szCs w:val="32"/>
          <w:lang w:bidi="ar"/>
        </w:rPr>
        <w:t>万元，占</w:t>
      </w:r>
      <w:r>
        <w:rPr>
          <w:rFonts w:ascii="仿宋" w:hAnsi="仿宋" w:eastAsia="仿宋" w:cs="宋体"/>
          <w:kern w:val="0"/>
          <w:sz w:val="32"/>
          <w:szCs w:val="32"/>
          <w:lang w:bidi="ar"/>
        </w:rPr>
        <w:t>82.23</w:t>
      </w:r>
      <w:r>
        <w:rPr>
          <w:rFonts w:ascii="仿宋" w:hAnsi="仿宋" w:eastAsia="仿宋" w:cs="仿宋"/>
          <w:sz w:val="32"/>
          <w:u w:color="auto"/>
        </w:rPr>
        <w:t>%；项目支出293.69</w:t>
      </w:r>
      <w:r>
        <w:rPr>
          <w:rFonts w:hint="eastAsia" w:ascii="仿宋" w:hAnsi="仿宋" w:eastAsia="仿宋" w:cs="宋体"/>
          <w:kern w:val="0"/>
          <w:sz w:val="32"/>
          <w:szCs w:val="32"/>
          <w:lang w:bidi="ar"/>
        </w:rPr>
        <w:t>万元，占</w:t>
      </w:r>
      <w:r>
        <w:rPr>
          <w:rFonts w:ascii="仿宋" w:hAnsi="仿宋" w:eastAsia="仿宋" w:cs="宋体"/>
          <w:kern w:val="0"/>
          <w:sz w:val="32"/>
          <w:szCs w:val="32"/>
          <w:lang w:bidi="ar"/>
        </w:rPr>
        <w:t>17.77</w:t>
      </w:r>
      <w:r>
        <w:rPr>
          <w:rFonts w:ascii="仿宋" w:hAnsi="仿宋" w:eastAsia="仿宋" w:cs="仿宋"/>
          <w:sz w:val="32"/>
          <w:u w:color="auto"/>
        </w:rPr>
        <w:t>%</w:t>
      </w:r>
      <w:r>
        <w:rPr>
          <w:rFonts w:hint="eastAsia" w:ascii="仿宋" w:hAnsi="仿宋" w:eastAsia="仿宋" w:cs="宋体"/>
          <w:kern w:val="0"/>
          <w:sz w:val="32"/>
          <w:szCs w:val="32"/>
          <w:lang w:bidi="ar"/>
        </w:rPr>
        <w:t>。</w:t>
      </w:r>
    </w:p>
    <w:p>
      <w:pPr>
        <w:jc w:val="center"/>
      </w:pPr>
      <w:r>
        <w:rPr>
          <w:rFonts w:hint="eastAsia" w:eastAsia="宋体"/>
          <w:lang w:eastAsia="zh-CN"/>
        </w:rPr>
        <w:drawing>
          <wp:inline distT="0" distB="0" distL="114300" distR="114300">
            <wp:extent cx="5156200" cy="2374900"/>
            <wp:effectExtent l="5080" t="4445" r="20320" b="20955"/>
            <wp:docPr id="9" name="图表 9" title="{{#this}}"/>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jc w:val="center"/>
        <w:rPr>
          <w:rFonts w:ascii="仿宋" w:hAnsi="仿宋" w:eastAsia="仿宋"/>
          <w:sz w:val="32"/>
          <w:szCs w:val="32"/>
        </w:rPr>
      </w:pPr>
      <w:r>
        <w:rPr>
          <w:rFonts w:hint="eastAsia" w:ascii="仿宋" w:hAnsi="仿宋" w:eastAsia="仿宋"/>
          <w:sz w:val="32"/>
          <w:szCs w:val="32"/>
        </w:rPr>
        <w:t>（图3：支出决算结构图）</w:t>
      </w:r>
    </w:p>
    <w:p>
      <w:pPr>
        <w:spacing w:line="600" w:lineRule="exact"/>
        <w:ind w:firstLine="640" w:firstLineChars="200"/>
        <w:outlineLvl w:val="1"/>
        <w:rPr>
          <w:rStyle w:val="28"/>
          <w:rFonts w:ascii="黑体" w:hAnsi="黑体" w:eastAsia="黑体"/>
          <w:b w:val="0"/>
        </w:rPr>
      </w:pPr>
      <w:bookmarkStart w:id="37" w:name="_Toc15377208"/>
      <w:bookmarkStart w:id="38" w:name="_Toc15396606"/>
      <w:bookmarkStart w:id="39" w:name="_Toc18322"/>
      <w:r>
        <w:rPr>
          <w:rFonts w:hint="eastAsia" w:ascii="黑体" w:hAnsi="黑体" w:eastAsia="黑体"/>
          <w:sz w:val="32"/>
          <w:szCs w:val="32"/>
        </w:rPr>
        <w:t>四、财</w:t>
      </w:r>
      <w:r>
        <w:rPr>
          <w:rStyle w:val="28"/>
          <w:rFonts w:hint="eastAsia" w:ascii="黑体" w:hAnsi="黑体" w:eastAsia="黑体"/>
          <w:b w:val="0"/>
        </w:rPr>
        <w:t>政拨款收入支出决算总体情况说明</w:t>
      </w:r>
      <w:bookmarkEnd w:id="37"/>
      <w:bookmarkEnd w:id="38"/>
      <w:bookmarkEnd w:id="39"/>
    </w:p>
    <w:p>
      <w:pPr>
        <w:spacing w:line="600" w:lineRule="exact"/>
        <w:ind w:firstLine="640"/>
        <w:rPr>
          <w:rFonts w:hint="eastAsia" w:ascii="仿宋" w:hAnsi="仿宋" w:eastAsia="仿宋"/>
          <w:sz w:val="32"/>
          <w:szCs w:val="32"/>
          <w:lang w:eastAsia="zh-CN"/>
        </w:rPr>
      </w:pPr>
      <w:r>
        <w:rPr>
          <w:rFonts w:hint="eastAsia" w:ascii="仿宋" w:hAnsi="仿宋" w:eastAsia="仿宋"/>
          <w:sz w:val="32"/>
          <w:szCs w:val="32"/>
        </w:rPr>
        <w:t>2022</w:t>
      </w:r>
      <w:r>
        <w:rPr>
          <w:rFonts w:ascii="仿宋" w:hAnsi="仿宋" w:eastAsia="仿宋"/>
          <w:sz w:val="32"/>
          <w:u w:color="auto"/>
        </w:rPr>
        <w:t>年财政拨款收、支总计1611.62</w:t>
      </w:r>
      <w:r>
        <w:rPr>
          <w:rFonts w:hint="eastAsia" w:ascii="仿宋" w:hAnsi="仿宋" w:eastAsia="仿宋"/>
          <w:sz w:val="32"/>
          <w:szCs w:val="32"/>
        </w:rPr>
        <w:t>万元。与</w:t>
      </w:r>
      <w:bookmarkStart w:id="40" w:name="_Hlk144806580"/>
      <w:bookmarkEnd w:id="40"/>
      <w:r>
        <w:rPr>
          <w:rFonts w:ascii="仿宋" w:hAnsi="仿宋" w:eastAsia="仿宋"/>
          <w:sz w:val="32"/>
          <w:u w:color="auto"/>
        </w:rPr>
        <w:t>2021年相比，财政拨款收、支总计各减少</w:t>
      </w:r>
      <w:r>
        <w:rPr>
          <w:rFonts w:hint="eastAsia" w:ascii="仿宋" w:hAnsi="仿宋" w:eastAsia="仿宋"/>
          <w:sz w:val="32"/>
          <w:szCs w:val="32"/>
        </w:rPr>
        <w:t>768.34</w:t>
      </w:r>
      <w:bookmarkStart w:id="41" w:name="_Hlk144819302"/>
      <w:bookmarkEnd w:id="41"/>
      <w:bookmarkStart w:id="42" w:name="_Hlk144298851"/>
      <w:bookmarkEnd w:id="42"/>
      <w:bookmarkStart w:id="43" w:name="_Hlk144298862"/>
      <w:bookmarkEnd w:id="43"/>
      <w:r>
        <w:rPr>
          <w:rFonts w:hint="eastAsia" w:ascii="仿宋" w:hAnsi="仿宋" w:eastAsia="仿宋"/>
          <w:sz w:val="32"/>
          <w:szCs w:val="32"/>
        </w:rPr>
        <w:t>万元，</w:t>
      </w:r>
      <w:bookmarkStart w:id="44" w:name="_Hlk144298884"/>
      <w:r>
        <w:rPr>
          <w:rFonts w:hint="eastAsia" w:ascii="仿宋" w:hAnsi="仿宋" w:eastAsia="仿宋"/>
          <w:sz w:val="32"/>
          <w:szCs w:val="32"/>
        </w:rPr>
        <w:t>下降</w:t>
      </w:r>
      <w:bookmarkEnd w:id="44"/>
      <w:r>
        <w:rPr>
          <w:rFonts w:ascii="仿宋" w:hAnsi="仿宋" w:eastAsia="仿宋"/>
          <w:sz w:val="32"/>
          <w:szCs w:val="32"/>
        </w:rPr>
        <w:t>32.28%</w:t>
      </w:r>
      <w:r>
        <w:rPr>
          <w:rFonts w:hint="eastAsia" w:ascii="仿宋" w:hAnsi="仿宋" w:eastAsia="仿宋"/>
          <w:sz w:val="32"/>
          <w:szCs w:val="32"/>
        </w:rPr>
        <w:t>。主要变动原因是本年人员减少、目标绩效奖金减少，支出减少</w:t>
      </w:r>
      <w:r>
        <w:rPr>
          <w:rFonts w:hint="eastAsia" w:ascii="仿宋" w:hAnsi="仿宋" w:eastAsia="仿宋"/>
          <w:sz w:val="32"/>
          <w:szCs w:val="32"/>
          <w:lang w:eastAsia="zh-CN"/>
        </w:rPr>
        <w:t>。</w:t>
      </w:r>
    </w:p>
    <w:p>
      <w:pPr>
        <w:jc w:val="center"/>
      </w:pPr>
    </w:p>
    <w:p>
      <w:pPr>
        <w:pStyle w:val="2"/>
      </w:pPr>
      <w:r>
        <w:drawing>
          <wp:inline distT="0" distB="0" distL="114300" distR="114300">
            <wp:extent cx="5217160" cy="1896745"/>
            <wp:effectExtent l="5080" t="4445" r="16510" b="22860"/>
            <wp:docPr id="2" name="图表 1" descr="{{financialChart}}" title="{{financial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（图4：财政拨款收、支决算总计变动情况）</w:t>
      </w:r>
    </w:p>
    <w:p>
      <w:pPr>
        <w:spacing w:line="600" w:lineRule="exact"/>
        <w:ind w:firstLine="640" w:firstLineChars="200"/>
        <w:outlineLvl w:val="1"/>
        <w:rPr>
          <w:rStyle w:val="28"/>
          <w:rFonts w:ascii="黑体" w:hAnsi="黑体" w:eastAsia="黑体"/>
          <w:b w:val="0"/>
        </w:rPr>
      </w:pPr>
      <w:bookmarkStart w:id="45" w:name="_Toc259"/>
      <w:bookmarkStart w:id="46" w:name="_Toc15396607"/>
      <w:bookmarkStart w:id="47" w:name="_Toc15377209"/>
      <w:r>
        <w:rPr>
          <w:rFonts w:hint="eastAsia" w:ascii="黑体" w:hAnsi="黑体" w:eastAsia="黑体"/>
          <w:sz w:val="32"/>
          <w:szCs w:val="32"/>
        </w:rPr>
        <w:t>五、</w:t>
      </w:r>
      <w:r>
        <w:rPr>
          <w:rFonts w:hint="eastAsia" w:ascii="黑体" w:hAnsi="黑体" w:eastAsia="黑体"/>
          <w:b/>
          <w:sz w:val="32"/>
          <w:szCs w:val="32"/>
        </w:rPr>
        <w:t>一</w:t>
      </w:r>
      <w:r>
        <w:rPr>
          <w:rStyle w:val="28"/>
          <w:rFonts w:hint="eastAsia" w:ascii="黑体" w:hAnsi="黑体" w:eastAsia="黑体"/>
          <w:b w:val="0"/>
        </w:rPr>
        <w:t>般公共预算财政拨款支出决算情况说明</w:t>
      </w:r>
      <w:bookmarkEnd w:id="45"/>
      <w:bookmarkEnd w:id="46"/>
      <w:bookmarkEnd w:id="47"/>
    </w:p>
    <w:p>
      <w:pPr>
        <w:spacing w:line="600" w:lineRule="exact"/>
        <w:ind w:firstLine="643" w:firstLineChars="200"/>
        <w:outlineLvl w:val="2"/>
        <w:rPr>
          <w:rFonts w:ascii="仿宋" w:hAnsi="仿宋" w:eastAsia="仿宋"/>
          <w:b/>
          <w:sz w:val="32"/>
          <w:szCs w:val="32"/>
        </w:rPr>
      </w:pPr>
      <w:bookmarkStart w:id="48" w:name="_Toc15377210"/>
      <w:r>
        <w:rPr>
          <w:rFonts w:hint="eastAsia" w:ascii="仿宋" w:hAnsi="仿宋" w:eastAsia="仿宋"/>
          <w:b/>
          <w:sz w:val="32"/>
          <w:szCs w:val="32"/>
        </w:rPr>
        <w:t>（一）一般公共预算财政拨款支出决算总体情况</w:t>
      </w:r>
      <w:bookmarkEnd w:id="48"/>
    </w:p>
    <w:p>
      <w:pPr>
        <w:spacing w:line="600" w:lineRule="exact"/>
        <w:ind w:firstLine="640"/>
      </w:pPr>
      <w:r>
        <w:rPr>
          <w:rFonts w:hint="eastAsia" w:ascii="仿宋" w:hAnsi="仿宋" w:eastAsia="仿宋"/>
          <w:sz w:val="32"/>
          <w:szCs w:val="32"/>
        </w:rPr>
        <w:t>2022</w:t>
      </w:r>
      <w:r>
        <w:rPr>
          <w:rFonts w:ascii="仿宋" w:hAnsi="仿宋" w:eastAsia="仿宋"/>
          <w:sz w:val="32"/>
          <w:u w:color="auto"/>
        </w:rPr>
        <w:t>年一般公共预算财政拨款支出</w:t>
      </w:r>
      <w:r>
        <w:rPr>
          <w:rFonts w:ascii="仿宋" w:hAnsi="仿宋" w:eastAsia="仿宋"/>
          <w:sz w:val="32"/>
          <w:szCs w:val="32"/>
        </w:rPr>
        <w:t>1611.62</w:t>
      </w:r>
      <w:bookmarkStart w:id="49" w:name="_Hlk144299129"/>
      <w:bookmarkEnd w:id="49"/>
      <w:bookmarkStart w:id="50" w:name="_Hlk144890870"/>
      <w:bookmarkEnd w:id="50"/>
      <w:r>
        <w:rPr>
          <w:rFonts w:hint="eastAsia" w:ascii="仿宋" w:hAnsi="仿宋" w:eastAsia="仿宋"/>
          <w:sz w:val="32"/>
          <w:szCs w:val="32"/>
        </w:rPr>
        <w:t>万元，占本年支出合计的</w:t>
      </w:r>
      <w:r>
        <w:rPr>
          <w:rFonts w:ascii="仿宋" w:hAnsi="仿宋" w:eastAsia="仿宋"/>
          <w:sz w:val="32"/>
          <w:u w:color="auto"/>
        </w:rPr>
        <w:t>97.49</w:t>
      </w:r>
      <w:r>
        <w:rPr>
          <w:rFonts w:ascii="仿宋" w:hAnsi="仿宋" w:eastAsia="仿宋"/>
          <w:sz w:val="32"/>
          <w:szCs w:val="32"/>
        </w:rPr>
        <w:t>%</w:t>
      </w:r>
      <w:r>
        <w:rPr>
          <w:rFonts w:hint="eastAsia" w:ascii="仿宋" w:hAnsi="仿宋" w:eastAsia="仿宋"/>
          <w:sz w:val="32"/>
          <w:szCs w:val="32"/>
        </w:rPr>
        <w:t>。与</w:t>
      </w:r>
      <w:bookmarkStart w:id="51" w:name="_Hlk144299209"/>
      <w:r>
        <w:rPr>
          <w:rFonts w:ascii="仿宋" w:hAnsi="仿宋" w:eastAsia="仿宋"/>
          <w:sz w:val="32"/>
          <w:u w:color="auto"/>
        </w:rPr>
        <w:t>2021年相比，一般公共预算财政拨款支出</w:t>
      </w:r>
      <w:r>
        <w:rPr>
          <w:rFonts w:hint="eastAsia" w:ascii="仿宋" w:hAnsi="仿宋" w:eastAsia="仿宋"/>
          <w:sz w:val="32"/>
          <w:szCs w:val="32"/>
        </w:rPr>
        <w:t>减少</w:t>
      </w:r>
      <w:bookmarkEnd w:id="51"/>
      <w:bookmarkStart w:id="52" w:name="_Hlk144299180"/>
      <w:bookmarkEnd w:id="52"/>
      <w:bookmarkStart w:id="53" w:name="_Hlk144890885"/>
      <w:bookmarkEnd w:id="53"/>
      <w:bookmarkStart w:id="54" w:name="_Hlk144807392"/>
      <w:bookmarkEnd w:id="54"/>
      <w:r>
        <w:rPr>
          <w:rFonts w:ascii="仿宋" w:hAnsi="仿宋" w:eastAsia="仿宋"/>
          <w:sz w:val="32"/>
          <w:szCs w:val="32"/>
        </w:rPr>
        <w:t>768.34</w:t>
      </w:r>
      <w:bookmarkStart w:id="55" w:name="_Hlk144299283"/>
      <w:bookmarkEnd w:id="55"/>
      <w:bookmarkStart w:id="56" w:name="_Hlk144840330"/>
      <w:bookmarkEnd w:id="56"/>
      <w:r>
        <w:rPr>
          <w:rFonts w:hint="eastAsia" w:ascii="仿宋" w:hAnsi="仿宋" w:eastAsia="仿宋"/>
          <w:sz w:val="32"/>
          <w:szCs w:val="32"/>
        </w:rPr>
        <w:t>万元，</w:t>
      </w:r>
      <w:r>
        <w:rPr>
          <w:rFonts w:ascii="仿宋" w:hAnsi="仿宋" w:eastAsia="仿宋"/>
          <w:sz w:val="32"/>
          <w:u w:color="auto"/>
        </w:rPr>
        <w:t>下降32.28</w:t>
      </w:r>
      <w:r>
        <w:rPr>
          <w:rFonts w:ascii="仿宋" w:hAnsi="仿宋" w:eastAsia="仿宋"/>
          <w:sz w:val="32"/>
          <w:szCs w:val="32"/>
        </w:rPr>
        <w:t>%</w:t>
      </w:r>
      <w:r>
        <w:rPr>
          <w:rFonts w:hint="eastAsia" w:ascii="仿宋" w:hAnsi="仿宋" w:eastAsia="仿宋"/>
          <w:sz w:val="32"/>
          <w:szCs w:val="32"/>
        </w:rPr>
        <w:t>。主要变动原因是本年人员减少、目标绩效奖金减少，支出减少</w:t>
      </w:r>
      <w:r>
        <w:rPr>
          <w:rFonts w:hint="eastAsia" w:ascii="仿宋" w:hAnsi="仿宋" w:eastAsia="仿宋"/>
          <w:sz w:val="32"/>
          <w:szCs w:val="32"/>
          <w:lang w:eastAsia="zh-CN"/>
        </w:rPr>
        <w:t>。</w:t>
      </w:r>
    </w:p>
    <w:p>
      <w:pPr>
        <w:pStyle w:val="2"/>
      </w:pPr>
      <w:r>
        <w:drawing>
          <wp:inline distT="0" distB="0" distL="114300" distR="114300">
            <wp:extent cx="5217160" cy="1675130"/>
            <wp:effectExtent l="4445" t="4445" r="17145" b="15875"/>
            <wp:docPr id="5" name="图表 1" descr="{{commonExpendChart}}" title="{{commonExpend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firstLineChars="200"/>
        <w:jc w:val="center"/>
        <w:rPr>
          <w:rFonts w:ascii="仿宋" w:hAnsi="仿宋" w:eastAsia="仿宋"/>
          <w:sz w:val="32"/>
          <w:szCs w:val="32"/>
        </w:rPr>
      </w:pPr>
      <w:r>
        <w:rPr>
          <w:rFonts w:hint="eastAsia" w:ascii="仿宋" w:hAnsi="仿宋" w:eastAsia="仿宋"/>
          <w:sz w:val="32"/>
          <w:szCs w:val="32"/>
        </w:rPr>
        <w:t>（图5：一般公共预算财政拨款支出决算变动情况）</w:t>
      </w:r>
    </w:p>
    <w:p>
      <w:pPr>
        <w:spacing w:line="600" w:lineRule="exact"/>
        <w:ind w:firstLine="643" w:firstLineChars="200"/>
        <w:outlineLvl w:val="2"/>
        <w:rPr>
          <w:rFonts w:ascii="仿宋" w:hAnsi="仿宋" w:eastAsia="仿宋"/>
          <w:b/>
          <w:sz w:val="32"/>
          <w:szCs w:val="32"/>
        </w:rPr>
      </w:pPr>
      <w:bookmarkStart w:id="57" w:name="_Toc15377211"/>
      <w:r>
        <w:rPr>
          <w:rFonts w:hint="eastAsia" w:ascii="仿宋" w:hAnsi="仿宋" w:eastAsia="仿宋"/>
          <w:b/>
          <w:sz w:val="32"/>
          <w:szCs w:val="32"/>
        </w:rPr>
        <w:t>（二）一般公共预算财政拨款支出决算结构情况</w:t>
      </w:r>
      <w:bookmarkEnd w:id="57"/>
    </w:p>
    <w:p>
      <w:pPr>
        <w:spacing w:line="600" w:lineRule="exact"/>
        <w:ind w:firstLine="640"/>
        <w:rPr>
          <w:rFonts w:ascii="仿宋" w:hAnsi="仿宋" w:eastAsia="仿宋"/>
          <w:sz w:val="32"/>
          <w:szCs w:val="32"/>
        </w:rPr>
      </w:pPr>
      <w:r>
        <w:rPr>
          <w:rFonts w:hint="eastAsia" w:ascii="仿宋" w:hAnsi="仿宋" w:eastAsia="仿宋"/>
          <w:sz w:val="32"/>
          <w:szCs w:val="32"/>
        </w:rPr>
        <w:t>2022</w:t>
      </w:r>
      <w:bookmarkStart w:id="58" w:name="_Hlk144299390"/>
      <w:bookmarkEnd w:id="58"/>
      <w:r>
        <w:rPr>
          <w:rFonts w:ascii="仿宋" w:hAnsi="仿宋" w:eastAsia="仿宋"/>
          <w:sz w:val="32"/>
          <w:u w:color="auto"/>
        </w:rPr>
        <w:t>年一般公共预算财政拨款支出1611.62</w:t>
      </w:r>
      <w:r>
        <w:rPr>
          <w:rFonts w:hint="eastAsia" w:ascii="仿宋" w:hAnsi="仿宋" w:eastAsia="仿宋"/>
          <w:sz w:val="32"/>
          <w:szCs w:val="32"/>
        </w:rPr>
        <w:t>万元，主要用于以下方面</w:t>
      </w:r>
      <w:r>
        <w:rPr>
          <w:rFonts w:hint="eastAsia" w:ascii="仿宋" w:hAnsi="仿宋" w:eastAsia="仿宋"/>
          <w:sz w:val="32"/>
          <w:szCs w:val="32"/>
          <w:lang w:eastAsia="zh-CN"/>
        </w:rPr>
        <w:t>：</w:t>
      </w:r>
      <w:bookmarkStart w:id="59" w:name="_Hlk144813742"/>
      <w:bookmarkEnd w:id="59"/>
      <w:r>
        <w:rPr>
          <w:rFonts w:ascii="仿宋" w:hAnsi="仿宋" w:eastAsia="仿宋"/>
          <w:sz w:val="32"/>
          <w:u w:color="auto"/>
        </w:rPr>
        <w:t>公共安全支出</w:t>
      </w:r>
      <w:r>
        <w:rPr>
          <w:rFonts w:hint="eastAsia" w:ascii="仿宋" w:hAnsi="仿宋" w:eastAsia="仿宋"/>
          <w:sz w:val="32"/>
          <w:u w:color="auto"/>
        </w:rPr>
        <w:t>1238.9万元，占</w:t>
      </w:r>
      <w:r>
        <w:rPr>
          <w:rFonts w:ascii="仿宋" w:hAnsi="仿宋" w:eastAsia="仿宋"/>
          <w:sz w:val="32"/>
          <w:u w:color="auto"/>
        </w:rPr>
        <w:t>76.87</w:t>
      </w:r>
      <w:r>
        <w:rPr>
          <w:rFonts w:hint="eastAsia" w:ascii="仿宋" w:hAnsi="仿宋" w:eastAsia="仿宋"/>
          <w:sz w:val="32"/>
          <w:u w:color="auto"/>
        </w:rPr>
        <w:t>%；</w:t>
      </w:r>
      <w:r>
        <w:rPr>
          <w:rFonts w:ascii="仿宋" w:hAnsi="仿宋" w:eastAsia="仿宋"/>
          <w:sz w:val="32"/>
          <w:u w:color="auto"/>
        </w:rPr>
        <w:t>社会保障和就业支出</w:t>
      </w:r>
      <w:r>
        <w:rPr>
          <w:rFonts w:hint="eastAsia" w:ascii="仿宋" w:hAnsi="仿宋" w:eastAsia="仿宋"/>
          <w:sz w:val="32"/>
          <w:u w:color="auto"/>
        </w:rPr>
        <w:t>178.67万元，占</w:t>
      </w:r>
      <w:r>
        <w:rPr>
          <w:rFonts w:ascii="仿宋" w:hAnsi="仿宋" w:eastAsia="仿宋"/>
          <w:sz w:val="32"/>
          <w:u w:color="auto"/>
        </w:rPr>
        <w:t>11.09</w:t>
      </w:r>
      <w:r>
        <w:rPr>
          <w:rFonts w:hint="eastAsia" w:ascii="仿宋" w:hAnsi="仿宋" w:eastAsia="仿宋"/>
          <w:sz w:val="32"/>
          <w:u w:color="auto"/>
        </w:rPr>
        <w:t>%；</w:t>
      </w:r>
      <w:r>
        <w:rPr>
          <w:rFonts w:ascii="仿宋" w:hAnsi="仿宋" w:eastAsia="仿宋"/>
          <w:sz w:val="32"/>
          <w:u w:color="auto"/>
        </w:rPr>
        <w:t>卫生健康支出</w:t>
      </w:r>
      <w:r>
        <w:rPr>
          <w:rFonts w:hint="eastAsia" w:ascii="仿宋" w:hAnsi="仿宋" w:eastAsia="仿宋"/>
          <w:sz w:val="32"/>
          <w:u w:color="auto"/>
        </w:rPr>
        <w:t>69.01万元，占</w:t>
      </w:r>
      <w:r>
        <w:rPr>
          <w:rFonts w:ascii="仿宋" w:hAnsi="仿宋" w:eastAsia="仿宋"/>
          <w:sz w:val="32"/>
          <w:u w:color="auto"/>
        </w:rPr>
        <w:t>4.28</w:t>
      </w:r>
      <w:r>
        <w:rPr>
          <w:rFonts w:hint="eastAsia" w:ascii="仿宋" w:hAnsi="仿宋" w:eastAsia="仿宋"/>
          <w:sz w:val="32"/>
          <w:u w:color="auto"/>
        </w:rPr>
        <w:t>%；</w:t>
      </w:r>
      <w:r>
        <w:rPr>
          <w:rFonts w:ascii="仿宋" w:hAnsi="仿宋" w:eastAsia="仿宋"/>
          <w:sz w:val="32"/>
          <w:u w:color="auto"/>
        </w:rPr>
        <w:t>住房保障支出</w:t>
      </w:r>
      <w:r>
        <w:rPr>
          <w:rFonts w:hint="eastAsia" w:ascii="仿宋" w:hAnsi="仿宋" w:eastAsia="仿宋"/>
          <w:sz w:val="32"/>
          <w:u w:color="auto"/>
        </w:rPr>
        <w:t>1</w:t>
      </w:r>
      <w:r>
        <w:rPr>
          <w:rFonts w:hint="eastAsia" w:ascii="仿宋" w:hAnsi="仿宋" w:eastAsia="仿宋"/>
          <w:sz w:val="32"/>
          <w:szCs w:val="32"/>
        </w:rPr>
        <w:t>25.03万元，占</w:t>
      </w:r>
      <w:r>
        <w:rPr>
          <w:rFonts w:ascii="仿宋" w:hAnsi="仿宋" w:eastAsia="仿宋"/>
          <w:sz w:val="32"/>
          <w:u w:color="auto"/>
        </w:rPr>
        <w:t>7.76</w:t>
      </w:r>
      <w:r>
        <w:rPr>
          <w:rFonts w:hint="eastAsia" w:ascii="仿宋" w:hAnsi="仿宋" w:eastAsia="仿宋" w:cs="宋体"/>
          <w:sz w:val="32"/>
          <w:szCs w:val="32"/>
        </w:rPr>
        <w:t>%</w:t>
      </w:r>
      <w:r>
        <w:rPr>
          <w:rFonts w:hint="eastAsia" w:ascii="仿宋" w:hAnsi="仿宋" w:eastAsia="仿宋"/>
          <w:sz w:val="32"/>
          <w:szCs w:val="32"/>
        </w:rPr>
        <w:t>。</w:t>
      </w:r>
    </w:p>
    <w:p>
      <w:pPr>
        <w:jc w:val="center"/>
      </w:pPr>
    </w:p>
    <w:p>
      <w:pPr>
        <w:pStyle w:val="2"/>
      </w:pPr>
      <w:r>
        <w:drawing>
          <wp:inline distT="0" distB="0" distL="114300" distR="114300">
            <wp:extent cx="4723130" cy="1626870"/>
            <wp:effectExtent l="5080" t="5080" r="15240" b="6350"/>
            <wp:docPr id="7" name="图表 2" descr="{{#this}}"/>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firstLineChars="200"/>
        <w:jc w:val="center"/>
        <w:rPr>
          <w:rFonts w:ascii="仿宋" w:hAnsi="仿宋" w:eastAsia="仿宋"/>
          <w:sz w:val="32"/>
          <w:szCs w:val="32"/>
        </w:rPr>
      </w:pPr>
      <w:r>
        <w:rPr>
          <w:rFonts w:hint="eastAsia" w:ascii="仿宋" w:hAnsi="仿宋" w:eastAsia="仿宋"/>
          <w:sz w:val="32"/>
          <w:szCs w:val="32"/>
        </w:rPr>
        <w:t>（图6：一般公共预算财政拨款支出决算结构）</w:t>
      </w:r>
    </w:p>
    <w:p>
      <w:pPr>
        <w:spacing w:line="600" w:lineRule="exact"/>
        <w:ind w:firstLine="643" w:firstLineChars="200"/>
        <w:outlineLvl w:val="2"/>
        <w:rPr>
          <w:rFonts w:ascii="仿宋" w:hAnsi="仿宋" w:eastAsia="仿宋"/>
          <w:b/>
          <w:sz w:val="32"/>
          <w:szCs w:val="32"/>
        </w:rPr>
      </w:pPr>
      <w:bookmarkStart w:id="60" w:name="_Toc15377212"/>
      <w:r>
        <w:rPr>
          <w:rFonts w:hint="eastAsia" w:ascii="仿宋" w:hAnsi="仿宋" w:eastAsia="仿宋"/>
          <w:b/>
          <w:sz w:val="32"/>
          <w:szCs w:val="32"/>
        </w:rPr>
        <w:t>（三）一般公共预算财政拨款支出决算具体情况</w:t>
      </w:r>
      <w:bookmarkEnd w:id="60"/>
    </w:p>
    <w:p>
      <w:pPr>
        <w:spacing w:line="600" w:lineRule="exact"/>
        <w:ind w:firstLine="643" w:firstLineChars="200"/>
        <w:rPr>
          <w:rStyle w:val="17"/>
          <w:rFonts w:hint="eastAsia" w:ascii="仿宋" w:hAnsi="仿宋" w:eastAsia="仿宋"/>
          <w:bCs/>
          <w:sz w:val="32"/>
          <w:szCs w:val="32"/>
        </w:rPr>
      </w:pPr>
      <w:bookmarkStart w:id="61" w:name="_Toc15378460"/>
      <w:bookmarkStart w:id="62" w:name="_Toc15377213"/>
      <w:bookmarkStart w:id="63" w:name="_Toc15377444"/>
      <w:r>
        <w:rPr>
          <w:rFonts w:hint="eastAsia" w:ascii="仿宋" w:hAnsi="仿宋" w:eastAsia="仿宋"/>
          <w:b/>
          <w:sz w:val="32"/>
          <w:szCs w:val="32"/>
        </w:rPr>
        <w:t>2022</w:t>
      </w:r>
      <w:r>
        <w:rPr>
          <w:rFonts w:ascii="仿宋" w:hAnsi="仿宋" w:eastAsia="仿宋"/>
          <w:b/>
          <w:sz w:val="32"/>
          <w:u w:color="auto"/>
        </w:rPr>
        <w:t>年一般公共预算支出决算数为</w:t>
      </w:r>
      <w:r>
        <w:rPr>
          <w:rFonts w:hint="eastAsia" w:ascii="仿宋" w:hAnsi="仿宋" w:eastAsia="仿宋"/>
          <w:sz w:val="32"/>
          <w:szCs w:val="32"/>
        </w:rPr>
        <w:t>1611.62</w:t>
      </w:r>
      <w:bookmarkStart w:id="64" w:name="_Hlk144300456"/>
      <w:bookmarkEnd w:id="64"/>
      <w:r>
        <w:rPr>
          <w:rFonts w:hint="eastAsia" w:ascii="仿宋" w:hAnsi="仿宋" w:eastAsia="仿宋"/>
          <w:b/>
          <w:bCs/>
          <w:color w:val="auto"/>
          <w:sz w:val="32"/>
          <w:szCs w:val="32"/>
          <w:highlight w:val="none"/>
          <w:lang w:val="en-US" w:eastAsia="zh-CN"/>
        </w:rPr>
        <w:t>万元</w:t>
      </w:r>
      <w:r>
        <w:rPr>
          <w:rFonts w:hint="eastAsia" w:ascii="仿宋" w:hAnsi="仿宋" w:eastAsia="仿宋"/>
          <w:sz w:val="32"/>
          <w:szCs w:val="32"/>
        </w:rPr>
        <w:t>，</w:t>
      </w:r>
      <w:r>
        <w:rPr>
          <w:rStyle w:val="17"/>
          <w:rFonts w:hint="eastAsia" w:ascii="仿宋" w:hAnsi="仿宋" w:eastAsia="仿宋"/>
          <w:bCs/>
          <w:sz w:val="32"/>
          <w:szCs w:val="32"/>
        </w:rPr>
        <w:t>完成预算</w:t>
      </w:r>
      <w:r>
        <w:rPr>
          <w:rFonts w:hint="eastAsia" w:ascii="仿宋" w:hAnsi="仿宋" w:eastAsia="仿宋"/>
          <w:sz w:val="32"/>
          <w:szCs w:val="32"/>
        </w:rPr>
        <w:t>100</w:t>
      </w:r>
      <w:r>
        <w:rPr>
          <w:rStyle w:val="17"/>
          <w:rFonts w:ascii="仿宋" w:hAnsi="仿宋" w:eastAsia="仿宋"/>
          <w:bCs/>
          <w:sz w:val="32"/>
          <w:szCs w:val="32"/>
        </w:rPr>
        <w:t>%</w:t>
      </w:r>
      <w:r>
        <w:rPr>
          <w:rStyle w:val="17"/>
          <w:rFonts w:hint="eastAsia" w:ascii="仿宋" w:hAnsi="仿宋" w:eastAsia="仿宋"/>
          <w:bCs/>
          <w:sz w:val="32"/>
          <w:szCs w:val="32"/>
        </w:rPr>
        <w:t>。其中：</w:t>
      </w:r>
      <w:bookmarkEnd w:id="61"/>
      <w:bookmarkEnd w:id="62"/>
      <w:bookmarkEnd w:id="63"/>
    </w:p>
    <w:p>
      <w:pPr>
        <w:spacing w:line="600" w:lineRule="exact"/>
        <w:ind w:firstLine="643" w:firstLineChars="200"/>
        <w:rPr>
          <w:rStyle w:val="17"/>
          <w:rFonts w:ascii="仿宋" w:hAnsi="仿宋" w:eastAsia="仿宋"/>
          <w:b w:val="0"/>
          <w:bCs/>
          <w:sz w:val="32"/>
          <w:szCs w:val="32"/>
        </w:rPr>
      </w:pPr>
      <w:r>
        <w:rPr>
          <w:rStyle w:val="17"/>
          <w:rFonts w:hint="eastAsia" w:ascii="仿宋" w:hAnsi="仿宋" w:eastAsia="仿宋"/>
          <w:bCs/>
          <w:sz w:val="32"/>
          <w:szCs w:val="32"/>
        </w:rPr>
        <w:t>1</w:t>
      </w:r>
      <w:r>
        <w:rPr>
          <w:rStyle w:val="17"/>
          <w:rFonts w:ascii="仿宋" w:hAnsi="仿宋" w:eastAsia="仿宋"/>
          <w:bCs/>
          <w:sz w:val="32"/>
          <w:szCs w:val="32"/>
        </w:rPr>
        <w:t>.</w:t>
      </w:r>
      <w:r>
        <w:rPr>
          <w:rStyle w:val="17"/>
          <w:rFonts w:hint="eastAsia" w:ascii="仿宋" w:hAnsi="仿宋" w:eastAsia="仿宋"/>
          <w:bCs/>
          <w:sz w:val="32"/>
          <w:szCs w:val="32"/>
        </w:rPr>
        <w:t>公共安全支出（类）法院（款）行政运行（项）</w:t>
      </w:r>
      <w:r>
        <w:rPr>
          <w:rStyle w:val="17"/>
          <w:rFonts w:hint="eastAsia" w:ascii="仿宋" w:hAnsi="仿宋" w:eastAsia="仿宋"/>
          <w:bCs/>
          <w:sz w:val="32"/>
          <w:szCs w:val="32"/>
          <w:lang w:eastAsia="zh-CN"/>
        </w:rPr>
        <w:t>：</w:t>
      </w:r>
      <w:r>
        <w:rPr>
          <w:rStyle w:val="17"/>
          <w:rFonts w:hint="eastAsia" w:ascii="仿宋" w:hAnsi="仿宋" w:eastAsia="仿宋"/>
          <w:b w:val="0"/>
          <w:bCs/>
          <w:sz w:val="32"/>
          <w:szCs w:val="32"/>
        </w:rPr>
        <w:t>支出决算为</w:t>
      </w:r>
      <w:r>
        <w:rPr>
          <w:rStyle w:val="17"/>
          <w:rFonts w:ascii="仿宋" w:hAnsi="仿宋" w:eastAsia="仿宋"/>
          <w:sz w:val="32"/>
          <w:u w:color="auto"/>
        </w:rPr>
        <w:t>974.24</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pPr>
        <w:spacing w:line="600" w:lineRule="exact"/>
        <w:ind w:firstLine="643" w:firstLineChars="200"/>
        <w:rPr>
          <w:rStyle w:val="17"/>
          <w:rFonts w:ascii="仿宋" w:hAnsi="仿宋" w:eastAsia="仿宋"/>
          <w:b w:val="0"/>
          <w:bCs/>
          <w:sz w:val="32"/>
          <w:szCs w:val="32"/>
          <w:highlight w:val="none"/>
        </w:rPr>
      </w:pPr>
      <w:r>
        <w:rPr>
          <w:rStyle w:val="17"/>
          <w:rFonts w:hint="eastAsia" w:ascii="仿宋" w:hAnsi="仿宋" w:eastAsia="仿宋"/>
          <w:bCs/>
          <w:sz w:val="32"/>
          <w:szCs w:val="32"/>
        </w:rPr>
        <w:t>2</w:t>
      </w:r>
      <w:r>
        <w:rPr>
          <w:rStyle w:val="17"/>
          <w:rFonts w:ascii="仿宋" w:hAnsi="仿宋" w:eastAsia="仿宋"/>
          <w:bCs/>
          <w:sz w:val="32"/>
          <w:szCs w:val="32"/>
        </w:rPr>
        <w:t>.</w:t>
      </w:r>
      <w:r>
        <w:rPr>
          <w:rStyle w:val="17"/>
          <w:rFonts w:hint="eastAsia" w:ascii="仿宋" w:hAnsi="仿宋" w:eastAsia="仿宋"/>
          <w:bCs/>
          <w:sz w:val="32"/>
          <w:szCs w:val="32"/>
        </w:rPr>
        <w:t>公共安全支出（类）法院（款）一般行政管理事务（项）</w:t>
      </w:r>
      <w:r>
        <w:rPr>
          <w:rStyle w:val="17"/>
          <w:rFonts w:hint="eastAsia" w:ascii="仿宋" w:hAnsi="仿宋" w:eastAsia="仿宋"/>
          <w:bCs/>
          <w:sz w:val="32"/>
          <w:szCs w:val="32"/>
          <w:lang w:eastAsia="zh-CN"/>
        </w:rPr>
        <w:t>：</w:t>
      </w:r>
      <w:r>
        <w:rPr>
          <w:rStyle w:val="17"/>
          <w:rFonts w:hint="eastAsia" w:ascii="仿宋" w:hAnsi="仿宋" w:eastAsia="仿宋"/>
          <w:b w:val="0"/>
          <w:bCs/>
          <w:sz w:val="32"/>
          <w:szCs w:val="32"/>
        </w:rPr>
        <w:t>支出决算为</w:t>
      </w:r>
      <w:r>
        <w:rPr>
          <w:rStyle w:val="17"/>
          <w:rFonts w:ascii="仿宋" w:hAnsi="仿宋" w:eastAsia="仿宋"/>
          <w:sz w:val="32"/>
          <w:u w:color="auto"/>
        </w:rPr>
        <w:t>259.63</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58.23</w:t>
      </w:r>
      <w:r>
        <w:rPr>
          <w:rStyle w:val="17"/>
          <w:rFonts w:ascii="仿宋" w:hAnsi="仿宋" w:eastAsia="仿宋"/>
          <w:b w:val="0"/>
          <w:bCs/>
          <w:sz w:val="32"/>
          <w:szCs w:val="32"/>
        </w:rPr>
        <w:t>%</w:t>
      </w:r>
      <w:r>
        <w:rPr>
          <w:rStyle w:val="17"/>
          <w:rFonts w:hint="eastAsia" w:ascii="仿宋" w:hAnsi="仿宋" w:eastAsia="仿宋"/>
          <w:b w:val="0"/>
          <w:bCs/>
          <w:sz w:val="32"/>
          <w:szCs w:val="32"/>
        </w:rPr>
        <w:t>，</w:t>
      </w:r>
      <w:r>
        <w:rPr>
          <w:rStyle w:val="17"/>
          <w:rFonts w:hint="eastAsia" w:ascii="仿宋" w:hAnsi="仿宋" w:eastAsia="仿宋"/>
          <w:b w:val="0"/>
          <w:bCs/>
          <w:sz w:val="32"/>
          <w:szCs w:val="32"/>
          <w:highlight w:val="none"/>
        </w:rPr>
        <w:t>决算数小于预算数的主要原因是本年无上年结转支出以及疫情影响，业务活动开展不完全。</w:t>
      </w:r>
    </w:p>
    <w:p>
      <w:pPr>
        <w:spacing w:line="600" w:lineRule="exact"/>
        <w:ind w:firstLine="643" w:firstLineChars="200"/>
        <w:rPr>
          <w:rStyle w:val="17"/>
          <w:rFonts w:ascii="仿宋" w:hAnsi="仿宋" w:eastAsia="仿宋"/>
          <w:b w:val="0"/>
          <w:bCs/>
          <w:sz w:val="32"/>
          <w:szCs w:val="32"/>
        </w:rPr>
      </w:pPr>
      <w:r>
        <w:rPr>
          <w:rStyle w:val="17"/>
          <w:rFonts w:hint="eastAsia" w:ascii="仿宋" w:hAnsi="仿宋" w:eastAsia="仿宋"/>
          <w:bCs/>
          <w:sz w:val="32"/>
          <w:szCs w:val="32"/>
        </w:rPr>
        <w:t>3</w:t>
      </w:r>
      <w:r>
        <w:rPr>
          <w:rStyle w:val="17"/>
          <w:rFonts w:ascii="仿宋" w:hAnsi="仿宋" w:eastAsia="仿宋"/>
          <w:bCs/>
          <w:sz w:val="32"/>
          <w:szCs w:val="32"/>
        </w:rPr>
        <w:t>.</w:t>
      </w:r>
      <w:r>
        <w:rPr>
          <w:rStyle w:val="17"/>
          <w:rFonts w:hint="eastAsia" w:ascii="仿宋" w:hAnsi="仿宋" w:eastAsia="仿宋"/>
          <w:bCs/>
          <w:sz w:val="32"/>
          <w:szCs w:val="32"/>
        </w:rPr>
        <w:t>公共安全支出（类）法院（款）案件执行（项）</w:t>
      </w:r>
      <w:r>
        <w:rPr>
          <w:rStyle w:val="17"/>
          <w:rFonts w:hint="eastAsia" w:ascii="仿宋" w:hAnsi="仿宋" w:eastAsia="仿宋"/>
          <w:bCs/>
          <w:sz w:val="32"/>
          <w:szCs w:val="32"/>
          <w:lang w:eastAsia="zh-CN"/>
        </w:rPr>
        <w:t>：</w:t>
      </w:r>
      <w:r>
        <w:rPr>
          <w:rStyle w:val="17"/>
          <w:rFonts w:hint="eastAsia" w:ascii="仿宋" w:hAnsi="仿宋" w:eastAsia="仿宋"/>
          <w:b w:val="0"/>
          <w:bCs/>
          <w:sz w:val="32"/>
          <w:szCs w:val="32"/>
        </w:rPr>
        <w:t>支出决算为</w:t>
      </w:r>
      <w:r>
        <w:rPr>
          <w:rStyle w:val="17"/>
          <w:rFonts w:ascii="仿宋" w:hAnsi="仿宋" w:eastAsia="仿宋"/>
          <w:sz w:val="32"/>
          <w:u w:color="auto"/>
        </w:rPr>
        <w:t>5.04</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pPr>
        <w:spacing w:line="600" w:lineRule="exact"/>
        <w:ind w:firstLine="643" w:firstLineChars="200"/>
        <w:rPr>
          <w:rStyle w:val="17"/>
          <w:rFonts w:hint="eastAsia" w:ascii="仿宋" w:hAnsi="仿宋" w:eastAsia="仿宋"/>
          <w:b w:val="0"/>
          <w:bCs/>
          <w:sz w:val="32"/>
          <w:szCs w:val="32"/>
        </w:rPr>
      </w:pPr>
      <w:r>
        <w:rPr>
          <w:rStyle w:val="17"/>
          <w:rFonts w:hint="eastAsia" w:ascii="仿宋" w:hAnsi="仿宋" w:eastAsia="仿宋"/>
          <w:bCs/>
          <w:sz w:val="32"/>
          <w:szCs w:val="32"/>
        </w:rPr>
        <w:t>4</w:t>
      </w:r>
      <w:r>
        <w:rPr>
          <w:rStyle w:val="17"/>
          <w:rFonts w:ascii="仿宋" w:hAnsi="仿宋" w:eastAsia="仿宋"/>
          <w:bCs/>
          <w:sz w:val="32"/>
          <w:szCs w:val="32"/>
        </w:rPr>
        <w:t>.</w:t>
      </w:r>
      <w:r>
        <w:rPr>
          <w:rStyle w:val="17"/>
          <w:rFonts w:hint="eastAsia" w:ascii="仿宋" w:hAnsi="仿宋" w:eastAsia="仿宋"/>
          <w:bCs/>
          <w:sz w:val="32"/>
          <w:szCs w:val="32"/>
        </w:rPr>
        <w:t>社会保障和就业支出（类）行政事业单位养老支出（款）机关事业单位基本养老保险缴费支出（项）</w:t>
      </w:r>
      <w:r>
        <w:rPr>
          <w:rStyle w:val="17"/>
          <w:rFonts w:hint="eastAsia" w:ascii="仿宋" w:hAnsi="仿宋" w:eastAsia="仿宋"/>
          <w:bCs/>
          <w:sz w:val="32"/>
          <w:szCs w:val="32"/>
          <w:lang w:eastAsia="zh-CN"/>
        </w:rPr>
        <w:t>：</w:t>
      </w:r>
      <w:r>
        <w:rPr>
          <w:rStyle w:val="17"/>
          <w:rFonts w:hint="eastAsia" w:ascii="仿宋" w:hAnsi="仿宋" w:eastAsia="仿宋"/>
          <w:b w:val="0"/>
          <w:bCs/>
          <w:sz w:val="32"/>
          <w:szCs w:val="32"/>
        </w:rPr>
        <w:t>支出决算为</w:t>
      </w:r>
      <w:r>
        <w:rPr>
          <w:rStyle w:val="17"/>
          <w:rFonts w:ascii="仿宋" w:hAnsi="仿宋" w:eastAsia="仿宋"/>
          <w:sz w:val="32"/>
          <w:u w:color="auto"/>
        </w:rPr>
        <w:t>122.4</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pPr>
        <w:spacing w:line="600" w:lineRule="exact"/>
        <w:ind w:firstLine="643" w:firstLineChars="200"/>
        <w:rPr>
          <w:rStyle w:val="17"/>
          <w:rFonts w:hint="eastAsia" w:ascii="仿宋" w:hAnsi="仿宋" w:eastAsia="仿宋"/>
          <w:b w:val="0"/>
          <w:bCs/>
          <w:sz w:val="32"/>
          <w:szCs w:val="32"/>
        </w:rPr>
      </w:pPr>
      <w:r>
        <w:rPr>
          <w:rStyle w:val="17"/>
          <w:rFonts w:hint="eastAsia" w:ascii="仿宋" w:hAnsi="仿宋" w:eastAsia="仿宋"/>
          <w:bCs/>
          <w:sz w:val="32"/>
          <w:szCs w:val="32"/>
        </w:rPr>
        <w:t>5</w:t>
      </w:r>
      <w:r>
        <w:rPr>
          <w:rStyle w:val="17"/>
          <w:rFonts w:ascii="仿宋" w:hAnsi="仿宋" w:eastAsia="仿宋"/>
          <w:bCs/>
          <w:sz w:val="32"/>
          <w:szCs w:val="32"/>
        </w:rPr>
        <w:t>.</w:t>
      </w:r>
      <w:r>
        <w:rPr>
          <w:rStyle w:val="17"/>
          <w:rFonts w:hint="eastAsia" w:ascii="仿宋" w:hAnsi="仿宋" w:eastAsia="仿宋"/>
          <w:bCs/>
          <w:sz w:val="32"/>
          <w:szCs w:val="32"/>
        </w:rPr>
        <w:t>社会保障和就业支出（类）行政事业单位养老支出（款）机关事业单位职业年金缴费支出（项）</w:t>
      </w:r>
      <w:r>
        <w:rPr>
          <w:rStyle w:val="17"/>
          <w:rFonts w:hint="eastAsia" w:ascii="仿宋" w:hAnsi="仿宋" w:eastAsia="仿宋"/>
          <w:bCs/>
          <w:sz w:val="32"/>
          <w:szCs w:val="32"/>
          <w:lang w:eastAsia="zh-CN"/>
        </w:rPr>
        <w:t>：</w:t>
      </w:r>
      <w:r>
        <w:rPr>
          <w:rStyle w:val="17"/>
          <w:rFonts w:hint="eastAsia" w:ascii="仿宋" w:hAnsi="仿宋" w:eastAsia="仿宋"/>
          <w:b w:val="0"/>
          <w:bCs/>
          <w:sz w:val="32"/>
          <w:szCs w:val="32"/>
        </w:rPr>
        <w:t>支出决算为</w:t>
      </w:r>
      <w:r>
        <w:rPr>
          <w:rStyle w:val="17"/>
          <w:rFonts w:ascii="仿宋" w:hAnsi="仿宋" w:eastAsia="仿宋"/>
          <w:sz w:val="32"/>
          <w:u w:color="auto"/>
        </w:rPr>
        <w:t>56.27</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pPr>
        <w:spacing w:line="600" w:lineRule="exact"/>
        <w:ind w:firstLine="643" w:firstLineChars="200"/>
        <w:rPr>
          <w:rStyle w:val="17"/>
          <w:rFonts w:hint="eastAsia" w:ascii="仿宋" w:hAnsi="仿宋" w:eastAsia="仿宋"/>
          <w:b w:val="0"/>
          <w:bCs/>
          <w:sz w:val="32"/>
          <w:szCs w:val="32"/>
        </w:rPr>
      </w:pPr>
      <w:r>
        <w:rPr>
          <w:rStyle w:val="17"/>
          <w:rFonts w:hint="eastAsia" w:ascii="仿宋" w:hAnsi="仿宋" w:eastAsia="仿宋"/>
          <w:bCs/>
          <w:sz w:val="32"/>
          <w:szCs w:val="32"/>
        </w:rPr>
        <w:t>6</w:t>
      </w:r>
      <w:r>
        <w:rPr>
          <w:rStyle w:val="17"/>
          <w:rFonts w:ascii="仿宋" w:hAnsi="仿宋" w:eastAsia="仿宋"/>
          <w:bCs/>
          <w:sz w:val="32"/>
          <w:szCs w:val="32"/>
        </w:rPr>
        <w:t>.</w:t>
      </w:r>
      <w:r>
        <w:rPr>
          <w:rStyle w:val="17"/>
          <w:rFonts w:hint="eastAsia" w:ascii="仿宋" w:hAnsi="仿宋" w:eastAsia="仿宋"/>
          <w:bCs/>
          <w:sz w:val="32"/>
          <w:szCs w:val="32"/>
        </w:rPr>
        <w:t>卫生健康支出（类）行政事业单位医疗（款）行政单位医疗（项）</w:t>
      </w:r>
      <w:r>
        <w:rPr>
          <w:rStyle w:val="17"/>
          <w:rFonts w:hint="eastAsia" w:ascii="仿宋" w:hAnsi="仿宋" w:eastAsia="仿宋"/>
          <w:bCs/>
          <w:sz w:val="32"/>
          <w:szCs w:val="32"/>
          <w:lang w:eastAsia="zh-CN"/>
        </w:rPr>
        <w:t>：</w:t>
      </w:r>
      <w:r>
        <w:rPr>
          <w:rStyle w:val="17"/>
          <w:rFonts w:hint="eastAsia" w:ascii="仿宋" w:hAnsi="仿宋" w:eastAsia="仿宋"/>
          <w:b w:val="0"/>
          <w:bCs/>
          <w:sz w:val="32"/>
          <w:szCs w:val="32"/>
        </w:rPr>
        <w:t>支出决算为</w:t>
      </w:r>
      <w:r>
        <w:rPr>
          <w:rStyle w:val="17"/>
          <w:rFonts w:ascii="仿宋" w:hAnsi="仿宋" w:eastAsia="仿宋"/>
          <w:sz w:val="32"/>
          <w:u w:color="auto"/>
        </w:rPr>
        <w:t>53.22</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pPr>
        <w:spacing w:line="600" w:lineRule="exact"/>
        <w:ind w:firstLine="643" w:firstLineChars="200"/>
        <w:rPr>
          <w:rStyle w:val="17"/>
          <w:rFonts w:hint="eastAsia" w:ascii="仿宋" w:hAnsi="仿宋" w:eastAsia="仿宋"/>
          <w:b w:val="0"/>
          <w:bCs/>
          <w:sz w:val="32"/>
          <w:szCs w:val="32"/>
        </w:rPr>
      </w:pPr>
      <w:r>
        <w:rPr>
          <w:rStyle w:val="17"/>
          <w:rFonts w:hint="eastAsia" w:ascii="仿宋" w:hAnsi="仿宋" w:eastAsia="仿宋"/>
          <w:bCs/>
          <w:sz w:val="32"/>
          <w:szCs w:val="32"/>
        </w:rPr>
        <w:t>7</w:t>
      </w:r>
      <w:r>
        <w:rPr>
          <w:rStyle w:val="17"/>
          <w:rFonts w:ascii="仿宋" w:hAnsi="仿宋" w:eastAsia="仿宋"/>
          <w:bCs/>
          <w:sz w:val="32"/>
          <w:szCs w:val="32"/>
        </w:rPr>
        <w:t>.</w:t>
      </w:r>
      <w:r>
        <w:rPr>
          <w:rStyle w:val="17"/>
          <w:rFonts w:hint="eastAsia" w:ascii="仿宋" w:hAnsi="仿宋" w:eastAsia="仿宋"/>
          <w:bCs/>
          <w:sz w:val="32"/>
          <w:szCs w:val="32"/>
        </w:rPr>
        <w:t>卫生健康支出（类）行政事业单位医疗（款）公务员医疗补助（项）</w:t>
      </w:r>
      <w:r>
        <w:rPr>
          <w:rStyle w:val="17"/>
          <w:rFonts w:hint="eastAsia" w:ascii="仿宋" w:hAnsi="仿宋" w:eastAsia="仿宋"/>
          <w:bCs/>
          <w:sz w:val="32"/>
          <w:szCs w:val="32"/>
          <w:lang w:eastAsia="zh-CN"/>
        </w:rPr>
        <w:t>：</w:t>
      </w:r>
      <w:r>
        <w:rPr>
          <w:rStyle w:val="17"/>
          <w:rFonts w:hint="eastAsia" w:ascii="仿宋" w:hAnsi="仿宋" w:eastAsia="仿宋"/>
          <w:b w:val="0"/>
          <w:bCs/>
          <w:sz w:val="32"/>
          <w:szCs w:val="32"/>
        </w:rPr>
        <w:t>支出决算为</w:t>
      </w:r>
      <w:r>
        <w:rPr>
          <w:rStyle w:val="17"/>
          <w:rFonts w:ascii="仿宋" w:hAnsi="仿宋" w:eastAsia="仿宋"/>
          <w:sz w:val="32"/>
          <w:u w:color="auto"/>
        </w:rPr>
        <w:t>15.79</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pPr>
        <w:spacing w:line="600" w:lineRule="exact"/>
        <w:ind w:firstLine="643" w:firstLineChars="200"/>
        <w:rPr>
          <w:rStyle w:val="17"/>
          <w:rFonts w:hint="eastAsia" w:ascii="仿宋" w:hAnsi="仿宋" w:eastAsia="仿宋"/>
          <w:b w:val="0"/>
          <w:bCs/>
          <w:sz w:val="32"/>
          <w:szCs w:val="32"/>
        </w:rPr>
      </w:pPr>
      <w:r>
        <w:rPr>
          <w:rStyle w:val="17"/>
          <w:rFonts w:hint="eastAsia" w:ascii="仿宋" w:hAnsi="仿宋" w:eastAsia="仿宋"/>
          <w:bCs/>
          <w:sz w:val="32"/>
          <w:szCs w:val="32"/>
        </w:rPr>
        <w:t>8</w:t>
      </w:r>
      <w:r>
        <w:rPr>
          <w:rStyle w:val="17"/>
          <w:rFonts w:ascii="仿宋" w:hAnsi="仿宋" w:eastAsia="仿宋"/>
          <w:bCs/>
          <w:sz w:val="32"/>
          <w:szCs w:val="32"/>
        </w:rPr>
        <w:t>.</w:t>
      </w:r>
      <w:r>
        <w:rPr>
          <w:rStyle w:val="17"/>
          <w:rFonts w:hint="eastAsia" w:ascii="仿宋" w:hAnsi="仿宋" w:eastAsia="仿宋"/>
          <w:bCs/>
          <w:sz w:val="32"/>
          <w:szCs w:val="32"/>
        </w:rPr>
        <w:t>住房保障支出（类）住房改革支出（款）住房公积金（项）</w:t>
      </w:r>
      <w:r>
        <w:rPr>
          <w:rStyle w:val="17"/>
          <w:rFonts w:hint="eastAsia" w:ascii="仿宋" w:hAnsi="仿宋" w:eastAsia="仿宋"/>
          <w:bCs/>
          <w:sz w:val="32"/>
          <w:szCs w:val="32"/>
          <w:lang w:eastAsia="zh-CN"/>
        </w:rPr>
        <w:t>：</w:t>
      </w:r>
      <w:r>
        <w:rPr>
          <w:rStyle w:val="17"/>
          <w:rFonts w:hint="eastAsia" w:ascii="仿宋" w:hAnsi="仿宋" w:eastAsia="仿宋"/>
          <w:b w:val="0"/>
          <w:bCs/>
          <w:sz w:val="32"/>
          <w:szCs w:val="32"/>
        </w:rPr>
        <w:t>支出决算为</w:t>
      </w:r>
      <w:r>
        <w:rPr>
          <w:rStyle w:val="17"/>
          <w:rFonts w:ascii="仿宋" w:hAnsi="仿宋" w:eastAsia="仿宋"/>
          <w:sz w:val="32"/>
          <w:u w:color="auto"/>
        </w:rPr>
        <w:t>123.83</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pPr>
        <w:spacing w:line="600" w:lineRule="exact"/>
        <w:ind w:firstLine="643" w:firstLineChars="200"/>
        <w:rPr>
          <w:rStyle w:val="17"/>
          <w:rFonts w:ascii="仿宋" w:hAnsi="仿宋" w:eastAsia="仿宋"/>
          <w:b w:val="0"/>
          <w:bCs/>
          <w:sz w:val="32"/>
          <w:szCs w:val="32"/>
        </w:rPr>
      </w:pPr>
      <w:r>
        <w:rPr>
          <w:rStyle w:val="17"/>
          <w:rFonts w:hint="eastAsia" w:ascii="仿宋" w:hAnsi="仿宋" w:eastAsia="仿宋"/>
          <w:bCs/>
          <w:sz w:val="32"/>
          <w:szCs w:val="32"/>
        </w:rPr>
        <w:t>9</w:t>
      </w:r>
      <w:r>
        <w:rPr>
          <w:rStyle w:val="17"/>
          <w:rFonts w:ascii="仿宋" w:hAnsi="仿宋" w:eastAsia="仿宋"/>
          <w:bCs/>
          <w:sz w:val="32"/>
          <w:szCs w:val="32"/>
        </w:rPr>
        <w:t>.</w:t>
      </w:r>
      <w:r>
        <w:rPr>
          <w:rStyle w:val="17"/>
          <w:rFonts w:hint="eastAsia" w:ascii="仿宋" w:hAnsi="仿宋" w:eastAsia="仿宋"/>
          <w:bCs/>
          <w:sz w:val="32"/>
          <w:szCs w:val="32"/>
        </w:rPr>
        <w:t>住房保障支出（类）住房改革支出（款）购房补贴（项）</w:t>
      </w:r>
      <w:r>
        <w:rPr>
          <w:rStyle w:val="17"/>
          <w:rFonts w:hint="eastAsia" w:ascii="仿宋" w:hAnsi="仿宋" w:eastAsia="仿宋"/>
          <w:bCs/>
          <w:sz w:val="32"/>
          <w:szCs w:val="32"/>
          <w:lang w:eastAsia="zh-CN"/>
        </w:rPr>
        <w:t>：</w:t>
      </w:r>
      <w:r>
        <w:rPr>
          <w:rStyle w:val="17"/>
          <w:rFonts w:hint="eastAsia" w:ascii="仿宋" w:hAnsi="仿宋" w:eastAsia="仿宋"/>
          <w:b w:val="0"/>
          <w:bCs/>
          <w:sz w:val="32"/>
          <w:szCs w:val="32"/>
        </w:rPr>
        <w:t>支出决算为</w:t>
      </w:r>
      <w:r>
        <w:rPr>
          <w:rStyle w:val="17"/>
          <w:rFonts w:ascii="仿宋" w:hAnsi="仿宋" w:eastAsia="仿宋"/>
          <w:sz w:val="32"/>
          <w:u w:color="auto"/>
        </w:rPr>
        <w:t>1.2</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pPr>
        <w:tabs>
          <w:tab w:val="right" w:pos="8306"/>
        </w:tabs>
        <w:spacing w:line="600" w:lineRule="exact"/>
        <w:ind w:firstLine="640"/>
        <w:outlineLvl w:val="1"/>
        <w:rPr>
          <w:rStyle w:val="28"/>
        </w:rPr>
      </w:pPr>
      <w:bookmarkStart w:id="65" w:name="_Toc13093"/>
      <w:bookmarkStart w:id="66" w:name="_Toc15396608"/>
      <w:bookmarkStart w:id="67"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8"/>
          <w:rFonts w:hint="eastAsia" w:ascii="黑体" w:hAnsi="黑体" w:eastAsia="黑体"/>
          <w:b w:val="0"/>
        </w:rPr>
        <w:t>般公共预算财政拨款基本支出决算情况说明</w:t>
      </w:r>
      <w:bookmarkEnd w:id="65"/>
      <w:bookmarkEnd w:id="66"/>
      <w:bookmarkEnd w:id="67"/>
      <w:r>
        <w:rPr>
          <w:rStyle w:val="28"/>
          <w:rFonts w:ascii="黑体" w:hAnsi="黑体" w:eastAsia="黑体"/>
          <w:b w:val="0"/>
        </w:rPr>
        <w:tab/>
      </w:r>
    </w:p>
    <w:p>
      <w:pPr>
        <w:spacing w:line="600" w:lineRule="exact"/>
        <w:ind w:firstLine="645"/>
        <w:rPr>
          <w:rFonts w:ascii="仿宋" w:hAnsi="仿宋" w:eastAsia="仿宋"/>
          <w:sz w:val="32"/>
          <w:szCs w:val="32"/>
          <w:highlight w:val="none"/>
        </w:rPr>
      </w:pPr>
      <w:r>
        <w:rPr>
          <w:rFonts w:hint="eastAsia" w:ascii="仿宋" w:hAnsi="仿宋" w:eastAsia="仿宋"/>
          <w:sz w:val="32"/>
          <w:szCs w:val="32"/>
          <w:highlight w:val="none"/>
        </w:rPr>
        <w:t>2022</w:t>
      </w:r>
      <w:bookmarkStart w:id="68" w:name="_Hlk144839409"/>
      <w:bookmarkEnd w:id="68"/>
      <w:r>
        <w:rPr>
          <w:rFonts w:ascii="仿宋" w:hAnsi="仿宋" w:eastAsia="仿宋"/>
          <w:sz w:val="32"/>
          <w:highlight w:val="none"/>
          <w:u w:color="auto"/>
        </w:rPr>
        <w:t>年一般公共预算财政拨款基本支出1346.95</w:t>
      </w:r>
      <w:r>
        <w:rPr>
          <w:rFonts w:hint="eastAsia" w:ascii="仿宋" w:hAnsi="仿宋" w:eastAsia="仿宋"/>
          <w:color w:val="000000" w:themeColor="text1"/>
          <w:sz w:val="32"/>
          <w:szCs w:val="32"/>
          <w:highlight w:val="none"/>
          <w14:textFill>
            <w14:solidFill>
              <w14:schemeClr w14:val="tx1"/>
            </w14:solidFill>
          </w14:textFill>
        </w:rPr>
        <w:t>万元</w:t>
      </w:r>
      <w:r>
        <w:rPr>
          <w:rFonts w:hint="eastAsia" w:ascii="仿宋" w:hAnsi="仿宋" w:eastAsia="仿宋"/>
          <w:sz w:val="32"/>
          <w:szCs w:val="32"/>
          <w:highlight w:val="none"/>
        </w:rPr>
        <w:t>，其中：</w:t>
      </w:r>
    </w:p>
    <w:p>
      <w:pPr>
        <w:spacing w:line="600" w:lineRule="exact"/>
        <w:ind w:firstLine="645"/>
        <w:rPr>
          <w:rFonts w:ascii="仿宋" w:hAnsi="仿宋" w:eastAsia="仿宋"/>
          <w:sz w:val="32"/>
          <w:szCs w:val="32"/>
        </w:rPr>
      </w:pPr>
      <w:r>
        <w:rPr>
          <w:rFonts w:hint="eastAsia" w:ascii="仿宋" w:hAnsi="仿宋" w:eastAsia="仿宋"/>
          <w:sz w:val="32"/>
          <w:szCs w:val="32"/>
        </w:rPr>
        <w:t>人员经费</w:t>
      </w:r>
      <w:r>
        <w:rPr>
          <w:rFonts w:ascii="仿宋" w:hAnsi="仿宋" w:eastAsia="仿宋"/>
          <w:sz w:val="32"/>
          <w:u w:color="auto"/>
        </w:rPr>
        <w:t>1226.4</w:t>
      </w:r>
      <w:r>
        <w:rPr>
          <w:rFonts w:hint="eastAsia" w:ascii="仿宋" w:hAnsi="仿宋" w:eastAsia="仿宋"/>
          <w:sz w:val="32"/>
          <w:u w:color="auto"/>
          <w:lang w:val="en-US" w:eastAsia="zh-CN"/>
        </w:rPr>
        <w:t>6</w:t>
      </w:r>
      <w:r>
        <w:rPr>
          <w:rFonts w:hint="eastAsia" w:ascii="仿宋" w:hAnsi="仿宋" w:eastAsia="仿宋"/>
          <w:sz w:val="32"/>
          <w:szCs w:val="32"/>
        </w:rPr>
        <w:t>万元，主要包括：</w:t>
      </w:r>
      <w:r>
        <w:rPr>
          <w:rFonts w:ascii="仿宋" w:hAnsi="仿宋" w:eastAsia="仿宋"/>
          <w:sz w:val="32"/>
          <w:u w:color="auto"/>
        </w:rPr>
        <w:t>基本工资</w:t>
      </w:r>
      <w:r>
        <w:rPr>
          <w:rFonts w:hint="eastAsia" w:ascii="仿宋" w:hAnsi="仿宋" w:eastAsia="仿宋" w:cs="宋体"/>
          <w:sz w:val="32"/>
          <w:szCs w:val="32"/>
        </w:rPr>
        <w:t>、</w:t>
      </w:r>
      <w:r>
        <w:rPr>
          <w:rFonts w:ascii="仿宋" w:hAnsi="仿宋" w:eastAsia="仿宋"/>
          <w:sz w:val="32"/>
          <w:u w:color="auto"/>
        </w:rPr>
        <w:t>津贴补贴</w:t>
      </w:r>
      <w:r>
        <w:rPr>
          <w:rFonts w:hint="eastAsia" w:ascii="仿宋" w:hAnsi="仿宋" w:eastAsia="仿宋" w:cs="宋体"/>
          <w:sz w:val="32"/>
          <w:szCs w:val="32"/>
        </w:rPr>
        <w:t>、</w:t>
      </w:r>
      <w:r>
        <w:rPr>
          <w:rFonts w:ascii="仿宋" w:hAnsi="仿宋" w:eastAsia="仿宋"/>
          <w:sz w:val="32"/>
          <w:u w:color="auto"/>
        </w:rPr>
        <w:t>奖金</w:t>
      </w:r>
      <w:r>
        <w:rPr>
          <w:rFonts w:hint="eastAsia" w:ascii="仿宋" w:hAnsi="仿宋" w:eastAsia="仿宋" w:cs="宋体"/>
          <w:sz w:val="32"/>
          <w:szCs w:val="32"/>
        </w:rPr>
        <w:t>、</w:t>
      </w:r>
      <w:r>
        <w:rPr>
          <w:rFonts w:ascii="仿宋" w:hAnsi="仿宋" w:eastAsia="仿宋"/>
          <w:sz w:val="32"/>
          <w:u w:color="auto"/>
        </w:rPr>
        <w:t>机关事业单位基本养老保险缴费</w:t>
      </w:r>
      <w:r>
        <w:rPr>
          <w:rFonts w:hint="eastAsia" w:ascii="仿宋" w:hAnsi="仿宋" w:eastAsia="仿宋" w:cs="宋体"/>
          <w:sz w:val="32"/>
          <w:szCs w:val="32"/>
        </w:rPr>
        <w:t>、</w:t>
      </w:r>
      <w:r>
        <w:rPr>
          <w:rFonts w:ascii="仿宋" w:hAnsi="仿宋" w:eastAsia="仿宋"/>
          <w:sz w:val="32"/>
          <w:u w:color="auto"/>
        </w:rPr>
        <w:t>职业年金缴费</w:t>
      </w:r>
      <w:r>
        <w:rPr>
          <w:rFonts w:hint="eastAsia" w:ascii="仿宋" w:hAnsi="仿宋" w:eastAsia="仿宋" w:cs="宋体"/>
          <w:sz w:val="32"/>
          <w:szCs w:val="32"/>
        </w:rPr>
        <w:t>、</w:t>
      </w:r>
      <w:r>
        <w:rPr>
          <w:rFonts w:ascii="仿宋" w:hAnsi="仿宋" w:eastAsia="仿宋"/>
          <w:sz w:val="32"/>
          <w:u w:color="auto"/>
        </w:rPr>
        <w:t>职工基本医疗保险缴费</w:t>
      </w:r>
      <w:r>
        <w:rPr>
          <w:rFonts w:hint="eastAsia" w:ascii="仿宋" w:hAnsi="仿宋" w:eastAsia="仿宋" w:cs="宋体"/>
          <w:sz w:val="32"/>
          <w:szCs w:val="32"/>
        </w:rPr>
        <w:t>、</w:t>
      </w:r>
      <w:r>
        <w:rPr>
          <w:rFonts w:ascii="仿宋" w:hAnsi="仿宋" w:eastAsia="仿宋"/>
          <w:sz w:val="32"/>
          <w:u w:color="auto"/>
        </w:rPr>
        <w:t>公务员医疗补助缴费</w:t>
      </w:r>
      <w:r>
        <w:rPr>
          <w:rFonts w:hint="eastAsia" w:ascii="仿宋" w:hAnsi="仿宋" w:eastAsia="仿宋" w:cs="宋体"/>
          <w:sz w:val="32"/>
          <w:szCs w:val="32"/>
        </w:rPr>
        <w:t>、</w:t>
      </w:r>
      <w:r>
        <w:rPr>
          <w:rFonts w:ascii="仿宋" w:hAnsi="仿宋" w:eastAsia="仿宋"/>
          <w:sz w:val="32"/>
          <w:u w:color="auto"/>
        </w:rPr>
        <w:t>其他社会保障缴费</w:t>
      </w:r>
      <w:r>
        <w:rPr>
          <w:rFonts w:hint="eastAsia" w:ascii="仿宋" w:hAnsi="仿宋" w:eastAsia="仿宋" w:cs="宋体"/>
          <w:sz w:val="32"/>
          <w:szCs w:val="32"/>
        </w:rPr>
        <w:t>、</w:t>
      </w:r>
      <w:r>
        <w:rPr>
          <w:rFonts w:ascii="仿宋" w:hAnsi="仿宋" w:eastAsia="仿宋"/>
          <w:sz w:val="32"/>
          <w:u w:color="auto"/>
        </w:rPr>
        <w:t>住房公积金</w:t>
      </w:r>
      <w:r>
        <w:rPr>
          <w:rFonts w:hint="eastAsia" w:ascii="仿宋" w:hAnsi="仿宋" w:eastAsia="仿宋" w:cs="宋体"/>
          <w:sz w:val="32"/>
          <w:szCs w:val="32"/>
        </w:rPr>
        <w:t>、</w:t>
      </w:r>
      <w:r>
        <w:rPr>
          <w:rFonts w:ascii="仿宋" w:hAnsi="仿宋" w:eastAsia="仿宋"/>
          <w:sz w:val="32"/>
          <w:u w:color="auto"/>
        </w:rPr>
        <w:t>生活补助</w:t>
      </w:r>
      <w:r>
        <w:rPr>
          <w:rFonts w:hint="eastAsia" w:ascii="仿宋" w:hAnsi="仿宋" w:eastAsia="仿宋" w:cs="宋体"/>
          <w:sz w:val="32"/>
          <w:szCs w:val="32"/>
        </w:rPr>
        <w:t>、</w:t>
      </w:r>
      <w:r>
        <w:rPr>
          <w:rFonts w:ascii="仿宋" w:hAnsi="仿宋" w:eastAsia="仿宋"/>
          <w:sz w:val="32"/>
          <w:u w:color="auto"/>
        </w:rPr>
        <w:t>奖励金</w:t>
      </w:r>
      <w:r>
        <w:rPr>
          <w:rFonts w:hint="eastAsia" w:ascii="仿宋" w:hAnsi="仿宋" w:eastAsia="仿宋"/>
          <w:sz w:val="32"/>
          <w:szCs w:val="32"/>
        </w:rPr>
        <w:t>等。</w:t>
      </w:r>
      <w:r>
        <w:br w:type="textWrapping"/>
      </w:r>
      <w:r>
        <w:rPr>
          <w:rFonts w:hint="eastAsia" w:ascii="仿宋" w:hAnsi="仿宋" w:eastAsia="仿宋"/>
          <w:sz w:val="32"/>
          <w:szCs w:val="32"/>
        </w:rPr>
        <w:t>　　公用经费</w:t>
      </w:r>
      <w:r>
        <w:rPr>
          <w:rFonts w:ascii="仿宋" w:hAnsi="仿宋" w:eastAsia="仿宋"/>
          <w:sz w:val="32"/>
          <w:u w:color="auto"/>
        </w:rPr>
        <w:t>120.49</w:t>
      </w:r>
      <w:r>
        <w:rPr>
          <w:rFonts w:hint="eastAsia" w:ascii="仿宋" w:hAnsi="仿宋" w:eastAsia="仿宋"/>
          <w:sz w:val="32"/>
          <w:szCs w:val="32"/>
        </w:rPr>
        <w:t>万元，主要包括：</w:t>
      </w:r>
      <w:r>
        <w:rPr>
          <w:rFonts w:ascii="仿宋" w:hAnsi="仿宋" w:eastAsia="仿宋"/>
          <w:sz w:val="32"/>
          <w:u w:color="auto"/>
        </w:rPr>
        <w:t>办公费</w:t>
      </w:r>
      <w:r>
        <w:rPr>
          <w:rFonts w:hint="eastAsia" w:ascii="仿宋" w:hAnsi="仿宋" w:eastAsia="仿宋" w:cs="宋体"/>
          <w:sz w:val="32"/>
          <w:szCs w:val="32"/>
        </w:rPr>
        <w:t>、</w:t>
      </w:r>
      <w:r>
        <w:rPr>
          <w:rFonts w:ascii="仿宋" w:hAnsi="仿宋" w:eastAsia="仿宋"/>
          <w:sz w:val="32"/>
          <w:u w:color="auto"/>
        </w:rPr>
        <w:t>印刷费</w:t>
      </w:r>
      <w:r>
        <w:rPr>
          <w:rFonts w:hint="eastAsia" w:ascii="仿宋" w:hAnsi="仿宋" w:eastAsia="仿宋" w:cs="宋体"/>
          <w:sz w:val="32"/>
          <w:szCs w:val="32"/>
        </w:rPr>
        <w:t>、</w:t>
      </w:r>
      <w:r>
        <w:rPr>
          <w:rFonts w:ascii="仿宋" w:hAnsi="仿宋" w:eastAsia="仿宋"/>
          <w:sz w:val="32"/>
          <w:u w:color="auto"/>
        </w:rPr>
        <w:t>水费</w:t>
      </w:r>
      <w:r>
        <w:rPr>
          <w:rFonts w:hint="eastAsia" w:ascii="仿宋" w:hAnsi="仿宋" w:eastAsia="仿宋" w:cs="宋体"/>
          <w:sz w:val="32"/>
          <w:szCs w:val="32"/>
        </w:rPr>
        <w:t>、</w:t>
      </w:r>
      <w:r>
        <w:rPr>
          <w:rFonts w:ascii="仿宋" w:hAnsi="仿宋" w:eastAsia="仿宋"/>
          <w:sz w:val="32"/>
          <w:u w:color="auto"/>
        </w:rPr>
        <w:t>电费</w:t>
      </w:r>
      <w:r>
        <w:rPr>
          <w:rFonts w:hint="eastAsia" w:ascii="仿宋" w:hAnsi="仿宋" w:eastAsia="仿宋" w:cs="宋体"/>
          <w:sz w:val="32"/>
          <w:szCs w:val="32"/>
        </w:rPr>
        <w:t>、</w:t>
      </w:r>
      <w:r>
        <w:rPr>
          <w:rFonts w:ascii="仿宋" w:hAnsi="仿宋" w:eastAsia="仿宋"/>
          <w:sz w:val="32"/>
          <w:u w:color="auto"/>
        </w:rPr>
        <w:t>邮电费</w:t>
      </w:r>
      <w:r>
        <w:rPr>
          <w:rFonts w:hint="eastAsia" w:ascii="仿宋" w:hAnsi="仿宋" w:eastAsia="仿宋" w:cs="宋体"/>
          <w:sz w:val="32"/>
          <w:szCs w:val="32"/>
        </w:rPr>
        <w:t>、</w:t>
      </w:r>
      <w:r>
        <w:rPr>
          <w:rFonts w:ascii="仿宋" w:hAnsi="仿宋" w:eastAsia="仿宋"/>
          <w:sz w:val="32"/>
          <w:u w:color="auto"/>
        </w:rPr>
        <w:t>差旅费</w:t>
      </w:r>
      <w:r>
        <w:rPr>
          <w:rFonts w:hint="eastAsia" w:ascii="仿宋" w:hAnsi="仿宋" w:eastAsia="仿宋" w:cs="宋体"/>
          <w:sz w:val="32"/>
          <w:szCs w:val="32"/>
        </w:rPr>
        <w:t>、</w:t>
      </w:r>
      <w:r>
        <w:rPr>
          <w:rFonts w:ascii="仿宋" w:hAnsi="仿宋" w:eastAsia="仿宋"/>
          <w:sz w:val="32"/>
          <w:u w:color="auto"/>
        </w:rPr>
        <w:t>维修（护）费</w:t>
      </w:r>
      <w:r>
        <w:rPr>
          <w:rFonts w:hint="eastAsia" w:ascii="仿宋" w:hAnsi="仿宋" w:eastAsia="仿宋" w:cs="宋体"/>
          <w:sz w:val="32"/>
          <w:szCs w:val="32"/>
        </w:rPr>
        <w:t>、</w:t>
      </w:r>
      <w:r>
        <w:rPr>
          <w:rFonts w:ascii="仿宋" w:hAnsi="仿宋" w:eastAsia="仿宋"/>
          <w:sz w:val="32"/>
          <w:u w:color="auto"/>
        </w:rPr>
        <w:t>培训费</w:t>
      </w:r>
      <w:r>
        <w:rPr>
          <w:rFonts w:hint="eastAsia" w:ascii="仿宋" w:hAnsi="仿宋" w:eastAsia="仿宋" w:cs="宋体"/>
          <w:sz w:val="32"/>
          <w:szCs w:val="32"/>
        </w:rPr>
        <w:t>、</w:t>
      </w:r>
      <w:r>
        <w:rPr>
          <w:rFonts w:ascii="仿宋" w:hAnsi="仿宋" w:eastAsia="仿宋"/>
          <w:sz w:val="32"/>
          <w:u w:color="auto"/>
        </w:rPr>
        <w:t>公务接待费</w:t>
      </w:r>
      <w:r>
        <w:rPr>
          <w:rFonts w:hint="eastAsia" w:ascii="仿宋" w:hAnsi="仿宋" w:eastAsia="仿宋" w:cs="宋体"/>
          <w:sz w:val="32"/>
          <w:szCs w:val="32"/>
        </w:rPr>
        <w:t>、</w:t>
      </w:r>
      <w:r>
        <w:rPr>
          <w:rFonts w:ascii="仿宋" w:hAnsi="仿宋" w:eastAsia="仿宋"/>
          <w:sz w:val="32"/>
          <w:u w:color="auto"/>
        </w:rPr>
        <w:t>劳务费</w:t>
      </w:r>
      <w:r>
        <w:rPr>
          <w:rFonts w:hint="eastAsia" w:ascii="仿宋" w:hAnsi="仿宋" w:eastAsia="仿宋" w:cs="宋体"/>
          <w:sz w:val="32"/>
          <w:szCs w:val="32"/>
        </w:rPr>
        <w:t>、</w:t>
      </w:r>
      <w:r>
        <w:rPr>
          <w:rFonts w:ascii="仿宋" w:hAnsi="仿宋" w:eastAsia="仿宋"/>
          <w:sz w:val="32"/>
          <w:u w:color="auto"/>
        </w:rPr>
        <w:t>委托业务费</w:t>
      </w:r>
      <w:r>
        <w:rPr>
          <w:rFonts w:hint="eastAsia" w:ascii="仿宋" w:hAnsi="仿宋" w:eastAsia="仿宋" w:cs="宋体"/>
          <w:sz w:val="32"/>
          <w:szCs w:val="32"/>
        </w:rPr>
        <w:t>、</w:t>
      </w:r>
      <w:r>
        <w:rPr>
          <w:rFonts w:ascii="仿宋" w:hAnsi="仿宋" w:eastAsia="仿宋"/>
          <w:sz w:val="32"/>
          <w:u w:color="auto"/>
        </w:rPr>
        <w:t>工会经费</w:t>
      </w:r>
      <w:r>
        <w:rPr>
          <w:rFonts w:hint="eastAsia" w:ascii="仿宋" w:hAnsi="仿宋" w:eastAsia="仿宋" w:cs="宋体"/>
          <w:sz w:val="32"/>
          <w:szCs w:val="32"/>
        </w:rPr>
        <w:t>、</w:t>
      </w:r>
      <w:r>
        <w:rPr>
          <w:rFonts w:ascii="仿宋" w:hAnsi="仿宋" w:eastAsia="仿宋"/>
          <w:sz w:val="32"/>
          <w:u w:color="auto"/>
        </w:rPr>
        <w:t>公务用车运行维护费等。</w:t>
      </w:r>
    </w:p>
    <w:p>
      <w:pPr>
        <w:spacing w:line="600" w:lineRule="exact"/>
        <w:ind w:firstLine="640"/>
        <w:outlineLvl w:val="1"/>
        <w:rPr>
          <w:rStyle w:val="28"/>
          <w:rFonts w:ascii="黑体" w:hAnsi="黑体" w:eastAsia="黑体"/>
          <w:b w:val="0"/>
        </w:rPr>
      </w:pPr>
      <w:bookmarkStart w:id="69" w:name="_Toc15377215"/>
      <w:bookmarkStart w:id="70" w:name="_Toc15396609"/>
      <w:bookmarkStart w:id="71" w:name="_Toc12873"/>
      <w:r>
        <w:rPr>
          <w:rFonts w:hint="eastAsia" w:ascii="黑体" w:eastAsia="黑体"/>
          <w:sz w:val="32"/>
          <w:szCs w:val="32"/>
        </w:rPr>
        <w:t>七、</w:t>
      </w:r>
      <w:r>
        <w:rPr>
          <w:rStyle w:val="28"/>
          <w:rFonts w:hint="eastAsia" w:ascii="黑体" w:hAnsi="黑体" w:eastAsia="黑体"/>
          <w:b w:val="0"/>
        </w:rPr>
        <w:t>财政拨款</w:t>
      </w:r>
      <w:r>
        <w:rPr>
          <w:rStyle w:val="28"/>
          <w:rFonts w:hint="eastAsia" w:ascii="黑体" w:hAnsi="黑体" w:eastAsia="黑体"/>
        </w:rPr>
        <w:t>“</w:t>
      </w:r>
      <w:r>
        <w:rPr>
          <w:rStyle w:val="28"/>
          <w:rFonts w:hint="eastAsia" w:ascii="黑体" w:hAnsi="黑体" w:eastAsia="黑体"/>
          <w:b w:val="0"/>
        </w:rPr>
        <w:t>三公”经费支出决算情况说明</w:t>
      </w:r>
      <w:bookmarkEnd w:id="69"/>
      <w:bookmarkEnd w:id="70"/>
      <w:bookmarkEnd w:id="71"/>
    </w:p>
    <w:p>
      <w:pPr>
        <w:spacing w:line="600" w:lineRule="exact"/>
        <w:ind w:firstLine="640"/>
        <w:outlineLvl w:val="2"/>
        <w:rPr>
          <w:rFonts w:ascii="仿宋" w:hAnsi="仿宋" w:eastAsia="仿宋"/>
          <w:b/>
          <w:sz w:val="32"/>
          <w:szCs w:val="32"/>
        </w:rPr>
      </w:pPr>
      <w:bookmarkStart w:id="72" w:name="_Toc15377216"/>
      <w:r>
        <w:rPr>
          <w:rFonts w:hint="eastAsia" w:ascii="仿宋" w:hAnsi="仿宋" w:eastAsia="仿宋"/>
          <w:b/>
          <w:sz w:val="32"/>
          <w:szCs w:val="32"/>
        </w:rPr>
        <w:t>（一）“三公”经费财政拨款支出决算总体情况说明</w:t>
      </w:r>
      <w:bookmarkEnd w:id="72"/>
    </w:p>
    <w:p>
      <w:pPr>
        <w:spacing w:line="600" w:lineRule="exact"/>
        <w:ind w:firstLine="640"/>
        <w:rPr>
          <w:rFonts w:ascii="仿宋" w:hAnsi="仿宋" w:eastAsia="仿宋"/>
          <w:sz w:val="32"/>
          <w:szCs w:val="32"/>
        </w:rPr>
      </w:pPr>
      <w:r>
        <w:rPr>
          <w:rFonts w:hint="eastAsia" w:ascii="仿宋" w:hAnsi="仿宋" w:eastAsia="仿宋"/>
          <w:sz w:val="32"/>
          <w:szCs w:val="32"/>
        </w:rPr>
        <w:t>2022</w:t>
      </w:r>
      <w:r>
        <w:rPr>
          <w:rFonts w:ascii="仿宋" w:hAnsi="仿宋" w:eastAsia="仿宋"/>
          <w:sz w:val="32"/>
          <w:u w:color="auto"/>
        </w:rPr>
        <w:t>年“三公”经费财政拨款支出决算为3.9</w:t>
      </w:r>
      <w:r>
        <w:rPr>
          <w:rFonts w:hint="eastAsia" w:ascii="仿宋" w:hAnsi="仿宋" w:eastAsia="仿宋"/>
          <w:sz w:val="32"/>
          <w:szCs w:val="32"/>
        </w:rPr>
        <w:t>万元，完成预算</w:t>
      </w:r>
      <w:r>
        <w:rPr>
          <w:rFonts w:ascii="仿宋" w:hAnsi="仿宋" w:eastAsia="仿宋"/>
          <w:sz w:val="32"/>
          <w:u w:color="auto"/>
        </w:rPr>
        <w:t>100</w:t>
      </w:r>
      <w:r>
        <w:rPr>
          <w:rFonts w:ascii="仿宋" w:hAnsi="仿宋" w:eastAsia="仿宋"/>
          <w:sz w:val="32"/>
          <w:szCs w:val="32"/>
        </w:rPr>
        <w:t>%</w:t>
      </w:r>
      <w:r>
        <w:rPr>
          <w:rFonts w:hint="eastAsia" w:ascii="仿宋" w:hAnsi="仿宋" w:eastAsia="仿宋"/>
          <w:sz w:val="32"/>
          <w:szCs w:val="32"/>
        </w:rPr>
        <w:t>，较上年</w:t>
      </w:r>
      <w:bookmarkStart w:id="73" w:name="_Hlk144300677"/>
      <w:r>
        <w:rPr>
          <w:rFonts w:hint="eastAsia" w:ascii="仿宋" w:hAnsi="仿宋" w:eastAsia="仿宋"/>
          <w:sz w:val="32"/>
          <w:szCs w:val="32"/>
        </w:rPr>
        <w:t>减少</w:t>
      </w:r>
      <w:bookmarkEnd w:id="73"/>
      <w:bookmarkStart w:id="74" w:name="_Hlk144300627"/>
      <w:bookmarkEnd w:id="74"/>
      <w:bookmarkStart w:id="75" w:name="_Hlk144300693"/>
      <w:r>
        <w:rPr>
          <w:rFonts w:ascii="仿宋" w:hAnsi="仿宋" w:eastAsia="仿宋"/>
          <w:sz w:val="32"/>
          <w:szCs w:val="32"/>
        </w:rPr>
        <w:t>114.95</w:t>
      </w:r>
      <w:bookmarkEnd w:id="75"/>
      <w:r>
        <w:rPr>
          <w:rFonts w:hint="eastAsia" w:ascii="仿宋" w:hAnsi="仿宋" w:eastAsia="仿宋"/>
          <w:sz w:val="32"/>
          <w:szCs w:val="32"/>
        </w:rPr>
        <w:t>万元，</w:t>
      </w:r>
      <w:bookmarkStart w:id="76" w:name="_Hlk144300749"/>
      <w:bookmarkEnd w:id="76"/>
      <w:bookmarkStart w:id="77" w:name="_Hlk144839301"/>
      <w:bookmarkEnd w:id="77"/>
      <w:r>
        <w:rPr>
          <w:rFonts w:ascii="仿宋" w:hAnsi="仿宋" w:eastAsia="仿宋"/>
          <w:sz w:val="32"/>
          <w:u w:color="auto"/>
        </w:rPr>
        <w:t>下降96.72</w:t>
      </w:r>
      <w:r>
        <w:rPr>
          <w:rFonts w:hint="eastAsia" w:ascii="仿宋" w:hAnsi="仿宋" w:eastAsia="仿宋"/>
          <w:sz w:val="32"/>
          <w:szCs w:val="32"/>
        </w:rPr>
        <w:t>%。决算数与预算数持平。</w:t>
      </w:r>
    </w:p>
    <w:p>
      <w:pPr>
        <w:spacing w:line="600" w:lineRule="exact"/>
        <w:ind w:firstLine="640"/>
        <w:outlineLvl w:val="2"/>
        <w:rPr>
          <w:rFonts w:ascii="仿宋" w:hAnsi="仿宋" w:eastAsia="仿宋"/>
          <w:b/>
          <w:sz w:val="32"/>
          <w:szCs w:val="32"/>
        </w:rPr>
      </w:pPr>
      <w:bookmarkStart w:id="78" w:name="_Toc15377217"/>
      <w:r>
        <w:rPr>
          <w:rFonts w:hint="eastAsia" w:ascii="仿宋" w:hAnsi="仿宋" w:eastAsia="仿宋"/>
          <w:b/>
          <w:sz w:val="32"/>
          <w:szCs w:val="32"/>
        </w:rPr>
        <w:t>（二）“三公”经费财政拨款支出决算具体情况说明</w:t>
      </w:r>
      <w:bookmarkEnd w:id="78"/>
    </w:p>
    <w:p>
      <w:pPr>
        <w:spacing w:line="600" w:lineRule="exact"/>
        <w:ind w:firstLine="640"/>
        <w:rPr>
          <w:rFonts w:ascii="仿宋" w:hAnsi="仿宋" w:eastAsia="仿宋"/>
          <w:sz w:val="32"/>
          <w:szCs w:val="32"/>
        </w:rPr>
      </w:pPr>
      <w:r>
        <w:rPr>
          <w:rFonts w:hint="eastAsia" w:ascii="仿宋" w:hAnsi="仿宋" w:eastAsia="仿宋"/>
          <w:sz w:val="32"/>
          <w:szCs w:val="32"/>
        </w:rPr>
        <w:t>2022</w:t>
      </w:r>
      <w:r>
        <w:rPr>
          <w:rFonts w:ascii="仿宋" w:hAnsi="仿宋" w:eastAsia="仿宋"/>
          <w:sz w:val="32"/>
          <w:u w:color="auto"/>
        </w:rPr>
        <w:t>年“三公”经费财政拨款支出决算中，</w:t>
      </w:r>
      <w:bookmarkStart w:id="79" w:name="_Hlk144300840"/>
      <w:bookmarkEnd w:id="79"/>
      <w:r>
        <w:rPr>
          <w:rFonts w:ascii="仿宋" w:hAnsi="仿宋" w:eastAsia="仿宋"/>
          <w:sz w:val="32"/>
          <w:u w:color="auto"/>
        </w:rPr>
        <w:t>因公出国（境）费支出决算</w:t>
      </w:r>
      <w:r>
        <w:rPr>
          <w:rFonts w:hint="eastAsia" w:ascii="仿宋" w:hAnsi="仿宋" w:eastAsia="仿宋"/>
          <w:sz w:val="32"/>
          <w:szCs w:val="32"/>
        </w:rPr>
        <w:t>0万元，占0</w:t>
      </w:r>
      <w:r>
        <w:rPr>
          <w:rFonts w:ascii="仿宋" w:hAnsi="仿宋" w:eastAsia="仿宋"/>
          <w:sz w:val="32"/>
          <w:szCs w:val="32"/>
        </w:rPr>
        <w:t>%</w:t>
      </w:r>
      <w:r>
        <w:rPr>
          <w:rFonts w:ascii="仿宋" w:hAnsi="仿宋" w:eastAsia="仿宋"/>
          <w:sz w:val="32"/>
          <w:u w:color="auto"/>
        </w:rPr>
        <w:t>；公务用车购置及运行维护费支出决算</w:t>
      </w:r>
      <w:r>
        <w:rPr>
          <w:rFonts w:hint="eastAsia" w:ascii="仿宋" w:hAnsi="仿宋" w:eastAsia="仿宋"/>
          <w:sz w:val="32"/>
          <w:szCs w:val="32"/>
        </w:rPr>
        <w:t>3.39万元，占86.92</w:t>
      </w:r>
      <w:r>
        <w:rPr>
          <w:rFonts w:ascii="仿宋" w:hAnsi="仿宋" w:eastAsia="仿宋"/>
          <w:sz w:val="32"/>
          <w:szCs w:val="32"/>
        </w:rPr>
        <w:t>%</w:t>
      </w:r>
      <w:r>
        <w:rPr>
          <w:rFonts w:ascii="仿宋" w:hAnsi="仿宋" w:eastAsia="仿宋"/>
          <w:sz w:val="32"/>
          <w:u w:color="auto"/>
        </w:rPr>
        <w:t>；公务接待费支出决算</w:t>
      </w:r>
      <w:r>
        <w:rPr>
          <w:rFonts w:hint="eastAsia" w:ascii="仿宋" w:hAnsi="仿宋" w:eastAsia="仿宋"/>
          <w:sz w:val="32"/>
          <w:szCs w:val="32"/>
        </w:rPr>
        <w:t>0.51万元，占13.08</w:t>
      </w:r>
      <w:r>
        <w:rPr>
          <w:rFonts w:ascii="仿宋" w:hAnsi="仿宋" w:eastAsia="仿宋"/>
          <w:sz w:val="32"/>
          <w:szCs w:val="32"/>
        </w:rPr>
        <w:t>%</w:t>
      </w:r>
      <w:r>
        <w:rPr>
          <w:rFonts w:hint="eastAsia" w:ascii="仿宋" w:hAnsi="仿宋" w:eastAsia="仿宋"/>
          <w:sz w:val="32"/>
          <w:szCs w:val="32"/>
        </w:rPr>
        <w:t>。具体情况如下：</w:t>
      </w:r>
    </w:p>
    <w:p>
      <w:pPr>
        <w:pStyle w:val="2"/>
        <w:spacing w:before="93"/>
        <w:jc w:val="center"/>
      </w:pPr>
      <w:r>
        <w:drawing>
          <wp:inline distT="0" distB="0" distL="114300" distR="114300">
            <wp:extent cx="5022850" cy="2775585"/>
            <wp:effectExtent l="4445" t="4445" r="17145" b="8890"/>
            <wp:docPr id="1" name="图表 1" descr="{{#this}}"/>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ind w:firstLine="640"/>
        <w:jc w:val="center"/>
        <w:rPr>
          <w:rFonts w:ascii="仿宋" w:hAnsi="仿宋" w:eastAsia="仿宋"/>
          <w:sz w:val="32"/>
          <w:szCs w:val="32"/>
        </w:rPr>
      </w:pPr>
      <w:r>
        <w:rPr>
          <w:rFonts w:hint="eastAsia" w:ascii="仿宋" w:hAnsi="仿宋" w:eastAsia="仿宋"/>
          <w:sz w:val="32"/>
          <w:szCs w:val="32"/>
        </w:rPr>
        <w:t>（图7：“三公”经费财政拨款支出结构）</w:t>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 w:hAnsi="仿宋" w:eastAsia="仿宋"/>
          <w:sz w:val="32"/>
          <w:szCs w:val="32"/>
          <w:lang w:val="en-US" w:eastAsia="zh-CN"/>
        </w:rPr>
        <w:t>本年无预算数</w:t>
      </w:r>
      <w:r>
        <w:rPr>
          <w:rFonts w:hint="eastAsia" w:ascii="仿宋_GB2312" w:eastAsia="仿宋_GB2312"/>
          <w:sz w:val="32"/>
          <w:szCs w:val="32"/>
        </w:rPr>
        <w:t>。因公出国（境）支出决算</w:t>
      </w:r>
      <w:bookmarkStart w:id="80" w:name="_Hlk144301161"/>
      <w:bookmarkEnd w:id="80"/>
      <w:bookmarkStart w:id="81" w:name="_Hlk144301087"/>
      <w:bookmarkEnd w:id="81"/>
      <w:r>
        <w:rPr>
          <w:rFonts w:hint="eastAsia" w:ascii="仿宋_GB2312" w:eastAsia="仿宋_GB2312"/>
          <w:sz w:val="32"/>
          <w:szCs w:val="32"/>
          <w:lang w:val="en-US" w:eastAsia="zh-CN"/>
        </w:rPr>
        <w:t>与</w:t>
      </w:r>
      <w:r>
        <w:rPr>
          <w:rFonts w:hint="eastAsia" w:ascii="仿宋_GB2312" w:eastAsia="仿宋_GB2312"/>
          <w:sz w:val="32"/>
          <w:u w:color="auto"/>
          <w:lang w:val="en-US" w:eastAsia="zh-CN"/>
        </w:rPr>
        <w:t>上年持平</w:t>
      </w:r>
      <w:r>
        <w:rPr>
          <w:rFonts w:hint="eastAsia" w:ascii="仿宋_GB2312" w:eastAsia="仿宋_GB2312"/>
          <w:sz w:val="32"/>
          <w:szCs w:val="32"/>
        </w:rPr>
        <w:t>。</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 w:hAnsi="仿宋" w:eastAsia="仿宋"/>
          <w:sz w:val="32"/>
          <w:szCs w:val="32"/>
        </w:rPr>
        <w:t>3.39</w:t>
      </w:r>
      <w:bookmarkStart w:id="82" w:name="_Hlk144301318"/>
      <w:bookmarkEnd w:id="82"/>
      <w:r>
        <w:rPr>
          <w:rFonts w:hint="eastAsia" w:ascii="仿宋_GB2312" w:eastAsia="仿宋_GB2312"/>
          <w:sz w:val="32"/>
          <w:szCs w:val="32"/>
        </w:rPr>
        <w:t>万元</w:t>
      </w:r>
      <w:r>
        <w:rPr>
          <w:rFonts w:hint="eastAsia" w:ascii="仿宋_GB2312" w:eastAsia="仿宋_GB2312"/>
          <w:sz w:val="32"/>
          <w:szCs w:val="32"/>
          <w:lang w:eastAsia="zh-CN"/>
        </w:rPr>
        <w:t>，</w:t>
      </w:r>
      <w:r>
        <w:rPr>
          <w:rStyle w:val="17"/>
          <w:rFonts w:hint="eastAsia" w:ascii="仿宋" w:hAnsi="仿宋" w:eastAsia="仿宋"/>
          <w:b w:val="0"/>
          <w:bCs/>
          <w:sz w:val="32"/>
          <w:szCs w:val="32"/>
        </w:rPr>
        <w:t>完成预算</w:t>
      </w:r>
      <w:bookmarkStart w:id="83" w:name="_Hlk144838445"/>
      <w:bookmarkEnd w:id="83"/>
      <w:r>
        <w:rPr>
          <w:rStyle w:val="17"/>
          <w:rFonts w:ascii="仿宋" w:hAnsi="仿宋" w:eastAsia="仿宋"/>
          <w:sz w:val="32"/>
          <w:u w:color="auto"/>
        </w:rPr>
        <w:t>100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公务用车购置及运行维护费支出决算比</w:t>
      </w:r>
      <w:bookmarkStart w:id="84" w:name="_Hlk144301375"/>
      <w:bookmarkEnd w:id="84"/>
      <w:bookmarkStart w:id="85" w:name="_Hlk144301415"/>
      <w:bookmarkEnd w:id="85"/>
      <w:bookmarkStart w:id="86" w:name="_Hlk144301402"/>
      <w:r>
        <w:rPr>
          <w:rFonts w:ascii="仿宋_GB2312" w:eastAsia="仿宋_GB2312"/>
          <w:sz w:val="32"/>
          <w:u w:color="auto"/>
        </w:rPr>
        <w:t>2021年减少</w:t>
      </w:r>
      <w:r>
        <w:rPr>
          <w:rFonts w:ascii="仿宋_GB2312" w:eastAsia="仿宋_GB2312"/>
          <w:sz w:val="32"/>
          <w:szCs w:val="32"/>
        </w:rPr>
        <w:t>114.81</w:t>
      </w:r>
      <w:bookmarkEnd w:id="86"/>
      <w:r>
        <w:rPr>
          <w:rFonts w:hint="eastAsia" w:ascii="仿宋_GB2312" w:eastAsia="仿宋_GB2312"/>
          <w:sz w:val="32"/>
          <w:szCs w:val="32"/>
        </w:rPr>
        <w:t>万元，</w:t>
      </w:r>
      <w:bookmarkStart w:id="87" w:name="_Hlk144839050"/>
      <w:bookmarkEnd w:id="87"/>
      <w:r>
        <w:rPr>
          <w:rFonts w:ascii="仿宋_GB2312" w:eastAsia="仿宋_GB2312"/>
          <w:sz w:val="32"/>
          <w:u w:color="auto"/>
        </w:rPr>
        <w:t>下降97.13</w:t>
      </w:r>
      <w:r>
        <w:rPr>
          <w:rFonts w:ascii="仿宋_GB2312" w:eastAsia="仿宋_GB2312"/>
          <w:sz w:val="32"/>
          <w:szCs w:val="32"/>
        </w:rPr>
        <w:t>%</w:t>
      </w:r>
      <w:r>
        <w:rPr>
          <w:rFonts w:hint="eastAsia" w:ascii="仿宋_GB2312" w:eastAsia="仿宋_GB2312"/>
          <w:sz w:val="32"/>
          <w:szCs w:val="32"/>
        </w:rPr>
        <w:t>。主要原因是本年人员无车辆购置支出以及因疫情，业务活动开展基本为线上。</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rPr>
        <w:t>0万元。全年按规定更新购置公务用车</w:t>
      </w:r>
      <w:r>
        <w:rPr>
          <w:rFonts w:ascii="仿宋_GB2312" w:eastAsia="仿宋_GB2312"/>
          <w:sz w:val="32"/>
          <w:u w:color="auto"/>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w:t>
      </w:r>
      <w:r>
        <w:rPr>
          <w:rFonts w:ascii="仿宋_GB2312" w:eastAsia="仿宋_GB2312"/>
          <w:sz w:val="32"/>
          <w:u w:color="auto"/>
        </w:rPr>
        <w:t>2022年</w:t>
      </w:r>
      <w:r>
        <w:rPr>
          <w:rFonts w:ascii="仿宋_GB2312" w:eastAsia="仿宋_GB2312"/>
          <w:sz w:val="32"/>
          <w:szCs w:val="32"/>
        </w:rPr>
        <w:t>12</w:t>
      </w:r>
      <w:r>
        <w:rPr>
          <w:rFonts w:hint="eastAsia" w:ascii="仿宋_GB2312" w:eastAsia="仿宋_GB2312"/>
          <w:sz w:val="32"/>
          <w:szCs w:val="32"/>
        </w:rPr>
        <w:t>月底，单位共有公务用车</w:t>
      </w:r>
      <w:r>
        <w:rPr>
          <w:rFonts w:ascii="仿宋_GB2312" w:eastAsia="仿宋_GB2312"/>
          <w:sz w:val="32"/>
          <w:u w:color="auto"/>
        </w:rPr>
        <w:t>18</w:t>
      </w:r>
      <w:r>
        <w:rPr>
          <w:rFonts w:hint="eastAsia" w:ascii="仿宋_GB2312" w:eastAsia="仿宋_GB2312"/>
          <w:sz w:val="32"/>
          <w:szCs w:val="32"/>
        </w:rPr>
        <w:t>辆，其中：轿车</w:t>
      </w:r>
      <w:r>
        <w:rPr>
          <w:rFonts w:hint="eastAsia" w:ascii="仿宋_GB2312" w:eastAsia="仿宋_GB2312"/>
          <w:sz w:val="32"/>
          <w:szCs w:val="32"/>
          <w:lang w:val="en-US" w:eastAsia="zh-CN"/>
        </w:rPr>
        <w:t>6</w:t>
      </w:r>
      <w:r>
        <w:rPr>
          <w:rFonts w:hint="eastAsia" w:ascii="仿宋_GB2312" w:eastAsia="仿宋_GB2312"/>
          <w:sz w:val="32"/>
          <w:szCs w:val="32"/>
        </w:rPr>
        <w:t>辆、越野车</w:t>
      </w:r>
      <w:r>
        <w:rPr>
          <w:rFonts w:hint="eastAsia" w:ascii="仿宋_GB2312" w:eastAsia="仿宋_GB2312"/>
          <w:sz w:val="32"/>
          <w:szCs w:val="32"/>
          <w:lang w:val="en-US" w:eastAsia="zh-CN"/>
        </w:rPr>
        <w:t>9</w:t>
      </w:r>
      <w:r>
        <w:rPr>
          <w:rFonts w:hint="eastAsia" w:ascii="仿宋_GB2312" w:eastAsia="仿宋_GB2312"/>
          <w:sz w:val="32"/>
          <w:szCs w:val="32"/>
        </w:rPr>
        <w:t>辆、</w:t>
      </w:r>
      <w:r>
        <w:rPr>
          <w:rFonts w:hint="eastAsia" w:ascii="仿宋_GB2312" w:eastAsia="仿宋_GB2312"/>
          <w:sz w:val="32"/>
          <w:szCs w:val="32"/>
          <w:lang w:val="en-US" w:eastAsia="zh-CN"/>
        </w:rPr>
        <w:t>小型</w:t>
      </w:r>
      <w:r>
        <w:rPr>
          <w:rFonts w:hint="eastAsia" w:ascii="仿宋_GB2312" w:eastAsia="仿宋_GB2312"/>
          <w:sz w:val="32"/>
          <w:szCs w:val="32"/>
        </w:rPr>
        <w:t>载客汽车</w:t>
      </w:r>
      <w:r>
        <w:rPr>
          <w:rFonts w:hint="eastAsia" w:ascii="仿宋_GB2312" w:eastAsia="仿宋_GB2312"/>
          <w:sz w:val="32"/>
          <w:szCs w:val="32"/>
          <w:lang w:val="en-US" w:eastAsia="zh-CN"/>
        </w:rPr>
        <w:t>3</w:t>
      </w:r>
      <w:r>
        <w:rPr>
          <w:rFonts w:hint="eastAsia" w:ascii="仿宋_GB2312" w:eastAsia="仿宋_GB2312"/>
          <w:sz w:val="32"/>
          <w:szCs w:val="32"/>
        </w:rPr>
        <w:t>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rPr>
        <w:t>3.39万元。主要用于公务用车燃料费、维修费、过路过桥费、保险费等支出。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 w:hAnsi="仿宋" w:eastAsia="仿宋"/>
          <w:sz w:val="32"/>
          <w:szCs w:val="32"/>
        </w:rPr>
        <w:t>0.51</w:t>
      </w:r>
      <w:bookmarkStart w:id="88" w:name="_Hlk144301624"/>
      <w:bookmarkEnd w:id="88"/>
      <w:r>
        <w:rPr>
          <w:rFonts w:hint="eastAsia" w:ascii="仿宋_GB2312" w:eastAsia="仿宋_GB2312"/>
          <w:sz w:val="32"/>
          <w:szCs w:val="32"/>
        </w:rPr>
        <w:t>万元，</w:t>
      </w:r>
      <w:r>
        <w:rPr>
          <w:rStyle w:val="17"/>
          <w:rFonts w:hint="eastAsia" w:ascii="仿宋" w:hAnsi="仿宋" w:eastAsia="仿宋"/>
          <w:b w:val="0"/>
          <w:bCs/>
          <w:sz w:val="32"/>
          <w:szCs w:val="32"/>
        </w:rPr>
        <w:t>完成预算</w:t>
      </w:r>
      <w:r>
        <w:rPr>
          <w:rFonts w:hint="eastAsia" w:ascii="仿宋" w:hAnsi="仿宋" w:eastAsia="仿宋"/>
          <w:sz w:val="32"/>
          <w:szCs w:val="32"/>
        </w:rPr>
        <w:t>100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公务接待费支出决算比</w:t>
      </w:r>
      <w:bookmarkStart w:id="89" w:name="_Hlk144301701"/>
      <w:r>
        <w:rPr>
          <w:rFonts w:ascii="仿宋_GB2312" w:eastAsia="仿宋_GB2312"/>
          <w:sz w:val="32"/>
          <w:u w:color="auto"/>
        </w:rPr>
        <w:t>2021年</w:t>
      </w:r>
      <w:r>
        <w:rPr>
          <w:rFonts w:hint="eastAsia" w:ascii="仿宋_GB2312" w:eastAsia="仿宋_GB2312"/>
          <w:sz w:val="32"/>
          <w:szCs w:val="32"/>
        </w:rPr>
        <w:t>减少</w:t>
      </w:r>
      <w:bookmarkEnd w:id="89"/>
      <w:bookmarkStart w:id="90" w:name="_Hlk144301728"/>
      <w:bookmarkEnd w:id="90"/>
      <w:r>
        <w:rPr>
          <w:rFonts w:ascii="仿宋" w:hAnsi="仿宋" w:eastAsia="仿宋"/>
          <w:sz w:val="32"/>
          <w:szCs w:val="32"/>
        </w:rPr>
        <w:t>0.14</w:t>
      </w:r>
      <w:bookmarkStart w:id="91" w:name="_Hlk144301721"/>
      <w:bookmarkEnd w:id="91"/>
      <w:r>
        <w:rPr>
          <w:rFonts w:hint="eastAsia" w:ascii="仿宋_GB2312" w:eastAsia="仿宋_GB2312"/>
          <w:sz w:val="32"/>
          <w:szCs w:val="32"/>
        </w:rPr>
        <w:t>万元，</w:t>
      </w:r>
      <w:r>
        <w:rPr>
          <w:rFonts w:ascii="仿宋_GB2312" w:eastAsia="仿宋_GB2312"/>
          <w:sz w:val="32"/>
          <w:u w:color="auto"/>
        </w:rPr>
        <w:t>下降21.54</w:t>
      </w:r>
      <w:r>
        <w:rPr>
          <w:rFonts w:ascii="仿宋_GB2312" w:eastAsia="仿宋_GB2312"/>
          <w:sz w:val="32"/>
          <w:szCs w:val="32"/>
        </w:rPr>
        <w:t>%</w:t>
      </w:r>
      <w:r>
        <w:rPr>
          <w:rFonts w:hint="eastAsia" w:ascii="仿宋_GB2312" w:eastAsia="仿宋_GB2312"/>
          <w:sz w:val="32"/>
          <w:szCs w:val="32"/>
        </w:rPr>
        <w:t>。主要原因是严格执行公务接待管理制度，</w:t>
      </w:r>
      <w:r>
        <w:rPr>
          <w:rFonts w:hint="eastAsia" w:ascii="仿宋_GB2312" w:eastAsia="仿宋_GB2312"/>
          <w:sz w:val="32"/>
          <w:szCs w:val="32"/>
          <w:lang w:eastAsia="zh-CN"/>
        </w:rPr>
        <w:t>厉行节约</w:t>
      </w:r>
      <w:r>
        <w:rPr>
          <w:rFonts w:hint="eastAsia" w:ascii="仿宋_GB2312" w:eastAsia="仿宋_GB2312"/>
          <w:sz w:val="32"/>
          <w:szCs w:val="32"/>
        </w:rPr>
        <w:t>，压减支出。其中：</w:t>
      </w:r>
    </w:p>
    <w:p>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_GB2312" w:eastAsia="仿宋_GB2312"/>
          <w:sz w:val="32"/>
          <w:szCs w:val="32"/>
        </w:rPr>
        <w:t>0.51万元，主要用于执行公务、开展业务活动开支的住宿费、用餐费等。国内公务接待</w:t>
      </w:r>
      <w:r>
        <w:rPr>
          <w:rFonts w:ascii="仿宋_GB2312" w:eastAsia="仿宋_GB2312"/>
          <w:sz w:val="32"/>
          <w:u w:color="auto"/>
        </w:rPr>
        <w:t>5</w:t>
      </w:r>
      <w:r>
        <w:rPr>
          <w:rFonts w:hint="eastAsia" w:ascii="仿宋_GB2312" w:eastAsia="仿宋_GB2312"/>
          <w:sz w:val="32"/>
          <w:szCs w:val="32"/>
        </w:rPr>
        <w:t>批次，</w:t>
      </w:r>
      <w:r>
        <w:rPr>
          <w:rFonts w:ascii="仿宋_GB2312" w:eastAsia="仿宋_GB2312"/>
          <w:sz w:val="32"/>
          <w:u w:color="auto"/>
        </w:rPr>
        <w:t>35</w:t>
      </w:r>
      <w:r>
        <w:rPr>
          <w:rFonts w:hint="eastAsia" w:ascii="仿宋_GB2312" w:eastAsia="仿宋_GB2312"/>
          <w:sz w:val="32"/>
          <w:szCs w:val="32"/>
        </w:rPr>
        <w:t>人次（不包括陪同人员），共计支出</w:t>
      </w:r>
      <w:r>
        <w:rPr>
          <w:rFonts w:ascii="仿宋_GB2312" w:eastAsia="仿宋_GB2312"/>
          <w:sz w:val="32"/>
          <w:u w:color="auto"/>
        </w:rPr>
        <w:t>0.51</w:t>
      </w:r>
      <w:r>
        <w:rPr>
          <w:rFonts w:hint="eastAsia" w:ascii="仿宋_GB2312" w:eastAsia="仿宋_GB2312"/>
          <w:sz w:val="32"/>
          <w:szCs w:val="32"/>
        </w:rPr>
        <w:t>万元，具体</w:t>
      </w:r>
      <w:r>
        <w:rPr>
          <w:rFonts w:hint="eastAsia" w:ascii="仿宋_GB2312" w:eastAsia="仿宋_GB2312"/>
          <w:sz w:val="32"/>
          <w:szCs w:val="32"/>
          <w:lang w:val="en-US" w:eastAsia="zh-CN"/>
        </w:rPr>
        <w:t>为公用经费支出</w:t>
      </w:r>
      <w:r>
        <w:rPr>
          <w:rFonts w:hint="eastAsia" w:ascii="仿宋_GB2312" w:eastAsia="仿宋_GB2312"/>
          <w:sz w:val="32"/>
          <w:szCs w:val="32"/>
        </w:rPr>
        <w:t>。</w:t>
      </w:r>
    </w:p>
    <w:p>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hint="eastAsia" w:ascii="仿宋_GB2312" w:eastAsia="仿宋_GB2312"/>
          <w:sz w:val="32"/>
          <w:szCs w:val="32"/>
          <w:lang w:val="en-US" w:eastAsia="zh-CN"/>
        </w:rPr>
        <w:t>本年无预算数</w:t>
      </w:r>
      <w:r>
        <w:rPr>
          <w:rFonts w:hint="eastAsia" w:ascii="仿宋_GB2312" w:eastAsia="仿宋_GB2312"/>
          <w:sz w:val="32"/>
          <w:szCs w:val="32"/>
        </w:rPr>
        <w:t>。</w:t>
      </w:r>
    </w:p>
    <w:p>
      <w:pPr>
        <w:spacing w:line="600" w:lineRule="exact"/>
        <w:ind w:firstLine="640"/>
        <w:outlineLvl w:val="1"/>
        <w:rPr>
          <w:rStyle w:val="28"/>
          <w:rFonts w:ascii="黑体" w:hAnsi="黑体" w:eastAsia="黑体"/>
        </w:rPr>
      </w:pPr>
      <w:bookmarkStart w:id="92" w:name="_Toc15396610"/>
      <w:bookmarkStart w:id="93" w:name="_Toc15377218"/>
      <w:bookmarkStart w:id="94" w:name="_Toc8561"/>
      <w:r>
        <w:rPr>
          <w:rFonts w:hint="eastAsia" w:ascii="黑体" w:eastAsia="黑体"/>
          <w:sz w:val="32"/>
          <w:szCs w:val="32"/>
        </w:rPr>
        <w:t>八、</w:t>
      </w:r>
      <w:r>
        <w:rPr>
          <w:rStyle w:val="28"/>
          <w:rFonts w:hint="eastAsia" w:ascii="黑体" w:hAnsi="黑体" w:eastAsia="黑体"/>
          <w:b w:val="0"/>
        </w:rPr>
        <w:t>政府性基金预算支出决算情况说明</w:t>
      </w:r>
      <w:bookmarkEnd w:id="92"/>
      <w:bookmarkEnd w:id="93"/>
      <w:bookmarkEnd w:id="94"/>
    </w:p>
    <w:p>
      <w:pPr>
        <w:spacing w:line="600" w:lineRule="exact"/>
        <w:ind w:firstLine="640"/>
        <w:rPr>
          <w:rFonts w:ascii="仿宋_GB2312" w:eastAsia="仿宋_GB2312"/>
          <w:sz w:val="32"/>
          <w:szCs w:val="32"/>
        </w:rPr>
      </w:pPr>
      <w:r>
        <w:rPr>
          <w:rFonts w:hint="eastAsia" w:ascii="仿宋_GB2312" w:eastAsia="仿宋_GB2312"/>
          <w:sz w:val="32"/>
          <w:szCs w:val="32"/>
        </w:rPr>
        <w:t>2022</w:t>
      </w:r>
      <w:r>
        <w:rPr>
          <w:rFonts w:ascii="仿宋_GB2312" w:eastAsia="仿宋_GB2312"/>
          <w:sz w:val="32"/>
          <w:u w:color="auto"/>
        </w:rPr>
        <w:t>年政府性基金预算财政拨款支出</w:t>
      </w:r>
      <w:r>
        <w:rPr>
          <w:rFonts w:hint="eastAsia" w:ascii="仿宋" w:hAnsi="仿宋" w:eastAsia="仿宋"/>
          <w:sz w:val="32"/>
          <w:szCs w:val="32"/>
        </w:rPr>
        <w:t>0</w:t>
      </w:r>
      <w:r>
        <w:rPr>
          <w:rFonts w:hint="eastAsia" w:ascii="仿宋_GB2312" w:eastAsia="仿宋_GB2312"/>
          <w:sz w:val="32"/>
          <w:szCs w:val="32"/>
        </w:rPr>
        <w:t>万元。</w:t>
      </w:r>
    </w:p>
    <w:p>
      <w:pPr>
        <w:numPr>
          <w:ilvl w:val="0"/>
          <w:numId w:val="2"/>
        </w:numPr>
        <w:spacing w:line="600" w:lineRule="exact"/>
        <w:ind w:firstLine="640"/>
        <w:outlineLvl w:val="1"/>
        <w:rPr>
          <w:rStyle w:val="28"/>
          <w:rFonts w:ascii="黑体" w:hAnsi="黑体" w:eastAsia="黑体"/>
          <w:b w:val="0"/>
        </w:rPr>
      </w:pPr>
      <w:bookmarkStart w:id="95" w:name="_Toc15377219"/>
      <w:bookmarkStart w:id="96" w:name="_Toc15396611"/>
      <w:bookmarkStart w:id="97" w:name="_Toc18096"/>
      <w:r>
        <w:rPr>
          <w:rStyle w:val="28"/>
          <w:rFonts w:hint="eastAsia" w:ascii="黑体" w:hAnsi="黑体" w:eastAsia="黑体"/>
          <w:b w:val="0"/>
        </w:rPr>
        <w:t>国有资本经营预算支出决算情况说明</w:t>
      </w:r>
      <w:bookmarkEnd w:id="95"/>
      <w:bookmarkEnd w:id="96"/>
      <w:bookmarkEnd w:id="97"/>
    </w:p>
    <w:p>
      <w:pPr>
        <w:spacing w:line="600" w:lineRule="exact"/>
        <w:ind w:firstLine="640"/>
        <w:rPr>
          <w:rFonts w:ascii="仿宋_GB2312" w:eastAsia="仿宋_GB2312"/>
          <w:sz w:val="32"/>
          <w:szCs w:val="32"/>
        </w:rPr>
      </w:pPr>
      <w:r>
        <w:rPr>
          <w:rFonts w:hint="eastAsia" w:ascii="仿宋_GB2312" w:eastAsia="仿宋_GB2312"/>
          <w:sz w:val="32"/>
          <w:szCs w:val="32"/>
        </w:rPr>
        <w:t>2022</w:t>
      </w:r>
      <w:r>
        <w:rPr>
          <w:rFonts w:ascii="仿宋_GB2312" w:eastAsia="仿宋_GB2312"/>
          <w:sz w:val="32"/>
          <w:u w:color="auto"/>
        </w:rPr>
        <w:t>年国有资本经营预算财政拨款支出</w:t>
      </w:r>
      <w:r>
        <w:rPr>
          <w:rFonts w:hint="eastAsia" w:ascii="仿宋" w:hAnsi="仿宋" w:eastAsia="仿宋"/>
          <w:sz w:val="32"/>
          <w:szCs w:val="32"/>
        </w:rPr>
        <w:t>0</w:t>
      </w:r>
      <w:r>
        <w:rPr>
          <w:rFonts w:hint="eastAsia" w:ascii="仿宋_GB2312" w:eastAsia="仿宋_GB2312"/>
          <w:sz w:val="32"/>
          <w:szCs w:val="32"/>
        </w:rPr>
        <w:t>万元。</w:t>
      </w:r>
    </w:p>
    <w:p>
      <w:pPr>
        <w:numPr>
          <w:ilvl w:val="0"/>
          <w:numId w:val="2"/>
        </w:numPr>
        <w:spacing w:line="600" w:lineRule="exact"/>
        <w:ind w:firstLine="640"/>
        <w:outlineLvl w:val="1"/>
        <w:rPr>
          <w:rStyle w:val="28"/>
          <w:rFonts w:ascii="黑体" w:hAnsi="黑体" w:eastAsia="黑体"/>
          <w:b w:val="0"/>
        </w:rPr>
      </w:pPr>
      <w:bookmarkStart w:id="98" w:name="_Toc15396612"/>
      <w:bookmarkStart w:id="99" w:name="_Toc5504"/>
      <w:bookmarkStart w:id="100" w:name="_Toc15377221"/>
      <w:r>
        <w:rPr>
          <w:rStyle w:val="28"/>
          <w:rFonts w:hint="eastAsia" w:ascii="黑体" w:hAnsi="黑体" w:eastAsia="黑体"/>
          <w:b w:val="0"/>
        </w:rPr>
        <w:t>其他重要事项的情况说明</w:t>
      </w:r>
      <w:bookmarkEnd w:id="98"/>
      <w:bookmarkEnd w:id="99"/>
      <w:bookmarkEnd w:id="100"/>
    </w:p>
    <w:p>
      <w:pPr>
        <w:spacing w:line="600" w:lineRule="exact"/>
        <w:ind w:firstLine="643" w:firstLineChars="200"/>
        <w:outlineLvl w:val="2"/>
        <w:rPr>
          <w:rFonts w:ascii="仿宋" w:hAnsi="仿宋" w:eastAsia="仿宋"/>
          <w:sz w:val="32"/>
          <w:szCs w:val="32"/>
        </w:rPr>
      </w:pPr>
      <w:bookmarkStart w:id="101" w:name="_Toc15377222"/>
      <w:r>
        <w:rPr>
          <w:rFonts w:hint="eastAsia" w:ascii="仿宋" w:hAnsi="仿宋" w:eastAsia="仿宋"/>
          <w:b/>
          <w:sz w:val="32"/>
          <w:szCs w:val="32"/>
        </w:rPr>
        <w:t>（一）机关运行经费支出情况</w:t>
      </w:r>
      <w:bookmarkEnd w:id="101"/>
    </w:p>
    <w:p>
      <w:pPr>
        <w:spacing w:line="600" w:lineRule="exact"/>
        <w:ind w:firstLine="640" w:firstLineChars="200"/>
        <w:rPr>
          <w:rFonts w:ascii="仿宋_GB2312" w:eastAsia="仿宋_GB2312"/>
          <w:sz w:val="32"/>
          <w:szCs w:val="32"/>
          <w:u w:color="auto"/>
        </w:rPr>
      </w:pPr>
      <w:r>
        <w:rPr>
          <w:rFonts w:hint="eastAsia" w:ascii="仿宋_GB2312" w:eastAsia="仿宋_GB2312"/>
          <w:sz w:val="32"/>
          <w:szCs w:val="32"/>
        </w:rPr>
        <w:t>2022</w:t>
      </w:r>
      <w:bookmarkStart w:id="102" w:name="_Hlk144302076"/>
      <w:bookmarkEnd w:id="102"/>
      <w:r>
        <w:rPr>
          <w:rFonts w:ascii="仿宋_GB2312" w:eastAsia="仿宋_GB2312"/>
          <w:sz w:val="32"/>
          <w:u w:color="auto"/>
        </w:rPr>
        <w:t>年，阿坝州马尔康市人民法院</w:t>
      </w:r>
      <w:r>
        <w:rPr>
          <w:rFonts w:hint="eastAsia" w:ascii="仿宋_GB2312" w:eastAsia="仿宋_GB2312"/>
          <w:sz w:val="32"/>
          <w:szCs w:val="32"/>
        </w:rPr>
        <w:t>机关运行经费支出</w:t>
      </w:r>
      <w:r>
        <w:rPr>
          <w:rFonts w:ascii="仿宋_GB2312" w:eastAsia="仿宋_GB2312"/>
          <w:sz w:val="32"/>
          <w:szCs w:val="32"/>
        </w:rPr>
        <w:t>120.49</w:t>
      </w:r>
      <w:bookmarkStart w:id="103" w:name="_Hlk144301955"/>
      <w:bookmarkEnd w:id="103"/>
      <w:r>
        <w:rPr>
          <w:rFonts w:hint="eastAsia" w:ascii="仿宋_GB2312" w:eastAsia="仿宋_GB2312"/>
          <w:sz w:val="32"/>
          <w:szCs w:val="32"/>
        </w:rPr>
        <w:t>万元，比</w:t>
      </w:r>
      <w:bookmarkStart w:id="104" w:name="_Hlk144302030"/>
      <w:r>
        <w:rPr>
          <w:rFonts w:ascii="仿宋_GB2312" w:eastAsia="仿宋_GB2312"/>
          <w:sz w:val="32"/>
          <w:u w:color="auto"/>
        </w:rPr>
        <w:t>2021年</w:t>
      </w:r>
      <w:r>
        <w:rPr>
          <w:rFonts w:hint="eastAsia" w:ascii="仿宋_GB2312" w:eastAsia="仿宋_GB2312"/>
          <w:sz w:val="32"/>
          <w:szCs w:val="32"/>
        </w:rPr>
        <w:t>增加</w:t>
      </w:r>
      <w:bookmarkEnd w:id="104"/>
      <w:bookmarkStart w:id="105" w:name="_Hlk144301986"/>
      <w:bookmarkEnd w:id="105"/>
      <w:bookmarkStart w:id="106" w:name="_Hlk144301975"/>
      <w:r>
        <w:rPr>
          <w:rFonts w:ascii="仿宋_GB2312" w:eastAsia="仿宋_GB2312"/>
          <w:sz w:val="32"/>
          <w:szCs w:val="32"/>
        </w:rPr>
        <w:t>10.19</w:t>
      </w:r>
      <w:bookmarkEnd w:id="106"/>
      <w:bookmarkStart w:id="107" w:name="_Hlk144302008"/>
      <w:bookmarkEnd w:id="107"/>
      <w:r>
        <w:rPr>
          <w:rFonts w:hint="eastAsia" w:ascii="仿宋_GB2312" w:eastAsia="仿宋_GB2312"/>
          <w:sz w:val="32"/>
          <w:szCs w:val="32"/>
        </w:rPr>
        <w:t>万元，</w:t>
      </w:r>
      <w:r>
        <w:rPr>
          <w:rFonts w:ascii="仿宋_GB2312" w:eastAsia="仿宋_GB2312"/>
          <w:sz w:val="32"/>
          <w:u w:color="auto"/>
        </w:rPr>
        <w:t>增长</w:t>
      </w:r>
      <w:r>
        <w:rPr>
          <w:rFonts w:hint="eastAsia" w:ascii="仿宋_GB2312" w:eastAsia="仿宋_GB2312"/>
          <w:sz w:val="32"/>
          <w:szCs w:val="32"/>
        </w:rPr>
        <w:t>9.24</w:t>
      </w:r>
      <w:bookmarkStart w:id="108" w:name="_Hlk144302022"/>
      <w:bookmarkEnd w:id="108"/>
      <w:r>
        <w:rPr>
          <w:rFonts w:ascii="仿宋_GB2312" w:eastAsia="仿宋_GB2312"/>
          <w:sz w:val="32"/>
          <w:szCs w:val="32"/>
        </w:rPr>
        <w:t>%</w:t>
      </w:r>
      <w:r>
        <w:rPr>
          <w:rFonts w:ascii="仿宋_GB2312" w:eastAsia="仿宋_GB2312"/>
          <w:sz w:val="32"/>
          <w:u w:color="auto"/>
        </w:rPr>
        <w:t>。主要原因是</w:t>
      </w:r>
      <w:r>
        <w:rPr>
          <w:rFonts w:hint="eastAsia" w:ascii="仿宋_GB2312" w:eastAsia="仿宋_GB2312"/>
          <w:sz w:val="32"/>
          <w:u w:color="auto"/>
        </w:rPr>
        <w:t>本年新增工会经费</w:t>
      </w:r>
      <w:r>
        <w:rPr>
          <w:rFonts w:hint="eastAsia" w:ascii="仿宋_GB2312" w:eastAsia="仿宋_GB2312"/>
          <w:sz w:val="32"/>
          <w:u w:color="auto"/>
          <w:lang w:val="en-US" w:eastAsia="zh-CN"/>
        </w:rPr>
        <w:t>和</w:t>
      </w:r>
      <w:r>
        <w:rPr>
          <w:rFonts w:hint="eastAsia" w:ascii="仿宋_GB2312" w:eastAsia="仿宋_GB2312"/>
          <w:sz w:val="32"/>
          <w:u w:color="auto"/>
        </w:rPr>
        <w:t>国家司法救助金。</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109" w:name="_Toc15377223"/>
      <w:r>
        <w:rPr>
          <w:rFonts w:hint="eastAsia" w:ascii="仿宋" w:hAnsi="仿宋" w:eastAsia="仿宋"/>
          <w:b/>
          <w:sz w:val="32"/>
          <w:szCs w:val="32"/>
        </w:rPr>
        <w:t>（二）政府采购支出情况</w:t>
      </w:r>
      <w:bookmarkEnd w:id="109"/>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2022</w:t>
      </w:r>
      <w:r>
        <w:rPr>
          <w:rFonts w:ascii="仿宋_GB2312" w:eastAsia="仿宋_GB2312"/>
          <w:sz w:val="32"/>
          <w:u w:color="auto"/>
        </w:rPr>
        <w:t>年，阿坝州马尔康市人民法院</w:t>
      </w:r>
      <w:r>
        <w:rPr>
          <w:rFonts w:hint="eastAsia" w:ascii="仿宋_GB2312" w:eastAsia="仿宋_GB2312"/>
          <w:sz w:val="32"/>
          <w:szCs w:val="32"/>
        </w:rPr>
        <w:t>政府采购支出总额</w:t>
      </w:r>
      <w:bookmarkStart w:id="110" w:name="_Hlk144302155"/>
      <w:bookmarkEnd w:id="110"/>
      <w:r>
        <w:rPr>
          <w:rFonts w:ascii="仿宋_GB2312" w:eastAsia="仿宋_GB2312"/>
          <w:sz w:val="32"/>
          <w:u w:color="auto"/>
        </w:rPr>
        <w:t>31.47</w:t>
      </w:r>
      <w:r>
        <w:rPr>
          <w:rFonts w:hint="eastAsia" w:ascii="仿宋_GB2312" w:eastAsia="仿宋_GB2312"/>
          <w:sz w:val="32"/>
          <w:szCs w:val="32"/>
        </w:rPr>
        <w:t>万元，其中：政府采购货物支出</w:t>
      </w:r>
      <w:r>
        <w:rPr>
          <w:rFonts w:ascii="仿宋_GB2312" w:eastAsia="仿宋_GB2312"/>
          <w:sz w:val="32"/>
          <w:u w:color="auto"/>
        </w:rPr>
        <w:t>31.47</w:t>
      </w:r>
      <w:r>
        <w:rPr>
          <w:rFonts w:hint="eastAsia" w:ascii="仿宋_GB2312" w:eastAsia="仿宋_GB2312"/>
          <w:sz w:val="32"/>
          <w:szCs w:val="32"/>
        </w:rPr>
        <w:t>万元、政府采购工程支出</w:t>
      </w:r>
      <w:r>
        <w:rPr>
          <w:rFonts w:ascii="仿宋_GB2312" w:eastAsia="仿宋_GB2312"/>
          <w:sz w:val="32"/>
          <w:u w:color="auto"/>
        </w:rPr>
        <w:t>0</w:t>
      </w:r>
      <w:r>
        <w:rPr>
          <w:rFonts w:hint="eastAsia" w:ascii="仿宋_GB2312" w:eastAsia="仿宋_GB2312"/>
          <w:sz w:val="32"/>
          <w:szCs w:val="32"/>
        </w:rPr>
        <w:t>万元、政府采购服务支出</w:t>
      </w:r>
      <w:r>
        <w:rPr>
          <w:rFonts w:ascii="仿宋_GB2312" w:eastAsia="仿宋_GB2312"/>
          <w:sz w:val="32"/>
          <w:u w:color="auto"/>
        </w:rPr>
        <w:t>0</w:t>
      </w:r>
      <w:r>
        <w:rPr>
          <w:rFonts w:hint="eastAsia" w:ascii="仿宋_GB2312" w:eastAsia="仿宋_GB2312"/>
          <w:sz w:val="32"/>
          <w:szCs w:val="32"/>
        </w:rPr>
        <w:t>万元。</w:t>
      </w:r>
      <w:r>
        <w:rPr>
          <w:rFonts w:hint="eastAsia" w:ascii="仿宋_GB2312" w:eastAsia="仿宋_GB2312"/>
          <w:sz w:val="32"/>
          <w:szCs w:val="32"/>
          <w:highlight w:val="none"/>
        </w:rPr>
        <w:t>主要用于</w:t>
      </w:r>
      <w:r>
        <w:rPr>
          <w:rFonts w:hint="eastAsia" w:ascii="仿宋_GB2312" w:eastAsia="仿宋_GB2312"/>
          <w:sz w:val="32"/>
          <w:szCs w:val="32"/>
          <w:highlight w:val="none"/>
          <w:lang w:val="en-US" w:eastAsia="zh-CN"/>
        </w:rPr>
        <w:t>审判执行工作</w:t>
      </w:r>
      <w:r>
        <w:rPr>
          <w:rFonts w:hint="eastAsia" w:ascii="仿宋_GB2312" w:eastAsia="仿宋_GB2312"/>
          <w:sz w:val="32"/>
          <w:szCs w:val="32"/>
          <w:highlight w:val="none"/>
        </w:rPr>
        <w:t>。</w:t>
      </w:r>
      <w:r>
        <w:rPr>
          <w:rFonts w:hint="eastAsia" w:ascii="仿宋_GB2312" w:eastAsia="仿宋_GB2312"/>
          <w:sz w:val="32"/>
          <w:szCs w:val="32"/>
        </w:rPr>
        <w:t>授予中小企业合同金额</w:t>
      </w:r>
      <w:bookmarkStart w:id="111" w:name="_Hlk144302151"/>
      <w:bookmarkEnd w:id="111"/>
      <w:r>
        <w:rPr>
          <w:rFonts w:ascii="仿宋_GB2312" w:eastAsia="仿宋_GB2312"/>
          <w:sz w:val="32"/>
          <w:u w:color="auto"/>
        </w:rPr>
        <w:t>31.47</w:t>
      </w:r>
      <w:r>
        <w:rPr>
          <w:rFonts w:hint="eastAsia" w:ascii="仿宋_GB2312" w:eastAsia="仿宋_GB2312"/>
          <w:sz w:val="32"/>
          <w:szCs w:val="32"/>
        </w:rPr>
        <w:t>万元，占政府采购支出总额的</w:t>
      </w:r>
      <w:bookmarkStart w:id="112" w:name="_Hlk144302160"/>
      <w:r>
        <w:rPr>
          <w:rFonts w:ascii="仿宋_GB2312" w:eastAsia="仿宋_GB2312"/>
          <w:sz w:val="32"/>
          <w:szCs w:val="32"/>
        </w:rPr>
        <w:t>100</w:t>
      </w:r>
      <w:bookmarkEnd w:id="112"/>
      <w:r>
        <w:rPr>
          <w:rFonts w:ascii="仿宋_GB2312" w:eastAsia="仿宋_GB2312"/>
          <w:sz w:val="32"/>
          <w:szCs w:val="32"/>
        </w:rPr>
        <w:t>%</w:t>
      </w:r>
      <w:r>
        <w:rPr>
          <w:rFonts w:hint="eastAsia" w:ascii="仿宋_GB2312" w:eastAsia="仿宋_GB2312"/>
          <w:sz w:val="32"/>
          <w:szCs w:val="32"/>
        </w:rPr>
        <w:t>，其中：授予小微企业合同金额</w:t>
      </w:r>
      <w:bookmarkStart w:id="113" w:name="_Hlk144302163"/>
      <w:bookmarkEnd w:id="113"/>
      <w:r>
        <w:rPr>
          <w:rFonts w:ascii="仿宋_GB2312" w:eastAsia="仿宋_GB2312"/>
          <w:sz w:val="32"/>
          <w:u w:color="auto"/>
        </w:rPr>
        <w:t>31.47</w:t>
      </w:r>
      <w:r>
        <w:rPr>
          <w:rFonts w:hint="eastAsia" w:ascii="仿宋_GB2312" w:eastAsia="仿宋_GB2312"/>
          <w:sz w:val="32"/>
          <w:szCs w:val="32"/>
        </w:rPr>
        <w:t>万元，占政府采购支出总额的</w:t>
      </w:r>
      <w:r>
        <w:rPr>
          <w:rFonts w:ascii="仿宋_GB2312" w:eastAsia="仿宋_GB2312"/>
          <w:sz w:val="32"/>
          <w:szCs w:val="32"/>
        </w:rPr>
        <w:t>100%</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114" w:name="_Toc15377224"/>
      <w:r>
        <w:rPr>
          <w:rFonts w:hint="eastAsia" w:ascii="仿宋" w:hAnsi="仿宋" w:eastAsia="仿宋"/>
          <w:b/>
          <w:sz w:val="32"/>
          <w:szCs w:val="32"/>
        </w:rPr>
        <w:t>（三）国有资产占有使用情况</w:t>
      </w:r>
      <w:bookmarkEnd w:id="114"/>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u w:color="auto"/>
        </w:rPr>
        <w:t>2022年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ascii="仿宋_GB2312" w:eastAsia="仿宋_GB2312"/>
          <w:sz w:val="32"/>
          <w:u w:color="auto"/>
        </w:rPr>
        <w:t>阿坝州马尔康市人民法院</w:t>
      </w:r>
      <w:r>
        <w:rPr>
          <w:rFonts w:hint="eastAsia" w:ascii="仿宋_GB2312" w:eastAsia="仿宋_GB2312"/>
          <w:sz w:val="32"/>
          <w:szCs w:val="32"/>
        </w:rPr>
        <w:t>共有车辆</w:t>
      </w:r>
      <w:r>
        <w:rPr>
          <w:rFonts w:ascii="仿宋_GB2312" w:eastAsia="仿宋_GB2312"/>
          <w:sz w:val="32"/>
          <w:u w:color="auto"/>
        </w:rPr>
        <w:t>18</w:t>
      </w:r>
      <w:r>
        <w:rPr>
          <w:rFonts w:hint="eastAsia" w:ascii="仿宋_GB2312" w:eastAsia="仿宋_GB2312"/>
          <w:sz w:val="32"/>
          <w:szCs w:val="32"/>
        </w:rPr>
        <w:t>辆，其中：</w:t>
      </w:r>
      <w:bookmarkStart w:id="115" w:name="OLE_LINK1"/>
      <w:bookmarkEnd w:id="115"/>
      <w:bookmarkStart w:id="116" w:name="_Hlk144822713"/>
      <w:bookmarkEnd w:id="116"/>
      <w:bookmarkStart w:id="117" w:name="_Hlk144833898"/>
      <w:bookmarkEnd w:id="117"/>
      <w:r>
        <w:rPr>
          <w:rFonts w:ascii="仿宋_GB2312" w:eastAsia="仿宋_GB2312"/>
          <w:sz w:val="32"/>
          <w:szCs w:val="32"/>
        </w:rPr>
        <w:t>机要通信用车</w:t>
      </w:r>
      <w:r>
        <w:rPr>
          <w:rFonts w:hint="eastAsia" w:ascii="仿宋_GB2312" w:eastAsia="仿宋_GB2312"/>
          <w:sz w:val="32"/>
          <w:szCs w:val="32"/>
        </w:rPr>
        <w:t>5辆</w:t>
      </w:r>
      <w:r>
        <w:rPr>
          <w:rFonts w:ascii="仿宋_GB2312" w:eastAsia="仿宋_GB2312"/>
          <w:sz w:val="32"/>
          <w:u w:color="auto"/>
        </w:rPr>
        <w:t>、</w:t>
      </w:r>
      <w:r>
        <w:rPr>
          <w:rFonts w:ascii="仿宋_GB2312" w:eastAsia="仿宋_GB2312"/>
          <w:sz w:val="32"/>
          <w:szCs w:val="32"/>
        </w:rPr>
        <w:t>执法执勤用车</w:t>
      </w:r>
      <w:r>
        <w:rPr>
          <w:rFonts w:hint="eastAsia" w:ascii="仿宋_GB2312" w:eastAsia="仿宋_GB2312"/>
          <w:sz w:val="32"/>
          <w:szCs w:val="32"/>
        </w:rPr>
        <w:t>10辆</w:t>
      </w:r>
      <w:r>
        <w:rPr>
          <w:rFonts w:ascii="仿宋_GB2312" w:eastAsia="仿宋_GB2312"/>
          <w:sz w:val="32"/>
          <w:u w:color="auto"/>
        </w:rPr>
        <w:t>、</w:t>
      </w:r>
      <w:r>
        <w:rPr>
          <w:rFonts w:ascii="仿宋_GB2312" w:eastAsia="仿宋_GB2312"/>
          <w:sz w:val="32"/>
          <w:szCs w:val="32"/>
        </w:rPr>
        <w:t>特种专业技术用车</w:t>
      </w:r>
      <w:r>
        <w:rPr>
          <w:rFonts w:hint="eastAsia" w:ascii="仿宋_GB2312" w:eastAsia="仿宋_GB2312"/>
          <w:sz w:val="32"/>
          <w:szCs w:val="32"/>
        </w:rPr>
        <w:t>3辆</w:t>
      </w:r>
      <w:bookmarkStart w:id="118" w:name="_Hlk144834484"/>
      <w:bookmarkEnd w:id="118"/>
      <w:bookmarkStart w:id="119" w:name="_Hlk144834468"/>
      <w:bookmarkEnd w:id="119"/>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万元（含）以上设备（不包含车辆）</w:t>
      </w:r>
      <w:r>
        <w:rPr>
          <w:rFonts w:ascii="仿宋" w:hAnsi="仿宋" w:eastAsia="仿宋"/>
          <w:sz w:val="32"/>
          <w:szCs w:val="32"/>
        </w:rPr>
        <w:t>0</w:t>
      </w:r>
      <w:r>
        <w:rPr>
          <w:rFonts w:hint="eastAsia" w:ascii="仿宋_GB2312" w:eastAsia="仿宋_GB2312"/>
          <w:sz w:val="32"/>
          <w:szCs w:val="32"/>
        </w:rPr>
        <w:t>台（套）。</w:t>
      </w:r>
    </w:p>
    <w:p>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pStyle w:val="2"/>
        <w:ind w:firstLine="640" w:firstLineChars="200"/>
        <w:rPr>
          <w:color w:val="auto"/>
          <w:highlight w:val="yellow"/>
        </w:rPr>
      </w:pPr>
      <w:r>
        <w:rPr>
          <w:rFonts w:hint="eastAsia" w:ascii="仿宋_GB2312" w:hAnsi="仿宋_GB2312" w:eastAsia="仿宋_GB2312" w:cs="仿宋_GB2312"/>
          <w:color w:val="auto"/>
          <w:sz w:val="32"/>
          <w:szCs w:val="32"/>
          <w:highlight w:val="none"/>
        </w:rPr>
        <w:t>本单位202</w:t>
      </w:r>
      <w:r>
        <w:rPr>
          <w:rFonts w:hint="eastAsia" w:hAnsi="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年度严格按照部门预算数支出</w:t>
      </w:r>
      <w:r>
        <w:rPr>
          <w:rFonts w:hint="eastAsia"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总体预算执行率是100%。</w:t>
      </w:r>
    </w:p>
    <w:p>
      <w:pPr>
        <w:autoSpaceDE w:val="0"/>
        <w:autoSpaceDN w:val="0"/>
        <w:adjustRightInd w:val="0"/>
        <w:spacing w:line="600" w:lineRule="exact"/>
        <w:ind w:firstLine="640" w:firstLineChars="200"/>
        <w:jc w:val="left"/>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rPr>
        <w:t>组织对2022年度一般公共预算、政府性基金预算、国有资本经营预算、社会保险基金预算以及资本资产、债券资金等全面开展绩效自评，形成</w:t>
      </w:r>
      <w:r>
        <w:rPr>
          <w:rFonts w:ascii="仿宋_GB2312" w:eastAsia="仿宋_GB2312"/>
          <w:sz w:val="32"/>
          <w:u w:color="auto"/>
        </w:rPr>
        <w:t>阿坝州马尔康市人民法院</w:t>
      </w:r>
      <w:r>
        <w:rPr>
          <w:rFonts w:hint="eastAsia" w:ascii="仿宋_GB2312" w:hAnsi="Times New Roman" w:eastAsia="仿宋_GB2312" w:cs="Times New Roman"/>
          <w:sz w:val="32"/>
          <w:szCs w:val="32"/>
          <w:lang w:val="en-US"/>
        </w:rPr>
        <w:t>部门整体绩效自评报告、</w:t>
      </w:r>
      <w:r>
        <w:rPr>
          <w:rFonts w:hint="eastAsia" w:ascii="仿宋_GB2312" w:hAnsi="Times New Roman" w:eastAsia="仿宋_GB2312" w:cs="Times New Roman"/>
          <w:sz w:val="32"/>
          <w:szCs w:val="32"/>
          <w:lang w:val="en-US" w:eastAsia="zh-CN"/>
        </w:rPr>
        <w:t>未组织开展</w:t>
      </w:r>
      <w:r>
        <w:rPr>
          <w:rFonts w:hint="eastAsia" w:ascii="仿宋_GB2312" w:hAnsi="Times New Roman" w:eastAsia="仿宋_GB2312" w:cs="Times New Roman"/>
          <w:sz w:val="32"/>
          <w:szCs w:val="32"/>
          <w:lang w:val="en-US"/>
        </w:rPr>
        <w:t>专项预算项目绩效自评报告，其中</w:t>
      </w:r>
      <w:r>
        <w:rPr>
          <w:rFonts w:ascii="仿宋_GB2312" w:eastAsia="仿宋_GB2312"/>
          <w:sz w:val="32"/>
          <w:u w:color="auto"/>
        </w:rPr>
        <w:t>阿坝州马尔康市人民法院</w:t>
      </w:r>
      <w:r>
        <w:rPr>
          <w:rFonts w:hint="eastAsia" w:ascii="仿宋_GB2312" w:hAnsi="Times New Roman" w:eastAsia="仿宋_GB2312" w:cs="Times New Roman"/>
          <w:sz w:val="32"/>
          <w:szCs w:val="32"/>
          <w:lang w:val="en-US"/>
        </w:rPr>
        <w:t>部门整体</w:t>
      </w:r>
      <w:bookmarkStart w:id="167" w:name="_GoBack"/>
      <w:bookmarkEnd w:id="167"/>
      <w:r>
        <w:rPr>
          <w:rFonts w:hint="eastAsia" w:ascii="仿宋_GB2312" w:hAnsi="Times New Roman" w:eastAsia="仿宋_GB2312" w:cs="Times New Roman"/>
          <w:sz w:val="32"/>
          <w:szCs w:val="32"/>
          <w:lang w:val="en-US"/>
        </w:rPr>
        <w:t>绩效自评得分为</w:t>
      </w:r>
      <w:r>
        <w:rPr>
          <w:rFonts w:hint="eastAsia" w:ascii="仿宋_GB2312" w:hAnsi="Times New Roman" w:eastAsia="仿宋_GB2312" w:cs="Times New Roman"/>
          <w:sz w:val="32"/>
          <w:szCs w:val="32"/>
          <w:lang w:val="en-US" w:eastAsia="zh-CN"/>
        </w:rPr>
        <w:t>91</w:t>
      </w:r>
      <w:r>
        <w:rPr>
          <w:rFonts w:hint="eastAsia" w:ascii="仿宋_GB2312" w:hAnsi="Times New Roman" w:eastAsia="仿宋_GB2312" w:cs="Times New Roman"/>
          <w:sz w:val="32"/>
          <w:szCs w:val="32"/>
          <w:lang w:val="en-US"/>
        </w:rPr>
        <w:t>分</w:t>
      </w:r>
      <w:r>
        <w:rPr>
          <w:rFonts w:hint="eastAsia" w:ascii="仿宋_GB2312" w:hAnsi="Times New Roman" w:eastAsia="仿宋_GB2312" w:cs="Times New Roman"/>
          <w:sz w:val="32"/>
          <w:szCs w:val="32"/>
          <w:lang w:val="en-US" w:eastAsia="zh-CN"/>
        </w:rPr>
        <w:t>。</w:t>
      </w:r>
      <w:r>
        <w:rPr>
          <w:rFonts w:hint="eastAsia" w:ascii="仿宋_GB2312" w:hAnsi="仿宋_GB2312" w:eastAsia="仿宋_GB2312"/>
          <w:color w:val="auto"/>
          <w:kern w:val="2"/>
          <w:sz w:val="32"/>
          <w:szCs w:val="24"/>
          <w:lang w:val="en-US"/>
        </w:rPr>
        <w:t>绩效自评综</w:t>
      </w:r>
      <w:r>
        <w:rPr>
          <w:rFonts w:hint="eastAsia" w:ascii="仿宋_GB2312" w:hAnsi="仿宋_GB2312" w:eastAsia="仿宋_GB2312" w:cs="Times New Roman"/>
          <w:color w:val="auto"/>
          <w:kern w:val="2"/>
          <w:sz w:val="32"/>
          <w:szCs w:val="24"/>
          <w:lang w:val="en-US"/>
        </w:rPr>
        <w:t>述：</w:t>
      </w:r>
      <w:r>
        <w:rPr>
          <w:rFonts w:hint="eastAsia" w:ascii="仿宋_GB2312" w:hAnsi="仿宋_GB2312" w:eastAsia="仿宋_GB2312" w:cs="Times New Roman"/>
          <w:color w:val="auto"/>
          <w:kern w:val="2"/>
          <w:sz w:val="32"/>
          <w:szCs w:val="24"/>
          <w:lang w:val="zh-CN"/>
        </w:rPr>
        <w:t>项目绩效目标</w:t>
      </w:r>
      <w:r>
        <w:rPr>
          <w:rFonts w:hint="eastAsia" w:ascii="仿宋_GB2312" w:hAnsi="仿宋_GB2312" w:eastAsia="仿宋_GB2312" w:cs="Times New Roman"/>
          <w:color w:val="auto"/>
          <w:kern w:val="2"/>
          <w:sz w:val="32"/>
          <w:szCs w:val="24"/>
          <w:lang w:val="en-US"/>
        </w:rPr>
        <w:t>编制要素完整，绩效指标细化可量化，项目实际完成情况与预期绩效目标基本一致</w:t>
      </w:r>
      <w:r>
        <w:rPr>
          <w:rFonts w:hint="eastAsia" w:ascii="仿宋_GB2312" w:hAnsi="仿宋_GB2312" w:eastAsia="仿宋_GB2312"/>
          <w:color w:val="auto"/>
          <w:kern w:val="2"/>
          <w:sz w:val="32"/>
          <w:szCs w:val="24"/>
          <w:lang w:val="en-US"/>
        </w:rPr>
        <w:t>。</w:t>
      </w:r>
      <w:r>
        <w:rPr>
          <w:rFonts w:hint="eastAsia" w:ascii="仿宋_GB2312" w:hAnsi="Times New Roman" w:eastAsia="仿宋_GB2312" w:cs="Times New Roman"/>
          <w:sz w:val="32"/>
          <w:szCs w:val="32"/>
          <w:lang w:val="en-US"/>
        </w:rPr>
        <w:t>绩效自评报告详见附件。</w:t>
      </w: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3"/>
        </w:numPr>
        <w:spacing w:line="600" w:lineRule="exact"/>
        <w:ind w:firstLine="660" w:firstLineChars="150"/>
        <w:jc w:val="center"/>
        <w:outlineLvl w:val="0"/>
        <w:rPr>
          <w:rStyle w:val="27"/>
          <w:rFonts w:ascii="黑体" w:hAnsi="黑体" w:eastAsia="黑体"/>
          <w:b w:val="0"/>
        </w:rPr>
      </w:pPr>
      <w:bookmarkStart w:id="120" w:name="_Toc15396613"/>
      <w:bookmarkStart w:id="121" w:name="_Toc26966"/>
      <w:bookmarkStart w:id="122" w:name="_Toc15377225"/>
      <w:r>
        <w:rPr>
          <w:rFonts w:hint="eastAsia" w:ascii="黑体" w:hAnsi="黑体" w:eastAsia="黑体"/>
          <w:sz w:val="44"/>
          <w:szCs w:val="44"/>
        </w:rPr>
        <w:t>名</w:t>
      </w:r>
      <w:r>
        <w:rPr>
          <w:rStyle w:val="27"/>
          <w:rFonts w:hint="eastAsia" w:ascii="黑体" w:hAnsi="黑体" w:eastAsia="黑体"/>
          <w:b w:val="0"/>
        </w:rPr>
        <w:t>词解释</w:t>
      </w:r>
      <w:bookmarkEnd w:id="120"/>
      <w:bookmarkEnd w:id="121"/>
      <w:bookmarkEnd w:id="122"/>
    </w:p>
    <w:p>
      <w:pPr>
        <w:spacing w:line="600" w:lineRule="exact"/>
        <w:jc w:val="left"/>
        <w:rPr>
          <w:rFonts w:ascii="宋体"/>
          <w:b/>
          <w:sz w:val="44"/>
          <w:szCs w:val="44"/>
        </w:rPr>
      </w:pPr>
    </w:p>
    <w:p>
      <w:pPr>
        <w:pStyle w:val="25"/>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财政拨款收入：指单位从同级财政部门取得的财政预算资金。</w:t>
      </w:r>
    </w:p>
    <w:p>
      <w:pPr>
        <w:pStyle w:val="25"/>
        <w:spacing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2</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其他收入：指单位取得的除上述收入以外的各项收入。</w:t>
      </w:r>
    </w:p>
    <w:p>
      <w:pPr>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u w:color="auto"/>
        </w:rPr>
        <w:t>.公共安全支出（类）法院（款）行政运行（项）：反映行政单位（包括实行公务员管理的事业单位）的基本支出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u w:color="auto"/>
        </w:rPr>
        <w:t>.公共安全支出（类）法院（款）一般行政管理事务（项）：反映行政单位（包括实行公务员管理的事业单位）未单独设置项级科目的其他项目支出0</w:t>
      </w:r>
    </w:p>
    <w:p>
      <w:pPr>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u w:color="auto"/>
        </w:rPr>
        <w:t>.公共安全支出（类）法院（款）案件执行（项）：反映人民法院对刑事、民事、行政、涉外等案件执行活动和对各种非诉执行活动的支出。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u w:color="auto"/>
        </w:rPr>
        <w:t>.社会保障和就业支出（类）行政事业单位养老支出（款）机关事业单位基本养老保险缴费支出（项）：反映机关事业单位实施养老保险制度由单位缴纳的基本养老保险费支出。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ascii="仿宋_GB2312" w:eastAsia="仿宋_GB2312"/>
          <w:sz w:val="32"/>
          <w:u w:color="auto"/>
        </w:rPr>
        <w:t>.社会保障和就业支出（类）行政事业单位养老支出（款）机关事业单位职业年金缴费支出（项）：反映机关事业单位实施养老保险制度由单位实际缴纳的职业年金支出。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8</w:t>
      </w:r>
      <w:r>
        <w:rPr>
          <w:rFonts w:ascii="仿宋_GB2312" w:eastAsia="仿宋_GB2312"/>
          <w:sz w:val="32"/>
          <w:u w:color="auto"/>
        </w:rPr>
        <w:t>.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p>
    <w:p>
      <w:pPr>
        <w:ind w:firstLine="640" w:firstLineChars="200"/>
        <w:rPr>
          <w:rFonts w:ascii="仿宋_GB2312" w:eastAsia="仿宋_GB2312"/>
          <w:sz w:val="32"/>
          <w:szCs w:val="32"/>
        </w:rPr>
      </w:pPr>
      <w:r>
        <w:rPr>
          <w:rFonts w:hint="eastAsia" w:ascii="仿宋_GB2312" w:eastAsia="仿宋_GB2312"/>
          <w:sz w:val="32"/>
          <w:szCs w:val="32"/>
          <w:lang w:val="en-US" w:eastAsia="zh-CN"/>
        </w:rPr>
        <w:t>9</w:t>
      </w:r>
      <w:r>
        <w:rPr>
          <w:rFonts w:ascii="仿宋_GB2312" w:eastAsia="仿宋_GB2312"/>
          <w:sz w:val="32"/>
          <w:u w:color="auto"/>
        </w:rPr>
        <w:t>.卫生健康支出（类）行政事业单位医疗（款）公务员医疗补助（项）：反映财政部门安排的公务员医疗补助经费。</w:t>
      </w:r>
    </w:p>
    <w:p>
      <w:pPr>
        <w:ind w:firstLine="640" w:firstLineChars="200"/>
        <w:rPr>
          <w:rFonts w:ascii="仿宋_GB2312" w:eastAsia="仿宋_GB2312"/>
          <w:sz w:val="32"/>
          <w:szCs w:val="32"/>
        </w:rPr>
      </w:pPr>
      <w:r>
        <w:rPr>
          <w:rFonts w:hint="eastAsia" w:ascii="仿宋_GB2312" w:eastAsia="仿宋_GB2312"/>
          <w:sz w:val="32"/>
          <w:szCs w:val="32"/>
          <w:lang w:val="en-US" w:eastAsia="zh-CN"/>
        </w:rPr>
        <w:t>10</w:t>
      </w:r>
      <w:r>
        <w:rPr>
          <w:rFonts w:ascii="仿宋_GB2312" w:eastAsia="仿宋_GB2312"/>
          <w:sz w:val="32"/>
          <w:u w:color="auto"/>
        </w:rPr>
        <w:t>.住房保障支出（类）住房改革支出（款）住房公积金（项）：反映行政事业单位按人力资源和社会保障部、财政部规定的基本工资和津贴补贴以及规定比例为职工缴纳的住房公积金。</w:t>
      </w:r>
    </w:p>
    <w:p>
      <w:pPr>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1</w:t>
      </w:r>
      <w:r>
        <w:rPr>
          <w:rFonts w:ascii="仿宋_GB2312" w:eastAsia="仿宋_GB2312"/>
          <w:sz w:val="32"/>
          <w:u w:color="auto"/>
        </w:rPr>
        <w:t>.住房保障支出（类）住房改革支出（款）购房补贴（项）：反映按房改政策规定，行政事业单位向符合条件职工（含离退休人员）、军队（含武警）向转役复员离退休人员发放的用于购买住房的补贴。</w:t>
      </w:r>
    </w:p>
    <w:p>
      <w:pPr>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1</w:t>
      </w: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p>
    <w:p>
      <w:pPr>
        <w:pStyle w:val="25"/>
        <w:spacing w:line="560" w:lineRule="exact"/>
        <w:ind w:firstLine="640" w:firstLineChars="200"/>
        <w:rPr>
          <w:rFonts w:ascii="仿宋_GB2312" w:eastAsia="仿宋_GB2312"/>
          <w:color w:val="auto"/>
          <w:sz w:val="32"/>
          <w:szCs w:val="32"/>
        </w:rPr>
      </w:pPr>
      <w:r>
        <w:rPr>
          <w:rFonts w:hint="eastAsia" w:ascii="仿宋_GB2312" w:eastAsia="仿宋_GB2312"/>
          <w:sz w:val="32"/>
          <w:szCs w:val="32"/>
          <w:lang w:val="en-US" w:eastAsia="zh-CN"/>
        </w:rPr>
        <w:t>14</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color w:val="auto"/>
          <w:sz w:val="32"/>
          <w:szCs w:val="32"/>
        </w:rPr>
      </w:pPr>
      <w:r>
        <w:rPr>
          <w:rFonts w:hint="eastAsia" w:ascii="仿宋_GB2312" w:eastAsia="仿宋_GB2312"/>
          <w:sz w:val="32"/>
          <w:szCs w:val="32"/>
          <w:lang w:val="en-US" w:eastAsia="zh-CN"/>
        </w:rPr>
        <w:t>15</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7"/>
          <w:rFonts w:ascii="黑体" w:hAnsi="黑体" w:eastAsia="黑体"/>
          <w:b w:val="0"/>
        </w:rPr>
      </w:pPr>
      <w:bookmarkStart w:id="123" w:name="_Toc15377226"/>
      <w:r>
        <w:rPr>
          <w:rFonts w:ascii="宋体"/>
          <w:b/>
          <w:sz w:val="44"/>
          <w:szCs w:val="44"/>
        </w:rPr>
        <w:br w:type="page"/>
      </w:r>
      <w:bookmarkStart w:id="124" w:name="_Toc15396614"/>
      <w:bookmarkStart w:id="125" w:name="_Toc31029"/>
      <w:r>
        <w:rPr>
          <w:rFonts w:hint="eastAsia" w:ascii="黑体" w:hAnsi="黑体" w:eastAsia="黑体"/>
          <w:sz w:val="44"/>
          <w:szCs w:val="44"/>
        </w:rPr>
        <w:t>第</w:t>
      </w:r>
      <w:r>
        <w:rPr>
          <w:rStyle w:val="27"/>
          <w:rFonts w:hint="eastAsia" w:ascii="黑体" w:hAnsi="黑体" w:eastAsia="黑体"/>
          <w:b w:val="0"/>
        </w:rPr>
        <w:t>四部分附件</w:t>
      </w:r>
      <w:bookmarkEnd w:id="124"/>
      <w:bookmarkEnd w:id="125"/>
    </w:p>
    <w:p>
      <w:pPr>
        <w:spacing w:line="600" w:lineRule="exact"/>
        <w:jc w:val="left"/>
        <w:rPr>
          <w:rFonts w:ascii="仿宋_GB2312" w:hAnsi="Calibri" w:eastAsia="仿宋_GB2312" w:cs="仿宋"/>
          <w:kern w:val="0"/>
          <w:sz w:val="32"/>
          <w:szCs w:val="32"/>
        </w:rPr>
      </w:pPr>
      <w:bookmarkStart w:id="126" w:name="_Toc15396618"/>
    </w:p>
    <w:p>
      <w:pPr>
        <w:spacing w:line="580" w:lineRule="exact"/>
        <w:contextualSpacing/>
        <w:rPr>
          <w:rFonts w:hint="eastAsia" w:eastAsia="黑体"/>
          <w:sz w:val="32"/>
          <w:szCs w:val="32"/>
          <w:lang w:val="en-US" w:eastAsia="zh-CN"/>
        </w:rPr>
      </w:pPr>
      <w:r>
        <w:rPr>
          <w:rFonts w:hAnsi="黑体" w:eastAsia="黑体"/>
          <w:sz w:val="32"/>
          <w:szCs w:val="32"/>
          <w:lang w:val="zh-CN"/>
        </w:rPr>
        <w:t>附件</w:t>
      </w:r>
      <w:r>
        <w:rPr>
          <w:rFonts w:hint="eastAsia" w:eastAsia="黑体"/>
          <w:sz w:val="32"/>
          <w:szCs w:val="32"/>
          <w:lang w:val="en-US" w:eastAsia="zh-CN"/>
        </w:rPr>
        <w:t>1</w:t>
      </w:r>
    </w:p>
    <w:p>
      <w:pPr>
        <w:widowControl/>
        <w:spacing w:line="580" w:lineRule="exact"/>
        <w:contextualSpacing/>
        <w:rPr>
          <w:rFonts w:eastAsia="宋体"/>
          <w:b/>
          <w:sz w:val="44"/>
          <w:szCs w:val="44"/>
          <w:shd w:val="clear" w:color="auto" w:fill="FFFFFF"/>
        </w:rPr>
      </w:pPr>
    </w:p>
    <w:p>
      <w:pPr>
        <w:widowControl/>
        <w:wordWrap w:val="0"/>
        <w:spacing w:line="576" w:lineRule="exact"/>
        <w:contextualSpacing/>
        <w:jc w:val="center"/>
        <w:rPr>
          <w:rFonts w:eastAsia="方正小标宋简体"/>
          <w:sz w:val="44"/>
          <w:szCs w:val="44"/>
        </w:rPr>
      </w:pPr>
      <w:r>
        <w:rPr>
          <w:rFonts w:eastAsia="方正小标宋简体"/>
          <w:sz w:val="44"/>
          <w:szCs w:val="44"/>
        </w:rPr>
        <w:t>马尔康市人民法院</w:t>
      </w:r>
    </w:p>
    <w:p>
      <w:pPr>
        <w:widowControl/>
        <w:wordWrap w:val="0"/>
        <w:spacing w:line="576" w:lineRule="exact"/>
        <w:contextualSpacing/>
        <w:jc w:val="center"/>
        <w:rPr>
          <w:rFonts w:eastAsia="方正小标宋简体"/>
          <w:sz w:val="44"/>
          <w:szCs w:val="44"/>
        </w:rPr>
      </w:pPr>
      <w:r>
        <w:rPr>
          <w:rFonts w:eastAsia="方正小标宋简体"/>
          <w:sz w:val="44"/>
          <w:szCs w:val="44"/>
        </w:rPr>
        <w:t>2022年部门整体支出绩效评价报告</w:t>
      </w:r>
    </w:p>
    <w:p>
      <w:pPr>
        <w:widowControl/>
        <w:adjustRightInd w:val="0"/>
        <w:snapToGrid w:val="0"/>
        <w:spacing w:line="580" w:lineRule="exact"/>
        <w:ind w:firstLine="480" w:firstLineChars="200"/>
        <w:contextualSpacing/>
        <w:jc w:val="left"/>
        <w:rPr>
          <w:rFonts w:eastAsia="黑体"/>
          <w:color w:val="000000"/>
          <w:kern w:val="0"/>
          <w:sz w:val="24"/>
          <w:szCs w:val="32"/>
          <w:shd w:val="clear" w:color="auto" w:fill="FFFFFF"/>
        </w:rPr>
      </w:pPr>
    </w:p>
    <w:p>
      <w:pPr>
        <w:numPr>
          <w:ilvl w:val="0"/>
          <w:numId w:val="0"/>
        </w:numPr>
        <w:spacing w:line="600" w:lineRule="exact"/>
        <w:ind w:firstLine="960" w:firstLineChars="300"/>
        <w:outlineLvl w:val="1"/>
        <w:rPr>
          <w:rStyle w:val="28"/>
          <w:rFonts w:hint="eastAsia" w:ascii="黑体" w:hAnsi="黑体" w:eastAsia="黑体"/>
          <w:b w:val="0"/>
          <w:lang w:val="zh-CN"/>
        </w:rPr>
      </w:pPr>
      <w:r>
        <w:rPr>
          <w:rStyle w:val="28"/>
          <w:rFonts w:hint="eastAsia" w:ascii="黑体" w:hAnsi="黑体" w:eastAsia="黑体"/>
          <w:b w:val="0"/>
        </w:rPr>
        <w:t>一、</w:t>
      </w:r>
      <w:r>
        <w:rPr>
          <w:rStyle w:val="28"/>
          <w:rFonts w:hint="eastAsia" w:ascii="黑体" w:hAnsi="黑体" w:eastAsia="黑体"/>
          <w:b w:val="0"/>
          <w:lang w:val="zh-CN"/>
        </w:rPr>
        <w:t>部门（单位）概况</w:t>
      </w:r>
    </w:p>
    <w:p>
      <w:pPr>
        <w:widowControl/>
        <w:wordWrap w:val="0"/>
        <w:adjustRightInd w:val="0"/>
        <w:snapToGrid w:val="0"/>
        <w:spacing w:line="576" w:lineRule="exact"/>
        <w:ind w:firstLine="720"/>
        <w:contextualSpacing/>
        <w:jc w:val="left"/>
        <w:rPr>
          <w:b/>
          <w:bCs/>
          <w:color w:val="000000"/>
          <w:kern w:val="0"/>
          <w:lang w:val="zh-CN"/>
        </w:rPr>
      </w:pPr>
      <w:r>
        <w:rPr>
          <w:rFonts w:hint="eastAsia" w:ascii="仿宋" w:hAnsi="仿宋" w:eastAsia="仿宋" w:cs="Times New Roman"/>
          <w:b/>
          <w:sz w:val="32"/>
          <w:szCs w:val="32"/>
          <w:lang w:val="zh-CN"/>
        </w:rPr>
        <w:t>（一）机构组成。</w:t>
      </w:r>
      <w:r>
        <w:rPr>
          <w:rFonts w:hint="eastAsia" w:ascii="仿宋_GB2312" w:hAnsi="Calibri" w:eastAsia="仿宋_GB2312" w:cs="仿宋"/>
          <w:color w:val="000000"/>
          <w:kern w:val="0"/>
          <w:sz w:val="32"/>
          <w:szCs w:val="32"/>
          <w:lang w:val="en-US" w:eastAsia="zh-CN" w:bidi="ar-SA"/>
        </w:rPr>
        <w:t>马尔康市人民法院属县一级预算单位，无下属二级预算单位。内设机构有：综合办公室、政治部、立案庭、执行局、审管办、法警队、民事审判庭、刑事审判庭、白湾人民法庭、草登人民法庭、沙尔宗人民法庭。</w:t>
      </w:r>
    </w:p>
    <w:p>
      <w:pPr>
        <w:widowControl/>
        <w:wordWrap w:val="0"/>
        <w:adjustRightInd w:val="0"/>
        <w:snapToGrid w:val="0"/>
        <w:spacing w:line="576" w:lineRule="exact"/>
        <w:ind w:firstLine="720"/>
        <w:contextualSpacing/>
        <w:jc w:val="left"/>
        <w:rPr>
          <w:b/>
          <w:bCs/>
          <w:color w:val="000000"/>
          <w:kern w:val="0"/>
          <w:lang w:val="zh-CN"/>
        </w:rPr>
      </w:pPr>
      <w:r>
        <w:rPr>
          <w:rFonts w:hint="eastAsia" w:ascii="仿宋" w:hAnsi="仿宋" w:eastAsia="仿宋" w:cs="Times New Roman"/>
          <w:b/>
          <w:sz w:val="32"/>
          <w:szCs w:val="32"/>
          <w:lang w:val="zh-CN"/>
        </w:rPr>
        <w:t>（二）机构职能。</w:t>
      </w:r>
      <w:r>
        <w:rPr>
          <w:rFonts w:hint="eastAsia" w:ascii="仿宋_GB2312" w:hAnsi="Calibri" w:eastAsia="仿宋_GB2312" w:cs="仿宋"/>
          <w:color w:val="000000"/>
          <w:kern w:val="0"/>
          <w:sz w:val="32"/>
          <w:szCs w:val="32"/>
          <w:lang w:val="en-US" w:eastAsia="zh-CN" w:bidi="ar-SA"/>
        </w:rPr>
        <w:t>依照《宪法》规定，中华人民共和国设立最高人民法院、地方各级人民法院和专门人民法院。主要职责是：马尔康市人民法院是马尔康市国家审判机关。充分发挥审判职能，推进社会矛盾化解；及时审理各类民商事纠纷案件；积极稳妥地审理好行政案件；加强执行工作，确保权利人的合法权利得到实现；加强立案、信访接待工作；加强审判质量评查与管理，提高审判质量。</w:t>
      </w:r>
    </w:p>
    <w:p>
      <w:pPr>
        <w:wordWrap w:val="0"/>
        <w:snapToGrid w:val="0"/>
        <w:spacing w:line="576" w:lineRule="exact"/>
        <w:ind w:firstLine="643" w:firstLineChars="200"/>
        <w:contextualSpacing/>
      </w:pPr>
      <w:r>
        <w:rPr>
          <w:rFonts w:hint="eastAsia" w:ascii="仿宋" w:hAnsi="仿宋" w:eastAsia="仿宋" w:cs="Times New Roman"/>
          <w:b/>
          <w:sz w:val="32"/>
          <w:szCs w:val="32"/>
          <w:lang w:val="zh-CN"/>
        </w:rPr>
        <w:t>（三）人员概况。</w:t>
      </w:r>
      <w:r>
        <w:rPr>
          <w:rFonts w:hint="eastAsia" w:ascii="仿宋_GB2312" w:hAnsi="Calibri" w:eastAsia="仿宋_GB2312" w:cs="仿宋"/>
          <w:color w:val="000000"/>
          <w:kern w:val="0"/>
          <w:sz w:val="32"/>
          <w:szCs w:val="32"/>
          <w:lang w:val="en-US" w:eastAsia="zh-CN" w:bidi="ar-SA"/>
        </w:rPr>
        <w:t>我院行政编制57人，行政工勤人员编制4人。年末在编干警59人，其中政法编制54人，行政工勤人员5人。另有人事局聘用临时工5人，单位自聘人员15人。退休人员有27人。新增退休人员1人。</w:t>
      </w:r>
    </w:p>
    <w:p>
      <w:pPr>
        <w:numPr>
          <w:ilvl w:val="0"/>
          <w:numId w:val="0"/>
        </w:numPr>
        <w:spacing w:line="600" w:lineRule="exact"/>
        <w:ind w:firstLine="640" w:firstLineChars="200"/>
        <w:outlineLvl w:val="1"/>
        <w:rPr>
          <w:rStyle w:val="28"/>
          <w:rFonts w:hint="eastAsia" w:ascii="黑体" w:hAnsi="黑体" w:eastAsia="黑体"/>
          <w:b w:val="0"/>
          <w:lang w:val="zh-CN"/>
        </w:rPr>
      </w:pPr>
    </w:p>
    <w:p>
      <w:pPr>
        <w:numPr>
          <w:ilvl w:val="0"/>
          <w:numId w:val="0"/>
        </w:numPr>
        <w:spacing w:line="600" w:lineRule="exact"/>
        <w:ind w:firstLine="640" w:firstLineChars="200"/>
        <w:outlineLvl w:val="1"/>
        <w:rPr>
          <w:rStyle w:val="28"/>
          <w:rFonts w:hint="eastAsia" w:ascii="黑体" w:hAnsi="黑体" w:eastAsia="黑体"/>
          <w:b w:val="0"/>
          <w:lang w:val="zh-CN"/>
        </w:rPr>
      </w:pPr>
      <w:r>
        <w:rPr>
          <w:rStyle w:val="28"/>
          <w:rFonts w:hint="eastAsia" w:ascii="黑体" w:hAnsi="黑体" w:eastAsia="黑体"/>
          <w:b w:val="0"/>
          <w:lang w:val="zh-CN"/>
        </w:rPr>
        <w:t>二、部门财政资金收支情况</w:t>
      </w:r>
    </w:p>
    <w:p>
      <w:pPr>
        <w:wordWrap w:val="0"/>
        <w:snapToGrid w:val="0"/>
        <w:spacing w:line="576" w:lineRule="exact"/>
        <w:ind w:firstLine="643" w:firstLineChars="200"/>
        <w:contextualSpacing/>
        <w:rPr>
          <w:rFonts w:hint="eastAsia" w:ascii="仿宋" w:hAnsi="仿宋" w:eastAsia="仿宋" w:cs="Times New Roman"/>
          <w:b/>
          <w:sz w:val="32"/>
          <w:szCs w:val="32"/>
          <w:lang w:val="zh-CN"/>
        </w:rPr>
      </w:pPr>
      <w:r>
        <w:rPr>
          <w:rFonts w:hint="eastAsia" w:ascii="仿宋" w:hAnsi="仿宋" w:eastAsia="仿宋" w:cs="Times New Roman"/>
          <w:b/>
          <w:sz w:val="32"/>
          <w:szCs w:val="32"/>
          <w:lang w:val="zh-CN"/>
        </w:rPr>
        <w:t>（一）部门财政资金收入情况。</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本单位2021年度总收入为2,201.47万元。其中：一般公共预算财政拨款收入为2,201.47万元，占比100.00%，政府性基金预算财政拨款收入为0.00万元，占比0.00%；国有资本经营预算财政拨款收入为0.00万元，占比0.00%；上级补助收入为0.00万元，占比0.00%；事业收入为0.00万元，占比0.00%；经营收入为0.00万元，占比0.00%；附属单位上缴收入为0.00万元，占比0.00%；其他收入为0.00万元，占比0.00%。</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按资金行政分类为：基本支出1708.36万元，占比72%；项目支出收入671.59万元，占比28%。</w:t>
      </w:r>
    </w:p>
    <w:p>
      <w:pPr>
        <w:wordWrap w:val="0"/>
        <w:snapToGrid w:val="0"/>
        <w:spacing w:line="576" w:lineRule="exact"/>
        <w:ind w:firstLine="643" w:firstLineChars="200"/>
        <w:contextualSpacing/>
        <w:rPr>
          <w:rFonts w:hint="eastAsia" w:ascii="仿宋" w:hAnsi="仿宋" w:eastAsia="仿宋" w:cs="Times New Roman"/>
          <w:b/>
          <w:sz w:val="32"/>
          <w:szCs w:val="32"/>
          <w:lang w:val="zh-CN"/>
        </w:rPr>
      </w:pPr>
      <w:r>
        <w:rPr>
          <w:rFonts w:hint="eastAsia" w:ascii="仿宋" w:hAnsi="仿宋" w:eastAsia="仿宋" w:cs="Times New Roman"/>
          <w:b/>
          <w:sz w:val="32"/>
          <w:szCs w:val="32"/>
          <w:lang w:val="zh-CN"/>
        </w:rPr>
        <w:t>（二）部门财政资金支出情况。</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年度总支出为2,379.96万元。其中：公共安全支出为2,035.48万元，占比85.53%；社会保障和就业支出为151.87万元，占比6.38%；卫生健康支出为70.92万元，占比2.98%；住房保障支出为121.69万元，占比5.11%</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按资金行政分类为：2021年度，我院财政拨款支出2379.95万元，其中基本支出1708.36万元，占比72%；项目支出收入671.59万元，占比28%。</w:t>
      </w:r>
    </w:p>
    <w:p>
      <w:pPr>
        <w:numPr>
          <w:ilvl w:val="0"/>
          <w:numId w:val="0"/>
        </w:numPr>
        <w:spacing w:line="600" w:lineRule="exact"/>
        <w:ind w:firstLine="640" w:firstLineChars="200"/>
        <w:outlineLvl w:val="1"/>
        <w:rPr>
          <w:rStyle w:val="28"/>
          <w:rFonts w:hint="eastAsia" w:ascii="黑体" w:hAnsi="黑体" w:eastAsia="黑体"/>
          <w:b w:val="0"/>
          <w:lang w:val="zh-CN"/>
        </w:rPr>
      </w:pPr>
      <w:r>
        <w:rPr>
          <w:rStyle w:val="28"/>
          <w:rFonts w:hint="eastAsia" w:ascii="黑体" w:hAnsi="黑体" w:eastAsia="黑体"/>
          <w:b w:val="0"/>
          <w:lang w:val="zh-CN"/>
        </w:rPr>
        <w:t>三、部门整体预算绩效管理情况</w:t>
      </w:r>
    </w:p>
    <w:p>
      <w:pPr>
        <w:numPr>
          <w:ilvl w:val="0"/>
          <w:numId w:val="0"/>
        </w:numPr>
        <w:spacing w:line="600" w:lineRule="exact"/>
        <w:ind w:firstLine="640" w:firstLineChars="200"/>
        <w:outlineLvl w:val="1"/>
        <w:rPr>
          <w:rStyle w:val="28"/>
          <w:rFonts w:hint="eastAsia" w:ascii="黑体" w:hAnsi="黑体" w:eastAsia="黑体"/>
          <w:b w:val="0"/>
          <w:lang w:val="zh-CN"/>
        </w:rPr>
      </w:pPr>
      <w:r>
        <w:rPr>
          <w:rStyle w:val="28"/>
          <w:rFonts w:hint="eastAsia" w:ascii="黑体" w:hAnsi="黑体" w:eastAsia="黑体"/>
          <w:b w:val="0"/>
          <w:lang w:val="zh-CN"/>
        </w:rPr>
        <w:t>（一）部门预算项目绩效管理。</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2021年部门预算严格按照市财政局要求进行预算编制、预算执行，严格落实实事求是、数据准确原则，单位人员编制严格经市编办审核后，严格核实人员经费，杜绝吃空饷等违规行为。预算编制填入预算编报软件，严格按照上年10月工资作为核算经费收支基础数据。认真填写专项预算的绩效目标申请表。中央政法转移支付资金未纳入年初预算经费项目，按照年中下达金额执行。</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（1）数量指标。</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fldChar w:fldCharType="begin"/>
      </w:r>
      <w:r>
        <w:rPr>
          <w:rFonts w:hint="eastAsia" w:ascii="仿宋_GB2312" w:hAnsi="Calibri" w:eastAsia="仿宋_GB2312" w:cs="仿宋"/>
          <w:color w:val="000000"/>
          <w:kern w:val="0"/>
          <w:sz w:val="32"/>
          <w:szCs w:val="32"/>
          <w:lang w:val="en-US" w:eastAsia="zh-CN" w:bidi="ar-SA"/>
        </w:rPr>
        <w:instrText xml:space="preserve"> = 1 \* GB3 </w:instrText>
      </w:r>
      <w:r>
        <w:rPr>
          <w:rFonts w:hint="eastAsia" w:ascii="仿宋_GB2312" w:hAnsi="Calibri" w:eastAsia="仿宋_GB2312" w:cs="仿宋"/>
          <w:color w:val="000000"/>
          <w:kern w:val="0"/>
          <w:sz w:val="32"/>
          <w:szCs w:val="32"/>
          <w:lang w:val="en-US" w:eastAsia="zh-CN" w:bidi="ar-SA"/>
        </w:rPr>
        <w:fldChar w:fldCharType="separate"/>
      </w:r>
      <w:r>
        <w:rPr>
          <w:rFonts w:hint="eastAsia" w:ascii="仿宋_GB2312" w:hAnsi="Calibri" w:eastAsia="仿宋_GB2312" w:cs="仿宋"/>
          <w:color w:val="000000"/>
          <w:kern w:val="0"/>
          <w:sz w:val="32"/>
          <w:szCs w:val="32"/>
          <w:lang w:val="en-US" w:eastAsia="zh-CN" w:bidi="ar-SA"/>
        </w:rPr>
        <w:t>①</w:t>
      </w:r>
      <w:r>
        <w:rPr>
          <w:rFonts w:hint="eastAsia" w:ascii="仿宋_GB2312" w:hAnsi="Calibri" w:eastAsia="仿宋_GB2312" w:cs="仿宋"/>
          <w:color w:val="000000"/>
          <w:kern w:val="0"/>
          <w:sz w:val="32"/>
          <w:szCs w:val="32"/>
          <w:lang w:val="en-US" w:eastAsia="zh-CN" w:bidi="ar-SA"/>
        </w:rPr>
        <w:fldChar w:fldCharType="end"/>
      </w:r>
      <w:r>
        <w:rPr>
          <w:rFonts w:hint="eastAsia" w:ascii="仿宋_GB2312" w:hAnsi="Calibri" w:eastAsia="仿宋_GB2312" w:cs="仿宋"/>
          <w:color w:val="000000"/>
          <w:kern w:val="0"/>
          <w:sz w:val="32"/>
          <w:szCs w:val="32"/>
          <w:lang w:val="en-US" w:eastAsia="zh-CN" w:bidi="ar-SA"/>
        </w:rPr>
        <w:t>.及时妥善审结民商事案件200件。</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fldChar w:fldCharType="begin"/>
      </w:r>
      <w:r>
        <w:rPr>
          <w:rFonts w:hint="eastAsia" w:ascii="仿宋_GB2312" w:hAnsi="Calibri" w:eastAsia="仿宋_GB2312" w:cs="仿宋"/>
          <w:color w:val="000000"/>
          <w:kern w:val="0"/>
          <w:sz w:val="32"/>
          <w:szCs w:val="32"/>
          <w:lang w:val="en-US" w:eastAsia="zh-CN" w:bidi="ar-SA"/>
        </w:rPr>
        <w:instrText xml:space="preserve"> = 2 \* GB3 </w:instrText>
      </w:r>
      <w:r>
        <w:rPr>
          <w:rFonts w:hint="eastAsia" w:ascii="仿宋_GB2312" w:hAnsi="Calibri" w:eastAsia="仿宋_GB2312" w:cs="仿宋"/>
          <w:color w:val="000000"/>
          <w:kern w:val="0"/>
          <w:sz w:val="32"/>
          <w:szCs w:val="32"/>
          <w:lang w:val="en-US" w:eastAsia="zh-CN" w:bidi="ar-SA"/>
        </w:rPr>
        <w:fldChar w:fldCharType="separate"/>
      </w:r>
      <w:r>
        <w:rPr>
          <w:rFonts w:hint="eastAsia" w:ascii="仿宋_GB2312" w:hAnsi="Calibri" w:eastAsia="仿宋_GB2312" w:cs="仿宋"/>
          <w:color w:val="000000"/>
          <w:kern w:val="0"/>
          <w:sz w:val="32"/>
          <w:szCs w:val="32"/>
          <w:lang w:val="en-US" w:eastAsia="zh-CN" w:bidi="ar-SA"/>
        </w:rPr>
        <w:t>②</w:t>
      </w:r>
      <w:r>
        <w:rPr>
          <w:rFonts w:hint="eastAsia" w:ascii="仿宋_GB2312" w:hAnsi="Calibri" w:eastAsia="仿宋_GB2312" w:cs="仿宋"/>
          <w:color w:val="000000"/>
          <w:kern w:val="0"/>
          <w:sz w:val="32"/>
          <w:szCs w:val="32"/>
          <w:lang w:val="en-US" w:eastAsia="zh-CN" w:bidi="ar-SA"/>
        </w:rPr>
        <w:fldChar w:fldCharType="end"/>
      </w:r>
      <w:r>
        <w:rPr>
          <w:rFonts w:hint="eastAsia" w:ascii="仿宋_GB2312" w:hAnsi="Calibri" w:eastAsia="仿宋_GB2312" w:cs="仿宋"/>
          <w:color w:val="000000"/>
          <w:kern w:val="0"/>
          <w:sz w:val="32"/>
          <w:szCs w:val="32"/>
          <w:lang w:val="en-US" w:eastAsia="zh-CN" w:bidi="ar-SA"/>
        </w:rPr>
        <w:t>.及时妥善审结刑事案件20件。</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fldChar w:fldCharType="begin"/>
      </w:r>
      <w:r>
        <w:rPr>
          <w:rFonts w:hint="eastAsia" w:ascii="仿宋_GB2312" w:hAnsi="Calibri" w:eastAsia="仿宋_GB2312" w:cs="仿宋"/>
          <w:color w:val="000000"/>
          <w:kern w:val="0"/>
          <w:sz w:val="32"/>
          <w:szCs w:val="32"/>
          <w:lang w:val="en-US" w:eastAsia="zh-CN" w:bidi="ar-SA"/>
        </w:rPr>
        <w:instrText xml:space="preserve"> = 3 \* GB3 </w:instrText>
      </w:r>
      <w:r>
        <w:rPr>
          <w:rFonts w:hint="eastAsia" w:ascii="仿宋_GB2312" w:hAnsi="Calibri" w:eastAsia="仿宋_GB2312" w:cs="仿宋"/>
          <w:color w:val="000000"/>
          <w:kern w:val="0"/>
          <w:sz w:val="32"/>
          <w:szCs w:val="32"/>
          <w:lang w:val="en-US" w:eastAsia="zh-CN" w:bidi="ar-SA"/>
        </w:rPr>
        <w:fldChar w:fldCharType="separate"/>
      </w:r>
      <w:r>
        <w:rPr>
          <w:rFonts w:hint="eastAsia" w:ascii="仿宋_GB2312" w:hAnsi="Calibri" w:eastAsia="仿宋_GB2312" w:cs="仿宋"/>
          <w:color w:val="000000"/>
          <w:kern w:val="0"/>
          <w:sz w:val="32"/>
          <w:szCs w:val="32"/>
          <w:lang w:val="en-US" w:eastAsia="zh-CN" w:bidi="ar-SA"/>
        </w:rPr>
        <w:t>③</w:t>
      </w:r>
      <w:r>
        <w:rPr>
          <w:rFonts w:hint="eastAsia" w:ascii="仿宋_GB2312" w:hAnsi="Calibri" w:eastAsia="仿宋_GB2312" w:cs="仿宋"/>
          <w:color w:val="000000"/>
          <w:kern w:val="0"/>
          <w:sz w:val="32"/>
          <w:szCs w:val="32"/>
          <w:lang w:val="en-US" w:eastAsia="zh-CN" w:bidi="ar-SA"/>
        </w:rPr>
        <w:fldChar w:fldCharType="end"/>
      </w:r>
      <w:r>
        <w:rPr>
          <w:rFonts w:hint="eastAsia" w:ascii="仿宋_GB2312" w:hAnsi="Calibri" w:eastAsia="仿宋_GB2312" w:cs="仿宋"/>
          <w:color w:val="000000"/>
          <w:kern w:val="0"/>
          <w:sz w:val="32"/>
          <w:szCs w:val="32"/>
          <w:lang w:val="en-US" w:eastAsia="zh-CN" w:bidi="ar-SA"/>
        </w:rPr>
        <w:t>.及时妥善审结民执行案件50件。</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（2）质量指标。</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fldChar w:fldCharType="begin"/>
      </w:r>
      <w:r>
        <w:rPr>
          <w:rFonts w:hint="eastAsia" w:ascii="仿宋_GB2312" w:hAnsi="Calibri" w:eastAsia="仿宋_GB2312" w:cs="仿宋"/>
          <w:color w:val="000000"/>
          <w:kern w:val="0"/>
          <w:sz w:val="32"/>
          <w:szCs w:val="32"/>
          <w:lang w:val="en-US" w:eastAsia="zh-CN" w:bidi="ar-SA"/>
        </w:rPr>
        <w:instrText xml:space="preserve"> = 1 \* GB3 </w:instrText>
      </w:r>
      <w:r>
        <w:rPr>
          <w:rFonts w:hint="eastAsia" w:ascii="仿宋_GB2312" w:hAnsi="Calibri" w:eastAsia="仿宋_GB2312" w:cs="仿宋"/>
          <w:color w:val="000000"/>
          <w:kern w:val="0"/>
          <w:sz w:val="32"/>
          <w:szCs w:val="32"/>
          <w:lang w:val="en-US" w:eastAsia="zh-CN" w:bidi="ar-SA"/>
        </w:rPr>
        <w:fldChar w:fldCharType="separate"/>
      </w:r>
      <w:r>
        <w:rPr>
          <w:rFonts w:hint="eastAsia" w:ascii="仿宋_GB2312" w:hAnsi="Calibri" w:eastAsia="仿宋_GB2312" w:cs="仿宋"/>
          <w:color w:val="000000"/>
          <w:kern w:val="0"/>
          <w:sz w:val="32"/>
          <w:szCs w:val="32"/>
          <w:lang w:val="en-US" w:eastAsia="zh-CN" w:bidi="ar-SA"/>
        </w:rPr>
        <w:t>①</w:t>
      </w:r>
      <w:r>
        <w:rPr>
          <w:rFonts w:hint="eastAsia" w:ascii="仿宋_GB2312" w:hAnsi="Calibri" w:eastAsia="仿宋_GB2312" w:cs="仿宋"/>
          <w:color w:val="000000"/>
          <w:kern w:val="0"/>
          <w:sz w:val="32"/>
          <w:szCs w:val="32"/>
          <w:lang w:val="en-US" w:eastAsia="zh-CN" w:bidi="ar-SA"/>
        </w:rPr>
        <w:fldChar w:fldCharType="end"/>
      </w:r>
      <w:r>
        <w:rPr>
          <w:rFonts w:hint="eastAsia" w:ascii="仿宋_GB2312" w:hAnsi="Calibri" w:eastAsia="仿宋_GB2312" w:cs="仿宋"/>
          <w:color w:val="000000"/>
          <w:kern w:val="0"/>
          <w:sz w:val="32"/>
          <w:szCs w:val="32"/>
          <w:lang w:val="en-US" w:eastAsia="zh-CN" w:bidi="ar-SA"/>
        </w:rPr>
        <w:t>.实现民商事案件审结率95%。</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fldChar w:fldCharType="begin"/>
      </w:r>
      <w:r>
        <w:rPr>
          <w:rFonts w:hint="eastAsia" w:ascii="仿宋_GB2312" w:hAnsi="Calibri" w:eastAsia="仿宋_GB2312" w:cs="仿宋"/>
          <w:color w:val="000000"/>
          <w:kern w:val="0"/>
          <w:sz w:val="32"/>
          <w:szCs w:val="32"/>
          <w:lang w:val="en-US" w:eastAsia="zh-CN" w:bidi="ar-SA"/>
        </w:rPr>
        <w:instrText xml:space="preserve"> = 2 \* GB3 </w:instrText>
      </w:r>
      <w:r>
        <w:rPr>
          <w:rFonts w:hint="eastAsia" w:ascii="仿宋_GB2312" w:hAnsi="Calibri" w:eastAsia="仿宋_GB2312" w:cs="仿宋"/>
          <w:color w:val="000000"/>
          <w:kern w:val="0"/>
          <w:sz w:val="32"/>
          <w:szCs w:val="32"/>
          <w:lang w:val="en-US" w:eastAsia="zh-CN" w:bidi="ar-SA"/>
        </w:rPr>
        <w:fldChar w:fldCharType="separate"/>
      </w:r>
      <w:r>
        <w:rPr>
          <w:rFonts w:hint="eastAsia" w:ascii="仿宋_GB2312" w:hAnsi="Calibri" w:eastAsia="仿宋_GB2312" w:cs="仿宋"/>
          <w:color w:val="000000"/>
          <w:kern w:val="0"/>
          <w:sz w:val="32"/>
          <w:szCs w:val="32"/>
          <w:lang w:val="en-US" w:eastAsia="zh-CN" w:bidi="ar-SA"/>
        </w:rPr>
        <w:t>②</w:t>
      </w:r>
      <w:r>
        <w:rPr>
          <w:rFonts w:hint="eastAsia" w:ascii="仿宋_GB2312" w:hAnsi="Calibri" w:eastAsia="仿宋_GB2312" w:cs="仿宋"/>
          <w:color w:val="000000"/>
          <w:kern w:val="0"/>
          <w:sz w:val="32"/>
          <w:szCs w:val="32"/>
          <w:lang w:val="en-US" w:eastAsia="zh-CN" w:bidi="ar-SA"/>
        </w:rPr>
        <w:fldChar w:fldCharType="end"/>
      </w:r>
      <w:r>
        <w:rPr>
          <w:rFonts w:hint="eastAsia" w:ascii="仿宋_GB2312" w:hAnsi="Calibri" w:eastAsia="仿宋_GB2312" w:cs="仿宋"/>
          <w:color w:val="000000"/>
          <w:kern w:val="0"/>
          <w:sz w:val="32"/>
          <w:szCs w:val="32"/>
          <w:lang w:val="en-US" w:eastAsia="zh-CN" w:bidi="ar-SA"/>
        </w:rPr>
        <w:t>.实现刑事案件审结率95%。</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fldChar w:fldCharType="begin"/>
      </w:r>
      <w:r>
        <w:rPr>
          <w:rFonts w:hint="eastAsia" w:ascii="仿宋_GB2312" w:hAnsi="Calibri" w:eastAsia="仿宋_GB2312" w:cs="仿宋"/>
          <w:color w:val="000000"/>
          <w:kern w:val="0"/>
          <w:sz w:val="32"/>
          <w:szCs w:val="32"/>
          <w:lang w:val="en-US" w:eastAsia="zh-CN" w:bidi="ar-SA"/>
        </w:rPr>
        <w:instrText xml:space="preserve"> = 3 \* GB3 </w:instrText>
      </w:r>
      <w:r>
        <w:rPr>
          <w:rFonts w:hint="eastAsia" w:ascii="仿宋_GB2312" w:hAnsi="Calibri" w:eastAsia="仿宋_GB2312" w:cs="仿宋"/>
          <w:color w:val="000000"/>
          <w:kern w:val="0"/>
          <w:sz w:val="32"/>
          <w:szCs w:val="32"/>
          <w:lang w:val="en-US" w:eastAsia="zh-CN" w:bidi="ar-SA"/>
        </w:rPr>
        <w:fldChar w:fldCharType="separate"/>
      </w:r>
      <w:r>
        <w:rPr>
          <w:rFonts w:hint="eastAsia" w:ascii="仿宋_GB2312" w:hAnsi="Calibri" w:eastAsia="仿宋_GB2312" w:cs="仿宋"/>
          <w:color w:val="000000"/>
          <w:kern w:val="0"/>
          <w:sz w:val="32"/>
          <w:szCs w:val="32"/>
          <w:lang w:val="en-US" w:eastAsia="zh-CN" w:bidi="ar-SA"/>
        </w:rPr>
        <w:t>③</w:t>
      </w:r>
      <w:r>
        <w:rPr>
          <w:rFonts w:hint="eastAsia" w:ascii="仿宋_GB2312" w:hAnsi="Calibri" w:eastAsia="仿宋_GB2312" w:cs="仿宋"/>
          <w:color w:val="000000"/>
          <w:kern w:val="0"/>
          <w:sz w:val="32"/>
          <w:szCs w:val="32"/>
          <w:lang w:val="en-US" w:eastAsia="zh-CN" w:bidi="ar-SA"/>
        </w:rPr>
        <w:fldChar w:fldCharType="end"/>
      </w:r>
      <w:r>
        <w:rPr>
          <w:rFonts w:hint="eastAsia" w:ascii="仿宋_GB2312" w:hAnsi="Calibri" w:eastAsia="仿宋_GB2312" w:cs="仿宋"/>
          <w:color w:val="000000"/>
          <w:kern w:val="0"/>
          <w:sz w:val="32"/>
          <w:szCs w:val="32"/>
          <w:lang w:val="en-US" w:eastAsia="zh-CN" w:bidi="ar-SA"/>
        </w:rPr>
        <w:t>.实现执行案件执结率95%。</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（3）时效指标。</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fldChar w:fldCharType="begin"/>
      </w:r>
      <w:r>
        <w:rPr>
          <w:rFonts w:hint="eastAsia" w:ascii="仿宋_GB2312" w:hAnsi="Calibri" w:eastAsia="仿宋_GB2312" w:cs="仿宋"/>
          <w:color w:val="000000"/>
          <w:kern w:val="0"/>
          <w:sz w:val="32"/>
          <w:szCs w:val="32"/>
          <w:lang w:val="en-US" w:eastAsia="zh-CN" w:bidi="ar-SA"/>
        </w:rPr>
        <w:instrText xml:space="preserve"> = 1 \* GB3 </w:instrText>
      </w:r>
      <w:r>
        <w:rPr>
          <w:rFonts w:hint="eastAsia" w:ascii="仿宋_GB2312" w:hAnsi="Calibri" w:eastAsia="仿宋_GB2312" w:cs="仿宋"/>
          <w:color w:val="000000"/>
          <w:kern w:val="0"/>
          <w:sz w:val="32"/>
          <w:szCs w:val="32"/>
          <w:lang w:val="en-US" w:eastAsia="zh-CN" w:bidi="ar-SA"/>
        </w:rPr>
        <w:fldChar w:fldCharType="separate"/>
      </w:r>
      <w:r>
        <w:rPr>
          <w:rFonts w:hint="eastAsia" w:ascii="仿宋_GB2312" w:hAnsi="Calibri" w:eastAsia="仿宋_GB2312" w:cs="仿宋"/>
          <w:color w:val="000000"/>
          <w:kern w:val="0"/>
          <w:sz w:val="32"/>
          <w:szCs w:val="32"/>
          <w:lang w:val="en-US" w:eastAsia="zh-CN" w:bidi="ar-SA"/>
        </w:rPr>
        <w:t>①</w:t>
      </w:r>
      <w:r>
        <w:rPr>
          <w:rFonts w:hint="eastAsia" w:ascii="仿宋_GB2312" w:hAnsi="Calibri" w:eastAsia="仿宋_GB2312" w:cs="仿宋"/>
          <w:color w:val="000000"/>
          <w:kern w:val="0"/>
          <w:sz w:val="32"/>
          <w:szCs w:val="32"/>
          <w:lang w:val="en-US" w:eastAsia="zh-CN" w:bidi="ar-SA"/>
        </w:rPr>
        <w:fldChar w:fldCharType="end"/>
      </w:r>
      <w:r>
        <w:rPr>
          <w:rFonts w:hint="eastAsia" w:ascii="仿宋_GB2312" w:hAnsi="Calibri" w:eastAsia="仿宋_GB2312" w:cs="仿宋"/>
          <w:color w:val="000000"/>
          <w:kern w:val="0"/>
          <w:sz w:val="32"/>
          <w:szCs w:val="32"/>
          <w:lang w:val="en-US" w:eastAsia="zh-CN" w:bidi="ar-SA"/>
        </w:rPr>
        <w:t>.民商事案件审理在时效内审结。</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fldChar w:fldCharType="begin"/>
      </w:r>
      <w:r>
        <w:rPr>
          <w:rFonts w:hint="eastAsia" w:ascii="仿宋_GB2312" w:hAnsi="Calibri" w:eastAsia="仿宋_GB2312" w:cs="仿宋"/>
          <w:color w:val="000000"/>
          <w:kern w:val="0"/>
          <w:sz w:val="32"/>
          <w:szCs w:val="32"/>
          <w:lang w:val="en-US" w:eastAsia="zh-CN" w:bidi="ar-SA"/>
        </w:rPr>
        <w:instrText xml:space="preserve"> = 2 \* GB3 </w:instrText>
      </w:r>
      <w:r>
        <w:rPr>
          <w:rFonts w:hint="eastAsia" w:ascii="仿宋_GB2312" w:hAnsi="Calibri" w:eastAsia="仿宋_GB2312" w:cs="仿宋"/>
          <w:color w:val="000000"/>
          <w:kern w:val="0"/>
          <w:sz w:val="32"/>
          <w:szCs w:val="32"/>
          <w:lang w:val="en-US" w:eastAsia="zh-CN" w:bidi="ar-SA"/>
        </w:rPr>
        <w:fldChar w:fldCharType="separate"/>
      </w:r>
      <w:r>
        <w:rPr>
          <w:rFonts w:hint="eastAsia" w:ascii="仿宋_GB2312" w:hAnsi="Calibri" w:eastAsia="仿宋_GB2312" w:cs="仿宋"/>
          <w:color w:val="000000"/>
          <w:kern w:val="0"/>
          <w:sz w:val="32"/>
          <w:szCs w:val="32"/>
          <w:lang w:val="en-US" w:eastAsia="zh-CN" w:bidi="ar-SA"/>
        </w:rPr>
        <w:t>②</w:t>
      </w:r>
      <w:r>
        <w:rPr>
          <w:rFonts w:hint="eastAsia" w:ascii="仿宋_GB2312" w:hAnsi="Calibri" w:eastAsia="仿宋_GB2312" w:cs="仿宋"/>
          <w:color w:val="000000"/>
          <w:kern w:val="0"/>
          <w:sz w:val="32"/>
          <w:szCs w:val="32"/>
          <w:lang w:val="en-US" w:eastAsia="zh-CN" w:bidi="ar-SA"/>
        </w:rPr>
        <w:fldChar w:fldCharType="end"/>
      </w:r>
      <w:r>
        <w:rPr>
          <w:rFonts w:hint="eastAsia" w:ascii="仿宋_GB2312" w:hAnsi="Calibri" w:eastAsia="仿宋_GB2312" w:cs="仿宋"/>
          <w:color w:val="000000"/>
          <w:kern w:val="0"/>
          <w:sz w:val="32"/>
          <w:szCs w:val="32"/>
          <w:lang w:val="en-US" w:eastAsia="zh-CN" w:bidi="ar-SA"/>
        </w:rPr>
        <w:t>.刑事案件审理在时效内审结</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fldChar w:fldCharType="begin"/>
      </w:r>
      <w:r>
        <w:rPr>
          <w:rFonts w:hint="eastAsia" w:ascii="仿宋_GB2312" w:hAnsi="Calibri" w:eastAsia="仿宋_GB2312" w:cs="仿宋"/>
          <w:color w:val="000000"/>
          <w:kern w:val="0"/>
          <w:sz w:val="32"/>
          <w:szCs w:val="32"/>
          <w:lang w:val="en-US" w:eastAsia="zh-CN" w:bidi="ar-SA"/>
        </w:rPr>
        <w:instrText xml:space="preserve"> = 3 \* GB3 </w:instrText>
      </w:r>
      <w:r>
        <w:rPr>
          <w:rFonts w:hint="eastAsia" w:ascii="仿宋_GB2312" w:hAnsi="Calibri" w:eastAsia="仿宋_GB2312" w:cs="仿宋"/>
          <w:color w:val="000000"/>
          <w:kern w:val="0"/>
          <w:sz w:val="32"/>
          <w:szCs w:val="32"/>
          <w:lang w:val="en-US" w:eastAsia="zh-CN" w:bidi="ar-SA"/>
        </w:rPr>
        <w:fldChar w:fldCharType="separate"/>
      </w:r>
      <w:r>
        <w:rPr>
          <w:rFonts w:hint="eastAsia" w:ascii="仿宋_GB2312" w:hAnsi="Calibri" w:eastAsia="仿宋_GB2312" w:cs="仿宋"/>
          <w:color w:val="000000"/>
          <w:kern w:val="0"/>
          <w:sz w:val="32"/>
          <w:szCs w:val="32"/>
          <w:lang w:val="en-US" w:eastAsia="zh-CN" w:bidi="ar-SA"/>
        </w:rPr>
        <w:t>③</w:t>
      </w:r>
      <w:r>
        <w:rPr>
          <w:rFonts w:hint="eastAsia" w:ascii="仿宋_GB2312" w:hAnsi="Calibri" w:eastAsia="仿宋_GB2312" w:cs="仿宋"/>
          <w:color w:val="000000"/>
          <w:kern w:val="0"/>
          <w:sz w:val="32"/>
          <w:szCs w:val="32"/>
          <w:lang w:val="en-US" w:eastAsia="zh-CN" w:bidi="ar-SA"/>
        </w:rPr>
        <w:fldChar w:fldCharType="end"/>
      </w:r>
      <w:r>
        <w:rPr>
          <w:rFonts w:hint="eastAsia" w:ascii="仿宋_GB2312" w:hAnsi="Calibri" w:eastAsia="仿宋_GB2312" w:cs="仿宋"/>
          <w:color w:val="000000"/>
          <w:kern w:val="0"/>
          <w:sz w:val="32"/>
          <w:szCs w:val="32"/>
          <w:lang w:val="en-US" w:eastAsia="zh-CN" w:bidi="ar-SA"/>
        </w:rPr>
        <w:t>.执行案件审理在时效内审结</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（4）社会效益指标。</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fldChar w:fldCharType="begin"/>
      </w:r>
      <w:r>
        <w:rPr>
          <w:rFonts w:hint="eastAsia" w:ascii="仿宋_GB2312" w:hAnsi="Calibri" w:eastAsia="仿宋_GB2312" w:cs="仿宋"/>
          <w:color w:val="000000"/>
          <w:kern w:val="0"/>
          <w:sz w:val="32"/>
          <w:szCs w:val="32"/>
          <w:lang w:val="en-US" w:eastAsia="zh-CN" w:bidi="ar-SA"/>
        </w:rPr>
        <w:instrText xml:space="preserve"> = 1 \* GB3 </w:instrText>
      </w:r>
      <w:r>
        <w:rPr>
          <w:rFonts w:hint="eastAsia" w:ascii="仿宋_GB2312" w:hAnsi="Calibri" w:eastAsia="仿宋_GB2312" w:cs="仿宋"/>
          <w:color w:val="000000"/>
          <w:kern w:val="0"/>
          <w:sz w:val="32"/>
          <w:szCs w:val="32"/>
          <w:lang w:val="en-US" w:eastAsia="zh-CN" w:bidi="ar-SA"/>
        </w:rPr>
        <w:fldChar w:fldCharType="separate"/>
      </w:r>
      <w:r>
        <w:rPr>
          <w:rFonts w:hint="eastAsia" w:ascii="仿宋_GB2312" w:hAnsi="Calibri" w:eastAsia="仿宋_GB2312" w:cs="仿宋"/>
          <w:color w:val="000000"/>
          <w:kern w:val="0"/>
          <w:sz w:val="32"/>
          <w:szCs w:val="32"/>
          <w:lang w:val="en-US" w:eastAsia="zh-CN" w:bidi="ar-SA"/>
        </w:rPr>
        <w:t>①</w:t>
      </w:r>
      <w:r>
        <w:rPr>
          <w:rFonts w:hint="eastAsia" w:ascii="仿宋_GB2312" w:hAnsi="Calibri" w:eastAsia="仿宋_GB2312" w:cs="仿宋"/>
          <w:color w:val="000000"/>
          <w:kern w:val="0"/>
          <w:sz w:val="32"/>
          <w:szCs w:val="32"/>
          <w:lang w:val="en-US" w:eastAsia="zh-CN" w:bidi="ar-SA"/>
        </w:rPr>
        <w:fldChar w:fldCharType="end"/>
      </w:r>
      <w:r>
        <w:rPr>
          <w:rFonts w:hint="eastAsia" w:ascii="仿宋_GB2312" w:hAnsi="Calibri" w:eastAsia="仿宋_GB2312" w:cs="仿宋"/>
          <w:color w:val="000000"/>
          <w:kern w:val="0"/>
          <w:sz w:val="32"/>
          <w:szCs w:val="32"/>
          <w:lang w:val="en-US" w:eastAsia="zh-CN" w:bidi="ar-SA"/>
        </w:rPr>
        <w:t>.民商事案件审理后在社会的满意度。</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fldChar w:fldCharType="begin"/>
      </w:r>
      <w:r>
        <w:rPr>
          <w:rFonts w:hint="eastAsia" w:ascii="仿宋_GB2312" w:hAnsi="Calibri" w:eastAsia="仿宋_GB2312" w:cs="仿宋"/>
          <w:color w:val="000000"/>
          <w:kern w:val="0"/>
          <w:sz w:val="32"/>
          <w:szCs w:val="32"/>
          <w:lang w:val="en-US" w:eastAsia="zh-CN" w:bidi="ar-SA"/>
        </w:rPr>
        <w:instrText xml:space="preserve"> = 2 \* GB3 </w:instrText>
      </w:r>
      <w:r>
        <w:rPr>
          <w:rFonts w:hint="eastAsia" w:ascii="仿宋_GB2312" w:hAnsi="Calibri" w:eastAsia="仿宋_GB2312" w:cs="仿宋"/>
          <w:color w:val="000000"/>
          <w:kern w:val="0"/>
          <w:sz w:val="32"/>
          <w:szCs w:val="32"/>
          <w:lang w:val="en-US" w:eastAsia="zh-CN" w:bidi="ar-SA"/>
        </w:rPr>
        <w:fldChar w:fldCharType="separate"/>
      </w:r>
      <w:r>
        <w:rPr>
          <w:rFonts w:hint="eastAsia" w:ascii="仿宋_GB2312" w:hAnsi="Calibri" w:eastAsia="仿宋_GB2312" w:cs="仿宋"/>
          <w:color w:val="000000"/>
          <w:kern w:val="0"/>
          <w:sz w:val="32"/>
          <w:szCs w:val="32"/>
          <w:lang w:val="en-US" w:eastAsia="zh-CN" w:bidi="ar-SA"/>
        </w:rPr>
        <w:t>②</w:t>
      </w:r>
      <w:r>
        <w:rPr>
          <w:rFonts w:hint="eastAsia" w:ascii="仿宋_GB2312" w:hAnsi="Calibri" w:eastAsia="仿宋_GB2312" w:cs="仿宋"/>
          <w:color w:val="000000"/>
          <w:kern w:val="0"/>
          <w:sz w:val="32"/>
          <w:szCs w:val="32"/>
          <w:lang w:val="en-US" w:eastAsia="zh-CN" w:bidi="ar-SA"/>
        </w:rPr>
        <w:fldChar w:fldCharType="end"/>
      </w:r>
      <w:r>
        <w:rPr>
          <w:rFonts w:hint="eastAsia" w:ascii="仿宋_GB2312" w:hAnsi="Calibri" w:eastAsia="仿宋_GB2312" w:cs="仿宋"/>
          <w:color w:val="000000"/>
          <w:kern w:val="0"/>
          <w:sz w:val="32"/>
          <w:szCs w:val="32"/>
          <w:lang w:val="en-US" w:eastAsia="zh-CN" w:bidi="ar-SA"/>
        </w:rPr>
        <w:t>.刑事案件审理在社会的满意度。</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fldChar w:fldCharType="begin"/>
      </w:r>
      <w:r>
        <w:rPr>
          <w:rFonts w:hint="eastAsia" w:ascii="仿宋_GB2312" w:hAnsi="Calibri" w:eastAsia="仿宋_GB2312" w:cs="仿宋"/>
          <w:color w:val="000000"/>
          <w:kern w:val="0"/>
          <w:sz w:val="32"/>
          <w:szCs w:val="32"/>
          <w:lang w:val="en-US" w:eastAsia="zh-CN" w:bidi="ar-SA"/>
        </w:rPr>
        <w:instrText xml:space="preserve"> = 3 \* GB3 </w:instrText>
      </w:r>
      <w:r>
        <w:rPr>
          <w:rFonts w:hint="eastAsia" w:ascii="仿宋_GB2312" w:hAnsi="Calibri" w:eastAsia="仿宋_GB2312" w:cs="仿宋"/>
          <w:color w:val="000000"/>
          <w:kern w:val="0"/>
          <w:sz w:val="32"/>
          <w:szCs w:val="32"/>
          <w:lang w:val="en-US" w:eastAsia="zh-CN" w:bidi="ar-SA"/>
        </w:rPr>
        <w:fldChar w:fldCharType="separate"/>
      </w:r>
      <w:r>
        <w:rPr>
          <w:rFonts w:hint="eastAsia" w:ascii="仿宋_GB2312" w:hAnsi="Calibri" w:eastAsia="仿宋_GB2312" w:cs="仿宋"/>
          <w:color w:val="000000"/>
          <w:kern w:val="0"/>
          <w:sz w:val="32"/>
          <w:szCs w:val="32"/>
          <w:lang w:val="en-US" w:eastAsia="zh-CN" w:bidi="ar-SA"/>
        </w:rPr>
        <w:t>③</w:t>
      </w:r>
      <w:r>
        <w:rPr>
          <w:rFonts w:hint="eastAsia" w:ascii="仿宋_GB2312" w:hAnsi="Calibri" w:eastAsia="仿宋_GB2312" w:cs="仿宋"/>
          <w:color w:val="000000"/>
          <w:kern w:val="0"/>
          <w:sz w:val="32"/>
          <w:szCs w:val="32"/>
          <w:lang w:val="en-US" w:eastAsia="zh-CN" w:bidi="ar-SA"/>
        </w:rPr>
        <w:fldChar w:fldCharType="end"/>
      </w:r>
      <w:r>
        <w:rPr>
          <w:rFonts w:hint="eastAsia" w:ascii="仿宋_GB2312" w:hAnsi="Calibri" w:eastAsia="仿宋_GB2312" w:cs="仿宋"/>
          <w:color w:val="000000"/>
          <w:kern w:val="0"/>
          <w:sz w:val="32"/>
          <w:szCs w:val="32"/>
          <w:lang w:val="en-US" w:eastAsia="zh-CN" w:bidi="ar-SA"/>
        </w:rPr>
        <w:t>.执行案件审理在社会的满意度</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2021年马尔康市人民法院紧紧围绕市委中心工作，勇于担当、主动作为，为马尔康市经济行稳致远提供有力司法保障。坚持以习近平法治思想武装头脑、指导实践、推动工作，以实际行动守护好法治生命线，凝心聚力维护社会公平正义的最后一道防线，加快推进依法治市进程。</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（5）满意度指标。</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fldChar w:fldCharType="begin"/>
      </w:r>
      <w:r>
        <w:rPr>
          <w:rFonts w:hint="eastAsia" w:ascii="仿宋_GB2312" w:hAnsi="Calibri" w:eastAsia="仿宋_GB2312" w:cs="仿宋"/>
          <w:color w:val="000000"/>
          <w:kern w:val="0"/>
          <w:sz w:val="32"/>
          <w:szCs w:val="32"/>
          <w:lang w:val="en-US" w:eastAsia="zh-CN" w:bidi="ar-SA"/>
        </w:rPr>
        <w:instrText xml:space="preserve"> = 1 \* GB3 </w:instrText>
      </w:r>
      <w:r>
        <w:rPr>
          <w:rFonts w:hint="eastAsia" w:ascii="仿宋_GB2312" w:hAnsi="Calibri" w:eastAsia="仿宋_GB2312" w:cs="仿宋"/>
          <w:color w:val="000000"/>
          <w:kern w:val="0"/>
          <w:sz w:val="32"/>
          <w:szCs w:val="32"/>
          <w:lang w:val="en-US" w:eastAsia="zh-CN" w:bidi="ar-SA"/>
        </w:rPr>
        <w:fldChar w:fldCharType="separate"/>
      </w:r>
      <w:r>
        <w:rPr>
          <w:rFonts w:hint="eastAsia" w:ascii="仿宋_GB2312" w:hAnsi="Calibri" w:eastAsia="仿宋_GB2312" w:cs="仿宋"/>
          <w:color w:val="000000"/>
          <w:kern w:val="0"/>
          <w:sz w:val="32"/>
          <w:szCs w:val="32"/>
          <w:lang w:val="en-US" w:eastAsia="zh-CN" w:bidi="ar-SA"/>
        </w:rPr>
        <w:t>①</w:t>
      </w:r>
      <w:r>
        <w:rPr>
          <w:rFonts w:hint="eastAsia" w:ascii="仿宋_GB2312" w:hAnsi="Calibri" w:eastAsia="仿宋_GB2312" w:cs="仿宋"/>
          <w:color w:val="000000"/>
          <w:kern w:val="0"/>
          <w:sz w:val="32"/>
          <w:szCs w:val="32"/>
          <w:lang w:val="en-US" w:eastAsia="zh-CN" w:bidi="ar-SA"/>
        </w:rPr>
        <w:fldChar w:fldCharType="end"/>
      </w:r>
      <w:r>
        <w:rPr>
          <w:rFonts w:hint="eastAsia" w:ascii="仿宋_GB2312" w:hAnsi="Calibri" w:eastAsia="仿宋_GB2312" w:cs="仿宋"/>
          <w:color w:val="000000"/>
          <w:kern w:val="0"/>
          <w:sz w:val="32"/>
          <w:szCs w:val="32"/>
          <w:lang w:val="en-US" w:eastAsia="zh-CN" w:bidi="ar-SA"/>
        </w:rPr>
        <w:t>.民商事案件审理案件双方及社会满意度。</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fldChar w:fldCharType="begin"/>
      </w:r>
      <w:r>
        <w:rPr>
          <w:rFonts w:hint="eastAsia" w:ascii="仿宋_GB2312" w:hAnsi="Calibri" w:eastAsia="仿宋_GB2312" w:cs="仿宋"/>
          <w:color w:val="000000"/>
          <w:kern w:val="0"/>
          <w:sz w:val="32"/>
          <w:szCs w:val="32"/>
          <w:lang w:val="en-US" w:eastAsia="zh-CN" w:bidi="ar-SA"/>
        </w:rPr>
        <w:instrText xml:space="preserve"> = 2 \* GB3 </w:instrText>
      </w:r>
      <w:r>
        <w:rPr>
          <w:rFonts w:hint="eastAsia" w:ascii="仿宋_GB2312" w:hAnsi="Calibri" w:eastAsia="仿宋_GB2312" w:cs="仿宋"/>
          <w:color w:val="000000"/>
          <w:kern w:val="0"/>
          <w:sz w:val="32"/>
          <w:szCs w:val="32"/>
          <w:lang w:val="en-US" w:eastAsia="zh-CN" w:bidi="ar-SA"/>
        </w:rPr>
        <w:fldChar w:fldCharType="separate"/>
      </w:r>
      <w:r>
        <w:rPr>
          <w:rFonts w:hint="eastAsia" w:ascii="仿宋_GB2312" w:hAnsi="Calibri" w:eastAsia="仿宋_GB2312" w:cs="仿宋"/>
          <w:color w:val="000000"/>
          <w:kern w:val="0"/>
          <w:sz w:val="32"/>
          <w:szCs w:val="32"/>
          <w:lang w:val="en-US" w:eastAsia="zh-CN" w:bidi="ar-SA"/>
        </w:rPr>
        <w:t>②</w:t>
      </w:r>
      <w:r>
        <w:rPr>
          <w:rFonts w:hint="eastAsia" w:ascii="仿宋_GB2312" w:hAnsi="Calibri" w:eastAsia="仿宋_GB2312" w:cs="仿宋"/>
          <w:color w:val="000000"/>
          <w:kern w:val="0"/>
          <w:sz w:val="32"/>
          <w:szCs w:val="32"/>
          <w:lang w:val="en-US" w:eastAsia="zh-CN" w:bidi="ar-SA"/>
        </w:rPr>
        <w:fldChar w:fldCharType="end"/>
      </w:r>
      <w:r>
        <w:rPr>
          <w:rFonts w:hint="eastAsia" w:ascii="仿宋_GB2312" w:hAnsi="Calibri" w:eastAsia="仿宋_GB2312" w:cs="仿宋"/>
          <w:color w:val="000000"/>
          <w:kern w:val="0"/>
          <w:sz w:val="32"/>
          <w:szCs w:val="32"/>
          <w:lang w:val="en-US" w:eastAsia="zh-CN" w:bidi="ar-SA"/>
        </w:rPr>
        <w:t>.刑事案件审理双方及社会满意度。</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fldChar w:fldCharType="begin"/>
      </w:r>
      <w:r>
        <w:rPr>
          <w:rFonts w:hint="eastAsia" w:ascii="仿宋_GB2312" w:hAnsi="Calibri" w:eastAsia="仿宋_GB2312" w:cs="仿宋"/>
          <w:color w:val="000000"/>
          <w:kern w:val="0"/>
          <w:sz w:val="32"/>
          <w:szCs w:val="32"/>
          <w:lang w:val="en-US" w:eastAsia="zh-CN" w:bidi="ar-SA"/>
        </w:rPr>
        <w:instrText xml:space="preserve"> = 3 \* GB3 </w:instrText>
      </w:r>
      <w:r>
        <w:rPr>
          <w:rFonts w:hint="eastAsia" w:ascii="仿宋_GB2312" w:hAnsi="Calibri" w:eastAsia="仿宋_GB2312" w:cs="仿宋"/>
          <w:color w:val="000000"/>
          <w:kern w:val="0"/>
          <w:sz w:val="32"/>
          <w:szCs w:val="32"/>
          <w:lang w:val="en-US" w:eastAsia="zh-CN" w:bidi="ar-SA"/>
        </w:rPr>
        <w:fldChar w:fldCharType="separate"/>
      </w:r>
      <w:r>
        <w:rPr>
          <w:rFonts w:hint="eastAsia" w:ascii="仿宋_GB2312" w:hAnsi="Calibri" w:eastAsia="仿宋_GB2312" w:cs="仿宋"/>
          <w:color w:val="000000"/>
          <w:kern w:val="0"/>
          <w:sz w:val="32"/>
          <w:szCs w:val="32"/>
          <w:lang w:val="en-US" w:eastAsia="zh-CN" w:bidi="ar-SA"/>
        </w:rPr>
        <w:t>③</w:t>
      </w:r>
      <w:r>
        <w:rPr>
          <w:rFonts w:hint="eastAsia" w:ascii="仿宋_GB2312" w:hAnsi="Calibri" w:eastAsia="仿宋_GB2312" w:cs="仿宋"/>
          <w:color w:val="000000"/>
          <w:kern w:val="0"/>
          <w:sz w:val="32"/>
          <w:szCs w:val="32"/>
          <w:lang w:val="en-US" w:eastAsia="zh-CN" w:bidi="ar-SA"/>
        </w:rPr>
        <w:fldChar w:fldCharType="end"/>
      </w:r>
      <w:r>
        <w:rPr>
          <w:rFonts w:hint="eastAsia" w:ascii="仿宋_GB2312" w:hAnsi="Calibri" w:eastAsia="仿宋_GB2312" w:cs="仿宋"/>
          <w:color w:val="000000"/>
          <w:kern w:val="0"/>
          <w:sz w:val="32"/>
          <w:szCs w:val="32"/>
          <w:lang w:val="en-US" w:eastAsia="zh-CN" w:bidi="ar-SA"/>
        </w:rPr>
        <w:t>.执行案件审理双方及社会满意度。</w:t>
      </w:r>
    </w:p>
    <w:p>
      <w:pPr>
        <w:numPr>
          <w:ilvl w:val="0"/>
          <w:numId w:val="0"/>
        </w:numPr>
        <w:spacing w:line="600" w:lineRule="exact"/>
        <w:ind w:firstLine="640" w:firstLineChars="200"/>
        <w:outlineLvl w:val="1"/>
        <w:rPr>
          <w:rStyle w:val="28"/>
          <w:rFonts w:hint="eastAsia" w:ascii="黑体" w:hAnsi="黑体" w:eastAsia="黑体"/>
          <w:b w:val="0"/>
          <w:lang w:val="zh-CN"/>
        </w:rPr>
      </w:pPr>
      <w:r>
        <w:rPr>
          <w:rStyle w:val="28"/>
          <w:rFonts w:hint="eastAsia" w:ascii="黑体" w:hAnsi="黑体" w:eastAsia="黑体"/>
          <w:b w:val="0"/>
          <w:lang w:val="zh-CN"/>
        </w:rPr>
        <w:t>（二）结果应用情况。</w:t>
      </w:r>
    </w:p>
    <w:p>
      <w:pPr>
        <w:wordWrap w:val="0"/>
        <w:snapToGrid w:val="0"/>
        <w:spacing w:line="576" w:lineRule="exact"/>
        <w:ind w:firstLine="640" w:firstLineChars="200"/>
        <w:contextualSpacing/>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2021年我院共实现政法专项转移支付资金支出671.59万元，主要用于办案装备购置及办案业务经费支出。2021年共受理各类案件817件，审（执）结791件，结案率96.89%，分别同比去年上升10.75%和下降1.08%。其中，刑事案件47件，审结47件，结案率为100%；民商事案件437件，审结428件，结案率98%；执行案件309件，执结292件，执结率94.5%，执行到位金额0.8822亿元，让“纸上权益”变成“真金白银”；行政争议案件12件，结案率为100%。</w:t>
      </w:r>
    </w:p>
    <w:p>
      <w:pPr>
        <w:numPr>
          <w:ilvl w:val="0"/>
          <w:numId w:val="0"/>
        </w:numPr>
        <w:spacing w:line="600" w:lineRule="exact"/>
        <w:ind w:firstLine="640" w:firstLineChars="200"/>
        <w:outlineLvl w:val="1"/>
        <w:rPr>
          <w:rStyle w:val="28"/>
          <w:rFonts w:hint="eastAsia" w:ascii="黑体" w:hAnsi="黑体" w:eastAsia="黑体"/>
          <w:b w:val="0"/>
          <w:lang w:val="zh-CN"/>
        </w:rPr>
      </w:pPr>
      <w:r>
        <w:rPr>
          <w:rStyle w:val="28"/>
          <w:rFonts w:hint="eastAsia" w:ascii="黑体" w:hAnsi="黑体" w:eastAsia="黑体"/>
          <w:b w:val="0"/>
          <w:lang w:val="zh-CN"/>
        </w:rPr>
        <w:t>（三）自评质量</w:t>
      </w:r>
    </w:p>
    <w:p>
      <w:pPr>
        <w:keepNext w:val="0"/>
        <w:keepLines w:val="0"/>
        <w:pageBreakBefore w:val="0"/>
        <w:widowControl/>
        <w:kinsoku/>
        <w:wordWrap/>
        <w:overflowPunct/>
        <w:topLinePunct w:val="0"/>
        <w:autoSpaceDE/>
        <w:autoSpaceDN/>
        <w:bidi w:val="0"/>
        <w:adjustRightInd w:val="0"/>
        <w:snapToGrid w:val="0"/>
        <w:spacing w:line="580" w:lineRule="exact"/>
        <w:ind w:firstLine="420" w:firstLineChars="200"/>
        <w:contextualSpacing/>
        <w:jc w:val="both"/>
        <w:textAlignment w:val="auto"/>
        <w:rPr>
          <w:color w:val="000000"/>
          <w:kern w:val="0"/>
          <w:szCs w:val="32"/>
          <w:shd w:val="clear" w:color="auto" w:fill="FFFFFF"/>
        </w:rPr>
      </w:pPr>
      <w:r>
        <w:rPr>
          <w:color w:val="000000"/>
          <w:kern w:val="0"/>
          <w:szCs w:val="32"/>
          <w:shd w:val="clear" w:color="auto" w:fill="FFFFFF"/>
        </w:rPr>
        <w:t xml:space="preserve"> </w:t>
      </w:r>
      <w:r>
        <w:rPr>
          <w:rFonts w:hint="eastAsia" w:ascii="仿宋_GB2312" w:hAnsi="Calibri" w:eastAsia="仿宋_GB2312" w:cs="仿宋"/>
          <w:color w:val="000000"/>
          <w:kern w:val="0"/>
          <w:sz w:val="32"/>
          <w:szCs w:val="32"/>
          <w:lang w:val="en-US" w:eastAsia="zh-CN" w:bidi="ar-SA"/>
        </w:rPr>
        <w:t xml:space="preserve"> 2021年我院充分发挥审判职能，推进社会矛盾化解；及时审理各类民商事纠纷案件；积极稳妥审理好行政案件；加强执行工作，确保权利人的合法权利得到实现；加强立案、信访接待工作；加强审判质量评查与管理，提升审判质量</w:t>
      </w:r>
    </w:p>
    <w:p>
      <w:pPr>
        <w:numPr>
          <w:ilvl w:val="0"/>
          <w:numId w:val="0"/>
        </w:numPr>
        <w:spacing w:line="600" w:lineRule="exact"/>
        <w:ind w:firstLine="640" w:firstLineChars="200"/>
        <w:outlineLvl w:val="1"/>
        <w:rPr>
          <w:rStyle w:val="28"/>
          <w:rFonts w:hint="eastAsia" w:ascii="黑体" w:hAnsi="黑体" w:eastAsia="黑体"/>
          <w:b w:val="0"/>
          <w:lang w:val="zh-CN"/>
        </w:rPr>
      </w:pPr>
      <w:r>
        <w:rPr>
          <w:rStyle w:val="28"/>
          <w:rFonts w:hint="eastAsia" w:ascii="黑体" w:hAnsi="黑体" w:eastAsia="黑体"/>
          <w:b w:val="0"/>
          <w:lang w:val="zh-CN"/>
        </w:rPr>
        <w:t>1.产出指标完成情况分析。</w:t>
      </w:r>
    </w:p>
    <w:p>
      <w:pPr>
        <w:numPr>
          <w:ilvl w:val="0"/>
          <w:numId w:val="0"/>
        </w:numPr>
        <w:spacing w:line="600" w:lineRule="exact"/>
        <w:ind w:firstLine="640" w:firstLineChars="200"/>
        <w:outlineLvl w:val="1"/>
        <w:rPr>
          <w:rStyle w:val="28"/>
          <w:rFonts w:hint="eastAsia" w:ascii="黑体" w:hAnsi="黑体" w:eastAsia="黑体"/>
          <w:b w:val="0"/>
          <w:lang w:val="zh-CN"/>
        </w:rPr>
      </w:pPr>
      <w:r>
        <w:rPr>
          <w:rStyle w:val="28"/>
          <w:rFonts w:hint="eastAsia" w:ascii="黑体" w:hAnsi="黑体" w:eastAsia="黑体"/>
          <w:b w:val="0"/>
          <w:lang w:val="zh-CN"/>
        </w:rPr>
        <w:t>（1）数量指标。</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both"/>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2021年共受理各类案件817件，审（执）结791件。其中，刑事案件47件，审结47件；民商事案件437件，审结428件；执行案件309件，执结292件。</w:t>
      </w:r>
    </w:p>
    <w:p>
      <w:pPr>
        <w:numPr>
          <w:ilvl w:val="0"/>
          <w:numId w:val="0"/>
        </w:numPr>
        <w:spacing w:line="600" w:lineRule="exact"/>
        <w:ind w:firstLine="640" w:firstLineChars="200"/>
        <w:outlineLvl w:val="1"/>
        <w:rPr>
          <w:rStyle w:val="28"/>
          <w:rFonts w:hint="eastAsia" w:ascii="黑体" w:hAnsi="黑体" w:eastAsia="黑体"/>
          <w:b w:val="0"/>
          <w:lang w:val="zh-CN"/>
        </w:rPr>
      </w:pPr>
      <w:r>
        <w:rPr>
          <w:rStyle w:val="28"/>
          <w:rFonts w:hint="eastAsia" w:ascii="黑体" w:hAnsi="黑体" w:eastAsia="黑体"/>
          <w:b w:val="0"/>
          <w:lang w:val="zh-CN"/>
        </w:rPr>
        <w:t>（2）质量指标</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both"/>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2021年共受理各类案件817件，审（执）结791件，结案率96.89%，分别同比去年上升10.75%和下降1.08%。其中，刑事案件47件，审结47件，结案率为100%；民商事案件437件，审结428件</w:t>
      </w:r>
      <w:r>
        <w:rPr>
          <w:rFonts w:ascii="Times New Roman" w:hAnsi="Times New Roman" w:cs="Times New Roman"/>
          <w:color w:val="000000"/>
          <w:kern w:val="0"/>
          <w:szCs w:val="32"/>
          <w:shd w:val="clear" w:color="auto" w:fill="FFFFFF"/>
        </w:rPr>
        <w:t>，</w:t>
      </w:r>
      <w:r>
        <w:rPr>
          <w:rFonts w:hint="eastAsia" w:ascii="仿宋_GB2312" w:hAnsi="Calibri" w:eastAsia="仿宋_GB2312" w:cs="仿宋"/>
          <w:color w:val="000000"/>
          <w:kern w:val="0"/>
          <w:sz w:val="32"/>
          <w:szCs w:val="32"/>
          <w:lang w:val="en-US" w:eastAsia="zh-CN" w:bidi="ar-SA"/>
        </w:rPr>
        <w:t>结案率98%；执行案件309件，执结292件，执结率94.5%，执行到位金额0.8822亿元，让“纸上权益”变成“真金白银”；行政争议案件12件，结案率为100%。</w:t>
      </w:r>
    </w:p>
    <w:p>
      <w:pPr>
        <w:numPr>
          <w:ilvl w:val="0"/>
          <w:numId w:val="0"/>
        </w:numPr>
        <w:spacing w:line="600" w:lineRule="exact"/>
        <w:ind w:firstLine="640" w:firstLineChars="200"/>
        <w:outlineLvl w:val="1"/>
        <w:rPr>
          <w:rStyle w:val="28"/>
          <w:rFonts w:hint="eastAsia" w:ascii="黑体" w:hAnsi="黑体" w:eastAsia="黑体"/>
          <w:b w:val="0"/>
          <w:lang w:val="zh-CN"/>
        </w:rPr>
      </w:pPr>
      <w:r>
        <w:rPr>
          <w:rStyle w:val="28"/>
          <w:rFonts w:hint="eastAsia" w:ascii="黑体" w:hAnsi="黑体" w:eastAsia="黑体"/>
          <w:b w:val="0"/>
          <w:lang w:val="zh-CN"/>
        </w:rPr>
        <w:t>（3）时效指标</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both"/>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2021年大部分案件均在审理时限2021.12.31前完成，平均办案时间45.62天。其中7件案件因处于评估鉴定公告期间未实现结案。当年案件平均审理天数为56天。案件办结率为96.8%。</w:t>
      </w:r>
    </w:p>
    <w:p>
      <w:pPr>
        <w:numPr>
          <w:ilvl w:val="0"/>
          <w:numId w:val="0"/>
        </w:numPr>
        <w:spacing w:line="600" w:lineRule="exact"/>
        <w:ind w:firstLine="640" w:firstLineChars="200"/>
        <w:outlineLvl w:val="1"/>
        <w:rPr>
          <w:rStyle w:val="28"/>
          <w:rFonts w:hint="eastAsia" w:ascii="黑体" w:hAnsi="黑体" w:eastAsia="黑体"/>
          <w:b w:val="0"/>
          <w:lang w:val="zh-CN"/>
        </w:rPr>
      </w:pPr>
      <w:r>
        <w:rPr>
          <w:rStyle w:val="28"/>
          <w:rFonts w:hint="eastAsia" w:ascii="黑体" w:hAnsi="黑体" w:eastAsia="黑体"/>
          <w:b w:val="0"/>
          <w:lang w:val="zh-CN"/>
        </w:rPr>
        <w:t>（4）社会效益指标</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both"/>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2021年马尔康市人民法院，紧紧围绕市委中心工作，勇于担当、主动作为，为马尔康市经济行稳致远提供有力司法保障。坚持以习近平法治思想武装头脑、指导实践、推动工作，以实际行动守护好法治生命线，凝心聚力维护社会公平正义的最后一道防线，加快推进依法治市进程。</w:t>
      </w:r>
    </w:p>
    <w:p>
      <w:pPr>
        <w:numPr>
          <w:ilvl w:val="0"/>
          <w:numId w:val="0"/>
        </w:numPr>
        <w:spacing w:line="600" w:lineRule="exact"/>
        <w:ind w:firstLine="640" w:firstLineChars="200"/>
        <w:outlineLvl w:val="1"/>
        <w:rPr>
          <w:rStyle w:val="28"/>
          <w:rFonts w:hint="eastAsia" w:ascii="黑体" w:hAnsi="黑体" w:eastAsia="黑体"/>
          <w:b w:val="0"/>
          <w:lang w:val="zh-CN"/>
        </w:rPr>
      </w:pPr>
    </w:p>
    <w:p>
      <w:pPr>
        <w:numPr>
          <w:ilvl w:val="0"/>
          <w:numId w:val="0"/>
        </w:numPr>
        <w:spacing w:line="600" w:lineRule="exact"/>
        <w:ind w:firstLine="640" w:firstLineChars="200"/>
        <w:outlineLvl w:val="1"/>
        <w:rPr>
          <w:rStyle w:val="28"/>
          <w:rFonts w:hint="eastAsia" w:ascii="黑体" w:hAnsi="黑体" w:eastAsia="黑体"/>
          <w:b w:val="0"/>
          <w:lang w:val="zh-CN"/>
        </w:rPr>
      </w:pPr>
    </w:p>
    <w:p>
      <w:pPr>
        <w:numPr>
          <w:ilvl w:val="0"/>
          <w:numId w:val="0"/>
        </w:numPr>
        <w:spacing w:line="600" w:lineRule="exact"/>
        <w:ind w:firstLine="640" w:firstLineChars="200"/>
        <w:outlineLvl w:val="1"/>
        <w:rPr>
          <w:rStyle w:val="28"/>
          <w:rFonts w:hint="eastAsia" w:ascii="黑体" w:hAnsi="黑体" w:eastAsia="黑体"/>
          <w:b w:val="0"/>
          <w:lang w:val="zh-CN"/>
        </w:rPr>
      </w:pPr>
      <w:r>
        <w:rPr>
          <w:rStyle w:val="28"/>
          <w:rFonts w:hint="eastAsia" w:ascii="黑体" w:hAnsi="黑体" w:eastAsia="黑体"/>
          <w:b w:val="0"/>
          <w:lang w:val="zh-CN"/>
        </w:rPr>
        <w:t>（5）满意度指标</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both"/>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依法严惩严重危害社会治安等人民群众反映强烈的犯罪，切实维护国家政治安全和社会大局稳定。保持扫黑除恶专项斗争高压态势，严格把好案件事实关、证据关、程序关和法律适用关，确保案件经得起法律和历史的检验。</w:t>
      </w:r>
    </w:p>
    <w:p>
      <w:pPr>
        <w:numPr>
          <w:ilvl w:val="0"/>
          <w:numId w:val="0"/>
        </w:numPr>
        <w:spacing w:line="600" w:lineRule="exact"/>
        <w:ind w:firstLine="640" w:firstLineChars="200"/>
        <w:outlineLvl w:val="1"/>
        <w:rPr>
          <w:rStyle w:val="28"/>
          <w:rFonts w:hint="eastAsia" w:ascii="黑体" w:hAnsi="黑体" w:eastAsia="黑体"/>
          <w:b w:val="0"/>
          <w:lang w:val="zh-CN"/>
        </w:rPr>
      </w:pPr>
      <w:r>
        <w:rPr>
          <w:rStyle w:val="28"/>
          <w:rFonts w:hint="eastAsia" w:ascii="黑体" w:hAnsi="黑体" w:eastAsia="黑体"/>
          <w:b w:val="0"/>
          <w:lang w:val="zh-CN"/>
        </w:rPr>
        <w:t>四、评价结论及建议</w:t>
      </w:r>
    </w:p>
    <w:p>
      <w:pPr>
        <w:numPr>
          <w:ilvl w:val="0"/>
          <w:numId w:val="0"/>
        </w:numPr>
        <w:spacing w:line="600" w:lineRule="exact"/>
        <w:ind w:firstLine="640" w:firstLineChars="200"/>
        <w:outlineLvl w:val="1"/>
        <w:rPr>
          <w:rStyle w:val="28"/>
          <w:rFonts w:hint="eastAsia" w:ascii="黑体" w:hAnsi="黑体" w:eastAsia="黑体"/>
          <w:b w:val="0"/>
          <w:lang w:val="zh-CN"/>
        </w:rPr>
      </w:pPr>
      <w:r>
        <w:rPr>
          <w:rStyle w:val="28"/>
          <w:rFonts w:hint="eastAsia" w:ascii="黑体" w:hAnsi="黑体" w:eastAsia="黑体"/>
          <w:b w:val="0"/>
          <w:lang w:val="zh-CN"/>
        </w:rPr>
        <w:t>（一）评价结论。</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both"/>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近年来在马尔康市人民法院不断加强和规范财务管理，建立健全中央政法转移支付资金管理制度，有效提高资金使用效益，切实保障依法履行审判职能并顺利完成各项工作任务。</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both"/>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1.全力维护社会稳定，严厉打击犯罪，维护社会安全。依法严惩辖区内高发频发的盗窃罪、故意伤害罪等侵犯公民人身财产安全犯罪，维护社会治安持续平稳全力化解社会矛盾。</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both"/>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积极关注民生问题，及时审理婚姻家庭纠纷案件，保障妇女儿童的合法权益，促进家庭和谐稳定；及时审理机动车交通事故责任纠纷，充分保护受害人权益；及时审理劳务合同纠纷，依法确认农民工工资，构建和谐劳动关系全力助推依法行政。</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both"/>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3.坚决推行行政案件立案双审制，及时对行政相对人释明法律规定、明确诉讼请求，保障行政相对人权益。</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both"/>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4.是全力提升执行水平，以扎实推进“切实解决执行难”为契机，提高整体执行水平。</w:t>
      </w:r>
    </w:p>
    <w:p>
      <w:pPr>
        <w:numPr>
          <w:ilvl w:val="0"/>
          <w:numId w:val="0"/>
        </w:numPr>
        <w:spacing w:line="600" w:lineRule="exact"/>
        <w:ind w:firstLine="640" w:firstLineChars="200"/>
        <w:outlineLvl w:val="1"/>
        <w:rPr>
          <w:rStyle w:val="28"/>
          <w:rFonts w:hint="eastAsia" w:ascii="黑体" w:hAnsi="黑体" w:eastAsia="黑体"/>
          <w:b w:val="0"/>
          <w:lang w:val="zh-CN"/>
        </w:rPr>
      </w:pPr>
      <w:r>
        <w:rPr>
          <w:rStyle w:val="28"/>
          <w:rFonts w:hint="eastAsia" w:ascii="黑体" w:hAnsi="黑体" w:eastAsia="黑体"/>
          <w:b w:val="0"/>
          <w:lang w:val="zh-CN"/>
        </w:rPr>
        <w:t>（二）存在问题。</w:t>
      </w:r>
    </w:p>
    <w:p>
      <w:pPr>
        <w:numPr>
          <w:ilvl w:val="0"/>
          <w:numId w:val="0"/>
        </w:numPr>
        <w:spacing w:line="600" w:lineRule="exact"/>
        <w:ind w:firstLine="640" w:firstLineChars="200"/>
        <w:outlineLvl w:val="1"/>
        <w:rPr>
          <w:rStyle w:val="28"/>
          <w:rFonts w:hint="eastAsia" w:ascii="黑体" w:hAnsi="黑体" w:eastAsia="黑体"/>
          <w:b w:val="0"/>
          <w:lang w:val="zh-CN"/>
        </w:rPr>
      </w:pPr>
      <w:r>
        <w:rPr>
          <w:rStyle w:val="28"/>
          <w:rFonts w:hint="eastAsia" w:ascii="黑体" w:hAnsi="黑体" w:eastAsia="黑体"/>
          <w:b w:val="0"/>
          <w:lang w:val="zh-CN"/>
        </w:rPr>
        <w:t>1.内部控制制度建设还需进一步完善</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both"/>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根据财政规定及上级法院工作部署，今年来，各类新要求新标准在不断推进，我院内部控制制度也应随之调整并完善，不断细化健全管理措施，落实职能职责。</w:t>
      </w:r>
    </w:p>
    <w:p>
      <w:pPr>
        <w:numPr>
          <w:ilvl w:val="0"/>
          <w:numId w:val="0"/>
        </w:numPr>
        <w:spacing w:line="600" w:lineRule="exact"/>
        <w:ind w:firstLine="640" w:firstLineChars="200"/>
        <w:outlineLvl w:val="1"/>
        <w:rPr>
          <w:rStyle w:val="28"/>
          <w:rFonts w:hint="eastAsia" w:ascii="黑体" w:hAnsi="黑体" w:eastAsia="黑体"/>
          <w:b w:val="0"/>
          <w:lang w:val="zh-CN"/>
        </w:rPr>
      </w:pPr>
      <w:r>
        <w:rPr>
          <w:rStyle w:val="28"/>
          <w:rFonts w:hint="eastAsia" w:ascii="黑体" w:hAnsi="黑体" w:eastAsia="黑体"/>
          <w:b w:val="0"/>
          <w:lang w:val="zh-CN"/>
        </w:rPr>
        <w:t>2.管理制度执行力还需进一步提升</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both"/>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根据工作部署，我院不断健全完善内部控制制度，应加大制度执行力，确保各项规定及要求得到认真贯彻和执行。</w:t>
      </w:r>
    </w:p>
    <w:p>
      <w:pPr>
        <w:numPr>
          <w:ilvl w:val="0"/>
          <w:numId w:val="0"/>
        </w:numPr>
        <w:spacing w:line="600" w:lineRule="exact"/>
        <w:ind w:firstLine="640" w:firstLineChars="200"/>
        <w:outlineLvl w:val="1"/>
        <w:rPr>
          <w:rStyle w:val="28"/>
          <w:rFonts w:hint="eastAsia" w:ascii="黑体" w:hAnsi="黑体" w:eastAsia="黑体"/>
          <w:b w:val="0"/>
          <w:lang w:val="zh-CN"/>
        </w:rPr>
      </w:pPr>
      <w:r>
        <w:rPr>
          <w:rStyle w:val="28"/>
          <w:rFonts w:hint="eastAsia" w:ascii="黑体" w:hAnsi="黑体" w:eastAsia="黑体"/>
          <w:b w:val="0"/>
          <w:lang w:val="zh-CN"/>
        </w:rPr>
        <w:t>（三）改进建议。</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both"/>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1、加强组织领导，增强预算编制的准确性，提高对预算编制与执行的认识，让各部门了解绩效工作，为绩效评价工作开展创造好的条件。</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both"/>
        <w:textAlignment w:val="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2、建立健全内部控制制度，规范各类工作程序，落实责任人职能职责，全面推进我院工作规范化。</w:t>
      </w:r>
    </w:p>
    <w:p>
      <w:pPr>
        <w:pStyle w:val="2"/>
        <w:rPr>
          <w:rFonts w:hint="eastAsia" w:ascii="仿宋_GB2312" w:hAnsi="Calibri" w:eastAsia="仿宋_GB2312" w:cs="仿宋"/>
          <w:color w:val="000000"/>
          <w:kern w:val="0"/>
          <w:sz w:val="32"/>
          <w:szCs w:val="32"/>
          <w:lang w:val="en-US" w:eastAsia="zh-CN" w:bidi="ar-SA"/>
        </w:rPr>
      </w:pPr>
    </w:p>
    <w:p>
      <w:pPr>
        <w:pStyle w:val="2"/>
        <w:rPr>
          <w:rFonts w:hint="eastAsia" w:ascii="仿宋_GB2312" w:hAnsi="Calibri" w:eastAsia="仿宋_GB2312" w:cs="仿宋"/>
          <w:color w:val="000000"/>
          <w:kern w:val="0"/>
          <w:sz w:val="32"/>
          <w:szCs w:val="32"/>
          <w:lang w:val="en-US" w:eastAsia="zh-CN" w:bidi="ar-SA"/>
        </w:rPr>
      </w:pPr>
    </w:p>
    <w:p>
      <w:pPr>
        <w:pStyle w:val="2"/>
        <w:rPr>
          <w:rFonts w:hint="eastAsia" w:ascii="仿宋_GB2312" w:hAnsi="Calibri" w:eastAsia="仿宋_GB2312" w:cs="仿宋"/>
          <w:color w:val="000000"/>
          <w:kern w:val="0"/>
          <w:sz w:val="32"/>
          <w:szCs w:val="32"/>
          <w:lang w:val="en-US" w:eastAsia="zh-CN" w:bidi="ar-SA"/>
        </w:rPr>
      </w:pPr>
    </w:p>
    <w:p>
      <w:pPr>
        <w:pStyle w:val="2"/>
        <w:rPr>
          <w:rFonts w:hint="eastAsia" w:ascii="仿宋_GB2312" w:hAnsi="Calibri" w:eastAsia="仿宋_GB2312" w:cs="仿宋"/>
          <w:color w:val="000000"/>
          <w:kern w:val="0"/>
          <w:sz w:val="32"/>
          <w:szCs w:val="32"/>
          <w:lang w:val="en-US" w:eastAsia="zh-CN" w:bidi="ar-SA"/>
        </w:rPr>
      </w:pPr>
    </w:p>
    <w:p>
      <w:pPr>
        <w:pStyle w:val="2"/>
        <w:rPr>
          <w:rFonts w:hint="eastAsia" w:ascii="仿宋_GB2312" w:hAnsi="Calibri" w:eastAsia="仿宋_GB2312" w:cs="仿宋"/>
          <w:color w:val="000000"/>
          <w:kern w:val="0"/>
          <w:sz w:val="32"/>
          <w:szCs w:val="32"/>
          <w:lang w:val="en-US" w:eastAsia="zh-CN" w:bidi="ar-SA"/>
        </w:rPr>
      </w:pPr>
    </w:p>
    <w:p>
      <w:pPr>
        <w:pStyle w:val="2"/>
        <w:rPr>
          <w:rFonts w:hint="eastAsia" w:ascii="仿宋_GB2312" w:hAnsi="Calibri" w:eastAsia="仿宋_GB2312" w:cs="仿宋"/>
          <w:color w:val="000000"/>
          <w:kern w:val="0"/>
          <w:sz w:val="32"/>
          <w:szCs w:val="32"/>
          <w:lang w:val="en-US" w:eastAsia="zh-CN" w:bidi="ar-SA"/>
        </w:rPr>
      </w:pPr>
    </w:p>
    <w:p>
      <w:pPr>
        <w:spacing w:line="580" w:lineRule="exact"/>
        <w:contextualSpacing/>
        <w:rPr>
          <w:rFonts w:hint="default" w:eastAsia="黑体"/>
          <w:sz w:val="32"/>
          <w:szCs w:val="32"/>
          <w:lang w:val="en-US" w:eastAsia="zh-CN"/>
        </w:rPr>
      </w:pPr>
      <w:r>
        <w:rPr>
          <w:rFonts w:hAnsi="黑体" w:eastAsia="黑体"/>
          <w:sz w:val="32"/>
          <w:szCs w:val="32"/>
          <w:lang w:val="zh-CN"/>
        </w:rPr>
        <w:t>附件</w:t>
      </w:r>
      <w:r>
        <w:rPr>
          <w:rFonts w:hint="eastAsia" w:eastAsia="黑体"/>
          <w:sz w:val="32"/>
          <w:szCs w:val="32"/>
          <w:lang w:val="en-US" w:eastAsia="zh-CN"/>
        </w:rPr>
        <w:t>2</w:t>
      </w:r>
    </w:p>
    <w:p>
      <w:pPr>
        <w:pStyle w:val="2"/>
        <w:rPr>
          <w:rFonts w:hint="eastAsia" w:ascii="仿宋_GB2312" w:hAnsi="Calibri" w:eastAsia="仿宋_GB2312" w:cs="仿宋"/>
          <w:color w:val="000000"/>
          <w:kern w:val="0"/>
          <w:sz w:val="32"/>
          <w:szCs w:val="32"/>
          <w:lang w:val="en-US" w:eastAsia="zh-CN" w:bidi="ar-SA"/>
        </w:rPr>
      </w:pPr>
    </w:p>
    <w:tbl>
      <w:tblPr>
        <w:tblStyle w:val="15"/>
        <w:tblW w:w="499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696"/>
        <w:gridCol w:w="696"/>
        <w:gridCol w:w="457"/>
        <w:gridCol w:w="1389"/>
        <w:gridCol w:w="1514"/>
        <w:gridCol w:w="457"/>
        <w:gridCol w:w="457"/>
        <w:gridCol w:w="457"/>
        <w:gridCol w:w="458"/>
        <w:gridCol w:w="699"/>
        <w:gridCol w:w="5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684" w:type="pct"/>
            <w:gridSpan w:val="11"/>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2022年部门整体支出绩效评价指标体系（适用于无专项预算项目的部门）</w:t>
            </w:r>
          </w:p>
        </w:tc>
        <w:tc>
          <w:tcPr>
            <w:tcW w:w="315" w:type="pct"/>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122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绩效指标</w:t>
            </w:r>
          </w:p>
        </w:tc>
        <w:tc>
          <w:tcPr>
            <w:tcW w:w="2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指标分值</w:t>
            </w:r>
          </w:p>
        </w:tc>
        <w:tc>
          <w:tcPr>
            <w:tcW w:w="8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指标解释</w:t>
            </w:r>
          </w:p>
        </w:tc>
        <w:tc>
          <w:tcPr>
            <w:tcW w:w="890" w:type="pct"/>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计分标准</w:t>
            </w:r>
          </w:p>
        </w:tc>
        <w:tc>
          <w:tcPr>
            <w:tcW w:w="5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评价方式</w:t>
            </w:r>
          </w:p>
        </w:tc>
        <w:tc>
          <w:tcPr>
            <w:tcW w:w="5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评价属性</w:t>
            </w:r>
          </w:p>
        </w:tc>
        <w:tc>
          <w:tcPr>
            <w:tcW w:w="4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一级指标</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二级指标</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三级指标</w:t>
            </w:r>
          </w:p>
        </w:tc>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8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890"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26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整体评价</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样本评价</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定性评价</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定量评价</w:t>
            </w:r>
          </w:p>
        </w:tc>
        <w:tc>
          <w:tcPr>
            <w:tcW w:w="4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0" w:hRule="atLeast"/>
        </w:trPr>
        <w:tc>
          <w:tcPr>
            <w:tcW w:w="4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部门预算项目绩效管理（70分）</w:t>
            </w:r>
          </w:p>
        </w:tc>
        <w:tc>
          <w:tcPr>
            <w:tcW w:w="4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目标管理（30分）</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目标制定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评价部门绩效目标是否要素完整、细化量化并集体决策。</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1.绩效目标编制要素完整的，得5分，否则酌情扣分。                                                       2.绩效指标细化量化的，得5分，否则酌情扣分。                  3.评价部门绩效目标纳入部门党组（委）会（办公会）集体决策范围的得5分，否则不得分。                              有项目绩效目标的部门（单位），根据项目绩效目标编制质量打分，无项目绩效目标的部门，根据部门整体支出绩效目标打分。                                                                    </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5" w:hRule="atLeast"/>
        </w:trPr>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目标实现</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评价部门绩效目标实际实现程度与预期目标的偏离度。</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项目完成数量为核心，评价项目实际完成情况与预期绩效目标偏离度，单个数量指标实际完成未达到预期指标或超过预期指标30%以上的，均不计分。该项指标得分=达到预期值的数量指标个数/全部数量指标个数（即评价选取的项目绩效目标包含的所有数量指标）*15。</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财政重点绩效评价组评价范围为部门机关及至少2个下属单位的所有纳入绩效目标管理的部门预算项目，部门自评范围为部门所有纳入绩效目标管理的部门预算项目</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0" w:hRule="atLeast"/>
        </w:trPr>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动态调整（20分）</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支出控制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部门公用经费及非定额公用支出控制情况。</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计算部门日常公用经费、项目支出中“办公费、印刷费、水费、电费、物业管理费”等科目年初预算数与决算数偏差程度。                                                            预决算偏差程度在10%以内的，得10分。偏差度在10%-20%之间的，得5分，偏差度超过20%的，不得分。</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0" w:hRule="atLeast"/>
        </w:trPr>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执行进度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评价部门在6、9、11月的预算执行情况。</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部门预算执行进度在6、9、11月应达到序时进度的80%、90%、90%，即实际支出进度分别达到40%、67.5%、82.5%。                                                     6、9、11月部门预算执行进度达到量化指标的分别得2、4、4分，未达到目标进度</w:t>
            </w:r>
            <w:r>
              <w:rPr>
                <w:rFonts w:hint="eastAsia" w:ascii="宋体" w:hAnsi="宋体" w:cs="宋体"/>
                <w:i w:val="0"/>
                <w:iCs w:val="0"/>
                <w:color w:val="000000"/>
                <w:kern w:val="0"/>
                <w:sz w:val="24"/>
                <w:szCs w:val="24"/>
                <w:u w:val="none"/>
                <w:lang w:val="en-US" w:eastAsia="zh-CN" w:bidi="ar"/>
              </w:rPr>
              <w:t>的</w:t>
            </w:r>
            <w:r>
              <w:rPr>
                <w:rFonts w:hint="eastAsia" w:ascii="宋体" w:hAnsi="宋体" w:eastAsia="宋体" w:cs="宋体"/>
                <w:i w:val="0"/>
                <w:iCs w:val="0"/>
                <w:color w:val="000000"/>
                <w:kern w:val="0"/>
                <w:sz w:val="24"/>
                <w:szCs w:val="24"/>
                <w:u w:val="none"/>
                <w:lang w:val="en-US" w:eastAsia="zh-CN" w:bidi="ar"/>
              </w:rPr>
              <w:t xml:space="preserve">按其实际进度占目标进度的比重计算得分。                                             </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08"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完成结果（20分）</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预算完成</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评价部门预算项目年终预算执行情况。</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部门预算项目12月预算执行进度达到100%的，得10分，未达100%的，按照实际进度量化计算得分。</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08"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资金结余率（低效无效率）</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评价部门预算项目年终资金结余情况。                 </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部门预算项目资金结余率小于0.1的项目数/部门预算项目总数*5。</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08"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违规记录</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根据审计监督、财政检查结果反映部门上一年度部门预算管理是否合规。</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依据评价年度审计监督、财政检查结果，出现部门预算管理方面违纪违规问题的，每个问题扣0.5分，直至扣完。</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4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绩效结果应用（20分）</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信息公开（6分</w:t>
            </w:r>
            <w:r>
              <w:rPr>
                <w:rFonts w:hint="eastAsia" w:ascii="宋体" w:hAnsi="宋体" w:cs="宋体"/>
                <w:i w:val="0"/>
                <w:iCs w:val="0"/>
                <w:color w:val="000000"/>
                <w:kern w:val="0"/>
                <w:sz w:val="24"/>
                <w:szCs w:val="24"/>
                <w:u w:val="none"/>
                <w:lang w:val="en-US" w:eastAsia="zh-CN" w:bidi="ar"/>
              </w:rPr>
              <w:t>）</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自评公开</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评价部门是否按要求将相关绩效信息向社会公开。</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按要求将相关绩效信息随同决算公开的，得6分，否则不得分。</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整改反馈（14分）</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问题整改</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评价部门根据绩效管理结果整改问题、完善政策、改进管理的情况。</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针对绩效管理过程中（包括绩效目标核查、绩效监控核查和重点绩效评价）提出的问题进行整改，得7分，否则酌情扣分。</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应用反馈</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评价部门按要求及时向财政部门反馈结果应用情况。</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部门在规定时间内向财政部门反馈应用绩效结果报告的，得7分，否则不得分。</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自评质量（10分）</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自评质量</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自评质量</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评价部门整体支出自评质量。</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部门整体支出自评报告按照标准格式撰写，内容丰富，不存在数据错误等。</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122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扣分项（10分）</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被评价单位配合评价工作情况。</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政重点绩效评价工作开展过程中，评价组发现被评价对象拖延推诿、提交资料不及时等拒不配合评价工作的，经报财政厅复核确认后按0.5分/次予以扣分，最高扣10分（此为财政重点绩效评价计分标准，部门参照该标准对部门及下属单位计分）。</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合计</w:t>
            </w:r>
          </w:p>
        </w:tc>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w:t>
            </w:r>
          </w:p>
        </w:tc>
      </w:tr>
    </w:tbl>
    <w:p>
      <w:pPr>
        <w:rPr>
          <w:rFonts w:hAnsi="Calibri" w:cs="仿宋"/>
          <w:sz w:val="32"/>
          <w:szCs w:val="32"/>
        </w:rPr>
      </w:pPr>
      <w:r>
        <w:rPr>
          <w:rFonts w:hAnsi="Calibri" w:cs="仿宋"/>
          <w:sz w:val="32"/>
          <w:szCs w:val="32"/>
        </w:rPr>
        <w:br w:type="page"/>
      </w:r>
    </w:p>
    <w:p>
      <w:pPr>
        <w:pStyle w:val="2"/>
        <w:spacing w:before="93"/>
        <w:rPr>
          <w:rFonts w:hAnsi="Calibri" w:cs="仿宋"/>
          <w:sz w:val="32"/>
          <w:szCs w:val="32"/>
        </w:rPr>
      </w:pPr>
    </w:p>
    <w:p>
      <w:pPr>
        <w:spacing w:line="600" w:lineRule="exact"/>
        <w:jc w:val="center"/>
        <w:outlineLvl w:val="0"/>
        <w:rPr>
          <w:rFonts w:hint="eastAsia" w:ascii="黑体" w:hAnsi="黑体" w:eastAsia="黑体"/>
          <w:sz w:val="44"/>
          <w:szCs w:val="44"/>
        </w:rPr>
      </w:pPr>
      <w:bookmarkStart w:id="127" w:name="_Toc744"/>
    </w:p>
    <w:p>
      <w:pPr>
        <w:spacing w:line="600" w:lineRule="exact"/>
        <w:jc w:val="center"/>
        <w:outlineLvl w:val="0"/>
        <w:rPr>
          <w:rFonts w:ascii="仿宋" w:hAnsi="仿宋" w:eastAsia="仿宋"/>
        </w:rPr>
      </w:pPr>
      <w:r>
        <w:rPr>
          <w:rFonts w:hint="eastAsia" w:ascii="黑体" w:hAnsi="黑体" w:eastAsia="黑体"/>
          <w:sz w:val="44"/>
          <w:szCs w:val="44"/>
        </w:rPr>
        <w:t>第</w:t>
      </w:r>
      <w:r>
        <w:rPr>
          <w:rStyle w:val="27"/>
          <w:rFonts w:hint="eastAsia" w:ascii="黑体" w:hAnsi="黑体" w:eastAsia="黑体"/>
          <w:b w:val="0"/>
        </w:rPr>
        <w:t>五部分附表</w:t>
      </w:r>
      <w:bookmarkEnd w:id="123"/>
      <w:bookmarkEnd w:id="126"/>
      <w:bookmarkEnd w:id="127"/>
      <w:bookmarkStart w:id="128" w:name="_Toc15396619"/>
    </w:p>
    <w:p>
      <w:pPr>
        <w:pStyle w:val="4"/>
        <w:rPr>
          <w:rFonts w:ascii="仿宋" w:hAnsi="仿宋" w:eastAsia="仿宋"/>
        </w:rPr>
      </w:pPr>
      <w:bookmarkStart w:id="129" w:name="_Toc26511"/>
      <w:bookmarkStart w:id="130" w:name="_Toc27439"/>
      <w:r>
        <w:rPr>
          <w:rFonts w:hint="eastAsia" w:ascii="仿宋" w:hAnsi="仿宋" w:eastAsia="仿宋"/>
          <w:b w:val="0"/>
        </w:rPr>
        <w:t>一、收</w:t>
      </w:r>
      <w:r>
        <w:rPr>
          <w:rStyle w:val="28"/>
          <w:rFonts w:hint="eastAsia" w:ascii="仿宋" w:hAnsi="仿宋" w:eastAsia="仿宋"/>
          <w:b w:val="0"/>
          <w:bCs w:val="0"/>
        </w:rPr>
        <w:t>入支出决算总表</w:t>
      </w:r>
      <w:bookmarkEnd w:id="128"/>
      <w:bookmarkEnd w:id="129"/>
      <w:bookmarkEnd w:id="130"/>
    </w:p>
    <w:p>
      <w:pPr>
        <w:pStyle w:val="4"/>
        <w:rPr>
          <w:rFonts w:ascii="仿宋" w:hAnsi="仿宋" w:eastAsia="仿宋"/>
        </w:rPr>
      </w:pPr>
      <w:bookmarkStart w:id="131" w:name="_Toc15396620"/>
      <w:bookmarkStart w:id="132" w:name="_Toc15493"/>
      <w:bookmarkStart w:id="133" w:name="_Toc27462"/>
      <w:r>
        <w:rPr>
          <w:rFonts w:hint="eastAsia" w:ascii="仿宋" w:hAnsi="仿宋" w:eastAsia="仿宋"/>
          <w:b w:val="0"/>
        </w:rPr>
        <w:t>二、收</w:t>
      </w:r>
      <w:r>
        <w:rPr>
          <w:rStyle w:val="28"/>
          <w:rFonts w:hint="eastAsia" w:ascii="仿宋" w:hAnsi="仿宋" w:eastAsia="仿宋"/>
          <w:b w:val="0"/>
          <w:bCs w:val="0"/>
        </w:rPr>
        <w:t>入决算表</w:t>
      </w:r>
      <w:bookmarkEnd w:id="131"/>
      <w:bookmarkEnd w:id="132"/>
      <w:bookmarkEnd w:id="133"/>
    </w:p>
    <w:p>
      <w:pPr>
        <w:pStyle w:val="4"/>
        <w:rPr>
          <w:rFonts w:ascii="仿宋" w:hAnsi="仿宋" w:eastAsia="仿宋"/>
        </w:rPr>
      </w:pPr>
      <w:bookmarkStart w:id="134" w:name="_Toc26069"/>
      <w:bookmarkStart w:id="135" w:name="_Toc26187"/>
      <w:bookmarkStart w:id="136" w:name="_Toc15396621"/>
      <w:r>
        <w:rPr>
          <w:rStyle w:val="28"/>
          <w:rFonts w:hint="eastAsia" w:ascii="仿宋" w:hAnsi="仿宋" w:eastAsia="仿宋"/>
          <w:b w:val="0"/>
          <w:bCs w:val="0"/>
        </w:rPr>
        <w:t>三、</w:t>
      </w:r>
      <w:r>
        <w:rPr>
          <w:rFonts w:hint="eastAsia" w:ascii="仿宋" w:hAnsi="仿宋" w:eastAsia="仿宋"/>
          <w:b w:val="0"/>
        </w:rPr>
        <w:t>支</w:t>
      </w:r>
      <w:r>
        <w:rPr>
          <w:rStyle w:val="28"/>
          <w:rFonts w:hint="eastAsia" w:ascii="仿宋" w:hAnsi="仿宋" w:eastAsia="仿宋"/>
          <w:b w:val="0"/>
          <w:bCs w:val="0"/>
        </w:rPr>
        <w:t>出决算表</w:t>
      </w:r>
      <w:bookmarkEnd w:id="134"/>
      <w:bookmarkEnd w:id="135"/>
      <w:bookmarkEnd w:id="136"/>
    </w:p>
    <w:p>
      <w:pPr>
        <w:pStyle w:val="4"/>
        <w:rPr>
          <w:rFonts w:ascii="仿宋" w:hAnsi="仿宋" w:eastAsia="仿宋"/>
          <w:b w:val="0"/>
        </w:rPr>
      </w:pPr>
      <w:bookmarkStart w:id="137" w:name="_Toc15396622"/>
      <w:bookmarkStart w:id="138" w:name="_Toc20784"/>
      <w:bookmarkStart w:id="139" w:name="_Toc25051"/>
      <w:r>
        <w:rPr>
          <w:rStyle w:val="28"/>
          <w:rFonts w:hint="eastAsia" w:ascii="仿宋" w:hAnsi="仿宋" w:eastAsia="仿宋"/>
          <w:b w:val="0"/>
          <w:bCs w:val="0"/>
        </w:rPr>
        <w:t>四、</w:t>
      </w:r>
      <w:r>
        <w:rPr>
          <w:rFonts w:hint="eastAsia" w:ascii="仿宋" w:hAnsi="仿宋" w:eastAsia="仿宋"/>
          <w:b w:val="0"/>
        </w:rPr>
        <w:t>财</w:t>
      </w:r>
      <w:r>
        <w:rPr>
          <w:rStyle w:val="28"/>
          <w:rFonts w:hint="eastAsia" w:ascii="仿宋" w:hAnsi="仿宋" w:eastAsia="仿宋"/>
          <w:b w:val="0"/>
          <w:bCs w:val="0"/>
        </w:rPr>
        <w:t>政拨款收入支出决算总表</w:t>
      </w:r>
      <w:bookmarkEnd w:id="137"/>
      <w:bookmarkEnd w:id="138"/>
      <w:bookmarkEnd w:id="139"/>
    </w:p>
    <w:p>
      <w:pPr>
        <w:pStyle w:val="4"/>
        <w:rPr>
          <w:rStyle w:val="28"/>
          <w:rFonts w:ascii="仿宋" w:hAnsi="仿宋" w:eastAsia="仿宋"/>
          <w:b w:val="0"/>
          <w:bCs w:val="0"/>
        </w:rPr>
      </w:pPr>
      <w:bookmarkStart w:id="140" w:name="_Toc29011"/>
      <w:bookmarkStart w:id="141" w:name="_Toc22038"/>
      <w:bookmarkStart w:id="142" w:name="_Toc15396623"/>
      <w:r>
        <w:rPr>
          <w:rStyle w:val="28"/>
          <w:rFonts w:hint="eastAsia" w:ascii="仿宋" w:hAnsi="仿宋" w:eastAsia="仿宋"/>
          <w:b w:val="0"/>
          <w:bCs w:val="0"/>
        </w:rPr>
        <w:t>五、</w:t>
      </w:r>
      <w:r>
        <w:rPr>
          <w:rFonts w:hint="eastAsia" w:ascii="仿宋" w:hAnsi="仿宋" w:eastAsia="仿宋"/>
          <w:b w:val="0"/>
        </w:rPr>
        <w:t>财</w:t>
      </w:r>
      <w:r>
        <w:rPr>
          <w:rStyle w:val="28"/>
          <w:rFonts w:hint="eastAsia" w:ascii="仿宋" w:hAnsi="仿宋" w:eastAsia="仿宋"/>
          <w:b w:val="0"/>
          <w:bCs w:val="0"/>
        </w:rPr>
        <w:t>政拨款支出决算明细表</w:t>
      </w:r>
      <w:bookmarkEnd w:id="140"/>
      <w:bookmarkEnd w:id="141"/>
      <w:bookmarkEnd w:id="142"/>
      <w:bookmarkStart w:id="143" w:name="_Toc15396624"/>
    </w:p>
    <w:p>
      <w:pPr>
        <w:pStyle w:val="4"/>
        <w:rPr>
          <w:rFonts w:ascii="仿宋" w:hAnsi="仿宋" w:eastAsia="仿宋"/>
        </w:rPr>
      </w:pPr>
      <w:bookmarkStart w:id="144" w:name="_Toc20585"/>
      <w:bookmarkStart w:id="145" w:name="_Toc4078"/>
      <w:r>
        <w:rPr>
          <w:rStyle w:val="28"/>
          <w:rFonts w:hint="eastAsia" w:ascii="仿宋" w:hAnsi="仿宋" w:eastAsia="仿宋"/>
          <w:b w:val="0"/>
          <w:bCs w:val="0"/>
        </w:rPr>
        <w:t>六、</w:t>
      </w:r>
      <w:r>
        <w:rPr>
          <w:rFonts w:hint="eastAsia" w:ascii="仿宋" w:hAnsi="仿宋" w:eastAsia="仿宋"/>
          <w:b w:val="0"/>
        </w:rPr>
        <w:t>一</w:t>
      </w:r>
      <w:r>
        <w:rPr>
          <w:rStyle w:val="28"/>
          <w:rFonts w:hint="eastAsia" w:ascii="仿宋" w:hAnsi="仿宋" w:eastAsia="仿宋"/>
          <w:b w:val="0"/>
          <w:bCs w:val="0"/>
        </w:rPr>
        <w:t>般公共预算财政拨款支出决算表</w:t>
      </w:r>
      <w:bookmarkEnd w:id="143"/>
      <w:bookmarkEnd w:id="144"/>
      <w:bookmarkEnd w:id="145"/>
    </w:p>
    <w:p>
      <w:pPr>
        <w:pStyle w:val="4"/>
        <w:rPr>
          <w:rFonts w:ascii="仿宋" w:hAnsi="仿宋" w:eastAsia="仿宋"/>
        </w:rPr>
      </w:pPr>
      <w:bookmarkStart w:id="146" w:name="_Toc15396625"/>
      <w:bookmarkStart w:id="147" w:name="_Toc3796"/>
      <w:bookmarkStart w:id="148" w:name="_Toc28796"/>
      <w:r>
        <w:rPr>
          <w:rStyle w:val="28"/>
          <w:rFonts w:hint="eastAsia" w:ascii="仿宋" w:hAnsi="仿宋" w:eastAsia="仿宋"/>
          <w:b w:val="0"/>
          <w:bCs w:val="0"/>
        </w:rPr>
        <w:t>七、</w:t>
      </w:r>
      <w:r>
        <w:rPr>
          <w:rFonts w:hint="eastAsia" w:ascii="仿宋" w:hAnsi="仿宋" w:eastAsia="仿宋"/>
          <w:b w:val="0"/>
        </w:rPr>
        <w:t>一</w:t>
      </w:r>
      <w:r>
        <w:rPr>
          <w:rStyle w:val="28"/>
          <w:rFonts w:hint="eastAsia" w:ascii="仿宋" w:hAnsi="仿宋" w:eastAsia="仿宋"/>
          <w:b w:val="0"/>
          <w:bCs w:val="0"/>
        </w:rPr>
        <w:t>般公共预算财政拨款支出决算明细表</w:t>
      </w:r>
      <w:bookmarkEnd w:id="146"/>
      <w:bookmarkEnd w:id="147"/>
      <w:bookmarkEnd w:id="148"/>
    </w:p>
    <w:p>
      <w:pPr>
        <w:pStyle w:val="4"/>
        <w:rPr>
          <w:rFonts w:ascii="仿宋" w:hAnsi="仿宋" w:eastAsia="仿宋"/>
        </w:rPr>
      </w:pPr>
      <w:bookmarkStart w:id="149" w:name="_Toc15396626"/>
      <w:bookmarkStart w:id="150" w:name="_Toc28546"/>
      <w:bookmarkStart w:id="151" w:name="_Toc12796"/>
      <w:r>
        <w:rPr>
          <w:rStyle w:val="28"/>
          <w:rFonts w:hint="eastAsia" w:ascii="仿宋" w:hAnsi="仿宋" w:eastAsia="仿宋"/>
          <w:b w:val="0"/>
          <w:bCs w:val="0"/>
        </w:rPr>
        <w:t>八、</w:t>
      </w:r>
      <w:r>
        <w:rPr>
          <w:rFonts w:hint="eastAsia" w:ascii="仿宋" w:hAnsi="仿宋" w:eastAsia="仿宋"/>
          <w:b w:val="0"/>
        </w:rPr>
        <w:t>一</w:t>
      </w:r>
      <w:r>
        <w:rPr>
          <w:rStyle w:val="28"/>
          <w:rFonts w:hint="eastAsia" w:ascii="仿宋" w:hAnsi="仿宋" w:eastAsia="仿宋"/>
          <w:b w:val="0"/>
          <w:bCs w:val="0"/>
        </w:rPr>
        <w:t>般公共预算财政拨款基本支出决算表</w:t>
      </w:r>
      <w:bookmarkEnd w:id="149"/>
      <w:bookmarkEnd w:id="150"/>
      <w:bookmarkEnd w:id="151"/>
    </w:p>
    <w:p>
      <w:pPr>
        <w:pStyle w:val="4"/>
        <w:rPr>
          <w:rFonts w:ascii="仿宋" w:hAnsi="仿宋" w:eastAsia="仿宋"/>
        </w:rPr>
      </w:pPr>
      <w:bookmarkStart w:id="152" w:name="_Toc6397"/>
      <w:bookmarkStart w:id="153" w:name="_Toc15396627"/>
      <w:bookmarkStart w:id="154" w:name="_Toc28566"/>
      <w:r>
        <w:rPr>
          <w:rStyle w:val="28"/>
          <w:rFonts w:hint="eastAsia" w:ascii="仿宋" w:hAnsi="仿宋" w:eastAsia="仿宋"/>
          <w:b w:val="0"/>
          <w:bCs w:val="0"/>
        </w:rPr>
        <w:t>九、</w:t>
      </w:r>
      <w:r>
        <w:rPr>
          <w:rFonts w:hint="eastAsia" w:ascii="仿宋" w:hAnsi="仿宋" w:eastAsia="仿宋"/>
          <w:b w:val="0"/>
        </w:rPr>
        <w:t>一</w:t>
      </w:r>
      <w:r>
        <w:rPr>
          <w:rStyle w:val="28"/>
          <w:rFonts w:hint="eastAsia" w:ascii="仿宋" w:hAnsi="仿宋" w:eastAsia="仿宋"/>
          <w:b w:val="0"/>
          <w:bCs w:val="0"/>
        </w:rPr>
        <w:t>般公共预算财政拨款项目支出决算表</w:t>
      </w:r>
      <w:bookmarkEnd w:id="152"/>
      <w:bookmarkEnd w:id="153"/>
      <w:bookmarkEnd w:id="154"/>
    </w:p>
    <w:p>
      <w:pPr>
        <w:pStyle w:val="4"/>
        <w:rPr>
          <w:rFonts w:ascii="仿宋" w:hAnsi="仿宋" w:eastAsia="仿宋"/>
        </w:rPr>
      </w:pPr>
      <w:bookmarkStart w:id="155" w:name="_Toc15396628"/>
      <w:bookmarkStart w:id="156" w:name="_Toc28539"/>
      <w:bookmarkStart w:id="157" w:name="_Toc6744"/>
      <w:r>
        <w:rPr>
          <w:rStyle w:val="28"/>
          <w:rFonts w:hint="eastAsia" w:ascii="仿宋" w:hAnsi="仿宋" w:eastAsia="仿宋"/>
          <w:b w:val="0"/>
          <w:bCs w:val="0"/>
        </w:rPr>
        <w:t>十、</w:t>
      </w:r>
      <w:bookmarkEnd w:id="155"/>
      <w:r>
        <w:rPr>
          <w:rFonts w:hint="eastAsia" w:ascii="仿宋" w:hAnsi="仿宋" w:eastAsia="仿宋"/>
          <w:b w:val="0"/>
        </w:rPr>
        <w:t>政</w:t>
      </w:r>
      <w:r>
        <w:rPr>
          <w:rStyle w:val="28"/>
          <w:rFonts w:hint="eastAsia" w:ascii="仿宋" w:hAnsi="仿宋" w:eastAsia="仿宋"/>
          <w:b w:val="0"/>
          <w:bCs w:val="0"/>
        </w:rPr>
        <w:t>府性基金预算财政拨款收入支出决算表</w:t>
      </w:r>
      <w:bookmarkEnd w:id="156"/>
      <w:bookmarkEnd w:id="157"/>
    </w:p>
    <w:p>
      <w:pPr>
        <w:pStyle w:val="4"/>
        <w:rPr>
          <w:rFonts w:ascii="仿宋" w:hAnsi="仿宋" w:eastAsia="仿宋"/>
        </w:rPr>
      </w:pPr>
      <w:bookmarkStart w:id="158" w:name="_Toc15396629"/>
      <w:bookmarkStart w:id="159" w:name="_Toc29125"/>
      <w:bookmarkStart w:id="160" w:name="_Toc4784"/>
      <w:r>
        <w:rPr>
          <w:rStyle w:val="28"/>
          <w:rFonts w:hint="eastAsia" w:ascii="仿宋" w:hAnsi="仿宋" w:eastAsia="仿宋"/>
          <w:b w:val="0"/>
          <w:bCs w:val="0"/>
        </w:rPr>
        <w:t>十一、</w:t>
      </w:r>
      <w:bookmarkEnd w:id="158"/>
      <w:r>
        <w:rPr>
          <w:rFonts w:hint="eastAsia" w:ascii="仿宋" w:hAnsi="仿宋" w:eastAsia="仿宋"/>
          <w:b w:val="0"/>
        </w:rPr>
        <w:t>国</w:t>
      </w:r>
      <w:r>
        <w:rPr>
          <w:rStyle w:val="28"/>
          <w:rFonts w:hint="eastAsia" w:ascii="仿宋" w:hAnsi="仿宋" w:eastAsia="仿宋"/>
          <w:b w:val="0"/>
          <w:bCs w:val="0"/>
        </w:rPr>
        <w:t>有资本经营预算财政拨款收入支出决算表</w:t>
      </w:r>
      <w:bookmarkEnd w:id="159"/>
      <w:bookmarkEnd w:id="160"/>
    </w:p>
    <w:p>
      <w:pPr>
        <w:pStyle w:val="4"/>
        <w:rPr>
          <w:rFonts w:ascii="仿宋" w:hAnsi="仿宋" w:eastAsia="仿宋"/>
        </w:rPr>
      </w:pPr>
      <w:bookmarkStart w:id="161" w:name="_Toc15396630"/>
      <w:bookmarkStart w:id="162" w:name="_Toc6736"/>
      <w:bookmarkStart w:id="163" w:name="_Toc6518"/>
      <w:r>
        <w:rPr>
          <w:rStyle w:val="28"/>
          <w:rFonts w:hint="eastAsia" w:ascii="仿宋" w:hAnsi="仿宋" w:eastAsia="仿宋"/>
          <w:b w:val="0"/>
          <w:bCs w:val="0"/>
        </w:rPr>
        <w:t>十二、</w:t>
      </w:r>
      <w:bookmarkEnd w:id="161"/>
      <w:r>
        <w:rPr>
          <w:rStyle w:val="28"/>
          <w:rFonts w:hint="eastAsia" w:ascii="仿宋" w:hAnsi="仿宋" w:eastAsia="仿宋"/>
          <w:b w:val="0"/>
          <w:bCs w:val="0"/>
        </w:rPr>
        <w:t>国有资本经营预算财政拨款支出决算表</w:t>
      </w:r>
      <w:bookmarkEnd w:id="162"/>
      <w:bookmarkEnd w:id="163"/>
    </w:p>
    <w:p>
      <w:pPr>
        <w:pStyle w:val="4"/>
        <w:rPr>
          <w:rFonts w:eastAsia="仿宋"/>
        </w:rPr>
      </w:pPr>
      <w:bookmarkStart w:id="164" w:name="_Toc15396631"/>
      <w:bookmarkStart w:id="165" w:name="_Toc18086"/>
      <w:bookmarkStart w:id="166" w:name="_Toc12907"/>
      <w:r>
        <w:rPr>
          <w:rStyle w:val="28"/>
          <w:rFonts w:hint="eastAsia" w:ascii="仿宋" w:hAnsi="仿宋" w:eastAsia="仿宋"/>
          <w:b w:val="0"/>
          <w:bCs w:val="0"/>
        </w:rPr>
        <w:t>十三、</w:t>
      </w:r>
      <w:bookmarkEnd w:id="164"/>
      <w:r>
        <w:rPr>
          <w:rStyle w:val="28"/>
          <w:rFonts w:hint="eastAsia" w:ascii="仿宋" w:hAnsi="仿宋" w:eastAsia="仿宋"/>
          <w:b w:val="0"/>
          <w:bCs w:val="0"/>
        </w:rPr>
        <w:t>财政拨款“三公”经费支出决算表</w:t>
      </w:r>
      <w:bookmarkEnd w:id="165"/>
      <w:bookmarkEnd w:id="166"/>
    </w:p>
    <w:sectPr>
      <w:footerReference r:id="rId8" w:type="first"/>
      <w:footerReference r:id="rId7"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pPr>
        <w:r>
          <w:fldChar w:fldCharType="begin"/>
        </w:r>
        <w:r>
          <w:instrText xml:space="preserve">PAGE   \* MERGEFORMAT</w:instrText>
        </w:r>
        <w:r>
          <w:fldChar w:fldCharType="separate"/>
        </w:r>
        <w:r>
          <w:rPr>
            <w:lang w:val="zh-CN"/>
          </w:rPr>
          <w:t>8</w:t>
        </w:r>
        <w:r>
          <w:fldChar w:fldCharType="end"/>
        </w:r>
      </w:p>
    </w:sdtContent>
  </w:sdt>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hint="eastAsia" w:eastAsia="宋体"/>
        <w:lang w:val="en-US" w:eastAsia="zh-C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9"/>
                                <w:jc w:val="center"/>
                              </w:pPr>
                              <w:r>
                                <w:fldChar w:fldCharType="begin"/>
                              </w:r>
                              <w:r>
                                <w:instrText xml:space="preserve">PAGE   \* MERGEFORMAT</w:instrText>
                              </w:r>
                              <w:r>
                                <w:fldChar w:fldCharType="separate"/>
                              </w:r>
                              <w:r>
                                <w:rPr>
                                  <w:lang w:val="zh-CN"/>
                                </w:rPr>
                                <w:t>8</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sdt>
                    <w:sdtPr>
                      <w:id w:val="-1994781956"/>
                    </w:sdtPr>
                    <w:sdtContent>
                      <w:p>
                        <w:pPr>
                          <w:pStyle w:val="9"/>
                          <w:jc w:val="center"/>
                        </w:pPr>
                        <w:r>
                          <w:fldChar w:fldCharType="begin"/>
                        </w:r>
                        <w:r>
                          <w:instrText xml:space="preserve">PAGE   \* MERGEFORMAT</w:instrText>
                        </w:r>
                        <w:r>
                          <w:fldChar w:fldCharType="separate"/>
                        </w:r>
                        <w:r>
                          <w:rPr>
                            <w:lang w:val="zh-CN"/>
                          </w:rPr>
                          <w:t>8</w:t>
                        </w:r>
                        <w:r>
                          <w:fldChar w:fldCharType="end"/>
                        </w:r>
                      </w:p>
                    </w:sdtContent>
                  </w:sdt>
                  <w:p>
                    <w:pPr>
                      <w:pStyle w:val="2"/>
                    </w:pPr>
                  </w:p>
                </w:txbxContent>
              </v:textbox>
            </v:shape>
          </w:pict>
        </mc:Fallback>
      </mc:AlternateContent>
    </w:r>
  </w:p>
  <w:p>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hint="eastAsia" w:eastAsia="宋体"/>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ZmZWFiZjljNmUxZjYyY2QyZGFmMjZjODg0OGYyZWYifQ=="/>
  </w:docVars>
  <w:rsids>
    <w:rsidRoot w:val="00F1361C"/>
    <w:rsid w:val="00012368"/>
    <w:rsid w:val="000222C6"/>
    <w:rsid w:val="0002549F"/>
    <w:rsid w:val="00032A5A"/>
    <w:rsid w:val="00035AE3"/>
    <w:rsid w:val="000468DB"/>
    <w:rsid w:val="00061DA1"/>
    <w:rsid w:val="00062C52"/>
    <w:rsid w:val="0006487A"/>
    <w:rsid w:val="00065F8F"/>
    <w:rsid w:val="00070A43"/>
    <w:rsid w:val="000768F2"/>
    <w:rsid w:val="00077F5F"/>
    <w:rsid w:val="0009184B"/>
    <w:rsid w:val="00094236"/>
    <w:rsid w:val="00094A99"/>
    <w:rsid w:val="0009593C"/>
    <w:rsid w:val="00097322"/>
    <w:rsid w:val="000A3DC5"/>
    <w:rsid w:val="000A4788"/>
    <w:rsid w:val="000A6A92"/>
    <w:rsid w:val="000B047F"/>
    <w:rsid w:val="000B05B0"/>
    <w:rsid w:val="000B5923"/>
    <w:rsid w:val="000B5A48"/>
    <w:rsid w:val="000B6FF3"/>
    <w:rsid w:val="000C3467"/>
    <w:rsid w:val="000C3CA6"/>
    <w:rsid w:val="000C4895"/>
    <w:rsid w:val="000C4957"/>
    <w:rsid w:val="000D1267"/>
    <w:rsid w:val="000D1D50"/>
    <w:rsid w:val="000D5782"/>
    <w:rsid w:val="000E35D6"/>
    <w:rsid w:val="000E6613"/>
    <w:rsid w:val="000E6A0A"/>
    <w:rsid w:val="000E7119"/>
    <w:rsid w:val="000F332C"/>
    <w:rsid w:val="000F47AD"/>
    <w:rsid w:val="00102FE4"/>
    <w:rsid w:val="00113EE1"/>
    <w:rsid w:val="00114E9B"/>
    <w:rsid w:val="001235E2"/>
    <w:rsid w:val="001315D9"/>
    <w:rsid w:val="0013517B"/>
    <w:rsid w:val="0013594E"/>
    <w:rsid w:val="00142216"/>
    <w:rsid w:val="00144D6A"/>
    <w:rsid w:val="0014729F"/>
    <w:rsid w:val="00157BAB"/>
    <w:rsid w:val="00164E71"/>
    <w:rsid w:val="001654D1"/>
    <w:rsid w:val="001660BE"/>
    <w:rsid w:val="00172A1E"/>
    <w:rsid w:val="00174518"/>
    <w:rsid w:val="0018106D"/>
    <w:rsid w:val="00187341"/>
    <w:rsid w:val="001877A7"/>
    <w:rsid w:val="001879B4"/>
    <w:rsid w:val="00191536"/>
    <w:rsid w:val="00193C12"/>
    <w:rsid w:val="0019543F"/>
    <w:rsid w:val="00196687"/>
    <w:rsid w:val="001A63DC"/>
    <w:rsid w:val="001B2498"/>
    <w:rsid w:val="001B30A8"/>
    <w:rsid w:val="001C0962"/>
    <w:rsid w:val="001D10F9"/>
    <w:rsid w:val="001D7531"/>
    <w:rsid w:val="001E737D"/>
    <w:rsid w:val="001F0535"/>
    <w:rsid w:val="001F0592"/>
    <w:rsid w:val="001F7506"/>
    <w:rsid w:val="002006CD"/>
    <w:rsid w:val="00202B36"/>
    <w:rsid w:val="0020460F"/>
    <w:rsid w:val="00204B7A"/>
    <w:rsid w:val="00204CDE"/>
    <w:rsid w:val="0020550E"/>
    <w:rsid w:val="0021101A"/>
    <w:rsid w:val="0021137C"/>
    <w:rsid w:val="00220536"/>
    <w:rsid w:val="0022181C"/>
    <w:rsid w:val="00235629"/>
    <w:rsid w:val="00250432"/>
    <w:rsid w:val="00260C38"/>
    <w:rsid w:val="002616C0"/>
    <w:rsid w:val="00265372"/>
    <w:rsid w:val="002662AA"/>
    <w:rsid w:val="00274773"/>
    <w:rsid w:val="002761D5"/>
    <w:rsid w:val="002765F2"/>
    <w:rsid w:val="00280496"/>
    <w:rsid w:val="0028584C"/>
    <w:rsid w:val="0028640C"/>
    <w:rsid w:val="00294DC9"/>
    <w:rsid w:val="00295495"/>
    <w:rsid w:val="002A0EE0"/>
    <w:rsid w:val="002A31DE"/>
    <w:rsid w:val="002A64DB"/>
    <w:rsid w:val="002A73B7"/>
    <w:rsid w:val="002B1CC5"/>
    <w:rsid w:val="002B2613"/>
    <w:rsid w:val="002B5F88"/>
    <w:rsid w:val="002C31F6"/>
    <w:rsid w:val="002C4A3F"/>
    <w:rsid w:val="002D6D05"/>
    <w:rsid w:val="002E0C57"/>
    <w:rsid w:val="002E6416"/>
    <w:rsid w:val="002F1818"/>
    <w:rsid w:val="002F567B"/>
    <w:rsid w:val="00301447"/>
    <w:rsid w:val="0031054F"/>
    <w:rsid w:val="003216A9"/>
    <w:rsid w:val="00335A74"/>
    <w:rsid w:val="00335B72"/>
    <w:rsid w:val="0033632B"/>
    <w:rsid w:val="00340A67"/>
    <w:rsid w:val="0036561B"/>
    <w:rsid w:val="0037013F"/>
    <w:rsid w:val="003712BD"/>
    <w:rsid w:val="00380C92"/>
    <w:rsid w:val="003866C9"/>
    <w:rsid w:val="00395C56"/>
    <w:rsid w:val="003A1AFC"/>
    <w:rsid w:val="003A484F"/>
    <w:rsid w:val="003A4883"/>
    <w:rsid w:val="003B0BE0"/>
    <w:rsid w:val="003B0C1B"/>
    <w:rsid w:val="003B688C"/>
    <w:rsid w:val="003C0291"/>
    <w:rsid w:val="003C39AE"/>
    <w:rsid w:val="003C3A38"/>
    <w:rsid w:val="003C72A1"/>
    <w:rsid w:val="003C7B60"/>
    <w:rsid w:val="003D0C0F"/>
    <w:rsid w:val="003D1673"/>
    <w:rsid w:val="003D1FB2"/>
    <w:rsid w:val="003D6563"/>
    <w:rsid w:val="003D66DA"/>
    <w:rsid w:val="003E1310"/>
    <w:rsid w:val="003E6F55"/>
    <w:rsid w:val="003F70C6"/>
    <w:rsid w:val="0040155C"/>
    <w:rsid w:val="00406254"/>
    <w:rsid w:val="00416254"/>
    <w:rsid w:val="004223DE"/>
    <w:rsid w:val="00426803"/>
    <w:rsid w:val="00426C29"/>
    <w:rsid w:val="00434489"/>
    <w:rsid w:val="00437085"/>
    <w:rsid w:val="00442226"/>
    <w:rsid w:val="004423EC"/>
    <w:rsid w:val="00443880"/>
    <w:rsid w:val="004464F4"/>
    <w:rsid w:val="00460890"/>
    <w:rsid w:val="00471401"/>
    <w:rsid w:val="00473F31"/>
    <w:rsid w:val="0048263A"/>
    <w:rsid w:val="00485A7B"/>
    <w:rsid w:val="004863C1"/>
    <w:rsid w:val="00487E5D"/>
    <w:rsid w:val="004A711F"/>
    <w:rsid w:val="004B199D"/>
    <w:rsid w:val="004B31D6"/>
    <w:rsid w:val="004B4690"/>
    <w:rsid w:val="004B7002"/>
    <w:rsid w:val="004C414C"/>
    <w:rsid w:val="004E0A2D"/>
    <w:rsid w:val="004E206B"/>
    <w:rsid w:val="004E6DF7"/>
    <w:rsid w:val="004F0FBD"/>
    <w:rsid w:val="00505A47"/>
    <w:rsid w:val="00512FDA"/>
    <w:rsid w:val="00520DA0"/>
    <w:rsid w:val="00521636"/>
    <w:rsid w:val="0052633B"/>
    <w:rsid w:val="005355EA"/>
    <w:rsid w:val="005444DD"/>
    <w:rsid w:val="005604BF"/>
    <w:rsid w:val="005664BB"/>
    <w:rsid w:val="00566FFA"/>
    <w:rsid w:val="0057481D"/>
    <w:rsid w:val="005762A9"/>
    <w:rsid w:val="00583D2D"/>
    <w:rsid w:val="0058486E"/>
    <w:rsid w:val="00585B33"/>
    <w:rsid w:val="0059014D"/>
    <w:rsid w:val="0059049F"/>
    <w:rsid w:val="00591470"/>
    <w:rsid w:val="005B0A34"/>
    <w:rsid w:val="005B0F27"/>
    <w:rsid w:val="005B5C64"/>
    <w:rsid w:val="005B7541"/>
    <w:rsid w:val="005C3CB5"/>
    <w:rsid w:val="005C5337"/>
    <w:rsid w:val="005C6BD0"/>
    <w:rsid w:val="005D1C8B"/>
    <w:rsid w:val="005D468D"/>
    <w:rsid w:val="005D5CED"/>
    <w:rsid w:val="005E6644"/>
    <w:rsid w:val="005F0E75"/>
    <w:rsid w:val="005F1A4C"/>
    <w:rsid w:val="00605688"/>
    <w:rsid w:val="006070AF"/>
    <w:rsid w:val="00607E6C"/>
    <w:rsid w:val="006101B1"/>
    <w:rsid w:val="00610743"/>
    <w:rsid w:val="00614E44"/>
    <w:rsid w:val="0061717F"/>
    <w:rsid w:val="0062270A"/>
    <w:rsid w:val="00622830"/>
    <w:rsid w:val="00623DA0"/>
    <w:rsid w:val="00627BD5"/>
    <w:rsid w:val="00630AEF"/>
    <w:rsid w:val="006325F8"/>
    <w:rsid w:val="00632957"/>
    <w:rsid w:val="00633463"/>
    <w:rsid w:val="00634C9A"/>
    <w:rsid w:val="006440E4"/>
    <w:rsid w:val="0065661D"/>
    <w:rsid w:val="0066343B"/>
    <w:rsid w:val="00664777"/>
    <w:rsid w:val="006748A4"/>
    <w:rsid w:val="00681A31"/>
    <w:rsid w:val="00683E73"/>
    <w:rsid w:val="006A0646"/>
    <w:rsid w:val="006A3141"/>
    <w:rsid w:val="006A41D9"/>
    <w:rsid w:val="006A5E34"/>
    <w:rsid w:val="006B00F2"/>
    <w:rsid w:val="006B2422"/>
    <w:rsid w:val="006B2B9A"/>
    <w:rsid w:val="006C1937"/>
    <w:rsid w:val="006D707C"/>
    <w:rsid w:val="006F020C"/>
    <w:rsid w:val="006F7181"/>
    <w:rsid w:val="007043B0"/>
    <w:rsid w:val="007127B7"/>
    <w:rsid w:val="0071798E"/>
    <w:rsid w:val="0072542E"/>
    <w:rsid w:val="007416B6"/>
    <w:rsid w:val="00746F48"/>
    <w:rsid w:val="0075404D"/>
    <w:rsid w:val="0076182A"/>
    <w:rsid w:val="0076538A"/>
    <w:rsid w:val="00767777"/>
    <w:rsid w:val="00767B7E"/>
    <w:rsid w:val="00770900"/>
    <w:rsid w:val="007770C3"/>
    <w:rsid w:val="00784D24"/>
    <w:rsid w:val="00785FBA"/>
    <w:rsid w:val="00786E4A"/>
    <w:rsid w:val="007875EB"/>
    <w:rsid w:val="00792287"/>
    <w:rsid w:val="0079426B"/>
    <w:rsid w:val="007D1682"/>
    <w:rsid w:val="007D312A"/>
    <w:rsid w:val="007D3F19"/>
    <w:rsid w:val="007D69E9"/>
    <w:rsid w:val="007E23B0"/>
    <w:rsid w:val="007E23E5"/>
    <w:rsid w:val="007F1991"/>
    <w:rsid w:val="007F2C2F"/>
    <w:rsid w:val="007F55FC"/>
    <w:rsid w:val="007F5665"/>
    <w:rsid w:val="007F7D67"/>
    <w:rsid w:val="00800112"/>
    <w:rsid w:val="00813348"/>
    <w:rsid w:val="008134F9"/>
    <w:rsid w:val="008253BB"/>
    <w:rsid w:val="00825AC6"/>
    <w:rsid w:val="0083262A"/>
    <w:rsid w:val="00834D60"/>
    <w:rsid w:val="0083706E"/>
    <w:rsid w:val="008408F6"/>
    <w:rsid w:val="00840E23"/>
    <w:rsid w:val="008423A5"/>
    <w:rsid w:val="00845997"/>
    <w:rsid w:val="00850289"/>
    <w:rsid w:val="00850625"/>
    <w:rsid w:val="00853718"/>
    <w:rsid w:val="00855221"/>
    <w:rsid w:val="00860645"/>
    <w:rsid w:val="00871F71"/>
    <w:rsid w:val="00872B12"/>
    <w:rsid w:val="00872FD8"/>
    <w:rsid w:val="00873682"/>
    <w:rsid w:val="00885AF4"/>
    <w:rsid w:val="00892E89"/>
    <w:rsid w:val="008939CD"/>
    <w:rsid w:val="008A7F43"/>
    <w:rsid w:val="008B768C"/>
    <w:rsid w:val="008C326B"/>
    <w:rsid w:val="008C4DB1"/>
    <w:rsid w:val="008C4EAF"/>
    <w:rsid w:val="008C5176"/>
    <w:rsid w:val="008C6BF9"/>
    <w:rsid w:val="008C7FD0"/>
    <w:rsid w:val="008D2440"/>
    <w:rsid w:val="008D347E"/>
    <w:rsid w:val="008D4EE8"/>
    <w:rsid w:val="008E1DE7"/>
    <w:rsid w:val="008E4BF2"/>
    <w:rsid w:val="008E6C31"/>
    <w:rsid w:val="008E707C"/>
    <w:rsid w:val="008E7721"/>
    <w:rsid w:val="008F6299"/>
    <w:rsid w:val="00900335"/>
    <w:rsid w:val="00900B08"/>
    <w:rsid w:val="00902155"/>
    <w:rsid w:val="00902FA3"/>
    <w:rsid w:val="00903F54"/>
    <w:rsid w:val="00915395"/>
    <w:rsid w:val="00916A9A"/>
    <w:rsid w:val="0092302C"/>
    <w:rsid w:val="00923562"/>
    <w:rsid w:val="00923564"/>
    <w:rsid w:val="0092392E"/>
    <w:rsid w:val="009315F9"/>
    <w:rsid w:val="00933499"/>
    <w:rsid w:val="00935C98"/>
    <w:rsid w:val="00940013"/>
    <w:rsid w:val="009405F6"/>
    <w:rsid w:val="00946945"/>
    <w:rsid w:val="00947417"/>
    <w:rsid w:val="00951248"/>
    <w:rsid w:val="0095152F"/>
    <w:rsid w:val="00954C49"/>
    <w:rsid w:val="00955E37"/>
    <w:rsid w:val="00966D58"/>
    <w:rsid w:val="0097099F"/>
    <w:rsid w:val="00971997"/>
    <w:rsid w:val="00971FFC"/>
    <w:rsid w:val="00976604"/>
    <w:rsid w:val="00976780"/>
    <w:rsid w:val="0098660A"/>
    <w:rsid w:val="00991DE3"/>
    <w:rsid w:val="009931C3"/>
    <w:rsid w:val="00994358"/>
    <w:rsid w:val="009973B8"/>
    <w:rsid w:val="009A1696"/>
    <w:rsid w:val="009B2C43"/>
    <w:rsid w:val="009B4EAE"/>
    <w:rsid w:val="009B7573"/>
    <w:rsid w:val="009C22F4"/>
    <w:rsid w:val="009C2A4B"/>
    <w:rsid w:val="009C2E98"/>
    <w:rsid w:val="009D3447"/>
    <w:rsid w:val="009D4711"/>
    <w:rsid w:val="009D5221"/>
    <w:rsid w:val="009E0662"/>
    <w:rsid w:val="009E0D41"/>
    <w:rsid w:val="009F093B"/>
    <w:rsid w:val="009F1185"/>
    <w:rsid w:val="009F18CD"/>
    <w:rsid w:val="009F2A13"/>
    <w:rsid w:val="009F2D70"/>
    <w:rsid w:val="009F7509"/>
    <w:rsid w:val="009F7527"/>
    <w:rsid w:val="00A04EB0"/>
    <w:rsid w:val="00A13CC1"/>
    <w:rsid w:val="00A14F6F"/>
    <w:rsid w:val="00A16847"/>
    <w:rsid w:val="00A237D8"/>
    <w:rsid w:val="00A268C4"/>
    <w:rsid w:val="00A307CD"/>
    <w:rsid w:val="00A331C8"/>
    <w:rsid w:val="00A40A00"/>
    <w:rsid w:val="00A4142F"/>
    <w:rsid w:val="00A420BF"/>
    <w:rsid w:val="00A422EB"/>
    <w:rsid w:val="00A45BB7"/>
    <w:rsid w:val="00A4631A"/>
    <w:rsid w:val="00A46C14"/>
    <w:rsid w:val="00A536C0"/>
    <w:rsid w:val="00A56DF2"/>
    <w:rsid w:val="00A56E6E"/>
    <w:rsid w:val="00A67AB5"/>
    <w:rsid w:val="00A733B2"/>
    <w:rsid w:val="00A741C2"/>
    <w:rsid w:val="00A74C42"/>
    <w:rsid w:val="00A751E8"/>
    <w:rsid w:val="00A83201"/>
    <w:rsid w:val="00A91760"/>
    <w:rsid w:val="00A93B00"/>
    <w:rsid w:val="00A93C21"/>
    <w:rsid w:val="00A9527B"/>
    <w:rsid w:val="00A97376"/>
    <w:rsid w:val="00AB64C9"/>
    <w:rsid w:val="00AC3C6A"/>
    <w:rsid w:val="00AD0C51"/>
    <w:rsid w:val="00AD5620"/>
    <w:rsid w:val="00AD656B"/>
    <w:rsid w:val="00AD7C1B"/>
    <w:rsid w:val="00AE16BA"/>
    <w:rsid w:val="00AE1EBE"/>
    <w:rsid w:val="00AF5DD4"/>
    <w:rsid w:val="00AF7576"/>
    <w:rsid w:val="00B03C9D"/>
    <w:rsid w:val="00B051C2"/>
    <w:rsid w:val="00B060AE"/>
    <w:rsid w:val="00B10517"/>
    <w:rsid w:val="00B13510"/>
    <w:rsid w:val="00B14E76"/>
    <w:rsid w:val="00B161B8"/>
    <w:rsid w:val="00B2048C"/>
    <w:rsid w:val="00B310B9"/>
    <w:rsid w:val="00B35F3F"/>
    <w:rsid w:val="00B36CBB"/>
    <w:rsid w:val="00B425E0"/>
    <w:rsid w:val="00B440AA"/>
    <w:rsid w:val="00B44B70"/>
    <w:rsid w:val="00B520B5"/>
    <w:rsid w:val="00B523CE"/>
    <w:rsid w:val="00B53C56"/>
    <w:rsid w:val="00B57DAF"/>
    <w:rsid w:val="00B63D6D"/>
    <w:rsid w:val="00B77EA6"/>
    <w:rsid w:val="00B81598"/>
    <w:rsid w:val="00B841F1"/>
    <w:rsid w:val="00B868C7"/>
    <w:rsid w:val="00B9417A"/>
    <w:rsid w:val="00B944D6"/>
    <w:rsid w:val="00BA43B4"/>
    <w:rsid w:val="00BB4DF0"/>
    <w:rsid w:val="00BC289F"/>
    <w:rsid w:val="00BC2D50"/>
    <w:rsid w:val="00BC5361"/>
    <w:rsid w:val="00BC5460"/>
    <w:rsid w:val="00BC6B50"/>
    <w:rsid w:val="00BD0E25"/>
    <w:rsid w:val="00BD31B0"/>
    <w:rsid w:val="00BE2E4C"/>
    <w:rsid w:val="00BF2019"/>
    <w:rsid w:val="00BF2AAF"/>
    <w:rsid w:val="00BF5BD6"/>
    <w:rsid w:val="00C03E31"/>
    <w:rsid w:val="00C149AF"/>
    <w:rsid w:val="00C17B59"/>
    <w:rsid w:val="00C210AF"/>
    <w:rsid w:val="00C33E72"/>
    <w:rsid w:val="00C354B2"/>
    <w:rsid w:val="00C35554"/>
    <w:rsid w:val="00C42709"/>
    <w:rsid w:val="00C50D43"/>
    <w:rsid w:val="00C533CC"/>
    <w:rsid w:val="00C5751C"/>
    <w:rsid w:val="00C60DA1"/>
    <w:rsid w:val="00C61BFC"/>
    <w:rsid w:val="00C62B85"/>
    <w:rsid w:val="00C65438"/>
    <w:rsid w:val="00C87FD8"/>
    <w:rsid w:val="00C91381"/>
    <w:rsid w:val="00C91CBB"/>
    <w:rsid w:val="00C93F28"/>
    <w:rsid w:val="00CA358A"/>
    <w:rsid w:val="00CB21A4"/>
    <w:rsid w:val="00CB4E70"/>
    <w:rsid w:val="00CC09B6"/>
    <w:rsid w:val="00CC666F"/>
    <w:rsid w:val="00CD1E3F"/>
    <w:rsid w:val="00CD7ABB"/>
    <w:rsid w:val="00CE44F6"/>
    <w:rsid w:val="00CE49DA"/>
    <w:rsid w:val="00CE7B61"/>
    <w:rsid w:val="00CF224E"/>
    <w:rsid w:val="00CF648A"/>
    <w:rsid w:val="00D00095"/>
    <w:rsid w:val="00D110AC"/>
    <w:rsid w:val="00D114F0"/>
    <w:rsid w:val="00D17F77"/>
    <w:rsid w:val="00D20620"/>
    <w:rsid w:val="00D241B9"/>
    <w:rsid w:val="00D254F7"/>
    <w:rsid w:val="00D26091"/>
    <w:rsid w:val="00D2685C"/>
    <w:rsid w:val="00D277BA"/>
    <w:rsid w:val="00D34E7C"/>
    <w:rsid w:val="00D35489"/>
    <w:rsid w:val="00D36AFE"/>
    <w:rsid w:val="00D46B8A"/>
    <w:rsid w:val="00D51276"/>
    <w:rsid w:val="00D63444"/>
    <w:rsid w:val="00D6683F"/>
    <w:rsid w:val="00D7035F"/>
    <w:rsid w:val="00D750F5"/>
    <w:rsid w:val="00D76A64"/>
    <w:rsid w:val="00D92929"/>
    <w:rsid w:val="00DA376C"/>
    <w:rsid w:val="00DA634F"/>
    <w:rsid w:val="00DA65AC"/>
    <w:rsid w:val="00DB1913"/>
    <w:rsid w:val="00DC410D"/>
    <w:rsid w:val="00DC5A81"/>
    <w:rsid w:val="00DC68CA"/>
    <w:rsid w:val="00DC7CBA"/>
    <w:rsid w:val="00DD73B7"/>
    <w:rsid w:val="00DD7B7D"/>
    <w:rsid w:val="00DE7A7A"/>
    <w:rsid w:val="00DF28BC"/>
    <w:rsid w:val="00DF34B9"/>
    <w:rsid w:val="00E00F67"/>
    <w:rsid w:val="00E01053"/>
    <w:rsid w:val="00E07ACF"/>
    <w:rsid w:val="00E10B9A"/>
    <w:rsid w:val="00E15D4A"/>
    <w:rsid w:val="00E331A1"/>
    <w:rsid w:val="00E33202"/>
    <w:rsid w:val="00E336A9"/>
    <w:rsid w:val="00E346B3"/>
    <w:rsid w:val="00E472B1"/>
    <w:rsid w:val="00E50624"/>
    <w:rsid w:val="00E5501A"/>
    <w:rsid w:val="00E56300"/>
    <w:rsid w:val="00E568DF"/>
    <w:rsid w:val="00E64269"/>
    <w:rsid w:val="00E82267"/>
    <w:rsid w:val="00E853CE"/>
    <w:rsid w:val="00E867B6"/>
    <w:rsid w:val="00E970D5"/>
    <w:rsid w:val="00EA010F"/>
    <w:rsid w:val="00EB6E19"/>
    <w:rsid w:val="00EC0A33"/>
    <w:rsid w:val="00ED0526"/>
    <w:rsid w:val="00ED1B63"/>
    <w:rsid w:val="00ED3C1F"/>
    <w:rsid w:val="00ED4085"/>
    <w:rsid w:val="00ED420E"/>
    <w:rsid w:val="00ED6FBE"/>
    <w:rsid w:val="00EE25D1"/>
    <w:rsid w:val="00EE2F57"/>
    <w:rsid w:val="00EF2371"/>
    <w:rsid w:val="00EF4615"/>
    <w:rsid w:val="00EF4C34"/>
    <w:rsid w:val="00EF77C6"/>
    <w:rsid w:val="00EF7C73"/>
    <w:rsid w:val="00F01A7C"/>
    <w:rsid w:val="00F05438"/>
    <w:rsid w:val="00F1115A"/>
    <w:rsid w:val="00F1361C"/>
    <w:rsid w:val="00F156F0"/>
    <w:rsid w:val="00F160C7"/>
    <w:rsid w:val="00F22FDE"/>
    <w:rsid w:val="00F2408F"/>
    <w:rsid w:val="00F240E9"/>
    <w:rsid w:val="00F36D8F"/>
    <w:rsid w:val="00F417B1"/>
    <w:rsid w:val="00F45853"/>
    <w:rsid w:val="00F50C26"/>
    <w:rsid w:val="00F52423"/>
    <w:rsid w:val="00F602DF"/>
    <w:rsid w:val="00F754A1"/>
    <w:rsid w:val="00F7615E"/>
    <w:rsid w:val="00F77250"/>
    <w:rsid w:val="00F81FD9"/>
    <w:rsid w:val="00F825AA"/>
    <w:rsid w:val="00F8335B"/>
    <w:rsid w:val="00F83CAC"/>
    <w:rsid w:val="00F841AA"/>
    <w:rsid w:val="00F84A94"/>
    <w:rsid w:val="00F87E96"/>
    <w:rsid w:val="00FA0C57"/>
    <w:rsid w:val="00FA23E8"/>
    <w:rsid w:val="00FB010A"/>
    <w:rsid w:val="00FD3CC1"/>
    <w:rsid w:val="00FD6F4F"/>
    <w:rsid w:val="00FE6E3E"/>
    <w:rsid w:val="00FF1E02"/>
    <w:rsid w:val="00FF30B4"/>
    <w:rsid w:val="012D7F16"/>
    <w:rsid w:val="01317F69"/>
    <w:rsid w:val="013C4E05"/>
    <w:rsid w:val="01BF37C7"/>
    <w:rsid w:val="01C5349F"/>
    <w:rsid w:val="01D152A8"/>
    <w:rsid w:val="01FD609D"/>
    <w:rsid w:val="02385327"/>
    <w:rsid w:val="02720562"/>
    <w:rsid w:val="02810A7C"/>
    <w:rsid w:val="02AB7BCB"/>
    <w:rsid w:val="02C72207"/>
    <w:rsid w:val="03100052"/>
    <w:rsid w:val="03277B4D"/>
    <w:rsid w:val="03305FFE"/>
    <w:rsid w:val="035F3358"/>
    <w:rsid w:val="03726617"/>
    <w:rsid w:val="037936EC"/>
    <w:rsid w:val="037E72FB"/>
    <w:rsid w:val="03830C97"/>
    <w:rsid w:val="03CC3F79"/>
    <w:rsid w:val="03D05F5B"/>
    <w:rsid w:val="03DC0319"/>
    <w:rsid w:val="03E219EE"/>
    <w:rsid w:val="03E2554B"/>
    <w:rsid w:val="041C6ACF"/>
    <w:rsid w:val="042C0EBC"/>
    <w:rsid w:val="04514380"/>
    <w:rsid w:val="0495080F"/>
    <w:rsid w:val="04A96068"/>
    <w:rsid w:val="05241B93"/>
    <w:rsid w:val="052D305E"/>
    <w:rsid w:val="058C3857"/>
    <w:rsid w:val="05E01F5E"/>
    <w:rsid w:val="0618287E"/>
    <w:rsid w:val="061B4D44"/>
    <w:rsid w:val="061D6236"/>
    <w:rsid w:val="0639166E"/>
    <w:rsid w:val="06AB60C8"/>
    <w:rsid w:val="06B15348"/>
    <w:rsid w:val="06B50CF4"/>
    <w:rsid w:val="06D73361"/>
    <w:rsid w:val="06DC2725"/>
    <w:rsid w:val="06DE085C"/>
    <w:rsid w:val="06FC2DC7"/>
    <w:rsid w:val="06FF2AC9"/>
    <w:rsid w:val="07086470"/>
    <w:rsid w:val="07372051"/>
    <w:rsid w:val="073C7668"/>
    <w:rsid w:val="074958E1"/>
    <w:rsid w:val="07841D66"/>
    <w:rsid w:val="07870547"/>
    <w:rsid w:val="079B26A6"/>
    <w:rsid w:val="07B03E38"/>
    <w:rsid w:val="07B51763"/>
    <w:rsid w:val="07CD6512"/>
    <w:rsid w:val="07E04497"/>
    <w:rsid w:val="07EA70C4"/>
    <w:rsid w:val="086504F8"/>
    <w:rsid w:val="08A70B11"/>
    <w:rsid w:val="08E50B53"/>
    <w:rsid w:val="09127676"/>
    <w:rsid w:val="093A2157"/>
    <w:rsid w:val="095B45C0"/>
    <w:rsid w:val="097F7C3F"/>
    <w:rsid w:val="099948FD"/>
    <w:rsid w:val="0A0C4600"/>
    <w:rsid w:val="0A2032A3"/>
    <w:rsid w:val="0A454A85"/>
    <w:rsid w:val="0AAC240E"/>
    <w:rsid w:val="0AAE6186"/>
    <w:rsid w:val="0AC27E20"/>
    <w:rsid w:val="0AD97BBD"/>
    <w:rsid w:val="0B04224A"/>
    <w:rsid w:val="0B30303F"/>
    <w:rsid w:val="0B6C7DF0"/>
    <w:rsid w:val="0B7373D0"/>
    <w:rsid w:val="0B771F52"/>
    <w:rsid w:val="0B8A37D8"/>
    <w:rsid w:val="0B8B471A"/>
    <w:rsid w:val="0B971310"/>
    <w:rsid w:val="0BA8707A"/>
    <w:rsid w:val="0CEF17A5"/>
    <w:rsid w:val="0D4C1C87"/>
    <w:rsid w:val="0D6C40D7"/>
    <w:rsid w:val="0DC01F09"/>
    <w:rsid w:val="0DC9777B"/>
    <w:rsid w:val="0E2A021A"/>
    <w:rsid w:val="0E341099"/>
    <w:rsid w:val="0E3746E5"/>
    <w:rsid w:val="0E5A03D3"/>
    <w:rsid w:val="0E67321C"/>
    <w:rsid w:val="0E994B03"/>
    <w:rsid w:val="0F2B249C"/>
    <w:rsid w:val="0FC87CEA"/>
    <w:rsid w:val="0FF52AA9"/>
    <w:rsid w:val="101C3B92"/>
    <w:rsid w:val="104906FF"/>
    <w:rsid w:val="105B17DB"/>
    <w:rsid w:val="10861954"/>
    <w:rsid w:val="109D286D"/>
    <w:rsid w:val="10A51DDA"/>
    <w:rsid w:val="10A66DDF"/>
    <w:rsid w:val="10C055FF"/>
    <w:rsid w:val="10C81F6C"/>
    <w:rsid w:val="10DB57FB"/>
    <w:rsid w:val="110D797F"/>
    <w:rsid w:val="112A68E0"/>
    <w:rsid w:val="113A08BE"/>
    <w:rsid w:val="113F222E"/>
    <w:rsid w:val="11627CCB"/>
    <w:rsid w:val="118107EC"/>
    <w:rsid w:val="11987B90"/>
    <w:rsid w:val="11B63119"/>
    <w:rsid w:val="11DD6519"/>
    <w:rsid w:val="12030CA8"/>
    <w:rsid w:val="121E62E8"/>
    <w:rsid w:val="12212F5F"/>
    <w:rsid w:val="1239708E"/>
    <w:rsid w:val="127A7296"/>
    <w:rsid w:val="12FE1C75"/>
    <w:rsid w:val="130A061A"/>
    <w:rsid w:val="1338782C"/>
    <w:rsid w:val="133E2072"/>
    <w:rsid w:val="13547AE7"/>
    <w:rsid w:val="13666914"/>
    <w:rsid w:val="13803DD1"/>
    <w:rsid w:val="13B62550"/>
    <w:rsid w:val="13C20EF5"/>
    <w:rsid w:val="13C91FE9"/>
    <w:rsid w:val="13C94031"/>
    <w:rsid w:val="13E744B7"/>
    <w:rsid w:val="13F30073"/>
    <w:rsid w:val="14261483"/>
    <w:rsid w:val="144638D4"/>
    <w:rsid w:val="1486508C"/>
    <w:rsid w:val="14B720DC"/>
    <w:rsid w:val="14CD5DA3"/>
    <w:rsid w:val="14CE4388"/>
    <w:rsid w:val="14F9086D"/>
    <w:rsid w:val="14FB28A9"/>
    <w:rsid w:val="15012E25"/>
    <w:rsid w:val="15336827"/>
    <w:rsid w:val="153E615A"/>
    <w:rsid w:val="15626B93"/>
    <w:rsid w:val="156E3B31"/>
    <w:rsid w:val="157543DA"/>
    <w:rsid w:val="158C5316"/>
    <w:rsid w:val="15CA22E2"/>
    <w:rsid w:val="15CA4090"/>
    <w:rsid w:val="15CE1DD3"/>
    <w:rsid w:val="15D97911"/>
    <w:rsid w:val="15E441A9"/>
    <w:rsid w:val="16037121"/>
    <w:rsid w:val="1638549E"/>
    <w:rsid w:val="168F60C7"/>
    <w:rsid w:val="169F376F"/>
    <w:rsid w:val="16A86080"/>
    <w:rsid w:val="16BB723D"/>
    <w:rsid w:val="16E82A20"/>
    <w:rsid w:val="17173305"/>
    <w:rsid w:val="171F21BA"/>
    <w:rsid w:val="174F484D"/>
    <w:rsid w:val="17614581"/>
    <w:rsid w:val="17822E75"/>
    <w:rsid w:val="17835F92"/>
    <w:rsid w:val="17B62B1E"/>
    <w:rsid w:val="17DF02C7"/>
    <w:rsid w:val="17EF7DDE"/>
    <w:rsid w:val="18015F3F"/>
    <w:rsid w:val="181B3A37"/>
    <w:rsid w:val="18474008"/>
    <w:rsid w:val="185D2F9A"/>
    <w:rsid w:val="18A64941"/>
    <w:rsid w:val="18DD786B"/>
    <w:rsid w:val="18F04206"/>
    <w:rsid w:val="196A1E12"/>
    <w:rsid w:val="19882298"/>
    <w:rsid w:val="19FE07AD"/>
    <w:rsid w:val="1A057D8D"/>
    <w:rsid w:val="1A0C2EC9"/>
    <w:rsid w:val="1A104FA0"/>
    <w:rsid w:val="1A2C356C"/>
    <w:rsid w:val="1A383CBF"/>
    <w:rsid w:val="1A3F7D22"/>
    <w:rsid w:val="1A472154"/>
    <w:rsid w:val="1A954C6D"/>
    <w:rsid w:val="1A9F789A"/>
    <w:rsid w:val="1ACC0FE2"/>
    <w:rsid w:val="1AD02149"/>
    <w:rsid w:val="1AD5150D"/>
    <w:rsid w:val="1B7F7A08"/>
    <w:rsid w:val="1BE8440E"/>
    <w:rsid w:val="1BEC4D61"/>
    <w:rsid w:val="1C0A3439"/>
    <w:rsid w:val="1C173958"/>
    <w:rsid w:val="1C395ACC"/>
    <w:rsid w:val="1C71539E"/>
    <w:rsid w:val="1CAE77A0"/>
    <w:rsid w:val="1CB03FE0"/>
    <w:rsid w:val="1CC41839"/>
    <w:rsid w:val="1CE912A0"/>
    <w:rsid w:val="1CEC0D90"/>
    <w:rsid w:val="1D155CEE"/>
    <w:rsid w:val="1D4E7EB3"/>
    <w:rsid w:val="1D5A3F4C"/>
    <w:rsid w:val="1D840FC9"/>
    <w:rsid w:val="1D962DA1"/>
    <w:rsid w:val="1DA63635"/>
    <w:rsid w:val="1DAA4ED3"/>
    <w:rsid w:val="1DB47C8E"/>
    <w:rsid w:val="1DD527C8"/>
    <w:rsid w:val="1E205195"/>
    <w:rsid w:val="1E260835"/>
    <w:rsid w:val="1E326C77"/>
    <w:rsid w:val="1E7159F1"/>
    <w:rsid w:val="1EB10E9D"/>
    <w:rsid w:val="1EBB0A1A"/>
    <w:rsid w:val="1EBF49AE"/>
    <w:rsid w:val="1EE61F3B"/>
    <w:rsid w:val="1FAD325D"/>
    <w:rsid w:val="1FE30229"/>
    <w:rsid w:val="1FE7066F"/>
    <w:rsid w:val="200F75DF"/>
    <w:rsid w:val="20847C5E"/>
    <w:rsid w:val="208732AA"/>
    <w:rsid w:val="20BE47F2"/>
    <w:rsid w:val="20C41A43"/>
    <w:rsid w:val="20E64474"/>
    <w:rsid w:val="20F57F95"/>
    <w:rsid w:val="20F63F8C"/>
    <w:rsid w:val="21025026"/>
    <w:rsid w:val="212C4B52"/>
    <w:rsid w:val="214176A2"/>
    <w:rsid w:val="21442F49"/>
    <w:rsid w:val="21837F15"/>
    <w:rsid w:val="21CF315A"/>
    <w:rsid w:val="22396826"/>
    <w:rsid w:val="227B299A"/>
    <w:rsid w:val="22B1460E"/>
    <w:rsid w:val="22BA5BB9"/>
    <w:rsid w:val="22CA3922"/>
    <w:rsid w:val="22E91FFA"/>
    <w:rsid w:val="22FF2C67"/>
    <w:rsid w:val="23111551"/>
    <w:rsid w:val="233E27D8"/>
    <w:rsid w:val="234D2584"/>
    <w:rsid w:val="23515DF1"/>
    <w:rsid w:val="235A4CA6"/>
    <w:rsid w:val="23810484"/>
    <w:rsid w:val="23DA7B95"/>
    <w:rsid w:val="240371BF"/>
    <w:rsid w:val="2452597D"/>
    <w:rsid w:val="24593C9D"/>
    <w:rsid w:val="246456B0"/>
    <w:rsid w:val="24AD7764"/>
    <w:rsid w:val="24AE06E9"/>
    <w:rsid w:val="24B665CA"/>
    <w:rsid w:val="24C26FA6"/>
    <w:rsid w:val="24CE6893"/>
    <w:rsid w:val="24E54A43"/>
    <w:rsid w:val="24FD2526"/>
    <w:rsid w:val="251A293E"/>
    <w:rsid w:val="252C0373"/>
    <w:rsid w:val="25395402"/>
    <w:rsid w:val="25515515"/>
    <w:rsid w:val="255D214F"/>
    <w:rsid w:val="25697422"/>
    <w:rsid w:val="25711CC6"/>
    <w:rsid w:val="257C53A7"/>
    <w:rsid w:val="259A2BAD"/>
    <w:rsid w:val="25C741E6"/>
    <w:rsid w:val="25CB4B8A"/>
    <w:rsid w:val="25D71ADD"/>
    <w:rsid w:val="25D86356"/>
    <w:rsid w:val="261D1FBA"/>
    <w:rsid w:val="263E440B"/>
    <w:rsid w:val="267E7A5C"/>
    <w:rsid w:val="270C2AF5"/>
    <w:rsid w:val="27351CB2"/>
    <w:rsid w:val="274A13ED"/>
    <w:rsid w:val="2751016E"/>
    <w:rsid w:val="27842671"/>
    <w:rsid w:val="279411EC"/>
    <w:rsid w:val="27ED7391"/>
    <w:rsid w:val="28302479"/>
    <w:rsid w:val="286B1703"/>
    <w:rsid w:val="28793E20"/>
    <w:rsid w:val="28BF56E5"/>
    <w:rsid w:val="290B72DE"/>
    <w:rsid w:val="29341AF5"/>
    <w:rsid w:val="296879F1"/>
    <w:rsid w:val="29C56BF1"/>
    <w:rsid w:val="29D34250"/>
    <w:rsid w:val="29E452C9"/>
    <w:rsid w:val="29F319B0"/>
    <w:rsid w:val="29FD04D3"/>
    <w:rsid w:val="2A0E13C2"/>
    <w:rsid w:val="2A4C7E44"/>
    <w:rsid w:val="2A9F0D82"/>
    <w:rsid w:val="2A9F7442"/>
    <w:rsid w:val="2AA1140C"/>
    <w:rsid w:val="2AA44A58"/>
    <w:rsid w:val="2AB033FD"/>
    <w:rsid w:val="2ABE7A3E"/>
    <w:rsid w:val="2AC1385C"/>
    <w:rsid w:val="2AF91248"/>
    <w:rsid w:val="2B432679"/>
    <w:rsid w:val="2B4D3342"/>
    <w:rsid w:val="2B966A97"/>
    <w:rsid w:val="2BCC2505"/>
    <w:rsid w:val="2C286CBB"/>
    <w:rsid w:val="2C3B319A"/>
    <w:rsid w:val="2C4E799A"/>
    <w:rsid w:val="2CA234A8"/>
    <w:rsid w:val="2CA84CD4"/>
    <w:rsid w:val="2CBA0A81"/>
    <w:rsid w:val="2D314CC9"/>
    <w:rsid w:val="2D355E3C"/>
    <w:rsid w:val="2D383A24"/>
    <w:rsid w:val="2D5269EE"/>
    <w:rsid w:val="2D5C161A"/>
    <w:rsid w:val="2D9B47A0"/>
    <w:rsid w:val="2DC41641"/>
    <w:rsid w:val="2DD029D5"/>
    <w:rsid w:val="2DF67CC1"/>
    <w:rsid w:val="2E071183"/>
    <w:rsid w:val="2E76670C"/>
    <w:rsid w:val="2EA66FF1"/>
    <w:rsid w:val="2ECB4CA9"/>
    <w:rsid w:val="2EDD678B"/>
    <w:rsid w:val="2EEB534C"/>
    <w:rsid w:val="2EF958DA"/>
    <w:rsid w:val="2EFA178C"/>
    <w:rsid w:val="2F350375"/>
    <w:rsid w:val="2F5015C8"/>
    <w:rsid w:val="2F8B3FC6"/>
    <w:rsid w:val="2F8D6403"/>
    <w:rsid w:val="2F9443DB"/>
    <w:rsid w:val="2FAA330F"/>
    <w:rsid w:val="2FD7142C"/>
    <w:rsid w:val="300F6E18"/>
    <w:rsid w:val="30377831"/>
    <w:rsid w:val="30444775"/>
    <w:rsid w:val="30586A11"/>
    <w:rsid w:val="306B6744"/>
    <w:rsid w:val="3092630E"/>
    <w:rsid w:val="30B46D73"/>
    <w:rsid w:val="311C359A"/>
    <w:rsid w:val="313501AC"/>
    <w:rsid w:val="315E3467"/>
    <w:rsid w:val="319F7F4E"/>
    <w:rsid w:val="31B859B9"/>
    <w:rsid w:val="31E340B8"/>
    <w:rsid w:val="324803BF"/>
    <w:rsid w:val="3293788C"/>
    <w:rsid w:val="32BF4B25"/>
    <w:rsid w:val="32EB1476"/>
    <w:rsid w:val="33152997"/>
    <w:rsid w:val="33243980"/>
    <w:rsid w:val="335E433E"/>
    <w:rsid w:val="33642144"/>
    <w:rsid w:val="33727ACB"/>
    <w:rsid w:val="339A2A0F"/>
    <w:rsid w:val="33AB6E58"/>
    <w:rsid w:val="33D740F0"/>
    <w:rsid w:val="340F1189"/>
    <w:rsid w:val="342C456D"/>
    <w:rsid w:val="345D45F6"/>
    <w:rsid w:val="3465052B"/>
    <w:rsid w:val="34822119"/>
    <w:rsid w:val="348778C5"/>
    <w:rsid w:val="34BD08F3"/>
    <w:rsid w:val="352C5D76"/>
    <w:rsid w:val="35330991"/>
    <w:rsid w:val="35415CC5"/>
    <w:rsid w:val="35591A9D"/>
    <w:rsid w:val="35640B1A"/>
    <w:rsid w:val="35975C33"/>
    <w:rsid w:val="35A85D44"/>
    <w:rsid w:val="35B93AAE"/>
    <w:rsid w:val="35F52FBE"/>
    <w:rsid w:val="36633A19"/>
    <w:rsid w:val="36717651"/>
    <w:rsid w:val="36C513AC"/>
    <w:rsid w:val="375F0685"/>
    <w:rsid w:val="37847F8D"/>
    <w:rsid w:val="37922808"/>
    <w:rsid w:val="37991DE9"/>
    <w:rsid w:val="37CB2F08"/>
    <w:rsid w:val="38127EF4"/>
    <w:rsid w:val="383D272C"/>
    <w:rsid w:val="388D00BA"/>
    <w:rsid w:val="38E946AA"/>
    <w:rsid w:val="394144E6"/>
    <w:rsid w:val="39810D86"/>
    <w:rsid w:val="398E34A3"/>
    <w:rsid w:val="399F054C"/>
    <w:rsid w:val="39AE70AB"/>
    <w:rsid w:val="39DA3FF3"/>
    <w:rsid w:val="3A03179B"/>
    <w:rsid w:val="3A500759"/>
    <w:rsid w:val="3A6148FB"/>
    <w:rsid w:val="3A7F5318"/>
    <w:rsid w:val="3AB94550"/>
    <w:rsid w:val="3AE3337B"/>
    <w:rsid w:val="3B05783C"/>
    <w:rsid w:val="3B0C52B9"/>
    <w:rsid w:val="3B1B0D67"/>
    <w:rsid w:val="3B691AD2"/>
    <w:rsid w:val="3B751C47"/>
    <w:rsid w:val="3B954675"/>
    <w:rsid w:val="3B974891"/>
    <w:rsid w:val="3B996CD1"/>
    <w:rsid w:val="3BCE7B87"/>
    <w:rsid w:val="3BD11425"/>
    <w:rsid w:val="3BDA652C"/>
    <w:rsid w:val="3C096E11"/>
    <w:rsid w:val="3C0C0783"/>
    <w:rsid w:val="3C337366"/>
    <w:rsid w:val="3C815568"/>
    <w:rsid w:val="3CD016DD"/>
    <w:rsid w:val="3D1F1C4F"/>
    <w:rsid w:val="3D633CC9"/>
    <w:rsid w:val="3DAF2D79"/>
    <w:rsid w:val="3DCE33AC"/>
    <w:rsid w:val="3DDD0555"/>
    <w:rsid w:val="3DEB0EC4"/>
    <w:rsid w:val="3E294B78"/>
    <w:rsid w:val="3E8804C1"/>
    <w:rsid w:val="3F206FD6"/>
    <w:rsid w:val="3F7D3D9E"/>
    <w:rsid w:val="3F7E510F"/>
    <w:rsid w:val="3F93536F"/>
    <w:rsid w:val="3F9F3A96"/>
    <w:rsid w:val="3FCE0156"/>
    <w:rsid w:val="3FDD3F12"/>
    <w:rsid w:val="409F5F96"/>
    <w:rsid w:val="40D53766"/>
    <w:rsid w:val="410A05A1"/>
    <w:rsid w:val="412224B5"/>
    <w:rsid w:val="41432DC5"/>
    <w:rsid w:val="414D6705"/>
    <w:rsid w:val="41601281"/>
    <w:rsid w:val="41766AC7"/>
    <w:rsid w:val="418036D2"/>
    <w:rsid w:val="41CE6B33"/>
    <w:rsid w:val="41EC0D67"/>
    <w:rsid w:val="421502BE"/>
    <w:rsid w:val="4226071D"/>
    <w:rsid w:val="42562684"/>
    <w:rsid w:val="42731488"/>
    <w:rsid w:val="42815953"/>
    <w:rsid w:val="42870A90"/>
    <w:rsid w:val="42B5384F"/>
    <w:rsid w:val="42F90A5E"/>
    <w:rsid w:val="43092A55"/>
    <w:rsid w:val="43761230"/>
    <w:rsid w:val="43861EB9"/>
    <w:rsid w:val="43911BC6"/>
    <w:rsid w:val="43C803FC"/>
    <w:rsid w:val="43C959A3"/>
    <w:rsid w:val="43DF33A1"/>
    <w:rsid w:val="43E21B0C"/>
    <w:rsid w:val="444906F3"/>
    <w:rsid w:val="446B2FCC"/>
    <w:rsid w:val="44745103"/>
    <w:rsid w:val="44DE708D"/>
    <w:rsid w:val="451C5E07"/>
    <w:rsid w:val="453F78F5"/>
    <w:rsid w:val="459534C4"/>
    <w:rsid w:val="45BF7DEB"/>
    <w:rsid w:val="45C30031"/>
    <w:rsid w:val="45CD3B6A"/>
    <w:rsid w:val="45DF68C6"/>
    <w:rsid w:val="46347950"/>
    <w:rsid w:val="46470C62"/>
    <w:rsid w:val="46601A21"/>
    <w:rsid w:val="46821C9A"/>
    <w:rsid w:val="469C090D"/>
    <w:rsid w:val="46A30E75"/>
    <w:rsid w:val="46B502C1"/>
    <w:rsid w:val="47013507"/>
    <w:rsid w:val="475F358E"/>
    <w:rsid w:val="47732CA6"/>
    <w:rsid w:val="4794724F"/>
    <w:rsid w:val="479C4FDD"/>
    <w:rsid w:val="47A143A2"/>
    <w:rsid w:val="481029EC"/>
    <w:rsid w:val="481C529E"/>
    <w:rsid w:val="48254FD3"/>
    <w:rsid w:val="483A14AB"/>
    <w:rsid w:val="483B0352"/>
    <w:rsid w:val="483E6094"/>
    <w:rsid w:val="48BF60AB"/>
    <w:rsid w:val="48C621DB"/>
    <w:rsid w:val="48E94252"/>
    <w:rsid w:val="48F86243"/>
    <w:rsid w:val="493C27E9"/>
    <w:rsid w:val="49594A5A"/>
    <w:rsid w:val="496459E7"/>
    <w:rsid w:val="496F39ED"/>
    <w:rsid w:val="49843F7B"/>
    <w:rsid w:val="499046CE"/>
    <w:rsid w:val="49B22896"/>
    <w:rsid w:val="49CA5E32"/>
    <w:rsid w:val="49FF41D3"/>
    <w:rsid w:val="4A25750C"/>
    <w:rsid w:val="4AA85A47"/>
    <w:rsid w:val="4AC66EAE"/>
    <w:rsid w:val="4B8C3A5E"/>
    <w:rsid w:val="4BC23C07"/>
    <w:rsid w:val="4BE068DB"/>
    <w:rsid w:val="4BF6002B"/>
    <w:rsid w:val="4BFA22D2"/>
    <w:rsid w:val="4BFD21B6"/>
    <w:rsid w:val="4C080E93"/>
    <w:rsid w:val="4C0D64AA"/>
    <w:rsid w:val="4C0E14B0"/>
    <w:rsid w:val="4C101AF6"/>
    <w:rsid w:val="4C112AB1"/>
    <w:rsid w:val="4C2555A1"/>
    <w:rsid w:val="4C2D4456"/>
    <w:rsid w:val="4C3437F7"/>
    <w:rsid w:val="4C3954F1"/>
    <w:rsid w:val="4C58179D"/>
    <w:rsid w:val="4C6726C0"/>
    <w:rsid w:val="4C8C5620"/>
    <w:rsid w:val="4CA74F96"/>
    <w:rsid w:val="4CC0351C"/>
    <w:rsid w:val="4CCA7EF7"/>
    <w:rsid w:val="4CEA2347"/>
    <w:rsid w:val="4CF07945"/>
    <w:rsid w:val="4CF775C0"/>
    <w:rsid w:val="4D096C71"/>
    <w:rsid w:val="4D0C6761"/>
    <w:rsid w:val="4D461BA0"/>
    <w:rsid w:val="4EAD5D22"/>
    <w:rsid w:val="4ECE2238"/>
    <w:rsid w:val="4EE72FE2"/>
    <w:rsid w:val="4EF456FF"/>
    <w:rsid w:val="4F025264"/>
    <w:rsid w:val="4F275AD4"/>
    <w:rsid w:val="4F38383D"/>
    <w:rsid w:val="4F4F261C"/>
    <w:rsid w:val="4F78579E"/>
    <w:rsid w:val="4FB0155B"/>
    <w:rsid w:val="4FB530E0"/>
    <w:rsid w:val="4FF05EC6"/>
    <w:rsid w:val="509229F4"/>
    <w:rsid w:val="50BE7D72"/>
    <w:rsid w:val="50E83041"/>
    <w:rsid w:val="50ED0658"/>
    <w:rsid w:val="51644DBE"/>
    <w:rsid w:val="516D3725"/>
    <w:rsid w:val="51A740FA"/>
    <w:rsid w:val="51C9159E"/>
    <w:rsid w:val="51DB4B86"/>
    <w:rsid w:val="51F454A9"/>
    <w:rsid w:val="52285DEB"/>
    <w:rsid w:val="525C3CE7"/>
    <w:rsid w:val="52DC6BD6"/>
    <w:rsid w:val="535B3F9E"/>
    <w:rsid w:val="53AA2830"/>
    <w:rsid w:val="540545BE"/>
    <w:rsid w:val="54442C85"/>
    <w:rsid w:val="54814806"/>
    <w:rsid w:val="54C979F3"/>
    <w:rsid w:val="54D05008"/>
    <w:rsid w:val="552A59D6"/>
    <w:rsid w:val="55333C3E"/>
    <w:rsid w:val="55515659"/>
    <w:rsid w:val="55651104"/>
    <w:rsid w:val="556C2493"/>
    <w:rsid w:val="557449D6"/>
    <w:rsid w:val="55992B5C"/>
    <w:rsid w:val="55B856D8"/>
    <w:rsid w:val="55E24503"/>
    <w:rsid w:val="562C577E"/>
    <w:rsid w:val="564A7F3B"/>
    <w:rsid w:val="569752EE"/>
    <w:rsid w:val="56BC205D"/>
    <w:rsid w:val="56BF4844"/>
    <w:rsid w:val="56E04EE6"/>
    <w:rsid w:val="57911D3D"/>
    <w:rsid w:val="57B10631"/>
    <w:rsid w:val="57B8376D"/>
    <w:rsid w:val="57BB14B0"/>
    <w:rsid w:val="57BE68AA"/>
    <w:rsid w:val="57C77E54"/>
    <w:rsid w:val="57CD4D3F"/>
    <w:rsid w:val="57D63BF4"/>
    <w:rsid w:val="57E63A41"/>
    <w:rsid w:val="57EB62AA"/>
    <w:rsid w:val="58767185"/>
    <w:rsid w:val="58D740C7"/>
    <w:rsid w:val="58EA630C"/>
    <w:rsid w:val="58F00CE5"/>
    <w:rsid w:val="592F3F03"/>
    <w:rsid w:val="59407EBE"/>
    <w:rsid w:val="59527BF2"/>
    <w:rsid w:val="59A42962"/>
    <w:rsid w:val="59CA59DA"/>
    <w:rsid w:val="59CD0E34"/>
    <w:rsid w:val="5A025174"/>
    <w:rsid w:val="5A041940"/>
    <w:rsid w:val="5A2B279F"/>
    <w:rsid w:val="5ADD34EB"/>
    <w:rsid w:val="5B231846"/>
    <w:rsid w:val="5B445318"/>
    <w:rsid w:val="5B462503"/>
    <w:rsid w:val="5C1B7DBA"/>
    <w:rsid w:val="5C5F6272"/>
    <w:rsid w:val="5CB70498"/>
    <w:rsid w:val="5CDA23D8"/>
    <w:rsid w:val="5D02727A"/>
    <w:rsid w:val="5D07484F"/>
    <w:rsid w:val="5D4930BA"/>
    <w:rsid w:val="5D72616D"/>
    <w:rsid w:val="5DC32E6C"/>
    <w:rsid w:val="5DE057CC"/>
    <w:rsid w:val="5E062D59"/>
    <w:rsid w:val="5E0637BF"/>
    <w:rsid w:val="5E236A98"/>
    <w:rsid w:val="5E282CCF"/>
    <w:rsid w:val="5E345B18"/>
    <w:rsid w:val="5E8C5954"/>
    <w:rsid w:val="5EB629D1"/>
    <w:rsid w:val="5EE037D4"/>
    <w:rsid w:val="5F177A55"/>
    <w:rsid w:val="5F8E1258"/>
    <w:rsid w:val="5F926F9A"/>
    <w:rsid w:val="5FFC3808"/>
    <w:rsid w:val="601709D8"/>
    <w:rsid w:val="60340051"/>
    <w:rsid w:val="607A695C"/>
    <w:rsid w:val="60B7303E"/>
    <w:rsid w:val="60C6403A"/>
    <w:rsid w:val="60CE30D1"/>
    <w:rsid w:val="60E12138"/>
    <w:rsid w:val="611D6BCD"/>
    <w:rsid w:val="61357BDD"/>
    <w:rsid w:val="61383A27"/>
    <w:rsid w:val="61393D48"/>
    <w:rsid w:val="615303A0"/>
    <w:rsid w:val="61C3343B"/>
    <w:rsid w:val="61D75138"/>
    <w:rsid w:val="61E40B7B"/>
    <w:rsid w:val="623A1223"/>
    <w:rsid w:val="623D5EB3"/>
    <w:rsid w:val="62A74D18"/>
    <w:rsid w:val="62AE5E99"/>
    <w:rsid w:val="62CB5FE0"/>
    <w:rsid w:val="62CE653B"/>
    <w:rsid w:val="62E418BB"/>
    <w:rsid w:val="62F94B9C"/>
    <w:rsid w:val="63260125"/>
    <w:rsid w:val="632A1297"/>
    <w:rsid w:val="636C5ADF"/>
    <w:rsid w:val="636E73D6"/>
    <w:rsid w:val="63847F0F"/>
    <w:rsid w:val="63862972"/>
    <w:rsid w:val="63974B7F"/>
    <w:rsid w:val="63F518A5"/>
    <w:rsid w:val="641F6922"/>
    <w:rsid w:val="645141ED"/>
    <w:rsid w:val="64654C7D"/>
    <w:rsid w:val="648B266E"/>
    <w:rsid w:val="64947310"/>
    <w:rsid w:val="64CA39A1"/>
    <w:rsid w:val="65327395"/>
    <w:rsid w:val="6538385C"/>
    <w:rsid w:val="656960A7"/>
    <w:rsid w:val="65827169"/>
    <w:rsid w:val="65877B96"/>
    <w:rsid w:val="65D24DF8"/>
    <w:rsid w:val="65D5373C"/>
    <w:rsid w:val="66775E80"/>
    <w:rsid w:val="66837F7B"/>
    <w:rsid w:val="66BE76B4"/>
    <w:rsid w:val="671958AB"/>
    <w:rsid w:val="67271150"/>
    <w:rsid w:val="678C79E3"/>
    <w:rsid w:val="67A4786A"/>
    <w:rsid w:val="683102FC"/>
    <w:rsid w:val="6832131A"/>
    <w:rsid w:val="68456C28"/>
    <w:rsid w:val="68481127"/>
    <w:rsid w:val="686D4100"/>
    <w:rsid w:val="688F051A"/>
    <w:rsid w:val="68A20980"/>
    <w:rsid w:val="68BB130F"/>
    <w:rsid w:val="68D93544"/>
    <w:rsid w:val="68F640F6"/>
    <w:rsid w:val="690600B1"/>
    <w:rsid w:val="69132EFA"/>
    <w:rsid w:val="694E71ED"/>
    <w:rsid w:val="69630ADE"/>
    <w:rsid w:val="696D0A14"/>
    <w:rsid w:val="69992CD3"/>
    <w:rsid w:val="69F400B0"/>
    <w:rsid w:val="6A042842"/>
    <w:rsid w:val="6A73500E"/>
    <w:rsid w:val="6A7D6CB0"/>
    <w:rsid w:val="6A8A71EB"/>
    <w:rsid w:val="6ACA3A8C"/>
    <w:rsid w:val="6ACB7804"/>
    <w:rsid w:val="6AD60077"/>
    <w:rsid w:val="6B1D1B49"/>
    <w:rsid w:val="6B4D2364"/>
    <w:rsid w:val="6B6D3DAD"/>
    <w:rsid w:val="6B826114"/>
    <w:rsid w:val="6BCA7D47"/>
    <w:rsid w:val="6BD149A6"/>
    <w:rsid w:val="6BEE37AA"/>
    <w:rsid w:val="6C4A05C8"/>
    <w:rsid w:val="6C53360D"/>
    <w:rsid w:val="6C58547E"/>
    <w:rsid w:val="6C8D3489"/>
    <w:rsid w:val="6C97573C"/>
    <w:rsid w:val="6CAD2229"/>
    <w:rsid w:val="6D2D3E5E"/>
    <w:rsid w:val="6D2F4002"/>
    <w:rsid w:val="6D373D9B"/>
    <w:rsid w:val="6D3B1A89"/>
    <w:rsid w:val="6D6F4477"/>
    <w:rsid w:val="6D774BCC"/>
    <w:rsid w:val="6D8343C6"/>
    <w:rsid w:val="6DBA5341"/>
    <w:rsid w:val="6DBC471A"/>
    <w:rsid w:val="6DD469CF"/>
    <w:rsid w:val="6E4C2A0A"/>
    <w:rsid w:val="6E781A56"/>
    <w:rsid w:val="6E8D72AA"/>
    <w:rsid w:val="6EA939B8"/>
    <w:rsid w:val="6EB20ABF"/>
    <w:rsid w:val="6EEC2BE3"/>
    <w:rsid w:val="6F23376B"/>
    <w:rsid w:val="6F235519"/>
    <w:rsid w:val="6F543924"/>
    <w:rsid w:val="6F751AEC"/>
    <w:rsid w:val="6F7B5355"/>
    <w:rsid w:val="6F814935"/>
    <w:rsid w:val="6F825852"/>
    <w:rsid w:val="6F8A5598"/>
    <w:rsid w:val="6F912DCA"/>
    <w:rsid w:val="6FAF4FFE"/>
    <w:rsid w:val="6FB51A6A"/>
    <w:rsid w:val="6FC26922"/>
    <w:rsid w:val="6FCF744E"/>
    <w:rsid w:val="701A2DBF"/>
    <w:rsid w:val="70234C96"/>
    <w:rsid w:val="70250A5E"/>
    <w:rsid w:val="7060279C"/>
    <w:rsid w:val="70A94143"/>
    <w:rsid w:val="70C8281B"/>
    <w:rsid w:val="70ED2282"/>
    <w:rsid w:val="710B44B6"/>
    <w:rsid w:val="715A71EC"/>
    <w:rsid w:val="717604C9"/>
    <w:rsid w:val="71BF4EC2"/>
    <w:rsid w:val="71DA544E"/>
    <w:rsid w:val="721334D0"/>
    <w:rsid w:val="72430085"/>
    <w:rsid w:val="72734D90"/>
    <w:rsid w:val="72AD5AB2"/>
    <w:rsid w:val="72C708B1"/>
    <w:rsid w:val="72D32F00"/>
    <w:rsid w:val="72E476B5"/>
    <w:rsid w:val="730C2768"/>
    <w:rsid w:val="73816CB2"/>
    <w:rsid w:val="7393241A"/>
    <w:rsid w:val="73EA4857"/>
    <w:rsid w:val="73ED5DA0"/>
    <w:rsid w:val="740D392B"/>
    <w:rsid w:val="7412278C"/>
    <w:rsid w:val="7428537F"/>
    <w:rsid w:val="745B5755"/>
    <w:rsid w:val="74B35591"/>
    <w:rsid w:val="74D472B5"/>
    <w:rsid w:val="74D774D1"/>
    <w:rsid w:val="74E05C5A"/>
    <w:rsid w:val="75056C52"/>
    <w:rsid w:val="753C5586"/>
    <w:rsid w:val="75550C27"/>
    <w:rsid w:val="755F3023"/>
    <w:rsid w:val="75736CE7"/>
    <w:rsid w:val="75907F25"/>
    <w:rsid w:val="75C817BE"/>
    <w:rsid w:val="75CA0DE4"/>
    <w:rsid w:val="76053BCA"/>
    <w:rsid w:val="762258C6"/>
    <w:rsid w:val="762811E9"/>
    <w:rsid w:val="7630676D"/>
    <w:rsid w:val="763079CC"/>
    <w:rsid w:val="766052A4"/>
    <w:rsid w:val="76832D41"/>
    <w:rsid w:val="76B4114C"/>
    <w:rsid w:val="7716297A"/>
    <w:rsid w:val="77402E4D"/>
    <w:rsid w:val="77620166"/>
    <w:rsid w:val="779E0C90"/>
    <w:rsid w:val="77A411C1"/>
    <w:rsid w:val="77D30F07"/>
    <w:rsid w:val="77F5177B"/>
    <w:rsid w:val="78466516"/>
    <w:rsid w:val="78544995"/>
    <w:rsid w:val="786C6182"/>
    <w:rsid w:val="78FD5693"/>
    <w:rsid w:val="79334EF2"/>
    <w:rsid w:val="795A5446"/>
    <w:rsid w:val="798C015E"/>
    <w:rsid w:val="79E7B28D"/>
    <w:rsid w:val="7A146AD1"/>
    <w:rsid w:val="7A2E348E"/>
    <w:rsid w:val="7A4B626B"/>
    <w:rsid w:val="7A7F1A71"/>
    <w:rsid w:val="7AB14320"/>
    <w:rsid w:val="7AB25DA1"/>
    <w:rsid w:val="7B4C4049"/>
    <w:rsid w:val="7B51340D"/>
    <w:rsid w:val="7B5B24DE"/>
    <w:rsid w:val="7B607AF4"/>
    <w:rsid w:val="7B7D4202"/>
    <w:rsid w:val="7B8A0BAC"/>
    <w:rsid w:val="7B8C56A4"/>
    <w:rsid w:val="7BAF173D"/>
    <w:rsid w:val="7BBD4F47"/>
    <w:rsid w:val="7BF85F7F"/>
    <w:rsid w:val="7C442F72"/>
    <w:rsid w:val="7C5A4544"/>
    <w:rsid w:val="7CAB31C1"/>
    <w:rsid w:val="7CC320E9"/>
    <w:rsid w:val="7CCD11BA"/>
    <w:rsid w:val="7D0A7D18"/>
    <w:rsid w:val="7DDA27CE"/>
    <w:rsid w:val="7DFA4230"/>
    <w:rsid w:val="7E265025"/>
    <w:rsid w:val="7E325778"/>
    <w:rsid w:val="7E521886"/>
    <w:rsid w:val="7E84666E"/>
    <w:rsid w:val="7E867872"/>
    <w:rsid w:val="7E953F59"/>
    <w:rsid w:val="7EB72A57"/>
    <w:rsid w:val="7ED00AED"/>
    <w:rsid w:val="7F203823"/>
    <w:rsid w:val="7F43084B"/>
    <w:rsid w:val="7F517E80"/>
    <w:rsid w:val="7F9F20EE"/>
    <w:rsid w:val="7FAF4BA7"/>
    <w:rsid w:val="7FB976E2"/>
    <w:rsid w:val="9E3A10E2"/>
    <w:rsid w:val="F2E1F9D4"/>
    <w:rsid w:val="F788081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4"/>
    <w:qFormat/>
    <w:uiPriority w:val="99"/>
    <w:pPr>
      <w:spacing w:beforeLines="30"/>
    </w:pPr>
    <w:rPr>
      <w:rFonts w:ascii="仿宋_GB2312" w:eastAsia="仿宋_GB2312"/>
      <w:kern w:val="0"/>
      <w:sz w:val="30"/>
    </w:rPr>
  </w:style>
  <w:style w:type="paragraph" w:styleId="6">
    <w:name w:val="annotation text"/>
    <w:basedOn w:val="1"/>
    <w:semiHidden/>
    <w:unhideWhenUsed/>
    <w:qFormat/>
    <w:uiPriority w:val="99"/>
    <w:pPr>
      <w:jc w:val="left"/>
    </w:p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0"/>
    <w:semiHidden/>
    <w:unhideWhenUsed/>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字符"/>
    <w:link w:val="10"/>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字符"/>
    <w:link w:val="9"/>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字符"/>
    <w:link w:val="2"/>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6"/>
    <w:link w:val="3"/>
    <w:qFormat/>
    <w:uiPriority w:val="9"/>
    <w:rPr>
      <w:rFonts w:ascii="Times New Roman" w:hAnsi="Times New Roman"/>
      <w:b/>
      <w:bCs/>
      <w:kern w:val="44"/>
      <w:sz w:val="44"/>
      <w:szCs w:val="44"/>
    </w:rPr>
  </w:style>
  <w:style w:type="character" w:customStyle="1" w:styleId="28">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2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字符"/>
    <w:basedOn w:val="16"/>
    <w:link w:val="8"/>
    <w:semiHidden/>
    <w:qFormat/>
    <w:uiPriority w:val="99"/>
    <w:rPr>
      <w:rFonts w:ascii="Times New Roman" w:hAnsi="Times New Roman"/>
      <w:kern w:val="2"/>
      <w:sz w:val="18"/>
      <w:szCs w:val="18"/>
    </w:rPr>
  </w:style>
  <w:style w:type="character" w:customStyle="1" w:styleId="31">
    <w:name w:val="标题 3 字符"/>
    <w:basedOn w:val="16"/>
    <w:link w:val="5"/>
    <w:qFormat/>
    <w:uiPriority w:val="9"/>
    <w:rPr>
      <w:rFonts w:ascii="Times New Roman" w:hAnsi="Times New Roman"/>
      <w:b/>
      <w:bCs/>
      <w:kern w:val="2"/>
      <w:sz w:val="32"/>
      <w:szCs w:val="32"/>
    </w:rPr>
  </w:style>
  <w:style w:type="paragraph" w:customStyle="1" w:styleId="32">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3">
    <w:name w:val="WPSOffice手动目录 1"/>
    <w:qFormat/>
    <w:uiPriority w:val="0"/>
    <w:pPr>
      <w:ind w:leftChars="0"/>
    </w:pPr>
    <w:rPr>
      <w:rFonts w:ascii="Times New Roman" w:hAnsi="Times New Roman" w:eastAsia="宋体" w:cs="Times New Roman"/>
      <w:sz w:val="20"/>
      <w:szCs w:val="20"/>
    </w:rPr>
  </w:style>
  <w:style w:type="paragraph" w:customStyle="1" w:styleId="34">
    <w:name w:val="WPSOffice手动目录 2"/>
    <w:qFormat/>
    <w:uiPriority w:val="0"/>
    <w:pPr>
      <w:ind w:leftChars="200"/>
    </w:pPr>
    <w:rPr>
      <w:rFonts w:ascii="Times New Roman" w:hAnsi="Times New Roman" w:eastAsia="宋体" w:cs="Times New Roman"/>
      <w:sz w:val="20"/>
      <w:szCs w:val="20"/>
    </w:rPr>
  </w:style>
  <w:style w:type="paragraph" w:customStyle="1" w:styleId="35">
    <w:name w:val="正文文本1"/>
    <w:basedOn w:val="1"/>
    <w:qFormat/>
    <w:uiPriority w:val="99"/>
    <w:pPr>
      <w:spacing w:before="93"/>
    </w:pPr>
    <w:rPr>
      <w:rFonts w:ascii="仿宋_GB2312" w:hAnsi="Calibri"/>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收、支决算总计变动情况图（万元）</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Sheet0!$B$1</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Sheet0!$A$2:$A$3</c:f>
              <c:strCache>
                <c:ptCount val="2"/>
                <c:pt idx="0">
                  <c:v>收入</c:v>
                </c:pt>
                <c:pt idx="1">
                  <c:v>支出</c:v>
                </c:pt>
              </c:strCache>
            </c:strRef>
          </c:cat>
          <c:val>
            <c:numRef>
              <c:f>Sheet0!$B$2:$B$3</c:f>
              <c:numCache>
                <c:formatCode>General</c:formatCode>
                <c:ptCount val="2"/>
                <c:pt idx="0">
                  <c:v>2379.96</c:v>
                </c:pt>
                <c:pt idx="1">
                  <c:v>2379.96</c:v>
                </c:pt>
              </c:numCache>
            </c:numRef>
          </c:val>
        </c:ser>
        <c:ser>
          <c:idx val="1"/>
          <c:order val="1"/>
          <c:tx>
            <c:strRef>
              <c:f>Sheet0!$C$1</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Sheet0!$A$2:$A$3</c:f>
              <c:strCache>
                <c:ptCount val="2"/>
                <c:pt idx="0">
                  <c:v>收入</c:v>
                </c:pt>
                <c:pt idx="1">
                  <c:v>支出</c:v>
                </c:pt>
              </c:strCache>
            </c:strRef>
          </c:cat>
          <c:val>
            <c:numRef>
              <c:f>Sheet0!$C$2:$C$3</c:f>
              <c:numCache>
                <c:formatCode>General</c:formatCode>
                <c:ptCount val="2"/>
                <c:pt idx="0">
                  <c:v>1770.44</c:v>
                </c:pt>
                <c:pt idx="1">
                  <c:v>1770.44</c:v>
                </c:pt>
              </c:numCache>
            </c:numRef>
          </c:val>
        </c:ser>
        <c:dLbls>
          <c:showLegendKey val="0"/>
          <c:showVal val="0"/>
          <c:showCatName val="0"/>
          <c:showSerName val="0"/>
          <c:showPercent val="0"/>
          <c:showBubbleSize val="0"/>
        </c:dLbls>
        <c:gapWidth val="219"/>
        <c:overlap val="-27"/>
        <c:axId val="88474614"/>
        <c:axId val="253028446"/>
      </c:barChart>
      <c:catAx>
        <c:axId val="88474614"/>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3028446"/>
        <c:crossesAt val="0"/>
        <c:auto val="1"/>
        <c:lblAlgn val="ctr"/>
        <c:lblOffset val="100"/>
        <c:noMultiLvlLbl val="0"/>
      </c:catAx>
      <c:valAx>
        <c:axId val="25302844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cross"/>
        <c:minorTickMark val="none"/>
        <c:tickLblPos val="nextTo"/>
        <c:spPr>
          <a:noFill/>
          <a:ln>
            <a:solidFill>
              <a:schemeClr val="accent1"/>
            </a:solid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474614"/>
        <c:crosses val="autoZero"/>
        <c:crossBetween val="between"/>
      </c:valAx>
      <c:spPr>
        <a:solidFill>
          <a:schemeClr val="bg1"/>
        </a:solid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0"/>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收入决算结构图</a:t>
            </a:r>
            <a:endParaRPr lang="en-US" altLang="zh-CN"/>
          </a:p>
        </c:rich>
      </c:tx>
      <c:layout/>
      <c:overlay val="0"/>
      <c:spPr>
        <a:noFill/>
        <a:ln>
          <a:noFill/>
        </a:ln>
        <a:effectLst/>
      </c:spPr>
    </c:title>
    <c:autoTitleDeleted val="0"/>
    <c:plotArea>
      <c:layout/>
      <c:pieChart>
        <c:varyColors val="1"/>
        <c:ser>
          <c:idx val="0"/>
          <c:order val="0"/>
          <c:tx>
            <c:strRef>
              <c:f>Sheet1!$B$1</c:f>
              <c:strCache>
                <c:ptCount val="1"/>
                <c:pt idx="0">
                  <c:v>countries</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其他收入</c:v>
                </c:pt>
              </c:strCache>
            </c:strRef>
          </c:cat>
          <c:val>
            <c:numRef>
              <c:f>Sheet1!$B$2:$B$3</c:f>
              <c:numCache>
                <c:formatCode>General</c:formatCode>
                <c:ptCount val="2"/>
                <c:pt idx="0">
                  <c:v>91.03</c:v>
                </c:pt>
                <c:pt idx="1">
                  <c:v>8.97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支出决算结构图</a:t>
            </a:r>
            <a:endParaRPr lang="en-US" altLang="zh-CN"/>
          </a:p>
        </c:rich>
      </c:tx>
      <c:layout/>
      <c:overlay val="0"/>
      <c:spPr>
        <a:noFill/>
        <a:ln>
          <a:noFill/>
        </a:ln>
        <a:effectLst/>
      </c:spPr>
    </c:title>
    <c:autoTitleDeleted val="0"/>
    <c:plotArea>
      <c:layout/>
      <c:pieChart>
        <c:varyColors val="1"/>
        <c:ser>
          <c:idx val="0"/>
          <c:order val="0"/>
          <c:tx>
            <c:strRef>
              <c:f>Sheet1!$B$1</c:f>
              <c:strCache>
                <c:ptCount val="1"/>
                <c:pt idx="0">
                  <c:v>countries</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0900938904041164"/>
                  <c:y val="-0.094163217889305"/>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373433708452103"/>
                  <c:y val="0.0411516925946264"/>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82.23</c:v>
                </c:pt>
                <c:pt idx="1">
                  <c:v>17.77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财政拨款收、支决算总计变动情况图（万元）</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Sheet0!$B$1</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Sheet0!$A$2:$A$3</c:f>
              <c:strCache>
                <c:ptCount val="2"/>
                <c:pt idx="0">
                  <c:v>收入</c:v>
                </c:pt>
                <c:pt idx="1">
                  <c:v>支出</c:v>
                </c:pt>
              </c:strCache>
            </c:strRef>
          </c:cat>
          <c:val>
            <c:numRef>
              <c:f>Sheet0!$B$2:$B$3</c:f>
              <c:numCache>
                <c:formatCode>General</c:formatCode>
                <c:ptCount val="2"/>
                <c:pt idx="0">
                  <c:v>2379.96</c:v>
                </c:pt>
                <c:pt idx="1">
                  <c:v>2379.96</c:v>
                </c:pt>
              </c:numCache>
            </c:numRef>
          </c:val>
        </c:ser>
        <c:ser>
          <c:idx val="1"/>
          <c:order val="1"/>
          <c:tx>
            <c:strRef>
              <c:f>Sheet0!$C$1</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Sheet0!$A$2:$A$3</c:f>
              <c:strCache>
                <c:ptCount val="2"/>
                <c:pt idx="0">
                  <c:v>收入</c:v>
                </c:pt>
                <c:pt idx="1">
                  <c:v>支出</c:v>
                </c:pt>
              </c:strCache>
            </c:strRef>
          </c:cat>
          <c:val>
            <c:numRef>
              <c:f>Sheet0!$C$2:$C$3</c:f>
              <c:numCache>
                <c:formatCode>General</c:formatCode>
                <c:ptCount val="2"/>
                <c:pt idx="0">
                  <c:v>1611.62</c:v>
                </c:pt>
                <c:pt idx="1">
                  <c:v>1611.62</c:v>
                </c:pt>
              </c:numCache>
            </c:numRef>
          </c:val>
        </c:ser>
        <c:dLbls>
          <c:showLegendKey val="0"/>
          <c:showVal val="0"/>
          <c:showCatName val="0"/>
          <c:showSerName val="0"/>
          <c:showPercent val="0"/>
          <c:showBubbleSize val="0"/>
        </c:dLbls>
        <c:gapWidth val="219"/>
        <c:overlap val="-27"/>
        <c:axId val="88474614"/>
        <c:axId val="253028446"/>
      </c:barChart>
      <c:catAx>
        <c:axId val="88474614"/>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3028446"/>
        <c:crossesAt val="0"/>
        <c:auto val="1"/>
        <c:lblAlgn val="ctr"/>
        <c:lblOffset val="100"/>
        <c:noMultiLvlLbl val="0"/>
      </c:catAx>
      <c:valAx>
        <c:axId val="25302844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solidFill>
              <a:schemeClr val="accent1"/>
            </a:solid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474614"/>
        <c:crosses val="autoZero"/>
        <c:crossBetween val="between"/>
      </c:valAx>
      <c:spPr>
        <a:solidFill>
          <a:schemeClr val="bg1"/>
        </a:solid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0"/>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一般公共预算财政拨款支出决算变动情况（万元）</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Sheet0!$B$1</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Sheet0!$A$2:$A$3</c:f>
              <c:numCache>
                <c:formatCode>General</c:formatCode>
                <c:ptCount val="2"/>
              </c:numCache>
            </c:numRef>
          </c:cat>
          <c:val>
            <c:numRef>
              <c:f>Sheet0!$B$2:$B$3</c:f>
              <c:numCache>
                <c:formatCode>General</c:formatCode>
                <c:ptCount val="2"/>
                <c:pt idx="0">
                  <c:v>2379.96</c:v>
                </c:pt>
              </c:numCache>
            </c:numRef>
          </c:val>
        </c:ser>
        <c:ser>
          <c:idx val="1"/>
          <c:order val="1"/>
          <c:tx>
            <c:strRef>
              <c:f>Sheet0!$C$1</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Sheet0!$A$2:$A$3</c:f>
              <c:numCache>
                <c:formatCode>General</c:formatCode>
                <c:ptCount val="2"/>
              </c:numCache>
            </c:numRef>
          </c:cat>
          <c:val>
            <c:numRef>
              <c:f>Sheet0!$C$2:$C$3</c:f>
              <c:numCache>
                <c:formatCode>General</c:formatCode>
                <c:ptCount val="2"/>
                <c:pt idx="1">
                  <c:v>1611.62</c:v>
                </c:pt>
              </c:numCache>
            </c:numRef>
          </c:val>
        </c:ser>
        <c:dLbls>
          <c:showLegendKey val="0"/>
          <c:showVal val="0"/>
          <c:showCatName val="0"/>
          <c:showSerName val="0"/>
          <c:showPercent val="0"/>
          <c:showBubbleSize val="0"/>
        </c:dLbls>
        <c:gapWidth val="219"/>
        <c:overlap val="-27"/>
        <c:axId val="88474614"/>
        <c:axId val="253028446"/>
      </c:barChart>
      <c:catAx>
        <c:axId val="88474614"/>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0" spcFirstLastPara="0" vertOverflow="ellipsis" vert="horz" wrap="square" anchor="b" anchorCtr="1"/>
          <a:lstStyle/>
          <a:p>
            <a:pPr>
              <a:defRPr lang="zh-CN" sz="900" b="0" i="0" u="none" strike="noStrike" kern="1200" baseline="0">
                <a:solidFill>
                  <a:schemeClr val="tx1">
                    <a:lumMod val="65000"/>
                    <a:lumOff val="35000"/>
                  </a:schemeClr>
                </a:solidFill>
                <a:latin typeface="+mn-lt"/>
                <a:ea typeface="+mn-ea"/>
                <a:cs typeface="+mn-cs"/>
              </a:defRPr>
            </a:pPr>
          </a:p>
        </c:txPr>
        <c:crossAx val="253028446"/>
        <c:crossesAt val="0"/>
        <c:auto val="1"/>
        <c:lblAlgn val="ctr"/>
        <c:lblOffset val="100"/>
        <c:noMultiLvlLbl val="0"/>
      </c:catAx>
      <c:valAx>
        <c:axId val="25302844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solidFill>
              <a:schemeClr val="accent1"/>
            </a:solid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474614"/>
        <c:crosses val="autoZero"/>
        <c:crossBetween val="between"/>
      </c:valAx>
      <c:spPr>
        <a:solidFill>
          <a:schemeClr val="bg1"/>
        </a:solid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0"/>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cap="none" spc="20" baseline="0">
                <a:solidFill>
                  <a:schemeClr val="tx1">
                    <a:lumMod val="50000"/>
                    <a:lumOff val="50000"/>
                  </a:schemeClr>
                </a:solidFill>
                <a:latin typeface="+mn-lt"/>
                <a:ea typeface="+mn-ea"/>
                <a:cs typeface="+mn-cs"/>
              </a:defRPr>
            </a:pPr>
            <a:r>
              <a:t>一般公共预算财政拨款支出决算结构（万元）</a:t>
            </a:r>
          </a:p>
        </c:rich>
      </c:tx>
      <c:layout>
        <c:manualLayout>
          <c:xMode val="edge"/>
          <c:yMode val="edge"/>
          <c:x val="0.170379129129129"/>
          <c:y val="0.0268660431202264"/>
        </c:manualLayout>
      </c:layout>
      <c:overlay val="0"/>
      <c:spPr>
        <a:noFill/>
        <a:ln>
          <a:noFill/>
        </a:ln>
        <a:effectLst/>
      </c:spPr>
    </c:title>
    <c:autoTitleDeleted val="0"/>
    <c:plotArea>
      <c:layout>
        <c:manualLayout>
          <c:layoutTarget val="inner"/>
          <c:xMode val="edge"/>
          <c:yMode val="edge"/>
          <c:x val="0.33974054054054"/>
          <c:y val="0.265614110561411"/>
          <c:w val="0.339738138138138"/>
          <c:h val="0.608371692837169"/>
        </c:manualLayout>
      </c:layout>
      <c:pieChart>
        <c:varyColors val="1"/>
        <c:ser>
          <c:idx val="0"/>
          <c:order val="0"/>
          <c:tx>
            <c:strRef>
              <c:f>Sheet0!$B$1</c:f>
              <c:strCache>
                <c:ptCount val="1"/>
                <c:pt idx="0">
                  <c:v>countries</c:v>
                </c:pt>
              </c:strCache>
            </c:strRef>
          </c:tx>
          <c:explosion val="0"/>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Pt>
          <c:dPt>
            <c:idx val="2"/>
            <c:bubble3D val="0"/>
          </c:dPt>
          <c:dPt>
            <c:idx val="3"/>
            <c:bubble3D val="0"/>
          </c:dPt>
          <c:dLbls>
            <c:dLbl>
              <c:idx val="1"/>
              <c:layout>
                <c:manualLayout>
                  <c:x val="-0.0421781860791665"/>
                  <c:y val="0.032300967034404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347059071392647"/>
                  <c:y val="0.0199613613251045"/>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0237708587588545"/>
                  <c:y val="0.01292269566415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Sheet0!$A$2:$A$5</c:f>
              <c:strCache>
                <c:ptCount val="4"/>
                <c:pt idx="0">
                  <c:v>公共安全支出</c:v>
                </c:pt>
                <c:pt idx="1">
                  <c:v>社会保障和就业支出</c:v>
                </c:pt>
                <c:pt idx="2">
                  <c:v>卫生健康支出</c:v>
                </c:pt>
                <c:pt idx="3">
                  <c:v>住房保障支出</c:v>
                </c:pt>
              </c:strCache>
            </c:strRef>
          </c:cat>
          <c:val>
            <c:numRef>
              <c:f>Sheet0!$B$2:$B$5</c:f>
              <c:numCache>
                <c:formatCode>General</c:formatCode>
                <c:ptCount val="4"/>
                <c:pt idx="0">
                  <c:v>76.87</c:v>
                </c:pt>
                <c:pt idx="1">
                  <c:v>11.09</c:v>
                </c:pt>
                <c:pt idx="2">
                  <c:v>4.28</c:v>
                </c:pt>
                <c:pt idx="3">
                  <c:v>7.76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dk1">
                    <a:lumMod val="65000"/>
                    <a:lumOff val="35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tx>
            <c:strRef>
              <c:f>Sheet0!$B$1</c:f>
              <c:strCache>
                <c:ptCount val="1"/>
                <c:pt idx="0">
                  <c:v>countries</c:v>
                </c:pt>
              </c:strCache>
            </c:strRef>
          </c:tx>
          <c:spPr/>
          <c:explosion val="0"/>
          <c:dPt>
            <c:idx val="0"/>
            <c:bubble3D val="0"/>
            <c:spPr>
              <a:solidFill>
                <a:schemeClr val="accent1"/>
              </a:solidFill>
              <a:ln>
                <a:noFill/>
              </a:ln>
              <a:effectLst>
                <a:outerShdw blurRad="317500" algn="ctr" rotWithShape="0">
                  <a:prstClr val="black">
                    <a:alpha val="25000"/>
                  </a:prstClr>
                </a:outerShdw>
              </a:effectLst>
            </c:spPr>
          </c:dPt>
          <c:dPt>
            <c:idx val="1"/>
            <c:bubble3D val="0"/>
            <c:spPr>
              <a:solidFill>
                <a:schemeClr val="accent2"/>
              </a:solidFill>
              <a:ln>
                <a:noFill/>
              </a:ln>
              <a:effectLst>
                <a:outerShdw blurRad="317500" algn="ctr" rotWithShape="0">
                  <a:prstClr val="black">
                    <a:alpha val="25000"/>
                  </a:prstClr>
                </a:outerShdw>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Sheet0!$A$2:$A$3</c:f>
              <c:strCache>
                <c:ptCount val="2"/>
                <c:pt idx="0">
                  <c:v>公务用车购置及运行维护费支出决算</c:v>
                </c:pt>
                <c:pt idx="1">
                  <c:v>公务接待费支出决算</c:v>
                </c:pt>
              </c:strCache>
            </c:strRef>
          </c:cat>
          <c:val>
            <c:numRef>
              <c:f>Sheet0!$B$2:$B$3</c:f>
              <c:numCache>
                <c:formatCode>General</c:formatCode>
                <c:ptCount val="2"/>
                <c:pt idx="0">
                  <c:v>86.92</c:v>
                </c:pt>
                <c:pt idx="1">
                  <c:v>13.08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solidFill>
          <a:schemeClr val="lt1">
            <a:alpha val="78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28</Pages>
  <Words>9114</Words>
  <Characters>10041</Characters>
  <Lines>278</Lines>
  <Paragraphs>140</Paragraphs>
  <TotalTime>204</TotalTime>
  <ScaleCrop>false</ScaleCrop>
  <LinksUpToDate>false</LinksUpToDate>
  <CharactersWithSpaces>10520</CharactersWithSpaces>
  <Application>WPS Office_12.1.0.15673_F1E327BC-269C-435d-A152-05C5408002CA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2023-09-05T03:25:00Z</dcterms:created>
  <dc:creator>曹颖</dc:creator>
  <cp:lastModifiedBy>Mr.旧时光</cp:lastModifiedBy>
  <cp:lastPrinted>2023-07-31T02:35:00Z</cp:lastPrinted>
  <dcterms:modified xsi:type="dcterms:W3CDTF">2023-09-24T11:33:35Z</dcterms:modified>
  <dc:title>四川省***</dc:title>
  <cp:revision>193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2052-12.1.0.15673</vt:lpwstr>
  </property>
  <property fmtid="{D5CDD505-2E9C-101B-9397-08002B2CF9AE}" pid="3" name="ICV">
    <vt:lpwstr>C14F40CA40B849FCB242EA4582E0C981_12</vt:lpwstr>
  </property>
</Properties>
</file>