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黑水县人民法院</w:t>
      </w:r>
    </w:p>
    <w:p>
      <w:pPr>
        <w:jc w:val="center"/>
        <w:rPr>
          <w:rFonts w:ascii="黑体" w:hAnsi="黑体" w:eastAsia="黑体"/>
          <w:sz w:val="44"/>
          <w:szCs w:val="44"/>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1760" w:firstLineChars="400"/>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202</w:t>
      </w:r>
      <w:r>
        <w:rPr>
          <w:rFonts w:hint="eastAsia" w:ascii="楷体" w:hAnsi="楷体" w:eastAsia="楷体"/>
          <w:sz w:val="32"/>
          <w:szCs w:val="32"/>
          <w:lang w:val="en-US" w:eastAsia="zh-CN"/>
        </w:rPr>
        <w:t>6</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2"/>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按照预算管理有关规定，目前部门预算的编制实行综合预算制度，即全部收入和支出都反映在预算中。</w:t>
      </w: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ind w:firstLine="640" w:firstLineChars="200"/>
        <w:rPr>
          <w:rFonts w:hint="eastAsia" w:ascii="楷体" w:hAnsi="楷体" w:eastAsia="楷体"/>
          <w:sz w:val="32"/>
          <w:szCs w:val="32"/>
        </w:rPr>
      </w:pPr>
      <w:r>
        <w:rPr>
          <w:rFonts w:hint="eastAsia" w:ascii="楷体" w:hAnsi="楷体" w:eastAsia="楷体"/>
          <w:sz w:val="32"/>
          <w:szCs w:val="32"/>
        </w:rPr>
        <w:t>1．主要职能。法院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p>
    <w:p>
      <w:pPr>
        <w:ind w:firstLine="640" w:firstLineChars="200"/>
        <w:rPr>
          <w:rFonts w:hint="eastAsia" w:ascii="楷体" w:hAnsi="楷体" w:eastAsia="楷体"/>
          <w:sz w:val="32"/>
          <w:szCs w:val="32"/>
        </w:rPr>
      </w:pPr>
      <w:r>
        <w:rPr>
          <w:rFonts w:hint="eastAsia" w:ascii="楷体" w:hAnsi="楷体" w:eastAsia="楷体"/>
          <w:sz w:val="32"/>
          <w:szCs w:val="32"/>
        </w:rPr>
        <w:t>2．人员情况。现有政法专项编制</w:t>
      </w:r>
      <w:r>
        <w:rPr>
          <w:rFonts w:hint="eastAsia" w:ascii="楷体" w:hAnsi="楷体" w:eastAsia="楷体"/>
          <w:sz w:val="32"/>
          <w:szCs w:val="32"/>
          <w:lang w:val="en-US" w:eastAsia="zh-CN"/>
        </w:rPr>
        <w:t>52</w:t>
      </w:r>
      <w:r>
        <w:rPr>
          <w:rFonts w:hint="eastAsia" w:ascii="楷体" w:hAnsi="楷体" w:eastAsia="楷体"/>
          <w:sz w:val="32"/>
          <w:szCs w:val="32"/>
        </w:rPr>
        <w:t>名，行政工勤编制</w:t>
      </w:r>
      <w:r>
        <w:rPr>
          <w:rFonts w:hint="eastAsia" w:ascii="楷体" w:hAnsi="楷体" w:eastAsia="楷体"/>
          <w:sz w:val="32"/>
          <w:szCs w:val="32"/>
          <w:lang w:val="en-US" w:eastAsia="zh-CN"/>
        </w:rPr>
        <w:t>3</w:t>
      </w:r>
      <w:r>
        <w:rPr>
          <w:rFonts w:hint="eastAsia" w:ascii="楷体" w:hAnsi="楷体" w:eastAsia="楷体"/>
          <w:sz w:val="32"/>
          <w:szCs w:val="32"/>
        </w:rPr>
        <w:t>名；在编在岗干警</w:t>
      </w:r>
      <w:r>
        <w:rPr>
          <w:rFonts w:hint="eastAsia" w:ascii="楷体" w:hAnsi="楷体" w:eastAsia="楷体"/>
          <w:sz w:val="32"/>
          <w:szCs w:val="32"/>
          <w:lang w:val="en-US" w:eastAsia="zh-CN"/>
        </w:rPr>
        <w:t>48</w:t>
      </w:r>
      <w:r>
        <w:rPr>
          <w:rFonts w:hint="eastAsia" w:ascii="楷体" w:hAnsi="楷体" w:eastAsia="楷体"/>
          <w:sz w:val="32"/>
          <w:szCs w:val="32"/>
        </w:rPr>
        <w:t>人，聘用制书记员</w:t>
      </w:r>
      <w:r>
        <w:rPr>
          <w:rFonts w:hint="eastAsia" w:ascii="楷体" w:hAnsi="楷体" w:eastAsia="楷体"/>
          <w:sz w:val="32"/>
          <w:szCs w:val="32"/>
          <w:lang w:val="en-US" w:eastAsia="zh-CN"/>
        </w:rPr>
        <w:t>18</w:t>
      </w:r>
      <w:r>
        <w:rPr>
          <w:rFonts w:hint="eastAsia" w:ascii="楷体" w:hAnsi="楷体" w:eastAsia="楷体"/>
          <w:sz w:val="32"/>
          <w:szCs w:val="32"/>
        </w:rPr>
        <w:t>人。</w:t>
      </w:r>
    </w:p>
    <w:p>
      <w:pPr>
        <w:ind w:firstLine="640" w:firstLineChars="200"/>
        <w:rPr>
          <w:rFonts w:hint="default" w:ascii="Times New Roman" w:hAnsi="Times New Roman" w:eastAsia="黑体" w:cs="Times New Roman"/>
          <w:sz w:val="32"/>
          <w:szCs w:val="32"/>
        </w:rPr>
      </w:pPr>
      <w:r>
        <w:rPr>
          <w:rFonts w:hint="eastAsia" w:ascii="楷体" w:hAnsi="楷体" w:eastAsia="楷体"/>
          <w:sz w:val="32"/>
          <w:szCs w:val="32"/>
        </w:rPr>
        <w:t>（二）</w:t>
      </w:r>
      <w:r>
        <w:rPr>
          <w:rFonts w:hint="eastAsia" w:ascii="楷体" w:hAnsi="楷体" w:eastAsia="楷体"/>
          <w:sz w:val="32"/>
          <w:szCs w:val="32"/>
          <w:lang w:eastAsia="zh-CN"/>
        </w:rPr>
        <w:t>202</w:t>
      </w:r>
      <w:r>
        <w:rPr>
          <w:rFonts w:hint="eastAsia" w:ascii="楷体" w:hAnsi="楷体" w:eastAsia="楷体"/>
          <w:sz w:val="32"/>
          <w:szCs w:val="32"/>
          <w:lang w:val="en-US" w:eastAsia="zh-CN"/>
        </w:rPr>
        <w:t>6</w:t>
      </w:r>
      <w:r>
        <w:rPr>
          <w:rFonts w:hint="eastAsia" w:ascii="楷体" w:hAnsi="楷体" w:eastAsia="楷体"/>
          <w:sz w:val="32"/>
          <w:szCs w:val="32"/>
        </w:rPr>
        <w:t>年重点工作</w:t>
      </w:r>
    </w:p>
    <w:p>
      <w:pPr>
        <w:ind w:firstLine="640" w:firstLineChars="200"/>
        <w:rPr>
          <w:rFonts w:hint="default" w:ascii="楷体" w:hAnsi="楷体" w:eastAsia="楷体"/>
          <w:sz w:val="32"/>
          <w:szCs w:val="32"/>
          <w:lang w:val="en-US" w:eastAsia="zh-CN"/>
        </w:rPr>
      </w:pPr>
      <w:r>
        <w:rPr>
          <w:rFonts w:hint="default" w:ascii="楷体" w:hAnsi="楷体" w:eastAsia="楷体"/>
          <w:sz w:val="32"/>
          <w:szCs w:val="32"/>
          <w:lang w:eastAsia="zh-CN"/>
        </w:rPr>
        <w:t>2026年，黑水县人民法院</w:t>
      </w:r>
      <w:r>
        <w:rPr>
          <w:rFonts w:hint="default" w:ascii="楷体" w:hAnsi="楷体" w:eastAsia="楷体"/>
          <w:sz w:val="32"/>
          <w:szCs w:val="32"/>
          <w:lang w:val="en-US" w:eastAsia="zh-CN"/>
        </w:rPr>
        <w:t>工作的总体思路是：</w:t>
      </w:r>
      <w:r>
        <w:rPr>
          <w:rFonts w:hint="default" w:ascii="楷体" w:hAnsi="楷体" w:eastAsia="楷体"/>
          <w:sz w:val="32"/>
          <w:szCs w:val="32"/>
        </w:rPr>
        <w:t>坚持以习近平新时代中国特色社会主义思想为指导</w:t>
      </w:r>
      <w:r>
        <w:rPr>
          <w:rFonts w:hint="default" w:ascii="楷体" w:hAnsi="楷体" w:eastAsia="楷体"/>
          <w:sz w:val="32"/>
          <w:szCs w:val="32"/>
          <w:lang w:eastAsia="zh-CN"/>
        </w:rPr>
        <w:t>，</w:t>
      </w:r>
      <w:r>
        <w:rPr>
          <w:rFonts w:hint="default" w:ascii="楷体" w:hAnsi="楷体" w:eastAsia="楷体"/>
          <w:sz w:val="32"/>
          <w:szCs w:val="32"/>
          <w:lang w:val="en-US" w:eastAsia="zh-CN"/>
        </w:rPr>
        <w:t>深入践行习近平法治思想，坚持稳中求进工作总基调，聚集</w:t>
      </w:r>
      <w:r>
        <w:rPr>
          <w:rFonts w:hint="default" w:ascii="楷体" w:hAnsi="楷体" w:eastAsia="楷体"/>
          <w:sz w:val="32"/>
          <w:szCs w:val="32"/>
          <w:lang w:eastAsia="zh-CN"/>
        </w:rPr>
        <w:t>“十五五”</w:t>
      </w:r>
      <w:r>
        <w:rPr>
          <w:rFonts w:hint="default" w:ascii="楷体" w:hAnsi="楷体" w:eastAsia="楷体"/>
          <w:sz w:val="32"/>
          <w:szCs w:val="32"/>
          <w:lang w:val="en-US" w:eastAsia="zh-CN"/>
        </w:rPr>
        <w:t>时期经济社会发展主要目标</w:t>
      </w:r>
      <w:r>
        <w:rPr>
          <w:rFonts w:hint="default" w:ascii="楷体" w:hAnsi="楷体" w:eastAsia="楷体"/>
          <w:sz w:val="32"/>
          <w:szCs w:val="32"/>
          <w:lang w:eastAsia="zh-CN"/>
        </w:rPr>
        <w:t>，</w:t>
      </w:r>
      <w:r>
        <w:rPr>
          <w:rFonts w:hint="default" w:ascii="楷体" w:hAnsi="楷体" w:eastAsia="楷体"/>
          <w:sz w:val="32"/>
          <w:szCs w:val="32"/>
          <w:lang w:val="en-US" w:eastAsia="zh-CN"/>
        </w:rPr>
        <w:t>认真贯彻落实中央、省委、州委、县委和上级法院工作要求，</w:t>
      </w:r>
      <w:r>
        <w:rPr>
          <w:rFonts w:hint="default" w:ascii="楷体" w:hAnsi="楷体" w:eastAsia="楷体"/>
          <w:sz w:val="32"/>
          <w:szCs w:val="32"/>
          <w:lang w:eastAsia="zh-CN"/>
        </w:rPr>
        <w:t>强化司法担当，</w:t>
      </w:r>
      <w:r>
        <w:rPr>
          <w:rFonts w:hint="default" w:ascii="楷体" w:hAnsi="楷体" w:eastAsia="楷体"/>
          <w:sz w:val="32"/>
          <w:szCs w:val="32"/>
          <w:lang w:val="en-US" w:eastAsia="zh-CN"/>
        </w:rPr>
        <w:t>更加注重抓前端、治未病，更加注重科学管理审判工作，更加注重矛盾纠纷实质性化解，更加注重建设忠诚干净法院队伍，为黑水县高质量发展提供强有力司法保障。</w:t>
      </w:r>
    </w:p>
    <w:p>
      <w:pPr>
        <w:ind w:firstLine="640" w:firstLineChars="200"/>
        <w:rPr>
          <w:rFonts w:hint="default" w:ascii="楷体" w:hAnsi="楷体" w:eastAsia="楷体"/>
          <w:sz w:val="32"/>
          <w:szCs w:val="32"/>
          <w:lang w:eastAsia="zh-CN"/>
        </w:rPr>
      </w:pPr>
      <w:r>
        <w:rPr>
          <w:rFonts w:hint="default" w:ascii="楷体" w:hAnsi="楷体" w:eastAsia="楷体"/>
          <w:sz w:val="32"/>
          <w:szCs w:val="32"/>
        </w:rPr>
        <w:t>一是强化政治担当，以更高站位建设“政治型”人民法院</w:t>
      </w:r>
      <w:r>
        <w:rPr>
          <w:rFonts w:hint="eastAsia" w:ascii="楷体" w:hAnsi="楷体" w:eastAsia="楷体"/>
          <w:sz w:val="32"/>
          <w:szCs w:val="32"/>
          <w:lang w:eastAsia="zh-CN"/>
        </w:rPr>
        <w:t>。</w:t>
      </w:r>
      <w:r>
        <w:rPr>
          <w:rFonts w:hint="default" w:ascii="楷体" w:hAnsi="楷体" w:eastAsia="楷体"/>
          <w:sz w:val="32"/>
          <w:szCs w:val="32"/>
          <w:lang w:eastAsia="zh-CN"/>
        </w:rPr>
        <w:t>始终坚持党对法院工作的绝对领导，严格遵守政治纪律和政治规矩，压紧压实意识形态工作主体责任，切实扛起维护社会公平正义“最后一道防线”的职责使命。始终把习近平法治思想作为“纲”和“魂”融入司法审判各方面各环节，自觉强化政治责任、法治责任、审判责任，把“从政治上看、从法治上办”内化于心、外化于</w:t>
      </w:r>
      <w:r>
        <w:rPr>
          <w:rFonts w:hint="eastAsia" w:ascii="楷体" w:hAnsi="楷体" w:eastAsia="楷体"/>
          <w:sz w:val="32"/>
          <w:szCs w:val="32"/>
          <w:lang w:val="en-US" w:eastAsia="zh-CN"/>
        </w:rPr>
        <w:t>行</w:t>
      </w:r>
      <w:r>
        <w:rPr>
          <w:rFonts w:hint="default" w:ascii="楷体" w:hAnsi="楷体" w:eastAsia="楷体"/>
          <w:sz w:val="32"/>
          <w:szCs w:val="32"/>
          <w:lang w:eastAsia="zh-CN"/>
        </w:rPr>
        <w:t>，确保审判执行工作始终沿着正确方向前进。</w:t>
      </w:r>
    </w:p>
    <w:p>
      <w:pPr>
        <w:ind w:firstLine="640" w:firstLineChars="200"/>
        <w:rPr>
          <w:rFonts w:hint="default" w:ascii="楷体" w:hAnsi="楷体" w:eastAsia="楷体"/>
          <w:sz w:val="32"/>
          <w:szCs w:val="32"/>
          <w:lang w:val="en-US" w:eastAsia="zh-CN"/>
        </w:rPr>
      </w:pPr>
      <w:r>
        <w:rPr>
          <w:rFonts w:hint="default" w:ascii="楷体" w:hAnsi="楷体" w:eastAsia="楷体"/>
          <w:sz w:val="32"/>
          <w:szCs w:val="32"/>
        </w:rPr>
        <w:t>二是延伸审判职能，以更强担当建设“服务型”人民法院</w:t>
      </w:r>
      <w:r>
        <w:rPr>
          <w:rFonts w:hint="eastAsia" w:ascii="楷体" w:hAnsi="楷体" w:eastAsia="楷体"/>
          <w:sz w:val="32"/>
          <w:szCs w:val="32"/>
          <w:lang w:eastAsia="zh-CN"/>
        </w:rPr>
        <w:t>。</w:t>
      </w:r>
      <w:r>
        <w:rPr>
          <w:rFonts w:hint="default" w:ascii="楷体" w:hAnsi="楷体" w:eastAsia="楷体"/>
          <w:sz w:val="32"/>
          <w:szCs w:val="32"/>
          <w:lang w:val="en-US" w:eastAsia="zh-CN"/>
        </w:rPr>
        <w:t>以“如我在诉”意识做实为民服务宗旨,聚焦群众热点、难点、堵点问题，畅通多元解纷渠道，优化诉讼服务体验，积极主动作为，切实为群众解决实际问题。强化法治服务提升，优化法治宣传效应，积极开展“以案释法”等典型案例分享，用身边事教育身边人，提升群众法治理念，让司法服务更接地气。平等保护各类市场主体合法权益，优化法治化营商环境，以法治服务全县经济高质量发展，维护市场主体经济向善向好。</w:t>
      </w:r>
    </w:p>
    <w:p>
      <w:pPr>
        <w:ind w:firstLine="640" w:firstLineChars="200"/>
        <w:rPr>
          <w:rFonts w:hint="eastAsia" w:ascii="楷体" w:hAnsi="楷体" w:eastAsia="楷体"/>
          <w:sz w:val="32"/>
          <w:szCs w:val="32"/>
        </w:rPr>
      </w:pPr>
      <w:r>
        <w:rPr>
          <w:rFonts w:hint="default" w:ascii="楷体" w:hAnsi="楷体" w:eastAsia="楷体"/>
          <w:sz w:val="32"/>
          <w:szCs w:val="32"/>
          <w:lang w:eastAsia="zh-CN"/>
        </w:rPr>
        <w:t>三</w:t>
      </w:r>
      <w:r>
        <w:rPr>
          <w:rFonts w:hint="default" w:ascii="楷体" w:hAnsi="楷体" w:eastAsia="楷体"/>
          <w:sz w:val="32"/>
          <w:szCs w:val="32"/>
        </w:rPr>
        <w:t>是坚持从严治院，以更严标准建设“廉洁型”人民法院</w:t>
      </w:r>
      <w:r>
        <w:rPr>
          <w:rFonts w:hint="eastAsia" w:ascii="楷体" w:hAnsi="楷体" w:eastAsia="楷体"/>
          <w:sz w:val="32"/>
          <w:szCs w:val="32"/>
          <w:lang w:eastAsia="zh-CN"/>
        </w:rPr>
        <w:t>。</w:t>
      </w:r>
      <w:r>
        <w:rPr>
          <w:rFonts w:hint="default" w:ascii="楷体" w:hAnsi="楷体" w:eastAsia="楷体"/>
          <w:sz w:val="32"/>
          <w:szCs w:val="32"/>
          <w:lang w:eastAsia="zh-CN"/>
        </w:rPr>
        <w:t>一体推进政治建设、业务建设、职业道德建设，坚定不移纵深推进全面从严管党治院，以深入贯彻中央八项规定精神学习教育为契机纵深推进正风肃纪反腐，营造风清气正的法院政治生态。围绕司法审判关键环节和重点岗位做实素质提升、制度执行、严格管理，通过管住“案”来管好“人”、治好“院”。建立常态化长效化纪律教育机制，狠抓防止干预司法“三个规定”落实，推进法院工作各环节实现不敢腐、不能腐、不想腐。</w:t>
      </w:r>
    </w:p>
    <w:p>
      <w:pPr>
        <w:pStyle w:val="7"/>
        <w:ind w:firstLine="64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pStyle w:val="7"/>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黑水县人民法院属于行政单位，无下属二级单位。其中内设机构8个，包括政治部（督察室）、综合办公室、民庭（环境资源审判庭）、刑庭、执行局、立案庭（诉讼服务中心）、行政审判庭（未成年人案件审判庭）、审判管理办公室（研究室）。</w:t>
      </w:r>
    </w:p>
    <w:p>
      <w:pPr>
        <w:pStyle w:val="7"/>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ind w:firstLine="640" w:firstLineChars="200"/>
        <w:rPr>
          <w:rFonts w:hint="eastAsia" w:ascii="楷体" w:hAnsi="楷体" w:eastAsia="楷体"/>
          <w:sz w:val="32"/>
          <w:szCs w:val="32"/>
        </w:rPr>
      </w:pPr>
      <w:r>
        <w:rPr>
          <w:rFonts w:hint="eastAsia" w:ascii="楷体" w:hAnsi="楷体" w:eastAsia="楷体"/>
          <w:sz w:val="32"/>
          <w:szCs w:val="32"/>
          <w:lang w:eastAsia="zh-CN"/>
        </w:rPr>
        <w:t>2026年黑水县</w:t>
      </w:r>
      <w:r>
        <w:rPr>
          <w:rFonts w:hint="eastAsia" w:ascii="楷体" w:hAnsi="楷体" w:eastAsia="楷体"/>
          <w:sz w:val="32"/>
          <w:szCs w:val="32"/>
        </w:rPr>
        <w:t>人民法院收入预算总额为</w:t>
      </w:r>
      <w:r>
        <w:rPr>
          <w:rFonts w:hint="eastAsia" w:ascii="楷体" w:hAnsi="楷体" w:eastAsia="楷体"/>
          <w:sz w:val="32"/>
          <w:szCs w:val="32"/>
          <w:lang w:val="en-US" w:eastAsia="zh-CN"/>
        </w:rPr>
        <w:t>1172.61</w:t>
      </w:r>
      <w:r>
        <w:rPr>
          <w:rFonts w:hint="eastAsia" w:ascii="楷体" w:hAnsi="楷体" w:eastAsia="楷体"/>
          <w:sz w:val="32"/>
          <w:szCs w:val="32"/>
        </w:rPr>
        <w:t>万元，其中：当年财政拨款收入</w:t>
      </w:r>
      <w:r>
        <w:rPr>
          <w:rFonts w:hint="eastAsia" w:ascii="楷体" w:hAnsi="楷体" w:eastAsia="楷体"/>
          <w:sz w:val="32"/>
          <w:szCs w:val="32"/>
          <w:lang w:val="en-US" w:eastAsia="zh-CN"/>
        </w:rPr>
        <w:t>1172.61</w:t>
      </w:r>
      <w:r>
        <w:rPr>
          <w:rFonts w:hint="eastAsia" w:ascii="楷体" w:hAnsi="楷体" w:eastAsia="楷体"/>
          <w:sz w:val="32"/>
          <w:szCs w:val="32"/>
        </w:rPr>
        <w:t>万元。相应安排支出预算</w:t>
      </w:r>
      <w:r>
        <w:rPr>
          <w:rFonts w:hint="eastAsia" w:ascii="楷体" w:hAnsi="楷体" w:eastAsia="楷体"/>
          <w:sz w:val="32"/>
          <w:szCs w:val="32"/>
          <w:lang w:val="en-US" w:eastAsia="zh-CN"/>
        </w:rPr>
        <w:t>1172.61</w:t>
      </w:r>
      <w:r>
        <w:rPr>
          <w:rFonts w:hint="eastAsia" w:ascii="楷体" w:hAnsi="楷体" w:eastAsia="楷体"/>
          <w:sz w:val="32"/>
          <w:szCs w:val="32"/>
        </w:rPr>
        <w:t>万元，其中：</w:t>
      </w:r>
      <w:r>
        <w:rPr>
          <w:rFonts w:hint="eastAsia" w:ascii="楷体" w:hAnsi="楷体" w:eastAsia="楷体"/>
          <w:sz w:val="32"/>
          <w:szCs w:val="32"/>
          <w:lang w:val="en-US" w:eastAsia="zh-CN"/>
        </w:rPr>
        <w:t>公共安全支出1046.49</w:t>
      </w:r>
      <w:r>
        <w:rPr>
          <w:rFonts w:hint="eastAsia" w:ascii="楷体" w:hAnsi="楷体" w:eastAsia="楷体"/>
          <w:sz w:val="32"/>
          <w:szCs w:val="32"/>
        </w:rPr>
        <w:t>万元，医疗卫生</w:t>
      </w:r>
      <w:r>
        <w:rPr>
          <w:rFonts w:hint="eastAsia" w:ascii="楷体" w:hAnsi="楷体" w:eastAsia="楷体"/>
          <w:sz w:val="32"/>
          <w:szCs w:val="32"/>
          <w:lang w:eastAsia="zh-CN"/>
        </w:rPr>
        <w:t>支出</w:t>
      </w:r>
      <w:r>
        <w:rPr>
          <w:rFonts w:hint="eastAsia" w:ascii="楷体" w:hAnsi="楷体" w:eastAsia="楷体"/>
          <w:sz w:val="32"/>
          <w:szCs w:val="32"/>
          <w:lang w:val="en-US" w:eastAsia="zh-CN"/>
        </w:rPr>
        <w:t>56.97</w:t>
      </w:r>
      <w:r>
        <w:rPr>
          <w:rFonts w:hint="eastAsia" w:ascii="楷体" w:hAnsi="楷体" w:eastAsia="楷体"/>
          <w:sz w:val="32"/>
          <w:szCs w:val="32"/>
        </w:rPr>
        <w:t>万元，住房保障支出69.14万元。</w:t>
      </w:r>
    </w:p>
    <w:p>
      <w:pPr>
        <w:numPr>
          <w:ilvl w:val="0"/>
          <w:numId w:val="1"/>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widowControl w:val="0"/>
        <w:numPr>
          <w:ilvl w:val="0"/>
          <w:numId w:val="0"/>
        </w:numPr>
        <w:jc w:val="left"/>
        <w:rPr>
          <w:rFonts w:hint="eastAsia" w:ascii="楷体" w:hAnsi="楷体" w:eastAsia="楷体" w:cs="仿宋_GB2312"/>
          <w:sz w:val="32"/>
          <w:szCs w:val="32"/>
        </w:rPr>
      </w:pPr>
      <w:r>
        <w:rPr>
          <w:rFonts w:hint="eastAsia" w:ascii="楷体" w:hAnsi="楷体" w:eastAsia="楷体" w:cs="仿宋_GB2312"/>
          <w:sz w:val="32"/>
          <w:szCs w:val="32"/>
        </w:rPr>
        <w:t xml:space="preserve">  </w:t>
      </w:r>
      <w:r>
        <w:rPr>
          <w:rFonts w:hint="eastAsia" w:ascii="楷体" w:hAnsi="楷体" w:eastAsia="楷体" w:cs="仿宋_GB2312"/>
          <w:sz w:val="32"/>
          <w:szCs w:val="32"/>
          <w:lang w:eastAsia="zh-CN"/>
        </w:rPr>
        <w:t>黑水县</w:t>
      </w:r>
      <w:r>
        <w:rPr>
          <w:rFonts w:hint="eastAsia" w:ascii="楷体" w:hAnsi="楷体" w:eastAsia="楷体" w:cs="仿宋_GB2312"/>
          <w:sz w:val="32"/>
          <w:szCs w:val="32"/>
        </w:rPr>
        <w:t xml:space="preserve">人民法院预算安排支出主要用于保障该部门机构正常运转、完成日常工作任务。  </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基本支出</w:t>
      </w:r>
      <w:r>
        <w:rPr>
          <w:rFonts w:hint="eastAsia" w:ascii="楷体" w:hAnsi="楷体" w:eastAsia="楷体"/>
          <w:sz w:val="32"/>
          <w:szCs w:val="32"/>
          <w:lang w:val="en-US" w:eastAsia="zh-CN"/>
        </w:rPr>
        <w:t>1125.61</w:t>
      </w:r>
      <w:r>
        <w:rPr>
          <w:rFonts w:hint="eastAsia" w:ascii="楷体" w:hAnsi="楷体" w:eastAsia="楷体" w:cs="仿宋_GB2312"/>
          <w:sz w:val="32"/>
          <w:szCs w:val="32"/>
        </w:rPr>
        <w:t>万元。其中人员经费支出</w:t>
      </w:r>
      <w:r>
        <w:rPr>
          <w:rFonts w:hint="eastAsia" w:ascii="楷体" w:hAnsi="楷体" w:eastAsia="楷体" w:cs="仿宋_GB2312"/>
          <w:sz w:val="32"/>
          <w:szCs w:val="32"/>
          <w:lang w:val="en-US" w:eastAsia="zh-CN"/>
        </w:rPr>
        <w:t>990.08</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公用经费135.53</w:t>
      </w:r>
      <w:r>
        <w:rPr>
          <w:rFonts w:hint="eastAsia" w:ascii="楷体" w:hAnsi="楷体" w:eastAsia="楷体" w:cs="仿宋_GB2312"/>
          <w:sz w:val="32"/>
          <w:szCs w:val="32"/>
        </w:rPr>
        <w:t>万元</w:t>
      </w:r>
      <w:r>
        <w:rPr>
          <w:rFonts w:hint="eastAsia" w:ascii="楷体" w:hAnsi="楷体" w:eastAsia="楷体" w:cs="仿宋_GB2312"/>
          <w:sz w:val="32"/>
          <w:szCs w:val="32"/>
          <w:lang w:eastAsia="zh-CN"/>
        </w:rPr>
        <w:t>。日常公用经费包括</w:t>
      </w:r>
      <w:r>
        <w:rPr>
          <w:rFonts w:hint="eastAsia" w:ascii="楷体" w:hAnsi="楷体" w:eastAsia="楷体" w:cs="仿宋_GB2312"/>
          <w:sz w:val="32"/>
          <w:szCs w:val="32"/>
        </w:rPr>
        <w:t>：办公费5.18万元，水费</w:t>
      </w:r>
      <w:r>
        <w:rPr>
          <w:rFonts w:hint="eastAsia" w:ascii="楷体" w:hAnsi="楷体" w:eastAsia="楷体" w:cs="仿宋_GB2312"/>
          <w:sz w:val="32"/>
          <w:szCs w:val="32"/>
          <w:lang w:val="en-US" w:eastAsia="zh-CN"/>
        </w:rPr>
        <w:t>1.56</w:t>
      </w:r>
      <w:r>
        <w:rPr>
          <w:rFonts w:hint="eastAsia" w:ascii="楷体" w:hAnsi="楷体" w:eastAsia="楷体" w:cs="仿宋_GB2312"/>
          <w:sz w:val="32"/>
          <w:szCs w:val="32"/>
        </w:rPr>
        <w:t>万元，邮电费</w:t>
      </w:r>
      <w:r>
        <w:rPr>
          <w:rFonts w:hint="eastAsia" w:ascii="楷体" w:hAnsi="楷体" w:eastAsia="楷体" w:cs="仿宋_GB2312"/>
          <w:sz w:val="32"/>
          <w:szCs w:val="32"/>
          <w:lang w:val="en-US" w:eastAsia="zh-CN"/>
        </w:rPr>
        <w:t>13.13</w:t>
      </w:r>
      <w:r>
        <w:rPr>
          <w:rFonts w:hint="eastAsia" w:ascii="楷体" w:hAnsi="楷体" w:eastAsia="楷体" w:cs="仿宋_GB2312"/>
          <w:sz w:val="32"/>
          <w:szCs w:val="32"/>
        </w:rPr>
        <w:t>万元，取暖费</w:t>
      </w:r>
      <w:r>
        <w:rPr>
          <w:rFonts w:hint="eastAsia" w:ascii="楷体" w:hAnsi="楷体" w:eastAsia="楷体" w:cs="仿宋_GB2312"/>
          <w:sz w:val="32"/>
          <w:szCs w:val="32"/>
          <w:lang w:val="en-US" w:eastAsia="zh-CN"/>
        </w:rPr>
        <w:t>2.07</w:t>
      </w:r>
      <w:r>
        <w:rPr>
          <w:rFonts w:hint="eastAsia" w:ascii="楷体" w:hAnsi="楷体" w:eastAsia="楷体" w:cs="仿宋_GB2312"/>
          <w:sz w:val="32"/>
          <w:szCs w:val="32"/>
        </w:rPr>
        <w:t>万元，差旅费</w:t>
      </w:r>
      <w:r>
        <w:rPr>
          <w:rFonts w:hint="eastAsia" w:ascii="楷体" w:hAnsi="楷体" w:eastAsia="楷体" w:cs="仿宋_GB2312"/>
          <w:sz w:val="32"/>
          <w:szCs w:val="32"/>
          <w:lang w:val="en-US" w:eastAsia="zh-CN"/>
        </w:rPr>
        <w:t>22.81</w:t>
      </w:r>
      <w:r>
        <w:rPr>
          <w:rFonts w:hint="eastAsia" w:ascii="楷体" w:hAnsi="楷体" w:eastAsia="楷体" w:cs="仿宋_GB2312"/>
          <w:sz w:val="32"/>
          <w:szCs w:val="32"/>
        </w:rPr>
        <w:t>万元，维修</w:t>
      </w:r>
      <w:r>
        <w:rPr>
          <w:rFonts w:hint="eastAsia" w:ascii="楷体" w:hAnsi="楷体" w:eastAsia="楷体" w:cs="仿宋_GB2312"/>
          <w:sz w:val="32"/>
          <w:szCs w:val="32"/>
          <w:lang w:eastAsia="zh-CN"/>
        </w:rPr>
        <w:t>（</w:t>
      </w:r>
      <w:r>
        <w:rPr>
          <w:rFonts w:hint="eastAsia" w:ascii="楷体" w:hAnsi="楷体" w:eastAsia="楷体" w:cs="仿宋_GB2312"/>
          <w:sz w:val="32"/>
          <w:szCs w:val="32"/>
        </w:rPr>
        <w:t>护</w:t>
      </w:r>
      <w:r>
        <w:rPr>
          <w:rFonts w:hint="eastAsia" w:ascii="楷体" w:hAnsi="楷体" w:eastAsia="楷体" w:cs="仿宋_GB2312"/>
          <w:sz w:val="32"/>
          <w:szCs w:val="32"/>
          <w:lang w:eastAsia="zh-CN"/>
        </w:rPr>
        <w:t>）</w:t>
      </w:r>
      <w:r>
        <w:rPr>
          <w:rFonts w:hint="eastAsia" w:ascii="楷体" w:hAnsi="楷体" w:eastAsia="楷体" w:cs="仿宋_GB2312"/>
          <w:sz w:val="32"/>
          <w:szCs w:val="32"/>
        </w:rPr>
        <w:t>费</w:t>
      </w:r>
      <w:r>
        <w:rPr>
          <w:rFonts w:hint="eastAsia" w:ascii="楷体" w:hAnsi="楷体" w:eastAsia="楷体" w:cs="仿宋_GB2312"/>
          <w:sz w:val="32"/>
          <w:szCs w:val="32"/>
          <w:lang w:val="en-US" w:eastAsia="zh-CN"/>
        </w:rPr>
        <w:t>1.37</w:t>
      </w:r>
      <w:r>
        <w:rPr>
          <w:rFonts w:hint="eastAsia" w:ascii="楷体" w:hAnsi="楷体" w:eastAsia="楷体" w:cs="仿宋_GB2312"/>
          <w:sz w:val="32"/>
          <w:szCs w:val="32"/>
        </w:rPr>
        <w:t>万元，培训费</w:t>
      </w:r>
      <w:r>
        <w:rPr>
          <w:rFonts w:hint="eastAsia" w:ascii="楷体" w:hAnsi="楷体" w:eastAsia="楷体" w:cs="仿宋_GB2312"/>
          <w:sz w:val="32"/>
          <w:szCs w:val="32"/>
          <w:lang w:val="en-US" w:eastAsia="zh-CN"/>
        </w:rPr>
        <w:t>7.72</w:t>
      </w:r>
      <w:r>
        <w:rPr>
          <w:rFonts w:hint="eastAsia" w:ascii="楷体" w:hAnsi="楷体" w:eastAsia="楷体" w:cs="仿宋_GB2312"/>
          <w:sz w:val="32"/>
          <w:szCs w:val="32"/>
        </w:rPr>
        <w:t>万元，公务接待费1.8</w:t>
      </w:r>
      <w:r>
        <w:rPr>
          <w:rFonts w:hint="eastAsia" w:ascii="楷体" w:hAnsi="楷体" w:eastAsia="楷体" w:cs="仿宋_GB2312"/>
          <w:sz w:val="32"/>
          <w:szCs w:val="32"/>
          <w:lang w:val="en-US" w:eastAsia="zh-CN"/>
        </w:rPr>
        <w:t>7</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体检费10.23万元，</w:t>
      </w:r>
      <w:r>
        <w:rPr>
          <w:rFonts w:hint="eastAsia" w:ascii="楷体" w:hAnsi="楷体" w:eastAsia="楷体" w:cs="仿宋_GB2312"/>
          <w:sz w:val="32"/>
          <w:szCs w:val="32"/>
        </w:rPr>
        <w:t>公务用车运行维护费</w:t>
      </w:r>
      <w:r>
        <w:rPr>
          <w:rFonts w:hint="eastAsia" w:ascii="楷体" w:hAnsi="楷体" w:eastAsia="楷体" w:cs="仿宋_GB2312"/>
          <w:sz w:val="32"/>
          <w:szCs w:val="32"/>
          <w:lang w:val="en-US" w:eastAsia="zh-CN"/>
        </w:rPr>
        <w:t>22.5</w:t>
      </w:r>
      <w:r>
        <w:rPr>
          <w:rFonts w:hint="eastAsia" w:ascii="楷体" w:hAnsi="楷体" w:eastAsia="楷体" w:cs="仿宋_GB2312"/>
          <w:sz w:val="32"/>
          <w:szCs w:val="32"/>
        </w:rPr>
        <w:t>万元，</w:t>
      </w:r>
      <w:r>
        <w:rPr>
          <w:rFonts w:hint="eastAsia" w:ascii="楷体" w:hAnsi="楷体" w:eastAsia="楷体" w:cs="仿宋_GB2312"/>
          <w:sz w:val="32"/>
          <w:szCs w:val="32"/>
          <w:lang w:eastAsia="zh-CN"/>
        </w:rPr>
        <w:t>残疾人就业保障金</w:t>
      </w:r>
      <w:r>
        <w:rPr>
          <w:rFonts w:hint="eastAsia" w:ascii="楷体" w:hAnsi="楷体" w:eastAsia="楷体" w:cs="仿宋_GB2312"/>
          <w:sz w:val="32"/>
          <w:szCs w:val="32"/>
          <w:lang w:val="en-US" w:eastAsia="zh-CN"/>
        </w:rPr>
        <w:t>7.74，党组织活动经费10.67万元，</w:t>
      </w:r>
      <w:r>
        <w:rPr>
          <w:rFonts w:hint="eastAsia" w:ascii="楷体" w:hAnsi="楷体" w:eastAsia="楷体" w:cs="仿宋_GB2312"/>
          <w:sz w:val="32"/>
          <w:szCs w:val="32"/>
        </w:rPr>
        <w:t>其他商品和服务支出</w:t>
      </w:r>
      <w:r>
        <w:rPr>
          <w:rFonts w:hint="eastAsia" w:ascii="楷体" w:hAnsi="楷体" w:eastAsia="楷体" w:cs="仿宋_GB2312"/>
          <w:sz w:val="32"/>
          <w:szCs w:val="32"/>
          <w:lang w:val="en-US" w:eastAsia="zh-CN"/>
        </w:rPr>
        <w:t>28.68</w:t>
      </w:r>
      <w:r>
        <w:rPr>
          <w:rFonts w:hint="eastAsia" w:ascii="楷体" w:hAnsi="楷体" w:eastAsia="楷体" w:cs="仿宋_GB2312"/>
          <w:sz w:val="32"/>
          <w:szCs w:val="32"/>
        </w:rPr>
        <w:t>万元</w:t>
      </w:r>
      <w:r>
        <w:rPr>
          <w:rFonts w:hint="eastAsia" w:ascii="楷体" w:hAnsi="楷体" w:eastAsia="楷体" w:cs="仿宋_GB2312"/>
          <w:sz w:val="32"/>
          <w:szCs w:val="32"/>
          <w:lang w:eastAsia="zh-CN"/>
        </w:rPr>
        <w:t>，  对个人和家庭的补助5.19</w:t>
      </w:r>
      <w:r>
        <w:rPr>
          <w:rFonts w:hint="eastAsia" w:ascii="楷体" w:hAnsi="楷体" w:eastAsia="楷体" w:cs="仿宋_GB2312"/>
          <w:sz w:val="32"/>
          <w:szCs w:val="32"/>
          <w:lang w:val="en-US" w:eastAsia="zh-CN"/>
        </w:rPr>
        <w:t>万元</w:t>
      </w:r>
      <w:r>
        <w:rPr>
          <w:rFonts w:hint="eastAsia" w:ascii="楷体" w:hAnsi="楷体" w:eastAsia="楷体" w:cs="仿宋_GB2312"/>
          <w:sz w:val="32"/>
          <w:szCs w:val="32"/>
        </w:rPr>
        <w:t>。</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按支出功能分类主要用于以下方面:</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（一）</w:t>
      </w:r>
      <w:r>
        <w:rPr>
          <w:rFonts w:hint="eastAsia" w:ascii="楷体" w:hAnsi="楷体" w:eastAsia="楷体" w:cs="仿宋_GB2312"/>
          <w:sz w:val="32"/>
          <w:szCs w:val="32"/>
          <w:lang w:val="en-US" w:eastAsia="zh-CN"/>
        </w:rPr>
        <w:t>公共安全支出1,046.49</w:t>
      </w:r>
      <w:r>
        <w:rPr>
          <w:rFonts w:hint="eastAsia" w:ascii="楷体" w:hAnsi="楷体" w:eastAsia="楷体" w:cs="仿宋_GB2312"/>
          <w:sz w:val="32"/>
          <w:szCs w:val="32"/>
        </w:rPr>
        <w:t>万元，主要用于机关人员工资、日常运转以及为完成特定行政工作任务安排的年度项目支出。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w:t>
      </w:r>
      <w:r>
        <w:rPr>
          <w:rFonts w:hint="eastAsia" w:ascii="楷体" w:hAnsi="楷体" w:eastAsia="楷体" w:cs="仿宋_GB2312"/>
          <w:sz w:val="32"/>
          <w:szCs w:val="32"/>
          <w:lang w:eastAsia="zh-CN"/>
        </w:rPr>
        <w:t>二</w:t>
      </w:r>
      <w:r>
        <w:rPr>
          <w:rFonts w:hint="eastAsia" w:ascii="楷体" w:hAnsi="楷体" w:eastAsia="楷体" w:cs="仿宋_GB2312"/>
          <w:sz w:val="32"/>
          <w:szCs w:val="32"/>
        </w:rPr>
        <w:t>）医疗卫生</w:t>
      </w:r>
      <w:r>
        <w:rPr>
          <w:rFonts w:hint="eastAsia" w:ascii="楷体" w:hAnsi="楷体" w:eastAsia="楷体" w:cs="仿宋_GB2312"/>
          <w:sz w:val="32"/>
          <w:szCs w:val="32"/>
          <w:lang w:eastAsia="zh-CN"/>
        </w:rPr>
        <w:t>支出</w:t>
      </w:r>
      <w:r>
        <w:rPr>
          <w:rFonts w:hint="eastAsia" w:ascii="楷体" w:hAnsi="楷体" w:eastAsia="楷体" w:cs="仿宋_GB2312"/>
          <w:sz w:val="32"/>
          <w:szCs w:val="32"/>
        </w:rPr>
        <w:t>56.97万元，主要用于机关按照规定标准为职工缴纳的基本医疗保险及公务员医疗补助等支出。</w:t>
      </w:r>
    </w:p>
    <w:p>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w:t>
      </w:r>
      <w:r>
        <w:rPr>
          <w:rFonts w:hint="eastAsia" w:ascii="楷体" w:hAnsi="楷体" w:eastAsia="楷体" w:cs="仿宋_GB2312"/>
          <w:sz w:val="32"/>
          <w:szCs w:val="32"/>
          <w:lang w:eastAsia="zh-CN"/>
        </w:rPr>
        <w:t>三</w:t>
      </w:r>
      <w:r>
        <w:rPr>
          <w:rFonts w:hint="eastAsia" w:ascii="楷体" w:hAnsi="楷体" w:eastAsia="楷体" w:cs="仿宋_GB2312"/>
          <w:sz w:val="32"/>
          <w:szCs w:val="32"/>
        </w:rPr>
        <w:t>）住房保障支出</w:t>
      </w:r>
      <w:r>
        <w:rPr>
          <w:rFonts w:hint="eastAsia" w:ascii="楷体" w:hAnsi="楷体" w:eastAsia="楷体" w:cs="仿宋_GB2312"/>
          <w:sz w:val="32"/>
          <w:szCs w:val="32"/>
          <w:lang w:val="en-US" w:eastAsia="zh-CN"/>
        </w:rPr>
        <w:t>69.14</w:t>
      </w:r>
      <w:r>
        <w:rPr>
          <w:rFonts w:hint="eastAsia" w:ascii="楷体" w:hAnsi="楷体" w:eastAsia="楷体" w:cs="仿宋_GB2312"/>
          <w:sz w:val="32"/>
          <w:szCs w:val="32"/>
        </w:rPr>
        <w:t>万元，用于机关按照规定标准为职工缴纳住房公积金等支出。</w:t>
      </w:r>
    </w:p>
    <w:p>
      <w:pPr>
        <w:widowControl w:val="0"/>
        <w:numPr>
          <w:ilvl w:val="0"/>
          <w:numId w:val="0"/>
        </w:numPr>
        <w:ind w:left="319" w:leftChars="152" w:firstLine="320" w:firstLineChars="100"/>
        <w:jc w:val="left"/>
        <w:rPr>
          <w:rFonts w:hint="eastAsia" w:ascii="黑体" w:hAnsi="黑体" w:eastAsia="黑体"/>
          <w:sz w:val="32"/>
          <w:szCs w:val="32"/>
        </w:rPr>
      </w:pPr>
      <w:r>
        <w:rPr>
          <w:rFonts w:hint="eastAsia" w:ascii="黑体" w:hAnsi="黑体" w:eastAsia="黑体"/>
          <w:sz w:val="32"/>
          <w:szCs w:val="32"/>
        </w:rPr>
        <w:t>四、财政拨款收支预算情况说明</w:t>
      </w:r>
    </w:p>
    <w:p>
      <w:pPr>
        <w:widowControl w:val="0"/>
        <w:numPr>
          <w:ilvl w:val="0"/>
          <w:numId w:val="0"/>
        </w:numPr>
        <w:ind w:firstLine="640" w:firstLineChars="200"/>
        <w:jc w:val="left"/>
        <w:rPr>
          <w:rFonts w:hint="default" w:ascii="楷体" w:hAnsi="楷体" w:eastAsia="楷体" w:cs="仿宋_GB2312"/>
          <w:sz w:val="32"/>
          <w:szCs w:val="32"/>
          <w:lang w:val="en-US" w:eastAsia="zh-CN"/>
        </w:rPr>
      </w:pPr>
      <w:r>
        <w:rPr>
          <w:rFonts w:hint="eastAsia" w:ascii="楷体" w:hAnsi="楷体" w:eastAsia="楷体" w:cs="仿宋_GB2312"/>
          <w:sz w:val="32"/>
          <w:szCs w:val="32"/>
        </w:rPr>
        <w:t>部门</w:t>
      </w:r>
      <w:r>
        <w:rPr>
          <w:rFonts w:hint="eastAsia" w:ascii="楷体" w:hAnsi="楷体" w:eastAsia="楷体" w:cs="仿宋_GB2312"/>
          <w:sz w:val="32"/>
          <w:szCs w:val="32"/>
          <w:lang w:eastAsia="zh-CN"/>
        </w:rPr>
        <w:t>2026年</w:t>
      </w:r>
      <w:r>
        <w:rPr>
          <w:rFonts w:hint="eastAsia" w:ascii="楷体" w:hAnsi="楷体" w:eastAsia="楷体" w:cs="仿宋_GB2312"/>
          <w:sz w:val="32"/>
          <w:szCs w:val="32"/>
        </w:rPr>
        <w:t>财政拨款收支总预算1,172.61万元,比</w:t>
      </w:r>
      <w:r>
        <w:rPr>
          <w:rFonts w:hint="eastAsia" w:ascii="楷体" w:hAnsi="楷体" w:eastAsia="楷体" w:cs="仿宋_GB2312"/>
          <w:sz w:val="32"/>
          <w:szCs w:val="32"/>
          <w:lang w:eastAsia="zh-CN"/>
        </w:rPr>
        <w:t>2025年</w:t>
      </w:r>
      <w:r>
        <w:rPr>
          <w:rFonts w:hint="eastAsia" w:ascii="楷体" w:hAnsi="楷体" w:eastAsia="楷体" w:cs="仿宋_GB2312"/>
          <w:sz w:val="32"/>
          <w:szCs w:val="32"/>
        </w:rPr>
        <w:t>财政拨款收支总预算</w:t>
      </w:r>
      <w:r>
        <w:rPr>
          <w:rFonts w:hint="eastAsia" w:ascii="楷体" w:hAnsi="楷体" w:eastAsia="楷体"/>
          <w:sz w:val="32"/>
          <w:szCs w:val="32"/>
          <w:lang w:val="en-US" w:eastAsia="zh-CN"/>
        </w:rPr>
        <w:t>1080.04</w:t>
      </w:r>
      <w:r>
        <w:rPr>
          <w:rFonts w:hint="eastAsia" w:ascii="楷体" w:hAnsi="楷体" w:eastAsia="楷体" w:cs="仿宋_GB2312"/>
          <w:color w:val="auto"/>
          <w:kern w:val="2"/>
          <w:sz w:val="32"/>
          <w:szCs w:val="32"/>
          <w:lang w:val="en-US" w:eastAsia="zh-CN" w:bidi="ar-SA"/>
        </w:rPr>
        <w:t>万元</w:t>
      </w:r>
      <w:r>
        <w:rPr>
          <w:rFonts w:hint="eastAsia" w:ascii="楷体" w:hAnsi="楷体" w:eastAsia="楷体" w:cs="仿宋_GB2312"/>
          <w:color w:val="auto"/>
          <w:sz w:val="32"/>
          <w:szCs w:val="32"/>
          <w:lang w:eastAsia="zh-CN"/>
        </w:rPr>
        <w:t>增加</w:t>
      </w:r>
      <w:r>
        <w:rPr>
          <w:rFonts w:hint="eastAsia" w:ascii="楷体" w:hAnsi="楷体" w:eastAsia="楷体" w:cs="仿宋_GB2312"/>
          <w:color w:val="auto"/>
          <w:sz w:val="32"/>
          <w:szCs w:val="32"/>
          <w:lang w:val="en-US" w:eastAsia="zh-CN"/>
        </w:rPr>
        <w:t>92.57</w:t>
      </w:r>
      <w:r>
        <w:rPr>
          <w:rFonts w:hint="eastAsia" w:ascii="楷体" w:hAnsi="楷体" w:eastAsia="楷体" w:cs="仿宋_GB2312"/>
          <w:color w:val="auto"/>
          <w:sz w:val="32"/>
          <w:szCs w:val="32"/>
        </w:rPr>
        <w:t>万元</w:t>
      </w:r>
      <w:r>
        <w:rPr>
          <w:rFonts w:hint="eastAsia" w:ascii="楷体" w:hAnsi="楷体" w:eastAsia="楷体" w:cs="仿宋_GB2312"/>
          <w:sz w:val="32"/>
          <w:szCs w:val="32"/>
        </w:rPr>
        <w:t>，主要原因:</w:t>
      </w:r>
      <w:r>
        <w:rPr>
          <w:rFonts w:hint="eastAsia" w:ascii="楷体" w:hAnsi="楷体" w:eastAsia="楷体" w:cs="仿宋_GB2312"/>
          <w:sz w:val="32"/>
          <w:szCs w:val="32"/>
          <w:lang w:val="en-US" w:eastAsia="zh-CN"/>
        </w:rPr>
        <w:t>1.较上年度人员有所增加。2.物业管理费纳入财政保障。3.聘用制书记员工资上调，有所增幅。</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8"/>
        <w:spacing w:before="0" w:line="360" w:lineRule="auto"/>
        <w:ind w:firstLine="640" w:firstLineChars="200"/>
        <w:rPr>
          <w:rFonts w:hint="eastAsia" w:ascii="楷体" w:hAnsi="楷体" w:eastAsia="楷体" w:cs="仿宋_GB2312"/>
          <w:sz w:val="32"/>
          <w:szCs w:val="32"/>
          <w:lang w:val="en-US" w:eastAsia="zh-CN"/>
        </w:rPr>
      </w:pPr>
      <w:r>
        <w:rPr>
          <w:rFonts w:hint="eastAsia" w:ascii="楷体" w:hAnsi="楷体" w:eastAsia="楷体" w:cs="仿宋_GB2312"/>
          <w:sz w:val="32"/>
          <w:szCs w:val="32"/>
        </w:rPr>
        <w:t>部门</w:t>
      </w:r>
      <w:r>
        <w:rPr>
          <w:rFonts w:hint="eastAsia" w:ascii="楷体" w:hAnsi="楷体" w:eastAsia="楷体" w:cs="仿宋_GB2312"/>
          <w:sz w:val="32"/>
          <w:szCs w:val="32"/>
          <w:lang w:eastAsia="zh-CN"/>
        </w:rPr>
        <w:t>2026年</w:t>
      </w:r>
      <w:r>
        <w:rPr>
          <w:rFonts w:hint="eastAsia" w:ascii="楷体" w:hAnsi="楷体" w:eastAsia="楷体" w:cs="仿宋_GB2312"/>
          <w:sz w:val="32"/>
          <w:szCs w:val="32"/>
        </w:rPr>
        <w:t>财政拨款收支总预算1,172.61万元,比</w:t>
      </w:r>
      <w:r>
        <w:rPr>
          <w:rFonts w:hint="eastAsia" w:ascii="楷体" w:hAnsi="楷体" w:eastAsia="楷体" w:cs="仿宋_GB2312"/>
          <w:sz w:val="32"/>
          <w:szCs w:val="32"/>
          <w:lang w:eastAsia="zh-CN"/>
        </w:rPr>
        <w:t>202</w:t>
      </w:r>
      <w:r>
        <w:rPr>
          <w:rFonts w:hint="eastAsia" w:ascii="楷体" w:hAnsi="楷体" w:eastAsia="楷体" w:cs="仿宋_GB2312"/>
          <w:sz w:val="32"/>
          <w:szCs w:val="32"/>
          <w:lang w:val="en-US" w:eastAsia="zh-CN"/>
        </w:rPr>
        <w:t>5</w:t>
      </w:r>
      <w:r>
        <w:rPr>
          <w:rFonts w:hint="eastAsia" w:ascii="楷体" w:hAnsi="楷体" w:eastAsia="楷体" w:cs="仿宋_GB2312"/>
          <w:sz w:val="32"/>
          <w:szCs w:val="32"/>
          <w:lang w:eastAsia="zh-CN"/>
        </w:rPr>
        <w:t>年</w:t>
      </w:r>
      <w:r>
        <w:rPr>
          <w:rFonts w:hint="eastAsia" w:ascii="楷体" w:hAnsi="楷体" w:eastAsia="楷体" w:cs="仿宋_GB2312"/>
          <w:sz w:val="32"/>
          <w:szCs w:val="32"/>
        </w:rPr>
        <w:t>财政拨款收支总预算</w:t>
      </w:r>
      <w:r>
        <w:rPr>
          <w:rFonts w:hint="eastAsia" w:ascii="楷体" w:hAnsi="楷体" w:eastAsia="楷体"/>
          <w:sz w:val="32"/>
          <w:szCs w:val="32"/>
          <w:lang w:val="en-US" w:eastAsia="zh-CN"/>
        </w:rPr>
        <w:t>1080.04</w:t>
      </w:r>
      <w:r>
        <w:rPr>
          <w:rFonts w:hint="eastAsia" w:ascii="楷体" w:hAnsi="楷体" w:eastAsia="楷体" w:cs="仿宋_GB2312"/>
          <w:color w:val="auto"/>
          <w:kern w:val="2"/>
          <w:sz w:val="32"/>
          <w:szCs w:val="32"/>
          <w:lang w:val="en-US" w:eastAsia="zh-CN" w:bidi="ar-SA"/>
        </w:rPr>
        <w:t>万元</w:t>
      </w:r>
      <w:r>
        <w:rPr>
          <w:rFonts w:hint="eastAsia" w:ascii="楷体" w:hAnsi="楷体" w:eastAsia="楷体" w:cs="仿宋_GB2312"/>
          <w:color w:val="auto"/>
          <w:sz w:val="32"/>
          <w:szCs w:val="32"/>
          <w:lang w:eastAsia="zh-CN"/>
        </w:rPr>
        <w:t>增加</w:t>
      </w:r>
      <w:r>
        <w:rPr>
          <w:rFonts w:hint="eastAsia" w:ascii="楷体" w:hAnsi="楷体" w:eastAsia="楷体" w:cs="仿宋_GB2312"/>
          <w:color w:val="auto"/>
          <w:sz w:val="32"/>
          <w:szCs w:val="32"/>
          <w:lang w:val="en-US" w:eastAsia="zh-CN"/>
        </w:rPr>
        <w:t>92.57</w:t>
      </w:r>
      <w:r>
        <w:rPr>
          <w:rFonts w:hint="eastAsia" w:ascii="楷体" w:hAnsi="楷体" w:eastAsia="楷体" w:cs="仿宋_GB2312"/>
          <w:color w:val="auto"/>
          <w:sz w:val="32"/>
          <w:szCs w:val="32"/>
        </w:rPr>
        <w:t>万元</w:t>
      </w:r>
      <w:r>
        <w:rPr>
          <w:rFonts w:hint="eastAsia" w:ascii="楷体" w:hAnsi="楷体" w:eastAsia="楷体" w:cs="仿宋_GB2312"/>
          <w:sz w:val="32"/>
          <w:szCs w:val="32"/>
        </w:rPr>
        <w:t>，主要原因:</w:t>
      </w:r>
      <w:r>
        <w:rPr>
          <w:rFonts w:hint="eastAsia" w:ascii="楷体" w:hAnsi="楷体" w:eastAsia="楷体" w:cs="仿宋_GB2312"/>
          <w:sz w:val="32"/>
          <w:szCs w:val="32"/>
          <w:lang w:val="en-US" w:eastAsia="zh-CN"/>
        </w:rPr>
        <w:t>1.严格按照预算编制要求核算人员经费。2.今年保障物业管理费。3.聘用制书记员工资上涨。</w:t>
      </w:r>
    </w:p>
    <w:p>
      <w:pPr>
        <w:pStyle w:val="8"/>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pStyle w:val="8"/>
        <w:spacing w:before="0" w:line="360" w:lineRule="auto"/>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 xml:space="preserve">     部门2026年公共安全支出1,046.49万元，占比89.24%；卫生健康支出</w:t>
      </w:r>
      <w:r>
        <w:rPr>
          <w:rFonts w:hint="eastAsia" w:ascii="楷体" w:hAnsi="楷体" w:eastAsia="楷体"/>
          <w:sz w:val="32"/>
          <w:szCs w:val="32"/>
          <w:lang w:val="en-US" w:eastAsia="zh-CN"/>
        </w:rPr>
        <w:t>56.97</w:t>
      </w:r>
      <w:r>
        <w:rPr>
          <w:rFonts w:hint="eastAsia" w:ascii="楷体" w:hAnsi="楷体" w:eastAsia="楷体" w:cs="仿宋_GB2312"/>
          <w:kern w:val="2"/>
          <w:sz w:val="32"/>
          <w:szCs w:val="32"/>
          <w:lang w:val="en-US" w:eastAsia="zh-CN" w:bidi="ar-SA"/>
        </w:rPr>
        <w:t>万元，占4.86%；住房保障支出</w:t>
      </w:r>
      <w:r>
        <w:rPr>
          <w:rFonts w:hint="eastAsia" w:ascii="楷体" w:hAnsi="楷体" w:eastAsia="楷体" w:cs="仿宋_GB2312"/>
          <w:sz w:val="32"/>
          <w:szCs w:val="32"/>
          <w:lang w:val="en-US" w:eastAsia="zh-CN"/>
        </w:rPr>
        <w:t>69.14</w:t>
      </w:r>
      <w:r>
        <w:rPr>
          <w:rFonts w:hint="eastAsia" w:ascii="楷体" w:hAnsi="楷体" w:eastAsia="楷体" w:cs="仿宋_GB2312"/>
          <w:kern w:val="2"/>
          <w:sz w:val="32"/>
          <w:szCs w:val="32"/>
          <w:lang w:val="en-US" w:eastAsia="zh-CN" w:bidi="ar-SA"/>
        </w:rPr>
        <w:t>万元，占5.90%。</w:t>
      </w:r>
    </w:p>
    <w:p>
      <w:pPr>
        <w:pStyle w:val="8"/>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8"/>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部门工资福利支出983.74万元，占83.89%，商品和服务支出183.68万元，占15.66%，对个人和家庭的补助5.19万元，占0.44%。</w:t>
      </w:r>
    </w:p>
    <w:p>
      <w:pPr>
        <w:pStyle w:val="8"/>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部门2026年一般公共预算基本支出1125.61万元，其中：人员经费</w:t>
      </w:r>
      <w:r>
        <w:rPr>
          <w:rFonts w:hint="eastAsia" w:ascii="楷体" w:hAnsi="楷体" w:eastAsia="楷体" w:cs="仿宋_GB2312"/>
          <w:sz w:val="32"/>
          <w:szCs w:val="32"/>
          <w:lang w:val="en-US" w:eastAsia="zh-CN"/>
        </w:rPr>
        <w:t>990.08</w:t>
      </w:r>
      <w:r>
        <w:rPr>
          <w:rFonts w:hint="eastAsia" w:ascii="楷体" w:hAnsi="楷体" w:eastAsia="楷体" w:cs="仿宋_GB2312"/>
          <w:kern w:val="2"/>
          <w:sz w:val="32"/>
          <w:szCs w:val="32"/>
          <w:lang w:val="en-US" w:eastAsia="zh-CN" w:bidi="ar-SA"/>
        </w:rPr>
        <w:t>万元，主要包括：基本工资、津贴补贴、奖金、其他社会保障缴费、职工基本医疗保险、公务员医疗补助缴费、机关事业单位基本养老保险缴费、职业年金缴费、其他工资福利支出、奖励</w:t>
      </w:r>
      <w:bookmarkStart w:id="0" w:name="_GoBack"/>
      <w:bookmarkEnd w:id="0"/>
      <w:r>
        <w:rPr>
          <w:rFonts w:hint="eastAsia" w:ascii="楷体" w:hAnsi="楷体" w:eastAsia="楷体" w:cs="仿宋_GB2312"/>
          <w:kern w:val="2"/>
          <w:sz w:val="32"/>
          <w:szCs w:val="32"/>
          <w:lang w:val="en-US" w:eastAsia="zh-CN" w:bidi="ar-SA"/>
        </w:rPr>
        <w:t>金、住房公积金。</w:t>
      </w:r>
    </w:p>
    <w:p>
      <w:pPr>
        <w:pStyle w:val="8"/>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lang w:val="en-US" w:eastAsia="zh-CN" w:bidi="ar-SA"/>
        </w:rPr>
        <w:t>公用经费</w:t>
      </w:r>
      <w:r>
        <w:rPr>
          <w:rFonts w:hint="eastAsia" w:ascii="楷体" w:hAnsi="楷体" w:eastAsia="楷体" w:cs="仿宋_GB2312"/>
          <w:sz w:val="32"/>
          <w:szCs w:val="32"/>
          <w:lang w:val="en-US" w:eastAsia="zh-CN"/>
        </w:rPr>
        <w:t>135.53</w:t>
      </w:r>
      <w:r>
        <w:rPr>
          <w:rFonts w:hint="eastAsia" w:ascii="楷体" w:hAnsi="楷体" w:eastAsia="楷体" w:cs="仿宋_GB2312"/>
          <w:kern w:val="2"/>
          <w:sz w:val="32"/>
          <w:szCs w:val="32"/>
          <w:lang w:val="en-US" w:eastAsia="zh-CN" w:bidi="ar-SA"/>
        </w:rPr>
        <w:t>万元，主要包括：办公费、水费、邮电费、取暖费、差旅费、维修（护）费、培训费、公务接待费、福利费、公务用车运行维护费、其他商品和服务支出。</w:t>
      </w:r>
      <w:r>
        <w:rPr>
          <w:rFonts w:hint="eastAsia" w:ascii="楷体" w:hAnsi="楷体" w:eastAsia="楷体" w:cs="仿宋_GB2312"/>
          <w:kern w:val="2"/>
          <w:sz w:val="32"/>
          <w:szCs w:val="32"/>
          <w:lang w:val="en-US" w:eastAsia="zh-CN" w:bidi="ar-SA"/>
        </w:rPr>
        <w:br w:type="textWrapping"/>
      </w: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部门2026年“三公”经费财政拨款预算数24.37万元，其中：因公出国（境）经费0.00万元，公务接待费1.87万元，公务用车购置及运行维护费22.5万元。</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（一）2026年因公出国（境）经费0.00万元。</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（二）2026年公务接待经费1.87万元。较2025年预算经费1.84万元增加0.03万元，增加1.60%，主要原因案件量增加，接待费增加。</w:t>
      </w:r>
    </w:p>
    <w:p>
      <w:pPr>
        <w:pStyle w:val="8"/>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（三）2026年公务用车购置及运行维护费22.5万元。较2025年预算经费22.5万元增加0.00万元，增长0.00%，主要原因科学合理的按照车辆计算公务用车运行维护费，避免出现经费短缺现象。</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部门（单位）2026年政府性基金预算拨款安排的支出0.00万元。与2025年预算经费持平。</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8"/>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lang w:val="en-US" w:eastAsia="zh-CN" w:bidi="ar-SA"/>
        </w:rPr>
        <w:t xml:space="preserve">  部门2026年机关运行经费财政拨款预算为135.53万元，比2025年预算141.16万元减少5.63万元，减少4.15%。，减少部分为其他商品服务支出。</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（二）政府采购情况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2026年部门安排政府采购预算0.00万元。</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（三）国有资产占有使用情况</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截至2025年12月31日，我单位固定资产原值2053.76万元。</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（四）绩效目标设置情况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2026年部门（单位）通用项目和专用项目均按要求实行绩效目标管理，涉及一般公共预算当年拨款1,172.61万元。</w:t>
      </w:r>
    </w:p>
    <w:p>
      <w:pPr>
        <w:pStyle w:val="8"/>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hAnsi="楷体" w:eastAsia="楷体" w:cs="仿宋_GB2312"/>
          <w:kern w:val="2"/>
          <w:sz w:val="32"/>
          <w:szCs w:val="32"/>
          <w:lang w:val="en-US" w:eastAsia="zh-CN" w:bidi="ar-SA"/>
        </w:rPr>
        <w:t xml:space="preserve">   （一）财政拨款收入：指由财政拨款形成的部门收入。按现行管理制度，部门预算中反映的财政拨款仅包括一般公共预算拨款和政府性基金预算拨款。</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（二）事业收入：指所属事业单位开展专业业务活动及辅助活动所取得的收入。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 w:name="Arial">
    <w:altName w:val="Times New Roman"/>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5F50"/>
    <w:multiLevelType w:val="singleLevel"/>
    <w:tmpl w:val="1A795F50"/>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TgzMzVkMjI5MjEwNjJmMDU5NTQzNWE0NzQzZTc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08E14513"/>
    <w:rsid w:val="09242365"/>
    <w:rsid w:val="0C3806F9"/>
    <w:rsid w:val="0C6B6599"/>
    <w:rsid w:val="0F2A731A"/>
    <w:rsid w:val="13197D31"/>
    <w:rsid w:val="164003A4"/>
    <w:rsid w:val="16C5583A"/>
    <w:rsid w:val="177904B8"/>
    <w:rsid w:val="1B0406D7"/>
    <w:rsid w:val="1B403B5A"/>
    <w:rsid w:val="1C3F1E54"/>
    <w:rsid w:val="20361CB8"/>
    <w:rsid w:val="21B10C29"/>
    <w:rsid w:val="24575689"/>
    <w:rsid w:val="283E2C54"/>
    <w:rsid w:val="29566940"/>
    <w:rsid w:val="2DFCFCCD"/>
    <w:rsid w:val="2EF77D82"/>
    <w:rsid w:val="32BF7DF5"/>
    <w:rsid w:val="3423489A"/>
    <w:rsid w:val="35C27EF0"/>
    <w:rsid w:val="398C292F"/>
    <w:rsid w:val="3B42150D"/>
    <w:rsid w:val="3ED92559"/>
    <w:rsid w:val="40055655"/>
    <w:rsid w:val="42532DAF"/>
    <w:rsid w:val="48EB0A3F"/>
    <w:rsid w:val="57BDF3F9"/>
    <w:rsid w:val="5ABE7391"/>
    <w:rsid w:val="5F0017C7"/>
    <w:rsid w:val="605B2E22"/>
    <w:rsid w:val="61693C9D"/>
    <w:rsid w:val="63F4233D"/>
    <w:rsid w:val="64CC0F4B"/>
    <w:rsid w:val="6E1D91CC"/>
    <w:rsid w:val="71471CA2"/>
    <w:rsid w:val="7AE4629A"/>
    <w:rsid w:val="7B7A37F6"/>
    <w:rsid w:val="7BFD8B4F"/>
    <w:rsid w:val="7EE32C29"/>
    <w:rsid w:val="7F7F8FE2"/>
    <w:rsid w:val="7FAF499B"/>
    <w:rsid w:val="7FBFC813"/>
    <w:rsid w:val="BADF82A6"/>
    <w:rsid w:val="BFDFBE1E"/>
    <w:rsid w:val="DE7FED5A"/>
    <w:rsid w:val="EBDD1308"/>
    <w:rsid w:val="ECBF4EF0"/>
    <w:rsid w:val="F5FD76F5"/>
    <w:rsid w:val="F79FCBF9"/>
    <w:rsid w:val="FABDB28D"/>
    <w:rsid w:val="FBEAAF7C"/>
    <w:rsid w:val="FEF6F82D"/>
    <w:rsid w:val="FFDE43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note text"/>
    <w:qFormat/>
    <w:uiPriority w:val="0"/>
    <w:pPr>
      <w:adjustRightInd w:val="0"/>
      <w:snapToGrid w:val="0"/>
      <w:spacing w:after="200"/>
      <w:jc w:val="left"/>
    </w:pPr>
    <w:rPr>
      <w:rFonts w:ascii="Tahoma" w:hAnsi="Tahoma" w:eastAsia="微软雅黑" w:cs="Times New Roman"/>
      <w:sz w:val="18"/>
      <w:szCs w:val="18"/>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Words>
  <Characters>56</Characters>
  <Lines>13</Lines>
  <Paragraphs>3</Paragraphs>
  <TotalTime>51</TotalTime>
  <ScaleCrop>false</ScaleCrop>
  <LinksUpToDate>false</LinksUpToDate>
  <CharactersWithSpaces>56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user</cp:lastModifiedBy>
  <cp:lastPrinted>2026-02-03T00:58:00Z</cp:lastPrinted>
  <dcterms:modified xsi:type="dcterms:W3CDTF">2026-02-03T10:04:17Z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E4B66EE4F9764C619F8B73F619CF8CF5_13</vt:lpwstr>
  </property>
</Properties>
</file>