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黑水县人民法院</w:t>
      </w:r>
    </w:p>
    <w:p>
      <w:pPr>
        <w:jc w:val="center"/>
        <w:rPr>
          <w:rFonts w:ascii="黑体" w:hAnsi="黑体" w:eastAsia="黑体"/>
          <w:sz w:val="44"/>
          <w:szCs w:val="44"/>
        </w:rPr>
      </w:pPr>
      <w:r>
        <w:rPr>
          <w:rFonts w:hint="eastAsia" w:ascii="黑体" w:hAnsi="黑体" w:eastAsia="黑体"/>
          <w:sz w:val="44"/>
          <w:szCs w:val="44"/>
          <w:lang w:eastAsia="zh-CN"/>
        </w:rPr>
        <w:t>2025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widowControl/>
        <w:shd w:val="clear" w:color="auto" w:fill="FFFFFF"/>
        <w:jc w:val="center"/>
        <w:rPr>
          <w:rFonts w:ascii="Arial" w:hAnsi="Arial" w:eastAsia="宋体" w:cs="Arial"/>
          <w:color w:val="000000"/>
          <w:kern w:val="0"/>
          <w:sz w:val="24"/>
          <w:szCs w:val="24"/>
        </w:rPr>
      </w:pPr>
    </w:p>
    <w:p>
      <w:pPr>
        <w:widowControl/>
        <w:shd w:val="clear" w:color="auto" w:fill="FFFFFF"/>
        <w:jc w:val="center"/>
        <w:rPr>
          <w:rFonts w:ascii="Arial" w:hAnsi="Arial" w:eastAsia="宋体" w:cs="Arial"/>
          <w:color w:val="000000"/>
          <w:kern w:val="0"/>
          <w:sz w:val="24"/>
          <w:szCs w:val="24"/>
        </w:rPr>
      </w:pPr>
    </w:p>
    <w:p>
      <w:pPr>
        <w:widowControl/>
        <w:shd w:val="clear" w:color="auto" w:fill="FFFFFF"/>
        <w:jc w:val="center"/>
        <w:rPr>
          <w:rFonts w:ascii="Arial" w:hAnsi="Arial" w:eastAsia="宋体" w:cs="Arial"/>
          <w:color w:val="000000"/>
          <w:kern w:val="0"/>
          <w:sz w:val="24"/>
          <w:szCs w:val="24"/>
        </w:rPr>
      </w:pPr>
    </w:p>
    <w:p>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已经保密审查、内容审定，同意对外公开</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hint="eastAsia" w:ascii="楷体" w:hAnsi="楷体" w:eastAsia="楷体"/>
          <w:sz w:val="32"/>
          <w:szCs w:val="32"/>
          <w:lang w:eastAsia="zh-CN"/>
        </w:rPr>
        <w:t>2025</w:t>
      </w:r>
      <w:r>
        <w:rPr>
          <w:rFonts w:hint="eastAsia" w:ascii="楷体" w:hAnsi="楷体" w:eastAsia="楷体"/>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按照预算管理有关规定，目前部门预算的编制实行综合预算制度，即全部收入和支出都反映在预算中。</w:t>
      </w: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ascii="楷体" w:hAnsi="楷体" w:eastAsia="楷体"/>
          <w:sz w:val="32"/>
          <w:szCs w:val="32"/>
        </w:rPr>
      </w:pPr>
      <w:r>
        <w:rPr>
          <w:rFonts w:hint="eastAsia" w:ascii="楷体" w:hAnsi="楷体" w:eastAsia="楷体"/>
          <w:sz w:val="32"/>
          <w:szCs w:val="32"/>
        </w:rPr>
        <w:t>（一）部门职能简介</w:t>
      </w:r>
    </w:p>
    <w:p>
      <w:pPr>
        <w:ind w:firstLine="640" w:firstLineChars="200"/>
        <w:rPr>
          <w:rFonts w:hint="eastAsia" w:ascii="楷体" w:hAnsi="楷体" w:eastAsia="楷体"/>
          <w:sz w:val="32"/>
          <w:szCs w:val="32"/>
        </w:rPr>
      </w:pPr>
      <w:r>
        <w:rPr>
          <w:rFonts w:hint="eastAsia" w:ascii="楷体" w:hAnsi="楷体" w:eastAsia="楷体"/>
          <w:sz w:val="32"/>
          <w:szCs w:val="32"/>
        </w:rPr>
        <w:t>1．主要职能。法院作为国家审判机关，在各级党委、政府的指导下依法独立行使审判权，对县人民代表大会及其常务委员会负责并报告工作。人民法院作为国家的司法机关，承担着维护社会公平正义、保障公民权益、维护法律尊严的重要职责。它的主要职能包括审判、执行和监督，通过司法权力的行使，维护社会秩序，保护人民的合法权益，促进社会稳定和经济发展。</w:t>
      </w:r>
    </w:p>
    <w:p>
      <w:pPr>
        <w:ind w:firstLine="640" w:firstLineChars="200"/>
        <w:rPr>
          <w:rFonts w:hint="eastAsia" w:ascii="楷体" w:hAnsi="楷体" w:eastAsia="楷体"/>
          <w:sz w:val="32"/>
          <w:szCs w:val="32"/>
        </w:rPr>
      </w:pPr>
      <w:r>
        <w:rPr>
          <w:rFonts w:hint="eastAsia" w:ascii="楷体" w:hAnsi="楷体" w:eastAsia="楷体"/>
          <w:sz w:val="32"/>
          <w:szCs w:val="32"/>
        </w:rPr>
        <w:t>2．人员情况。现有政法专项编制</w:t>
      </w:r>
      <w:r>
        <w:rPr>
          <w:rFonts w:hint="eastAsia" w:ascii="楷体" w:hAnsi="楷体" w:eastAsia="楷体"/>
          <w:sz w:val="32"/>
          <w:szCs w:val="32"/>
          <w:lang w:val="en-US" w:eastAsia="zh-CN"/>
        </w:rPr>
        <w:t>52</w:t>
      </w:r>
      <w:r>
        <w:rPr>
          <w:rFonts w:hint="eastAsia" w:ascii="楷体" w:hAnsi="楷体" w:eastAsia="楷体"/>
          <w:sz w:val="32"/>
          <w:szCs w:val="32"/>
        </w:rPr>
        <w:t>名，行政工勤编制</w:t>
      </w:r>
      <w:r>
        <w:rPr>
          <w:rFonts w:hint="eastAsia" w:ascii="楷体" w:hAnsi="楷体" w:eastAsia="楷体"/>
          <w:sz w:val="32"/>
          <w:szCs w:val="32"/>
          <w:lang w:val="en-US" w:eastAsia="zh-CN"/>
        </w:rPr>
        <w:t>3</w:t>
      </w:r>
      <w:r>
        <w:rPr>
          <w:rFonts w:hint="eastAsia" w:ascii="楷体" w:hAnsi="楷体" w:eastAsia="楷体"/>
          <w:sz w:val="32"/>
          <w:szCs w:val="32"/>
        </w:rPr>
        <w:t>名；在编在岗干警</w:t>
      </w:r>
      <w:r>
        <w:rPr>
          <w:rFonts w:hint="eastAsia" w:ascii="楷体" w:hAnsi="楷体" w:eastAsia="楷体"/>
          <w:sz w:val="32"/>
          <w:szCs w:val="32"/>
          <w:lang w:val="en-US" w:eastAsia="zh-CN"/>
        </w:rPr>
        <w:t>47</w:t>
      </w:r>
      <w:r>
        <w:rPr>
          <w:rFonts w:hint="eastAsia" w:ascii="楷体" w:hAnsi="楷体" w:eastAsia="楷体"/>
          <w:sz w:val="32"/>
          <w:szCs w:val="32"/>
        </w:rPr>
        <w:t>人，聘用制书记员</w:t>
      </w:r>
      <w:r>
        <w:rPr>
          <w:rFonts w:hint="eastAsia" w:ascii="楷体" w:hAnsi="楷体" w:eastAsia="楷体"/>
          <w:sz w:val="32"/>
          <w:szCs w:val="32"/>
          <w:lang w:val="en-US" w:eastAsia="zh-CN"/>
        </w:rPr>
        <w:t>18</w:t>
      </w:r>
      <w:r>
        <w:rPr>
          <w:rFonts w:hint="eastAsia" w:ascii="楷体" w:hAnsi="楷体" w:eastAsia="楷体"/>
          <w:sz w:val="32"/>
          <w:szCs w:val="32"/>
        </w:rPr>
        <w:t>人。</w:t>
      </w:r>
    </w:p>
    <w:p>
      <w:pPr>
        <w:ind w:firstLine="640" w:firstLineChars="200"/>
        <w:rPr>
          <w:rFonts w:hint="eastAsia" w:ascii="楷体" w:hAnsi="楷体" w:eastAsia="楷体"/>
          <w:sz w:val="32"/>
          <w:szCs w:val="32"/>
        </w:rPr>
      </w:pPr>
      <w:r>
        <w:rPr>
          <w:rFonts w:hint="eastAsia" w:ascii="楷体" w:hAnsi="楷体" w:eastAsia="楷体"/>
          <w:sz w:val="32"/>
          <w:szCs w:val="32"/>
        </w:rPr>
        <w:t>（二）</w:t>
      </w:r>
      <w:r>
        <w:rPr>
          <w:rFonts w:hint="eastAsia" w:ascii="楷体" w:hAnsi="楷体" w:eastAsia="楷体"/>
          <w:sz w:val="32"/>
          <w:szCs w:val="32"/>
          <w:lang w:eastAsia="zh-CN"/>
        </w:rPr>
        <w:t>2025</w:t>
      </w:r>
      <w:r>
        <w:rPr>
          <w:rFonts w:hint="eastAsia" w:ascii="楷体" w:hAnsi="楷体" w:eastAsia="楷体"/>
          <w:sz w:val="32"/>
          <w:szCs w:val="32"/>
        </w:rPr>
        <w:t>年重点工作</w:t>
      </w:r>
    </w:p>
    <w:p>
      <w:pPr>
        <w:pStyle w:val="6"/>
        <w:numPr>
          <w:ilvl w:val="0"/>
          <w:numId w:val="0"/>
        </w:numPr>
        <w:ind w:firstLine="640" w:firstLineChars="200"/>
        <w:rPr>
          <w:rFonts w:hint="eastAsia" w:ascii="楷体" w:hAnsi="楷体" w:eastAsia="楷体"/>
          <w:sz w:val="32"/>
          <w:szCs w:val="32"/>
        </w:rPr>
      </w:pPr>
      <w:r>
        <w:rPr>
          <w:rFonts w:hint="eastAsia" w:ascii="楷体" w:hAnsi="楷体" w:eastAsia="楷体"/>
          <w:sz w:val="32"/>
          <w:szCs w:val="32"/>
          <w:lang w:eastAsia="zh-CN"/>
        </w:rPr>
        <w:t>黑水县人民法院工作总体思路是：坚持以习近平新时代中国特色社会主义思想为指导，深入贯彻习近平法治思想，全面贯彻党的二十大精神，认真落实二十届历次全会精神、省委十二届五次、六次全会、州委十二届五次全会、县委十四届历次全会决策部署，围绕“公正与效率”工作主题，坚持守正创新、稳中求进，以改革创新促进审判工作提质增效，做实为大局服务、为人民司法，加快推进新时代新征程法院现代化建设，在奋进中国式现代化新征程上勇当先行者，为谱写新篇章提供有力司法保障。</w:t>
      </w:r>
    </w:p>
    <w:p>
      <w:pPr>
        <w:pStyle w:val="6"/>
        <w:ind w:firstLine="640"/>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pPr>
        <w:pStyle w:val="6"/>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黑水县人民法院属于行政单位，无下属二级单位。其中内设机构8个，包括政治部（督察室）、综合办公室、民庭（环境资源审判庭）、刑庭、执行局、立案庭（诉讼服务中心）、行政审判庭（未成年人案件审判庭）、审判管理办公室（研究室）。</w:t>
      </w:r>
    </w:p>
    <w:p>
      <w:pPr>
        <w:pStyle w:val="6"/>
        <w:rPr>
          <w:rFonts w:ascii="黑体" w:hAnsi="黑体" w:eastAsia="黑体"/>
          <w:sz w:val="32"/>
          <w:szCs w:val="32"/>
        </w:rPr>
      </w:pPr>
      <w:r>
        <w:rPr>
          <w:rFonts w:hint="eastAsia" w:ascii="黑体" w:hAnsi="黑体" w:eastAsia="黑体"/>
          <w:sz w:val="32"/>
          <w:szCs w:val="32"/>
        </w:rPr>
        <w:t>三、收支预算情况说明</w:t>
      </w:r>
    </w:p>
    <w:p>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ind w:firstLine="640" w:firstLineChars="200"/>
        <w:rPr>
          <w:rFonts w:hint="eastAsia" w:ascii="楷体" w:hAnsi="楷体" w:eastAsia="楷体"/>
          <w:sz w:val="32"/>
          <w:szCs w:val="32"/>
        </w:rPr>
      </w:pPr>
      <w:r>
        <w:rPr>
          <w:rFonts w:hint="eastAsia" w:ascii="楷体" w:hAnsi="楷体" w:eastAsia="楷体"/>
          <w:sz w:val="32"/>
          <w:szCs w:val="32"/>
          <w:lang w:eastAsia="zh-CN"/>
        </w:rPr>
        <w:t>2025</w:t>
      </w:r>
      <w:r>
        <w:rPr>
          <w:rFonts w:hint="eastAsia" w:ascii="楷体" w:hAnsi="楷体" w:eastAsia="楷体"/>
          <w:sz w:val="32"/>
          <w:szCs w:val="32"/>
        </w:rPr>
        <w:t>年</w:t>
      </w:r>
      <w:r>
        <w:rPr>
          <w:rFonts w:hint="eastAsia" w:ascii="楷体" w:hAnsi="楷体" w:eastAsia="楷体"/>
          <w:sz w:val="32"/>
          <w:szCs w:val="32"/>
          <w:lang w:eastAsia="zh-CN"/>
        </w:rPr>
        <w:t>黑水县</w:t>
      </w:r>
      <w:r>
        <w:rPr>
          <w:rFonts w:hint="eastAsia" w:ascii="楷体" w:hAnsi="楷体" w:eastAsia="楷体"/>
          <w:sz w:val="32"/>
          <w:szCs w:val="32"/>
        </w:rPr>
        <w:t>人民法院收入预算总额为</w:t>
      </w:r>
      <w:r>
        <w:rPr>
          <w:rFonts w:hint="eastAsia" w:ascii="楷体" w:hAnsi="楷体" w:eastAsia="楷体"/>
          <w:sz w:val="32"/>
          <w:szCs w:val="32"/>
          <w:lang w:val="en-US" w:eastAsia="zh-CN"/>
        </w:rPr>
        <w:t>1080.04</w:t>
      </w:r>
      <w:r>
        <w:rPr>
          <w:rFonts w:hint="eastAsia" w:ascii="楷体" w:hAnsi="楷体" w:eastAsia="楷体"/>
          <w:sz w:val="32"/>
          <w:szCs w:val="32"/>
        </w:rPr>
        <w:t>万元，其中：当年财政拨款收入</w:t>
      </w:r>
      <w:r>
        <w:rPr>
          <w:rFonts w:hint="eastAsia" w:ascii="楷体" w:hAnsi="楷体" w:eastAsia="楷体"/>
          <w:sz w:val="32"/>
          <w:szCs w:val="32"/>
          <w:lang w:val="en-US" w:eastAsia="zh-CN"/>
        </w:rPr>
        <w:t>1080.04</w:t>
      </w:r>
      <w:r>
        <w:rPr>
          <w:rFonts w:hint="eastAsia" w:ascii="楷体" w:hAnsi="楷体" w:eastAsia="楷体"/>
          <w:sz w:val="32"/>
          <w:szCs w:val="32"/>
        </w:rPr>
        <w:t>万元。相应安排支出预算</w:t>
      </w:r>
      <w:r>
        <w:rPr>
          <w:rFonts w:hint="eastAsia" w:ascii="楷体" w:hAnsi="楷体" w:eastAsia="楷体"/>
          <w:sz w:val="32"/>
          <w:szCs w:val="32"/>
          <w:lang w:val="en-US" w:eastAsia="zh-CN"/>
        </w:rPr>
        <w:t>1080.04</w:t>
      </w:r>
      <w:r>
        <w:rPr>
          <w:rFonts w:hint="eastAsia" w:ascii="楷体" w:hAnsi="楷体" w:eastAsia="楷体"/>
          <w:sz w:val="32"/>
          <w:szCs w:val="32"/>
        </w:rPr>
        <w:t>万元，其中：</w:t>
      </w:r>
      <w:r>
        <w:rPr>
          <w:rFonts w:hint="eastAsia" w:ascii="楷体" w:hAnsi="楷体" w:eastAsia="楷体"/>
          <w:sz w:val="32"/>
          <w:szCs w:val="32"/>
          <w:lang w:val="en-US" w:eastAsia="zh-CN"/>
        </w:rPr>
        <w:t>公共安全支出764.69</w:t>
      </w:r>
      <w:r>
        <w:rPr>
          <w:rFonts w:hint="eastAsia" w:ascii="楷体" w:hAnsi="楷体" w:eastAsia="楷体"/>
          <w:sz w:val="32"/>
          <w:szCs w:val="32"/>
        </w:rPr>
        <w:t>万元，社会保障和就业</w:t>
      </w:r>
      <w:r>
        <w:rPr>
          <w:rFonts w:hint="eastAsia" w:ascii="楷体" w:hAnsi="楷体" w:eastAsia="楷体"/>
          <w:sz w:val="32"/>
          <w:szCs w:val="32"/>
          <w:lang w:val="en-US" w:eastAsia="zh-CN"/>
        </w:rPr>
        <w:t>171.18</w:t>
      </w:r>
      <w:r>
        <w:rPr>
          <w:rFonts w:hint="eastAsia" w:ascii="楷体" w:hAnsi="楷体" w:eastAsia="楷体"/>
          <w:sz w:val="32"/>
          <w:szCs w:val="32"/>
        </w:rPr>
        <w:t>万元，医疗卫生</w:t>
      </w:r>
      <w:r>
        <w:rPr>
          <w:rFonts w:hint="eastAsia" w:ascii="楷体" w:hAnsi="楷体" w:eastAsia="楷体"/>
          <w:sz w:val="32"/>
          <w:szCs w:val="32"/>
          <w:lang w:val="en-US" w:eastAsia="zh-CN"/>
        </w:rPr>
        <w:t>63.47</w:t>
      </w:r>
      <w:r>
        <w:rPr>
          <w:rFonts w:hint="eastAsia" w:ascii="楷体" w:hAnsi="楷体" w:eastAsia="楷体"/>
          <w:sz w:val="32"/>
          <w:szCs w:val="32"/>
        </w:rPr>
        <w:t>万元，住房保障支出</w:t>
      </w:r>
      <w:r>
        <w:rPr>
          <w:rFonts w:hint="eastAsia" w:ascii="楷体" w:hAnsi="楷体" w:eastAsia="楷体"/>
          <w:sz w:val="32"/>
          <w:szCs w:val="32"/>
          <w:lang w:val="en-US" w:eastAsia="zh-CN"/>
        </w:rPr>
        <w:t>80.70</w:t>
      </w:r>
      <w:r>
        <w:rPr>
          <w:rFonts w:hint="eastAsia" w:ascii="楷体" w:hAnsi="楷体" w:eastAsia="楷体"/>
          <w:sz w:val="32"/>
          <w:szCs w:val="32"/>
        </w:rPr>
        <w:t>万元。</w:t>
      </w:r>
    </w:p>
    <w:p>
      <w:pPr>
        <w:numPr>
          <w:ilvl w:val="0"/>
          <w:numId w:val="1"/>
        </w:numPr>
        <w:ind w:left="640" w:leftChars="0" w:firstLine="0" w:firstLineChars="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pPr>
        <w:widowControl w:val="0"/>
        <w:numPr>
          <w:ilvl w:val="0"/>
          <w:numId w:val="0"/>
        </w:numPr>
        <w:jc w:val="left"/>
        <w:rPr>
          <w:rFonts w:hint="eastAsia" w:ascii="楷体" w:hAnsi="楷体" w:eastAsia="楷体" w:cs="仿宋_GB2312"/>
          <w:sz w:val="32"/>
          <w:szCs w:val="32"/>
        </w:rPr>
      </w:pPr>
      <w:r>
        <w:rPr>
          <w:rFonts w:hint="eastAsia" w:ascii="楷体" w:hAnsi="楷体" w:eastAsia="楷体" w:cs="仿宋_GB2312"/>
          <w:sz w:val="32"/>
          <w:szCs w:val="32"/>
        </w:rPr>
        <w:t xml:space="preserve">  </w:t>
      </w:r>
      <w:r>
        <w:rPr>
          <w:rFonts w:hint="eastAsia" w:ascii="楷体" w:hAnsi="楷体" w:eastAsia="楷体" w:cs="仿宋_GB2312"/>
          <w:sz w:val="32"/>
          <w:szCs w:val="32"/>
          <w:lang w:eastAsia="zh-CN"/>
        </w:rPr>
        <w:t>黑水县</w:t>
      </w:r>
      <w:r>
        <w:rPr>
          <w:rFonts w:hint="eastAsia" w:ascii="楷体" w:hAnsi="楷体" w:eastAsia="楷体" w:cs="仿宋_GB2312"/>
          <w:sz w:val="32"/>
          <w:szCs w:val="32"/>
        </w:rPr>
        <w:t xml:space="preserve">人民法院预算安排支出主要用于保障该部门机构正常运转、完成日常工作任务。  </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基本支出</w:t>
      </w:r>
      <w:r>
        <w:rPr>
          <w:rFonts w:hint="eastAsia" w:ascii="楷体" w:hAnsi="楷体" w:eastAsia="楷体"/>
          <w:sz w:val="32"/>
          <w:szCs w:val="32"/>
          <w:lang w:val="en-US" w:eastAsia="zh-CN"/>
        </w:rPr>
        <w:t>1080.04</w:t>
      </w:r>
      <w:r>
        <w:rPr>
          <w:rFonts w:hint="eastAsia" w:ascii="楷体" w:hAnsi="楷体" w:eastAsia="楷体" w:cs="仿宋_GB2312"/>
          <w:sz w:val="32"/>
          <w:szCs w:val="32"/>
        </w:rPr>
        <w:t>万元。其中人员经费支出</w:t>
      </w:r>
      <w:r>
        <w:rPr>
          <w:rFonts w:hint="eastAsia" w:ascii="楷体" w:hAnsi="楷体" w:eastAsia="楷体" w:cs="仿宋_GB2312"/>
          <w:sz w:val="32"/>
          <w:szCs w:val="32"/>
          <w:lang w:val="en-US" w:eastAsia="zh-CN"/>
        </w:rPr>
        <w:t>938.89</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公用经费141.16</w:t>
      </w:r>
      <w:r>
        <w:rPr>
          <w:rFonts w:hint="eastAsia" w:ascii="楷体" w:hAnsi="楷体" w:eastAsia="楷体" w:cs="仿宋_GB2312"/>
          <w:sz w:val="32"/>
          <w:szCs w:val="32"/>
        </w:rPr>
        <w:t>万元</w:t>
      </w:r>
      <w:r>
        <w:rPr>
          <w:rFonts w:hint="eastAsia" w:ascii="楷体" w:hAnsi="楷体" w:eastAsia="楷体" w:cs="仿宋_GB2312"/>
          <w:sz w:val="32"/>
          <w:szCs w:val="32"/>
          <w:lang w:eastAsia="zh-CN"/>
        </w:rPr>
        <w:t>。</w:t>
      </w:r>
      <w:r>
        <w:rPr>
          <w:rFonts w:hint="eastAsia" w:ascii="楷体" w:hAnsi="楷体" w:eastAsia="楷体" w:cs="仿宋_GB2312"/>
          <w:sz w:val="32"/>
          <w:szCs w:val="32"/>
        </w:rPr>
        <w:t>其中：办公费</w:t>
      </w:r>
      <w:r>
        <w:rPr>
          <w:rFonts w:hint="eastAsia" w:ascii="楷体" w:hAnsi="楷体" w:eastAsia="楷体" w:cs="仿宋_GB2312"/>
          <w:sz w:val="32"/>
          <w:szCs w:val="32"/>
          <w:lang w:val="en-US" w:eastAsia="zh-CN"/>
        </w:rPr>
        <w:t>4.86</w:t>
      </w:r>
      <w:r>
        <w:rPr>
          <w:rFonts w:hint="eastAsia" w:ascii="楷体" w:hAnsi="楷体" w:eastAsia="楷体" w:cs="仿宋_GB2312"/>
          <w:sz w:val="32"/>
          <w:szCs w:val="32"/>
        </w:rPr>
        <w:t>万元，水费</w:t>
      </w:r>
      <w:r>
        <w:rPr>
          <w:rFonts w:hint="eastAsia" w:ascii="楷体" w:hAnsi="楷体" w:eastAsia="楷体" w:cs="仿宋_GB2312"/>
          <w:sz w:val="32"/>
          <w:szCs w:val="32"/>
          <w:lang w:val="en-US" w:eastAsia="zh-CN"/>
        </w:rPr>
        <w:t>1.46</w:t>
      </w:r>
      <w:r>
        <w:rPr>
          <w:rFonts w:hint="eastAsia" w:ascii="楷体" w:hAnsi="楷体" w:eastAsia="楷体" w:cs="仿宋_GB2312"/>
          <w:sz w:val="32"/>
          <w:szCs w:val="32"/>
        </w:rPr>
        <w:t>万元，邮电费</w:t>
      </w:r>
      <w:r>
        <w:rPr>
          <w:rFonts w:hint="eastAsia" w:ascii="楷体" w:hAnsi="楷体" w:eastAsia="楷体" w:cs="仿宋_GB2312"/>
          <w:sz w:val="32"/>
          <w:szCs w:val="32"/>
          <w:lang w:val="en-US" w:eastAsia="zh-CN"/>
        </w:rPr>
        <w:t>13.46</w:t>
      </w:r>
      <w:r>
        <w:rPr>
          <w:rFonts w:hint="eastAsia" w:ascii="楷体" w:hAnsi="楷体" w:eastAsia="楷体" w:cs="仿宋_GB2312"/>
          <w:sz w:val="32"/>
          <w:szCs w:val="32"/>
        </w:rPr>
        <w:t>万元，取暖费</w:t>
      </w:r>
      <w:r>
        <w:rPr>
          <w:rFonts w:hint="eastAsia" w:ascii="楷体" w:hAnsi="楷体" w:eastAsia="楷体" w:cs="仿宋_GB2312"/>
          <w:sz w:val="32"/>
          <w:szCs w:val="32"/>
          <w:lang w:val="en-US" w:eastAsia="zh-CN"/>
        </w:rPr>
        <w:t>1.94</w:t>
      </w:r>
      <w:r>
        <w:rPr>
          <w:rFonts w:hint="eastAsia" w:ascii="楷体" w:hAnsi="楷体" w:eastAsia="楷体" w:cs="仿宋_GB2312"/>
          <w:sz w:val="32"/>
          <w:szCs w:val="32"/>
        </w:rPr>
        <w:t>万元，差旅费</w:t>
      </w:r>
      <w:r>
        <w:rPr>
          <w:rFonts w:hint="eastAsia" w:ascii="楷体" w:hAnsi="楷体" w:eastAsia="楷体" w:cs="仿宋_GB2312"/>
          <w:sz w:val="32"/>
          <w:szCs w:val="32"/>
          <w:lang w:val="en-US" w:eastAsia="zh-CN"/>
        </w:rPr>
        <w:t>21.38</w:t>
      </w:r>
      <w:r>
        <w:rPr>
          <w:rFonts w:hint="eastAsia" w:ascii="楷体" w:hAnsi="楷体" w:eastAsia="楷体" w:cs="仿宋_GB2312"/>
          <w:sz w:val="32"/>
          <w:szCs w:val="32"/>
        </w:rPr>
        <w:t>万元，维修</w:t>
      </w:r>
      <w:r>
        <w:rPr>
          <w:rFonts w:hint="eastAsia" w:ascii="楷体" w:hAnsi="楷体" w:eastAsia="楷体" w:cs="仿宋_GB2312"/>
          <w:sz w:val="32"/>
          <w:szCs w:val="32"/>
          <w:lang w:eastAsia="zh-CN"/>
        </w:rPr>
        <w:t>（</w:t>
      </w:r>
      <w:r>
        <w:rPr>
          <w:rFonts w:hint="eastAsia" w:ascii="楷体" w:hAnsi="楷体" w:eastAsia="楷体" w:cs="仿宋_GB2312"/>
          <w:sz w:val="32"/>
          <w:szCs w:val="32"/>
        </w:rPr>
        <w:t>护</w:t>
      </w:r>
      <w:r>
        <w:rPr>
          <w:rFonts w:hint="eastAsia" w:ascii="楷体" w:hAnsi="楷体" w:eastAsia="楷体" w:cs="仿宋_GB2312"/>
          <w:sz w:val="32"/>
          <w:szCs w:val="32"/>
          <w:lang w:eastAsia="zh-CN"/>
        </w:rPr>
        <w:t>）</w:t>
      </w:r>
      <w:r>
        <w:rPr>
          <w:rFonts w:hint="eastAsia" w:ascii="楷体" w:hAnsi="楷体" w:eastAsia="楷体" w:cs="仿宋_GB2312"/>
          <w:sz w:val="32"/>
          <w:szCs w:val="32"/>
        </w:rPr>
        <w:t>费</w:t>
      </w:r>
      <w:r>
        <w:rPr>
          <w:rFonts w:hint="eastAsia" w:ascii="楷体" w:hAnsi="楷体" w:eastAsia="楷体" w:cs="仿宋_GB2312"/>
          <w:sz w:val="32"/>
          <w:szCs w:val="32"/>
          <w:lang w:val="en-US" w:eastAsia="zh-CN"/>
        </w:rPr>
        <w:t>1.32</w:t>
      </w:r>
      <w:r>
        <w:rPr>
          <w:rFonts w:hint="eastAsia" w:ascii="楷体" w:hAnsi="楷体" w:eastAsia="楷体" w:cs="仿宋_GB2312"/>
          <w:sz w:val="32"/>
          <w:szCs w:val="32"/>
        </w:rPr>
        <w:t>万元，培训费</w:t>
      </w:r>
      <w:r>
        <w:rPr>
          <w:rFonts w:hint="eastAsia" w:ascii="楷体" w:hAnsi="楷体" w:eastAsia="楷体" w:cs="仿宋_GB2312"/>
          <w:sz w:val="32"/>
          <w:szCs w:val="32"/>
          <w:lang w:val="en-US" w:eastAsia="zh-CN"/>
        </w:rPr>
        <w:t>9.04</w:t>
      </w:r>
      <w:r>
        <w:rPr>
          <w:rFonts w:hint="eastAsia" w:ascii="楷体" w:hAnsi="楷体" w:eastAsia="楷体" w:cs="仿宋_GB2312"/>
          <w:sz w:val="32"/>
          <w:szCs w:val="32"/>
        </w:rPr>
        <w:t>万元，公务接待费1.84万元，福利费</w:t>
      </w:r>
      <w:r>
        <w:rPr>
          <w:rFonts w:hint="eastAsia" w:ascii="楷体" w:hAnsi="楷体" w:eastAsia="楷体" w:cs="仿宋_GB2312"/>
          <w:sz w:val="32"/>
          <w:szCs w:val="32"/>
          <w:lang w:val="en-US" w:eastAsia="zh-CN"/>
        </w:rPr>
        <w:t>41.87</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体检费10.97万元，</w:t>
      </w:r>
      <w:r>
        <w:rPr>
          <w:rFonts w:hint="eastAsia" w:ascii="楷体" w:hAnsi="楷体" w:eastAsia="楷体" w:cs="仿宋_GB2312"/>
          <w:sz w:val="32"/>
          <w:szCs w:val="32"/>
        </w:rPr>
        <w:t>公务用车运行维护费</w:t>
      </w:r>
      <w:r>
        <w:rPr>
          <w:rFonts w:hint="eastAsia" w:ascii="楷体" w:hAnsi="楷体" w:eastAsia="楷体" w:cs="仿宋_GB2312"/>
          <w:sz w:val="32"/>
          <w:szCs w:val="32"/>
          <w:lang w:val="en-US" w:eastAsia="zh-CN"/>
        </w:rPr>
        <w:t>22.5</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党组织活动经费13.4万元，</w:t>
      </w:r>
      <w:r>
        <w:rPr>
          <w:rFonts w:hint="eastAsia" w:ascii="楷体" w:hAnsi="楷体" w:eastAsia="楷体" w:cs="仿宋_GB2312"/>
          <w:sz w:val="32"/>
          <w:szCs w:val="32"/>
        </w:rPr>
        <w:t>其他商品和服务支出</w:t>
      </w:r>
      <w:r>
        <w:rPr>
          <w:rFonts w:hint="eastAsia" w:ascii="楷体" w:hAnsi="楷体" w:eastAsia="楷体" w:cs="仿宋_GB2312"/>
          <w:sz w:val="32"/>
          <w:szCs w:val="32"/>
          <w:lang w:val="en-US" w:eastAsia="zh-CN"/>
        </w:rPr>
        <w:t>8.08</w:t>
      </w:r>
      <w:r>
        <w:rPr>
          <w:rFonts w:hint="eastAsia" w:ascii="楷体" w:hAnsi="楷体" w:eastAsia="楷体" w:cs="仿宋_GB2312"/>
          <w:sz w:val="32"/>
          <w:szCs w:val="32"/>
        </w:rPr>
        <w:t>万元。</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按支出功能分类主要用于以下方面:</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（一）</w:t>
      </w:r>
      <w:r>
        <w:rPr>
          <w:rFonts w:hint="eastAsia" w:ascii="楷体" w:hAnsi="楷体" w:eastAsia="楷体" w:cs="仿宋_GB2312"/>
          <w:sz w:val="32"/>
          <w:szCs w:val="32"/>
          <w:lang w:val="en-US" w:eastAsia="zh-CN"/>
        </w:rPr>
        <w:t>公共安全支出764.69</w:t>
      </w:r>
      <w:r>
        <w:rPr>
          <w:rFonts w:hint="eastAsia" w:ascii="楷体" w:hAnsi="楷体" w:eastAsia="楷体" w:cs="仿宋_GB2312"/>
          <w:sz w:val="32"/>
          <w:szCs w:val="32"/>
        </w:rPr>
        <w:t>万元，主要用于机关人员工资、日常运转以及为完成特定行政工作任务安排的年度项目支出。</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（二）社会保障和就业</w:t>
      </w:r>
      <w:r>
        <w:rPr>
          <w:rFonts w:hint="eastAsia" w:ascii="楷体" w:hAnsi="楷体" w:eastAsia="楷体"/>
          <w:sz w:val="32"/>
          <w:szCs w:val="32"/>
          <w:lang w:val="en-US" w:eastAsia="zh-CN"/>
        </w:rPr>
        <w:t>171.18</w:t>
      </w:r>
      <w:r>
        <w:rPr>
          <w:rFonts w:hint="eastAsia" w:ascii="楷体" w:hAnsi="楷体" w:eastAsia="楷体" w:cs="仿宋_GB2312"/>
          <w:sz w:val="32"/>
          <w:szCs w:val="32"/>
        </w:rPr>
        <w:t>万元，主要用于机关养老保险及职业年金缴费。</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（三）医疗卫生</w:t>
      </w:r>
      <w:r>
        <w:rPr>
          <w:rFonts w:hint="eastAsia" w:ascii="楷体" w:hAnsi="楷体" w:eastAsia="楷体"/>
          <w:sz w:val="32"/>
          <w:szCs w:val="32"/>
          <w:lang w:val="en-US" w:eastAsia="zh-CN"/>
        </w:rPr>
        <w:t>63.47</w:t>
      </w:r>
      <w:r>
        <w:rPr>
          <w:rFonts w:hint="eastAsia" w:ascii="楷体" w:hAnsi="楷体" w:eastAsia="楷体" w:cs="仿宋_GB2312"/>
          <w:sz w:val="32"/>
          <w:szCs w:val="32"/>
        </w:rPr>
        <w:t>万元，主要用于机关按照规定标准为职工缴纳的基本医疗保险及公务员医疗补助等支出。</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（四）住房保障支出</w:t>
      </w:r>
      <w:r>
        <w:rPr>
          <w:rFonts w:hint="eastAsia" w:ascii="楷体" w:hAnsi="楷体" w:eastAsia="楷体" w:cs="仿宋_GB2312"/>
          <w:sz w:val="32"/>
          <w:szCs w:val="32"/>
          <w:lang w:val="en-US" w:eastAsia="zh-CN"/>
        </w:rPr>
        <w:t>8</w:t>
      </w:r>
      <w:r>
        <w:rPr>
          <w:rFonts w:hint="eastAsia" w:ascii="楷体" w:hAnsi="楷体" w:eastAsia="楷体"/>
          <w:sz w:val="32"/>
          <w:szCs w:val="32"/>
          <w:lang w:val="en-US" w:eastAsia="zh-CN"/>
        </w:rPr>
        <w:t>0.70</w:t>
      </w:r>
      <w:r>
        <w:rPr>
          <w:rFonts w:hint="eastAsia" w:ascii="楷体" w:hAnsi="楷体" w:eastAsia="楷体" w:cs="仿宋_GB2312"/>
          <w:sz w:val="32"/>
          <w:szCs w:val="32"/>
        </w:rPr>
        <w:t>万元，用于机关按照规定标准为职工缴纳住房公积金等支出。</w:t>
      </w:r>
    </w:p>
    <w:p>
      <w:pPr>
        <w:widowControl w:val="0"/>
        <w:numPr>
          <w:ilvl w:val="0"/>
          <w:numId w:val="0"/>
        </w:numPr>
        <w:ind w:left="319" w:leftChars="152" w:firstLine="320" w:firstLineChars="100"/>
        <w:jc w:val="left"/>
        <w:rPr>
          <w:rFonts w:hint="eastAsia" w:ascii="黑体" w:hAnsi="黑体" w:eastAsia="黑体"/>
          <w:sz w:val="32"/>
          <w:szCs w:val="32"/>
        </w:rPr>
      </w:pPr>
      <w:r>
        <w:rPr>
          <w:rFonts w:hint="eastAsia" w:ascii="黑体" w:hAnsi="黑体" w:eastAsia="黑体"/>
          <w:sz w:val="32"/>
          <w:szCs w:val="32"/>
        </w:rPr>
        <w:t>四、财政拨款收支预算情况说明</w:t>
      </w:r>
    </w:p>
    <w:p>
      <w:pPr>
        <w:widowControl w:val="0"/>
        <w:numPr>
          <w:ilvl w:val="0"/>
          <w:numId w:val="0"/>
        </w:numPr>
        <w:ind w:firstLine="640" w:firstLineChars="200"/>
        <w:jc w:val="left"/>
        <w:rPr>
          <w:rFonts w:hint="default" w:ascii="楷体" w:hAnsi="楷体" w:eastAsia="楷体" w:cs="仿宋_GB2312"/>
          <w:sz w:val="32"/>
          <w:szCs w:val="32"/>
          <w:lang w:val="en-US" w:eastAsia="zh-CN"/>
        </w:rPr>
      </w:pPr>
      <w:r>
        <w:rPr>
          <w:rFonts w:hint="eastAsia" w:ascii="楷体" w:hAnsi="楷体" w:eastAsia="楷体" w:cs="仿宋_GB2312"/>
          <w:sz w:val="32"/>
          <w:szCs w:val="32"/>
        </w:rPr>
        <w:t>部门</w:t>
      </w:r>
      <w:r>
        <w:rPr>
          <w:rFonts w:hint="eastAsia" w:ascii="楷体" w:hAnsi="楷体" w:eastAsia="楷体" w:cs="仿宋_GB2312"/>
          <w:sz w:val="32"/>
          <w:szCs w:val="32"/>
          <w:lang w:eastAsia="zh-CN"/>
        </w:rPr>
        <w:t>2025</w:t>
      </w:r>
      <w:r>
        <w:rPr>
          <w:rFonts w:hint="eastAsia" w:ascii="楷体" w:hAnsi="楷体" w:eastAsia="楷体" w:cs="仿宋_GB2312"/>
          <w:sz w:val="32"/>
          <w:szCs w:val="32"/>
        </w:rPr>
        <w:t>年财政拨款收支总预算</w:t>
      </w:r>
      <w:r>
        <w:rPr>
          <w:rFonts w:hint="eastAsia" w:ascii="楷体" w:hAnsi="楷体" w:eastAsia="楷体"/>
          <w:sz w:val="32"/>
          <w:szCs w:val="32"/>
          <w:lang w:val="en-US" w:eastAsia="zh-CN"/>
        </w:rPr>
        <w:t>1080.04</w:t>
      </w:r>
      <w:r>
        <w:rPr>
          <w:rFonts w:hint="eastAsia" w:ascii="楷体" w:hAnsi="楷体" w:eastAsia="楷体" w:cs="仿宋_GB2312"/>
          <w:sz w:val="32"/>
          <w:szCs w:val="32"/>
        </w:rPr>
        <w:t>万元,比</w:t>
      </w:r>
      <w:r>
        <w:rPr>
          <w:rFonts w:hint="eastAsia" w:ascii="楷体" w:hAnsi="楷体" w:eastAsia="楷体" w:cs="仿宋_GB2312"/>
          <w:sz w:val="32"/>
          <w:szCs w:val="32"/>
          <w:lang w:eastAsia="zh-CN"/>
        </w:rPr>
        <w:t>2024年</w:t>
      </w:r>
      <w:r>
        <w:rPr>
          <w:rFonts w:hint="eastAsia" w:ascii="楷体" w:hAnsi="楷体" w:eastAsia="楷体" w:cs="仿宋_GB2312"/>
          <w:sz w:val="32"/>
          <w:szCs w:val="32"/>
        </w:rPr>
        <w:t>财政拨款收支总预算</w:t>
      </w:r>
      <w:r>
        <w:rPr>
          <w:rFonts w:hint="eastAsia" w:ascii="楷体" w:hAnsi="楷体" w:eastAsia="楷体" w:cs="仿宋_GB2312"/>
          <w:color w:val="auto"/>
          <w:kern w:val="2"/>
          <w:sz w:val="32"/>
          <w:szCs w:val="32"/>
          <w:lang w:val="en-US" w:eastAsia="zh-CN" w:bidi="ar-SA"/>
        </w:rPr>
        <w:t>1142.44万元</w:t>
      </w:r>
      <w:r>
        <w:rPr>
          <w:rFonts w:hint="eastAsia" w:ascii="楷体" w:hAnsi="楷体" w:eastAsia="楷体" w:cs="仿宋_GB2312"/>
          <w:color w:val="auto"/>
          <w:sz w:val="32"/>
          <w:szCs w:val="32"/>
        </w:rPr>
        <w:t>减少</w:t>
      </w:r>
      <w:r>
        <w:rPr>
          <w:rFonts w:hint="eastAsia" w:ascii="楷体" w:hAnsi="楷体" w:eastAsia="楷体" w:cs="仿宋_GB2312"/>
          <w:color w:val="auto"/>
          <w:sz w:val="32"/>
          <w:szCs w:val="32"/>
          <w:lang w:val="en-US" w:eastAsia="zh-CN"/>
        </w:rPr>
        <w:t>62.4</w:t>
      </w:r>
      <w:r>
        <w:rPr>
          <w:rFonts w:hint="eastAsia" w:ascii="楷体" w:hAnsi="楷体" w:eastAsia="楷体" w:cs="仿宋_GB2312"/>
          <w:color w:val="auto"/>
          <w:sz w:val="32"/>
          <w:szCs w:val="32"/>
        </w:rPr>
        <w:t>万元</w:t>
      </w:r>
      <w:r>
        <w:rPr>
          <w:rFonts w:hint="eastAsia" w:ascii="楷体" w:hAnsi="楷体" w:eastAsia="楷体" w:cs="仿宋_GB2312"/>
          <w:sz w:val="32"/>
          <w:szCs w:val="32"/>
        </w:rPr>
        <w:t>，主要原因:</w:t>
      </w:r>
      <w:r>
        <w:rPr>
          <w:rFonts w:hint="eastAsia" w:ascii="楷体" w:hAnsi="楷体" w:eastAsia="楷体" w:cs="仿宋_GB2312"/>
          <w:sz w:val="32"/>
          <w:szCs w:val="32"/>
          <w:lang w:val="en-US" w:eastAsia="zh-CN"/>
        </w:rPr>
        <w:t>1.严格按照预算编制要求核算人员经费。2.保险基数降低。</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widowControl w:val="0"/>
        <w:numPr>
          <w:ilvl w:val="0"/>
          <w:numId w:val="0"/>
        </w:numPr>
        <w:ind w:firstLine="640" w:firstLineChars="200"/>
        <w:jc w:val="left"/>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部门2025年一般公共预算当年拨款1080.04万元，比2024年预算数</w:t>
      </w:r>
      <w:r>
        <w:rPr>
          <w:rFonts w:hint="eastAsia" w:ascii="楷体" w:hAnsi="楷体" w:eastAsia="楷体" w:cs="仿宋_GB2312"/>
          <w:color w:val="auto"/>
          <w:kern w:val="2"/>
          <w:sz w:val="32"/>
          <w:szCs w:val="32"/>
          <w:lang w:val="en-US" w:eastAsia="zh-CN" w:bidi="ar-SA"/>
        </w:rPr>
        <w:t>1142.44万元</w:t>
      </w:r>
      <w:r>
        <w:rPr>
          <w:rFonts w:hint="eastAsia" w:ascii="楷体" w:hAnsi="楷体" w:eastAsia="楷体" w:cs="仿宋_GB2312"/>
          <w:color w:val="auto"/>
          <w:sz w:val="32"/>
          <w:szCs w:val="32"/>
        </w:rPr>
        <w:t>减少</w:t>
      </w:r>
      <w:r>
        <w:rPr>
          <w:rFonts w:hint="eastAsia" w:ascii="楷体" w:hAnsi="楷体" w:eastAsia="楷体" w:cs="仿宋_GB2312"/>
          <w:color w:val="auto"/>
          <w:sz w:val="32"/>
          <w:szCs w:val="32"/>
          <w:lang w:val="en-US" w:eastAsia="zh-CN"/>
        </w:rPr>
        <w:t>62.4</w:t>
      </w:r>
      <w:r>
        <w:rPr>
          <w:rFonts w:hint="eastAsia" w:ascii="楷体" w:hAnsi="楷体" w:eastAsia="楷体" w:cs="仿宋_GB2312"/>
          <w:color w:val="auto"/>
          <w:sz w:val="32"/>
          <w:szCs w:val="32"/>
        </w:rPr>
        <w:t>万元，</w:t>
      </w:r>
      <w:r>
        <w:rPr>
          <w:rFonts w:hint="eastAsia" w:ascii="楷体" w:hAnsi="楷体" w:eastAsia="楷体" w:cs="仿宋_GB2312"/>
          <w:sz w:val="32"/>
          <w:szCs w:val="32"/>
        </w:rPr>
        <w:t>主要原因:</w:t>
      </w:r>
      <w:r>
        <w:rPr>
          <w:rFonts w:hint="eastAsia" w:ascii="楷体" w:hAnsi="楷体" w:eastAsia="楷体" w:cs="仿宋_GB2312"/>
          <w:sz w:val="32"/>
          <w:szCs w:val="32"/>
          <w:lang w:val="en-US" w:eastAsia="zh-CN"/>
        </w:rPr>
        <w:t>1.严格按照预算编制要求核算人员经费。2.保险基数降低。</w:t>
      </w:r>
    </w:p>
    <w:p>
      <w:pPr>
        <w:pStyle w:val="7"/>
        <w:spacing w:before="0" w:line="360" w:lineRule="auto"/>
        <w:ind w:firstLine="640" w:firstLineChars="200"/>
        <w:rPr>
          <w:rFonts w:hint="eastAsia" w:ascii="楷体" w:hAnsi="楷体" w:eastAsia="楷体" w:cs="宋体"/>
          <w:sz w:val="32"/>
          <w:szCs w:val="32"/>
        </w:rPr>
      </w:pPr>
      <w:r>
        <w:rPr>
          <w:rFonts w:hint="eastAsia" w:ascii="楷体" w:hAnsi="楷体" w:eastAsia="楷体" w:cs="宋体"/>
          <w:sz w:val="32"/>
          <w:szCs w:val="32"/>
        </w:rPr>
        <w:t>（二）一般公共预算当年拨款结构情况</w:t>
      </w:r>
    </w:p>
    <w:p>
      <w:pPr>
        <w:pStyle w:val="7"/>
        <w:spacing w:before="0" w:line="360" w:lineRule="auto"/>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 xml:space="preserve">     部门2025年公共安全支出</w:t>
      </w:r>
      <w:r>
        <w:rPr>
          <w:rFonts w:hint="eastAsia" w:ascii="楷体" w:hAnsi="楷体" w:eastAsia="楷体"/>
          <w:sz w:val="32"/>
          <w:szCs w:val="32"/>
          <w:lang w:val="en-US" w:eastAsia="zh-CN"/>
        </w:rPr>
        <w:t>764.69</w:t>
      </w:r>
      <w:r>
        <w:rPr>
          <w:rFonts w:hint="eastAsia" w:ascii="楷体" w:hAnsi="楷体" w:eastAsia="楷体" w:cs="仿宋_GB2312"/>
          <w:kern w:val="2"/>
          <w:sz w:val="32"/>
          <w:szCs w:val="32"/>
          <w:lang w:val="en-US" w:eastAsia="zh-CN" w:bidi="ar-SA"/>
        </w:rPr>
        <w:t>万元，占比70.80%；社会保障和就业支出</w:t>
      </w:r>
      <w:r>
        <w:rPr>
          <w:rFonts w:hint="eastAsia" w:ascii="楷体" w:hAnsi="楷体" w:eastAsia="楷体"/>
          <w:sz w:val="32"/>
          <w:szCs w:val="32"/>
          <w:lang w:val="en-US" w:eastAsia="zh-CN"/>
        </w:rPr>
        <w:t>171.18</w:t>
      </w:r>
      <w:r>
        <w:rPr>
          <w:rFonts w:hint="eastAsia" w:ascii="楷体" w:hAnsi="楷体" w:eastAsia="楷体" w:cs="仿宋_GB2312"/>
          <w:kern w:val="2"/>
          <w:sz w:val="32"/>
          <w:szCs w:val="32"/>
          <w:lang w:val="en-US" w:eastAsia="zh-CN" w:bidi="ar-SA"/>
        </w:rPr>
        <w:t>万元，占15.85%；卫生健康支出</w:t>
      </w:r>
      <w:r>
        <w:rPr>
          <w:rFonts w:hint="eastAsia" w:ascii="楷体" w:hAnsi="楷体" w:eastAsia="楷体"/>
          <w:sz w:val="32"/>
          <w:szCs w:val="32"/>
          <w:lang w:val="en-US" w:eastAsia="zh-CN"/>
        </w:rPr>
        <w:t>63.47</w:t>
      </w:r>
      <w:r>
        <w:rPr>
          <w:rFonts w:hint="eastAsia" w:ascii="楷体" w:hAnsi="楷体" w:eastAsia="楷体" w:cs="仿宋_GB2312"/>
          <w:kern w:val="2"/>
          <w:sz w:val="32"/>
          <w:szCs w:val="32"/>
          <w:lang w:val="en-US" w:eastAsia="zh-CN" w:bidi="ar-SA"/>
        </w:rPr>
        <w:t>万元，占5.87%；住房保障支出</w:t>
      </w:r>
      <w:r>
        <w:rPr>
          <w:rFonts w:hint="eastAsia" w:ascii="楷体" w:hAnsi="楷体" w:eastAsia="楷体" w:cs="仿宋_GB2312"/>
          <w:sz w:val="32"/>
          <w:szCs w:val="32"/>
          <w:lang w:val="en-US" w:eastAsia="zh-CN"/>
        </w:rPr>
        <w:t>8</w:t>
      </w:r>
      <w:r>
        <w:rPr>
          <w:rFonts w:hint="eastAsia" w:ascii="楷体" w:hAnsi="楷体" w:eastAsia="楷体"/>
          <w:sz w:val="32"/>
          <w:szCs w:val="32"/>
          <w:lang w:val="en-US" w:eastAsia="zh-CN"/>
        </w:rPr>
        <w:t>0.70</w:t>
      </w:r>
      <w:r>
        <w:rPr>
          <w:rFonts w:hint="eastAsia" w:ascii="楷体" w:hAnsi="楷体" w:eastAsia="楷体" w:cs="仿宋_GB2312"/>
          <w:kern w:val="2"/>
          <w:sz w:val="32"/>
          <w:szCs w:val="32"/>
          <w:lang w:val="en-US" w:eastAsia="zh-CN" w:bidi="ar-SA"/>
        </w:rPr>
        <w:t>万元，占7.46%。</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7"/>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部门工资福利支出</w:t>
      </w:r>
      <w:r>
        <w:rPr>
          <w:rFonts w:hint="eastAsia" w:ascii="楷体" w:hAnsi="楷体" w:eastAsia="楷体" w:cs="仿宋_GB2312"/>
          <w:sz w:val="32"/>
          <w:szCs w:val="32"/>
          <w:lang w:val="en-US" w:eastAsia="zh-CN"/>
        </w:rPr>
        <w:t>933.33</w:t>
      </w:r>
      <w:r>
        <w:rPr>
          <w:rFonts w:hint="eastAsia" w:ascii="楷体" w:hAnsi="楷体" w:eastAsia="楷体" w:cs="仿宋_GB2312"/>
          <w:kern w:val="2"/>
          <w:sz w:val="32"/>
          <w:szCs w:val="32"/>
          <w:lang w:val="en-US" w:eastAsia="zh-CN" w:bidi="ar-SA"/>
        </w:rPr>
        <w:t>万元，占86.42%，商品和服务支出141.16万元，占13.07%，对个人和家庭的补助4.25万元，占0.01%。</w:t>
      </w:r>
    </w:p>
    <w:p>
      <w:pPr>
        <w:pStyle w:val="7"/>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部门2025年一般公共预算基本支出1080.04万元，其中：人员经费</w:t>
      </w:r>
      <w:r>
        <w:rPr>
          <w:rFonts w:hint="eastAsia" w:ascii="楷体" w:hAnsi="楷体" w:eastAsia="楷体" w:cs="仿宋_GB2312"/>
          <w:sz w:val="32"/>
          <w:szCs w:val="32"/>
          <w:lang w:val="en-US" w:eastAsia="zh-CN"/>
        </w:rPr>
        <w:t>938.89</w:t>
      </w:r>
      <w:r>
        <w:rPr>
          <w:rFonts w:hint="eastAsia" w:ascii="楷体" w:hAnsi="楷体" w:eastAsia="楷体" w:cs="仿宋_GB2312"/>
          <w:kern w:val="2"/>
          <w:sz w:val="32"/>
          <w:szCs w:val="32"/>
          <w:lang w:val="en-US" w:eastAsia="zh-CN" w:bidi="ar-SA"/>
        </w:rPr>
        <w:t>万元，主要包括：基本工资、津贴补贴、奖金、其他社会保障缴费、职工基本医疗保险、公务员医疗补助缴费、机关事业单位基本养老保险缴费、职业年金缴费、其他工资福利支出、奖励金、住房公积金。</w:t>
      </w:r>
    </w:p>
    <w:p>
      <w:pPr>
        <w:pStyle w:val="7"/>
        <w:spacing w:before="0" w:line="360" w:lineRule="auto"/>
        <w:ind w:firstLine="640" w:firstLineChars="200"/>
        <w:rPr>
          <w:rFonts w:ascii="黑体" w:hAnsi="黑体" w:eastAsia="黑体"/>
          <w:sz w:val="32"/>
          <w:szCs w:val="32"/>
        </w:rPr>
      </w:pPr>
      <w:r>
        <w:rPr>
          <w:rFonts w:hint="eastAsia" w:ascii="楷体" w:hAnsi="楷体" w:eastAsia="楷体" w:cs="仿宋_GB2312"/>
          <w:kern w:val="2"/>
          <w:sz w:val="32"/>
          <w:szCs w:val="32"/>
          <w:lang w:val="en-US" w:eastAsia="zh-CN" w:bidi="ar-SA"/>
        </w:rPr>
        <w:t>公用经费</w:t>
      </w:r>
      <w:r>
        <w:rPr>
          <w:rFonts w:hint="eastAsia" w:ascii="楷体" w:hAnsi="楷体" w:eastAsia="楷体" w:cs="仿宋_GB2312"/>
          <w:sz w:val="32"/>
          <w:szCs w:val="32"/>
          <w:lang w:val="en-US" w:eastAsia="zh-CN"/>
        </w:rPr>
        <w:t>141.16</w:t>
      </w:r>
      <w:r>
        <w:rPr>
          <w:rFonts w:hint="eastAsia" w:ascii="楷体" w:hAnsi="楷体" w:eastAsia="楷体" w:cs="仿宋_GB2312"/>
          <w:kern w:val="2"/>
          <w:sz w:val="32"/>
          <w:szCs w:val="32"/>
          <w:lang w:val="en-US" w:eastAsia="zh-CN" w:bidi="ar-SA"/>
        </w:rPr>
        <w:t>万元，主要包括：办公费、水费、邮电费、取暖费、差旅费、维修（护）费、培训费、公务接待费、福利费、公务用车运行维护费、其他商品和服务支出。</w:t>
      </w:r>
      <w:r>
        <w:rPr>
          <w:rFonts w:hint="eastAsia" w:ascii="楷体" w:hAnsi="楷体" w:eastAsia="楷体" w:cs="仿宋_GB2312"/>
          <w:kern w:val="2"/>
          <w:sz w:val="32"/>
          <w:szCs w:val="32"/>
          <w:lang w:val="en-US" w:eastAsia="zh-CN" w:bidi="ar-SA"/>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部门2025年“三公”经费财政拨款预算数24.34万元，其中：因公出国（境）经费0.00万元，公务接待费1.84</w:t>
      </w:r>
      <w:bookmarkStart w:id="0" w:name="_GoBack"/>
      <w:bookmarkEnd w:id="0"/>
      <w:r>
        <w:rPr>
          <w:rFonts w:hint="eastAsia" w:ascii="楷体" w:hAnsi="楷体" w:eastAsia="楷体" w:cs="仿宋_GB2312"/>
          <w:kern w:val="2"/>
          <w:sz w:val="32"/>
          <w:szCs w:val="32"/>
          <w:lang w:val="en-US" w:eastAsia="zh-CN" w:bidi="ar-SA"/>
        </w:rPr>
        <w:t>万元，公务用车购置及运行维护费22.5万元。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（一）2025年因公出国（境）经费0.00万元。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（二）2025年公务接待经费1.84万元。较2024年预算经费1.80万元增加0.02万元，增加1.23%，主要原因案件量增加，接待费增加。</w:t>
      </w:r>
    </w:p>
    <w:p>
      <w:pPr>
        <w:pStyle w:val="7"/>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（三）2025年公务用车购置及运行维护费22.5万元。较2024年预算经费22.5万元增加0.00万元，增长0.00%，主要原因科学合理的按照车辆计算公务用车运行维护费，避免出现经费短缺现象。</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部门（单位）2025年政府性基金预算拨款安排的支出0.00万元。与2024年预算经费持平。</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7"/>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lang w:val="en-US" w:eastAsia="zh-CN" w:bidi="ar-SA"/>
        </w:rPr>
        <w:t xml:space="preserve">  部门2025年机关运行经费财政拨款预算为141.16万元，比2024年预算142.01万元减少0.85万元，减少0.6%。，减少部分为其他商品服务支出。</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（二）政府采购情况</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2025年部门安排政府采购预算0.00万元。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（三）国有资产占有使用情况</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截至2024年12月31日，我单位固定资产原值1487.38万元。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（四）绩效目标设置情况</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2025年部门（单位）通用项目和专用项目均按要求实行绩效目标管理，涉及一般公共预算当年拨款1080.04万元。</w:t>
      </w:r>
    </w:p>
    <w:p>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hAnsi="楷体" w:eastAsia="楷体" w:cs="仿宋_GB2312"/>
          <w:kern w:val="2"/>
          <w:sz w:val="32"/>
          <w:szCs w:val="32"/>
          <w:lang w:val="en-US" w:eastAsia="zh-CN" w:bidi="ar-SA"/>
        </w:rPr>
        <w:t xml:space="preserve">   （一）财政拨款收入：指由财政拨款形成的部门收入。按现行管理制度，部门预算中反映的财政拨款仅包括一般公共预算拨款和政府性基金预算拨款。</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（二）事业收入：指所属事业单位开展专业业务活动及辅助活动所取得的收入。</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（三）事业单位经营收入：指所属事业单位在专业业务活动及其辅助活动之外开展非独立核算经营活动取得的收入。</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795F50"/>
    <w:multiLevelType w:val="singleLevel"/>
    <w:tmpl w:val="1A795F50"/>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lNTgzMzVkMjI5MjEwNjJmMDU5NTQzNWE0NzQzZTc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7674A16"/>
    <w:rsid w:val="08E14513"/>
    <w:rsid w:val="09242365"/>
    <w:rsid w:val="0C6B6599"/>
    <w:rsid w:val="0F2A731A"/>
    <w:rsid w:val="13197D31"/>
    <w:rsid w:val="164003A4"/>
    <w:rsid w:val="16C5583A"/>
    <w:rsid w:val="177904B8"/>
    <w:rsid w:val="1B0406D7"/>
    <w:rsid w:val="1B403B5A"/>
    <w:rsid w:val="1C3F1E54"/>
    <w:rsid w:val="20361CB8"/>
    <w:rsid w:val="21B10C29"/>
    <w:rsid w:val="24575689"/>
    <w:rsid w:val="283E2C54"/>
    <w:rsid w:val="29566940"/>
    <w:rsid w:val="2DFCFCCD"/>
    <w:rsid w:val="2EF77D82"/>
    <w:rsid w:val="32BF7DF5"/>
    <w:rsid w:val="35C27EF0"/>
    <w:rsid w:val="398C292F"/>
    <w:rsid w:val="3B42150D"/>
    <w:rsid w:val="3ED92559"/>
    <w:rsid w:val="40055655"/>
    <w:rsid w:val="48EB0A3F"/>
    <w:rsid w:val="57BDF3F9"/>
    <w:rsid w:val="5ABE7391"/>
    <w:rsid w:val="5F0017C7"/>
    <w:rsid w:val="605B2E22"/>
    <w:rsid w:val="61693C9D"/>
    <w:rsid w:val="64CC0F4B"/>
    <w:rsid w:val="6E1D91CC"/>
    <w:rsid w:val="7AE4629A"/>
    <w:rsid w:val="7EE32C29"/>
    <w:rsid w:val="7FAF499B"/>
    <w:rsid w:val="BFDFBE1E"/>
    <w:rsid w:val="DE7FED5A"/>
    <w:rsid w:val="F5FD76F5"/>
    <w:rsid w:val="F79FCBF9"/>
    <w:rsid w:val="FABDB28D"/>
    <w:rsid w:val="FEF6F82D"/>
    <w:rsid w:val="FFDE43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53</Words>
  <Characters>56</Characters>
  <Lines>13</Lines>
  <Paragraphs>3</Paragraphs>
  <TotalTime>15</TotalTime>
  <ScaleCrop>false</ScaleCrop>
  <LinksUpToDate>false</LinksUpToDate>
  <CharactersWithSpaces>56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user</cp:lastModifiedBy>
  <cp:lastPrinted>2024-01-23T22:15:00Z</cp:lastPrinted>
  <dcterms:modified xsi:type="dcterms:W3CDTF">2025-02-20T16:59:45Z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E4B66EE4F9764C619F8B73F619CF8CF5_13</vt:lpwstr>
  </property>
</Properties>
</file>