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CAA3F">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6FC6BF91"/>
    <w:p w14:paraId="7FA05F22"/>
    <w:p w14:paraId="1153EB0F"/>
    <w:p w14:paraId="26DA23AF">
      <w:pPr>
        <w:ind w:firstLine="1050" w:firstLineChars="500"/>
      </w:pPr>
    </w:p>
    <w:p w14:paraId="0159BD1B">
      <w:pPr>
        <w:ind w:firstLine="1050" w:firstLineChars="500"/>
      </w:pPr>
    </w:p>
    <w:p w14:paraId="153FC547">
      <w:pPr>
        <w:ind w:firstLine="1760" w:firstLineChars="400"/>
        <w:rPr>
          <w:rFonts w:ascii="黑体" w:eastAsia="黑体"/>
          <w:sz w:val="44"/>
          <w:szCs w:val="44"/>
        </w:rPr>
      </w:pPr>
    </w:p>
    <w:p w14:paraId="5778485D">
      <w:pPr>
        <w:ind w:firstLine="1760" w:firstLineChars="400"/>
        <w:rPr>
          <w:rFonts w:ascii="黑体" w:eastAsia="黑体"/>
          <w:sz w:val="44"/>
          <w:szCs w:val="44"/>
        </w:rPr>
      </w:pPr>
    </w:p>
    <w:p w14:paraId="2CBD21C0">
      <w:pPr>
        <w:jc w:val="center"/>
        <w:rPr>
          <w:rFonts w:hint="eastAsia" w:ascii="黑体" w:hAnsi="黑体" w:eastAsia="黑体"/>
          <w:sz w:val="52"/>
          <w:szCs w:val="52"/>
          <w:lang w:val="en-US" w:eastAsia="zh-CN"/>
        </w:rPr>
      </w:pPr>
      <w:r>
        <w:rPr>
          <w:rFonts w:hint="eastAsia" w:ascii="黑体" w:hAnsi="黑体" w:eastAsia="黑体"/>
          <w:sz w:val="52"/>
          <w:szCs w:val="52"/>
          <w:lang w:val="en-US" w:eastAsia="zh-CN"/>
        </w:rPr>
        <w:t>松潘县人民法院</w:t>
      </w:r>
    </w:p>
    <w:p w14:paraId="2EB4A3C8">
      <w:pPr>
        <w:jc w:val="center"/>
        <w:rPr>
          <w:rFonts w:hint="eastAsia" w:ascii="黑体" w:hAnsi="黑体" w:eastAsia="黑体"/>
          <w:sz w:val="52"/>
          <w:szCs w:val="52"/>
          <w:lang w:val="en-US" w:eastAsia="zh-CN"/>
        </w:rPr>
      </w:pPr>
      <w:r>
        <w:rPr>
          <w:rFonts w:hint="eastAsia" w:ascii="黑体" w:hAnsi="黑体" w:eastAsia="黑体"/>
          <w:sz w:val="52"/>
          <w:szCs w:val="52"/>
          <w:lang w:val="en-US" w:eastAsia="zh-CN"/>
        </w:rPr>
        <w:t>2025年部门预算</w:t>
      </w:r>
    </w:p>
    <w:p w14:paraId="2F387896">
      <w:pPr>
        <w:ind w:firstLine="1760" w:firstLineChars="400"/>
        <w:rPr>
          <w:rFonts w:ascii="黑体" w:eastAsia="黑体"/>
          <w:sz w:val="44"/>
          <w:szCs w:val="44"/>
        </w:rPr>
      </w:pPr>
    </w:p>
    <w:p w14:paraId="3FAFDC3E">
      <w:pPr>
        <w:ind w:firstLine="1760" w:firstLineChars="400"/>
        <w:rPr>
          <w:rFonts w:ascii="黑体" w:eastAsia="黑体"/>
          <w:sz w:val="44"/>
          <w:szCs w:val="44"/>
        </w:rPr>
      </w:pPr>
    </w:p>
    <w:p w14:paraId="5C21D3A8">
      <w:pPr>
        <w:ind w:firstLine="1760" w:firstLineChars="400"/>
        <w:rPr>
          <w:rFonts w:ascii="黑体" w:eastAsia="黑体"/>
          <w:sz w:val="44"/>
          <w:szCs w:val="44"/>
        </w:rPr>
      </w:pPr>
    </w:p>
    <w:p w14:paraId="1A8A7899">
      <w:pPr>
        <w:ind w:firstLine="1760" w:firstLineChars="400"/>
        <w:rPr>
          <w:rFonts w:ascii="黑体" w:eastAsia="黑体"/>
          <w:sz w:val="44"/>
          <w:szCs w:val="44"/>
        </w:rPr>
      </w:pPr>
    </w:p>
    <w:p w14:paraId="63F44F6D">
      <w:pPr>
        <w:ind w:firstLine="1760" w:firstLineChars="400"/>
        <w:rPr>
          <w:rFonts w:ascii="黑体" w:eastAsia="黑体"/>
          <w:sz w:val="44"/>
          <w:szCs w:val="44"/>
        </w:rPr>
      </w:pPr>
    </w:p>
    <w:p w14:paraId="3B2852CA">
      <w:pPr>
        <w:ind w:firstLine="1760" w:firstLineChars="400"/>
        <w:rPr>
          <w:rFonts w:ascii="黑体" w:eastAsia="黑体"/>
          <w:sz w:val="44"/>
          <w:szCs w:val="44"/>
        </w:rPr>
      </w:pPr>
    </w:p>
    <w:p w14:paraId="6765C939">
      <w:pPr>
        <w:ind w:firstLine="1760" w:firstLineChars="400"/>
        <w:rPr>
          <w:rFonts w:ascii="黑体" w:eastAsia="黑体"/>
          <w:sz w:val="44"/>
          <w:szCs w:val="44"/>
        </w:rPr>
      </w:pPr>
    </w:p>
    <w:p w14:paraId="3EFB45CD">
      <w:pPr>
        <w:ind w:firstLine="1760" w:firstLineChars="400"/>
        <w:rPr>
          <w:rFonts w:ascii="黑体" w:eastAsia="黑体"/>
          <w:sz w:val="44"/>
          <w:szCs w:val="44"/>
        </w:rPr>
      </w:pPr>
    </w:p>
    <w:p w14:paraId="2BC78386">
      <w:pPr>
        <w:ind w:firstLine="1760" w:firstLineChars="400"/>
        <w:rPr>
          <w:rFonts w:ascii="黑体" w:eastAsia="黑体"/>
          <w:sz w:val="44"/>
          <w:szCs w:val="44"/>
        </w:rPr>
      </w:pPr>
    </w:p>
    <w:p w14:paraId="10F92F6A">
      <w:pPr>
        <w:ind w:firstLine="1760" w:firstLineChars="400"/>
        <w:rPr>
          <w:rFonts w:ascii="黑体" w:eastAsia="黑体"/>
          <w:sz w:val="44"/>
          <w:szCs w:val="44"/>
        </w:rPr>
      </w:pPr>
    </w:p>
    <w:p w14:paraId="2DAE5711">
      <w:pPr>
        <w:ind w:firstLine="1760" w:firstLineChars="400"/>
        <w:rPr>
          <w:rFonts w:ascii="黑体" w:eastAsia="黑体"/>
          <w:sz w:val="44"/>
          <w:szCs w:val="44"/>
        </w:rPr>
      </w:pPr>
    </w:p>
    <w:p w14:paraId="62676106">
      <w:pPr>
        <w:ind w:firstLine="1760" w:firstLineChars="400"/>
        <w:rPr>
          <w:rFonts w:ascii="黑体" w:eastAsia="黑体"/>
          <w:sz w:val="44"/>
          <w:szCs w:val="44"/>
        </w:rPr>
      </w:pPr>
    </w:p>
    <w:p w14:paraId="3E4BD3E2">
      <w:pPr>
        <w:ind w:firstLine="1760" w:firstLineChars="400"/>
        <w:rPr>
          <w:rFonts w:ascii="黑体" w:eastAsia="黑体"/>
          <w:sz w:val="44"/>
          <w:szCs w:val="44"/>
        </w:rPr>
      </w:pPr>
    </w:p>
    <w:p w14:paraId="7AAE4317">
      <w:pPr>
        <w:ind w:firstLine="1760" w:firstLineChars="400"/>
        <w:rPr>
          <w:rFonts w:ascii="黑体" w:eastAsia="黑体"/>
          <w:sz w:val="44"/>
          <w:szCs w:val="44"/>
        </w:rPr>
      </w:pPr>
    </w:p>
    <w:p w14:paraId="5CA253CA">
      <w:pPr>
        <w:rPr>
          <w:rFonts w:ascii="黑体" w:eastAsia="黑体"/>
          <w:sz w:val="44"/>
          <w:szCs w:val="44"/>
        </w:rPr>
      </w:pPr>
    </w:p>
    <w:p w14:paraId="097165C2">
      <w:pPr>
        <w:ind w:firstLine="3120" w:firstLineChars="600"/>
        <w:rPr>
          <w:rFonts w:ascii="黑体" w:eastAsia="黑体"/>
          <w:sz w:val="52"/>
          <w:szCs w:val="52"/>
        </w:rPr>
      </w:pPr>
      <w:r>
        <w:rPr>
          <w:rFonts w:hint="eastAsia" w:ascii="黑体" w:eastAsia="黑体"/>
          <w:sz w:val="52"/>
          <w:szCs w:val="52"/>
        </w:rPr>
        <w:t>目录</w:t>
      </w:r>
    </w:p>
    <w:p w14:paraId="301C213A">
      <w:pPr>
        <w:ind w:firstLine="3080" w:firstLineChars="700"/>
        <w:rPr>
          <w:rFonts w:ascii="黑体" w:eastAsia="黑体"/>
          <w:sz w:val="44"/>
          <w:szCs w:val="44"/>
        </w:rPr>
      </w:pPr>
    </w:p>
    <w:p w14:paraId="18EA6F5C">
      <w:pPr>
        <w:pStyle w:val="10"/>
        <w:ind w:firstLine="0" w:firstLineChars="0"/>
        <w:rPr>
          <w:rFonts w:ascii="黑体" w:eastAsia="黑体"/>
          <w:sz w:val="32"/>
          <w:szCs w:val="32"/>
        </w:rPr>
      </w:pPr>
      <w:r>
        <w:rPr>
          <w:rFonts w:hint="eastAsia" w:ascii="黑体" w:eastAsia="黑体"/>
          <w:sz w:val="32"/>
          <w:szCs w:val="32"/>
        </w:rPr>
        <w:t>一、基本职能及主要工作</w:t>
      </w:r>
    </w:p>
    <w:p w14:paraId="07B32122">
      <w:pPr>
        <w:rPr>
          <w:rFonts w:ascii="楷体" w:eastAsia="楷体"/>
          <w:sz w:val="32"/>
          <w:szCs w:val="32"/>
        </w:rPr>
      </w:pPr>
      <w:r>
        <w:rPr>
          <w:rFonts w:hint="eastAsia" w:ascii="楷体" w:eastAsia="楷体"/>
          <w:sz w:val="32"/>
          <w:szCs w:val="32"/>
        </w:rPr>
        <w:t>（一）部门职能简介</w:t>
      </w:r>
    </w:p>
    <w:p w14:paraId="61B9BAA6">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1A909731">
      <w:pPr>
        <w:rPr>
          <w:rFonts w:ascii="黑体" w:eastAsia="黑体"/>
          <w:sz w:val="32"/>
          <w:szCs w:val="32"/>
        </w:rPr>
      </w:pPr>
      <w:r>
        <w:rPr>
          <w:rFonts w:hint="eastAsia" w:ascii="黑体" w:eastAsia="黑体"/>
          <w:sz w:val="32"/>
          <w:szCs w:val="32"/>
        </w:rPr>
        <w:t>二、部门预算单位构成</w:t>
      </w:r>
    </w:p>
    <w:p w14:paraId="27119447">
      <w:pPr>
        <w:rPr>
          <w:rFonts w:ascii="黑体" w:eastAsia="黑体"/>
          <w:sz w:val="32"/>
          <w:szCs w:val="32"/>
        </w:rPr>
      </w:pPr>
      <w:r>
        <w:rPr>
          <w:rFonts w:hint="eastAsia" w:ascii="黑体" w:eastAsia="黑体"/>
          <w:sz w:val="32"/>
          <w:szCs w:val="32"/>
        </w:rPr>
        <w:t>三、收支预算情况说明</w:t>
      </w:r>
    </w:p>
    <w:p w14:paraId="758574C2">
      <w:pPr>
        <w:rPr>
          <w:rFonts w:ascii="楷体" w:eastAsia="楷体"/>
          <w:sz w:val="32"/>
          <w:szCs w:val="32"/>
        </w:rPr>
      </w:pPr>
      <w:r>
        <w:rPr>
          <w:rFonts w:hint="eastAsia" w:ascii="楷体" w:eastAsia="楷体"/>
          <w:sz w:val="32"/>
          <w:szCs w:val="32"/>
        </w:rPr>
        <w:t>（一）收入预算情况</w:t>
      </w:r>
    </w:p>
    <w:p w14:paraId="0A3A3F34">
      <w:pPr>
        <w:rPr>
          <w:rFonts w:ascii="楷体" w:eastAsia="楷体"/>
          <w:sz w:val="32"/>
          <w:szCs w:val="32"/>
        </w:rPr>
      </w:pPr>
      <w:r>
        <w:rPr>
          <w:rFonts w:hint="eastAsia" w:ascii="楷体" w:eastAsia="楷体"/>
          <w:sz w:val="32"/>
          <w:szCs w:val="32"/>
        </w:rPr>
        <w:t>（二）支出预算情况</w:t>
      </w:r>
    </w:p>
    <w:p w14:paraId="20B1BE91">
      <w:pPr>
        <w:rPr>
          <w:rFonts w:ascii="黑体" w:eastAsia="黑体"/>
          <w:sz w:val="32"/>
          <w:szCs w:val="32"/>
        </w:rPr>
      </w:pPr>
      <w:r>
        <w:rPr>
          <w:rFonts w:hint="eastAsia" w:ascii="黑体" w:eastAsia="黑体"/>
          <w:sz w:val="32"/>
          <w:szCs w:val="32"/>
        </w:rPr>
        <w:t>四、财政拨款收支预算情况说明</w:t>
      </w:r>
    </w:p>
    <w:p w14:paraId="13057A8E">
      <w:pPr>
        <w:rPr>
          <w:rFonts w:ascii="黑体" w:eastAsia="黑体"/>
          <w:sz w:val="32"/>
          <w:szCs w:val="32"/>
        </w:rPr>
      </w:pPr>
      <w:r>
        <w:rPr>
          <w:rFonts w:hint="eastAsia" w:ascii="黑体" w:eastAsia="黑体"/>
          <w:sz w:val="32"/>
          <w:szCs w:val="32"/>
        </w:rPr>
        <w:t>五、一般公共预算当年拨款情况说明</w:t>
      </w:r>
    </w:p>
    <w:p w14:paraId="701AE2ED">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31DF2315">
      <w:pPr>
        <w:rPr>
          <w:rFonts w:ascii="黑体" w:eastAsia="黑体"/>
          <w:sz w:val="32"/>
          <w:szCs w:val="32"/>
        </w:rPr>
      </w:pPr>
    </w:p>
    <w:p w14:paraId="250D65A8">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73CE4DF">
      <w:pPr>
        <w:pStyle w:val="10"/>
        <w:rPr>
          <w:rFonts w:ascii="黑体" w:eastAsia="黑体"/>
          <w:sz w:val="32"/>
          <w:szCs w:val="32"/>
        </w:rPr>
      </w:pPr>
      <w:r>
        <w:rPr>
          <w:rFonts w:hint="eastAsia" w:ascii="黑体" w:eastAsia="黑体"/>
          <w:sz w:val="32"/>
          <w:szCs w:val="32"/>
        </w:rPr>
        <w:t>一、基本职能及主要工作</w:t>
      </w:r>
    </w:p>
    <w:p w14:paraId="6F29D362">
      <w:pPr>
        <w:ind w:firstLine="640" w:firstLineChars="200"/>
        <w:rPr>
          <w:rFonts w:ascii="楷体" w:eastAsia="楷体"/>
          <w:sz w:val="32"/>
          <w:szCs w:val="32"/>
        </w:rPr>
      </w:pPr>
      <w:r>
        <w:rPr>
          <w:rFonts w:hint="eastAsia" w:ascii="楷体" w:eastAsia="楷体"/>
          <w:sz w:val="32"/>
          <w:szCs w:val="32"/>
        </w:rPr>
        <w:t>（一）部门职能简介</w:t>
      </w:r>
    </w:p>
    <w:p w14:paraId="47AD8D35">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eastAsia="仿宋_GB2312" w:cs="仿宋_GB2312"/>
          <w:color w:val="000000"/>
          <w:sz w:val="32"/>
          <w:szCs w:val="32"/>
        </w:rPr>
        <w:t>1</w:t>
      </w:r>
      <w:r>
        <w:rPr>
          <w:rFonts w:hint="eastAsia" w:ascii="仿宋_GB2312" w:eastAsia="仿宋_GB2312" w:cs="仿宋_GB2312"/>
          <w:color w:val="000000"/>
          <w:sz w:val="32"/>
          <w:szCs w:val="32"/>
          <w:lang w:val="en-US" w:eastAsia="zh-CN"/>
        </w:rPr>
        <w:t>.</w:t>
      </w:r>
      <w:r>
        <w:rPr>
          <w:rFonts w:hint="eastAsia" w:ascii="仿宋_GB2312" w:hAnsi="仿宋" w:eastAsia="仿宋_GB2312" w:cs="仿宋"/>
          <w:sz w:val="32"/>
          <w:szCs w:val="32"/>
        </w:rPr>
        <w:t>依法审理法律规定由基层人民法院管辖、中级人民法院指定管辖或者认为应当由本法院审理的刑事、民事、行政等一审案件。</w:t>
      </w:r>
    </w:p>
    <w:p w14:paraId="12DAF4DD">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依法审理中级人民法院指定再审的案件和人民检察院按照审判监督程序提起的抗诉案件。受理当事人不服本院发生法律效力的判决、裁定并提起申诉的刑事、行政诉讼案件。</w:t>
      </w:r>
    </w:p>
    <w:p w14:paraId="093C7C25">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3</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依法行使执行权和司法决定权。</w:t>
      </w:r>
    </w:p>
    <w:p w14:paraId="6B58755C">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4</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对法律规定、规章等草案提出意见，对案件审理中发现的问题提出司法建议。</w:t>
      </w:r>
    </w:p>
    <w:p w14:paraId="3CFD4106">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5</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指导基层法庭工作。</w:t>
      </w:r>
    </w:p>
    <w:p w14:paraId="08CEF6D7">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6</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负责全院的思想政治、教育培训工作和干部管理工作。</w:t>
      </w:r>
    </w:p>
    <w:p w14:paraId="3C3BAB75">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7</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负责全院财务、专项投资的计划管理及分配。</w:t>
      </w:r>
    </w:p>
    <w:p w14:paraId="3401EF7C">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8</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负责全院的监察工作。</w:t>
      </w:r>
    </w:p>
    <w:p w14:paraId="35F2E994">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9</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管理人民法院司法警察工作。</w:t>
      </w:r>
    </w:p>
    <w:p w14:paraId="4BFD86E1">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10</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做好本院行政、后勤事业管理和服务工作。</w:t>
      </w:r>
    </w:p>
    <w:p w14:paraId="5C544EDF">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11</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宣传法制，教育公民忠于社会主义祖国，自觉遵守宪法、法律和社会公德。</w:t>
      </w:r>
    </w:p>
    <w:p w14:paraId="3C3597CA">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12</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积极参与社会治安综合治理。</w:t>
      </w:r>
    </w:p>
    <w:p w14:paraId="1EED1685">
      <w:pPr>
        <w:widowControl/>
        <w:snapToGrid w:val="0"/>
        <w:spacing w:line="5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sz w:val="32"/>
          <w:szCs w:val="32"/>
        </w:rPr>
        <w:t>13</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承办其它应由基层人民法院负责的工作。</w:t>
      </w:r>
    </w:p>
    <w:p w14:paraId="039ADF5B">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77E1B260">
      <w:pPr>
        <w:widowControl/>
        <w:snapToGrid w:val="0"/>
        <w:spacing w:line="540" w:lineRule="exact"/>
        <w:ind w:firstLine="640" w:firstLineChars="200"/>
        <w:jc w:val="left"/>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1.筑牢政治忠诚根基，彰显更高站位担当。</w:t>
      </w:r>
    </w:p>
    <w:p w14:paraId="52445C55">
      <w:pPr>
        <w:widowControl/>
        <w:snapToGrid w:val="0"/>
        <w:spacing w:line="540" w:lineRule="exact"/>
        <w:ind w:firstLine="640" w:firstLineChars="200"/>
        <w:jc w:val="left"/>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2.精准服务发展大局，展现更强履职效能。</w:t>
      </w:r>
    </w:p>
    <w:p w14:paraId="4E8F8F3D">
      <w:pPr>
        <w:widowControl/>
        <w:snapToGrid w:val="0"/>
        <w:spacing w:line="540" w:lineRule="exact"/>
        <w:ind w:firstLine="640" w:firstLineChars="200"/>
        <w:jc w:val="left"/>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3.厚植司法为民情怀，绘就温暖民生画卷。</w:t>
      </w:r>
    </w:p>
    <w:p w14:paraId="07B70248">
      <w:pPr>
        <w:widowControl/>
        <w:snapToGrid w:val="0"/>
        <w:spacing w:line="540" w:lineRule="exact"/>
        <w:ind w:firstLine="640" w:firstLineChars="200"/>
        <w:jc w:val="left"/>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4.深化司法体制改革，激发创新发展活力。</w:t>
      </w:r>
    </w:p>
    <w:p w14:paraId="5503E5A9">
      <w:pPr>
        <w:widowControl/>
        <w:snapToGrid w:val="0"/>
        <w:spacing w:line="540" w:lineRule="exact"/>
        <w:ind w:firstLine="640" w:firstLineChars="200"/>
        <w:jc w:val="left"/>
        <w:rPr>
          <w:rFonts w:hint="default"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5.锻造过硬法院铁军，树立良好司法形象。</w:t>
      </w:r>
    </w:p>
    <w:p w14:paraId="145CDC94">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14:paraId="7997B316">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政治部（督察室）：负责本院干警的思想政治教育及培训、表彰、奖励和宣传工作；协助主管部门管理本院的机构编制、组织人事工作；办理《法官法》规定有关工作，承办法官考评委员会决定的有关事项；负责机关岗位目标管理；承办司法警察警衔呈报工作；负责院老干部管理服务工作及其人事管理。</w:t>
      </w:r>
    </w:p>
    <w:p w14:paraId="43C7CCA2">
      <w:pPr>
        <w:widowControl/>
        <w:snapToGrid w:val="0"/>
        <w:spacing w:line="54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综合办公室：法院新闻宣传、舆论引导工作的组织协调工作；信息简报编辑工作；法院工作总结、工作意见、工作报告、领导讲话及工作汇报材料等综合文稿的起草工作；法院网站、微博、微信等自媒体的管理运营工作；摄影摄像及信息资料的管理工作；司法技术工作（鉴定、评估、等相关工作）；依法治县工作（含普法工作）。</w:t>
      </w:r>
    </w:p>
    <w:p w14:paraId="4CEBD7F0">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3</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审判管理办公室（研究室）：上网裁判文书的审核工作；裁判文书的集中上网工作；裁判文书上网工作的管理、指导、监督。法院调研工作的组织协调工作；调研文章、典型案列的编辑工作；执行法律政策情况调查研究及适用法律政策的请示工作；学术论文征集工作；审判委员会日常事务工作。</w:t>
      </w:r>
    </w:p>
    <w:p w14:paraId="47A06E3D">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4</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刑事审判庭：审理第一审普通刑事案件和上级人民法院指定管辖的刑事案件；严格执行程序法和实体法，确保实体公正、程序公正、操作规范；推进刑事审判工作的规范化建设；做好诉讼指导工作，为当事人依法、充分、有效行使诉讼权利提供服务；加强对刑事法律、法规和司法解释的学习，坚持集体研讨案件和重大疑难案件请示汇报制度，不断提高刑事审判队伍的司法能力；加强新形势下刑事审判工作的调查研究，不断总结新经验，发现新情况，解决新问题，提出新举措，推动刑事审判工作的顺利开展；坚持以审判为中心，积极参与社会治安综合治理，扩大办案效果，力求实现办案法律效果和社会效果的有机统一；做好刑事案件统计和统计数据的报送、利用工作。</w:t>
      </w:r>
    </w:p>
    <w:p w14:paraId="4FDFC445">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5</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民事审判庭：审理本院管辖的第一审民商事案件。包括婚姻、家庭、继承类纠纷，人身、财产损害赔偿纠纷，民间借贷纠纷，个人合伙纠纷，劳动、劳务争议纠纷，农村土地承包纠纷，矿产资源纠纷，不当得利、无因管理及埋藏物、遗失物、漂流物、拾得物权属纠纷，建设用地使用权、宅基使用权、地役权纠纷，相邻权纠纷，建筑物区分所有权及物业纠纷，土地、房屋买卖（转让）、租赁等房地产纠纷，建设工程合同纠纷，合同、借款、存单、证券、期货、保险、票据类纠纷，公司法以及其他企业法调整的民商事法律关系产生的纠纷及相应的侵权纠纷，企业皮产案件，知识产权案件，民商事仲裁的司法审查，涉三资企业的民商事纠纷案件、房地产及建设合同纠纷案件，其他应由民事审判庭审理的案件。</w:t>
      </w:r>
    </w:p>
    <w:p w14:paraId="706DF42B">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6</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行政审判庭：审理第一审行政案件、行政赔偿案件和上级法院指令管辖的行政案件；依法执行行政机关作出的申请人民法院强制执行的行政处罚决定、行政处理决定；对本院受理的行政案件进行审查；严格执行程序法、实体法及上级法院、本院的相关规定；加强对行政法律法规、司法解释及执行法律法规的学习，坚持集体研讨案件和重大疑难案件汇报制度，不断提高本部门民事审判队伍的司法能力；做好本庭所承办行政案件、非诉执行案件统计和统计数据的报送、利用工作；</w:t>
      </w:r>
    </w:p>
    <w:p w14:paraId="4E96C057">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7</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执行局：执行本院第一审发生法律效力的判决、裁定以及调解协议中有关财产的决定；执行法律规定的由本院执行的其他法律文书；办理委托移送执行和协助执行事宜。</w:t>
      </w:r>
    </w:p>
    <w:p w14:paraId="4CBC5522">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8</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立案庭：依法做好本院刑事、民事、行政、国家赔偿、执行和申诉、申请再审等案件的审查、立案、登记、送达、网上公告送达、排期、移送工作；接待、处理各类来信、来访，做好申诉人、上访人的思想疏导和息诉、服判工作，参与社会治安综合治理，扩大办案的社会效果；监督、指导基层法院的立案和信访工作；按规定办理诉讼费、执行费用的收、交、减、缓、免等相关手续，并进行登记报批；充分发挥立案庭的窗口示范作用。</w:t>
      </w:r>
    </w:p>
    <w:p w14:paraId="186B2C3C">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9</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司法警察大队：组织落实司法警察队伍建设的规划和措施；制定所辖院司法警察管理的规章制度并组织实施；检查、监督司法警察执行法律、法规的情况；组织司法警察的教育培训；管理或协同管理警司以下司法警察的警衔；管理司法警察的警用装备；协调跨区域的重大警务活动；组织司法警察完成检察长交办的其它任务。</w:t>
      </w:r>
    </w:p>
    <w:p w14:paraId="6B0C8A80">
      <w:pPr>
        <w:widowControl/>
        <w:snapToGrid w:val="0"/>
        <w:spacing w:line="540" w:lineRule="exact"/>
        <w:ind w:firstLine="640" w:firstLineChars="200"/>
        <w:rPr>
          <w:rFonts w:ascii="仿宋_GB2312" w:hAnsi="仿宋_GB2312" w:eastAsia="仿宋_GB2312" w:cs="仿宋_GB2312"/>
          <w:sz w:val="32"/>
          <w:szCs w:val="32"/>
        </w:rPr>
      </w:pPr>
      <w:r>
        <w:rPr>
          <w:rFonts w:hint="eastAsia" w:ascii="仿宋_GB2312" w:hAnsi="仿宋" w:eastAsia="仿宋_GB2312" w:cs="仿宋"/>
          <w:sz w:val="32"/>
          <w:szCs w:val="32"/>
        </w:rPr>
        <w:t>10</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基层人民法庭：审理管辖内的各类一审民事案件及法治宣传工作。</w:t>
      </w:r>
    </w:p>
    <w:p w14:paraId="00F20CEF">
      <w:pPr>
        <w:pStyle w:val="10"/>
        <w:ind w:left="720" w:firstLine="0" w:firstLineChars="0"/>
        <w:rPr>
          <w:rFonts w:ascii="黑体" w:eastAsia="黑体"/>
          <w:sz w:val="32"/>
          <w:szCs w:val="32"/>
        </w:rPr>
      </w:pPr>
      <w:r>
        <w:rPr>
          <w:rFonts w:hint="eastAsia" w:ascii="黑体" w:eastAsia="黑体"/>
          <w:sz w:val="32"/>
          <w:szCs w:val="32"/>
        </w:rPr>
        <w:t>三、收支预算情况说明</w:t>
      </w:r>
    </w:p>
    <w:p w14:paraId="701CEDC5">
      <w:pPr>
        <w:ind w:firstLine="640" w:firstLineChars="200"/>
        <w:rPr>
          <w:rFonts w:hint="eastAsia" w:ascii="楷体" w:eastAsia="楷体"/>
          <w:sz w:val="32"/>
          <w:szCs w:val="32"/>
        </w:rPr>
      </w:pPr>
      <w:r>
        <w:rPr>
          <w:rFonts w:hint="eastAsia" w:ascii="楷体" w:eastAsia="楷体"/>
          <w:sz w:val="32"/>
          <w:szCs w:val="32"/>
        </w:rPr>
        <w:t>（一）收入预算情况</w:t>
      </w:r>
    </w:p>
    <w:p w14:paraId="741F8643">
      <w:pPr>
        <w:widowControl/>
        <w:snapToGrid w:val="0"/>
        <w:spacing w:line="540" w:lineRule="exact"/>
        <w:ind w:firstLine="640" w:firstLineChars="200"/>
      </w:pPr>
      <w:r>
        <w:rPr>
          <w:rFonts w:hint="eastAsia" w:ascii="仿宋_GB2312" w:hAnsi="仿宋" w:eastAsia="仿宋_GB2312" w:cs="仿宋"/>
          <w:sz w:val="32"/>
          <w:szCs w:val="32"/>
        </w:rPr>
        <w:t>202</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年收入</w:t>
      </w:r>
      <w:r>
        <w:rPr>
          <w:rFonts w:hint="eastAsia" w:ascii="仿宋_GB2312" w:hAnsi="仿宋" w:eastAsia="仿宋_GB2312" w:cs="仿宋"/>
          <w:sz w:val="32"/>
          <w:szCs w:val="32"/>
          <w:lang w:val="en-US" w:eastAsia="zh-CN"/>
        </w:rPr>
        <w:t>预算</w:t>
      </w:r>
      <w:r>
        <w:rPr>
          <w:rFonts w:hint="eastAsia" w:ascii="仿宋_GB2312" w:hAnsi="仿宋" w:eastAsia="仿宋_GB2312" w:cs="仿宋"/>
          <w:sz w:val="32"/>
          <w:szCs w:val="32"/>
        </w:rPr>
        <w:t>总数</w:t>
      </w:r>
      <w:r>
        <w:rPr>
          <w:rFonts w:hint="eastAsia" w:ascii="仿宋_GB2312" w:hAnsi="仿宋" w:eastAsia="仿宋_GB2312" w:cs="仿宋"/>
          <w:sz w:val="32"/>
          <w:szCs w:val="32"/>
          <w:lang w:val="en-US" w:eastAsia="zh-CN"/>
        </w:rPr>
        <w:t>1268.81</w:t>
      </w:r>
      <w:r>
        <w:rPr>
          <w:rFonts w:hint="eastAsia" w:ascii="仿宋_GB2312" w:hAnsi="仿宋" w:eastAsia="仿宋_GB2312" w:cs="仿宋"/>
          <w:sz w:val="32"/>
          <w:szCs w:val="32"/>
        </w:rPr>
        <w:t>万元，无基金预算</w:t>
      </w:r>
      <w:r>
        <w:rPr>
          <w:rFonts w:hint="eastAsia" w:ascii="仿宋_GB2312" w:hAnsi="仿宋" w:eastAsia="仿宋_GB2312" w:cs="仿宋"/>
          <w:sz w:val="32"/>
          <w:szCs w:val="32"/>
          <w:lang w:val="en-US" w:eastAsia="zh-CN"/>
        </w:rPr>
        <w:t>收入</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较202</w:t>
      </w:r>
      <w:r>
        <w:rPr>
          <w:rFonts w:hint="eastAsia" w:ascii="仿宋_GB2312" w:hAnsi="仿宋" w:eastAsia="仿宋_GB2312" w:cs="仿宋"/>
          <w:sz w:val="32"/>
          <w:szCs w:val="32"/>
          <w:lang w:val="en-US" w:eastAsia="zh-CN"/>
        </w:rPr>
        <w:t>4</w:t>
      </w:r>
      <w:r>
        <w:rPr>
          <w:rFonts w:hint="eastAsia" w:ascii="仿宋_GB2312" w:hAnsi="仿宋" w:eastAsia="仿宋_GB2312" w:cs="仿宋"/>
          <w:sz w:val="32"/>
          <w:szCs w:val="32"/>
        </w:rPr>
        <w:t>年收入</w:t>
      </w:r>
      <w:r>
        <w:rPr>
          <w:rFonts w:hint="eastAsia" w:ascii="仿宋_GB2312" w:hAnsi="仿宋" w:eastAsia="仿宋_GB2312" w:cs="仿宋"/>
          <w:sz w:val="32"/>
          <w:szCs w:val="32"/>
          <w:lang w:val="en-US" w:eastAsia="zh-CN"/>
        </w:rPr>
        <w:t>预算</w:t>
      </w:r>
      <w:r>
        <w:rPr>
          <w:rFonts w:hint="eastAsia" w:ascii="仿宋_GB2312" w:hAnsi="仿宋" w:eastAsia="仿宋_GB2312" w:cs="仿宋"/>
          <w:sz w:val="32"/>
          <w:szCs w:val="32"/>
        </w:rPr>
        <w:t>总数</w:t>
      </w:r>
      <w:r>
        <w:rPr>
          <w:rFonts w:hint="eastAsia" w:ascii="仿宋_GB2312" w:hAnsi="仿宋" w:eastAsia="仿宋_GB2312" w:cs="仿宋"/>
          <w:sz w:val="32"/>
          <w:szCs w:val="32"/>
          <w:lang w:val="en-US" w:eastAsia="zh-CN"/>
        </w:rPr>
        <w:t>1162.11万</w:t>
      </w:r>
      <w:r>
        <w:rPr>
          <w:rFonts w:hint="eastAsia" w:ascii="仿宋_GB2312" w:hAnsi="仿宋" w:eastAsia="仿宋_GB2312" w:cs="仿宋"/>
          <w:sz w:val="32"/>
          <w:szCs w:val="32"/>
        </w:rPr>
        <w:t>元</w:t>
      </w:r>
      <w:r>
        <w:rPr>
          <w:rFonts w:hint="eastAsia" w:ascii="仿宋_GB2312" w:hAnsi="仿宋" w:eastAsia="仿宋_GB2312" w:cs="仿宋"/>
          <w:sz w:val="32"/>
          <w:szCs w:val="32"/>
          <w:lang w:val="en-US" w:eastAsia="zh-CN"/>
        </w:rPr>
        <w:t>增加106.7万元，增幅9.18</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主要原因</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2024年新招录公务员8名，2025年人员经费、劳务派遣经费收入预算较2024年增加，故2025年收入预算总数较2024年增加。</w:t>
      </w:r>
    </w:p>
    <w:p w14:paraId="09A0A6D4">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39B8FE5B">
      <w:pPr>
        <w:widowControl/>
        <w:snapToGrid w:val="0"/>
        <w:spacing w:line="540" w:lineRule="exact"/>
        <w:ind w:firstLine="640" w:firstLineChars="200"/>
      </w:pPr>
      <w:r>
        <w:rPr>
          <w:rFonts w:hint="eastAsia" w:ascii="仿宋_GB2312" w:hAnsi="仿宋" w:eastAsia="仿宋_GB2312" w:cs="仿宋"/>
          <w:sz w:val="32"/>
          <w:szCs w:val="32"/>
        </w:rPr>
        <w:t>202</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年支出预算总数</w:t>
      </w:r>
      <w:r>
        <w:rPr>
          <w:rFonts w:hint="eastAsia" w:ascii="仿宋_GB2312" w:hAnsi="仿宋" w:eastAsia="仿宋_GB2312" w:cs="仿宋"/>
          <w:sz w:val="32"/>
          <w:szCs w:val="32"/>
          <w:lang w:val="en-US" w:eastAsia="zh-CN"/>
        </w:rPr>
        <w:t>1268.81</w:t>
      </w:r>
      <w:r>
        <w:rPr>
          <w:rFonts w:hint="eastAsia" w:ascii="仿宋_GB2312" w:hAnsi="仿宋" w:eastAsia="仿宋_GB2312" w:cs="仿宋"/>
          <w:sz w:val="32"/>
          <w:szCs w:val="32"/>
        </w:rPr>
        <w:t>万元，</w:t>
      </w:r>
      <w:r>
        <w:rPr>
          <w:rFonts w:hint="eastAsia" w:ascii="仿宋_GB2312" w:hAnsi="仿宋" w:eastAsia="仿宋_GB2312" w:cs="仿宋"/>
          <w:sz w:val="32"/>
          <w:szCs w:val="32"/>
          <w:lang w:val="en-US" w:eastAsia="zh-CN"/>
        </w:rPr>
        <w:t>无</w:t>
      </w:r>
      <w:r>
        <w:rPr>
          <w:rFonts w:hint="eastAsia" w:ascii="仿宋_GB2312" w:hAnsi="仿宋" w:eastAsia="仿宋_GB2312" w:cs="仿宋"/>
          <w:sz w:val="32"/>
          <w:szCs w:val="32"/>
        </w:rPr>
        <w:t>基金预算支出，较202</w:t>
      </w:r>
      <w:r>
        <w:rPr>
          <w:rFonts w:hint="eastAsia" w:ascii="仿宋_GB2312" w:hAnsi="仿宋" w:eastAsia="仿宋_GB2312" w:cs="仿宋"/>
          <w:sz w:val="32"/>
          <w:szCs w:val="32"/>
          <w:lang w:val="en-US" w:eastAsia="zh-CN"/>
        </w:rPr>
        <w:t>4</w:t>
      </w:r>
      <w:r>
        <w:rPr>
          <w:rFonts w:hint="eastAsia" w:ascii="仿宋_GB2312" w:hAnsi="仿宋" w:eastAsia="仿宋_GB2312" w:cs="仿宋"/>
          <w:sz w:val="32"/>
          <w:szCs w:val="32"/>
        </w:rPr>
        <w:t>年支出预算总数</w:t>
      </w:r>
      <w:r>
        <w:rPr>
          <w:rFonts w:hint="eastAsia" w:ascii="仿宋_GB2312" w:hAnsi="仿宋" w:eastAsia="仿宋_GB2312" w:cs="仿宋"/>
          <w:sz w:val="32"/>
          <w:szCs w:val="32"/>
          <w:lang w:val="en-US" w:eastAsia="zh-CN"/>
        </w:rPr>
        <w:t>1162.11万</w:t>
      </w:r>
      <w:r>
        <w:rPr>
          <w:rFonts w:hint="eastAsia" w:ascii="仿宋_GB2312" w:hAnsi="仿宋" w:eastAsia="仿宋_GB2312" w:cs="仿宋"/>
          <w:sz w:val="32"/>
          <w:szCs w:val="32"/>
        </w:rPr>
        <w:t>元</w:t>
      </w:r>
      <w:r>
        <w:rPr>
          <w:rFonts w:hint="eastAsia" w:ascii="仿宋_GB2312" w:hAnsi="仿宋" w:eastAsia="仿宋_GB2312" w:cs="仿宋"/>
          <w:sz w:val="32"/>
          <w:szCs w:val="32"/>
          <w:lang w:val="en-US" w:eastAsia="zh-CN"/>
        </w:rPr>
        <w:t>增加106.7万元，增幅9.18</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主要原因</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2024年新招录公务员8名，2025年人员经费、劳务派遣经费支出预算较2024年增加，故2025年支出预算总数较2024年增加。</w:t>
      </w:r>
    </w:p>
    <w:p w14:paraId="7DEC15F2">
      <w:pPr>
        <w:ind w:firstLine="640" w:firstLineChars="200"/>
        <w:rPr>
          <w:rFonts w:ascii="仿宋_GB2312" w:eastAsia="仿宋_GB2312"/>
          <w:sz w:val="32"/>
          <w:szCs w:val="32"/>
        </w:rPr>
      </w:pPr>
      <w:r>
        <w:rPr>
          <w:rFonts w:hint="eastAsia" w:ascii="黑体" w:eastAsia="黑体"/>
          <w:sz w:val="32"/>
          <w:szCs w:val="32"/>
        </w:rPr>
        <w:t>四、财政拨款收支预算情况说明</w:t>
      </w:r>
    </w:p>
    <w:p w14:paraId="73A184CE">
      <w:pPr>
        <w:ind w:left="638" w:leftChars="304"/>
        <w:rPr>
          <w:rFonts w:hint="default" w:ascii="仿宋_GB2312" w:hAnsi="黑体" w:eastAsia="仿宋_GB2312"/>
          <w:sz w:val="32"/>
          <w:szCs w:val="32"/>
          <w:lang w:val="en-US" w:eastAsia="zh-CN"/>
        </w:rPr>
      </w:pPr>
      <w:r>
        <w:rPr>
          <w:rFonts w:hint="eastAsia" w:ascii="仿宋_GB2312" w:hAnsi="仿宋_GB2312" w:eastAsia="仿宋_GB2312" w:cs="仿宋_GB2312"/>
          <w:sz w:val="32"/>
          <w:szCs w:val="32"/>
          <w:lang w:val="en-US" w:eastAsia="zh-CN"/>
        </w:rPr>
        <w:t>松潘县人民法院</w:t>
      </w:r>
      <w:r>
        <w:rPr>
          <w:rFonts w:hint="eastAsia" w:ascii="仿宋_GB2312" w:hAnsi="黑体" w:eastAsia="仿宋_GB2312"/>
          <w:sz w:val="32"/>
          <w:szCs w:val="32"/>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年财政拨款收支总预算</w:t>
      </w:r>
      <w:r>
        <w:rPr>
          <w:rFonts w:hint="eastAsia" w:ascii="仿宋_GB2312" w:hAnsi="仿宋" w:eastAsia="仿宋_GB2312" w:cs="仿宋"/>
          <w:sz w:val="32"/>
          <w:szCs w:val="32"/>
          <w:lang w:val="en-US" w:eastAsia="zh-CN"/>
        </w:rPr>
        <w:t>1268.81</w:t>
      </w:r>
    </w:p>
    <w:p w14:paraId="1959FEBD">
      <w:pPr>
        <w:widowControl/>
        <w:snapToGrid w:val="0"/>
        <w:spacing w:line="540" w:lineRule="exact"/>
        <w:rPr>
          <w:rFonts w:ascii="仿宋_GB2312" w:hAnsi="黑体" w:eastAsia="仿宋_GB2312"/>
          <w:sz w:val="32"/>
          <w:szCs w:val="32"/>
        </w:rPr>
      </w:pP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年财政拨款收支总预算</w:t>
      </w:r>
      <w:r>
        <w:rPr>
          <w:rFonts w:hint="eastAsia" w:ascii="仿宋_GB2312" w:hAnsi="仿宋" w:eastAsia="仿宋_GB2312" w:cs="仿宋"/>
          <w:sz w:val="32"/>
          <w:szCs w:val="32"/>
          <w:lang w:val="en-US" w:eastAsia="zh-CN"/>
        </w:rPr>
        <w:t>增加106.7</w:t>
      </w:r>
      <w:r>
        <w:rPr>
          <w:rFonts w:hint="eastAsia" w:ascii="仿宋_GB2312" w:hAnsi="黑体" w:eastAsia="仿宋_GB2312"/>
          <w:sz w:val="32"/>
          <w:szCs w:val="32"/>
        </w:rPr>
        <w:t>万元，主要原因:</w:t>
      </w:r>
      <w:r>
        <w:rPr>
          <w:rFonts w:hint="eastAsia" w:ascii="仿宋_GB2312" w:hAnsi="仿宋" w:eastAsia="仿宋_GB2312" w:cs="仿宋"/>
          <w:sz w:val="32"/>
          <w:szCs w:val="32"/>
          <w:lang w:val="en-US" w:eastAsia="zh-CN"/>
        </w:rPr>
        <w:t>2024年新招录公务员8名，2025年人员经费、劳务派遣经费</w:t>
      </w:r>
      <w:r>
        <w:rPr>
          <w:rFonts w:hint="eastAsia" w:ascii="仿宋_GB2312" w:hAnsi="黑体" w:eastAsia="仿宋_GB2312"/>
          <w:sz w:val="32"/>
          <w:szCs w:val="32"/>
        </w:rPr>
        <w:t>财政拨款收支</w:t>
      </w:r>
      <w:r>
        <w:rPr>
          <w:rFonts w:hint="eastAsia" w:ascii="仿宋_GB2312" w:hAnsi="黑体" w:eastAsia="仿宋_GB2312"/>
          <w:sz w:val="32"/>
          <w:szCs w:val="32"/>
          <w:lang w:val="en-US" w:eastAsia="zh-CN"/>
        </w:rPr>
        <w:t>预算</w:t>
      </w:r>
      <w:r>
        <w:rPr>
          <w:rFonts w:hint="eastAsia" w:ascii="仿宋_GB2312" w:hAnsi="仿宋" w:eastAsia="仿宋_GB2312" w:cs="仿宋"/>
          <w:sz w:val="32"/>
          <w:szCs w:val="32"/>
          <w:lang w:val="en-US" w:eastAsia="zh-CN"/>
        </w:rPr>
        <w:t>较2024年增加，故2025年</w:t>
      </w:r>
      <w:r>
        <w:rPr>
          <w:rFonts w:hint="eastAsia" w:ascii="仿宋_GB2312" w:hAnsi="黑体" w:eastAsia="仿宋_GB2312"/>
          <w:sz w:val="32"/>
          <w:szCs w:val="32"/>
        </w:rPr>
        <w:t>财政拨款</w:t>
      </w:r>
      <w:r>
        <w:rPr>
          <w:rFonts w:hint="eastAsia" w:ascii="仿宋_GB2312" w:hAnsi="仿宋" w:eastAsia="仿宋_GB2312" w:cs="仿宋"/>
          <w:sz w:val="32"/>
          <w:szCs w:val="32"/>
          <w:lang w:val="en-US" w:eastAsia="zh-CN"/>
        </w:rPr>
        <w:t>收支总预算较2024年增加。</w:t>
      </w:r>
    </w:p>
    <w:p w14:paraId="22A7D6B3">
      <w:pPr>
        <w:keepNext w:val="0"/>
        <w:keepLines w:val="0"/>
        <w:pageBreakBefore w:val="0"/>
        <w:shd w:val="clear" w:color="auto" w:fill="FFFFFF"/>
        <w:kinsoku/>
        <w:wordWrap/>
        <w:overflowPunct/>
        <w:topLinePunct w:val="0"/>
        <w:autoSpaceDE/>
        <w:autoSpaceDN/>
        <w:bidi w:val="0"/>
        <w:adjustRightInd/>
        <w:spacing w:after="0"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收入包括：</w:t>
      </w:r>
      <w:r>
        <w:rPr>
          <w:rFonts w:hint="eastAsia" w:ascii="仿宋_GB2312" w:hAnsi="仿宋" w:eastAsia="仿宋_GB2312" w:cs="仿宋"/>
          <w:color w:val="000000"/>
          <w:sz w:val="32"/>
          <w:szCs w:val="32"/>
        </w:rPr>
        <w:t>基本支出，是用于保障行政机构的正常运转的日常支出，包括基本工资、津贴补贴等人员经费以及办公费、印刷费、水电费等日常公用经费。20</w:t>
      </w:r>
      <w:r>
        <w:rPr>
          <w:rFonts w:ascii="仿宋_GB2312" w:hAnsi="仿宋" w:eastAsia="仿宋_GB2312" w:cs="仿宋"/>
          <w:color w:val="000000"/>
          <w:sz w:val="32"/>
          <w:szCs w:val="32"/>
        </w:rPr>
        <w:t>2</w:t>
      </w:r>
      <w:r>
        <w:rPr>
          <w:rFonts w:hint="eastAsia" w:ascii="仿宋_GB2312" w:hAnsi="仿宋" w:eastAsia="仿宋_GB2312" w:cs="仿宋"/>
          <w:color w:val="000000"/>
          <w:sz w:val="32"/>
          <w:szCs w:val="32"/>
          <w:lang w:val="en-US" w:eastAsia="zh-CN"/>
        </w:rPr>
        <w:t>5</w:t>
      </w:r>
      <w:r>
        <w:rPr>
          <w:rFonts w:hint="eastAsia" w:ascii="仿宋_GB2312" w:hAnsi="仿宋" w:eastAsia="仿宋_GB2312" w:cs="仿宋"/>
          <w:color w:val="000000"/>
          <w:sz w:val="32"/>
          <w:szCs w:val="32"/>
        </w:rPr>
        <w:t>年部门预算基本支出预算总数</w:t>
      </w:r>
      <w:r>
        <w:rPr>
          <w:rFonts w:hint="eastAsia" w:ascii="仿宋_GB2312" w:hAnsi="仿宋" w:eastAsia="仿宋_GB2312" w:cs="仿宋"/>
          <w:sz w:val="32"/>
          <w:szCs w:val="32"/>
          <w:lang w:val="en-US" w:eastAsia="zh-CN"/>
        </w:rPr>
        <w:t>1236.19</w:t>
      </w:r>
      <w:r>
        <w:rPr>
          <w:rFonts w:hint="eastAsia" w:ascii="仿宋_GB2312" w:hAnsi="仿宋" w:eastAsia="仿宋_GB2312" w:cs="仿宋"/>
          <w:color w:val="000000"/>
          <w:sz w:val="32"/>
          <w:szCs w:val="32"/>
        </w:rPr>
        <w:t>万元，其中：人员支出</w:t>
      </w:r>
      <w:r>
        <w:rPr>
          <w:rFonts w:hint="eastAsia" w:ascii="仿宋_GB2312" w:hAnsi="仿宋" w:eastAsia="仿宋_GB2312" w:cs="仿宋"/>
          <w:color w:val="000000"/>
          <w:sz w:val="32"/>
          <w:szCs w:val="32"/>
          <w:lang w:val="en-US" w:eastAsia="zh-CN"/>
        </w:rPr>
        <w:t>1065.37</w:t>
      </w:r>
      <w:r>
        <w:rPr>
          <w:rFonts w:hint="eastAsia" w:ascii="仿宋_GB2312" w:hAnsi="仿宋" w:eastAsia="仿宋_GB2312" w:cs="仿宋"/>
          <w:color w:val="000000"/>
          <w:sz w:val="32"/>
          <w:szCs w:val="32"/>
        </w:rPr>
        <w:t>万元，公用支出</w:t>
      </w:r>
      <w:r>
        <w:rPr>
          <w:rFonts w:hint="eastAsia" w:ascii="仿宋_GB2312" w:hAnsi="仿宋" w:eastAsia="仿宋_GB2312" w:cs="仿宋"/>
          <w:color w:val="000000"/>
          <w:sz w:val="32"/>
          <w:szCs w:val="32"/>
          <w:lang w:val="en-US" w:eastAsia="zh-CN"/>
        </w:rPr>
        <w:t>170.82</w:t>
      </w:r>
      <w:r>
        <w:rPr>
          <w:rFonts w:hint="eastAsia" w:ascii="仿宋_GB2312" w:hAnsi="仿宋" w:eastAsia="仿宋_GB2312" w:cs="仿宋"/>
          <w:color w:val="000000"/>
          <w:sz w:val="32"/>
          <w:szCs w:val="32"/>
        </w:rPr>
        <w:t>万元。项目支出，是用于保障</w:t>
      </w:r>
      <w:r>
        <w:rPr>
          <w:rFonts w:hint="eastAsia" w:ascii="仿宋_GB2312" w:hAnsi="仿宋" w:eastAsia="仿宋_GB2312" w:cs="仿宋"/>
          <w:color w:val="000000"/>
          <w:sz w:val="32"/>
          <w:szCs w:val="32"/>
          <w:lang w:val="en-US" w:eastAsia="zh-CN"/>
        </w:rPr>
        <w:t>法警加班补助</w:t>
      </w:r>
      <w:r>
        <w:rPr>
          <w:rFonts w:hint="eastAsia" w:ascii="仿宋_GB2312" w:hAnsi="仿宋" w:eastAsia="仿宋_GB2312" w:cs="仿宋"/>
          <w:color w:val="000000"/>
          <w:sz w:val="32"/>
          <w:szCs w:val="32"/>
        </w:rPr>
        <w:t>专项经费。202</w:t>
      </w:r>
      <w:r>
        <w:rPr>
          <w:rFonts w:hint="eastAsia" w:ascii="仿宋_GB2312" w:hAnsi="仿宋" w:eastAsia="仿宋_GB2312" w:cs="仿宋"/>
          <w:color w:val="000000"/>
          <w:sz w:val="32"/>
          <w:szCs w:val="32"/>
          <w:lang w:val="en-US" w:eastAsia="zh-CN"/>
        </w:rPr>
        <w:t>5</w:t>
      </w:r>
      <w:r>
        <w:rPr>
          <w:rFonts w:hint="eastAsia" w:ascii="仿宋_GB2312" w:hAnsi="仿宋" w:eastAsia="仿宋_GB2312" w:cs="仿宋"/>
          <w:color w:val="000000"/>
          <w:sz w:val="32"/>
          <w:szCs w:val="32"/>
        </w:rPr>
        <w:t>年部门预算项目支出预算总数</w:t>
      </w:r>
      <w:r>
        <w:rPr>
          <w:rFonts w:hint="eastAsia" w:ascii="仿宋_GB2312" w:hAnsi="仿宋" w:eastAsia="仿宋_GB2312" w:cs="仿宋"/>
          <w:color w:val="000000"/>
          <w:sz w:val="32"/>
          <w:szCs w:val="32"/>
          <w:lang w:val="en-US" w:eastAsia="zh-CN"/>
        </w:rPr>
        <w:t>32.62</w:t>
      </w:r>
      <w:r>
        <w:rPr>
          <w:rFonts w:hint="eastAsia" w:ascii="仿宋_GB2312" w:hAnsi="仿宋" w:eastAsia="仿宋_GB2312" w:cs="仿宋"/>
          <w:color w:val="000000"/>
          <w:sz w:val="32"/>
          <w:szCs w:val="32"/>
        </w:rPr>
        <w:t>万元。</w:t>
      </w:r>
    </w:p>
    <w:p w14:paraId="6007331F">
      <w:pPr>
        <w:keepNext w:val="0"/>
        <w:keepLines w:val="0"/>
        <w:pageBreakBefore w:val="0"/>
        <w:shd w:val="clear" w:color="auto" w:fill="FFFFFF"/>
        <w:kinsoku/>
        <w:wordWrap/>
        <w:overflowPunct/>
        <w:topLinePunct w:val="0"/>
        <w:autoSpaceDE/>
        <w:autoSpaceDN/>
        <w:bidi w:val="0"/>
        <w:adjustRightInd/>
        <w:spacing w:after="0" w:line="560" w:lineRule="exact"/>
        <w:ind w:firstLine="640" w:firstLineChars="200"/>
        <w:textAlignment w:val="auto"/>
        <w:rPr>
          <w:rFonts w:ascii="仿宋_GB2312" w:eastAsia="仿宋_GB2312"/>
          <w:sz w:val="32"/>
          <w:szCs w:val="32"/>
        </w:rPr>
      </w:pPr>
      <w:r>
        <w:rPr>
          <w:rFonts w:hint="eastAsia" w:ascii="仿宋_GB2312" w:hAnsi="仿宋_GB2312" w:eastAsia="仿宋_GB2312" w:cs="仿宋_GB2312"/>
          <w:sz w:val="32"/>
          <w:szCs w:val="32"/>
        </w:rPr>
        <w:t>支出包括：</w:t>
      </w:r>
      <w:r>
        <w:rPr>
          <w:rFonts w:hint="eastAsia" w:ascii="仿宋_GB2312" w:hAnsi="仿宋" w:eastAsia="仿宋_GB2312" w:cs="仿宋"/>
          <w:color w:val="000000"/>
          <w:sz w:val="32"/>
          <w:szCs w:val="32"/>
        </w:rPr>
        <w:t>基本支出，是用于保障行政机构的正常运转的日常支出，包括基本工资、津贴补贴等人员经费以及办公费、印刷费、水电费等日常公用经费。20</w:t>
      </w:r>
      <w:r>
        <w:rPr>
          <w:rFonts w:ascii="仿宋_GB2312" w:hAnsi="仿宋" w:eastAsia="仿宋_GB2312" w:cs="仿宋"/>
          <w:color w:val="000000"/>
          <w:sz w:val="32"/>
          <w:szCs w:val="32"/>
        </w:rPr>
        <w:t>2</w:t>
      </w:r>
      <w:r>
        <w:rPr>
          <w:rFonts w:hint="eastAsia" w:ascii="仿宋_GB2312" w:hAnsi="仿宋" w:eastAsia="仿宋_GB2312" w:cs="仿宋"/>
          <w:color w:val="000000"/>
          <w:sz w:val="32"/>
          <w:szCs w:val="32"/>
          <w:lang w:val="en-US" w:eastAsia="zh-CN"/>
        </w:rPr>
        <w:t>5</w:t>
      </w:r>
      <w:r>
        <w:rPr>
          <w:rFonts w:hint="eastAsia" w:ascii="仿宋_GB2312" w:hAnsi="仿宋" w:eastAsia="仿宋_GB2312" w:cs="仿宋"/>
          <w:color w:val="000000"/>
          <w:sz w:val="32"/>
          <w:szCs w:val="32"/>
        </w:rPr>
        <w:t>年部门预算基本支出预算总数</w:t>
      </w:r>
      <w:r>
        <w:rPr>
          <w:rFonts w:hint="eastAsia" w:ascii="仿宋_GB2312" w:hAnsi="仿宋" w:eastAsia="仿宋_GB2312" w:cs="仿宋"/>
          <w:color w:val="000000"/>
          <w:sz w:val="32"/>
          <w:szCs w:val="32"/>
          <w:lang w:val="en-US" w:eastAsia="zh-CN"/>
        </w:rPr>
        <w:t>1268.81</w:t>
      </w:r>
      <w:r>
        <w:rPr>
          <w:rFonts w:hint="eastAsia" w:ascii="仿宋_GB2312" w:hAnsi="仿宋" w:eastAsia="仿宋_GB2312" w:cs="仿宋"/>
          <w:color w:val="000000"/>
          <w:sz w:val="32"/>
          <w:szCs w:val="32"/>
        </w:rPr>
        <w:t>万元，其中：人员支出</w:t>
      </w:r>
      <w:r>
        <w:rPr>
          <w:rFonts w:hint="eastAsia" w:ascii="仿宋_GB2312" w:hAnsi="仿宋" w:eastAsia="仿宋_GB2312" w:cs="仿宋"/>
          <w:color w:val="000000"/>
          <w:sz w:val="32"/>
          <w:szCs w:val="32"/>
          <w:lang w:val="en-US" w:eastAsia="zh-CN"/>
        </w:rPr>
        <w:t>1065.37</w:t>
      </w:r>
      <w:r>
        <w:rPr>
          <w:rFonts w:hint="eastAsia" w:ascii="仿宋_GB2312" w:hAnsi="仿宋" w:eastAsia="仿宋_GB2312" w:cs="仿宋"/>
          <w:color w:val="000000"/>
          <w:sz w:val="32"/>
          <w:szCs w:val="32"/>
        </w:rPr>
        <w:t>万元，公用支出</w:t>
      </w:r>
      <w:r>
        <w:rPr>
          <w:rFonts w:hint="eastAsia" w:ascii="仿宋_GB2312" w:hAnsi="仿宋" w:eastAsia="仿宋_GB2312" w:cs="仿宋"/>
          <w:color w:val="000000"/>
          <w:sz w:val="32"/>
          <w:szCs w:val="32"/>
          <w:lang w:val="en-US" w:eastAsia="zh-CN"/>
        </w:rPr>
        <w:t>170.82</w:t>
      </w:r>
      <w:r>
        <w:rPr>
          <w:rFonts w:hint="eastAsia" w:ascii="仿宋_GB2312" w:hAnsi="仿宋" w:eastAsia="仿宋_GB2312" w:cs="仿宋"/>
          <w:color w:val="000000"/>
          <w:sz w:val="32"/>
          <w:szCs w:val="32"/>
        </w:rPr>
        <w:t>万元。项目支出，是用于保障</w:t>
      </w:r>
      <w:r>
        <w:rPr>
          <w:rFonts w:hint="eastAsia" w:ascii="仿宋_GB2312" w:hAnsi="仿宋" w:eastAsia="仿宋_GB2312" w:cs="仿宋"/>
          <w:color w:val="000000"/>
          <w:sz w:val="32"/>
          <w:szCs w:val="32"/>
          <w:lang w:val="en-US" w:eastAsia="zh-CN"/>
        </w:rPr>
        <w:t>法警加班补助</w:t>
      </w:r>
      <w:r>
        <w:rPr>
          <w:rFonts w:hint="eastAsia" w:ascii="仿宋_GB2312" w:hAnsi="仿宋" w:eastAsia="仿宋_GB2312" w:cs="仿宋"/>
          <w:color w:val="000000"/>
          <w:sz w:val="32"/>
          <w:szCs w:val="32"/>
        </w:rPr>
        <w:t>专项经费。202</w:t>
      </w:r>
      <w:r>
        <w:rPr>
          <w:rFonts w:hint="eastAsia" w:ascii="仿宋_GB2312" w:hAnsi="仿宋" w:eastAsia="仿宋_GB2312" w:cs="仿宋"/>
          <w:color w:val="000000"/>
          <w:sz w:val="32"/>
          <w:szCs w:val="32"/>
          <w:lang w:val="en-US" w:eastAsia="zh-CN"/>
        </w:rPr>
        <w:t>5</w:t>
      </w:r>
      <w:r>
        <w:rPr>
          <w:rFonts w:hint="eastAsia" w:ascii="仿宋_GB2312" w:hAnsi="仿宋" w:eastAsia="仿宋_GB2312" w:cs="仿宋"/>
          <w:color w:val="000000"/>
          <w:sz w:val="32"/>
          <w:szCs w:val="32"/>
        </w:rPr>
        <w:t>年部门预算项目支出预算总数</w:t>
      </w:r>
      <w:r>
        <w:rPr>
          <w:rFonts w:hint="eastAsia" w:ascii="仿宋_GB2312" w:hAnsi="仿宋" w:eastAsia="仿宋_GB2312" w:cs="仿宋"/>
          <w:color w:val="000000"/>
          <w:sz w:val="32"/>
          <w:szCs w:val="32"/>
          <w:lang w:val="en-US" w:eastAsia="zh-CN"/>
        </w:rPr>
        <w:t>32.62</w:t>
      </w:r>
      <w:r>
        <w:rPr>
          <w:rFonts w:hint="eastAsia" w:ascii="仿宋_GB2312" w:hAnsi="仿宋" w:eastAsia="仿宋_GB2312" w:cs="仿宋"/>
          <w:color w:val="000000"/>
          <w:sz w:val="32"/>
          <w:szCs w:val="32"/>
        </w:rPr>
        <w:t>万元。</w:t>
      </w:r>
    </w:p>
    <w:p w14:paraId="7A058DA6">
      <w:pPr>
        <w:ind w:firstLine="640" w:firstLineChars="200"/>
        <w:rPr>
          <w:rFonts w:ascii="黑体" w:eastAsia="黑体"/>
          <w:sz w:val="32"/>
          <w:szCs w:val="32"/>
        </w:rPr>
      </w:pPr>
      <w:r>
        <w:rPr>
          <w:rFonts w:hint="eastAsia" w:ascii="黑体" w:eastAsia="黑体"/>
          <w:sz w:val="32"/>
          <w:szCs w:val="32"/>
        </w:rPr>
        <w:t>五、一般公共预算当年拨款情况说明</w:t>
      </w:r>
    </w:p>
    <w:p w14:paraId="009D18D1">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4CBE0B25">
      <w:pPr>
        <w:keepNext w:val="0"/>
        <w:keepLines w:val="0"/>
        <w:pageBreakBefore w:val="0"/>
        <w:shd w:val="clear" w:color="auto" w:fill="FFFFFF"/>
        <w:kinsoku/>
        <w:wordWrap/>
        <w:overflowPunct/>
        <w:topLinePunct w:val="0"/>
        <w:autoSpaceDE/>
        <w:autoSpaceDN/>
        <w:bidi w:val="0"/>
        <w:adjustRightInd/>
        <w:spacing w:after="0" w:line="560" w:lineRule="exact"/>
        <w:ind w:firstLine="640" w:firstLineChars="200"/>
        <w:textAlignment w:val="auto"/>
        <w:rPr>
          <w:rFonts w:hint="default"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松潘县人民法院</w:t>
      </w:r>
      <w:r>
        <w:rPr>
          <w:rFonts w:hint="eastAsia" w:ascii="仿宋_GB2312" w:hAnsi="仿宋" w:eastAsia="仿宋_GB2312" w:cs="仿宋"/>
          <w:color w:val="000000"/>
          <w:sz w:val="32"/>
          <w:szCs w:val="32"/>
        </w:rPr>
        <w:t>202</w:t>
      </w:r>
      <w:r>
        <w:rPr>
          <w:rFonts w:hint="eastAsia" w:ascii="仿宋_GB2312" w:hAnsi="仿宋" w:eastAsia="仿宋_GB2312" w:cs="仿宋"/>
          <w:color w:val="000000"/>
          <w:sz w:val="32"/>
          <w:szCs w:val="32"/>
          <w:lang w:val="en-US" w:eastAsia="zh-CN"/>
        </w:rPr>
        <w:t>5</w:t>
      </w:r>
      <w:r>
        <w:rPr>
          <w:rFonts w:hint="eastAsia" w:ascii="仿宋_GB2312" w:hAnsi="仿宋" w:eastAsia="仿宋_GB2312" w:cs="仿宋"/>
          <w:color w:val="000000"/>
          <w:sz w:val="32"/>
          <w:szCs w:val="32"/>
        </w:rPr>
        <w:t>年一般公共预算当年拨款</w:t>
      </w:r>
      <w:r>
        <w:rPr>
          <w:rFonts w:hint="eastAsia" w:ascii="仿宋_GB2312" w:hAnsi="仿宋" w:eastAsia="仿宋_GB2312" w:cs="仿宋"/>
          <w:color w:val="000000"/>
          <w:sz w:val="32"/>
          <w:szCs w:val="32"/>
          <w:lang w:val="en-US" w:eastAsia="zh-CN"/>
        </w:rPr>
        <w:t>1268.81</w:t>
      </w:r>
    </w:p>
    <w:p w14:paraId="16179AD1">
      <w:pPr>
        <w:widowControl/>
        <w:snapToGrid w:val="0"/>
        <w:spacing w:line="540" w:lineRule="exact"/>
        <w:rPr>
          <w:rFonts w:cs="仿宋_GB2312"/>
          <w:kern w:val="2"/>
          <w:sz w:val="32"/>
          <w:szCs w:val="32"/>
        </w:rPr>
      </w:pPr>
      <w:r>
        <w:rPr>
          <w:rFonts w:hint="eastAsia" w:ascii="仿宋_GB2312" w:hAnsi="仿宋" w:eastAsia="仿宋_GB2312" w:cs="仿宋"/>
          <w:color w:val="000000"/>
          <w:sz w:val="32"/>
          <w:szCs w:val="32"/>
        </w:rPr>
        <w:t>万元，比</w:t>
      </w:r>
      <w:r>
        <w:rPr>
          <w:rFonts w:hint="eastAsia" w:ascii="仿宋_GB2312" w:hAnsi="仿宋" w:eastAsia="仿宋_GB2312" w:cs="仿宋"/>
          <w:color w:val="000000"/>
          <w:sz w:val="32"/>
          <w:szCs w:val="32"/>
          <w:lang w:val="en-US" w:eastAsia="zh-CN"/>
        </w:rPr>
        <w:t>2024</w:t>
      </w:r>
      <w:r>
        <w:rPr>
          <w:rFonts w:hint="eastAsia" w:ascii="仿宋_GB2312" w:hAnsi="仿宋" w:eastAsia="仿宋_GB2312" w:cs="仿宋"/>
          <w:color w:val="000000"/>
          <w:sz w:val="32"/>
          <w:szCs w:val="32"/>
        </w:rPr>
        <w:t>年一般公共预算</w:t>
      </w:r>
      <w:r>
        <w:rPr>
          <w:rFonts w:hint="eastAsia" w:ascii="仿宋_GB2312" w:hAnsi="仿宋" w:eastAsia="仿宋_GB2312" w:cs="仿宋"/>
          <w:sz w:val="32"/>
          <w:szCs w:val="32"/>
          <w:lang w:val="en-US" w:eastAsia="zh-CN"/>
        </w:rPr>
        <w:t>增加106.7</w:t>
      </w:r>
      <w:r>
        <w:rPr>
          <w:rFonts w:hint="eastAsia" w:ascii="仿宋_GB2312" w:hAnsi="仿宋" w:eastAsia="仿宋_GB2312" w:cs="仿宋"/>
          <w:color w:val="000000"/>
          <w:sz w:val="32"/>
          <w:szCs w:val="32"/>
          <w:lang w:val="en-US" w:eastAsia="zh-CN"/>
        </w:rPr>
        <w:t>万元，主要原因</w:t>
      </w:r>
      <w:r>
        <w:rPr>
          <w:rFonts w:hint="eastAsia" w:ascii="仿宋_GB2312" w:hAnsi="仿宋" w:eastAsia="仿宋_GB2312" w:cs="仿宋"/>
          <w:color w:val="000000"/>
          <w:sz w:val="32"/>
          <w:szCs w:val="32"/>
          <w:lang w:eastAsia="zh-CN"/>
        </w:rPr>
        <w:t>：</w:t>
      </w:r>
      <w:r>
        <w:rPr>
          <w:rFonts w:hint="eastAsia" w:ascii="仿宋_GB2312" w:hAnsi="仿宋" w:eastAsia="仿宋_GB2312" w:cs="仿宋"/>
          <w:sz w:val="32"/>
          <w:szCs w:val="32"/>
          <w:lang w:val="en-US" w:eastAsia="zh-CN"/>
        </w:rPr>
        <w:t>2024年新招录公务员8名，2025年人员经费、劳务派遣经费</w:t>
      </w:r>
      <w:r>
        <w:rPr>
          <w:rFonts w:hint="eastAsia" w:ascii="仿宋_GB2312" w:hAnsi="仿宋" w:eastAsia="仿宋_GB2312" w:cs="仿宋"/>
          <w:color w:val="000000"/>
          <w:sz w:val="32"/>
          <w:szCs w:val="32"/>
        </w:rPr>
        <w:t>一般公共预算</w:t>
      </w:r>
      <w:r>
        <w:rPr>
          <w:rFonts w:hint="eastAsia" w:ascii="仿宋_GB2312" w:hAnsi="仿宋" w:eastAsia="仿宋_GB2312" w:cs="仿宋"/>
          <w:color w:val="000000"/>
          <w:sz w:val="32"/>
          <w:szCs w:val="32"/>
          <w:lang w:val="en-US" w:eastAsia="zh-CN"/>
        </w:rPr>
        <w:t>拨款</w:t>
      </w:r>
      <w:r>
        <w:rPr>
          <w:rFonts w:hint="eastAsia" w:ascii="仿宋_GB2312" w:hAnsi="仿宋" w:eastAsia="仿宋_GB2312" w:cs="仿宋"/>
          <w:sz w:val="32"/>
          <w:szCs w:val="32"/>
          <w:lang w:val="en-US" w:eastAsia="zh-CN"/>
        </w:rPr>
        <w:t>较2024年增加，故2025年</w:t>
      </w:r>
      <w:r>
        <w:rPr>
          <w:rFonts w:hint="eastAsia" w:ascii="仿宋_GB2312" w:hAnsi="仿宋" w:eastAsia="仿宋_GB2312" w:cs="仿宋"/>
          <w:color w:val="000000"/>
          <w:sz w:val="32"/>
          <w:szCs w:val="32"/>
        </w:rPr>
        <w:t>一般公共预算当年拨款</w:t>
      </w:r>
      <w:r>
        <w:rPr>
          <w:rFonts w:hint="eastAsia" w:ascii="仿宋_GB2312" w:hAnsi="仿宋" w:eastAsia="仿宋_GB2312" w:cs="仿宋"/>
          <w:sz w:val="32"/>
          <w:szCs w:val="32"/>
          <w:lang w:val="en-US" w:eastAsia="zh-CN"/>
        </w:rPr>
        <w:t>较2024年增加。</w:t>
      </w:r>
    </w:p>
    <w:p w14:paraId="5AB2C763">
      <w:pPr>
        <w:keepNext w:val="0"/>
        <w:keepLines w:val="0"/>
        <w:pageBreakBefore w:val="0"/>
        <w:numPr>
          <w:ilvl w:val="0"/>
          <w:numId w:val="2"/>
        </w:numPr>
        <w:shd w:val="clear" w:color="auto" w:fill="FFFFFF"/>
        <w:kinsoku/>
        <w:wordWrap/>
        <w:overflowPunct/>
        <w:topLinePunct w:val="0"/>
        <w:autoSpaceDE/>
        <w:autoSpaceDN/>
        <w:bidi w:val="0"/>
        <w:adjustRightInd/>
        <w:spacing w:after="0" w:line="560" w:lineRule="exact"/>
        <w:ind w:left="640" w:leftChars="0" w:firstLine="0" w:firstLineChars="0"/>
        <w:textAlignment w:val="auto"/>
        <w:rPr>
          <w:rFonts w:cs="仿宋_GB2312"/>
          <w:kern w:val="2"/>
          <w:sz w:val="32"/>
          <w:szCs w:val="32"/>
        </w:rPr>
      </w:pPr>
      <w:r>
        <w:rPr>
          <w:rFonts w:hint="eastAsia" w:ascii="楷体" w:eastAsia="楷体" w:cs="宋体"/>
          <w:sz w:val="32"/>
          <w:szCs w:val="32"/>
        </w:rPr>
        <w:t>一般公共预算当年拨款结构情况</w:t>
      </w:r>
    </w:p>
    <w:p w14:paraId="3C9BC0E1">
      <w:pPr>
        <w:keepNext w:val="0"/>
        <w:keepLines w:val="0"/>
        <w:pageBreakBefore w:val="0"/>
        <w:numPr>
          <w:numId w:val="0"/>
        </w:numPr>
        <w:shd w:val="clear" w:color="auto" w:fill="FFFFFF"/>
        <w:kinsoku/>
        <w:wordWrap/>
        <w:overflowPunct/>
        <w:topLinePunct w:val="0"/>
        <w:autoSpaceDE/>
        <w:autoSpaceDN/>
        <w:bidi w:val="0"/>
        <w:adjustRightInd/>
        <w:spacing w:after="0" w:line="560" w:lineRule="exact"/>
        <w:ind w:firstLine="640" w:firstLineChars="200"/>
        <w:textAlignment w:val="auto"/>
        <w:rPr>
          <w:rFonts w:cs="仿宋_GB2312"/>
          <w:kern w:val="2"/>
          <w:sz w:val="32"/>
          <w:szCs w:val="32"/>
        </w:rPr>
      </w:pPr>
      <w:r>
        <w:rPr>
          <w:rFonts w:hint="eastAsia" w:ascii="仿宋_GB2312" w:hAnsi="仿宋" w:eastAsia="仿宋_GB2312" w:cs="仿宋"/>
          <w:color w:val="000000"/>
          <w:sz w:val="32"/>
          <w:szCs w:val="32"/>
          <w:lang w:val="en-US" w:eastAsia="zh-CN"/>
        </w:rPr>
        <w:t>公共安全</w:t>
      </w:r>
      <w:r>
        <w:rPr>
          <w:rFonts w:hint="eastAsia" w:ascii="仿宋_GB2312" w:hAnsi="仿宋" w:eastAsia="仿宋_GB2312" w:cs="仿宋"/>
          <w:color w:val="000000"/>
          <w:sz w:val="32"/>
          <w:szCs w:val="32"/>
        </w:rPr>
        <w:t>支出</w:t>
      </w:r>
      <w:r>
        <w:rPr>
          <w:rFonts w:hint="eastAsia" w:ascii="仿宋_GB2312" w:hAnsi="仿宋" w:eastAsia="仿宋_GB2312" w:cs="仿宋"/>
          <w:color w:val="000000"/>
          <w:sz w:val="32"/>
          <w:szCs w:val="32"/>
          <w:lang w:val="en-US" w:eastAsia="zh-CN"/>
        </w:rPr>
        <w:t>919.61</w:t>
      </w:r>
      <w:r>
        <w:rPr>
          <w:rFonts w:hint="eastAsia" w:ascii="仿宋_GB2312" w:hAnsi="仿宋" w:eastAsia="仿宋_GB2312" w:cs="仿宋"/>
          <w:color w:val="000000"/>
          <w:sz w:val="32"/>
          <w:szCs w:val="32"/>
        </w:rPr>
        <w:t>万元，占</w:t>
      </w:r>
      <w:r>
        <w:rPr>
          <w:rFonts w:hint="eastAsia" w:ascii="仿宋_GB2312" w:hAnsi="仿宋" w:eastAsia="仿宋_GB2312" w:cs="仿宋"/>
          <w:color w:val="000000"/>
          <w:sz w:val="32"/>
          <w:szCs w:val="32"/>
          <w:lang w:val="en-US" w:eastAsia="zh-CN"/>
        </w:rPr>
        <w:t>72.48</w:t>
      </w:r>
      <w:r>
        <w:rPr>
          <w:rFonts w:hint="eastAsia" w:ascii="仿宋_GB2312" w:hAnsi="仿宋" w:eastAsia="仿宋_GB2312" w:cs="仿宋"/>
          <w:color w:val="000000"/>
          <w:sz w:val="32"/>
          <w:szCs w:val="32"/>
        </w:rPr>
        <w:t>%；社会保障和就业</w:t>
      </w:r>
      <w:r>
        <w:rPr>
          <w:rFonts w:hint="eastAsia" w:ascii="仿宋_GB2312" w:hAnsi="仿宋" w:eastAsia="仿宋_GB2312" w:cs="仿宋"/>
          <w:color w:val="000000"/>
          <w:sz w:val="32"/>
          <w:szCs w:val="32"/>
          <w:lang w:val="en-US" w:eastAsia="zh-CN"/>
        </w:rPr>
        <w:t>支出185.86万元，</w:t>
      </w:r>
      <w:r>
        <w:rPr>
          <w:rFonts w:hint="eastAsia" w:ascii="仿宋_GB2312" w:hAnsi="仿宋" w:eastAsia="仿宋_GB2312" w:cs="仿宋"/>
          <w:color w:val="000000"/>
          <w:sz w:val="32"/>
          <w:szCs w:val="32"/>
        </w:rPr>
        <w:t>占</w:t>
      </w:r>
      <w:r>
        <w:rPr>
          <w:rFonts w:hint="eastAsia" w:ascii="仿宋_GB2312" w:hAnsi="仿宋" w:eastAsia="仿宋_GB2312" w:cs="仿宋"/>
          <w:color w:val="000000"/>
          <w:sz w:val="32"/>
          <w:szCs w:val="32"/>
          <w:lang w:val="en-US" w:eastAsia="zh-CN"/>
        </w:rPr>
        <w:t>14.65</w:t>
      </w:r>
      <w:r>
        <w:rPr>
          <w:rFonts w:hint="eastAsia" w:ascii="仿宋_GB2312" w:hAnsi="仿宋" w:eastAsia="仿宋_GB2312" w:cs="仿宋"/>
          <w:color w:val="000000"/>
          <w:sz w:val="32"/>
          <w:szCs w:val="32"/>
        </w:rPr>
        <w:t>%；</w:t>
      </w:r>
      <w:r>
        <w:rPr>
          <w:rFonts w:hint="eastAsia" w:ascii="仿宋_GB2312" w:hAnsi="仿宋" w:eastAsia="仿宋_GB2312" w:cs="仿宋"/>
          <w:color w:val="000000"/>
          <w:sz w:val="32"/>
          <w:szCs w:val="32"/>
          <w:lang w:val="en-US" w:eastAsia="zh-CN"/>
        </w:rPr>
        <w:t>卫生健康支出72.82万元，占5.74</w:t>
      </w:r>
      <w:r>
        <w:rPr>
          <w:rFonts w:hint="eastAsia" w:ascii="仿宋_GB2312" w:hAnsi="仿宋" w:eastAsia="仿宋_GB2312" w:cs="仿宋"/>
          <w:color w:val="000000"/>
          <w:sz w:val="32"/>
          <w:szCs w:val="32"/>
        </w:rPr>
        <w:t>%；住房保障支出</w:t>
      </w:r>
      <w:r>
        <w:rPr>
          <w:rFonts w:hint="eastAsia" w:ascii="仿宋_GB2312" w:hAnsi="仿宋" w:eastAsia="仿宋_GB2312" w:cs="仿宋"/>
          <w:color w:val="000000"/>
          <w:sz w:val="32"/>
          <w:szCs w:val="32"/>
          <w:lang w:val="en-US" w:eastAsia="zh-CN"/>
        </w:rPr>
        <w:t>90.51</w:t>
      </w:r>
      <w:r>
        <w:rPr>
          <w:rFonts w:hint="eastAsia" w:ascii="仿宋_GB2312" w:hAnsi="仿宋" w:eastAsia="仿宋_GB2312" w:cs="仿宋"/>
          <w:color w:val="000000"/>
          <w:sz w:val="32"/>
          <w:szCs w:val="32"/>
        </w:rPr>
        <w:t>万元，占</w:t>
      </w:r>
      <w:r>
        <w:rPr>
          <w:rFonts w:hint="eastAsia" w:ascii="仿宋_GB2312" w:hAnsi="仿宋" w:eastAsia="仿宋_GB2312" w:cs="仿宋"/>
          <w:color w:val="000000"/>
          <w:sz w:val="32"/>
          <w:szCs w:val="32"/>
          <w:lang w:val="en-US" w:eastAsia="zh-CN"/>
        </w:rPr>
        <w:t>7.13</w:t>
      </w:r>
      <w:r>
        <w:rPr>
          <w:rFonts w:hint="eastAsia" w:ascii="仿宋_GB2312" w:hAnsi="仿宋" w:eastAsia="仿宋_GB2312" w:cs="仿宋"/>
          <w:color w:val="000000"/>
          <w:sz w:val="32"/>
          <w:szCs w:val="32"/>
        </w:rPr>
        <w:t>%</w:t>
      </w:r>
      <w:r>
        <w:rPr>
          <w:rFonts w:hint="eastAsia" w:ascii="仿宋_GB2312" w:hAnsi="仿宋" w:eastAsia="仿宋_GB2312" w:cs="仿宋"/>
          <w:color w:val="000000"/>
          <w:sz w:val="32"/>
          <w:szCs w:val="32"/>
          <w:lang w:eastAsia="zh-CN"/>
        </w:rPr>
        <w:t>。</w:t>
      </w:r>
    </w:p>
    <w:p w14:paraId="5D2460F1">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1634C712">
      <w:pPr>
        <w:pStyle w:val="11"/>
        <w:spacing w:before="0" w:line="360" w:lineRule="auto"/>
        <w:ind w:firstLine="640" w:firstLineChars="200"/>
        <w:jc w:val="left"/>
        <w:rPr>
          <w:rFonts w:hint="eastAsia" w:hAnsi="ˎ̥" w:cs="宋体"/>
          <w:sz w:val="32"/>
          <w:szCs w:val="32"/>
        </w:rPr>
      </w:pPr>
      <w:r>
        <w:rPr>
          <w:rFonts w:hint="eastAsia" w:hAnsi="ˎ̥" w:cs="宋体"/>
          <w:sz w:val="32"/>
          <w:szCs w:val="32"/>
        </w:rPr>
        <w:t>1.工资福利性支出：</w:t>
      </w:r>
      <w:r>
        <w:rPr>
          <w:rFonts w:hint="eastAsia" w:hAnsi="ˎ̥" w:cs="宋体"/>
          <w:sz w:val="32"/>
          <w:szCs w:val="32"/>
          <w:lang w:val="en-US" w:eastAsia="zh-CN"/>
        </w:rPr>
        <w:t>1058.33</w:t>
      </w:r>
      <w:r>
        <w:rPr>
          <w:rFonts w:hint="eastAsia" w:hAnsi="ˎ̥" w:cs="宋体"/>
          <w:sz w:val="32"/>
          <w:szCs w:val="32"/>
        </w:rPr>
        <w:t>万元。 </w:t>
      </w:r>
    </w:p>
    <w:p w14:paraId="2538606E">
      <w:pPr>
        <w:pStyle w:val="11"/>
        <w:spacing w:before="0" w:line="360" w:lineRule="auto"/>
        <w:jc w:val="left"/>
        <w:rPr>
          <w:rFonts w:hint="eastAsia" w:hAnsi="ˎ̥" w:cs="宋体"/>
          <w:sz w:val="32"/>
          <w:szCs w:val="32"/>
        </w:rPr>
      </w:pPr>
      <w:r>
        <w:rPr>
          <w:rFonts w:hint="eastAsia" w:hAnsi="ˎ̥" w:cs="宋体"/>
          <w:sz w:val="32"/>
          <w:szCs w:val="32"/>
        </w:rPr>
        <w:t xml:space="preserve">    2.商品和服务支出：</w:t>
      </w:r>
      <w:r>
        <w:rPr>
          <w:rFonts w:hint="eastAsia" w:hAnsi="ˎ̥" w:cs="宋体"/>
          <w:sz w:val="32"/>
          <w:szCs w:val="32"/>
          <w:lang w:val="en-US" w:eastAsia="zh-CN"/>
        </w:rPr>
        <w:t>170.82</w:t>
      </w:r>
      <w:r>
        <w:rPr>
          <w:rFonts w:hint="eastAsia" w:hAnsi="ˎ̥" w:cs="宋体"/>
          <w:sz w:val="32"/>
          <w:szCs w:val="32"/>
        </w:rPr>
        <w:t>万元。  </w:t>
      </w:r>
    </w:p>
    <w:p w14:paraId="6CF98C8D">
      <w:pPr>
        <w:pStyle w:val="11"/>
        <w:spacing w:before="0" w:line="360" w:lineRule="auto"/>
        <w:ind w:firstLine="640" w:firstLineChars="200"/>
        <w:jc w:val="left"/>
        <w:rPr>
          <w:rFonts w:hint="eastAsia" w:hAnsi="ˎ̥" w:cs="宋体"/>
          <w:sz w:val="32"/>
          <w:szCs w:val="32"/>
        </w:rPr>
      </w:pPr>
      <w:r>
        <w:rPr>
          <w:rFonts w:hint="eastAsia" w:hAnsi="ˎ̥" w:cs="宋体"/>
          <w:sz w:val="32"/>
          <w:szCs w:val="32"/>
        </w:rPr>
        <w:t>3.对个人和家庭的补助支出</w:t>
      </w:r>
      <w:r>
        <w:rPr>
          <w:rFonts w:hint="eastAsia" w:hAnsi="ˎ̥" w:cs="宋体"/>
          <w:sz w:val="32"/>
          <w:szCs w:val="32"/>
          <w:lang w:val="en-US" w:eastAsia="zh-CN"/>
        </w:rPr>
        <w:t>:7.04</w:t>
      </w:r>
      <w:r>
        <w:rPr>
          <w:rFonts w:hint="eastAsia" w:hAnsi="ˎ̥" w:cs="宋体"/>
          <w:sz w:val="32"/>
          <w:szCs w:val="32"/>
        </w:rPr>
        <w:t>万元。</w:t>
      </w:r>
    </w:p>
    <w:p w14:paraId="44B784EA">
      <w:pPr>
        <w:pStyle w:val="11"/>
        <w:spacing w:before="0" w:line="360" w:lineRule="auto"/>
        <w:ind w:firstLine="640" w:firstLineChars="200"/>
        <w:jc w:val="left"/>
        <w:rPr>
          <w:rFonts w:hint="eastAsia" w:hAnsi="ˎ̥" w:cs="宋体"/>
          <w:sz w:val="32"/>
          <w:szCs w:val="32"/>
        </w:rPr>
      </w:pPr>
      <w:r>
        <w:rPr>
          <w:rFonts w:hint="eastAsia" w:hAnsi="ˎ̥" w:cs="宋体"/>
          <w:sz w:val="32"/>
          <w:szCs w:val="32"/>
        </w:rPr>
        <w:t>4.项目支出：</w:t>
      </w:r>
      <w:r>
        <w:rPr>
          <w:rFonts w:hint="eastAsia" w:hAnsi="ˎ̥" w:cs="宋体"/>
          <w:sz w:val="32"/>
          <w:szCs w:val="32"/>
          <w:lang w:val="en-US" w:eastAsia="zh-CN"/>
        </w:rPr>
        <w:t>32.62</w:t>
      </w:r>
      <w:r>
        <w:rPr>
          <w:rFonts w:hint="eastAsia" w:hAnsi="ˎ̥" w:cs="宋体"/>
          <w:sz w:val="32"/>
          <w:szCs w:val="32"/>
        </w:rPr>
        <w:t>万元</w:t>
      </w:r>
    </w:p>
    <w:p w14:paraId="1ED68E93">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44EF7DF4">
      <w:pPr>
        <w:pStyle w:val="11"/>
        <w:spacing w:before="0" w:line="360" w:lineRule="auto"/>
        <w:ind w:firstLine="640" w:firstLineChars="200"/>
        <w:rPr>
          <w:rFonts w:cs="仿宋_GB2312"/>
          <w:kern w:val="2"/>
          <w:sz w:val="32"/>
          <w:szCs w:val="32"/>
        </w:rPr>
      </w:pPr>
      <w:r>
        <w:rPr>
          <w:rFonts w:hint="eastAsia" w:cs="仿宋_GB2312"/>
          <w:kern w:val="2"/>
          <w:sz w:val="32"/>
          <w:szCs w:val="32"/>
          <w:lang w:val="en-US" w:eastAsia="zh-CN"/>
        </w:rPr>
        <w:t>松潘县人民法院</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cs="仿宋_GB2312"/>
          <w:kern w:val="2"/>
          <w:sz w:val="32"/>
          <w:szCs w:val="32"/>
          <w:lang w:val="en-US" w:eastAsia="zh-CN"/>
        </w:rPr>
        <w:t>1236.19</w:t>
      </w:r>
      <w:r>
        <w:rPr>
          <w:rFonts w:hint="eastAsia" w:cs="仿宋_GB2312"/>
          <w:kern w:val="2"/>
          <w:sz w:val="32"/>
          <w:szCs w:val="32"/>
        </w:rPr>
        <w:t>万元，其中：人员经费</w:t>
      </w:r>
      <w:r>
        <w:rPr>
          <w:rFonts w:hint="eastAsia" w:ascii="仿宋_GB2312" w:hAnsi="仿宋" w:eastAsia="仿宋_GB2312" w:cs="仿宋"/>
          <w:color w:val="000000"/>
          <w:sz w:val="32"/>
          <w:szCs w:val="32"/>
          <w:lang w:val="en-US" w:eastAsia="zh-CN"/>
        </w:rPr>
        <w:t>1065.37</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179EFADC">
      <w:pPr>
        <w:pStyle w:val="11"/>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公用经费</w:t>
      </w:r>
      <w:r>
        <w:rPr>
          <w:rFonts w:hint="eastAsia" w:hAnsi="ˎ̥" w:cs="宋体"/>
          <w:sz w:val="32"/>
          <w:szCs w:val="32"/>
          <w:lang w:val="en-US" w:eastAsia="zh-CN"/>
        </w:rPr>
        <w:t>170.82</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p>
    <w:p w14:paraId="4127D03A">
      <w:pPr>
        <w:pStyle w:val="11"/>
        <w:spacing w:before="0" w:line="360" w:lineRule="auto"/>
        <w:ind w:firstLine="640" w:firstLineChars="200"/>
        <w:rPr>
          <w:rFonts w:ascii="黑体" w:eastAsia="黑体"/>
          <w:sz w:val="32"/>
          <w:szCs w:val="32"/>
        </w:rPr>
      </w:pPr>
      <w:r>
        <w:rPr>
          <w:rFonts w:hint="eastAsia" w:ascii="黑体" w:eastAsia="黑体"/>
          <w:sz w:val="32"/>
          <w:szCs w:val="32"/>
        </w:rPr>
        <w:t>七、“三公”经费财政拨款预算安排情况说明</w:t>
      </w:r>
    </w:p>
    <w:p w14:paraId="21EBF46E">
      <w:pPr>
        <w:pStyle w:val="11"/>
        <w:spacing w:before="0" w:line="360" w:lineRule="auto"/>
        <w:ind w:firstLine="640" w:firstLineChars="200"/>
        <w:rPr>
          <w:rFonts w:cs="仿宋_GB2312"/>
          <w:kern w:val="2"/>
          <w:sz w:val="32"/>
          <w:szCs w:val="32"/>
        </w:rPr>
      </w:pPr>
      <w:r>
        <w:rPr>
          <w:rFonts w:hint="eastAsia" w:cs="仿宋_GB2312"/>
          <w:kern w:val="2"/>
          <w:sz w:val="32"/>
          <w:szCs w:val="32"/>
          <w:lang w:val="en-US" w:eastAsia="zh-CN"/>
        </w:rPr>
        <w:t>松潘县人民法院</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29.27</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2.27</w:t>
      </w:r>
      <w:r>
        <w:rPr>
          <w:rFonts w:hint="eastAsia" w:cs="仿宋_GB2312"/>
          <w:kern w:val="2"/>
          <w:sz w:val="32"/>
          <w:szCs w:val="32"/>
        </w:rPr>
        <w:t>万元，公务用车购置及运行维护费</w:t>
      </w:r>
      <w:r>
        <w:rPr>
          <w:rFonts w:hint="eastAsia" w:cs="仿宋_GB2312"/>
          <w:kern w:val="2"/>
          <w:sz w:val="32"/>
          <w:szCs w:val="32"/>
          <w:lang w:val="en-US" w:eastAsia="zh-CN"/>
        </w:rPr>
        <w:t>27</w:t>
      </w:r>
      <w:r>
        <w:rPr>
          <w:rFonts w:hint="eastAsia" w:cs="仿宋_GB2312"/>
          <w:kern w:val="2"/>
          <w:sz w:val="32"/>
          <w:szCs w:val="32"/>
        </w:rPr>
        <w:t>万元。</w:t>
      </w:r>
    </w:p>
    <w:p w14:paraId="677A9AF0">
      <w:pPr>
        <w:pStyle w:val="11"/>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5</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14:paraId="03852202">
      <w:pPr>
        <w:pStyle w:val="11"/>
        <w:spacing w:before="0" w:line="360" w:lineRule="auto"/>
        <w:ind w:firstLine="640" w:firstLineChars="200"/>
        <w:rPr>
          <w:rFonts w:hint="eastAsia" w:ascii="仿宋_GB2312" w:hAnsi="仿宋" w:eastAsia="仿宋_GB2312"/>
          <w:sz w:val="32"/>
          <w:szCs w:val="32"/>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2.27</w:t>
      </w:r>
      <w:r>
        <w:rPr>
          <w:rFonts w:hint="eastAsia" w:cs="仿宋_GB2312"/>
          <w:color w:val="000000"/>
          <w:kern w:val="2"/>
          <w:sz w:val="32"/>
          <w:szCs w:val="32"/>
        </w:rPr>
        <w:t>万元。较202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val="en-US" w:eastAsia="zh-CN"/>
        </w:rPr>
        <w:t>2.08万元</w:t>
      </w:r>
      <w:r>
        <w:rPr>
          <w:rFonts w:hint="eastAsia" w:hAnsi="ˎ̥" w:cs="宋体"/>
          <w:sz w:val="32"/>
          <w:szCs w:val="32"/>
          <w:lang w:val="en-US" w:eastAsia="zh-CN"/>
        </w:rPr>
        <w:t>增加0.19</w:t>
      </w:r>
      <w:r>
        <w:rPr>
          <w:rFonts w:hint="eastAsia" w:cs="仿宋_GB2312"/>
          <w:color w:val="000000"/>
          <w:kern w:val="2"/>
          <w:sz w:val="32"/>
          <w:szCs w:val="32"/>
        </w:rPr>
        <w:t>万元，</w:t>
      </w:r>
      <w:r>
        <w:rPr>
          <w:rFonts w:hint="eastAsia" w:hAnsi="ˎ̥" w:cs="宋体"/>
          <w:sz w:val="32"/>
          <w:szCs w:val="32"/>
          <w:lang w:val="en-US" w:eastAsia="zh-CN"/>
        </w:rPr>
        <w:t>增幅</w:t>
      </w:r>
      <w:r>
        <w:rPr>
          <w:rFonts w:hint="eastAsia" w:cs="仿宋_GB2312"/>
          <w:color w:val="000000"/>
          <w:kern w:val="2"/>
          <w:sz w:val="32"/>
          <w:szCs w:val="32"/>
          <w:lang w:val="en-US" w:eastAsia="zh-CN"/>
        </w:rPr>
        <w:t>9.13</w:t>
      </w:r>
      <w:r>
        <w:rPr>
          <w:rFonts w:hint="eastAsia" w:cs="仿宋_GB2312"/>
          <w:color w:val="000000"/>
          <w:kern w:val="2"/>
          <w:sz w:val="32"/>
          <w:szCs w:val="32"/>
        </w:rPr>
        <w:t>%，主要原因</w:t>
      </w:r>
      <w:r>
        <w:rPr>
          <w:rFonts w:hint="eastAsia" w:cs="仿宋_GB2312"/>
          <w:color w:val="000000"/>
          <w:kern w:val="2"/>
          <w:sz w:val="32"/>
          <w:szCs w:val="32"/>
          <w:lang w:val="en-US" w:eastAsia="zh-CN"/>
        </w:rPr>
        <w:t>人员增加，公用经费增加，公务接待费财政拨款预算数相应增加</w:t>
      </w:r>
      <w:r>
        <w:rPr>
          <w:rFonts w:hint="eastAsia" w:ascii="仿宋_GB2312" w:hAnsi="仿宋" w:eastAsia="仿宋_GB2312"/>
          <w:sz w:val="32"/>
          <w:szCs w:val="32"/>
        </w:rPr>
        <w:t>。</w:t>
      </w:r>
    </w:p>
    <w:p w14:paraId="4674A36A">
      <w:pPr>
        <w:pStyle w:val="11"/>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27</w:t>
      </w:r>
      <w:r>
        <w:rPr>
          <w:rFonts w:hint="eastAsia" w:cs="仿宋_GB2312"/>
          <w:color w:val="000000"/>
          <w:kern w:val="2"/>
          <w:sz w:val="32"/>
          <w:szCs w:val="32"/>
        </w:rPr>
        <w:t>万元。较202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val="en-US" w:eastAsia="zh-CN"/>
        </w:rPr>
        <w:t>27万元</w:t>
      </w:r>
      <w:r>
        <w:rPr>
          <w:rFonts w:hint="eastAsia" w:hAnsi="ˎ̥" w:cs="宋体"/>
          <w:sz w:val="32"/>
          <w:szCs w:val="32"/>
          <w:lang w:val="en-US" w:eastAsia="zh-CN"/>
        </w:rPr>
        <w:t>无变化</w:t>
      </w:r>
      <w:r>
        <w:rPr>
          <w:rFonts w:hint="eastAsia" w:cs="仿宋_GB2312"/>
          <w:color w:val="000000"/>
          <w:kern w:val="2"/>
          <w:sz w:val="32"/>
          <w:szCs w:val="32"/>
        </w:rPr>
        <w:t>，</w:t>
      </w:r>
      <w:r>
        <w:rPr>
          <w:rFonts w:hint="eastAsia" w:cs="仿宋_GB2312"/>
          <w:color w:val="000000"/>
          <w:kern w:val="2"/>
          <w:sz w:val="32"/>
          <w:szCs w:val="32"/>
          <w:lang w:val="en-US" w:eastAsia="zh-CN"/>
        </w:rPr>
        <w:t>上下年持平。</w:t>
      </w:r>
    </w:p>
    <w:p w14:paraId="6908AEAA">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0361EAF6">
      <w:pPr>
        <w:pStyle w:val="11"/>
        <w:spacing w:before="0" w:line="360" w:lineRule="auto"/>
        <w:ind w:firstLine="640" w:firstLineChars="200"/>
        <w:rPr>
          <w:rFonts w:cs="仿宋_GB2312"/>
          <w:kern w:val="2"/>
          <w:sz w:val="32"/>
          <w:szCs w:val="32"/>
        </w:rPr>
      </w:pPr>
      <w:r>
        <w:rPr>
          <w:rFonts w:hint="eastAsia" w:cs="仿宋_GB2312"/>
          <w:kern w:val="2"/>
          <w:sz w:val="32"/>
          <w:szCs w:val="32"/>
          <w:lang w:val="en-US" w:eastAsia="zh-CN"/>
        </w:rPr>
        <w:t>松潘县人民法院</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hint="eastAsia" w:cs="仿宋_GB2312"/>
          <w:kern w:val="2"/>
          <w:sz w:val="32"/>
          <w:szCs w:val="32"/>
          <w:lang w:val="en-US" w:eastAsia="zh-CN"/>
        </w:rPr>
        <w:t>4</w:t>
      </w:r>
      <w:r>
        <w:rPr>
          <w:rFonts w:hint="eastAsia" w:cs="仿宋_GB2312"/>
          <w:kern w:val="2"/>
          <w:sz w:val="32"/>
          <w:szCs w:val="32"/>
        </w:rPr>
        <w:t>年预算经费</w:t>
      </w:r>
      <w:r>
        <w:rPr>
          <w:rFonts w:hint="eastAsia" w:cs="仿宋_GB2312"/>
          <w:kern w:val="2"/>
          <w:sz w:val="32"/>
          <w:szCs w:val="32"/>
          <w:lang w:val="en-US" w:eastAsia="zh-CN"/>
        </w:rPr>
        <w:t>0万元持平</w:t>
      </w:r>
      <w:r>
        <w:rPr>
          <w:rFonts w:hint="eastAsia" w:cs="仿宋_GB2312"/>
          <w:kern w:val="2"/>
          <w:sz w:val="32"/>
          <w:szCs w:val="32"/>
        </w:rPr>
        <w:t>。</w:t>
      </w:r>
    </w:p>
    <w:p w14:paraId="144E4F65">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35A9D792">
      <w:pPr>
        <w:pStyle w:val="11"/>
        <w:spacing w:before="0" w:line="360" w:lineRule="auto"/>
        <w:ind w:firstLine="640" w:firstLineChars="200"/>
        <w:rPr>
          <w:rFonts w:hint="eastAsia" w:cs="仿宋_GB2312"/>
          <w:color w:val="00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val="en-US" w:eastAsia="zh-CN"/>
        </w:rPr>
        <w:t>松潘县人民法院</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年机关运行经费财政拨款预算为</w:t>
      </w:r>
      <w:r>
        <w:rPr>
          <w:rFonts w:hint="eastAsia" w:hAnsi="ˎ̥" w:cs="宋体"/>
          <w:sz w:val="32"/>
          <w:szCs w:val="32"/>
          <w:lang w:val="en-US" w:eastAsia="zh-CN"/>
        </w:rPr>
        <w:t>170.82</w:t>
      </w:r>
      <w:r>
        <w:rPr>
          <w:rFonts w:hint="eastAsia" w:cs="仿宋_GB2312"/>
          <w:kern w:val="2"/>
          <w:sz w:val="32"/>
          <w:szCs w:val="32"/>
        </w:rPr>
        <w:t>万元，比202</w:t>
      </w:r>
      <w:r>
        <w:rPr>
          <w:rFonts w:hint="eastAsia" w:cs="仿宋_GB2312"/>
          <w:kern w:val="2"/>
          <w:sz w:val="32"/>
          <w:szCs w:val="32"/>
          <w:lang w:val="en-US" w:eastAsia="zh-CN"/>
        </w:rPr>
        <w:t>4</w:t>
      </w:r>
      <w:r>
        <w:rPr>
          <w:rFonts w:hint="eastAsia" w:cs="仿宋_GB2312"/>
          <w:kern w:val="2"/>
          <w:sz w:val="32"/>
          <w:szCs w:val="32"/>
        </w:rPr>
        <w:t>年预算</w:t>
      </w:r>
      <w:r>
        <w:rPr>
          <w:rFonts w:hint="eastAsia" w:cs="仿宋_GB2312"/>
          <w:kern w:val="2"/>
          <w:sz w:val="32"/>
          <w:szCs w:val="32"/>
          <w:lang w:val="en-US" w:eastAsia="zh-CN"/>
        </w:rPr>
        <w:t>153.73万元</w:t>
      </w:r>
      <w:r>
        <w:rPr>
          <w:rFonts w:hint="eastAsia" w:hAnsi="ˎ̥" w:cs="宋体"/>
          <w:sz w:val="32"/>
          <w:szCs w:val="32"/>
          <w:lang w:val="en-US" w:eastAsia="zh-CN"/>
        </w:rPr>
        <w:t>增加17.09</w:t>
      </w:r>
      <w:r>
        <w:rPr>
          <w:rFonts w:hint="eastAsia" w:cs="仿宋_GB2312"/>
          <w:color w:val="000000"/>
          <w:kern w:val="2"/>
          <w:sz w:val="32"/>
          <w:szCs w:val="32"/>
        </w:rPr>
        <w:t>万元，</w:t>
      </w:r>
      <w:r>
        <w:rPr>
          <w:rFonts w:hint="eastAsia" w:cs="仿宋_GB2312"/>
          <w:color w:val="000000"/>
          <w:kern w:val="2"/>
          <w:sz w:val="32"/>
          <w:szCs w:val="32"/>
          <w:lang w:val="en-US" w:eastAsia="zh-CN"/>
        </w:rPr>
        <w:t>增加11.12</w:t>
      </w:r>
      <w:r>
        <w:rPr>
          <w:rFonts w:hint="eastAsia" w:cs="仿宋_GB2312"/>
          <w:color w:val="000000"/>
          <w:kern w:val="2"/>
          <w:sz w:val="32"/>
          <w:szCs w:val="32"/>
        </w:rPr>
        <w:t>%。</w:t>
      </w:r>
    </w:p>
    <w:p w14:paraId="54C4BE93">
      <w:pPr>
        <w:pStyle w:val="11"/>
        <w:spacing w:before="0" w:line="360" w:lineRule="auto"/>
        <w:ind w:firstLine="640" w:firstLineChars="200"/>
        <w:rPr>
          <w:rFonts w:hint="eastAsia" w:cs="仿宋_GB2312"/>
          <w:color w:val="000000"/>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kern w:val="2"/>
          <w:sz w:val="32"/>
          <w:szCs w:val="32"/>
          <w:lang w:val="en-US" w:eastAsia="zh-CN"/>
        </w:rPr>
        <w:t>松潘县人民法院</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6DAB9066">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22FDA7F5">
      <w:pPr>
        <w:pStyle w:val="11"/>
        <w:spacing w:before="0" w:line="360" w:lineRule="auto"/>
        <w:ind w:firstLine="640" w:firstLineChars="200"/>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4</w:t>
      </w:r>
      <w:r>
        <w:rPr>
          <w:rFonts w:hint="eastAsia" w:cs="仿宋_GB2312"/>
          <w:kern w:val="2"/>
          <w:sz w:val="32"/>
          <w:szCs w:val="32"/>
        </w:rPr>
        <w:t>年12月31日，我单位固定资产</w:t>
      </w:r>
      <w:r>
        <w:rPr>
          <w:rFonts w:hint="eastAsia" w:ascii="仿宋_GB2312" w:hAnsi="仿宋" w:eastAsia="仿宋_GB2312"/>
          <w:sz w:val="32"/>
          <w:szCs w:val="32"/>
          <w:lang w:val="en-US" w:eastAsia="zh-CN"/>
        </w:rPr>
        <w:t>4790.74</w:t>
      </w:r>
      <w:r>
        <w:rPr>
          <w:rFonts w:hint="eastAsia" w:cs="仿宋_GB2312"/>
          <w:kern w:val="2"/>
          <w:sz w:val="32"/>
          <w:szCs w:val="32"/>
        </w:rPr>
        <w:t>万元。</w:t>
      </w:r>
    </w:p>
    <w:p w14:paraId="1EC53CA1">
      <w:pPr>
        <w:pStyle w:val="11"/>
        <w:numPr>
          <w:ilvl w:val="0"/>
          <w:numId w:val="2"/>
        </w:numPr>
        <w:spacing w:before="0" w:line="360" w:lineRule="auto"/>
        <w:ind w:left="640" w:leftChars="0" w:firstLine="0" w:firstLineChars="0"/>
        <w:rPr>
          <w:rFonts w:ascii="黑体" w:eastAsia="黑体"/>
          <w:sz w:val="32"/>
          <w:szCs w:val="32"/>
        </w:rPr>
      </w:pPr>
      <w:r>
        <w:rPr>
          <w:rFonts w:hint="eastAsia" w:ascii="楷体" w:eastAsia="楷体" w:cs="仿宋_GB2312"/>
          <w:kern w:val="2"/>
          <w:sz w:val="32"/>
          <w:szCs w:val="32"/>
        </w:rPr>
        <w:t>绩效目标设置情况</w:t>
      </w:r>
    </w:p>
    <w:p w14:paraId="0E7DFD83">
      <w:pPr>
        <w:pStyle w:val="11"/>
        <w:spacing w:before="0" w:line="360" w:lineRule="auto"/>
        <w:ind w:firstLine="640" w:firstLineChars="200"/>
        <w:rPr>
          <w:rFonts w:hint="eastAsia"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w:t>
      </w:r>
      <w:r>
        <w:rPr>
          <w:rFonts w:hint="eastAsia" w:cs="仿宋_GB2312"/>
          <w:kern w:val="2"/>
          <w:sz w:val="32"/>
          <w:szCs w:val="32"/>
          <w:lang w:val="en-US" w:eastAsia="zh-CN"/>
        </w:rPr>
        <w:t>松潘县人民法院</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1268.81</w:t>
      </w:r>
      <w:r>
        <w:rPr>
          <w:rFonts w:hint="eastAsia" w:cs="仿宋_GB2312"/>
          <w:kern w:val="2"/>
          <w:sz w:val="32"/>
          <w:szCs w:val="32"/>
        </w:rPr>
        <w:t>万元。</w:t>
      </w:r>
    </w:p>
    <w:p w14:paraId="04071A79">
      <w:pPr>
        <w:pStyle w:val="11"/>
        <w:spacing w:before="0" w:line="360" w:lineRule="auto"/>
        <w:ind w:firstLine="640" w:firstLineChars="200"/>
        <w:rPr>
          <w:rFonts w:cs="仿宋_GB2312"/>
          <w:kern w:val="2"/>
          <w:sz w:val="32"/>
          <w:szCs w:val="32"/>
        </w:rPr>
      </w:pPr>
      <w:bookmarkStart w:id="0" w:name="_GoBack"/>
      <w:bookmarkEnd w:id="0"/>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58406E87">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9859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9B2FCE"/>
    <w:multiLevelType w:val="singleLevel"/>
    <w:tmpl w:val="C79B2FCE"/>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2D118BE"/>
    <w:rsid w:val="088300F6"/>
    <w:rsid w:val="1C1F5BD9"/>
    <w:rsid w:val="207F4F4B"/>
    <w:rsid w:val="2A541DC5"/>
    <w:rsid w:val="47024B89"/>
    <w:rsid w:val="540B32CF"/>
    <w:rsid w:val="57462870"/>
    <w:rsid w:val="6B424D7D"/>
    <w:rsid w:val="74021CD4"/>
    <w:rsid w:val="7EDF42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Salutation"/>
    <w:basedOn w:val="1"/>
    <w:next w:val="1"/>
    <w:unhideWhenUsed/>
    <w:qFormat/>
    <w:uiPriority w:val="99"/>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11</Pages>
  <Words>4363</Words>
  <Characters>4741</Characters>
  <Lines>124</Lines>
  <Paragraphs>51</Paragraphs>
  <TotalTime>5</TotalTime>
  <ScaleCrop>false</ScaleCrop>
  <LinksUpToDate>false</LinksUpToDate>
  <CharactersWithSpaces>4772</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紫藤雪柳</cp:lastModifiedBy>
  <cp:lastPrinted>2018-01-30T09:39:00Z</cp:lastPrinted>
  <dcterms:modified xsi:type="dcterms:W3CDTF">2025-02-20T06:55:31Z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eyJoZGlkIjoiZjMzZmJiNjM0ZDFjMTc3MzJhNjQxY2M1ODg1OTExOTciLCJ1c2VySWQiOiI5MjY1MDgwMDEifQ==</vt:lpwstr>
  </property>
  <property fmtid="{D5CDD505-2E9C-101B-9397-08002B2CF9AE}" pid="4" name="ICV">
    <vt:lpwstr>7AB31C164E594354B91E5536D981AABB_12</vt:lpwstr>
  </property>
</Properties>
</file>