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松潘县人民检察院</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pStyle w:val="2"/>
        <w:rPr>
          <w:rFonts w:hint="eastAsia" w:ascii="黑体" w:eastAsia="黑体"/>
          <w:sz w:val="32"/>
          <w:szCs w:val="32"/>
        </w:rPr>
      </w:pPr>
    </w:p>
    <w:p/>
    <w:p>
      <w:pPr>
        <w:pStyle w:val="11"/>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（1）受理单位和个人的报案、控告、申诉、举报以及犯罪嫌疑人的自首。</w:t>
      </w:r>
    </w:p>
    <w:p>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（2）依法对贪污贿赂犯罪案件、国家工作人员渎职犯罪案件和国家机关工作人员利用职权实施的非法拘禁、刑讯逼供、报复陷害、非法搜查的侵犯公民人身权利与侵犯公民民主权利的犯罪案件进行侦查。</w:t>
      </w:r>
    </w:p>
    <w:p>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（3）依法对刑事诉讼、民事审判、和行政诉讼实行法律监督工作。</w:t>
      </w:r>
    </w:p>
    <w:p>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（4）依法对执行机关执行罪罚的活动是否合法实行监督。</w:t>
      </w:r>
    </w:p>
    <w:p>
      <w:p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（5）对法院已经发生法律效力、确有错误的判决和裁定，依法提请抗诉。</w:t>
      </w:r>
    </w:p>
    <w:p>
      <w:pPr>
        <w:ind w:firstLine="640" w:firstLineChars="200"/>
        <w:rPr>
          <w:rFonts w:hint="eastAsia" w:ascii="楷体" w:hAnsi="楷体" w:eastAsia="楷体"/>
          <w:sz w:val="32"/>
          <w:szCs w:val="32"/>
        </w:rPr>
      </w:pPr>
      <w:r>
        <w:rPr>
          <w:rFonts w:hint="eastAsia" w:ascii="楷体" w:hAnsi="楷体" w:eastAsia="楷体"/>
          <w:sz w:val="32"/>
          <w:szCs w:val="32"/>
        </w:rPr>
        <w:t>（二）202</w:t>
      </w:r>
      <w:r>
        <w:rPr>
          <w:rFonts w:hint="eastAsia" w:ascii="楷体" w:hAnsi="楷体" w:eastAsia="楷体"/>
          <w:sz w:val="32"/>
          <w:szCs w:val="32"/>
          <w:lang w:val="en-US" w:eastAsia="zh-CN"/>
        </w:rPr>
        <w:t>4</w:t>
      </w:r>
      <w:r>
        <w:rPr>
          <w:rFonts w:hint="eastAsia" w:ascii="楷体" w:hAnsi="楷体" w:eastAsia="楷体"/>
          <w:sz w:val="32"/>
          <w:szCs w:val="32"/>
        </w:rPr>
        <w:t>年重点工作</w:t>
      </w:r>
    </w:p>
    <w:p>
      <w:pPr>
        <w:adjustRightInd/>
        <w:spacing w:after="0" w:line="580" w:lineRule="exact"/>
        <w:ind w:firstLine="640" w:firstLineChars="200"/>
        <w:rPr>
          <w:rFonts w:hint="default" w:ascii="仿宋_GB2312" w:hAnsi="仿宋" w:eastAsia="仿宋_GB2312" w:cs="仿宋"/>
          <w:sz w:val="32"/>
          <w:szCs w:val="32"/>
        </w:rPr>
      </w:pPr>
      <w:r>
        <w:rPr>
          <w:rFonts w:hint="default" w:ascii="仿宋_GB2312" w:hAnsi="仿宋" w:eastAsia="仿宋_GB2312" w:cs="仿宋"/>
          <w:sz w:val="32"/>
          <w:szCs w:val="32"/>
          <w:lang w:val="en-US" w:eastAsia="zh-CN"/>
        </w:rPr>
        <w:t>202</w:t>
      </w:r>
      <w:r>
        <w:rPr>
          <w:rFonts w:hint="eastAsia" w:ascii="仿宋_GB2312" w:hAnsi="仿宋" w:eastAsia="仿宋_GB2312" w:cs="仿宋"/>
          <w:sz w:val="32"/>
          <w:szCs w:val="32"/>
          <w:lang w:val="en-US" w:eastAsia="zh-CN"/>
        </w:rPr>
        <w:t>4</w:t>
      </w:r>
      <w:r>
        <w:rPr>
          <w:rFonts w:hint="default" w:ascii="仿宋_GB2312" w:hAnsi="仿宋" w:eastAsia="仿宋_GB2312" w:cs="仿宋"/>
          <w:sz w:val="32"/>
          <w:szCs w:val="32"/>
          <w:lang w:val="en-US" w:eastAsia="zh-CN"/>
        </w:rPr>
        <w:t>年</w:t>
      </w:r>
      <w:r>
        <w:rPr>
          <w:rFonts w:hint="default" w:ascii="仿宋_GB2312" w:hAnsi="仿宋" w:eastAsia="仿宋_GB2312" w:cs="仿宋"/>
          <w:sz w:val="32"/>
          <w:szCs w:val="32"/>
        </w:rPr>
        <w:t>，</w:t>
      </w:r>
      <w:r>
        <w:rPr>
          <w:rFonts w:hint="default" w:ascii="仿宋_GB2312" w:hAnsi="仿宋" w:eastAsia="仿宋_GB2312" w:cs="仿宋"/>
          <w:sz w:val="32"/>
          <w:szCs w:val="32"/>
          <w:lang w:eastAsia="zh-CN"/>
        </w:rPr>
        <w:t>松潘县人民检察院</w:t>
      </w:r>
      <w:r>
        <w:rPr>
          <w:rFonts w:hint="default" w:ascii="仿宋_GB2312" w:hAnsi="仿宋" w:eastAsia="仿宋_GB2312" w:cs="仿宋"/>
          <w:sz w:val="32"/>
          <w:szCs w:val="32"/>
          <w:lang w:val="en-US" w:eastAsia="zh-CN"/>
        </w:rPr>
        <w:t>将坚持</w:t>
      </w:r>
      <w:r>
        <w:rPr>
          <w:rFonts w:hint="default" w:ascii="仿宋_GB2312" w:hAnsi="仿宋" w:eastAsia="仿宋_GB2312" w:cs="仿宋"/>
          <w:sz w:val="32"/>
          <w:szCs w:val="32"/>
        </w:rPr>
        <w:t>以习近平新时代中国特色社会主义思想</w:t>
      </w:r>
      <w:r>
        <w:rPr>
          <w:rFonts w:hint="default" w:ascii="仿宋_GB2312" w:hAnsi="仿宋" w:eastAsia="仿宋_GB2312" w:cs="仿宋"/>
          <w:sz w:val="32"/>
          <w:szCs w:val="32"/>
          <w:lang w:eastAsia="zh-CN"/>
        </w:rPr>
        <w:t>、</w:t>
      </w:r>
      <w:r>
        <w:rPr>
          <w:rFonts w:hint="default" w:ascii="仿宋_GB2312" w:hAnsi="仿宋" w:eastAsia="仿宋_GB2312" w:cs="仿宋"/>
          <w:sz w:val="32"/>
          <w:szCs w:val="32"/>
          <w:lang w:val="en-US" w:eastAsia="zh-CN"/>
        </w:rPr>
        <w:t>习近平法治思想</w:t>
      </w:r>
      <w:r>
        <w:rPr>
          <w:rFonts w:hint="default" w:ascii="仿宋_GB2312" w:hAnsi="仿宋" w:eastAsia="仿宋_GB2312" w:cs="仿宋"/>
          <w:sz w:val="32"/>
          <w:szCs w:val="32"/>
        </w:rPr>
        <w:t>为指导，深入贯彻落实党的</w:t>
      </w:r>
      <w:r>
        <w:rPr>
          <w:rFonts w:hint="default" w:ascii="仿宋_GB2312" w:hAnsi="仿宋" w:eastAsia="仿宋_GB2312" w:cs="仿宋"/>
          <w:sz w:val="32"/>
          <w:szCs w:val="32"/>
          <w:lang w:val="en-US" w:eastAsia="zh-CN"/>
        </w:rPr>
        <w:t>二十大</w:t>
      </w:r>
      <w:r>
        <w:rPr>
          <w:rFonts w:hint="default" w:ascii="仿宋_GB2312" w:hAnsi="仿宋" w:eastAsia="仿宋_GB2312" w:cs="仿宋"/>
          <w:sz w:val="32"/>
          <w:szCs w:val="32"/>
        </w:rPr>
        <w:t>及省委、州委、县委全会精神，</w:t>
      </w:r>
      <w:r>
        <w:rPr>
          <w:rFonts w:hint="default" w:ascii="仿宋_GB2312" w:hAnsi="仿宋" w:eastAsia="仿宋_GB2312" w:cs="仿宋"/>
          <w:sz w:val="32"/>
          <w:szCs w:val="32"/>
          <w:lang w:val="en-US" w:eastAsia="zh-CN"/>
        </w:rPr>
        <w:t>全面落实《中共中央关于加强新时代检察机关法律监督工作的意见》，</w:t>
      </w:r>
      <w:r>
        <w:rPr>
          <w:rFonts w:hint="default" w:ascii="仿宋_GB2312" w:hAnsi="仿宋" w:eastAsia="仿宋_GB2312" w:cs="仿宋"/>
          <w:sz w:val="32"/>
          <w:szCs w:val="32"/>
          <w:lang w:eastAsia="zh-CN"/>
        </w:rPr>
        <w:t>不折不扣执行县委和上级检察</w:t>
      </w:r>
      <w:r>
        <w:rPr>
          <w:rFonts w:hint="default" w:ascii="仿宋_GB2312" w:hAnsi="仿宋" w:eastAsia="仿宋_GB2312" w:cs="仿宋"/>
          <w:sz w:val="32"/>
          <w:szCs w:val="32"/>
          <w:lang w:val="en-US" w:eastAsia="zh-CN"/>
        </w:rPr>
        <w:t>机关</w:t>
      </w:r>
      <w:r>
        <w:rPr>
          <w:rFonts w:hint="default" w:ascii="仿宋_GB2312" w:hAnsi="仿宋" w:eastAsia="仿宋_GB2312" w:cs="仿宋"/>
          <w:sz w:val="32"/>
          <w:szCs w:val="32"/>
          <w:lang w:eastAsia="zh-CN"/>
        </w:rPr>
        <w:t>各项决策部署</w:t>
      </w:r>
      <w:r>
        <w:rPr>
          <w:rFonts w:hint="default" w:ascii="仿宋_GB2312" w:hAnsi="仿宋" w:eastAsia="仿宋_GB2312" w:cs="仿宋"/>
          <w:sz w:val="32"/>
          <w:szCs w:val="32"/>
        </w:rPr>
        <w:t>，</w:t>
      </w:r>
      <w:r>
        <w:rPr>
          <w:rFonts w:hint="default" w:ascii="仿宋_GB2312" w:hAnsi="仿宋" w:eastAsia="仿宋_GB2312" w:cs="仿宋"/>
          <w:sz w:val="32"/>
          <w:szCs w:val="32"/>
          <w:lang w:eastAsia="zh-CN"/>
        </w:rPr>
        <w:t>将理念转变与实践运用</w:t>
      </w:r>
      <w:r>
        <w:rPr>
          <w:rFonts w:hint="default" w:ascii="仿宋_GB2312" w:hAnsi="仿宋" w:eastAsia="仿宋_GB2312" w:cs="仿宋"/>
          <w:sz w:val="32"/>
          <w:szCs w:val="32"/>
        </w:rPr>
        <w:t>并行，改革创新与规范司法并举，司法办案与法律监督并重，</w:t>
      </w:r>
      <w:r>
        <w:rPr>
          <w:rFonts w:hint="default" w:ascii="仿宋_GB2312" w:hAnsi="仿宋" w:eastAsia="仿宋_GB2312" w:cs="仿宋"/>
          <w:sz w:val="32"/>
          <w:szCs w:val="32"/>
          <w:lang w:eastAsia="zh-CN"/>
        </w:rPr>
        <w:t>政治建设与素能提升</w:t>
      </w:r>
      <w:r>
        <w:rPr>
          <w:rFonts w:hint="default" w:ascii="仿宋_GB2312" w:hAnsi="仿宋" w:eastAsia="仿宋_GB2312" w:cs="仿宋"/>
          <w:sz w:val="32"/>
          <w:szCs w:val="32"/>
        </w:rPr>
        <w:t>并进，不断优化“四大检察”</w:t>
      </w:r>
      <w:r>
        <w:rPr>
          <w:rFonts w:hint="default" w:ascii="仿宋_GB2312" w:hAnsi="仿宋" w:eastAsia="仿宋_GB2312" w:cs="仿宋"/>
          <w:sz w:val="32"/>
          <w:szCs w:val="32"/>
          <w:lang w:eastAsia="zh-CN"/>
        </w:rPr>
        <w:t>“十大业务”充分协调发展，</w:t>
      </w:r>
      <w:r>
        <w:rPr>
          <w:rFonts w:hint="default" w:ascii="仿宋_GB2312" w:hAnsi="仿宋" w:eastAsia="仿宋_GB2312" w:cs="仿宋"/>
          <w:sz w:val="32"/>
          <w:szCs w:val="32"/>
        </w:rPr>
        <w:t>为</w:t>
      </w:r>
      <w:r>
        <w:rPr>
          <w:rFonts w:hint="default" w:ascii="仿宋_GB2312" w:hAnsi="仿宋" w:eastAsia="仿宋_GB2312" w:cs="仿宋"/>
          <w:sz w:val="32"/>
          <w:szCs w:val="32"/>
          <w:lang w:val="en-US" w:eastAsia="zh-CN"/>
        </w:rPr>
        <w:t>推进县委</w:t>
      </w:r>
      <w:r>
        <w:rPr>
          <w:rFonts w:hint="default" w:ascii="仿宋_GB2312" w:hAnsi="仿宋" w:eastAsia="仿宋_GB2312" w:cs="仿宋"/>
          <w:sz w:val="32"/>
          <w:szCs w:val="32"/>
          <w:lang w:eastAsia="zh-CN"/>
        </w:rPr>
        <w:t>“一城两心三地”战略目标</w:t>
      </w:r>
      <w:r>
        <w:rPr>
          <w:rFonts w:hint="default" w:ascii="仿宋_GB2312" w:hAnsi="仿宋" w:eastAsia="仿宋_GB2312" w:cs="仿宋"/>
          <w:sz w:val="32"/>
          <w:szCs w:val="32"/>
          <w:lang w:val="en-US" w:eastAsia="zh-CN"/>
        </w:rPr>
        <w:t>落地落实</w:t>
      </w:r>
      <w:r>
        <w:rPr>
          <w:rFonts w:hint="default" w:ascii="仿宋_GB2312" w:hAnsi="仿宋" w:eastAsia="仿宋_GB2312" w:cs="仿宋"/>
          <w:sz w:val="32"/>
          <w:szCs w:val="32"/>
        </w:rPr>
        <w:t>，提供更加优质高效的司法保障。</w:t>
      </w:r>
    </w:p>
    <w:p>
      <w:pPr>
        <w:adjustRightInd/>
        <w:spacing w:after="0" w:line="580" w:lineRule="exact"/>
        <w:ind w:firstLine="640" w:firstLineChars="200"/>
        <w:rPr>
          <w:rFonts w:hint="default" w:ascii="仿宋_GB2312" w:hAnsi="仿宋" w:eastAsia="仿宋_GB2312" w:cs="仿宋"/>
          <w:sz w:val="32"/>
          <w:szCs w:val="32"/>
          <w:lang w:val="en-US" w:eastAsia="zh-CN"/>
        </w:rPr>
      </w:pPr>
      <w:r>
        <w:rPr>
          <w:rFonts w:hint="default" w:ascii="仿宋_GB2312" w:hAnsi="仿宋" w:eastAsia="仿宋_GB2312" w:cs="仿宋"/>
          <w:sz w:val="32"/>
          <w:szCs w:val="32"/>
          <w:lang w:val="en-US" w:eastAsia="zh-CN"/>
        </w:rPr>
        <w:t>矢志不移抓根本，把牢</w:t>
      </w:r>
      <w:r>
        <w:rPr>
          <w:rFonts w:hint="default" w:ascii="仿宋_GB2312" w:hAnsi="仿宋" w:eastAsia="仿宋_GB2312" w:cs="仿宋"/>
          <w:sz w:val="32"/>
          <w:szCs w:val="32"/>
        </w:rPr>
        <w:t>检察</w:t>
      </w:r>
      <w:r>
        <w:rPr>
          <w:rFonts w:hint="default" w:ascii="仿宋_GB2312" w:hAnsi="仿宋" w:eastAsia="仿宋_GB2312" w:cs="仿宋"/>
          <w:sz w:val="32"/>
          <w:szCs w:val="32"/>
          <w:lang w:val="en-US" w:eastAsia="zh-CN"/>
        </w:rPr>
        <w:t>机关</w:t>
      </w:r>
      <w:r>
        <w:rPr>
          <w:rFonts w:hint="default" w:ascii="仿宋_GB2312" w:hAnsi="仿宋" w:eastAsia="仿宋_GB2312" w:cs="仿宋"/>
          <w:sz w:val="32"/>
          <w:szCs w:val="32"/>
        </w:rPr>
        <w:t>政治</w:t>
      </w:r>
      <w:r>
        <w:rPr>
          <w:rFonts w:hint="default" w:ascii="仿宋_GB2312" w:hAnsi="仿宋" w:eastAsia="仿宋_GB2312" w:cs="仿宋"/>
          <w:sz w:val="32"/>
          <w:szCs w:val="32"/>
          <w:lang w:val="en-US" w:eastAsia="zh-CN"/>
        </w:rPr>
        <w:t>属性</w:t>
      </w:r>
      <w:r>
        <w:rPr>
          <w:rFonts w:hint="default" w:ascii="仿宋_GB2312" w:hAnsi="仿宋" w:eastAsia="仿宋_GB2312" w:cs="仿宋"/>
          <w:sz w:val="32"/>
          <w:szCs w:val="32"/>
        </w:rPr>
        <w:t>。</w:t>
      </w:r>
      <w:r>
        <w:rPr>
          <w:rFonts w:hint="default" w:ascii="仿宋_GB2312" w:hAnsi="仿宋" w:eastAsia="仿宋_GB2312" w:cs="仿宋"/>
          <w:sz w:val="32"/>
          <w:szCs w:val="32"/>
          <w:lang w:val="en-US" w:eastAsia="zh-CN"/>
        </w:rPr>
        <w:t>强化政治建设，全面深入学习党的二十大精神，跟进学习习近平</w:t>
      </w:r>
      <w:r>
        <w:rPr>
          <w:rFonts w:hint="eastAsia" w:ascii="仿宋_GB2312" w:hAnsi="仿宋" w:eastAsia="仿宋_GB2312" w:cs="仿宋"/>
          <w:sz w:val="32"/>
          <w:szCs w:val="32"/>
          <w:lang w:val="en-US" w:eastAsia="zh-CN"/>
        </w:rPr>
        <w:t>新时代</w:t>
      </w:r>
      <w:r>
        <w:rPr>
          <w:rFonts w:hint="default" w:ascii="仿宋_GB2312" w:hAnsi="仿宋" w:eastAsia="仿宋_GB2312" w:cs="仿宋"/>
          <w:sz w:val="32"/>
          <w:szCs w:val="32"/>
          <w:lang w:val="en-US" w:eastAsia="zh-CN"/>
        </w:rPr>
        <w:t>中国特色社会主义思想，把增强“四个意识”、坚定“四个自信”、做到“两个维护”融入检察履职。坚持以高度的政治自觉、法治自觉、检察自觉，不折不扣贯彻执行党的路线方针政策和中央决策部署，不折不扣贯彻落实省、州、县委和上级院的各项工作要求，把政法工作条例、重大事项请示报告制度认真贯彻到位、执行到位，做到对党绝对忠诚。</w:t>
      </w:r>
    </w:p>
    <w:p>
      <w:pPr>
        <w:adjustRightInd/>
        <w:spacing w:after="0" w:line="580" w:lineRule="exact"/>
        <w:ind w:firstLine="640" w:firstLineChars="200"/>
        <w:rPr>
          <w:rFonts w:hint="default" w:ascii="仿宋_GB2312" w:hAnsi="仿宋" w:eastAsia="仿宋_GB2312" w:cs="仿宋"/>
          <w:sz w:val="32"/>
          <w:szCs w:val="32"/>
          <w:lang w:eastAsia="zh-CN"/>
        </w:rPr>
      </w:pPr>
      <w:r>
        <w:rPr>
          <w:rFonts w:hint="default" w:ascii="仿宋_GB2312" w:hAnsi="仿宋" w:eastAsia="仿宋_GB2312" w:cs="仿宋"/>
          <w:sz w:val="32"/>
          <w:szCs w:val="32"/>
          <w:lang w:val="en-US" w:eastAsia="zh-CN"/>
        </w:rPr>
        <w:t>凝心聚力抓关键</w:t>
      </w:r>
      <w:r>
        <w:rPr>
          <w:rFonts w:hint="default" w:ascii="仿宋_GB2312" w:hAnsi="仿宋" w:eastAsia="仿宋_GB2312" w:cs="仿宋"/>
          <w:sz w:val="32"/>
          <w:szCs w:val="32"/>
        </w:rPr>
        <w:t>，服务保障</w:t>
      </w:r>
      <w:r>
        <w:rPr>
          <w:rFonts w:hint="default" w:ascii="仿宋_GB2312" w:hAnsi="仿宋" w:eastAsia="仿宋_GB2312" w:cs="仿宋"/>
          <w:sz w:val="32"/>
          <w:szCs w:val="32"/>
          <w:lang w:val="en-US" w:eastAsia="zh-CN"/>
        </w:rPr>
        <w:t>全县</w:t>
      </w:r>
      <w:r>
        <w:rPr>
          <w:rFonts w:hint="default" w:ascii="仿宋_GB2312" w:hAnsi="仿宋" w:eastAsia="仿宋_GB2312" w:cs="仿宋"/>
          <w:sz w:val="32"/>
          <w:szCs w:val="32"/>
        </w:rPr>
        <w:t>中心大局</w:t>
      </w:r>
      <w:r>
        <w:rPr>
          <w:rFonts w:hint="default" w:ascii="仿宋_GB2312" w:hAnsi="仿宋" w:eastAsia="仿宋_GB2312" w:cs="仿宋"/>
          <w:sz w:val="32"/>
          <w:szCs w:val="32"/>
          <w:lang w:eastAsia="zh-CN"/>
        </w:rPr>
        <w:t>。</w:t>
      </w:r>
      <w:r>
        <w:rPr>
          <w:rFonts w:hint="default" w:ascii="仿宋_GB2312" w:hAnsi="仿宋" w:eastAsia="仿宋_GB2312" w:cs="仿宋"/>
          <w:sz w:val="32"/>
          <w:szCs w:val="32"/>
          <w:lang w:val="en-US" w:eastAsia="zh-CN"/>
        </w:rPr>
        <w:t>以习近平法治思想引领司法理念变革，坚持“以人民为中心”发展理念，围绕县委总体思路，紧扣乡村振兴、生态文明、民生保障等工作重点，始终将检察工作融入松潘发展大局中谋划和推进，促进讲政治与抓业务有机融合，以检察实际行动服务好、保障好县委中心大局，努力实现司法维护稳定，办案服务发展，达到政治效果、社会效果和法律效果相统一，以检察工作高质量发展服务保障松潘经济社会高质量发展。</w:t>
      </w:r>
    </w:p>
    <w:p>
      <w:pPr>
        <w:adjustRightInd/>
        <w:spacing w:after="0" w:line="580" w:lineRule="exact"/>
        <w:ind w:firstLine="640" w:firstLineChars="200"/>
        <w:rPr>
          <w:rFonts w:hint="default" w:ascii="仿宋_GB2312" w:hAnsi="仿宋" w:eastAsia="仿宋_GB2312" w:cs="仿宋"/>
          <w:sz w:val="32"/>
          <w:szCs w:val="32"/>
        </w:rPr>
      </w:pPr>
      <w:r>
        <w:rPr>
          <w:rFonts w:hint="default" w:ascii="仿宋_GB2312" w:hAnsi="仿宋" w:eastAsia="仿宋_GB2312" w:cs="仿宋"/>
          <w:sz w:val="32"/>
          <w:szCs w:val="32"/>
        </w:rPr>
        <w:t>奋勇担当</w:t>
      </w:r>
      <w:r>
        <w:rPr>
          <w:rFonts w:hint="default" w:ascii="仿宋_GB2312" w:hAnsi="仿宋" w:eastAsia="仿宋_GB2312" w:cs="仿宋"/>
          <w:sz w:val="32"/>
          <w:szCs w:val="32"/>
          <w:lang w:val="en-US" w:eastAsia="zh-CN"/>
        </w:rPr>
        <w:t>抓</w:t>
      </w:r>
      <w:r>
        <w:rPr>
          <w:rFonts w:hint="default" w:ascii="仿宋_GB2312" w:hAnsi="仿宋" w:eastAsia="仿宋_GB2312" w:cs="仿宋"/>
          <w:sz w:val="32"/>
          <w:szCs w:val="32"/>
        </w:rPr>
        <w:t>发展，</w:t>
      </w:r>
      <w:r>
        <w:rPr>
          <w:rFonts w:hint="default" w:ascii="仿宋_GB2312" w:hAnsi="仿宋" w:eastAsia="仿宋_GB2312" w:cs="仿宋"/>
          <w:sz w:val="32"/>
          <w:szCs w:val="32"/>
          <w:lang w:val="en-US" w:eastAsia="zh-CN"/>
        </w:rPr>
        <w:t>实现</w:t>
      </w:r>
      <w:r>
        <w:rPr>
          <w:rFonts w:hint="default" w:ascii="仿宋_GB2312" w:hAnsi="仿宋" w:eastAsia="仿宋_GB2312" w:cs="仿宋"/>
          <w:sz w:val="32"/>
          <w:szCs w:val="32"/>
        </w:rPr>
        <w:t>“四大检察”协</w:t>
      </w:r>
      <w:r>
        <w:rPr>
          <w:rFonts w:hint="default" w:ascii="仿宋_GB2312" w:hAnsi="仿宋" w:eastAsia="仿宋_GB2312" w:cs="仿宋"/>
          <w:sz w:val="32"/>
          <w:szCs w:val="32"/>
          <w:lang w:val="en-US" w:eastAsia="zh-CN"/>
        </w:rPr>
        <w:t>同推进</w:t>
      </w:r>
      <w:r>
        <w:rPr>
          <w:rFonts w:hint="default" w:ascii="仿宋_GB2312" w:hAnsi="仿宋" w:eastAsia="仿宋_GB2312" w:cs="仿宋"/>
          <w:sz w:val="32"/>
          <w:szCs w:val="32"/>
        </w:rPr>
        <w:t>。</w:t>
      </w:r>
      <w:r>
        <w:rPr>
          <w:rFonts w:hint="default" w:ascii="仿宋_GB2312" w:hAnsi="仿宋" w:eastAsia="仿宋_GB2312" w:cs="仿宋"/>
          <w:sz w:val="32"/>
          <w:szCs w:val="32"/>
          <w:lang w:val="en-US" w:eastAsia="zh-CN"/>
        </w:rPr>
        <w:t>持续巩固司法体制改革成果，强化检察履职效果，增强司法权威公信，维护社会公平正义，忠实履行宪法和法律赋予的职能职责，全面落实《中共中央关于加强新时代检察机关法律监督工作的意见》，锚定“五型”机关目标，以做优、做强、做实、做好“四大检察”为抓手，持续擦亮松潘检察“四大品牌”底色，强化刑事检察工作质效、细化民行检察工作方法、优化公益诉讼检察方式，增强检察技术保障公益诉讼工作的力度，提升推进未成年检察效果，促进检察工作平衡充分发展，为人民群众及时提供便捷、高效、满意的检察服务和检察产品。</w:t>
      </w:r>
    </w:p>
    <w:p>
      <w:pPr>
        <w:adjustRightInd/>
        <w:spacing w:after="0" w:line="580" w:lineRule="exact"/>
        <w:ind w:firstLine="640" w:firstLineChars="200"/>
        <w:rPr>
          <w:rFonts w:hint="default" w:ascii="仿宋_GB2312" w:hAnsi="仿宋" w:eastAsia="仿宋_GB2312" w:cs="仿宋"/>
          <w:sz w:val="32"/>
          <w:szCs w:val="32"/>
          <w:lang w:val="en-US" w:eastAsia="zh-CN"/>
        </w:rPr>
      </w:pPr>
      <w:r>
        <w:rPr>
          <w:rFonts w:hint="default" w:ascii="仿宋_GB2312" w:hAnsi="仿宋" w:eastAsia="仿宋_GB2312" w:cs="仿宋"/>
          <w:sz w:val="32"/>
          <w:szCs w:val="32"/>
        </w:rPr>
        <w:t>持之以恒</w:t>
      </w:r>
      <w:r>
        <w:rPr>
          <w:rFonts w:hint="default" w:ascii="仿宋_GB2312" w:hAnsi="仿宋" w:eastAsia="仿宋_GB2312" w:cs="仿宋"/>
          <w:sz w:val="32"/>
          <w:szCs w:val="32"/>
          <w:lang w:val="en-US" w:eastAsia="zh-CN"/>
        </w:rPr>
        <w:t>抓</w:t>
      </w:r>
      <w:r>
        <w:rPr>
          <w:rFonts w:hint="default" w:ascii="仿宋_GB2312" w:hAnsi="仿宋" w:eastAsia="仿宋_GB2312" w:cs="仿宋"/>
          <w:sz w:val="32"/>
          <w:szCs w:val="32"/>
        </w:rPr>
        <w:t>基础，提升检察工作发展</w:t>
      </w:r>
      <w:r>
        <w:rPr>
          <w:rFonts w:hint="default" w:ascii="仿宋_GB2312" w:hAnsi="仿宋" w:eastAsia="仿宋_GB2312" w:cs="仿宋"/>
          <w:sz w:val="32"/>
          <w:szCs w:val="32"/>
          <w:lang w:val="en-US" w:eastAsia="zh-CN"/>
        </w:rPr>
        <w:t>动能</w:t>
      </w:r>
      <w:r>
        <w:rPr>
          <w:rFonts w:hint="default" w:ascii="仿宋_GB2312" w:hAnsi="仿宋" w:eastAsia="仿宋_GB2312" w:cs="仿宋"/>
          <w:sz w:val="32"/>
          <w:szCs w:val="32"/>
        </w:rPr>
        <w:t>。</w:t>
      </w:r>
      <w:r>
        <w:rPr>
          <w:rFonts w:hint="default" w:ascii="仿宋_GB2312" w:hAnsi="仿宋" w:eastAsia="仿宋_GB2312" w:cs="仿宋"/>
          <w:sz w:val="32"/>
          <w:szCs w:val="32"/>
          <w:lang w:val="en-US" w:eastAsia="zh-CN"/>
        </w:rPr>
        <w:t>对标“五型”机关创建要求，围绕政治建设、作风建设、能力提升等方面，持续深化“检察大讲堂”“青蓝工程、师徒结对”活动，积极营造比学赶超的浓厚氛围，不断在思想“补钙”、精神上“充电”、工作上“加油”，持续激发干警内生活力和工作动力。严格落实从严治党治检及防止干预司法“三个规定”要求，常态化开展警示教育，树牢红线意识、底线意识，始终保证检察队伍干净担当有为。</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adjustRightInd/>
        <w:spacing w:after="0" w:line="58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松潘县人民检察院属一级预算单位，独立编制机构数1个，独立核算机构数1个。松潘县人民检察院机关行政编制27名,机关工勤人员事业编制3名,事业编制0名。</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pStyle w:val="12"/>
        <w:spacing w:before="0" w:line="360" w:lineRule="auto"/>
        <w:ind w:firstLine="63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按照综合预算的原则，法院收入和支出均纳入部门预算管理。收入包括：一般公共预算拨款收入、上年结转；支出包括：公共安全支出、医疗卫生与计划生育支出、住房保障支出。</w:t>
      </w:r>
      <w:r>
        <w:rPr>
          <w:rFonts w:hint="eastAsia" w:hAnsi="仿宋_GB2312" w:cs="仿宋_GB2312"/>
          <w:kern w:val="2"/>
          <w:sz w:val="32"/>
          <w:szCs w:val="32"/>
          <w:lang w:val="en-US" w:eastAsia="zh-CN" w:bidi="ar-SA"/>
        </w:rPr>
        <w:t>检察</w:t>
      </w:r>
      <w:r>
        <w:rPr>
          <w:rFonts w:hint="eastAsia" w:ascii="仿宋_GB2312" w:hAnsi="仿宋_GB2312" w:eastAsia="仿宋_GB2312" w:cs="仿宋_GB2312"/>
          <w:kern w:val="2"/>
          <w:sz w:val="32"/>
          <w:szCs w:val="32"/>
          <w:lang w:val="en-US" w:eastAsia="zh-CN" w:bidi="ar-SA"/>
        </w:rPr>
        <w:t>院202</w:t>
      </w:r>
      <w:r>
        <w:rPr>
          <w:rFonts w:hint="eastAsia" w:hAnsi="仿宋_GB2312"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年收支总预算</w:t>
      </w:r>
      <w:r>
        <w:rPr>
          <w:rFonts w:hint="eastAsia" w:hAnsi="仿宋_GB2312" w:cs="仿宋_GB2312"/>
          <w:kern w:val="2"/>
          <w:sz w:val="32"/>
          <w:szCs w:val="32"/>
          <w:lang w:val="en-US" w:eastAsia="zh-CN" w:bidi="ar-SA"/>
        </w:rPr>
        <w:t>1144.42</w:t>
      </w:r>
      <w:r>
        <w:rPr>
          <w:rFonts w:hint="eastAsia" w:ascii="仿宋_GB2312" w:hAnsi="仿宋_GB2312" w:eastAsia="仿宋_GB2312" w:cs="仿宋_GB2312"/>
          <w:kern w:val="2"/>
          <w:sz w:val="32"/>
          <w:szCs w:val="32"/>
          <w:lang w:val="en-US" w:eastAsia="zh-CN" w:bidi="ar-SA"/>
        </w:rPr>
        <w:t>万元。</w:t>
      </w:r>
    </w:p>
    <w:p>
      <w:pPr>
        <w:numPr>
          <w:ilvl w:val="0"/>
          <w:numId w:val="0"/>
        </w:numPr>
        <w:ind w:firstLine="640" w:firstLineChars="200"/>
        <w:rPr>
          <w:rFonts w:hint="eastAsia" w:ascii="楷体" w:hAnsi="楷体" w:eastAsia="楷体"/>
          <w:sz w:val="32"/>
          <w:szCs w:val="32"/>
        </w:rPr>
      </w:pPr>
      <w:r>
        <w:rPr>
          <w:rFonts w:hint="eastAsia" w:ascii="楷体" w:hAnsi="楷体" w:eastAsia="楷体"/>
          <w:sz w:val="32"/>
          <w:szCs w:val="32"/>
          <w:lang w:val="en-US" w:eastAsia="zh-CN"/>
        </w:rPr>
        <w:t>（一）</w:t>
      </w:r>
      <w:r>
        <w:rPr>
          <w:rFonts w:hint="eastAsia" w:ascii="楷体" w:hAnsi="楷体" w:eastAsia="楷体"/>
          <w:sz w:val="32"/>
          <w:szCs w:val="32"/>
        </w:rPr>
        <w:t>收入预算情况</w:t>
      </w:r>
    </w:p>
    <w:p>
      <w:pPr>
        <w:pStyle w:val="2"/>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 w:eastAsia="仿宋_GB2312" w:cs="仿宋"/>
          <w:color w:val="000000"/>
          <w:sz w:val="32"/>
          <w:szCs w:val="32"/>
        </w:rPr>
        <w:t>202</w:t>
      </w:r>
      <w:r>
        <w:rPr>
          <w:rFonts w:hint="eastAsia" w:ascii="仿宋_GB2312" w:hAnsi="仿宋" w:eastAsia="仿宋_GB2312" w:cs="仿宋"/>
          <w:color w:val="000000"/>
          <w:sz w:val="32"/>
          <w:szCs w:val="32"/>
          <w:lang w:val="en-US" w:eastAsia="zh-CN"/>
        </w:rPr>
        <w:t>4</w:t>
      </w:r>
      <w:r>
        <w:rPr>
          <w:rFonts w:hint="eastAsia" w:ascii="仿宋_GB2312" w:hAnsi="仿宋" w:eastAsia="仿宋_GB2312" w:cs="仿宋"/>
          <w:color w:val="000000"/>
          <w:sz w:val="32"/>
          <w:szCs w:val="32"/>
        </w:rPr>
        <w:t>年一般公共预算收入总数</w:t>
      </w:r>
      <w:r>
        <w:rPr>
          <w:rFonts w:hint="eastAsia" w:ascii="仿宋_GB2312" w:hAnsi="仿宋" w:eastAsia="仿宋_GB2312" w:cs="仿宋"/>
          <w:color w:val="000000"/>
          <w:sz w:val="32"/>
          <w:szCs w:val="32"/>
          <w:lang w:val="en-US" w:eastAsia="zh-CN"/>
        </w:rPr>
        <w:t>572.21</w:t>
      </w:r>
      <w:r>
        <w:rPr>
          <w:rFonts w:hint="eastAsia" w:ascii="仿宋_GB2312" w:hAnsi="仿宋" w:eastAsia="仿宋_GB2312" w:cs="仿宋"/>
          <w:color w:val="000000"/>
          <w:sz w:val="32"/>
          <w:szCs w:val="32"/>
        </w:rPr>
        <w:t>万元</w:t>
      </w:r>
      <w:r>
        <w:rPr>
          <w:rFonts w:hint="eastAsia" w:ascii="仿宋_GB2312" w:hAnsi="仿宋_GB2312" w:eastAsia="仿宋_GB2312" w:cs="仿宋_GB2312"/>
          <w:kern w:val="2"/>
          <w:sz w:val="32"/>
          <w:szCs w:val="32"/>
          <w:lang w:val="en-US" w:eastAsia="zh-CN" w:bidi="ar-SA"/>
        </w:rPr>
        <w:t>。其中：上年结转0万元，占0%；一般公共预算拨款收入572.21万元，占100%。</w:t>
      </w:r>
    </w:p>
    <w:p>
      <w:pPr>
        <w:numPr>
          <w:ilvl w:val="0"/>
          <w:numId w:val="0"/>
        </w:numPr>
        <w:ind w:leftChars="0" w:firstLine="640" w:firstLineChars="200"/>
        <w:rPr>
          <w:rFonts w:hint="eastAsia" w:ascii="楷体" w:hAnsi="楷体" w:eastAsia="楷体"/>
          <w:sz w:val="32"/>
          <w:szCs w:val="32"/>
        </w:rPr>
      </w:pPr>
      <w:r>
        <w:rPr>
          <w:rFonts w:hint="eastAsia" w:ascii="楷体" w:hAnsi="楷体" w:eastAsia="楷体"/>
          <w:sz w:val="32"/>
          <w:szCs w:val="32"/>
          <w:lang w:eastAsia="zh-CN"/>
        </w:rPr>
        <w:t>（二）</w:t>
      </w:r>
      <w:r>
        <w:rPr>
          <w:rFonts w:hint="eastAsia" w:ascii="楷体" w:hAnsi="楷体" w:eastAsia="楷体"/>
          <w:sz w:val="32"/>
          <w:szCs w:val="32"/>
        </w:rPr>
        <w:t>支出预算情况</w:t>
      </w:r>
    </w:p>
    <w:p>
      <w:pPr>
        <w:pStyle w:val="2"/>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 w:eastAsia="仿宋_GB2312" w:cs="仿宋"/>
          <w:color w:val="000000"/>
          <w:sz w:val="32"/>
          <w:szCs w:val="32"/>
        </w:rPr>
        <w:t>202</w:t>
      </w:r>
      <w:r>
        <w:rPr>
          <w:rFonts w:hint="eastAsia" w:ascii="仿宋_GB2312" w:hAnsi="仿宋" w:eastAsia="仿宋_GB2312" w:cs="仿宋"/>
          <w:color w:val="000000"/>
          <w:sz w:val="32"/>
          <w:szCs w:val="32"/>
          <w:lang w:val="en-US" w:eastAsia="zh-CN"/>
        </w:rPr>
        <w:t>4</w:t>
      </w:r>
      <w:r>
        <w:rPr>
          <w:rFonts w:hint="eastAsia" w:ascii="仿宋_GB2312" w:hAnsi="仿宋" w:eastAsia="仿宋_GB2312" w:cs="仿宋"/>
          <w:color w:val="000000"/>
          <w:sz w:val="32"/>
          <w:szCs w:val="32"/>
        </w:rPr>
        <w:t>年一般公共预算支出总数</w:t>
      </w:r>
      <w:r>
        <w:rPr>
          <w:rFonts w:hint="eastAsia" w:ascii="仿宋_GB2312" w:hAnsi="仿宋" w:eastAsia="仿宋_GB2312" w:cs="仿宋"/>
          <w:color w:val="000000"/>
          <w:sz w:val="32"/>
          <w:szCs w:val="32"/>
          <w:lang w:val="en-US" w:eastAsia="zh-CN"/>
        </w:rPr>
        <w:t>572.21</w:t>
      </w:r>
      <w:r>
        <w:rPr>
          <w:rFonts w:hint="eastAsia" w:ascii="仿宋_GB2312" w:hAnsi="仿宋" w:eastAsia="仿宋_GB2312" w:cs="仿宋"/>
          <w:color w:val="000000"/>
          <w:sz w:val="32"/>
          <w:szCs w:val="32"/>
        </w:rPr>
        <w:t>万元</w:t>
      </w:r>
      <w:r>
        <w:rPr>
          <w:rFonts w:hint="eastAsia" w:ascii="仿宋_GB2312" w:hAnsi="仿宋_GB2312" w:eastAsia="仿宋_GB2312" w:cs="仿宋_GB2312"/>
          <w:kern w:val="2"/>
          <w:sz w:val="32"/>
          <w:szCs w:val="32"/>
          <w:lang w:val="en-US" w:eastAsia="zh-CN" w:bidi="ar-SA"/>
        </w:rPr>
        <w:t>，其中</w:t>
      </w:r>
      <w:r>
        <w:rPr>
          <w:rFonts w:hint="eastAsia" w:ascii="仿宋_GB2312" w:hAnsi="仿宋" w:eastAsia="仿宋_GB2312" w:cs="仿宋"/>
          <w:color w:val="000000"/>
          <w:sz w:val="32"/>
          <w:szCs w:val="32"/>
        </w:rPr>
        <w:t>人员支出</w:t>
      </w:r>
      <w:r>
        <w:rPr>
          <w:rFonts w:hint="eastAsia" w:ascii="仿宋_GB2312" w:hAnsi="仿宋" w:eastAsia="仿宋_GB2312" w:cs="仿宋"/>
          <w:color w:val="000000"/>
          <w:sz w:val="32"/>
          <w:szCs w:val="32"/>
          <w:lang w:val="en-US" w:eastAsia="zh-CN"/>
        </w:rPr>
        <w:t>492.14</w:t>
      </w:r>
      <w:r>
        <w:rPr>
          <w:rFonts w:hint="eastAsia" w:ascii="仿宋_GB2312" w:hAnsi="仿宋" w:eastAsia="仿宋_GB2312" w:cs="仿宋"/>
          <w:color w:val="000000"/>
          <w:sz w:val="32"/>
          <w:szCs w:val="32"/>
        </w:rPr>
        <w:t>万元，公用支出</w:t>
      </w:r>
      <w:r>
        <w:rPr>
          <w:rFonts w:hint="eastAsia" w:ascii="仿宋_GB2312" w:hAnsi="仿宋" w:eastAsia="仿宋_GB2312" w:cs="仿宋"/>
          <w:color w:val="000000"/>
          <w:sz w:val="32"/>
          <w:szCs w:val="32"/>
          <w:lang w:val="en-US" w:eastAsia="zh-CN"/>
        </w:rPr>
        <w:t>78.75</w:t>
      </w:r>
      <w:r>
        <w:rPr>
          <w:rFonts w:hint="eastAsia" w:ascii="仿宋_GB2312" w:hAnsi="仿宋" w:eastAsia="仿宋_GB2312" w:cs="仿宋"/>
          <w:color w:val="000000"/>
          <w:sz w:val="32"/>
          <w:szCs w:val="32"/>
        </w:rPr>
        <w:t>万元，</w:t>
      </w:r>
      <w:r>
        <w:rPr>
          <w:rFonts w:hint="eastAsia" w:ascii="仿宋_GB2312" w:hAnsi="微软雅黑" w:eastAsia="仿宋_GB2312" w:cs="仿宋_GB2312"/>
          <w:spacing w:val="15"/>
          <w:sz w:val="32"/>
          <w:szCs w:val="32"/>
          <w:shd w:val="clear" w:color="auto" w:fill="FFFFFF"/>
          <w:lang w:bidi="ar"/>
        </w:rPr>
        <w:t>对个人和家庭支出</w:t>
      </w:r>
      <w:r>
        <w:rPr>
          <w:rFonts w:hint="eastAsia" w:ascii="仿宋_GB2312" w:hAnsi="微软雅黑" w:eastAsia="仿宋_GB2312" w:cs="仿宋_GB2312"/>
          <w:spacing w:val="15"/>
          <w:sz w:val="32"/>
          <w:szCs w:val="32"/>
          <w:shd w:val="clear" w:color="auto" w:fill="FFFFFF"/>
          <w:lang w:val="en-US" w:eastAsia="zh-CN" w:bidi="ar"/>
        </w:rPr>
        <w:t>1.32</w:t>
      </w:r>
      <w:r>
        <w:rPr>
          <w:rFonts w:hint="eastAsia" w:ascii="仿宋_GB2312" w:hAnsi="微软雅黑" w:eastAsia="仿宋_GB2312" w:cs="仿宋_GB2312"/>
          <w:spacing w:val="15"/>
          <w:sz w:val="32"/>
          <w:szCs w:val="32"/>
          <w:shd w:val="clear" w:color="auto" w:fill="FFFFFF"/>
          <w:lang w:bidi="ar"/>
        </w:rPr>
        <w:t>万元</w:t>
      </w:r>
      <w:r>
        <w:rPr>
          <w:rFonts w:hint="eastAsia" w:ascii="仿宋_GB2312" w:hAnsi="微软雅黑" w:eastAsia="仿宋_GB2312" w:cs="仿宋_GB2312"/>
          <w:spacing w:val="15"/>
          <w:sz w:val="32"/>
          <w:szCs w:val="32"/>
          <w:shd w:val="clear" w:color="auto" w:fill="FFFFFF"/>
          <w:lang w:eastAsia="zh-CN" w:bidi="ar"/>
        </w:rPr>
        <w:t>。</w:t>
      </w:r>
    </w:p>
    <w:p>
      <w:pPr>
        <w:ind w:left="638" w:leftChars="304"/>
        <w:rPr>
          <w:rFonts w:hint="eastAsia" w:ascii="仿宋_GB2312" w:eastAsia="仿宋_GB2312"/>
          <w:sz w:val="32"/>
          <w:szCs w:val="32"/>
          <w:lang w:eastAsia="zh-CN"/>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eastAsia="仿宋_GB2312" w:cs="仿宋_GB2312"/>
          <w:sz w:val="32"/>
          <w:szCs w:val="32"/>
        </w:rPr>
        <w:t>部门（单位）</w:t>
      </w:r>
      <w:r>
        <w:rPr>
          <w:rFonts w:hint="eastAsia" w:ascii="仿宋_GB2312" w:eastAsia="仿宋_GB2312"/>
          <w:sz w:val="32"/>
          <w:szCs w:val="32"/>
        </w:rPr>
        <w:t>202</w:t>
      </w:r>
      <w:r>
        <w:rPr>
          <w:rFonts w:ascii="仿宋_GB2312" w:eastAsia="仿宋_GB2312"/>
          <w:sz w:val="32"/>
          <w:szCs w:val="32"/>
        </w:rPr>
        <w:t>4</w:t>
      </w:r>
      <w:r>
        <w:rPr>
          <w:rFonts w:hint="eastAsia" w:ascii="仿宋_GB2312" w:eastAsia="仿宋_GB2312"/>
          <w:sz w:val="32"/>
          <w:szCs w:val="32"/>
        </w:rPr>
        <w:t>年财政拨款收支总预算</w:t>
      </w:r>
      <w:r>
        <w:rPr>
          <w:rFonts w:hint="eastAsia" w:ascii="仿宋_GB2312" w:eastAsia="仿宋_GB2312"/>
          <w:sz w:val="32"/>
          <w:szCs w:val="32"/>
          <w:lang w:val="en-US" w:eastAsia="zh-CN"/>
        </w:rPr>
        <w:t>572.21</w:t>
      </w:r>
      <w:r>
        <w:rPr>
          <w:rFonts w:hint="eastAsia" w:ascii="仿宋_GB2312" w:eastAsia="仿宋_GB2312"/>
          <w:sz w:val="32"/>
          <w:szCs w:val="32"/>
        </w:rPr>
        <w:t>万元,比202</w:t>
      </w:r>
      <w:r>
        <w:rPr>
          <w:rFonts w:ascii="仿宋_GB2312" w:eastAsia="仿宋_GB2312"/>
          <w:sz w:val="32"/>
          <w:szCs w:val="32"/>
        </w:rPr>
        <w:t>3</w:t>
      </w:r>
      <w:r>
        <w:rPr>
          <w:rFonts w:hint="eastAsia" w:ascii="仿宋_GB2312" w:eastAsia="仿宋_GB2312"/>
          <w:sz w:val="32"/>
          <w:szCs w:val="32"/>
        </w:rPr>
        <w:t>年财政拨款收支总预算减少</w:t>
      </w:r>
      <w:r>
        <w:rPr>
          <w:rFonts w:hint="eastAsia" w:ascii="仿宋_GB2312" w:eastAsia="仿宋_GB2312"/>
          <w:sz w:val="32"/>
          <w:szCs w:val="32"/>
          <w:lang w:val="en-US" w:eastAsia="zh-CN"/>
        </w:rPr>
        <w:t>26.99</w:t>
      </w:r>
      <w:r>
        <w:rPr>
          <w:rFonts w:hint="eastAsia" w:ascii="仿宋_GB2312" w:eastAsia="仿宋_GB2312"/>
          <w:sz w:val="32"/>
          <w:szCs w:val="32"/>
        </w:rPr>
        <w:t>万元，主要原因:</w:t>
      </w:r>
      <w:r>
        <w:rPr>
          <w:rFonts w:hint="eastAsia" w:ascii="仿宋_GB2312" w:eastAsia="仿宋_GB2312"/>
          <w:sz w:val="32"/>
          <w:szCs w:val="32"/>
          <w:lang w:eastAsia="zh-CN"/>
        </w:rPr>
        <w:t>人员减少。</w:t>
      </w:r>
    </w:p>
    <w:p>
      <w:pPr>
        <w:spacing w:line="54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收入包括：</w:t>
      </w:r>
      <w:r>
        <w:rPr>
          <w:rFonts w:hint="eastAsia" w:ascii="仿宋_GB2312" w:eastAsia="仿宋_GB2312" w:cs="仿宋_GB2312"/>
          <w:sz w:val="32"/>
          <w:szCs w:val="32"/>
          <w:lang w:eastAsia="zh-CN"/>
        </w:rPr>
        <w:t>一般公共预算收入</w:t>
      </w:r>
    </w:p>
    <w:p>
      <w:pPr>
        <w:spacing w:line="540" w:lineRule="exact"/>
        <w:ind w:firstLine="640" w:firstLineChars="200"/>
        <w:rPr>
          <w:rFonts w:hint="eastAsia" w:ascii="仿宋_GB2312" w:eastAsia="仿宋_GB2312"/>
          <w:sz w:val="32"/>
          <w:szCs w:val="32"/>
          <w:lang w:eastAsia="zh-CN"/>
        </w:rPr>
      </w:pPr>
      <w:r>
        <w:rPr>
          <w:rFonts w:hint="eastAsia" w:ascii="仿宋_GB2312" w:eastAsia="仿宋_GB2312" w:cs="仿宋_GB2312"/>
          <w:sz w:val="32"/>
          <w:szCs w:val="32"/>
        </w:rPr>
        <w:t>支出包括：</w:t>
      </w:r>
      <w:r>
        <w:rPr>
          <w:rFonts w:hint="eastAsia" w:ascii="仿宋_GB2312" w:eastAsia="仿宋_GB2312"/>
          <w:sz w:val="32"/>
          <w:szCs w:val="32"/>
          <w:lang w:eastAsia="zh-CN"/>
        </w:rPr>
        <w:t>工资福利、商品和服务、对个人和家庭的补助。</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2"/>
        <w:spacing w:before="0" w:line="360" w:lineRule="auto"/>
        <w:ind w:firstLine="660"/>
        <w:rPr>
          <w:rFonts w:cs="仿宋_GB2312"/>
          <w:kern w:val="2"/>
          <w:sz w:val="32"/>
          <w:szCs w:val="32"/>
        </w:rPr>
      </w:pPr>
      <w:r>
        <w:rPr>
          <w:rFonts w:hint="eastAsia" w:cs="仿宋_GB2312"/>
          <w:kern w:val="2"/>
          <w:sz w:val="32"/>
          <w:szCs w:val="32"/>
        </w:rPr>
        <w:t>部门（单位）</w:t>
      </w:r>
      <w:r>
        <w:rPr>
          <w:rFonts w:hint="eastAsia" w:cs="宋体"/>
          <w:sz w:val="32"/>
          <w:szCs w:val="32"/>
        </w:rPr>
        <w:t>202</w:t>
      </w:r>
      <w:r>
        <w:rPr>
          <w:rFonts w:cs="宋体"/>
          <w:sz w:val="32"/>
          <w:szCs w:val="32"/>
        </w:rPr>
        <w:t>4</w:t>
      </w:r>
      <w:r>
        <w:rPr>
          <w:rFonts w:hint="eastAsia" w:cs="宋体"/>
          <w:sz w:val="32"/>
          <w:szCs w:val="32"/>
        </w:rPr>
        <w:t>年一般公共预算当年拨款</w:t>
      </w:r>
      <w:r>
        <w:rPr>
          <w:rFonts w:hint="eastAsia" w:cs="宋体"/>
          <w:sz w:val="32"/>
          <w:szCs w:val="32"/>
          <w:lang w:val="en-US" w:eastAsia="zh-CN"/>
        </w:rPr>
        <w:t>572.21</w:t>
      </w:r>
      <w:r>
        <w:rPr>
          <w:rFonts w:hint="eastAsia" w:cs="宋体"/>
          <w:sz w:val="32"/>
          <w:szCs w:val="32"/>
        </w:rPr>
        <w:t>万元，比202</w:t>
      </w:r>
      <w:r>
        <w:rPr>
          <w:rFonts w:cs="宋体"/>
          <w:sz w:val="32"/>
          <w:szCs w:val="32"/>
        </w:rPr>
        <w:t>3</w:t>
      </w:r>
      <w:r>
        <w:rPr>
          <w:rFonts w:hint="eastAsia" w:cs="宋体"/>
          <w:sz w:val="32"/>
          <w:szCs w:val="32"/>
        </w:rPr>
        <w:t>年预算数</w:t>
      </w:r>
      <w:r>
        <w:rPr>
          <w:rFonts w:hint="eastAsia"/>
          <w:sz w:val="32"/>
          <w:szCs w:val="32"/>
        </w:rPr>
        <w:t>减少</w:t>
      </w:r>
      <w:r>
        <w:rPr>
          <w:rFonts w:hint="eastAsia" w:cs="宋体"/>
          <w:sz w:val="32"/>
          <w:szCs w:val="32"/>
          <w:lang w:val="en-US" w:eastAsia="zh-CN"/>
        </w:rPr>
        <w:t>26.99</w:t>
      </w:r>
      <w:r>
        <w:rPr>
          <w:rFonts w:hint="eastAsia" w:cs="宋体"/>
          <w:sz w:val="32"/>
          <w:szCs w:val="32"/>
        </w:rPr>
        <w:t>万元，主要原因:</w:t>
      </w:r>
      <w:r>
        <w:rPr>
          <w:rFonts w:hint="eastAsia" w:cs="宋体"/>
          <w:sz w:val="32"/>
          <w:szCs w:val="32"/>
          <w:lang w:eastAsia="zh-CN"/>
        </w:rPr>
        <w:t>人员减少。</w:t>
      </w:r>
      <w:r>
        <w:rPr>
          <w:rFonts w:hint="eastAsia" w:cs="仿宋_GB2312"/>
          <w:kern w:val="2"/>
          <w:sz w:val="32"/>
          <w:szCs w:val="32"/>
        </w:rPr>
        <w:t>　　</w:t>
      </w:r>
    </w:p>
    <w:p>
      <w:pPr>
        <w:pStyle w:val="12"/>
        <w:numPr>
          <w:ilvl w:val="0"/>
          <w:numId w:val="2"/>
        </w:numPr>
        <w:spacing w:before="0" w:line="360" w:lineRule="auto"/>
        <w:ind w:left="651" w:leftChars="310"/>
        <w:jc w:val="left"/>
        <w:rPr>
          <w:rFonts w:hint="eastAsia" w:ascii="楷体" w:eastAsia="楷体" w:cs="宋体"/>
          <w:sz w:val="32"/>
          <w:szCs w:val="32"/>
        </w:rPr>
      </w:pPr>
      <w:r>
        <w:rPr>
          <w:rFonts w:hint="eastAsia" w:ascii="楷体" w:eastAsia="楷体" w:cs="宋体"/>
          <w:sz w:val="32"/>
          <w:szCs w:val="32"/>
        </w:rPr>
        <w:t>一般公共预算当年拨款结构情况</w:t>
      </w:r>
    </w:p>
    <w:p>
      <w:pPr>
        <w:pStyle w:val="12"/>
        <w:numPr>
          <w:numId w:val="0"/>
        </w:numPr>
        <w:spacing w:before="0" w:line="360" w:lineRule="auto"/>
        <w:ind w:firstLine="640" w:firstLineChars="200"/>
        <w:jc w:val="left"/>
        <w:rPr>
          <w:rFonts w:hint="eastAsia" w:eastAsia="仿宋_GB2312" w:cs="仿宋_GB2312"/>
          <w:kern w:val="2"/>
          <w:sz w:val="32"/>
          <w:szCs w:val="32"/>
          <w:lang w:eastAsia="zh-CN"/>
        </w:rPr>
      </w:pPr>
      <w:r>
        <w:rPr>
          <w:rFonts w:hint="eastAsia" w:cs="宋体"/>
          <w:sz w:val="32"/>
          <w:szCs w:val="32"/>
        </w:rPr>
        <w:t>一般公共服务支出</w:t>
      </w:r>
      <w:r>
        <w:rPr>
          <w:rFonts w:hint="eastAsia" w:cs="宋体"/>
          <w:sz w:val="32"/>
          <w:szCs w:val="32"/>
          <w:lang w:val="en-US" w:eastAsia="zh-CN"/>
        </w:rPr>
        <w:t>414.13</w:t>
      </w:r>
      <w:r>
        <w:rPr>
          <w:rFonts w:hint="eastAsia" w:cs="宋体"/>
          <w:sz w:val="32"/>
          <w:szCs w:val="32"/>
        </w:rPr>
        <w:t>万元，占</w:t>
      </w:r>
      <w:r>
        <w:rPr>
          <w:rFonts w:hint="eastAsia" w:cs="宋体"/>
          <w:sz w:val="32"/>
          <w:szCs w:val="32"/>
          <w:lang w:val="en-US" w:eastAsia="zh-CN"/>
        </w:rPr>
        <w:t>73</w:t>
      </w:r>
      <w:r>
        <w:rPr>
          <w:rFonts w:hint="eastAsia" w:cs="宋体"/>
          <w:sz w:val="32"/>
          <w:szCs w:val="32"/>
        </w:rPr>
        <w:t>%；社会保障和就业支</w:t>
      </w:r>
      <w:r>
        <w:rPr>
          <w:rFonts w:hint="eastAsia" w:cs="宋体"/>
          <w:sz w:val="32"/>
          <w:szCs w:val="32"/>
          <w:lang w:eastAsia="zh-CN"/>
        </w:rPr>
        <w:t>出</w:t>
      </w:r>
      <w:r>
        <w:rPr>
          <w:rFonts w:hint="eastAsia" w:cs="宋体"/>
          <w:sz w:val="32"/>
          <w:szCs w:val="32"/>
          <w:lang w:val="en-US" w:eastAsia="zh-CN"/>
        </w:rPr>
        <w:t>84.12万元，</w:t>
      </w:r>
      <w:r>
        <w:rPr>
          <w:rFonts w:hint="eastAsia" w:cs="宋体"/>
          <w:sz w:val="32"/>
          <w:szCs w:val="32"/>
        </w:rPr>
        <w:t>占</w:t>
      </w:r>
      <w:r>
        <w:rPr>
          <w:rFonts w:hint="eastAsia" w:cs="宋体"/>
          <w:sz w:val="32"/>
          <w:szCs w:val="32"/>
          <w:lang w:val="en-US" w:eastAsia="zh-CN"/>
        </w:rPr>
        <w:t>15</w:t>
      </w:r>
      <w:r>
        <w:rPr>
          <w:rFonts w:hint="eastAsia" w:cs="宋体"/>
          <w:sz w:val="32"/>
          <w:szCs w:val="32"/>
        </w:rPr>
        <w:t>%；</w:t>
      </w:r>
      <w:r>
        <w:rPr>
          <w:rFonts w:hint="eastAsia" w:cs="宋体"/>
          <w:sz w:val="32"/>
          <w:szCs w:val="32"/>
          <w:lang w:eastAsia="zh-CN"/>
        </w:rPr>
        <w:t>卫生健康</w:t>
      </w:r>
      <w:r>
        <w:rPr>
          <w:rFonts w:hint="eastAsia" w:cs="宋体"/>
          <w:sz w:val="32"/>
          <w:szCs w:val="32"/>
        </w:rPr>
        <w:t>支</w:t>
      </w:r>
      <w:r>
        <w:rPr>
          <w:rFonts w:hint="eastAsia" w:cs="宋体"/>
          <w:sz w:val="32"/>
          <w:szCs w:val="32"/>
          <w:lang w:eastAsia="zh-CN"/>
        </w:rPr>
        <w:t>出</w:t>
      </w:r>
      <w:r>
        <w:rPr>
          <w:rFonts w:hint="eastAsia" w:cs="宋体"/>
          <w:sz w:val="32"/>
          <w:szCs w:val="32"/>
          <w:lang w:val="en-US" w:eastAsia="zh-CN"/>
        </w:rPr>
        <w:t>32.98万元，</w:t>
      </w:r>
      <w:r>
        <w:rPr>
          <w:rFonts w:hint="eastAsia" w:cs="宋体"/>
          <w:sz w:val="32"/>
          <w:szCs w:val="32"/>
        </w:rPr>
        <w:t>占</w:t>
      </w:r>
      <w:r>
        <w:rPr>
          <w:rFonts w:hint="eastAsia" w:cs="宋体"/>
          <w:sz w:val="32"/>
          <w:szCs w:val="32"/>
          <w:lang w:val="en-US" w:eastAsia="zh-CN"/>
        </w:rPr>
        <w:t>5</w:t>
      </w:r>
      <w:r>
        <w:rPr>
          <w:rFonts w:hint="eastAsia" w:cs="宋体"/>
          <w:sz w:val="32"/>
          <w:szCs w:val="32"/>
        </w:rPr>
        <w:t>%；住房保障支出</w:t>
      </w:r>
      <w:r>
        <w:rPr>
          <w:rFonts w:hint="eastAsia" w:cs="宋体"/>
          <w:sz w:val="32"/>
          <w:szCs w:val="32"/>
          <w:lang w:val="en-US" w:eastAsia="zh-CN"/>
        </w:rPr>
        <w:t>40.97</w:t>
      </w:r>
      <w:r>
        <w:rPr>
          <w:rFonts w:hint="eastAsia" w:cs="宋体"/>
          <w:sz w:val="32"/>
          <w:szCs w:val="32"/>
        </w:rPr>
        <w:t>万元，占</w:t>
      </w:r>
      <w:r>
        <w:rPr>
          <w:rFonts w:hint="eastAsia" w:cs="宋体"/>
          <w:sz w:val="32"/>
          <w:szCs w:val="32"/>
          <w:lang w:val="en-US" w:eastAsia="zh-CN"/>
        </w:rPr>
        <w:t>7</w:t>
      </w:r>
      <w:r>
        <w:rPr>
          <w:rFonts w:hint="eastAsia" w:cs="宋体"/>
          <w:sz w:val="32"/>
          <w:szCs w:val="32"/>
        </w:rPr>
        <w:t>%</w:t>
      </w:r>
      <w:r>
        <w:rPr>
          <w:rFonts w:hint="eastAsia" w:cs="宋体"/>
          <w:sz w:val="32"/>
          <w:szCs w:val="32"/>
          <w:lang w:eastAsia="zh-CN"/>
        </w:rPr>
        <w:t>。</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2"/>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一般公共安全支出:202</w:t>
      </w:r>
      <w:r>
        <w:rPr>
          <w:rFonts w:hint="eastAsia" w:hAnsi="仿宋_GB2312"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年预算数为</w:t>
      </w:r>
      <w:r>
        <w:rPr>
          <w:rFonts w:hint="eastAsia" w:cs="仿宋_GB2312"/>
          <w:kern w:val="2"/>
          <w:sz w:val="32"/>
          <w:szCs w:val="32"/>
          <w:lang w:val="en-US" w:eastAsia="zh-CN" w:bidi="ar-SA"/>
        </w:rPr>
        <w:t>572.21</w:t>
      </w:r>
      <w:r>
        <w:rPr>
          <w:rFonts w:hint="eastAsia" w:ascii="仿宋_GB2312" w:hAnsi="仿宋_GB2312" w:eastAsia="仿宋_GB2312" w:cs="仿宋_GB2312"/>
          <w:kern w:val="2"/>
          <w:sz w:val="32"/>
          <w:szCs w:val="32"/>
          <w:lang w:val="en-US" w:eastAsia="zh-CN" w:bidi="ar-SA"/>
        </w:rPr>
        <w:t>万元，主要用于：我院正常运转的基本支出，包括基本工资、津贴补贴等人员经费以及办公费、印刷费、水电费等日常公用经费。</w:t>
      </w:r>
    </w:p>
    <w:p>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年一般公共预算基本支出</w:t>
      </w:r>
      <w:r>
        <w:rPr>
          <w:rFonts w:hint="eastAsia" w:cs="仿宋_GB2312"/>
          <w:kern w:val="2"/>
          <w:sz w:val="32"/>
          <w:szCs w:val="32"/>
          <w:lang w:val="en-US" w:eastAsia="zh-CN"/>
        </w:rPr>
        <w:t>572.21</w:t>
      </w:r>
      <w:r>
        <w:rPr>
          <w:rFonts w:hint="eastAsia" w:cs="仿宋_GB2312"/>
          <w:kern w:val="2"/>
          <w:sz w:val="32"/>
          <w:szCs w:val="32"/>
        </w:rPr>
        <w:t>万元，其中：人员经费</w:t>
      </w:r>
      <w:r>
        <w:rPr>
          <w:rFonts w:hint="eastAsia" w:cs="仿宋_GB2312"/>
          <w:kern w:val="2"/>
          <w:sz w:val="32"/>
          <w:szCs w:val="32"/>
          <w:lang w:val="en-US" w:eastAsia="zh-CN"/>
        </w:rPr>
        <w:t>492.14</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78.75</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年“三公”经费财政拨款预算数</w:t>
      </w:r>
      <w:r>
        <w:rPr>
          <w:rFonts w:hint="eastAsia" w:cs="仿宋_GB2312"/>
          <w:kern w:val="2"/>
          <w:sz w:val="32"/>
          <w:szCs w:val="32"/>
          <w:lang w:val="en-US" w:eastAsia="zh-CN"/>
        </w:rPr>
        <w:t>19.08</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1.09</w:t>
      </w:r>
      <w:r>
        <w:rPr>
          <w:rFonts w:hint="eastAsia" w:cs="仿宋_GB2312"/>
          <w:kern w:val="2"/>
          <w:sz w:val="32"/>
          <w:szCs w:val="32"/>
        </w:rPr>
        <w:t>万元，公务用车购置及运行维护费</w:t>
      </w:r>
      <w:r>
        <w:rPr>
          <w:rFonts w:hint="eastAsia" w:cs="仿宋_GB2312"/>
          <w:kern w:val="2"/>
          <w:sz w:val="32"/>
          <w:szCs w:val="32"/>
          <w:lang w:val="en-US" w:eastAsia="zh-CN"/>
        </w:rPr>
        <w:t>18</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spacing w:before="0" w:line="360" w:lineRule="auto"/>
        <w:ind w:firstLine="640" w:firstLineChars="200"/>
        <w:rPr>
          <w:rFonts w:ascii="黑体" w:eastAsia="黑体"/>
          <w:sz w:val="32"/>
          <w:szCs w:val="32"/>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1.09</w:t>
      </w:r>
      <w:r>
        <w:rPr>
          <w:rFonts w:hint="eastAsia" w:cs="仿宋_GB2312"/>
          <w:color w:val="000000"/>
          <w:kern w:val="2"/>
          <w:sz w:val="32"/>
          <w:szCs w:val="32"/>
        </w:rPr>
        <w:t>万元。</w:t>
      </w:r>
      <w:r>
        <w:rPr>
          <w:rFonts w:hint="eastAsia" w:cs="仿宋_GB2312"/>
          <w:kern w:val="2"/>
          <w:sz w:val="32"/>
          <w:szCs w:val="32"/>
        </w:rPr>
        <w:t>较2023年预算经费减少</w:t>
      </w:r>
      <w:r>
        <w:rPr>
          <w:rFonts w:hint="eastAsia" w:cs="仿宋_GB2312"/>
          <w:kern w:val="2"/>
          <w:sz w:val="32"/>
          <w:szCs w:val="32"/>
          <w:lang w:val="en-US" w:eastAsia="zh-CN"/>
        </w:rPr>
        <w:t>3</w:t>
      </w:r>
      <w:r>
        <w:rPr>
          <w:rFonts w:hint="eastAsia" w:cs="仿宋_GB2312"/>
          <w:kern w:val="2"/>
          <w:sz w:val="32"/>
          <w:szCs w:val="32"/>
        </w:rPr>
        <w:t>万元，主要原因在本着严格执行厉行节约的要求，认真贯彻落实中央八项规定及省委省政府十项规定要求（三）2024年公务用车购置及运行维护费</w:t>
      </w:r>
      <w:r>
        <w:rPr>
          <w:rFonts w:hint="eastAsia" w:cs="仿宋_GB2312"/>
          <w:kern w:val="2"/>
          <w:sz w:val="32"/>
          <w:szCs w:val="32"/>
          <w:lang w:val="en-US" w:eastAsia="zh-CN"/>
        </w:rPr>
        <w:t>18</w:t>
      </w:r>
      <w:r>
        <w:rPr>
          <w:rFonts w:hint="eastAsia" w:cs="仿宋_GB2312"/>
          <w:kern w:val="2"/>
          <w:sz w:val="32"/>
          <w:szCs w:val="32"/>
        </w:rPr>
        <w:t>万元。较2023年预算经费减少</w:t>
      </w:r>
      <w:r>
        <w:rPr>
          <w:rFonts w:hint="eastAsia" w:cs="仿宋_GB2312"/>
          <w:kern w:val="2"/>
          <w:sz w:val="32"/>
          <w:szCs w:val="32"/>
          <w:lang w:val="en-US" w:eastAsia="zh-CN"/>
        </w:rPr>
        <w:t>4.5</w:t>
      </w:r>
      <w:r>
        <w:rPr>
          <w:rFonts w:hint="eastAsia" w:cs="仿宋_GB2312"/>
          <w:kern w:val="2"/>
          <w:sz w:val="32"/>
          <w:szCs w:val="32"/>
        </w:rPr>
        <w:t>万元，主要原因在本着严格执行厉行节约的要求，认真贯彻落实中央八项规定及省委省政府十项规定要求</w:t>
      </w:r>
      <w:r>
        <w:rPr>
          <w:rFonts w:hint="eastAsia" w:cs="仿宋_GB2312"/>
          <w:kern w:val="2"/>
          <w:sz w:val="32"/>
          <w:szCs w:val="32"/>
          <w:lang w:eastAsia="zh-CN"/>
        </w:rPr>
        <w:t>。</w:t>
      </w: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2"/>
        <w:spacing w:before="0" w:line="360" w:lineRule="auto"/>
        <w:ind w:firstLine="640" w:firstLineChars="200"/>
        <w:rPr>
          <w:rFonts w:ascii="黑体" w:eastAsia="黑体"/>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r>
        <w:rPr>
          <w:rFonts w:hint="eastAsia" w:ascii="黑体" w:eastAsia="黑体"/>
          <w:sz w:val="32"/>
          <w:szCs w:val="32"/>
        </w:rPr>
        <w:t>九、其他重要事项的情况说明</w:t>
      </w:r>
    </w:p>
    <w:p>
      <w:pPr>
        <w:pStyle w:val="12"/>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w:t>
      </w:r>
      <w:r>
        <w:rPr>
          <w:rFonts w:cs="仿宋_GB2312"/>
          <w:kern w:val="2"/>
          <w:sz w:val="32"/>
          <w:szCs w:val="32"/>
        </w:rPr>
        <w:t>4</w:t>
      </w:r>
      <w:r>
        <w:rPr>
          <w:rFonts w:hint="eastAsia" w:cs="仿宋_GB2312"/>
          <w:kern w:val="2"/>
          <w:sz w:val="32"/>
          <w:szCs w:val="32"/>
        </w:rPr>
        <w:t>年机关运行经费财政拨款预算为</w:t>
      </w:r>
      <w:r>
        <w:rPr>
          <w:rFonts w:hint="eastAsia" w:cs="仿宋_GB2312"/>
          <w:kern w:val="2"/>
          <w:sz w:val="32"/>
          <w:szCs w:val="32"/>
          <w:lang w:val="en-US" w:eastAsia="zh-CN"/>
        </w:rPr>
        <w:t>78.75</w:t>
      </w:r>
      <w:r>
        <w:rPr>
          <w:rFonts w:hint="eastAsia" w:cs="仿宋_GB2312"/>
          <w:kern w:val="2"/>
          <w:sz w:val="32"/>
          <w:szCs w:val="32"/>
        </w:rPr>
        <w:t>万元</w:t>
      </w:r>
      <w:r>
        <w:rPr>
          <w:rFonts w:hint="eastAsia" w:cs="仿宋_GB2312"/>
          <w:color w:val="000000"/>
          <w:kern w:val="2"/>
          <w:sz w:val="32"/>
          <w:szCs w:val="32"/>
        </w:rPr>
        <w:t xml:space="preserve">。 </w:t>
      </w:r>
    </w:p>
    <w:p>
      <w:pPr>
        <w:pStyle w:val="12"/>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2"/>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hint="eastAsia" w:cs="仿宋_GB2312"/>
          <w:kern w:val="2"/>
          <w:sz w:val="32"/>
          <w:szCs w:val="32"/>
          <w:lang w:val="en-US" w:eastAsia="zh-CN"/>
        </w:rPr>
        <w:t>582.1</w:t>
      </w:r>
      <w:bookmarkStart w:id="0" w:name="_GoBack"/>
      <w:bookmarkEnd w:id="0"/>
      <w:r>
        <w:rPr>
          <w:rFonts w:hint="eastAsia" w:cs="仿宋_GB2312"/>
          <w:kern w:val="2"/>
          <w:sz w:val="32"/>
          <w:szCs w:val="32"/>
        </w:rPr>
        <w:t>万元。</w:t>
      </w:r>
    </w:p>
    <w:p>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年部门（单位）通用项目和专用项目均按要求实行绩效目标管理，涉及一般公共预算当年拨款</w:t>
      </w:r>
      <w:r>
        <w:rPr>
          <w:rFonts w:hint="eastAsia" w:cs="仿宋_GB2312"/>
          <w:kern w:val="2"/>
          <w:sz w:val="32"/>
          <w:szCs w:val="32"/>
          <w:lang w:val="en-US" w:eastAsia="zh-CN"/>
        </w:rPr>
        <w:t>572.21</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3E6C61"/>
    <w:multiLevelType w:val="singleLevel"/>
    <w:tmpl w:val="413E6C61"/>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WU2ZDVjYjA3NDgxODA4MTE0OTQ2ZDlhZDVkZDkyN2EifQ=="/>
  </w:docVars>
  <w:rsids>
    <w:rsidRoot w:val="00000000"/>
    <w:rsid w:val="253108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uiPriority w:val="0"/>
    <w:pPr>
      <w:keepNext/>
      <w:keepLines/>
      <w:spacing w:before="340" w:after="330" w:line="578" w:lineRule="auto"/>
      <w:outlineLvl w:val="0"/>
    </w:pPr>
    <w:rPr>
      <w:b/>
      <w:bCs/>
      <w:kern w:val="44"/>
      <w:sz w:val="44"/>
    </w:rPr>
  </w:style>
  <w:style w:type="paragraph" w:styleId="5">
    <w:name w:val="heading 2"/>
    <w:basedOn w:val="1"/>
    <w:next w:val="1"/>
    <w:uiPriority w:val="0"/>
    <w:pPr>
      <w:keepNext/>
      <w:keepLines/>
      <w:spacing w:before="260" w:after="260" w:line="415" w:lineRule="auto"/>
      <w:outlineLvl w:val="1"/>
    </w:pPr>
    <w:rPr>
      <w:rFonts w:ascii="Arial" w:hAnsi="Arial" w:eastAsia="黑体"/>
      <w:b/>
      <w:sz w:val="32"/>
    </w:rPr>
  </w:style>
  <w:style w:type="paragraph" w:styleId="6">
    <w:name w:val="heading 3"/>
    <w:basedOn w:val="1"/>
    <w:next w:val="1"/>
    <w:uiPriority w:val="0"/>
    <w:pPr>
      <w:keepNext/>
      <w:keepLines/>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unhideWhenUsed/>
    <w:qFormat/>
    <w:uiPriority w:val="99"/>
    <w:pPr>
      <w:spacing w:after="120" w:afterLines="0" w:afterAutospacing="0"/>
      <w:ind w:left="420" w:leftChars="200"/>
    </w:p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uiPriority w:val="0"/>
    <w:pPr>
      <w:ind w:firstLine="200" w:firstLineChars="200"/>
    </w:pPr>
  </w:style>
  <w:style w:type="paragraph" w:customStyle="1" w:styleId="12">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0</TotalTime>
  <ScaleCrop>false</ScaleCrop>
  <LinksUpToDate>false</LinksUpToDate>
  <CharactersWithSpaces>1800</CharactersWithSpaces>
  <Application>WPS Office_12.1.0.16250_F1E327BC-269C-435d-A152-05C5408002CA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草莓味儿的</cp:lastModifiedBy>
  <cp:lastPrinted>2018-01-30T09:39:00Z</cp:lastPrinted>
  <dcterms:modified xsi:type="dcterms:W3CDTF">2024-02-04T02:09:27Z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7FCBEAC98D0445949C5B187A5E97DEB0_12</vt:lpwstr>
  </property>
</Properties>
</file>