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茂县人民检察院</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ascii="黑体" w:eastAsia="黑体"/>
          <w:sz w:val="44"/>
          <w:szCs w:val="44"/>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autoSpaceDE w:val="0"/>
        <w:autoSpaceDN w:val="0"/>
        <w:adjustRightInd w:val="0"/>
        <w:jc w:val="left"/>
        <w:rPr>
          <w:rFonts w:ascii="仿宋_GB2312" w:hAnsi="宋体" w:eastAsia="仿宋_GB2312" w:cs="??_GB2312"/>
          <w:sz w:val="32"/>
          <w:szCs w:val="32"/>
        </w:rPr>
      </w:pPr>
      <w:r>
        <w:rPr>
          <w:rFonts w:hint="eastAsia" w:ascii="仿宋_GB2312" w:hAnsi="宋体" w:eastAsia="仿宋_GB2312" w:cs="??_GB2312"/>
          <w:sz w:val="32"/>
          <w:szCs w:val="32"/>
        </w:rPr>
        <w:t>保密审查情况：已</w:t>
      </w:r>
      <w:r>
        <w:rPr>
          <w:rFonts w:hint="eastAsia" w:ascii="仿宋_GB2312" w:hAnsi="宋体" w:eastAsia="仿宋_GB2312" w:cs="??_GB2312"/>
          <w:sz w:val="32"/>
          <w:szCs w:val="32"/>
          <w:lang w:eastAsia="zh-CN"/>
        </w:rPr>
        <w:t>经保密</w:t>
      </w:r>
      <w:r>
        <w:rPr>
          <w:rFonts w:hint="eastAsia" w:ascii="仿宋_GB2312" w:hAnsi="宋体" w:eastAsia="仿宋_GB2312" w:cs="??_GB2312"/>
          <w:sz w:val="32"/>
          <w:szCs w:val="32"/>
        </w:rPr>
        <w:t>审查，内容审定</w:t>
      </w:r>
    </w:p>
    <w:p>
      <w:pPr>
        <w:rPr>
          <w:rFonts w:ascii="黑体" w:eastAsia="黑体"/>
          <w:sz w:val="44"/>
          <w:szCs w:val="44"/>
        </w:rPr>
      </w:pPr>
      <w:r>
        <w:rPr>
          <w:rFonts w:hint="eastAsia" w:ascii="仿宋_GB2312" w:hAnsi="宋体" w:eastAsia="仿宋_GB2312" w:cs="??_GB2312"/>
          <w:sz w:val="32"/>
          <w:szCs w:val="32"/>
        </w:rPr>
        <w:t>部门主要负责人审签情况：已审签，同意对外公开</w:t>
      </w:r>
      <w:r>
        <w:rPr>
          <w:rFonts w:ascii="方正小标宋简体" w:hAnsi="宋体" w:eastAsia="方正小标宋简体"/>
          <w:sz w:val="36"/>
          <w:szCs w:val="36"/>
        </w:rPr>
        <w:br w:type="page"/>
      </w:r>
    </w:p>
    <w:p>
      <w:pPr>
        <w:ind w:firstLine="3120" w:firstLineChars="600"/>
        <w:rPr>
          <w:rFonts w:hint="eastAsia" w:ascii="黑体" w:eastAsia="黑体"/>
          <w:sz w:val="52"/>
          <w:szCs w:val="52"/>
        </w:rPr>
      </w:pPr>
      <w:bookmarkStart w:id="0" w:name="_GoBack"/>
      <w:bookmarkEnd w:id="0"/>
      <w:r>
        <w:rPr>
          <w:rFonts w:hint="eastAsia" w:ascii="黑体" w:eastAsia="黑体"/>
          <w:sz w:val="52"/>
          <w:szCs w:val="52"/>
        </w:rPr>
        <w:t>目  录</w:t>
      </w:r>
    </w:p>
    <w:p>
      <w:pPr>
        <w:pStyle w:val="9"/>
        <w:ind w:firstLine="320" w:firstLineChars="100"/>
        <w:rPr>
          <w:rFonts w:hint="eastAsia" w:ascii="黑体" w:eastAsia="黑体"/>
          <w:sz w:val="32"/>
          <w:szCs w:val="32"/>
        </w:rPr>
      </w:pPr>
      <w:r>
        <w:rPr>
          <w:rFonts w:hint="eastAsia" w:ascii="黑体" w:eastAsia="黑体"/>
          <w:sz w:val="32"/>
          <w:szCs w:val="32"/>
        </w:rPr>
        <w:t>一、基本职能及主要工作</w:t>
      </w:r>
    </w:p>
    <w:p>
      <w:pPr>
        <w:pStyle w:val="9"/>
        <w:ind w:firstLine="320" w:firstLineChars="100"/>
        <w:rPr>
          <w:rFonts w:hint="eastAsia" w:ascii="楷体" w:eastAsia="楷体"/>
          <w:sz w:val="32"/>
          <w:szCs w:val="32"/>
        </w:rPr>
      </w:pPr>
      <w:r>
        <w:rPr>
          <w:rFonts w:hint="eastAsia" w:ascii="楷体" w:eastAsia="楷体"/>
          <w:sz w:val="32"/>
          <w:szCs w:val="32"/>
        </w:rPr>
        <w:t>（一）部门职能简介</w:t>
      </w:r>
    </w:p>
    <w:p>
      <w:pPr>
        <w:pStyle w:val="9"/>
        <w:ind w:firstLine="320" w:firstLineChars="100"/>
        <w:rPr>
          <w:rFonts w:ascii="黑体" w:eastAsia="黑体"/>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ind w:firstLine="320" w:firstLineChars="100"/>
        <w:rPr>
          <w:rFonts w:hint="eastAsia" w:ascii="黑体" w:eastAsia="黑体"/>
          <w:sz w:val="32"/>
          <w:szCs w:val="32"/>
        </w:rPr>
      </w:pPr>
      <w:r>
        <w:rPr>
          <w:rFonts w:hint="eastAsia" w:ascii="黑体" w:eastAsia="黑体"/>
          <w:sz w:val="32"/>
          <w:szCs w:val="32"/>
        </w:rPr>
        <w:t>二、部门预算单位构成</w:t>
      </w:r>
    </w:p>
    <w:p>
      <w:pPr>
        <w:ind w:firstLine="320" w:firstLineChars="100"/>
        <w:rPr>
          <w:rFonts w:hint="eastAsia" w:ascii="黑体" w:eastAsia="黑体"/>
          <w:sz w:val="32"/>
          <w:szCs w:val="32"/>
        </w:rPr>
      </w:pPr>
      <w:r>
        <w:rPr>
          <w:rFonts w:hint="eastAsia" w:ascii="黑体" w:eastAsia="黑体"/>
          <w:sz w:val="32"/>
          <w:szCs w:val="32"/>
        </w:rPr>
        <w:t>三、收支预算情况说明</w:t>
      </w:r>
    </w:p>
    <w:p>
      <w:pPr>
        <w:ind w:firstLine="320" w:firstLineChars="100"/>
        <w:rPr>
          <w:rFonts w:hint="eastAsia" w:ascii="楷体" w:eastAsia="楷体"/>
          <w:sz w:val="32"/>
          <w:szCs w:val="32"/>
        </w:rPr>
      </w:pPr>
      <w:r>
        <w:rPr>
          <w:rFonts w:hint="eastAsia" w:ascii="楷体" w:eastAsia="楷体"/>
          <w:sz w:val="32"/>
          <w:szCs w:val="32"/>
        </w:rPr>
        <w:t>（一）收入预算情况</w:t>
      </w:r>
    </w:p>
    <w:p>
      <w:pPr>
        <w:ind w:firstLine="320" w:firstLineChars="100"/>
        <w:rPr>
          <w:rFonts w:hint="eastAsia" w:ascii="楷体" w:eastAsia="楷体"/>
          <w:sz w:val="32"/>
          <w:szCs w:val="32"/>
        </w:rPr>
      </w:pPr>
      <w:r>
        <w:rPr>
          <w:rFonts w:hint="eastAsia" w:ascii="楷体" w:eastAsia="楷体"/>
          <w:sz w:val="32"/>
          <w:szCs w:val="32"/>
        </w:rPr>
        <w:t>（二）支出预算情况</w:t>
      </w:r>
    </w:p>
    <w:p>
      <w:pPr>
        <w:ind w:firstLine="320" w:firstLineChars="100"/>
        <w:rPr>
          <w:rFonts w:hint="eastAsia" w:ascii="楷体" w:eastAsia="楷体"/>
          <w:sz w:val="32"/>
          <w:szCs w:val="32"/>
        </w:rPr>
      </w:pPr>
      <w:r>
        <w:rPr>
          <w:rFonts w:hint="eastAsia" w:ascii="黑体" w:eastAsia="黑体"/>
          <w:sz w:val="32"/>
          <w:szCs w:val="32"/>
        </w:rPr>
        <w:t>四、财政拨款收支预算情况说明</w:t>
      </w:r>
    </w:p>
    <w:p>
      <w:pPr>
        <w:ind w:firstLine="320" w:firstLineChars="100"/>
        <w:rPr>
          <w:rFonts w:hint="eastAsia" w:ascii="楷体" w:eastAsia="楷体"/>
          <w:sz w:val="32"/>
          <w:szCs w:val="32"/>
        </w:rPr>
      </w:pPr>
      <w:r>
        <w:rPr>
          <w:rFonts w:hint="eastAsia" w:ascii="黑体" w:eastAsia="黑体"/>
          <w:sz w:val="32"/>
          <w:szCs w:val="32"/>
        </w:rPr>
        <w:t>五、一般公共预算当年拨款情况说明</w:t>
      </w:r>
    </w:p>
    <w:p>
      <w:pPr>
        <w:ind w:firstLine="320" w:firstLineChars="100"/>
        <w:rPr>
          <w:rFonts w:hint="eastAsia" w:ascii="楷体" w:eastAsia="楷体"/>
          <w:sz w:val="32"/>
          <w:szCs w:val="32"/>
        </w:rPr>
      </w:pPr>
      <w:r>
        <w:rPr>
          <w:rFonts w:hint="eastAsia" w:ascii="楷体" w:eastAsia="楷体"/>
          <w:sz w:val="32"/>
          <w:szCs w:val="32"/>
        </w:rPr>
        <w:t>（一）一般公共预算当年拨款规模变化情况</w:t>
      </w:r>
    </w:p>
    <w:p>
      <w:pPr>
        <w:ind w:firstLine="320" w:firstLineChars="100"/>
        <w:rPr>
          <w:rFonts w:hint="eastAsia" w:ascii="楷体" w:eastAsia="楷体"/>
          <w:sz w:val="32"/>
          <w:szCs w:val="32"/>
        </w:rPr>
      </w:pPr>
      <w:r>
        <w:rPr>
          <w:rFonts w:hint="eastAsia" w:ascii="楷体" w:eastAsia="楷体"/>
          <w:sz w:val="32"/>
          <w:szCs w:val="32"/>
        </w:rPr>
        <w:t>（二）一般公共预算当年拨款结构情况</w:t>
      </w:r>
    </w:p>
    <w:p>
      <w:pPr>
        <w:ind w:firstLine="320" w:firstLineChars="100"/>
        <w:rPr>
          <w:rFonts w:hint="eastAsia" w:ascii="楷体" w:eastAsia="楷体"/>
          <w:sz w:val="32"/>
          <w:szCs w:val="32"/>
        </w:rPr>
      </w:pPr>
      <w:r>
        <w:rPr>
          <w:rFonts w:hint="eastAsia" w:ascii="楷体" w:eastAsia="楷体"/>
          <w:sz w:val="32"/>
          <w:szCs w:val="32"/>
        </w:rPr>
        <w:t>（三）一般公共预算当年拨款具体使用情况</w:t>
      </w:r>
    </w:p>
    <w:p>
      <w:pPr>
        <w:ind w:firstLine="320" w:firstLineChars="100"/>
        <w:rPr>
          <w:rFonts w:ascii="楷体" w:eastAsia="楷体"/>
          <w:sz w:val="32"/>
          <w:szCs w:val="32"/>
        </w:rPr>
      </w:pPr>
      <w:r>
        <w:rPr>
          <w:rFonts w:hint="eastAsia" w:ascii="黑体" w:eastAsia="黑体"/>
          <w:sz w:val="32"/>
          <w:szCs w:val="32"/>
        </w:rPr>
        <w:t>六、一般公共预算基本支出情况说明</w:t>
      </w:r>
    </w:p>
    <w:p>
      <w:pPr>
        <w:ind w:firstLine="320" w:firstLineChars="100"/>
        <w:rPr>
          <w:rFonts w:hint="eastAsia" w:ascii="黑体" w:eastAsia="黑体"/>
          <w:sz w:val="32"/>
          <w:szCs w:val="32"/>
        </w:rPr>
      </w:pPr>
      <w:r>
        <w:rPr>
          <w:rFonts w:hint="eastAsia" w:ascii="黑体" w:eastAsia="黑体"/>
          <w:sz w:val="32"/>
          <w:szCs w:val="32"/>
        </w:rPr>
        <w:t>七、“三公”经费财政拨款预算安排情况说明</w:t>
      </w:r>
    </w:p>
    <w:p>
      <w:pPr>
        <w:ind w:firstLine="320" w:firstLineChars="100"/>
        <w:rPr>
          <w:rFonts w:hint="eastAsia" w:ascii="黑体" w:eastAsia="黑体"/>
          <w:sz w:val="32"/>
          <w:szCs w:val="32"/>
        </w:rPr>
      </w:pPr>
      <w:r>
        <w:rPr>
          <w:rFonts w:hint="eastAsia" w:ascii="黑体" w:eastAsia="黑体"/>
          <w:sz w:val="32"/>
          <w:szCs w:val="32"/>
        </w:rPr>
        <w:t>八、政府性基金预算支出情况说明</w:t>
      </w:r>
    </w:p>
    <w:p>
      <w:pPr>
        <w:ind w:firstLine="320" w:firstLineChars="100"/>
        <w:rPr>
          <w:rFonts w:ascii="黑体" w:eastAsia="黑体"/>
          <w:sz w:val="32"/>
          <w:szCs w:val="32"/>
        </w:rPr>
      </w:pPr>
      <w:r>
        <w:rPr>
          <w:rFonts w:hint="eastAsia" w:ascii="黑体" w:eastAsia="黑体"/>
          <w:sz w:val="32"/>
          <w:szCs w:val="32"/>
        </w:rPr>
        <w:t>九、其他重要事项的情况说明</w:t>
      </w:r>
    </w:p>
    <w:p>
      <w:pPr>
        <w:ind w:firstLine="320" w:firstLineChars="100"/>
        <w:rPr>
          <w:rFonts w:ascii="黑体" w:eastAsia="黑体"/>
          <w:sz w:val="32"/>
          <w:szCs w:val="32"/>
        </w:rPr>
      </w:pPr>
      <w:r>
        <w:rPr>
          <w:rFonts w:hint="eastAsia" w:ascii="黑体" w:eastAsia="黑体"/>
          <w:sz w:val="32"/>
          <w:szCs w:val="32"/>
        </w:rPr>
        <w:t>十、名称解释</w:t>
      </w:r>
    </w:p>
    <w:p>
      <w:pPr>
        <w:ind w:firstLine="320" w:firstLineChars="100"/>
        <w:rPr>
          <w:rFonts w:ascii="楷体" w:eastAsia="楷体"/>
          <w:sz w:val="32"/>
          <w:szCs w:val="32"/>
        </w:rPr>
      </w:pPr>
    </w:p>
    <w:p>
      <w:pPr>
        <w:rPr>
          <w:rFonts w:ascii="黑体" w:eastAsia="黑体"/>
          <w:sz w:val="52"/>
          <w:szCs w:val="52"/>
        </w:rPr>
      </w:pPr>
    </w:p>
    <w:p>
      <w:pPr>
        <w:pStyle w:val="9"/>
        <w:ind w:firstLine="0" w:firstLineChars="0"/>
        <w:rPr>
          <w:rFonts w:hint="eastAsia" w:ascii="黑体" w:eastAsia="黑体"/>
          <w:sz w:val="44"/>
          <w:szCs w:val="44"/>
        </w:rPr>
      </w:pPr>
    </w:p>
    <w:p>
      <w:pPr>
        <w:pStyle w:val="9"/>
        <w:ind w:firstLine="640"/>
        <w:rPr>
          <w:rFonts w:hint="eastAsia" w:ascii="黑体" w:eastAsia="黑体"/>
          <w:sz w:val="32"/>
          <w:szCs w:val="32"/>
        </w:rPr>
      </w:pPr>
      <w:r>
        <w:rPr>
          <w:rFonts w:hint="eastAsia" w:ascii="黑体" w:eastAsia="黑体"/>
          <w:sz w:val="32"/>
          <w:szCs w:val="32"/>
        </w:rPr>
        <w:t>一、基本职能及主要工作</w:t>
      </w:r>
    </w:p>
    <w:p>
      <w:pPr>
        <w:pStyle w:val="9"/>
        <w:ind w:firstLine="640"/>
        <w:rPr>
          <w:rFonts w:hint="eastAsia" w:ascii="楷体" w:eastAsia="楷体"/>
          <w:sz w:val="32"/>
          <w:szCs w:val="32"/>
        </w:rPr>
      </w:pPr>
      <w:r>
        <w:rPr>
          <w:rFonts w:hint="eastAsia" w:ascii="楷体" w:eastAsia="楷体"/>
          <w:sz w:val="32"/>
          <w:szCs w:val="32"/>
        </w:rPr>
        <w:t>（一）部门职能简介</w:t>
      </w:r>
    </w:p>
    <w:p>
      <w:pPr>
        <w:pStyle w:val="9"/>
        <w:ind w:firstLine="640"/>
        <w:rPr>
          <w:rFonts w:ascii="黑体" w:eastAsia="黑体"/>
          <w:sz w:val="32"/>
          <w:szCs w:val="32"/>
        </w:rPr>
      </w:pPr>
      <w:r>
        <w:rPr>
          <w:rFonts w:hint="eastAsia" w:ascii="仿宋_GB2312" w:eastAsia="仿宋_GB2312"/>
          <w:sz w:val="32"/>
          <w:szCs w:val="32"/>
        </w:rPr>
        <w:t>茂县人民检察院作为法律监督机关主要职能如下：</w:t>
      </w:r>
    </w:p>
    <w:p>
      <w:pPr>
        <w:ind w:firstLine="640" w:firstLineChars="200"/>
        <w:rPr>
          <w:rFonts w:hint="eastAsia" w:ascii="仿宋_GB2312" w:eastAsia="仿宋_GB2312"/>
          <w:sz w:val="32"/>
          <w:szCs w:val="32"/>
        </w:rPr>
      </w:pPr>
      <w:r>
        <w:rPr>
          <w:rFonts w:hint="eastAsia" w:ascii="仿宋_GB2312" w:eastAsia="仿宋_GB2312"/>
          <w:sz w:val="32"/>
          <w:szCs w:val="32"/>
        </w:rPr>
        <w:t>负责对法律规定由茂县人民检察院办理的刑事案件的审查逮捕、审查起诉、出庭支持公诉、抗诉，开展相关立案监督、侦查监督、审判监督以及相关案件的补充侦查。负责对法律规定的由茂县人民检察院办理的茂县监察委员会移送职务犯罪案件的审查逮捕、审查起诉、出庭支持公诉、抗诉，开展相关审判监督以及相关案件的补充侦查。办理茂县人民检察院管辖的相关刑事申诉案件。负责对法律规定由茂县人民检察院办理的未成年人和侵害未成年人犯罪案件的审查逮捕、审查起诉、出庭支持公诉、抗诉，开展相关立案监督、侦查监督、审判监督以及相关案件的补充侦查。开展未成年人司法保护和预防未成年人犯罪工作。负责办理向茂县人民检察院申请监督和提请抗诉的民事案件和行政案件的审查、抗诉，承办对茂县人民法院民事诉讼和行政诉讼活动的法律监督，对审判监督程序以外的其他民事审判和行政审判程序中审判人员的违法行为提出检察建议。对民事执行和行政执行活动实行法律监督。开展民事支持起诉工作。负责办理法律规定由茂县人民检察院办理的破坏生态环境和资源保护、食品药品安全领域侵害众多消费者合法权益等损害社会公共利益的民事公益诉讼案件，生态环境和资源保护、食品药品安全、国有财产保护、国有土地使用权出让等领域的行政公益诉讼案件，侵害英雄烈士姓名、肖像、名誉、荣誉的公益诉讼案件。负责对茂县人民法院开庭审理的公益诉讼案件，派员出席法庭，依照有关规定提出检察建议。办理茂县人民检察院管辖的民事申诉、行政申诉和公益诉讼申诉案件。负责对看守所、社区矫正机构等执法活动的监督，对刑事判决、裁定执行、强制医疗执行、羁押和办案期限的监督，羁押必要性审查。办理罪犯又犯罪案件。负责对法律规定由茂县人民检察院办理的司法工作人员利用职权实施的非法拘禁、刑讯逼供、非法搜查等侵犯公民权利、损害司法公正犯罪，以及按照刑事诉讼法规定由茂县人民检察院直接受理的其他重大犯罪案件的侦查。负责受理向茂县人民检察院的控告和申诉。承办茂县人民检察院管辖的国家赔偿案件和国家司法救助案件。负责法律政策研究工作，承担本院检察委员会日常工作。负责案件的统一受理流转、办案流程监控、涉案财物的监管、法律文书监管、案件信息公开。统一组织办案质量评查、业务考评和业务统计分析研判等工作。负责本院检察技术、案件信息网络安全、办案过程中全程同步录音录像等工作。</w:t>
      </w:r>
    </w:p>
    <w:p>
      <w:pPr>
        <w:ind w:firstLine="640" w:firstLineChars="200"/>
        <w:rPr>
          <w:rFonts w:hint="eastAsia" w:ascii="仿宋_GB2312" w:eastAsia="仿宋_GB2312"/>
          <w:sz w:val="32"/>
          <w:szCs w:val="32"/>
        </w:rPr>
      </w:pPr>
      <w:r>
        <w:rPr>
          <w:rFonts w:hint="eastAsia" w:ascii="楷体" w:eastAsia="楷体"/>
          <w:sz w:val="32"/>
          <w:szCs w:val="32"/>
        </w:rPr>
        <w:t>（二）</w:t>
      </w:r>
      <w:r>
        <w:rPr>
          <w:rFonts w:ascii="楷体" w:eastAsia="楷体"/>
          <w:sz w:val="32"/>
          <w:szCs w:val="32"/>
        </w:rPr>
        <w:t>20</w:t>
      </w:r>
      <w:r>
        <w:rPr>
          <w:rFonts w:hint="eastAsia" w:ascii="楷体" w:eastAsia="楷体"/>
          <w:sz w:val="32"/>
          <w:szCs w:val="32"/>
        </w:rPr>
        <w:t>2</w:t>
      </w:r>
      <w:r>
        <w:rPr>
          <w:rFonts w:ascii="楷体" w:eastAsia="楷体"/>
          <w:sz w:val="32"/>
          <w:szCs w:val="32"/>
        </w:rPr>
        <w:t>4</w:t>
      </w:r>
      <w:r>
        <w:rPr>
          <w:rFonts w:hint="eastAsia" w:ascii="楷体" w:eastAsia="楷体"/>
          <w:sz w:val="32"/>
          <w:szCs w:val="32"/>
        </w:rPr>
        <w:t>年重点工作</w:t>
      </w:r>
    </w:p>
    <w:p>
      <w:pPr>
        <w:ind w:firstLine="640" w:firstLineChars="200"/>
        <w:rPr>
          <w:rFonts w:ascii="仿宋_GB2312" w:eastAsia="仿宋_GB2312"/>
          <w:sz w:val="32"/>
          <w:szCs w:val="32"/>
        </w:rPr>
      </w:pPr>
      <w:r>
        <w:rPr>
          <w:rFonts w:hint="eastAsia" w:ascii="Times New Roman" w:hAnsi="Times New Roman" w:eastAsia="仿宋_GB2312"/>
          <w:sz w:val="32"/>
          <w:szCs w:val="32"/>
        </w:rPr>
        <w:t>1.</w:t>
      </w:r>
      <w:r>
        <w:rPr>
          <w:rFonts w:ascii="Times New Roman" w:hAnsi="Times New Roman" w:eastAsia="仿宋_GB2312"/>
          <w:sz w:val="32"/>
          <w:szCs w:val="32"/>
        </w:rPr>
        <w:t>对标县委中心工作，在服务大局上展现新作为。紧紧围绕县委“五地一中心”“六个茂县”建设等重点任务，找准服务大局的结合点、着力点、关键点，把为大局服务贯穿到检察工作各个环节。严厉打击破坏社会主义市场经济秩序犯罪，扎实开展检察为民办实事活动，用心用情解决群众关切。全力维护国家安全和社会稳定，依法开展反分裂斗争，铸牢中华民族共同体意识。助力乡村振兴战略实施，提升基层社会治理水平。加强生态文明司法保护、护航绿色发展。注重保障民生民利、努力打造法治化营商环境，用高质量法律监督保障全县各族人民安居乐业。</w:t>
      </w:r>
    </w:p>
    <w:p>
      <w:pPr>
        <w:spacing w:line="576" w:lineRule="exact"/>
        <w:ind w:firstLine="640" w:firstLineChars="200"/>
      </w:pPr>
      <w:r>
        <w:rPr>
          <w:rFonts w:hint="eastAsia" w:ascii="Times New Roman" w:hAnsi="Times New Roman" w:eastAsia="仿宋_GB2312"/>
          <w:sz w:val="32"/>
          <w:szCs w:val="32"/>
        </w:rPr>
        <w:t>2.</w:t>
      </w:r>
      <w:r>
        <w:rPr>
          <w:rFonts w:ascii="Times New Roman" w:hAnsi="Times New Roman" w:eastAsia="仿宋_GB2312"/>
          <w:sz w:val="32"/>
          <w:szCs w:val="32"/>
        </w:rPr>
        <w:t>深耕监督主责主业，在执法办案上创新业绩。对标“平安茂县”“法治茂县”部署，更加扎实履行“四大检察”职能。树牢新时代司法检察理念，用更高标准推进检察办案质效不断提升。着眼营造平安稳定社会环境，常态化开展扫黑除恶，依法从严惩治危害食品药品安全、污染环境、电信网络诈骗等直接危害人民群众切身利益的犯罪。持续打造“鹤翔兰萨</w:t>
      </w:r>
      <w:r>
        <w:rPr>
          <w:rFonts w:hint="eastAsia"/>
        </w:rPr>
        <w:t>·</w:t>
      </w:r>
      <w:r>
        <w:rPr>
          <w:rFonts w:ascii="Times New Roman" w:hAnsi="Times New Roman" w:eastAsia="仿宋_GB2312"/>
          <w:sz w:val="32"/>
          <w:szCs w:val="32"/>
        </w:rPr>
        <w:t>麦色”公益诉讼品牌、“格桑梅朵</w:t>
      </w:r>
      <w:r>
        <w:rPr>
          <w:rFonts w:hint="eastAsia"/>
        </w:rPr>
        <w:t>·</w:t>
      </w:r>
      <w:r>
        <w:rPr>
          <w:rFonts w:ascii="Times New Roman" w:hAnsi="Times New Roman" w:eastAsia="仿宋_GB2312"/>
          <w:sz w:val="32"/>
          <w:szCs w:val="32"/>
        </w:rPr>
        <w:t>麦色”未检品牌，以品牌为抓手，持续输出检察“好产品”。</w:t>
      </w:r>
    </w:p>
    <w:p>
      <w:pPr>
        <w:adjustRightInd w:val="0"/>
        <w:spacing w:line="576" w:lineRule="exact"/>
        <w:ind w:firstLine="640" w:firstLineChars="200"/>
        <w:jc w:val="left"/>
        <w:textAlignment w:val="baseline"/>
        <w:rPr>
          <w:rFonts w:hint="eastAsia"/>
        </w:rPr>
      </w:pPr>
      <w:r>
        <w:rPr>
          <w:rFonts w:hint="eastAsia" w:ascii="Times New Roman" w:hAnsi="Times New Roman" w:eastAsia="仿宋_GB2312"/>
          <w:sz w:val="32"/>
          <w:szCs w:val="32"/>
        </w:rPr>
        <w:t>3.</w:t>
      </w:r>
      <w:r>
        <w:rPr>
          <w:rFonts w:ascii="Times New Roman" w:hAnsi="Times New Roman" w:eastAsia="仿宋_GB2312"/>
          <w:sz w:val="32"/>
          <w:szCs w:val="32"/>
        </w:rPr>
        <w:t>增强检察内生动力，在监督能力上取得新进步。持续深入贯彻</w:t>
      </w:r>
      <w:r>
        <w:rPr>
          <w:rFonts w:hint="eastAsia" w:ascii="仿宋_GB2312" w:hAnsi="仿宋_GB2312" w:eastAsia="仿宋_GB2312" w:cs="仿宋_GB2312"/>
          <w:sz w:val="32"/>
          <w:szCs w:val="32"/>
        </w:rPr>
        <w:t>《中共中央关于加强新时代检察机关法律监督工作的意见》</w:t>
      </w:r>
      <w:r>
        <w:rPr>
          <w:rFonts w:ascii="Times New Roman" w:hAnsi="Times New Roman" w:eastAsia="仿宋_GB2312"/>
          <w:sz w:val="32"/>
          <w:szCs w:val="32"/>
        </w:rPr>
        <w:t>精神，坚持运用系统观念和系统方法，完善落实法律监督内外部机制。坚持全面从严治党、全面从严治检不动摇，持之以恒正风肃纪，努力打造过硬检察队伍。进一步加强智慧检务建设，提升检察工作信息化、智慧化水平。聚力落实司法责任，充分利用精准培训、业绩考评等机制</w:t>
      </w:r>
      <w:r>
        <w:rPr>
          <w:rFonts w:hint="eastAsia" w:ascii="Times New Roman" w:hAnsi="Times New Roman" w:eastAsia="仿宋_GB2312"/>
          <w:sz w:val="32"/>
          <w:szCs w:val="32"/>
        </w:rPr>
        <w:t>有效</w:t>
      </w:r>
      <w:r>
        <w:rPr>
          <w:rFonts w:ascii="Times New Roman" w:hAnsi="Times New Roman" w:eastAsia="仿宋_GB2312"/>
          <w:sz w:val="32"/>
          <w:szCs w:val="32"/>
        </w:rPr>
        <w:t>激发队伍主动作为、奋勇争先的内生动力，以更高的政治自觉、法治自觉、检察自觉推动检察监督能力现代化。</w:t>
      </w:r>
    </w:p>
    <w:p>
      <w:pPr>
        <w:adjustRightInd w:val="0"/>
        <w:spacing w:line="576" w:lineRule="exact"/>
        <w:ind w:firstLine="640" w:firstLineChars="200"/>
        <w:jc w:val="left"/>
        <w:textAlignment w:val="baseline"/>
      </w:pPr>
      <w:r>
        <w:rPr>
          <w:rFonts w:hint="eastAsia" w:ascii="黑体" w:eastAsia="黑体"/>
          <w:sz w:val="32"/>
          <w:szCs w:val="32"/>
        </w:rPr>
        <w:t>二、部门预算单位构成</w:t>
      </w:r>
    </w:p>
    <w:p>
      <w:pPr>
        <w:widowControl/>
        <w:spacing w:line="600" w:lineRule="exact"/>
        <w:ind w:firstLine="640" w:firstLineChars="200"/>
        <w:jc w:val="left"/>
        <w:rPr>
          <w:rFonts w:ascii="仿宋_GB2312" w:hAnsi="宋体" w:eastAsia="仿宋_GB2312" w:cs="宋体"/>
          <w:kern w:val="0"/>
          <w:sz w:val="32"/>
          <w:szCs w:val="32"/>
          <w:u w:val="single"/>
        </w:rPr>
      </w:pPr>
      <w:r>
        <w:rPr>
          <w:rFonts w:hint="eastAsia" w:ascii="仿宋_GB2312" w:hAnsi="宋体" w:eastAsia="仿宋_GB2312" w:cs="宋体"/>
          <w:kern w:val="0"/>
          <w:sz w:val="32"/>
          <w:szCs w:val="32"/>
        </w:rPr>
        <w:t>茂县人民检察院为一级预算单位，无下属二级单位，其中内设机构</w:t>
      </w:r>
      <w:r>
        <w:rPr>
          <w:rFonts w:ascii="仿宋_GB2312" w:hAnsi="宋体" w:eastAsia="仿宋_GB2312" w:cs="宋体"/>
          <w:kern w:val="0"/>
          <w:sz w:val="32"/>
          <w:szCs w:val="32"/>
        </w:rPr>
        <w:t>5</w:t>
      </w:r>
      <w:r>
        <w:rPr>
          <w:rFonts w:hint="eastAsia" w:ascii="仿宋_GB2312" w:hAnsi="宋体" w:eastAsia="仿宋_GB2312" w:cs="宋体"/>
          <w:kern w:val="0"/>
          <w:sz w:val="32"/>
          <w:szCs w:val="32"/>
        </w:rPr>
        <w:t>个，加挂</w:t>
      </w:r>
      <w:r>
        <w:rPr>
          <w:rFonts w:ascii="仿宋_GB2312" w:hAnsi="宋体" w:eastAsia="仿宋_GB2312" w:cs="宋体"/>
          <w:kern w:val="0"/>
          <w:sz w:val="32"/>
          <w:szCs w:val="32"/>
        </w:rPr>
        <w:t>2</w:t>
      </w:r>
      <w:r>
        <w:rPr>
          <w:rFonts w:hint="eastAsia" w:ascii="仿宋_GB2312" w:hAnsi="宋体" w:eastAsia="仿宋_GB2312" w:cs="宋体"/>
          <w:kern w:val="0"/>
          <w:sz w:val="32"/>
          <w:szCs w:val="32"/>
        </w:rPr>
        <w:t>个机构，派出机构</w:t>
      </w:r>
      <w:r>
        <w:rPr>
          <w:rFonts w:ascii="仿宋_GB2312" w:hAnsi="宋体" w:eastAsia="仿宋_GB2312" w:cs="宋体"/>
          <w:kern w:val="0"/>
          <w:sz w:val="32"/>
          <w:szCs w:val="32"/>
        </w:rPr>
        <w:t>2</w:t>
      </w:r>
      <w:r>
        <w:rPr>
          <w:rFonts w:hint="eastAsia" w:ascii="仿宋_GB2312" w:hAnsi="宋体" w:eastAsia="仿宋_GB2312" w:cs="宋体"/>
          <w:kern w:val="0"/>
          <w:sz w:val="32"/>
          <w:szCs w:val="32"/>
        </w:rPr>
        <w:t>个。</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编制数</w:t>
      </w:r>
      <w:r>
        <w:rPr>
          <w:rFonts w:ascii="仿宋_GB2312" w:hAnsi="宋体" w:eastAsia="仿宋_GB2312" w:cs="宋体"/>
          <w:kern w:val="0"/>
          <w:sz w:val="32"/>
          <w:szCs w:val="32"/>
        </w:rPr>
        <w:t xml:space="preserve"> 30</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其中</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行政编制</w:t>
      </w:r>
      <w:r>
        <w:rPr>
          <w:rFonts w:ascii="仿宋_GB2312" w:hAnsi="宋体" w:eastAsia="仿宋_GB2312" w:cs="宋体"/>
          <w:kern w:val="0"/>
          <w:sz w:val="32"/>
          <w:szCs w:val="32"/>
        </w:rPr>
        <w:t xml:space="preserve"> 26 </w:t>
      </w:r>
      <w:r>
        <w:rPr>
          <w:rFonts w:hint="eastAsia" w:ascii="仿宋_GB2312" w:hAnsi="宋体" w:eastAsia="仿宋_GB2312" w:cs="宋体"/>
          <w:kern w:val="0"/>
          <w:sz w:val="32"/>
          <w:szCs w:val="32"/>
        </w:rPr>
        <w:t>名</w:t>
      </w:r>
      <w:r>
        <w:rPr>
          <w:rFonts w:ascii="仿宋_GB2312" w:hAnsi="宋体" w:eastAsia="仿宋_GB2312" w:cs="宋体"/>
          <w:kern w:val="0"/>
          <w:sz w:val="32"/>
          <w:szCs w:val="32"/>
        </w:rPr>
        <w:t>,</w:t>
      </w:r>
      <w:r>
        <w:rPr>
          <w:rFonts w:hint="eastAsia" w:ascii="仿宋_GB2312" w:hAnsi="宋体" w:eastAsia="仿宋_GB2312" w:cs="宋体"/>
          <w:kern w:val="0"/>
          <w:sz w:val="32"/>
          <w:szCs w:val="32"/>
        </w:rPr>
        <w:t>行政工勤编制</w:t>
      </w:r>
      <w:r>
        <w:rPr>
          <w:rFonts w:ascii="仿宋_GB2312" w:hAnsi="宋体" w:eastAsia="仿宋_GB2312" w:cs="宋体"/>
          <w:kern w:val="0"/>
          <w:sz w:val="32"/>
          <w:szCs w:val="32"/>
        </w:rPr>
        <w:t xml:space="preserve"> 4 </w:t>
      </w:r>
      <w:r>
        <w:rPr>
          <w:rFonts w:hint="eastAsia" w:ascii="仿宋_GB2312" w:hAnsi="宋体" w:eastAsia="仿宋_GB2312" w:cs="宋体"/>
          <w:kern w:val="0"/>
          <w:sz w:val="32"/>
          <w:szCs w:val="32"/>
        </w:rPr>
        <w:t>名。在职人员总数</w:t>
      </w:r>
      <w:r>
        <w:rPr>
          <w:rFonts w:ascii="仿宋_GB2312" w:hAnsi="宋体" w:eastAsia="仿宋_GB2312" w:cs="宋体"/>
          <w:kern w:val="0"/>
          <w:sz w:val="32"/>
          <w:szCs w:val="32"/>
        </w:rPr>
        <w:t xml:space="preserve"> 3</w:t>
      </w:r>
      <w:r>
        <w:rPr>
          <w:rFonts w:hint="eastAsia" w:ascii="仿宋_GB2312" w:hAnsi="宋体" w:eastAsia="仿宋_GB2312" w:cs="宋体"/>
          <w:kern w:val="0"/>
          <w:sz w:val="32"/>
          <w:szCs w:val="32"/>
        </w:rPr>
        <w:t>1</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名，其中：行政人员</w:t>
      </w:r>
      <w:r>
        <w:rPr>
          <w:rFonts w:ascii="仿宋_GB2312" w:hAnsi="宋体" w:eastAsia="仿宋_GB2312" w:cs="宋体"/>
          <w:kern w:val="0"/>
          <w:sz w:val="32"/>
          <w:szCs w:val="32"/>
        </w:rPr>
        <w:t xml:space="preserve"> 2</w:t>
      </w:r>
      <w:r>
        <w:rPr>
          <w:rFonts w:hint="eastAsia" w:ascii="仿宋_GB2312" w:hAnsi="宋体" w:eastAsia="仿宋_GB2312" w:cs="宋体"/>
          <w:kern w:val="0"/>
          <w:sz w:val="32"/>
          <w:szCs w:val="32"/>
        </w:rPr>
        <w:t>7</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名，行政工勤人员</w:t>
      </w:r>
      <w:r>
        <w:rPr>
          <w:rFonts w:ascii="仿宋_GB2312" w:hAnsi="宋体" w:eastAsia="仿宋_GB2312" w:cs="宋体"/>
          <w:kern w:val="0"/>
          <w:sz w:val="32"/>
          <w:szCs w:val="32"/>
        </w:rPr>
        <w:t xml:space="preserve"> 4 </w:t>
      </w:r>
      <w:r>
        <w:rPr>
          <w:rFonts w:hint="eastAsia" w:ascii="仿宋_GB2312" w:hAnsi="宋体" w:eastAsia="仿宋_GB2312" w:cs="宋体"/>
          <w:kern w:val="0"/>
          <w:sz w:val="32"/>
          <w:szCs w:val="32"/>
        </w:rPr>
        <w:t>名；退休人员</w:t>
      </w:r>
      <w:r>
        <w:rPr>
          <w:rFonts w:ascii="仿宋_GB2312" w:hAnsi="宋体" w:eastAsia="仿宋_GB2312" w:cs="宋体"/>
          <w:kern w:val="0"/>
          <w:sz w:val="32"/>
          <w:szCs w:val="32"/>
        </w:rPr>
        <w:t xml:space="preserve"> 1</w:t>
      </w:r>
      <w:r>
        <w:rPr>
          <w:rFonts w:hint="eastAsia" w:ascii="仿宋_GB2312" w:hAnsi="宋体" w:eastAsia="仿宋_GB2312" w:cs="宋体"/>
          <w:kern w:val="0"/>
          <w:sz w:val="32"/>
          <w:szCs w:val="32"/>
        </w:rPr>
        <w:t>6人；编外长期聘用人员</w:t>
      </w:r>
      <w:r>
        <w:rPr>
          <w:rFonts w:ascii="仿宋_GB2312" w:hAnsi="宋体" w:eastAsia="仿宋_GB2312" w:cs="宋体"/>
          <w:kern w:val="0"/>
          <w:sz w:val="32"/>
          <w:szCs w:val="32"/>
        </w:rPr>
        <w:t xml:space="preserve"> 12 </w:t>
      </w:r>
      <w:r>
        <w:rPr>
          <w:rFonts w:hint="eastAsia" w:ascii="仿宋_GB2312" w:hAnsi="宋体" w:eastAsia="仿宋_GB2312" w:cs="宋体"/>
          <w:kern w:val="0"/>
          <w:sz w:val="32"/>
          <w:szCs w:val="32"/>
        </w:rPr>
        <w:t>名。</w:t>
      </w:r>
    </w:p>
    <w:p>
      <w:pPr>
        <w:ind w:firstLine="640" w:firstLineChars="200"/>
        <w:rPr>
          <w:rFonts w:ascii="黑体" w:eastAsia="黑体"/>
          <w:sz w:val="32"/>
          <w:szCs w:val="32"/>
        </w:rPr>
      </w:pPr>
      <w:r>
        <w:rPr>
          <w:rFonts w:hint="eastAsia" w:ascii="黑体" w:eastAsia="黑体"/>
          <w:sz w:val="32"/>
          <w:szCs w:val="32"/>
        </w:rPr>
        <w:t>三、收支预算情况说明</w:t>
      </w:r>
    </w:p>
    <w:p>
      <w:pPr>
        <w:ind w:firstLine="640" w:firstLineChars="200"/>
        <w:rPr>
          <w:rFonts w:ascii="黑体" w:eastAsia="黑体"/>
          <w:sz w:val="32"/>
          <w:szCs w:val="32"/>
        </w:rPr>
      </w:pPr>
      <w:r>
        <w:rPr>
          <w:rFonts w:hint="eastAsia" w:ascii="楷体" w:eastAsia="楷体"/>
          <w:sz w:val="32"/>
          <w:szCs w:val="32"/>
        </w:rPr>
        <w:t>（一）收入预算情况</w:t>
      </w:r>
    </w:p>
    <w:p>
      <w:pPr>
        <w:ind w:firstLine="640" w:firstLineChars="200"/>
        <w:rPr>
          <w:rFonts w:ascii="仿宋_GB2312" w:eastAsia="仿宋_GB2312"/>
          <w:sz w:val="32"/>
          <w:szCs w:val="32"/>
        </w:rPr>
      </w:pPr>
      <w:r>
        <w:rPr>
          <w:rFonts w:hint="eastAsia" w:ascii="仿宋_GB2312" w:eastAsia="仿宋_GB2312"/>
          <w:sz w:val="32"/>
          <w:szCs w:val="32"/>
        </w:rPr>
        <w:t>茂县人民检察院2024年预算收入为一般公共预算拨款收入854.85万元。</w:t>
      </w:r>
    </w:p>
    <w:p>
      <w:pPr>
        <w:ind w:firstLine="640" w:firstLineChars="200"/>
        <w:rPr>
          <w:rFonts w:ascii="楷体" w:eastAsia="楷体"/>
          <w:sz w:val="32"/>
          <w:szCs w:val="32"/>
        </w:rPr>
      </w:pPr>
      <w:r>
        <w:rPr>
          <w:rFonts w:hint="eastAsia" w:ascii="楷体" w:eastAsia="楷体"/>
          <w:sz w:val="32"/>
          <w:szCs w:val="32"/>
        </w:rPr>
        <w:t>（二）支出预算情况</w:t>
      </w:r>
    </w:p>
    <w:p>
      <w:pPr>
        <w:ind w:firstLine="640" w:firstLineChars="200"/>
        <w:rPr>
          <w:rFonts w:ascii="楷体" w:eastAsia="楷体"/>
          <w:sz w:val="32"/>
          <w:szCs w:val="32"/>
        </w:rPr>
      </w:pPr>
      <w:r>
        <w:rPr>
          <w:rFonts w:hint="eastAsia" w:ascii="仿宋_GB2312" w:eastAsia="仿宋_GB2312"/>
          <w:sz w:val="32"/>
          <w:szCs w:val="32"/>
        </w:rPr>
        <w:t>茂县人民检察院2024年支出预算数为</w:t>
      </w:r>
      <w:r>
        <w:rPr>
          <w:rFonts w:ascii="仿宋_GB2312" w:eastAsia="仿宋_GB2312"/>
          <w:sz w:val="32"/>
          <w:szCs w:val="32"/>
        </w:rPr>
        <w:t>8</w:t>
      </w:r>
      <w:r>
        <w:rPr>
          <w:rFonts w:hint="eastAsia" w:ascii="仿宋_GB2312" w:eastAsia="仿宋_GB2312"/>
          <w:sz w:val="32"/>
          <w:szCs w:val="32"/>
        </w:rPr>
        <w:t>4</w:t>
      </w:r>
      <w:r>
        <w:rPr>
          <w:rFonts w:ascii="仿宋_GB2312" w:eastAsia="仿宋_GB2312"/>
          <w:sz w:val="32"/>
          <w:szCs w:val="32"/>
        </w:rPr>
        <w:t>5.85</w:t>
      </w:r>
      <w:r>
        <w:rPr>
          <w:rFonts w:hint="eastAsia" w:ascii="仿宋_GB2312" w:eastAsia="仿宋_GB2312"/>
          <w:sz w:val="32"/>
          <w:szCs w:val="32"/>
        </w:rPr>
        <w:t>万元，其中：公共安全支出641.47万元，社会保障和就业支出114.37万元，卫生健康支出43.53万元，住房保障支出55.48万元。</w:t>
      </w:r>
      <w:r>
        <w:rPr>
          <w:rFonts w:ascii="楷体" w:eastAsia="楷体"/>
          <w:sz w:val="32"/>
          <w:szCs w:val="32"/>
        </w:rPr>
        <w:t xml:space="preserve"> </w:t>
      </w:r>
    </w:p>
    <w:p>
      <w:pPr>
        <w:ind w:firstLine="640" w:firstLineChars="200"/>
        <w:rPr>
          <w:rFonts w:ascii="黑体" w:eastAsia="黑体"/>
          <w:sz w:val="32"/>
          <w:szCs w:val="32"/>
        </w:rPr>
      </w:pPr>
      <w:r>
        <w:rPr>
          <w:rFonts w:hint="eastAsia" w:ascii="黑体" w:eastAsia="黑体"/>
          <w:sz w:val="32"/>
          <w:szCs w:val="32"/>
        </w:rPr>
        <w:t>四、财政拨款收支预算情况说明</w:t>
      </w:r>
    </w:p>
    <w:p>
      <w:pPr>
        <w:ind w:firstLine="640" w:firstLineChars="200"/>
        <w:rPr>
          <w:rFonts w:ascii="仿宋_GB2312" w:eastAsia="仿宋_GB2312"/>
          <w:sz w:val="32"/>
          <w:szCs w:val="32"/>
        </w:rPr>
      </w:pPr>
      <w:r>
        <w:rPr>
          <w:rFonts w:hint="eastAsia" w:ascii="仿宋_GB2312" w:eastAsia="仿宋_GB2312"/>
          <w:sz w:val="32"/>
          <w:szCs w:val="32"/>
        </w:rPr>
        <w:t>茂县人民检察院2024年财政拨款收支总预算</w:t>
      </w:r>
      <w:r>
        <w:rPr>
          <w:rFonts w:ascii="仿宋_GB2312" w:eastAsia="仿宋_GB2312"/>
          <w:sz w:val="32"/>
          <w:szCs w:val="32"/>
        </w:rPr>
        <w:t>8</w:t>
      </w:r>
      <w:r>
        <w:rPr>
          <w:rFonts w:hint="eastAsia" w:ascii="仿宋_GB2312" w:eastAsia="仿宋_GB2312"/>
          <w:sz w:val="32"/>
          <w:szCs w:val="32"/>
        </w:rPr>
        <w:t>4</w:t>
      </w:r>
      <w:r>
        <w:rPr>
          <w:rFonts w:ascii="仿宋_GB2312" w:eastAsia="仿宋_GB2312"/>
          <w:sz w:val="32"/>
          <w:szCs w:val="32"/>
        </w:rPr>
        <w:t>5.85</w:t>
      </w:r>
      <w:r>
        <w:rPr>
          <w:rFonts w:hint="eastAsia" w:ascii="仿宋_GB2312" w:eastAsia="仿宋_GB2312"/>
          <w:sz w:val="32"/>
          <w:szCs w:val="32"/>
        </w:rPr>
        <w:t>万元，比2023年财政拨款收支总预算减少1万元，主要原因：是本年预算数中人员经费支出较2023年下降较大，虽项目经费增加，但总体预算收入减少。</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收入包括：工资福利收入657.70万元，商品和服务支出收入196.07万元，对个人和家庭的补助收入1.08万元。</w:t>
      </w:r>
    </w:p>
    <w:p>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支出包括：工资福利支出657.70万元，商品和服务支出196.07万元，对个人和家庭的补助支出</w:t>
      </w:r>
      <w:r>
        <w:rPr>
          <w:rFonts w:ascii="仿宋_GB2312" w:eastAsia="仿宋_GB2312" w:cs="仿宋_GB2312"/>
          <w:sz w:val="32"/>
          <w:szCs w:val="32"/>
        </w:rPr>
        <w:t>1</w:t>
      </w:r>
      <w:r>
        <w:rPr>
          <w:rFonts w:hint="eastAsia" w:ascii="仿宋_GB2312" w:eastAsia="仿宋_GB2312" w:cs="仿宋_GB2312"/>
          <w:sz w:val="32"/>
          <w:szCs w:val="32"/>
        </w:rPr>
        <w:t>.08万元。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ind w:firstLine="640" w:firstLineChars="200"/>
        <w:rPr>
          <w:rFonts w:ascii="楷体" w:eastAsia="楷体"/>
          <w:sz w:val="32"/>
          <w:szCs w:val="32"/>
        </w:rPr>
      </w:pPr>
      <w:r>
        <w:rPr>
          <w:rFonts w:hint="eastAsia" w:ascii="楷体" w:eastAsia="楷体"/>
          <w:sz w:val="32"/>
          <w:szCs w:val="32"/>
        </w:rPr>
        <w:t>（一）一般公共预算当年拨款规模变化情况</w:t>
      </w:r>
    </w:p>
    <w:p>
      <w:pPr>
        <w:ind w:firstLine="640" w:firstLineChars="200"/>
        <w:rPr>
          <w:rFonts w:ascii="仿宋_GB2312" w:eastAsia="仿宋_GB2312"/>
          <w:sz w:val="32"/>
          <w:szCs w:val="32"/>
        </w:rPr>
      </w:pPr>
      <w:r>
        <w:rPr>
          <w:rFonts w:hint="eastAsia" w:ascii="仿宋_GB2312" w:eastAsia="仿宋_GB2312" w:cs="仿宋_GB2312"/>
          <w:sz w:val="32"/>
          <w:szCs w:val="32"/>
        </w:rPr>
        <w:t>茂县人民检察院</w:t>
      </w:r>
      <w:r>
        <w:rPr>
          <w:rFonts w:ascii="仿宋_GB2312" w:eastAsia="仿宋_GB2312" w:cs="宋体"/>
          <w:sz w:val="32"/>
          <w:szCs w:val="32"/>
        </w:rPr>
        <w:t>202</w:t>
      </w:r>
      <w:r>
        <w:rPr>
          <w:rFonts w:hint="eastAsia" w:ascii="仿宋_GB2312" w:eastAsia="仿宋_GB2312" w:cs="宋体"/>
          <w:sz w:val="32"/>
          <w:szCs w:val="32"/>
        </w:rPr>
        <w:t>4年一般公共预算当年拨款</w:t>
      </w:r>
      <w:r>
        <w:rPr>
          <w:rFonts w:ascii="仿宋_GB2312" w:eastAsia="仿宋_GB2312" w:cs="宋体"/>
          <w:sz w:val="32"/>
          <w:szCs w:val="32"/>
        </w:rPr>
        <w:t>85</w:t>
      </w:r>
      <w:r>
        <w:rPr>
          <w:rFonts w:hint="eastAsia" w:ascii="仿宋_GB2312" w:eastAsia="仿宋_GB2312" w:cs="宋体"/>
          <w:sz w:val="32"/>
          <w:szCs w:val="32"/>
        </w:rPr>
        <w:t>4</w:t>
      </w:r>
      <w:r>
        <w:rPr>
          <w:rFonts w:ascii="仿宋_GB2312" w:eastAsia="仿宋_GB2312" w:cs="宋体"/>
          <w:sz w:val="32"/>
          <w:szCs w:val="32"/>
        </w:rPr>
        <w:t>.85</w:t>
      </w:r>
      <w:r>
        <w:rPr>
          <w:rFonts w:hint="eastAsia" w:ascii="仿宋_GB2312" w:eastAsia="仿宋_GB2312" w:cs="宋体"/>
          <w:sz w:val="32"/>
          <w:szCs w:val="32"/>
        </w:rPr>
        <w:t>万元，比</w:t>
      </w:r>
      <w:r>
        <w:rPr>
          <w:rFonts w:ascii="仿宋_GB2312" w:eastAsia="仿宋_GB2312" w:cs="宋体"/>
          <w:sz w:val="32"/>
          <w:szCs w:val="32"/>
        </w:rPr>
        <w:t>202</w:t>
      </w:r>
      <w:r>
        <w:rPr>
          <w:rFonts w:hint="eastAsia" w:ascii="仿宋_GB2312" w:eastAsia="仿宋_GB2312" w:cs="宋体"/>
          <w:sz w:val="32"/>
          <w:szCs w:val="32"/>
        </w:rPr>
        <w:t>3年预算数减少1万元，</w:t>
      </w:r>
      <w:r>
        <w:rPr>
          <w:rFonts w:hint="eastAsia" w:ascii="仿宋_GB2312" w:eastAsia="仿宋_GB2312"/>
          <w:sz w:val="32"/>
          <w:szCs w:val="32"/>
        </w:rPr>
        <w:t>主要原因</w:t>
      </w:r>
      <w:r>
        <w:rPr>
          <w:rFonts w:ascii="仿宋_GB2312" w:eastAsia="仿宋_GB2312"/>
          <w:sz w:val="32"/>
          <w:szCs w:val="32"/>
        </w:rPr>
        <w:t>:编制人员经费预算数时</w:t>
      </w:r>
      <w:r>
        <w:rPr>
          <w:rFonts w:hint="eastAsia" w:ascii="仿宋_GB2312" w:eastAsia="仿宋_GB2312"/>
          <w:sz w:val="32"/>
          <w:szCs w:val="32"/>
        </w:rPr>
        <w:t>由</w:t>
      </w:r>
      <w:r>
        <w:rPr>
          <w:rFonts w:ascii="仿宋_GB2312" w:eastAsia="仿宋_GB2312"/>
          <w:sz w:val="32"/>
          <w:szCs w:val="32"/>
        </w:rPr>
        <w:t>县级财政保障的检察绩效经费未纳入本级预算，致使</w:t>
      </w:r>
      <w:r>
        <w:rPr>
          <w:rFonts w:hint="eastAsia" w:ascii="仿宋_GB2312" w:eastAsia="仿宋_GB2312"/>
          <w:sz w:val="32"/>
          <w:szCs w:val="32"/>
        </w:rPr>
        <w:t>人员经费减少。同时，2024年项目预算支出，因运行需要增加50万元。</w:t>
      </w:r>
    </w:p>
    <w:p>
      <w:pPr>
        <w:ind w:firstLine="640" w:firstLineChars="200"/>
        <w:rPr>
          <w:rFonts w:ascii="楷体" w:eastAsia="楷体"/>
          <w:sz w:val="32"/>
          <w:szCs w:val="32"/>
        </w:rPr>
      </w:pPr>
      <w:r>
        <w:rPr>
          <w:rFonts w:hint="eastAsia" w:ascii="楷体" w:eastAsia="楷体"/>
          <w:sz w:val="32"/>
          <w:szCs w:val="32"/>
        </w:rPr>
        <w:t>（二）一般公共预算当年拨款结构情况</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公共安全支出641.47万元，占75.04%；社会保障和就业支出114.37万元， 占13.38%；卫生健康支出43.53万元，占5.09%；住房保障支出55.48万元，占6.49%。</w:t>
      </w:r>
    </w:p>
    <w:p>
      <w:pPr>
        <w:ind w:firstLine="640" w:firstLineChars="200"/>
        <w:rPr>
          <w:rFonts w:ascii="楷体" w:eastAsia="楷体"/>
          <w:sz w:val="32"/>
          <w:szCs w:val="32"/>
        </w:rPr>
      </w:pPr>
      <w:r>
        <w:rPr>
          <w:rFonts w:hint="eastAsia" w:ascii="楷体" w:eastAsia="楷体"/>
          <w:sz w:val="32"/>
          <w:szCs w:val="32"/>
        </w:rPr>
        <w:t>（三）一般公共预算当年拨款具体使用情况</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共安全支出641.47万元，用于人员工资福利支出和机关运行支出；社会保障和就业支出114.37万元，用于缴纳干警基本养老保险和职业年金；卫生健康支出43.53万元，用于干警基本医疗保险和公务员医疗补助支出；住房保障支出55.48万元，用于缴纳干警住房公积金。</w:t>
      </w:r>
    </w:p>
    <w:p>
      <w:pPr>
        <w:ind w:left="1278" w:leftChars="304" w:hanging="640" w:hangingChars="200"/>
        <w:rPr>
          <w:rFonts w:ascii="黑体" w:eastAsia="黑体"/>
          <w:sz w:val="32"/>
          <w:szCs w:val="32"/>
        </w:rPr>
      </w:pPr>
      <w:r>
        <w:rPr>
          <w:rFonts w:hint="eastAsia" w:ascii="黑体" w:eastAsia="黑体"/>
          <w:sz w:val="32"/>
          <w:szCs w:val="32"/>
        </w:rPr>
        <w:t>六、一般公共预算基本支出情况说明</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茂县人民检察院2024年一般公共预算基本支出</w:t>
      </w:r>
      <w:r>
        <w:rPr>
          <w:rFonts w:hint="eastAsia" w:ascii="仿宋_GB2312" w:hAnsi="仿宋_GB2312" w:eastAsia="仿宋_GB2312" w:cs="仿宋_GB2312"/>
          <w:sz w:val="32"/>
          <w:szCs w:val="32"/>
          <w:lang w:val="en-US" w:eastAsia="zh-CN"/>
        </w:rPr>
        <w:t>754.85</w:t>
      </w:r>
      <w:r>
        <w:rPr>
          <w:rFonts w:hint="eastAsia" w:ascii="仿宋_GB2312" w:hAnsi="仿宋_GB2312" w:eastAsia="仿宋_GB2312" w:cs="仿宋_GB2312"/>
          <w:sz w:val="32"/>
          <w:szCs w:val="32"/>
        </w:rPr>
        <w:t>万元，其中：人员经费659.35万元，主要包括：基本工资、津贴补贴、奖金、机关事业单位基本养老保险缴费、职业年金缴费、职工基本医疗保险缴费、公务员医疗补助缴费、其他社会保障缴费、住房公积金、其他工资福利支出、生活补助、奖励金。</w:t>
      </w:r>
    </w:p>
    <w:p>
      <w:pPr>
        <w:bidi w:val="0"/>
        <w:ind w:firstLine="640" w:firstLineChars="200"/>
        <w:rPr>
          <w:rFonts w:ascii="黑体" w:eastAsia="黑体"/>
          <w:szCs w:val="32"/>
        </w:rPr>
      </w:pPr>
      <w:r>
        <w:rPr>
          <w:rFonts w:hint="eastAsia" w:ascii="仿宋_GB2312" w:hAnsi="仿宋_GB2312" w:eastAsia="仿宋_GB2312" w:cs="仿宋_GB2312"/>
          <w:sz w:val="32"/>
          <w:szCs w:val="32"/>
        </w:rPr>
        <w:t>公用经费95.5万元，主要包括：办公费、水费、电费、邮电费、差旅费、维修（护）费、培训费、公务接待费、福利费、劳务费、公务用车运行维护费、其他商品和服务支出。</w:t>
      </w:r>
      <w:r>
        <w:rPr>
          <w:rFonts w:hint="eastAsia" w:ascii="仿宋_GB2312" w:hAnsi="仿宋_GB2312" w:eastAsia="仿宋_GB2312" w:cs="仿宋_GB2312"/>
          <w:sz w:val="32"/>
          <w:szCs w:val="32"/>
        </w:rPr>
        <w:br w:type="textWrapping"/>
      </w:r>
      <w:r>
        <w:rPr>
          <w:rFonts w:hint="eastAsia" w:ascii="黑体" w:eastAsia="黑体"/>
          <w:szCs w:val="32"/>
        </w:rPr>
        <w:t xml:space="preserve">    </w:t>
      </w:r>
      <w:r>
        <w:rPr>
          <w:rFonts w:hint="eastAsia" w:ascii="黑体" w:eastAsia="黑体"/>
          <w:sz w:val="32"/>
          <w:szCs w:val="32"/>
        </w:rPr>
        <w:t>七、“三公”经费财政拨款预算安排情况说明</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茂县人民检察院2024年“三公”经费财政拨款预算数14.78万元，其中：因公出国（境）经费0万元，公务接待费1.28万元，公务用车购置及运行维护费13.5万元。</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（一）2024年因公出国（境）经费0万元。</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（二）2024年公务接待经费1.28万元。较2023年预算经费减少0.14万元，减少10%，主要原：控制“三公”经费支出，厉行节约压缩接待支出。</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（三）2024年公务用车购置及运行维护费13.5万元。与2023年持平，因为车辆数为发生变化。</w:t>
      </w:r>
    </w:p>
    <w:p>
      <w:pPr>
        <w:ind w:firstLine="640" w:firstLineChars="200"/>
        <w:rPr>
          <w:rFonts w:ascii="黑体" w:eastAsia="黑体"/>
          <w:sz w:val="32"/>
          <w:szCs w:val="32"/>
        </w:rPr>
      </w:pPr>
      <w:r>
        <w:rPr>
          <w:rFonts w:hint="eastAsia" w:ascii="黑体" w:eastAsia="黑体"/>
          <w:sz w:val="32"/>
          <w:szCs w:val="32"/>
        </w:rPr>
        <w:t>八、政府性基金预算支出情况说明</w:t>
      </w:r>
    </w:p>
    <w:p>
      <w:pPr>
        <w:bidi w:val="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茂县人民检察院2024年政府性基金预算拨款安排的支出0万元。较2023预算经费增加0万元，增长0%。</w:t>
      </w:r>
    </w:p>
    <w:p>
      <w:pPr>
        <w:ind w:firstLine="640" w:firstLineChars="200"/>
        <w:rPr>
          <w:rFonts w:ascii="黑体" w:eastAsia="黑体"/>
          <w:sz w:val="32"/>
          <w:szCs w:val="32"/>
        </w:rPr>
      </w:pPr>
      <w:r>
        <w:rPr>
          <w:rFonts w:hint="eastAsia" w:ascii="黑体" w:eastAsia="黑体"/>
          <w:sz w:val="32"/>
          <w:szCs w:val="32"/>
        </w:rPr>
        <w:t>九、其他重要事项的情况说明</w:t>
      </w:r>
    </w:p>
    <w:p>
      <w:pPr>
        <w:pStyle w:val="10"/>
        <w:spacing w:before="0" w:line="360" w:lineRule="auto"/>
        <w:ind w:firstLine="640" w:firstLineChars="200"/>
        <w:rPr>
          <w:rFonts w:hint="eastAsia" w:ascii="楷体_GB2312" w:eastAsia="楷体_GB2312" w:cs="仿宋_GB2312"/>
          <w:kern w:val="2"/>
          <w:sz w:val="32"/>
          <w:szCs w:val="32"/>
        </w:rPr>
      </w:pPr>
      <w:r>
        <w:rPr>
          <w:rFonts w:hint="eastAsia" w:ascii="楷体_GB2312" w:eastAsia="楷体_GB2312" w:cs="仿宋_GB2312"/>
          <w:kern w:val="2"/>
          <w:sz w:val="32"/>
          <w:szCs w:val="32"/>
        </w:rPr>
        <w:t>（一）机关运行经费</w:t>
      </w:r>
    </w:p>
    <w:p>
      <w:pPr>
        <w:pStyle w:val="10"/>
        <w:spacing w:before="0" w:line="360" w:lineRule="auto"/>
        <w:ind w:firstLine="640" w:firstLineChars="200"/>
        <w:rPr>
          <w:rFonts w:cs="仿宋_GB2312"/>
          <w:color w:val="FF0000"/>
          <w:kern w:val="2"/>
          <w:sz w:val="32"/>
          <w:szCs w:val="32"/>
        </w:rPr>
      </w:pPr>
      <w:r>
        <w:rPr>
          <w:rFonts w:hint="eastAsia"/>
          <w:sz w:val="32"/>
          <w:szCs w:val="32"/>
        </w:rPr>
        <w:t>茂县人民检察院</w:t>
      </w:r>
      <w:r>
        <w:rPr>
          <w:sz w:val="32"/>
          <w:szCs w:val="32"/>
        </w:rPr>
        <w:t>202</w:t>
      </w:r>
      <w:r>
        <w:rPr>
          <w:rFonts w:hint="eastAsia"/>
          <w:sz w:val="32"/>
          <w:szCs w:val="32"/>
        </w:rPr>
        <w:t>4年机关运行经费财政拨款预算为95.50万元，比</w:t>
      </w:r>
      <w:r>
        <w:rPr>
          <w:sz w:val="32"/>
          <w:szCs w:val="32"/>
        </w:rPr>
        <w:t>202</w:t>
      </w:r>
      <w:r>
        <w:rPr>
          <w:rFonts w:hint="eastAsia"/>
          <w:sz w:val="32"/>
          <w:szCs w:val="32"/>
        </w:rPr>
        <w:t>3年预算增加2.84万元，增加3.06</w:t>
      </w:r>
      <w:r>
        <w:rPr>
          <w:sz w:val="32"/>
          <w:szCs w:val="32"/>
        </w:rPr>
        <w:t>%</w:t>
      </w:r>
      <w:r>
        <w:rPr>
          <w:rFonts w:hint="eastAsia"/>
          <w:sz w:val="32"/>
          <w:szCs w:val="32"/>
        </w:rPr>
        <w:t>。</w:t>
      </w:r>
      <w:r>
        <w:rPr>
          <w:rFonts w:cs="仿宋_GB2312"/>
          <w:color w:val="000000"/>
          <w:kern w:val="2"/>
          <w:sz w:val="32"/>
          <w:szCs w:val="32"/>
        </w:rPr>
        <w:t xml:space="preserve"> </w:t>
      </w:r>
    </w:p>
    <w:p>
      <w:pPr>
        <w:pStyle w:val="10"/>
        <w:spacing w:before="0" w:line="360" w:lineRule="auto"/>
        <w:ind w:firstLine="640" w:firstLineChars="200"/>
        <w:rPr>
          <w:rFonts w:cs="仿宋_GB2312"/>
          <w:kern w:val="2"/>
          <w:sz w:val="32"/>
          <w:szCs w:val="32"/>
        </w:rPr>
      </w:pPr>
      <w:r>
        <w:rPr>
          <w:rFonts w:hint="eastAsia" w:ascii="楷体_GB2312" w:eastAsia="楷体_GB2312" w:cs="仿宋_GB2312"/>
          <w:kern w:val="2"/>
          <w:sz w:val="32"/>
          <w:szCs w:val="32"/>
        </w:rPr>
        <w:t>（二）政府采购情况</w:t>
      </w:r>
      <w:r>
        <w:rPr>
          <w:rFonts w:ascii="楷体_GB2312" w:eastAsia="楷体_GB2312"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cs="仿宋_GB2312"/>
          <w:color w:val="000000"/>
          <w:kern w:val="2"/>
          <w:sz w:val="32"/>
          <w:szCs w:val="32"/>
        </w:rPr>
        <w:t xml:space="preserve"> 202</w:t>
      </w:r>
      <w:r>
        <w:rPr>
          <w:rFonts w:hint="eastAsia" w:cs="仿宋_GB2312"/>
          <w:color w:val="000000"/>
          <w:kern w:val="2"/>
          <w:sz w:val="32"/>
          <w:szCs w:val="32"/>
        </w:rPr>
        <w:t>4年</w:t>
      </w:r>
      <w:r>
        <w:rPr>
          <w:rFonts w:hint="eastAsia" w:cs="仿宋_GB2312"/>
          <w:kern w:val="2"/>
          <w:sz w:val="32"/>
          <w:szCs w:val="32"/>
        </w:rPr>
        <w:t>茂县人民检察院将根据检察工作开展实际需要，按照采购流程进行办公办案设备采购。</w:t>
      </w:r>
    </w:p>
    <w:p>
      <w:pPr>
        <w:pStyle w:val="10"/>
        <w:spacing w:before="0" w:line="360" w:lineRule="auto"/>
        <w:ind w:firstLine="640" w:firstLineChars="200"/>
        <w:rPr>
          <w:rFonts w:ascii="楷体_GB2312" w:eastAsia="楷体_GB2312" w:cs="仿宋_GB2312"/>
          <w:kern w:val="2"/>
          <w:sz w:val="32"/>
          <w:szCs w:val="32"/>
        </w:rPr>
      </w:pPr>
      <w:r>
        <w:rPr>
          <w:rFonts w:hint="eastAsia" w:ascii="楷体_GB2312" w:eastAsia="楷体_GB2312" w:cs="仿宋_GB2312"/>
          <w:kern w:val="2"/>
          <w:sz w:val="32"/>
          <w:szCs w:val="32"/>
        </w:rPr>
        <w:t>（三）国有资产占有使用情况</w:t>
      </w:r>
    </w:p>
    <w:p>
      <w:pPr>
        <w:pStyle w:val="10"/>
        <w:spacing w:before="0" w:line="360" w:lineRule="auto"/>
        <w:ind w:firstLine="640" w:firstLineChars="200"/>
        <w:rPr>
          <w:rFonts w:cs="仿宋_GB2312"/>
          <w:kern w:val="2"/>
          <w:sz w:val="32"/>
          <w:szCs w:val="32"/>
        </w:rPr>
      </w:pPr>
      <w:r>
        <w:rPr>
          <w:rFonts w:hint="eastAsia" w:cs="仿宋_GB2312"/>
          <w:kern w:val="2"/>
          <w:sz w:val="32"/>
          <w:szCs w:val="32"/>
        </w:rPr>
        <w:t>截至</w:t>
      </w:r>
      <w:r>
        <w:rPr>
          <w:rFonts w:cs="仿宋_GB2312"/>
          <w:kern w:val="2"/>
          <w:sz w:val="32"/>
          <w:szCs w:val="32"/>
        </w:rPr>
        <w:t>202</w:t>
      </w:r>
      <w:r>
        <w:rPr>
          <w:rFonts w:hint="eastAsia" w:cs="仿宋_GB2312"/>
          <w:kern w:val="2"/>
          <w:sz w:val="32"/>
          <w:szCs w:val="32"/>
        </w:rPr>
        <w:t>3年</w:t>
      </w:r>
      <w:r>
        <w:rPr>
          <w:rFonts w:cs="仿宋_GB2312"/>
          <w:kern w:val="2"/>
          <w:sz w:val="32"/>
          <w:szCs w:val="32"/>
        </w:rPr>
        <w:t>12</w:t>
      </w:r>
      <w:r>
        <w:rPr>
          <w:rFonts w:hint="eastAsia" w:cs="仿宋_GB2312"/>
          <w:kern w:val="2"/>
          <w:sz w:val="32"/>
          <w:szCs w:val="32"/>
        </w:rPr>
        <w:t>月</w:t>
      </w:r>
      <w:r>
        <w:rPr>
          <w:rFonts w:cs="仿宋_GB2312"/>
          <w:kern w:val="2"/>
          <w:sz w:val="32"/>
          <w:szCs w:val="32"/>
        </w:rPr>
        <w:t>31</w:t>
      </w:r>
      <w:r>
        <w:rPr>
          <w:rFonts w:hint="eastAsia" w:cs="仿宋_GB2312"/>
          <w:kern w:val="2"/>
          <w:sz w:val="32"/>
          <w:szCs w:val="32"/>
        </w:rPr>
        <w:t>日，</w:t>
      </w:r>
      <w:r>
        <w:rPr>
          <w:rFonts w:hint="eastAsia" w:cs="仿宋_GB2312"/>
          <w:kern w:val="2"/>
          <w:sz w:val="32"/>
          <w:szCs w:val="32"/>
          <w:lang w:eastAsia="zh-CN"/>
        </w:rPr>
        <w:t>单位资产总计</w:t>
      </w:r>
      <w:r>
        <w:rPr>
          <w:rFonts w:hint="eastAsia" w:cs="仿宋_GB2312"/>
          <w:kern w:val="2"/>
          <w:sz w:val="32"/>
          <w:szCs w:val="32"/>
          <w:lang w:val="en-US" w:eastAsia="zh-CN"/>
        </w:rPr>
        <w:t>2520.15</w:t>
      </w:r>
      <w:r>
        <w:rPr>
          <w:rFonts w:hint="eastAsia" w:cs="仿宋_GB2312"/>
          <w:kern w:val="2"/>
          <w:sz w:val="32"/>
          <w:szCs w:val="32"/>
        </w:rPr>
        <w:t>万元。</w:t>
      </w:r>
    </w:p>
    <w:p>
      <w:pPr>
        <w:pStyle w:val="10"/>
        <w:spacing w:before="0" w:line="360" w:lineRule="auto"/>
        <w:ind w:firstLine="640" w:firstLineChars="200"/>
        <w:rPr>
          <w:rFonts w:cs="仿宋_GB2312"/>
          <w:kern w:val="2"/>
          <w:sz w:val="32"/>
          <w:szCs w:val="32"/>
        </w:rPr>
      </w:pPr>
      <w:r>
        <w:rPr>
          <w:rFonts w:hint="eastAsia" w:ascii="楷体_GB2312" w:eastAsia="楷体_GB2312" w:cs="仿宋_GB2312"/>
          <w:kern w:val="2"/>
          <w:sz w:val="32"/>
          <w:szCs w:val="32"/>
        </w:rPr>
        <w:t>（四）绩效目标设置情况</w:t>
      </w:r>
      <w:r>
        <w:rPr>
          <w:rFonts w:ascii="楷体_GB2312" w:eastAsia="楷体_GB2312" w:cs="仿宋_GB2312"/>
          <w:kern w:val="2"/>
          <w:sz w:val="32"/>
          <w:szCs w:val="32"/>
        </w:rPr>
        <w:br w:type="textWrapping"/>
      </w:r>
      <w:r>
        <w:rPr>
          <w:rFonts w:hint="eastAsia" w:cs="仿宋_GB2312"/>
          <w:kern w:val="2"/>
          <w:sz w:val="32"/>
          <w:szCs w:val="32"/>
        </w:rPr>
        <w:t>　　</w:t>
      </w:r>
      <w:r>
        <w:rPr>
          <w:rFonts w:cs="仿宋_GB2312"/>
          <w:kern w:val="2"/>
          <w:sz w:val="32"/>
          <w:szCs w:val="32"/>
        </w:rPr>
        <w:t>202</w:t>
      </w:r>
      <w:r>
        <w:rPr>
          <w:rFonts w:hint="eastAsia" w:cs="仿宋_GB2312"/>
          <w:kern w:val="2"/>
          <w:sz w:val="32"/>
          <w:szCs w:val="32"/>
        </w:rPr>
        <w:t>4年茂县人民检察院对预算整体收入和四川省检察机关跨区域办案基地运行费项目实行绩效目标管理，预算整体支出涉及一般公共预算当年拨款854.85万元，预算项目支出涉及一般公共预算当年拨款100万元。</w:t>
      </w:r>
      <w:r>
        <w:rPr>
          <w:rFonts w:hint="eastAsia" w:ascii="黑体" w:eastAsia="黑体"/>
          <w:sz w:val="32"/>
          <w:szCs w:val="32"/>
        </w:rPr>
        <w:t xml:space="preserve">                                                                                                                                                                                                                                                                                                                                                                                                                                                                                                                                                                                                                                                                                                                                                                                                                                                                                                                                                                                                                                                                                                                                                                                                                                                                                                                                                                                                                                                                                                                                                                                                                                                                                                                                                                                                                                                                                                                                                                                                                                                                                                                                                                                                                                </w:t>
      </w:r>
    </w:p>
    <w:p>
      <w:pPr>
        <w:pStyle w:val="10"/>
        <w:spacing w:before="0" w:line="360" w:lineRule="auto"/>
        <w:ind w:firstLine="640" w:firstLineChars="200"/>
        <w:rPr>
          <w:rFonts w:hint="eastAsia" w:ascii="黑体" w:eastAsia="黑体"/>
          <w:sz w:val="32"/>
          <w:szCs w:val="32"/>
        </w:rPr>
      </w:pPr>
      <w:r>
        <w:rPr>
          <w:rFonts w:hint="eastAsia" w:ascii="黑体" w:eastAsia="黑体"/>
          <w:sz w:val="32"/>
          <w:szCs w:val="32"/>
        </w:rPr>
        <w:t>十、名称解释</w:t>
      </w:r>
    </w:p>
    <w:p>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323AA7"/>
    <w:rsid w:val="00016977"/>
    <w:rsid w:val="000332D7"/>
    <w:rsid w:val="0005532D"/>
    <w:rsid w:val="00080A28"/>
    <w:rsid w:val="000B6791"/>
    <w:rsid w:val="0011287D"/>
    <w:rsid w:val="00121246"/>
    <w:rsid w:val="0013631C"/>
    <w:rsid w:val="001428DD"/>
    <w:rsid w:val="00147E82"/>
    <w:rsid w:val="00185429"/>
    <w:rsid w:val="001A6900"/>
    <w:rsid w:val="001C4EE1"/>
    <w:rsid w:val="001E407B"/>
    <w:rsid w:val="0026006B"/>
    <w:rsid w:val="002923F4"/>
    <w:rsid w:val="003231AA"/>
    <w:rsid w:val="00323AA7"/>
    <w:rsid w:val="00342061"/>
    <w:rsid w:val="0038711D"/>
    <w:rsid w:val="003D009D"/>
    <w:rsid w:val="00405D1F"/>
    <w:rsid w:val="004165F2"/>
    <w:rsid w:val="00426426"/>
    <w:rsid w:val="005C1C12"/>
    <w:rsid w:val="005C5E12"/>
    <w:rsid w:val="005E274F"/>
    <w:rsid w:val="006107EE"/>
    <w:rsid w:val="0063537C"/>
    <w:rsid w:val="00665545"/>
    <w:rsid w:val="00692521"/>
    <w:rsid w:val="006A7AE1"/>
    <w:rsid w:val="006E1986"/>
    <w:rsid w:val="00713D9E"/>
    <w:rsid w:val="00715F4D"/>
    <w:rsid w:val="0077463E"/>
    <w:rsid w:val="00797895"/>
    <w:rsid w:val="007A0B7F"/>
    <w:rsid w:val="007B0BDB"/>
    <w:rsid w:val="00820A7F"/>
    <w:rsid w:val="0082161B"/>
    <w:rsid w:val="008409C8"/>
    <w:rsid w:val="00853DF2"/>
    <w:rsid w:val="00894713"/>
    <w:rsid w:val="008D0665"/>
    <w:rsid w:val="00947480"/>
    <w:rsid w:val="00964C28"/>
    <w:rsid w:val="0096676B"/>
    <w:rsid w:val="009A082F"/>
    <w:rsid w:val="009A7FE6"/>
    <w:rsid w:val="009E2BF3"/>
    <w:rsid w:val="00A13893"/>
    <w:rsid w:val="00A2371C"/>
    <w:rsid w:val="00A24173"/>
    <w:rsid w:val="00A6310C"/>
    <w:rsid w:val="00A8230C"/>
    <w:rsid w:val="00AD081D"/>
    <w:rsid w:val="00AE4B3F"/>
    <w:rsid w:val="00B05C67"/>
    <w:rsid w:val="00B073F5"/>
    <w:rsid w:val="00B22CD8"/>
    <w:rsid w:val="00C27EDD"/>
    <w:rsid w:val="00C70E7D"/>
    <w:rsid w:val="00C80EFB"/>
    <w:rsid w:val="00CA4510"/>
    <w:rsid w:val="00CE7453"/>
    <w:rsid w:val="00CF49C6"/>
    <w:rsid w:val="00CF7BC6"/>
    <w:rsid w:val="00D23BFC"/>
    <w:rsid w:val="00D24DAA"/>
    <w:rsid w:val="00D60069"/>
    <w:rsid w:val="00D704D7"/>
    <w:rsid w:val="00D93AEE"/>
    <w:rsid w:val="00DA1B67"/>
    <w:rsid w:val="00DF6724"/>
    <w:rsid w:val="00E10DE1"/>
    <w:rsid w:val="00E72376"/>
    <w:rsid w:val="00E76EF5"/>
    <w:rsid w:val="00E8006A"/>
    <w:rsid w:val="00E87C0F"/>
    <w:rsid w:val="00EC069C"/>
    <w:rsid w:val="00EC2F03"/>
    <w:rsid w:val="00F74938"/>
    <w:rsid w:val="00F878AB"/>
    <w:rsid w:val="00FB402E"/>
    <w:rsid w:val="00FC2A8E"/>
    <w:rsid w:val="012732A7"/>
    <w:rsid w:val="06DA2D26"/>
    <w:rsid w:val="06F17970"/>
    <w:rsid w:val="11E47469"/>
    <w:rsid w:val="14361FA4"/>
    <w:rsid w:val="19CB14DE"/>
    <w:rsid w:val="1A435D95"/>
    <w:rsid w:val="20F96391"/>
    <w:rsid w:val="28887A1E"/>
    <w:rsid w:val="3125302C"/>
    <w:rsid w:val="317D1040"/>
    <w:rsid w:val="3DBD6589"/>
    <w:rsid w:val="4AEF6012"/>
    <w:rsid w:val="51415BFD"/>
    <w:rsid w:val="573434A1"/>
    <w:rsid w:val="58F57463"/>
    <w:rsid w:val="5DAD79EC"/>
    <w:rsid w:val="608E7C29"/>
    <w:rsid w:val="6B7C0A68"/>
    <w:rsid w:val="6E06087C"/>
    <w:rsid w:val="72B90BA4"/>
    <w:rsid w:val="7690745A"/>
    <w:rsid w:val="7EDC08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13"/>
    <w:uiPriority w:val="0"/>
    <w:pPr>
      <w:keepNext/>
      <w:keepLines/>
      <w:spacing w:before="260" w:after="260" w:line="415" w:lineRule="auto"/>
      <w:outlineLvl w:val="2"/>
    </w:pPr>
    <w:rPr>
      <w:b/>
      <w:sz w:val="32"/>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列出段落1"/>
    <w:basedOn w:val="1"/>
    <w:qFormat/>
    <w:uiPriority w:val="0"/>
    <w:pPr>
      <w:ind w:firstLine="200" w:firstLineChars="200"/>
    </w:pPr>
  </w:style>
  <w:style w:type="paragraph" w:customStyle="1" w:styleId="10">
    <w:name w:val="正文文本1"/>
    <w:basedOn w:val="1"/>
    <w:link w:val="14"/>
    <w:qFormat/>
    <w:uiPriority w:val="99"/>
    <w:pPr>
      <w:spacing w:before="93"/>
    </w:pPr>
    <w:rPr>
      <w:rFonts w:ascii="仿宋_GB2312" w:eastAsia="仿宋_GB2312"/>
      <w:kern w:val="0"/>
      <w:sz w:val="30"/>
      <w:szCs w:val="20"/>
    </w:rPr>
  </w:style>
  <w:style w:type="paragraph" w:styleId="11">
    <w:name w:val="List Paragraph"/>
    <w:basedOn w:val="1"/>
    <w:qFormat/>
    <w:uiPriority w:val="34"/>
    <w:pPr>
      <w:ind w:firstLine="420" w:firstLineChars="200"/>
    </w:pPr>
  </w:style>
  <w:style w:type="character" w:customStyle="1" w:styleId="12">
    <w:name w:val="页脚 Char"/>
    <w:basedOn w:val="8"/>
    <w:link w:val="5"/>
    <w:qFormat/>
    <w:uiPriority w:val="99"/>
    <w:rPr>
      <w:rFonts w:ascii="Calibri" w:hAnsi="Calibri"/>
      <w:kern w:val="2"/>
      <w:sz w:val="18"/>
      <w:szCs w:val="18"/>
    </w:rPr>
  </w:style>
  <w:style w:type="character" w:customStyle="1" w:styleId="13">
    <w:name w:val="标题 3 Char"/>
    <w:link w:val="4"/>
    <w:qFormat/>
    <w:uiPriority w:val="0"/>
    <w:rPr>
      <w:b/>
      <w:sz w:val="32"/>
    </w:rPr>
  </w:style>
  <w:style w:type="character" w:customStyle="1" w:styleId="14">
    <w:name w:val="正文文本1 Char"/>
    <w:link w:val="10"/>
    <w:uiPriority w:val="99"/>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E18B8C-CB22-4385-85B4-385789E8F267}">
  <ds:schemaRefs/>
</ds:datastoreItem>
</file>

<file path=docProps/app.xml><?xml version="1.0" encoding="utf-8"?>
<Properties xmlns="http://schemas.openxmlformats.org/officeDocument/2006/extended-properties" xmlns:vt="http://schemas.openxmlformats.org/officeDocument/2006/docPropsVTypes">
  <Template>Normal.dotm</Template>
  <Pages>10</Pages>
  <Words>955</Words>
  <Characters>5444</Characters>
  <Lines>45</Lines>
  <Paragraphs>12</Paragraphs>
  <TotalTime>1</TotalTime>
  <ScaleCrop>false</ScaleCrop>
  <LinksUpToDate>false</LinksUpToDate>
  <CharactersWithSpaces>6387</CharactersWithSpaces>
  <Application>WPS Office_11.1.0.8838_F1E327BC-269C-435d-A152-05C5408002CA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2024-01-19T05:59:00Z</cp:lastPrinted>
  <dcterms:modified xsi:type="dcterms:W3CDTF">2024-01-23T12:58:03Z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2052-11.1.0.8838</vt:lpwstr>
  </property>
</Properties>
</file>