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壤塘县人民法院</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3"/>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3"/>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40" w:lineRule="exact"/>
        <w:ind w:left="319" w:leftChars="152" w:firstLine="320" w:firstLineChars="100"/>
        <w:rPr>
          <w:rFonts w:hint="default" w:ascii="仿宋_GB2312" w:eastAsia="仿宋_GB2312"/>
          <w:sz w:val="32"/>
          <w:szCs w:val="32"/>
          <w:lang w:val="en-US" w:eastAsia="zh-CN"/>
        </w:rPr>
      </w:pPr>
      <w:r>
        <w:rPr>
          <w:rFonts w:hint="eastAsia" w:ascii="仿宋_GB2312" w:eastAsia="仿宋_GB2312"/>
          <w:sz w:val="32"/>
          <w:szCs w:val="32"/>
          <w:lang w:eastAsia="zh-CN"/>
        </w:rPr>
        <w:t>根据宪法规定，壤塘县人民法院主要职责是：</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w:t>
      </w:r>
      <w:r>
        <w:rPr>
          <w:rFonts w:hint="eastAsia" w:ascii="仿宋_GB2312" w:eastAsia="仿宋_GB2312"/>
          <w:sz w:val="32"/>
          <w:szCs w:val="32"/>
          <w:lang w:eastAsia="zh-CN"/>
        </w:rPr>
        <w:t>壤塘</w:t>
      </w:r>
      <w:r>
        <w:rPr>
          <w:rFonts w:hint="eastAsia" w:ascii="仿宋_GB2312" w:eastAsia="仿宋_GB2312"/>
          <w:sz w:val="32"/>
          <w:szCs w:val="32"/>
        </w:rPr>
        <w:t>县人民法院是国家审判机关，依照法律规定独立行使审判权</w:t>
      </w:r>
      <w:r>
        <w:rPr>
          <w:rFonts w:hint="eastAsia" w:ascii="仿宋_GB2312" w:eastAsia="仿宋_GB2312"/>
          <w:sz w:val="32"/>
          <w:szCs w:val="32"/>
          <w:lang w:eastAsia="zh-CN"/>
        </w:rPr>
        <w:t>，对壤塘县人民代表大会及其常务委员会负责并报告工作</w:t>
      </w: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依法审判辖区内应由基层人民法院管辖的刑事一审案件</w:t>
      </w: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w:t>
      </w:r>
      <w:r>
        <w:rPr>
          <w:rFonts w:hint="eastAsia" w:ascii="仿宋_GB2312" w:eastAsia="仿宋_GB2312"/>
          <w:sz w:val="32"/>
          <w:szCs w:val="32"/>
          <w:lang w:eastAsia="zh-CN"/>
        </w:rPr>
        <w:t>依法审判辖区内应由基层人民法院管辖的民事、经济纠纷一审案件</w:t>
      </w: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rPr>
        <w:t>）</w:t>
      </w:r>
      <w:r>
        <w:rPr>
          <w:rFonts w:hint="eastAsia" w:ascii="仿宋_GB2312" w:eastAsia="仿宋_GB2312"/>
          <w:sz w:val="32"/>
          <w:szCs w:val="32"/>
          <w:lang w:eastAsia="zh-CN"/>
        </w:rPr>
        <w:t>依法审判辖区内应由基层人民法院管辖的行政纠纷一审案件</w:t>
      </w: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）审理</w:t>
      </w:r>
      <w:r>
        <w:rPr>
          <w:rFonts w:hint="eastAsia" w:ascii="仿宋_GB2312" w:eastAsia="仿宋_GB2312"/>
          <w:sz w:val="32"/>
          <w:szCs w:val="32"/>
          <w:lang w:eastAsia="zh-CN"/>
        </w:rPr>
        <w:t>中级人民法院指令再审的案件。受理不服本院已经生效的判决，裁定的申诉和申请再审等案件</w:t>
      </w: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）执行已经发生法律效力的、具有给付内容的判决，裁定，以及法律规定的其他生效法律文书；（</w:t>
      </w:r>
      <w:r>
        <w:rPr>
          <w:rFonts w:ascii="仿宋_GB2312" w:eastAsia="仿宋_GB2312"/>
          <w:sz w:val="32"/>
          <w:szCs w:val="32"/>
        </w:rPr>
        <w:t>7</w:t>
      </w:r>
      <w:r>
        <w:rPr>
          <w:rFonts w:hint="eastAsia" w:ascii="仿宋_GB2312" w:eastAsia="仿宋_GB2312"/>
          <w:sz w:val="32"/>
          <w:szCs w:val="32"/>
        </w:rPr>
        <w:t>）审查受理公民，法人和其他组织的告诉、申诉，接待处理来信来访；（</w:t>
      </w:r>
      <w:r>
        <w:rPr>
          <w:rFonts w:ascii="仿宋_GB2312" w:eastAsia="仿宋_GB2312"/>
          <w:sz w:val="32"/>
          <w:szCs w:val="32"/>
        </w:rPr>
        <w:t>8</w:t>
      </w:r>
      <w:r>
        <w:rPr>
          <w:rFonts w:hint="eastAsia" w:ascii="仿宋_GB2312" w:eastAsia="仿宋_GB2312"/>
          <w:sz w:val="32"/>
          <w:szCs w:val="32"/>
        </w:rPr>
        <w:t>）审理审判监督程序提起再审的刑事、民事和行政案件；（</w:t>
      </w:r>
      <w:r>
        <w:rPr>
          <w:rFonts w:ascii="仿宋_GB2312" w:eastAsia="仿宋_GB2312"/>
          <w:sz w:val="32"/>
          <w:szCs w:val="32"/>
        </w:rPr>
        <w:t>9</w:t>
      </w:r>
      <w:r>
        <w:rPr>
          <w:rFonts w:hint="eastAsia" w:ascii="仿宋_GB2312" w:eastAsia="仿宋_GB2312"/>
          <w:sz w:val="32"/>
          <w:szCs w:val="32"/>
        </w:rPr>
        <w:t>）指导、监督基层人民法庭的审判工作，指导人民调解委员会的工作；（</w:t>
      </w:r>
      <w:r>
        <w:rPr>
          <w:rFonts w:ascii="仿宋_GB2312" w:eastAsia="仿宋_GB2312"/>
          <w:sz w:val="32"/>
          <w:szCs w:val="32"/>
        </w:rPr>
        <w:t>10</w:t>
      </w:r>
      <w:r>
        <w:rPr>
          <w:rFonts w:hint="eastAsia" w:ascii="仿宋_GB2312" w:eastAsia="仿宋_GB2312"/>
          <w:sz w:val="32"/>
          <w:szCs w:val="32"/>
        </w:rPr>
        <w:t>）</w:t>
      </w:r>
      <w:r>
        <w:rPr>
          <w:rFonts w:hint="eastAsia" w:ascii="仿宋_GB2312" w:eastAsia="仿宋_GB2312"/>
          <w:sz w:val="32"/>
          <w:szCs w:val="32"/>
          <w:lang w:eastAsia="zh-CN"/>
        </w:rPr>
        <w:t>针对案年审理过程中发现的问题提出司法建议；办理县人民代表议案建议以及县政协委员提案</w:t>
      </w:r>
      <w:r>
        <w:rPr>
          <w:rFonts w:hint="eastAsia" w:ascii="仿宋_GB2312" w:eastAsia="仿宋_GB2312"/>
          <w:sz w:val="32"/>
          <w:szCs w:val="32"/>
        </w:rPr>
        <w:t>；（</w:t>
      </w:r>
      <w:r>
        <w:rPr>
          <w:rFonts w:ascii="仿宋_GB2312" w:eastAsia="仿宋_GB2312"/>
          <w:sz w:val="32"/>
          <w:szCs w:val="32"/>
        </w:rPr>
        <w:t>11</w:t>
      </w:r>
      <w:r>
        <w:rPr>
          <w:rFonts w:hint="eastAsia" w:ascii="仿宋_GB2312" w:eastAsia="仿宋_GB2312"/>
          <w:sz w:val="32"/>
          <w:szCs w:val="32"/>
        </w:rPr>
        <w:t>）负责法院干部队伍的思想政治工作和队伍建设，协助主管部门管理机构编制工作，负责管理和培训法官，司法警察及其他工作人员；（</w:t>
      </w:r>
      <w:r>
        <w:rPr>
          <w:rFonts w:ascii="仿宋_GB2312" w:eastAsia="仿宋_GB2312"/>
          <w:sz w:val="32"/>
          <w:szCs w:val="32"/>
        </w:rPr>
        <w:t>12</w:t>
      </w:r>
      <w:r>
        <w:rPr>
          <w:rFonts w:hint="eastAsia" w:ascii="仿宋_GB2312" w:eastAsia="仿宋_GB2312"/>
          <w:sz w:val="32"/>
          <w:szCs w:val="32"/>
        </w:rPr>
        <w:t>）规划和负责法院的财务、装备工作，指导、监督诉讼费的收缴使用和管理工作；（</w:t>
      </w:r>
      <w:r>
        <w:rPr>
          <w:rFonts w:ascii="仿宋_GB2312" w:eastAsia="仿宋_GB2312"/>
          <w:sz w:val="32"/>
          <w:szCs w:val="32"/>
        </w:rPr>
        <w:t>13</w:t>
      </w:r>
      <w:r>
        <w:rPr>
          <w:rFonts w:hint="eastAsia" w:ascii="仿宋_GB2312" w:eastAsia="仿宋_GB2312"/>
          <w:sz w:val="32"/>
          <w:szCs w:val="32"/>
        </w:rPr>
        <w:t>）检查和监督本院执法执纪情况，进行法</w:t>
      </w:r>
      <w:r>
        <w:rPr>
          <w:rFonts w:hint="eastAsia" w:ascii="仿宋_GB2312" w:eastAsia="仿宋_GB2312"/>
          <w:sz w:val="32"/>
          <w:szCs w:val="32"/>
          <w:lang w:eastAsia="zh-CN"/>
        </w:rPr>
        <w:t>治</w:t>
      </w:r>
      <w:r>
        <w:rPr>
          <w:rFonts w:hint="eastAsia" w:ascii="仿宋_GB2312" w:eastAsia="仿宋_GB2312"/>
          <w:sz w:val="32"/>
          <w:szCs w:val="32"/>
        </w:rPr>
        <w:t>宣传和廉政教育；（</w:t>
      </w:r>
      <w:r>
        <w:rPr>
          <w:rFonts w:ascii="仿宋_GB2312" w:eastAsia="仿宋_GB2312"/>
          <w:sz w:val="32"/>
          <w:szCs w:val="32"/>
        </w:rPr>
        <w:t>14</w:t>
      </w:r>
      <w:r>
        <w:rPr>
          <w:rFonts w:hint="eastAsia" w:ascii="仿宋_GB2312" w:eastAsia="仿宋_GB2312"/>
          <w:sz w:val="32"/>
          <w:szCs w:val="32"/>
        </w:rPr>
        <w:t>）</w:t>
      </w:r>
      <w:r>
        <w:rPr>
          <w:rFonts w:hint="eastAsia" w:ascii="仿宋_GB2312" w:eastAsia="仿宋_GB2312"/>
          <w:sz w:val="32"/>
          <w:szCs w:val="32"/>
          <w:lang w:eastAsia="zh-CN"/>
        </w:rPr>
        <w:t>宣传法制、教育公民、忠于社会主义祖国，自觉地遵守宪法、法律和社会公德。</w:t>
      </w:r>
    </w:p>
    <w:p>
      <w:pPr>
        <w:spacing w:line="540" w:lineRule="exact"/>
        <w:ind w:firstLine="640" w:firstLineChars="200"/>
        <w:rPr>
          <w:rFonts w:hint="eastAsia" w:ascii="仿宋_GB2312" w:eastAsia="仿宋_GB2312"/>
          <w:sz w:val="32"/>
          <w:szCs w:val="32"/>
          <w:lang w:eastAsia="zh-CN"/>
        </w:rPr>
      </w:pP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结合全国法院工作部署、四川省法治建设要求及壤塘县“十五五”开局发展需求，聚焦“公正与效率”核心主题，围绕政治引领、主责主业、司法为民、队伍建设等关键维度，现制定壤塘县人民法院2026年重点工作如下：</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一、强化政治统领，筑牢法治根基</w:t>
      </w:r>
      <w:r>
        <w:rPr>
          <w:rFonts w:hint="eastAsia" w:ascii="仿宋_GB2312" w:eastAsia="仿宋_GB2312"/>
          <w:sz w:val="32"/>
          <w:szCs w:val="32"/>
          <w:lang w:eastAsia="zh-CN"/>
        </w:rPr>
        <w:t>。</w:t>
      </w:r>
      <w:r>
        <w:rPr>
          <w:rFonts w:hint="eastAsia" w:ascii="仿宋_GB2312" w:eastAsia="仿宋_GB2312"/>
          <w:sz w:val="32"/>
          <w:szCs w:val="32"/>
        </w:rPr>
        <w:t xml:space="preserve">1. 深化理论武装工程：坚持以习近平新时代中国特色社会主义思想为指导，深入学习贯彻习近平法治思想，将党的二十大及二十届历次全会精神纳入党组理论学习中心组学习、支部“主题党日”等核心内容，全年开展专题学习研讨不少于30期，青年理论学习小组跟进学覆盖全员，推动党的创新理论入脑入心、见行见效。2. 压实政治建设责任：深刻领悟“两个确立”的决定性意义，增强“四个意识”、坚定“四个自信”、做到“两个维护”，把党的绝对领导贯穿审判执行全流程。严格落实重大事项请示报告制度，确保法院工作始终沿着正确政治方向前进。3. 深化政治能力建设：教育引导干警善于“从政治上看、从法治上办”，不断提高政治判断力、政治领悟力、政治执行力。扎实开展作风建设专项行动，一体推进学查改，建立问题整改闭环管理体系，针对群众反映强烈的突出问题实行销号管理，以整改实效彰显政治担当。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二、聚焦主责主业，提升司法质效1. 筑牢平安壤塘防线：依法严惩危害国家安全、涉黑涉恶、电信网络诈骗、涉老诈骗等各类刑事犯罪，推动宽严相济刑事政策精准化精细化。2. 护航高质量发展：紧扣县委“146”目标任务，优化法治化营商环境，妥善审理涉企合同、破产重整、知识产权等民商事案件，建立中小微企业纠纷快速审理机制。深化“牧业金融纠纷调解工作室”效能，以司法确定性稳定市场预期。3. 深化执行攻坚行动：完善“执行110”工作机制，强化立审执协调配合与跨部门联动，开展涉民生、涉金融、涉企债权等专项执行行动。全4. 规范审判管理体系：严格落实院庭长阅核制度，强化法官联席会议和审判委员会专业指导作用，通过统一裁判尺度提升司法公信力。</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三、践行司法为民，优化服务供给1. 深化诉源治理改革：坚持和发展新时代“枫桥经验”，推动法院入驻县综治中心，完善“法院+公安+司法+行业协会”多元解纷机制，将大量矛盾化解在基层、解决在萌芽状态。2. 升级诉讼服务质效：深化“智慧法院”建设，全面推广网上立案、在线调解、电子送达等便民举措，让数据多跑路、群众少跑腿。3. 聚焦民生权益保障：依法妥善审理拖欠工资、住房交付、婚姻家庭、高额彩礼等民生案件，建立农民工讨薪“绿色通道”。加强未成年人司法保护，协同开展社会综治工作，以司法裁判引领社会风尚。4. 推进司法公开透明：健全审判流程、庭审活动、裁判文书、执行信息四大公开平台建设，依法应当公开的信息全部公开。</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四、深化改革创新，增强发展动能1. 完善司法责任制：运用信息化手段将监督管理规则嵌入审判执行全流程，实现事后追责向事前、事中管控转变。优化案件繁简分流机制，提高简易程序、小额诉讼程序适用率，让司法资源配置更趋合理。2. 加强法治协同联动：深化“府院联动”机制，针对案件审理中发现的社会治理漏洞，全年制发高质量司法建议不少于10份。加强与市场监管、网信、综合执法等部门协作，合力整治突出问题，促进依法治理、综合治理。3. 服务绿色发展大局：依法审理生态环境侵权纠纷案件，落实生态环境司法保护政策，探索建立生态修复司法机制，为壤塘生态环境保护提供有力司法保障，助力全面绿色转型。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五、锻造过硬队伍，夯实发展保障1. 强化人才队伍建设：实施“青苗”人才培养工程，通过招录、遴选等渠道补充青年干警力量，开展庭审驾驭、释法说理等核心能力培训</w:t>
      </w:r>
      <w:r>
        <w:rPr>
          <w:rFonts w:hint="eastAsia" w:ascii="仿宋_GB2312" w:eastAsia="仿宋_GB2312"/>
          <w:sz w:val="32"/>
          <w:szCs w:val="32"/>
          <w:lang w:eastAsia="zh-CN"/>
        </w:rPr>
        <w:t>，</w:t>
      </w:r>
      <w:r>
        <w:rPr>
          <w:rFonts w:hint="eastAsia" w:ascii="仿宋_GB2312" w:eastAsia="仿宋_GB2312"/>
          <w:sz w:val="32"/>
          <w:szCs w:val="32"/>
        </w:rPr>
        <w:t>打造政治过硬、业务精湛的司法队伍。2. 从严正风肃纪反腐：落实全面从严治党主体责任，常态化开展警示教育，严格执行中央八项规定精神。深化司法廉洁风险防控，对违纪违法问题“零容忍”，营造风清气正的司法生态。3. 提升基层基础效能：加强法庭规范化建设，完善基层司法服务网络，提升偏远乡镇司法覆盖质量。改善办案办公条件，推进智慧法院成果向基层延伸，缓解“案多人少”矛盾，让基层干警轻装上阵履职尽责。</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六、强化宣传引领，营造法治氛围1. 构建普法宣传矩阵：结合“法律七进”活动，深入乡村、学校、企业开展专题普法讲座，重点普及与群众生产生活密切相关的法律法规。2. 创新法治传播形式：利用新媒体平台发布典型案例、普法短视频等内容</w:t>
      </w:r>
      <w:r>
        <w:rPr>
          <w:rFonts w:hint="eastAsia" w:ascii="仿宋_GB2312" w:eastAsia="仿宋_GB2312"/>
          <w:sz w:val="32"/>
          <w:szCs w:val="32"/>
          <w:lang w:eastAsia="zh-CN"/>
        </w:rPr>
        <w:t>，</w:t>
      </w:r>
      <w:r>
        <w:rPr>
          <w:rFonts w:hint="eastAsia" w:ascii="仿宋_GB2312" w:eastAsia="仿宋_GB2312"/>
          <w:sz w:val="32"/>
          <w:szCs w:val="32"/>
        </w:rPr>
        <w:t>讲好壤塘司法故事。开展“以案释法”活动，通过生动案例解读法律条文，增强群众法治意识，引导群众办事依法、遇事找法、解决问题用法。</w:t>
      </w:r>
    </w:p>
    <w:p>
      <w:pPr>
        <w:spacing w:line="540" w:lineRule="exact"/>
        <w:ind w:firstLine="640" w:firstLineChars="200"/>
        <w:rPr>
          <w:rFonts w:hint="eastAsia" w:ascii="仿宋_GB2312" w:eastAsia="仿宋_GB2312"/>
          <w:sz w:val="32"/>
          <w:szCs w:val="32"/>
        </w:rPr>
      </w:pPr>
    </w:p>
    <w:p>
      <w:pPr>
        <w:spacing w:line="540" w:lineRule="exact"/>
        <w:ind w:firstLine="640" w:firstLineChars="200"/>
        <w:rPr>
          <w:rFonts w:hint="eastAsia" w:ascii="仿宋_GB2312" w:eastAsia="宋体"/>
          <w:sz w:val="32"/>
          <w:szCs w:val="32"/>
          <w:lang w:eastAsia="zh-CN"/>
        </w:rPr>
      </w:pPr>
    </w:p>
    <w:p>
      <w:pPr>
        <w:spacing w:line="540" w:lineRule="exact"/>
        <w:ind w:firstLine="640" w:firstLineChars="200"/>
        <w:rPr>
          <w:rFonts w:ascii="仿宋_GB2312" w:eastAsia="仿宋_GB2312"/>
          <w:sz w:val="32"/>
          <w:szCs w:val="32"/>
        </w:rPr>
      </w:pPr>
    </w:p>
    <w:p>
      <w:pPr>
        <w:pStyle w:val="13"/>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10"/>
        <w:spacing w:before="0" w:beforeAutospacing="0" w:after="0" w:afterAutospacing="0" w:line="360" w:lineRule="auto"/>
        <w:ind w:firstLine="640" w:firstLineChars="200"/>
        <w:contextualSpacing/>
        <w:jc w:val="both"/>
        <w:rPr>
          <w:rFonts w:ascii="仿宋_GB2312" w:eastAsia="仿宋_GB2312"/>
          <w:sz w:val="32"/>
          <w:szCs w:val="32"/>
        </w:rPr>
      </w:pPr>
      <w:r>
        <w:rPr>
          <w:rFonts w:hint="eastAsia" w:ascii="仿宋_GB2312" w:eastAsia="仿宋_GB2312"/>
          <w:kern w:val="2"/>
          <w:sz w:val="32"/>
          <w:szCs w:val="32"/>
        </w:rPr>
        <w:t>壤塘县人民法院属一级预算单位，202</w:t>
      </w:r>
      <w:r>
        <w:rPr>
          <w:rFonts w:hint="eastAsia" w:ascii="仿宋_GB2312" w:eastAsia="仿宋_GB2312"/>
          <w:kern w:val="2"/>
          <w:sz w:val="32"/>
          <w:szCs w:val="32"/>
          <w:lang w:val="en-US" w:eastAsia="zh-CN"/>
        </w:rPr>
        <w:t>6</w:t>
      </w:r>
      <w:r>
        <w:rPr>
          <w:rFonts w:hint="eastAsia" w:ascii="仿宋_GB2312" w:eastAsia="仿宋_GB2312"/>
          <w:kern w:val="2"/>
          <w:sz w:val="32"/>
          <w:szCs w:val="32"/>
        </w:rPr>
        <w:t>年财政</w:t>
      </w:r>
      <w:r>
        <w:rPr>
          <w:rFonts w:hint="eastAsia" w:ascii="仿宋_GB2312" w:eastAsia="仿宋_GB2312"/>
          <w:kern w:val="2"/>
          <w:sz w:val="32"/>
          <w:szCs w:val="32"/>
          <w:highlight w:val="none"/>
        </w:rPr>
        <w:t>预算供给人员共</w:t>
      </w:r>
      <w:r>
        <w:rPr>
          <w:rFonts w:hint="eastAsia" w:ascii="仿宋_GB2312" w:eastAsia="仿宋_GB2312"/>
          <w:kern w:val="2"/>
          <w:sz w:val="32"/>
          <w:szCs w:val="32"/>
          <w:highlight w:val="none"/>
          <w:lang w:val="en-US" w:eastAsia="zh-CN"/>
        </w:rPr>
        <w:t>61</w:t>
      </w:r>
      <w:r>
        <w:rPr>
          <w:rFonts w:hint="eastAsia" w:ascii="仿宋_GB2312" w:eastAsia="仿宋_GB2312"/>
          <w:kern w:val="2"/>
          <w:sz w:val="32"/>
          <w:szCs w:val="32"/>
          <w:highlight w:val="none"/>
        </w:rPr>
        <w:t>人，供给车辆</w:t>
      </w:r>
      <w:r>
        <w:rPr>
          <w:rFonts w:hint="eastAsia" w:ascii="仿宋_GB2312" w:eastAsia="仿宋_GB2312"/>
          <w:kern w:val="2"/>
          <w:sz w:val="32"/>
          <w:szCs w:val="32"/>
          <w:highlight w:val="none"/>
          <w:lang w:val="en-US" w:eastAsia="zh-CN"/>
        </w:rPr>
        <w:t>10</w:t>
      </w:r>
      <w:r>
        <w:rPr>
          <w:rFonts w:hint="eastAsia" w:ascii="仿宋_GB2312" w:eastAsia="仿宋_GB2312"/>
          <w:kern w:val="2"/>
          <w:sz w:val="32"/>
          <w:szCs w:val="32"/>
          <w:highlight w:val="none"/>
        </w:rPr>
        <w:t>辆，无</w:t>
      </w:r>
      <w:r>
        <w:rPr>
          <w:rFonts w:hint="eastAsia" w:ascii="仿宋_GB2312" w:eastAsia="仿宋_GB2312"/>
          <w:kern w:val="2"/>
          <w:sz w:val="32"/>
          <w:szCs w:val="32"/>
        </w:rPr>
        <w:t>下属二级预算单位。</w:t>
      </w:r>
    </w:p>
    <w:p>
      <w:pPr>
        <w:spacing w:line="540" w:lineRule="exact"/>
        <w:ind w:firstLine="640" w:firstLineChars="200"/>
        <w:rPr>
          <w:rFonts w:hint="eastAsia" w:ascii="仿宋_GB2312" w:eastAsia="仿宋_GB2312"/>
          <w:sz w:val="32"/>
          <w:szCs w:val="32"/>
          <w:lang w:eastAsia="zh-CN"/>
        </w:rPr>
      </w:pPr>
    </w:p>
    <w:p>
      <w:pPr>
        <w:pStyle w:val="13"/>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pStyle w:val="2"/>
        <w:numPr>
          <w:ilvl w:val="0"/>
          <w:numId w:val="0"/>
        </w:numPr>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壤塘县</w:t>
      </w:r>
      <w:r>
        <w:rPr>
          <w:rFonts w:hint="default" w:ascii="仿宋_GB2312" w:hAnsi="Calibri" w:eastAsia="仿宋_GB2312" w:cs="Times New Roman"/>
          <w:kern w:val="2"/>
          <w:sz w:val="32"/>
          <w:szCs w:val="32"/>
          <w:lang w:val="en-US" w:eastAsia="zh-CN" w:bidi="ar-SA"/>
        </w:rPr>
        <w:t>县人民法院202</w:t>
      </w:r>
      <w:r>
        <w:rPr>
          <w:rFonts w:hint="eastAsia" w:ascii="仿宋_GB2312" w:hAnsi="Calibri" w:eastAsia="仿宋_GB2312" w:cs="Times New Roman"/>
          <w:kern w:val="2"/>
          <w:sz w:val="32"/>
          <w:szCs w:val="32"/>
          <w:lang w:val="en-US" w:eastAsia="zh-CN" w:bidi="ar-SA"/>
        </w:rPr>
        <w:t>6</w:t>
      </w:r>
      <w:r>
        <w:rPr>
          <w:rFonts w:hint="default" w:ascii="仿宋_GB2312" w:hAnsi="Calibri" w:eastAsia="仿宋_GB2312" w:cs="Times New Roman"/>
          <w:kern w:val="2"/>
          <w:sz w:val="32"/>
          <w:szCs w:val="32"/>
          <w:lang w:val="en-US" w:eastAsia="zh-CN" w:bidi="ar-SA"/>
        </w:rPr>
        <w:t>年收入预算</w:t>
      </w:r>
      <w:r>
        <w:rPr>
          <w:rFonts w:hint="eastAsia" w:ascii="仿宋_GB2312" w:hAnsi="Calibri" w:eastAsia="仿宋_GB2312" w:cs="Times New Roman"/>
          <w:kern w:val="2"/>
          <w:sz w:val="32"/>
          <w:szCs w:val="32"/>
          <w:lang w:val="en-US" w:eastAsia="zh-CN" w:bidi="ar-SA"/>
        </w:rPr>
        <w:t>1081.34</w:t>
      </w:r>
      <w:r>
        <w:rPr>
          <w:rFonts w:hint="default" w:ascii="仿宋_GB2312" w:hAnsi="Calibri" w:eastAsia="仿宋_GB2312" w:cs="Times New Roman"/>
          <w:kern w:val="2"/>
          <w:sz w:val="32"/>
          <w:szCs w:val="32"/>
          <w:lang w:val="en-US" w:eastAsia="zh-CN" w:bidi="ar-SA"/>
        </w:rPr>
        <w:t>万元。其中：上年结转0万元，占0%；一般公共预算拨款收入</w:t>
      </w:r>
      <w:r>
        <w:rPr>
          <w:rFonts w:hint="eastAsia" w:ascii="仿宋_GB2312" w:hAnsi="Calibri" w:eastAsia="仿宋_GB2312" w:cs="Times New Roman"/>
          <w:kern w:val="2"/>
          <w:sz w:val="32"/>
          <w:szCs w:val="32"/>
          <w:lang w:val="en-US" w:eastAsia="zh-CN" w:bidi="ar-SA"/>
        </w:rPr>
        <w:t>1081.34</w:t>
      </w:r>
      <w:r>
        <w:rPr>
          <w:rFonts w:hint="default" w:ascii="仿宋_GB2312" w:hAnsi="Calibri" w:eastAsia="仿宋_GB2312" w:cs="Times New Roman"/>
          <w:kern w:val="2"/>
          <w:sz w:val="32"/>
          <w:szCs w:val="32"/>
          <w:lang w:val="en-US" w:eastAsia="zh-CN" w:bidi="ar-SA"/>
        </w:rPr>
        <w:t>万元，占100%。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pStyle w:val="2"/>
        <w:numPr>
          <w:ilvl w:val="0"/>
          <w:numId w:val="0"/>
        </w:numPr>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壤塘县</w:t>
      </w:r>
      <w:r>
        <w:rPr>
          <w:rFonts w:hint="default" w:ascii="仿宋_GB2312" w:hAnsi="Calibri" w:eastAsia="仿宋_GB2312" w:cs="Times New Roman"/>
          <w:kern w:val="2"/>
          <w:sz w:val="32"/>
          <w:szCs w:val="32"/>
          <w:lang w:val="en-US" w:eastAsia="zh-CN" w:bidi="ar-SA"/>
        </w:rPr>
        <w:t>县人民法院202</w:t>
      </w:r>
      <w:r>
        <w:rPr>
          <w:rFonts w:hint="eastAsia" w:ascii="仿宋_GB2312" w:hAnsi="Calibri" w:eastAsia="仿宋_GB2312" w:cs="Times New Roman"/>
          <w:kern w:val="2"/>
          <w:sz w:val="32"/>
          <w:szCs w:val="32"/>
          <w:lang w:val="en-US" w:eastAsia="zh-CN" w:bidi="ar-SA"/>
        </w:rPr>
        <w:t>6</w:t>
      </w:r>
      <w:r>
        <w:rPr>
          <w:rFonts w:hint="default" w:ascii="仿宋_GB2312" w:hAnsi="Calibri" w:eastAsia="仿宋_GB2312" w:cs="Times New Roman"/>
          <w:kern w:val="2"/>
          <w:sz w:val="32"/>
          <w:szCs w:val="32"/>
          <w:lang w:val="en-US" w:eastAsia="zh-CN" w:bidi="ar-SA"/>
        </w:rPr>
        <w:t>年支出预算</w:t>
      </w:r>
      <w:r>
        <w:rPr>
          <w:rFonts w:hint="eastAsia" w:ascii="仿宋_GB2312" w:hAnsi="Calibri" w:eastAsia="仿宋_GB2312" w:cs="Times New Roman"/>
          <w:kern w:val="2"/>
          <w:sz w:val="32"/>
          <w:szCs w:val="32"/>
          <w:lang w:val="en-US" w:eastAsia="zh-CN" w:bidi="ar-SA"/>
        </w:rPr>
        <w:t>1081.34</w:t>
      </w:r>
      <w:r>
        <w:rPr>
          <w:rFonts w:hint="default" w:ascii="仿宋_GB2312" w:hAnsi="Calibri" w:eastAsia="仿宋_GB2312" w:cs="Times New Roman"/>
          <w:kern w:val="2"/>
          <w:sz w:val="32"/>
          <w:szCs w:val="32"/>
          <w:lang w:val="en-US" w:eastAsia="zh-CN" w:bidi="ar-SA"/>
        </w:rPr>
        <w:t>万元，其中人员经费</w:t>
      </w:r>
      <w:r>
        <w:rPr>
          <w:rFonts w:hint="eastAsia" w:ascii="仿宋_GB2312" w:hAnsi="Calibri" w:eastAsia="仿宋_GB2312" w:cs="Times New Roman"/>
          <w:kern w:val="2"/>
          <w:sz w:val="32"/>
          <w:szCs w:val="32"/>
          <w:lang w:val="en-US" w:eastAsia="zh-CN" w:bidi="ar-SA"/>
        </w:rPr>
        <w:t>932.11</w:t>
      </w:r>
      <w:r>
        <w:rPr>
          <w:rFonts w:hint="default" w:ascii="仿宋_GB2312" w:hAnsi="Calibri" w:eastAsia="仿宋_GB2312" w:cs="Times New Roman"/>
          <w:kern w:val="2"/>
          <w:sz w:val="32"/>
          <w:szCs w:val="32"/>
          <w:lang w:val="en-US" w:eastAsia="zh-CN" w:bidi="ar-SA"/>
        </w:rPr>
        <w:t>万元，</w:t>
      </w:r>
      <w:r>
        <w:rPr>
          <w:rFonts w:hint="eastAsia" w:ascii="仿宋_GB2312" w:hAnsi="Calibri" w:eastAsia="仿宋_GB2312" w:cs="Times New Roman"/>
          <w:kern w:val="2"/>
          <w:sz w:val="32"/>
          <w:szCs w:val="32"/>
          <w:lang w:val="en-US" w:eastAsia="zh-CN" w:bidi="ar-SA"/>
        </w:rPr>
        <w:t>约</w:t>
      </w:r>
      <w:r>
        <w:rPr>
          <w:rFonts w:hint="default" w:ascii="仿宋_GB2312" w:hAnsi="Calibri" w:eastAsia="仿宋_GB2312" w:cs="Times New Roman"/>
          <w:kern w:val="2"/>
          <w:sz w:val="32"/>
          <w:szCs w:val="32"/>
          <w:lang w:val="en-US" w:eastAsia="zh-CN" w:bidi="ar-SA"/>
        </w:rPr>
        <w:t>占</w:t>
      </w:r>
      <w:r>
        <w:rPr>
          <w:rFonts w:hint="eastAsia" w:ascii="仿宋_GB2312" w:hAnsi="Calibri" w:eastAsia="仿宋_GB2312" w:cs="Times New Roman"/>
          <w:kern w:val="2"/>
          <w:sz w:val="32"/>
          <w:szCs w:val="32"/>
          <w:lang w:val="en-US" w:eastAsia="zh-CN" w:bidi="ar-SA"/>
        </w:rPr>
        <w:t>86.20</w:t>
      </w:r>
      <w:r>
        <w:rPr>
          <w:rFonts w:hint="default" w:ascii="仿宋_GB2312" w:hAnsi="Calibri" w:eastAsia="仿宋_GB2312" w:cs="Times New Roman"/>
          <w:kern w:val="2"/>
          <w:sz w:val="32"/>
          <w:szCs w:val="32"/>
          <w:lang w:val="en-US" w:eastAsia="zh-CN" w:bidi="ar-SA"/>
        </w:rPr>
        <w:t>%；公用经费支出</w:t>
      </w:r>
      <w:r>
        <w:rPr>
          <w:rFonts w:hint="eastAsia" w:ascii="仿宋_GB2312" w:hAnsi="Calibri" w:eastAsia="仿宋_GB2312" w:cs="Times New Roman"/>
          <w:kern w:val="2"/>
          <w:sz w:val="32"/>
          <w:szCs w:val="32"/>
          <w:lang w:val="en-US" w:eastAsia="zh-CN" w:bidi="ar-SA"/>
        </w:rPr>
        <w:t>127.23</w:t>
      </w:r>
      <w:r>
        <w:rPr>
          <w:rFonts w:hint="default" w:ascii="仿宋_GB2312" w:hAnsi="Calibri" w:eastAsia="仿宋_GB2312" w:cs="Times New Roman"/>
          <w:kern w:val="2"/>
          <w:sz w:val="32"/>
          <w:szCs w:val="32"/>
          <w:lang w:val="en-US" w:eastAsia="zh-CN" w:bidi="ar-SA"/>
        </w:rPr>
        <w:t>万元，占</w:t>
      </w:r>
      <w:r>
        <w:rPr>
          <w:rFonts w:hint="eastAsia" w:ascii="仿宋_GB2312" w:hAnsi="Calibri" w:eastAsia="仿宋_GB2312" w:cs="Times New Roman"/>
          <w:kern w:val="2"/>
          <w:sz w:val="32"/>
          <w:szCs w:val="32"/>
          <w:lang w:val="en-US" w:eastAsia="zh-CN" w:bidi="ar-SA"/>
        </w:rPr>
        <w:t>11.77</w:t>
      </w:r>
      <w:r>
        <w:rPr>
          <w:rFonts w:hint="default" w:ascii="仿宋_GB2312" w:hAnsi="Calibri"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，项目支出22.00万元，占2.03</w:t>
      </w:r>
      <w:r>
        <w:rPr>
          <w:rFonts w:hint="default" w:ascii="仿宋_GB2312" w:hAnsi="Calibri" w:eastAsia="仿宋_GB2312" w:cs="Times New Roman"/>
          <w:kern w:val="2"/>
          <w:sz w:val="32"/>
          <w:szCs w:val="32"/>
          <w:lang w:val="en-US" w:eastAsia="zh-CN" w:bidi="ar-SA"/>
        </w:rPr>
        <w:t>%。</w:t>
      </w:r>
    </w:p>
    <w:p>
      <w:pPr>
        <w:pStyle w:val="2"/>
        <w:numPr>
          <w:ilvl w:val="0"/>
          <w:numId w:val="0"/>
        </w:numPr>
        <w:ind w:firstLine="640" w:firstLineChars="200"/>
        <w:rPr>
          <w:rFonts w:hint="eastAsia"/>
          <w:lang w:val="en-US" w:eastAsia="zh-CN"/>
        </w:rPr>
      </w:pPr>
      <w:r>
        <w:rPr>
          <w:rFonts w:hint="eastAsia" w:ascii="黑体" w:eastAsia="黑体"/>
          <w:sz w:val="32"/>
          <w:szCs w:val="32"/>
          <w:lang w:eastAsia="zh-CN"/>
        </w:rPr>
        <w:t>四、</w:t>
      </w:r>
      <w:r>
        <w:rPr>
          <w:rFonts w:hint="eastAsia" w:ascii="黑体" w:eastAsia="黑体"/>
          <w:sz w:val="32"/>
          <w:szCs w:val="32"/>
        </w:rPr>
        <w:t>财政拨款收支预算情况说明</w:t>
      </w:r>
      <w:r>
        <w:rPr>
          <w:rFonts w:ascii="ˎ̥" w:hAnsi="ˎ̥" w:cs="宋体"/>
          <w:sz w:val="16"/>
        </w:rPr>
        <w:br w:type="textWrapping"/>
      </w:r>
      <w:r>
        <w:rPr>
          <w:rFonts w:hint="eastAsia" w:ascii="仿宋_GB2312" w:eastAsia="仿宋_GB2312" w:cs="Times New Roman"/>
          <w:kern w:val="2"/>
          <w:sz w:val="32"/>
          <w:szCs w:val="32"/>
          <w:lang w:val="en-US" w:eastAsia="zh-CN" w:bidi="ar-SA"/>
        </w:rPr>
        <w:t xml:space="preserve">   </w:t>
      </w:r>
      <w:r>
        <w:rPr>
          <w:rFonts w:hint="eastAsia" w:ascii="仿宋_GB2312" w:hAnsi="Calibri" w:eastAsia="仿宋_GB2312" w:cs="Times New Roman"/>
          <w:kern w:val="2"/>
          <w:sz w:val="32"/>
          <w:szCs w:val="32"/>
          <w:lang w:val="en-US" w:eastAsia="zh-CN" w:bidi="ar-SA"/>
        </w:rPr>
        <w:t xml:space="preserve">壤塘县人民法院2026年财政拨款收支总预算1081.34万元, </w:t>
      </w:r>
      <w:r>
        <w:rPr>
          <w:rFonts w:hint="eastAsia" w:ascii="仿宋_GB2312" w:hAnsi="Calibri" w:eastAsia="仿宋_GB2312" w:cs="Times New Roman"/>
          <w:kern w:val="2"/>
          <w:sz w:val="32"/>
          <w:szCs w:val="32"/>
          <w:lang w:val="en-US" w:eastAsia="zh-CN" w:bidi="ar-SA"/>
        </w:rPr>
        <w:t>收入包括：一般公共预算拨款收入1081.34万元；支出包括：公共安全支出789.46万元，社会保障和就业支出157.46万元，卫生健康支出57.61万元，住房保障支出76.81万元。壤塘县人民法院2025年收支总预算1081.34万元，比2025年财政拨款收支总预算增加56.67万元，主要原因:工资上调人员经费增加，干警数量增加。</w:t>
      </w:r>
    </w:p>
    <w:p>
      <w:pPr>
        <w:pStyle w:val="7"/>
        <w:spacing w:line="360" w:lineRule="auto"/>
        <w:ind w:left="0" w:leftChars="0" w:firstLine="640" w:firstLineChars="200"/>
        <w:rPr>
          <w:rFonts w:ascii="仿宋_GB2312" w:eastAsia="仿宋_GB2312"/>
          <w:sz w:val="32"/>
          <w:szCs w:val="32"/>
        </w:rPr>
      </w:pPr>
      <w:r>
        <w:rPr>
          <w:rFonts w:hint="eastAsia" w:ascii="仿宋_GB2312" w:eastAsia="仿宋_GB2312"/>
          <w:sz w:val="32"/>
          <w:szCs w:val="32"/>
        </w:rPr>
        <w:t>壤塘县人民法院202</w:t>
      </w:r>
      <w:r>
        <w:rPr>
          <w:rFonts w:hint="eastAsia" w:ascii="仿宋_GB2312" w:eastAsia="仿宋_GB2312"/>
          <w:sz w:val="32"/>
          <w:szCs w:val="32"/>
          <w:lang w:val="en-US" w:eastAsia="zh-CN"/>
        </w:rPr>
        <w:t>5</w:t>
      </w:r>
      <w:r>
        <w:rPr>
          <w:rFonts w:hint="eastAsia" w:ascii="仿宋_GB2312" w:eastAsia="仿宋_GB2312"/>
          <w:sz w:val="32"/>
          <w:szCs w:val="32"/>
        </w:rPr>
        <w:t>年收入预算</w:t>
      </w:r>
      <w:r>
        <w:rPr>
          <w:rFonts w:hint="eastAsia" w:ascii="仿宋_GB2312" w:eastAsia="仿宋_GB2312" w:cs="Times New Roman"/>
          <w:sz w:val="32"/>
          <w:szCs w:val="32"/>
          <w:lang w:val="en-US" w:eastAsia="zh-CN"/>
        </w:rPr>
        <w:t>1081.34</w:t>
      </w:r>
      <w:r>
        <w:rPr>
          <w:rFonts w:hint="eastAsia" w:ascii="仿宋_GB2312" w:eastAsia="仿宋_GB2312"/>
          <w:sz w:val="32"/>
          <w:szCs w:val="32"/>
        </w:rPr>
        <w:t>万元，其中：上年结转0万元，占0%；一般公共预算拨款收入</w:t>
      </w:r>
      <w:r>
        <w:rPr>
          <w:rFonts w:hint="eastAsia" w:ascii="仿宋_GB2312" w:eastAsia="仿宋_GB2312" w:cs="Times New Roman"/>
          <w:sz w:val="32"/>
          <w:szCs w:val="32"/>
          <w:lang w:val="en-US" w:eastAsia="zh-CN"/>
        </w:rPr>
        <w:t>1081.34</w:t>
      </w:r>
      <w:r>
        <w:rPr>
          <w:rFonts w:hint="eastAsia" w:ascii="仿宋_GB2312" w:eastAsia="仿宋_GB2312"/>
          <w:sz w:val="32"/>
          <w:szCs w:val="32"/>
        </w:rPr>
        <w:t>万元，占100.00%；事业收入0万元，占0%；其他收入0万元，占0%。</w:t>
      </w:r>
    </w:p>
    <w:p>
      <w:pPr>
        <w:pStyle w:val="7"/>
        <w:spacing w:line="360" w:lineRule="auto"/>
        <w:ind w:left="0" w:leftChars="0" w:firstLine="640" w:firstLineChars="200"/>
      </w:pPr>
      <w:r>
        <w:rPr>
          <w:rFonts w:hint="eastAsia" w:ascii="仿宋" w:eastAsia="仿宋" w:cs="仿宋"/>
          <w:kern w:val="0"/>
          <w:sz w:val="32"/>
          <w:szCs w:val="32"/>
        </w:rPr>
        <w:t>壤塘县人民法院202</w:t>
      </w:r>
      <w:r>
        <w:rPr>
          <w:rFonts w:hint="eastAsia" w:ascii="仿宋" w:eastAsia="仿宋" w:cs="仿宋"/>
          <w:kern w:val="0"/>
          <w:sz w:val="32"/>
          <w:szCs w:val="32"/>
          <w:lang w:val="en-US" w:eastAsia="zh-CN"/>
        </w:rPr>
        <w:t>5</w:t>
      </w:r>
      <w:r>
        <w:rPr>
          <w:rFonts w:hint="eastAsia" w:ascii="仿宋" w:eastAsia="仿宋" w:cs="仿宋"/>
          <w:kern w:val="0"/>
          <w:sz w:val="32"/>
          <w:szCs w:val="32"/>
        </w:rPr>
        <w:t>年支出预算</w:t>
      </w:r>
      <w:r>
        <w:rPr>
          <w:rFonts w:hint="eastAsia" w:ascii="仿宋_GB2312" w:eastAsia="仿宋_GB2312" w:cs="Times New Roman"/>
          <w:sz w:val="32"/>
          <w:szCs w:val="32"/>
          <w:lang w:val="en-US" w:eastAsia="zh-CN"/>
        </w:rPr>
        <w:t>1081.34</w:t>
      </w:r>
      <w:r>
        <w:rPr>
          <w:rFonts w:hint="eastAsia" w:ascii="仿宋" w:eastAsia="仿宋" w:cs="仿宋"/>
          <w:kern w:val="0"/>
          <w:sz w:val="32"/>
          <w:szCs w:val="32"/>
        </w:rPr>
        <w:t>万元，其中：基本支出</w:t>
      </w:r>
      <w:r>
        <w:rPr>
          <w:rFonts w:hint="eastAsia" w:ascii="仿宋" w:eastAsia="仿宋" w:cs="仿宋"/>
          <w:kern w:val="0"/>
          <w:sz w:val="32"/>
          <w:szCs w:val="32"/>
          <w:lang w:val="en-US" w:eastAsia="zh-CN"/>
        </w:rPr>
        <w:t>1059.34</w:t>
      </w:r>
      <w:r>
        <w:rPr>
          <w:rFonts w:hint="eastAsia" w:ascii="仿宋" w:eastAsia="仿宋" w:cs="仿宋"/>
          <w:kern w:val="0"/>
          <w:sz w:val="32"/>
          <w:szCs w:val="32"/>
        </w:rPr>
        <w:t>万元，占</w:t>
      </w:r>
      <w:r>
        <w:rPr>
          <w:rFonts w:hint="eastAsia" w:ascii="仿宋" w:eastAsia="仿宋" w:cs="仿宋"/>
          <w:kern w:val="0"/>
          <w:sz w:val="32"/>
          <w:szCs w:val="32"/>
          <w:lang w:val="en-US" w:eastAsia="zh-CN"/>
        </w:rPr>
        <w:t>97.97</w:t>
      </w:r>
      <w:r>
        <w:rPr>
          <w:rFonts w:hint="eastAsia" w:ascii="仿宋" w:eastAsia="仿宋" w:cs="仿宋"/>
          <w:kern w:val="0"/>
          <w:sz w:val="32"/>
          <w:szCs w:val="32"/>
        </w:rPr>
        <w:t>%；项目支出</w:t>
      </w:r>
      <w:r>
        <w:rPr>
          <w:rFonts w:hint="eastAsia" w:ascii="仿宋" w:eastAsia="仿宋" w:cs="仿宋"/>
          <w:kern w:val="0"/>
          <w:sz w:val="32"/>
          <w:szCs w:val="32"/>
          <w:lang w:val="en-US" w:eastAsia="zh-CN"/>
        </w:rPr>
        <w:t>22</w:t>
      </w:r>
      <w:r>
        <w:rPr>
          <w:rFonts w:hint="eastAsia" w:ascii="仿宋" w:eastAsia="仿宋" w:cs="仿宋"/>
          <w:kern w:val="0"/>
          <w:sz w:val="32"/>
          <w:szCs w:val="32"/>
        </w:rPr>
        <w:t>万元，占</w:t>
      </w:r>
      <w:r>
        <w:rPr>
          <w:rFonts w:hint="eastAsia" w:ascii="仿宋" w:eastAsia="仿宋" w:cs="仿宋"/>
          <w:kern w:val="0"/>
          <w:sz w:val="32"/>
          <w:szCs w:val="32"/>
          <w:lang w:val="en-US" w:eastAsia="zh-CN"/>
        </w:rPr>
        <w:t>2.03</w:t>
      </w:r>
      <w:r>
        <w:rPr>
          <w:rFonts w:hint="eastAsia" w:ascii="仿宋" w:eastAsia="仿宋" w:cs="仿宋"/>
          <w:kern w:val="0"/>
          <w:sz w:val="32"/>
          <w:szCs w:val="32"/>
        </w:rPr>
        <w:t>%</w:t>
      </w:r>
      <w:r>
        <w:rPr>
          <w:rFonts w:hint="eastAsia" w:ascii="仿宋" w:eastAsia="仿宋" w:cs="仿宋"/>
          <w:sz w:val="32"/>
          <w:szCs w:val="32"/>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4"/>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4"/>
        <w:spacing w:before="0" w:line="360" w:lineRule="auto"/>
        <w:ind w:firstLine="660"/>
        <w:rPr>
          <w:rFonts w:cs="仿宋_GB2312"/>
          <w:kern w:val="2"/>
          <w:sz w:val="32"/>
          <w:szCs w:val="32"/>
        </w:rPr>
      </w:pPr>
      <w:r>
        <w:rPr>
          <w:rFonts w:hint="eastAsia" w:cs="仿宋_GB2312"/>
          <w:kern w:val="2"/>
          <w:sz w:val="32"/>
          <w:szCs w:val="32"/>
          <w:lang w:eastAsia="zh-CN"/>
        </w:rPr>
        <w:t>壤塘县人民法院</w:t>
      </w:r>
      <w:r>
        <w:rPr>
          <w:rFonts w:hint="eastAsia" w:cs="宋体"/>
          <w:sz w:val="32"/>
          <w:szCs w:val="32"/>
        </w:rPr>
        <w:t>2026年一般公共预算当年拨款</w:t>
      </w:r>
      <w:r>
        <w:rPr>
          <w:rFonts w:hint="eastAsia" w:ascii="仿宋_GB2312" w:eastAsia="仿宋_GB2312" w:cs="Times New Roman"/>
          <w:sz w:val="32"/>
          <w:szCs w:val="32"/>
          <w:lang w:val="en-US" w:eastAsia="zh-CN"/>
        </w:rPr>
        <w:t>1081.34</w:t>
      </w:r>
      <w:r>
        <w:rPr>
          <w:rFonts w:hint="eastAsia" w:cs="宋体"/>
          <w:sz w:val="32"/>
          <w:szCs w:val="32"/>
        </w:rPr>
        <w:t>万元，比2025年预算数增加</w:t>
      </w:r>
      <w:r>
        <w:rPr>
          <w:rFonts w:hint="eastAsia" w:ascii="仿宋_GB2312" w:eastAsia="仿宋_GB2312" w:cs="Times New Roman"/>
          <w:sz w:val="32"/>
          <w:szCs w:val="32"/>
          <w:lang w:val="en-US" w:eastAsia="zh-CN"/>
        </w:rPr>
        <w:t>56.67</w:t>
      </w:r>
      <w:r>
        <w:rPr>
          <w:rFonts w:hint="eastAsia" w:cs="宋体"/>
          <w:sz w:val="32"/>
          <w:szCs w:val="32"/>
        </w:rPr>
        <w:t>万元，主要原因:</w:t>
      </w:r>
      <w:r>
        <w:rPr>
          <w:rFonts w:hint="eastAsia" w:ascii="仿宋_GB2312" w:eastAsia="仿宋_GB2312" w:cs="Times New Roman"/>
          <w:sz w:val="32"/>
          <w:szCs w:val="32"/>
          <w:lang w:val="en-US" w:eastAsia="zh-CN"/>
        </w:rPr>
        <w:t>工资上调人员经费增加，干警数量增加。</w:t>
      </w:r>
      <w:r>
        <w:rPr>
          <w:rFonts w:hint="eastAsia" w:cs="仿宋_GB2312"/>
          <w:kern w:val="2"/>
          <w:sz w:val="32"/>
          <w:szCs w:val="32"/>
        </w:rPr>
        <w:t>　　</w:t>
      </w:r>
    </w:p>
    <w:p>
      <w:pPr>
        <w:pStyle w:val="14"/>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640" w:leftChars="0" w:firstLine="0" w:firstLineChars="0"/>
        <w:jc w:val="left"/>
        <w:textAlignment w:val="auto"/>
        <w:rPr>
          <w:rFonts w:hint="eastAsia" w:ascii="楷体" w:eastAsia="楷体" w:cs="宋体"/>
          <w:sz w:val="32"/>
          <w:szCs w:val="32"/>
        </w:rPr>
      </w:pPr>
      <w:r>
        <w:rPr>
          <w:rFonts w:hint="eastAsia" w:ascii="楷体" w:eastAsia="楷体" w:cs="宋体"/>
          <w:sz w:val="32"/>
          <w:szCs w:val="32"/>
        </w:rPr>
        <w:t>一般公共预算当年拨款结构情况</w:t>
      </w:r>
    </w:p>
    <w:p>
      <w:pPr>
        <w:pStyle w:val="14"/>
        <w:keepNext w:val="0"/>
        <w:keepLines w:val="0"/>
        <w:pageBreakBefore w:val="0"/>
        <w:widowControl w:val="0"/>
        <w:numPr>
          <w:numId w:val="0"/>
        </w:numPr>
        <w:kinsoku/>
        <w:wordWrap/>
        <w:overflowPunct/>
        <w:topLinePunct w:val="0"/>
        <w:autoSpaceDE/>
        <w:autoSpaceDN/>
        <w:bidi w:val="0"/>
        <w:adjustRightInd/>
        <w:snapToGrid/>
        <w:spacing w:before="0" w:line="360" w:lineRule="auto"/>
        <w:ind w:left="640" w:leftChars="0"/>
        <w:jc w:val="left"/>
        <w:textAlignment w:val="auto"/>
        <w:rPr>
          <w:rFonts w:hint="eastAsia" w:cs="仿宋_GB2312"/>
          <w:kern w:val="2"/>
          <w:sz w:val="32"/>
          <w:szCs w:val="32"/>
          <w:lang w:eastAsia="zh-CN"/>
        </w:rPr>
      </w:pPr>
      <w:r>
        <w:rPr>
          <w:rFonts w:hint="eastAsia" w:cs="仿宋_GB2312"/>
          <w:kern w:val="2"/>
          <w:sz w:val="32"/>
          <w:szCs w:val="32"/>
          <w:lang w:eastAsia="zh-CN"/>
        </w:rPr>
        <w:t>公共安全支出</w:t>
      </w:r>
      <w:r>
        <w:rPr>
          <w:rFonts w:hint="eastAsia" w:cs="仿宋_GB2312"/>
          <w:kern w:val="2"/>
          <w:sz w:val="32"/>
          <w:szCs w:val="32"/>
          <w:lang w:val="en-US" w:eastAsia="zh-CN"/>
        </w:rPr>
        <w:t>789.46</w:t>
      </w:r>
      <w:r>
        <w:rPr>
          <w:rFonts w:hint="eastAsia" w:cs="仿宋_GB2312"/>
          <w:kern w:val="2"/>
          <w:sz w:val="32"/>
          <w:szCs w:val="32"/>
          <w:lang w:eastAsia="zh-CN"/>
        </w:rPr>
        <w:t>万元，占</w:t>
      </w:r>
      <w:r>
        <w:rPr>
          <w:rFonts w:hint="eastAsia" w:cs="仿宋_GB2312"/>
          <w:kern w:val="2"/>
          <w:sz w:val="32"/>
          <w:szCs w:val="32"/>
          <w:lang w:val="en-US" w:eastAsia="zh-CN"/>
        </w:rPr>
        <w:t>73.01</w:t>
      </w:r>
      <w:r>
        <w:rPr>
          <w:rFonts w:hint="eastAsia" w:cs="仿宋_GB2312"/>
          <w:kern w:val="2"/>
          <w:sz w:val="32"/>
          <w:szCs w:val="32"/>
          <w:lang w:eastAsia="zh-CN"/>
        </w:rPr>
        <w:t>%；社会保障和就业支出</w:t>
      </w:r>
      <w:r>
        <w:rPr>
          <w:rFonts w:hint="eastAsia" w:cs="仿宋_GB2312"/>
          <w:kern w:val="2"/>
          <w:sz w:val="32"/>
          <w:szCs w:val="32"/>
          <w:lang w:val="en-US" w:eastAsia="zh-CN"/>
        </w:rPr>
        <w:t>157.46</w:t>
      </w:r>
      <w:r>
        <w:rPr>
          <w:rFonts w:hint="eastAsia" w:cs="仿宋_GB2312"/>
          <w:kern w:val="2"/>
          <w:sz w:val="32"/>
          <w:szCs w:val="32"/>
          <w:lang w:eastAsia="zh-CN"/>
        </w:rPr>
        <w:t>万元，占</w:t>
      </w:r>
      <w:r>
        <w:rPr>
          <w:rFonts w:hint="eastAsia" w:cs="仿宋_GB2312"/>
          <w:kern w:val="2"/>
          <w:sz w:val="32"/>
          <w:szCs w:val="32"/>
          <w:lang w:val="en-US" w:eastAsia="zh-CN"/>
        </w:rPr>
        <w:t>14.56</w:t>
      </w:r>
      <w:r>
        <w:rPr>
          <w:rFonts w:hint="eastAsia" w:cs="仿宋_GB2312"/>
          <w:kern w:val="2"/>
          <w:sz w:val="32"/>
          <w:szCs w:val="32"/>
          <w:lang w:eastAsia="zh-CN"/>
        </w:rPr>
        <w:t>%；卫生健康支出</w:t>
      </w:r>
      <w:r>
        <w:rPr>
          <w:rFonts w:hint="eastAsia" w:cs="仿宋_GB2312"/>
          <w:kern w:val="2"/>
          <w:sz w:val="32"/>
          <w:szCs w:val="32"/>
          <w:lang w:val="en-US" w:eastAsia="zh-CN"/>
        </w:rPr>
        <w:t>57.61</w:t>
      </w:r>
      <w:r>
        <w:rPr>
          <w:rFonts w:hint="eastAsia" w:cs="仿宋_GB2312"/>
          <w:kern w:val="2"/>
          <w:sz w:val="32"/>
          <w:szCs w:val="32"/>
          <w:lang w:eastAsia="zh-CN"/>
        </w:rPr>
        <w:t>万元，占</w:t>
      </w:r>
      <w:r>
        <w:rPr>
          <w:rFonts w:hint="eastAsia" w:cs="仿宋_GB2312"/>
          <w:kern w:val="2"/>
          <w:sz w:val="32"/>
          <w:szCs w:val="32"/>
          <w:lang w:val="en-US" w:eastAsia="zh-CN"/>
        </w:rPr>
        <w:t>5.33</w:t>
      </w:r>
      <w:r>
        <w:rPr>
          <w:rFonts w:hint="eastAsia" w:cs="仿宋_GB2312"/>
          <w:kern w:val="2"/>
          <w:sz w:val="32"/>
          <w:szCs w:val="32"/>
          <w:lang w:eastAsia="zh-CN"/>
        </w:rPr>
        <w:t>%；住房保障支出</w:t>
      </w:r>
      <w:r>
        <w:rPr>
          <w:rFonts w:hint="eastAsia" w:cs="仿宋_GB2312"/>
          <w:kern w:val="2"/>
          <w:sz w:val="32"/>
          <w:szCs w:val="32"/>
          <w:lang w:val="en-US" w:eastAsia="zh-CN"/>
        </w:rPr>
        <w:t>76.81</w:t>
      </w:r>
      <w:r>
        <w:rPr>
          <w:rFonts w:hint="eastAsia" w:cs="仿宋_GB2312"/>
          <w:kern w:val="2"/>
          <w:sz w:val="32"/>
          <w:szCs w:val="32"/>
          <w:lang w:eastAsia="zh-CN"/>
        </w:rPr>
        <w:t>万元，占</w:t>
      </w:r>
      <w:r>
        <w:rPr>
          <w:rFonts w:hint="eastAsia" w:cs="仿宋_GB2312"/>
          <w:kern w:val="2"/>
          <w:sz w:val="32"/>
          <w:szCs w:val="32"/>
          <w:lang w:val="en-US" w:eastAsia="zh-CN"/>
        </w:rPr>
        <w:t>7.10</w:t>
      </w:r>
      <w:r>
        <w:rPr>
          <w:rFonts w:hint="eastAsia" w:cs="仿宋_GB2312"/>
          <w:kern w:val="2"/>
          <w:sz w:val="32"/>
          <w:szCs w:val="32"/>
          <w:lang w:eastAsia="zh-CN"/>
        </w:rPr>
        <w:t>%。</w:t>
      </w:r>
    </w:p>
    <w:p>
      <w:pPr>
        <w:pStyle w:val="14"/>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1.公共安全支出（204）法院（05）行政运行（01）202</w:t>
      </w:r>
      <w:r>
        <w:rPr>
          <w:rFonts w:hint="eastAsia" w:ascii="仿宋" w:eastAsia="仿宋" w:cs="仿宋"/>
          <w:sz w:val="32"/>
          <w:szCs w:val="32"/>
          <w:lang w:val="en-US" w:eastAsia="zh-CN"/>
        </w:rPr>
        <w:t>6</w:t>
      </w:r>
      <w:r>
        <w:rPr>
          <w:rFonts w:hint="eastAsia" w:ascii="仿宋" w:eastAsia="仿宋" w:cs="仿宋"/>
          <w:sz w:val="32"/>
          <w:szCs w:val="32"/>
        </w:rPr>
        <w:t>年预算数为</w:t>
      </w:r>
      <w:r>
        <w:rPr>
          <w:rFonts w:hint="eastAsia" w:ascii="仿宋" w:eastAsia="仿宋" w:cs="仿宋"/>
          <w:sz w:val="32"/>
          <w:szCs w:val="32"/>
          <w:lang w:val="en-US" w:eastAsia="zh-CN"/>
        </w:rPr>
        <w:t>789.46</w:t>
      </w:r>
      <w:r>
        <w:rPr>
          <w:rFonts w:hint="eastAsia" w:ascii="仿宋" w:eastAsia="仿宋" w:cs="仿宋"/>
          <w:sz w:val="32"/>
          <w:szCs w:val="32"/>
        </w:rPr>
        <w:t>万元，主要用于：机关工资福利支出、机关商品和服务支出及对个人和家庭的补助、设备购置等。</w:t>
      </w:r>
    </w:p>
    <w:p>
      <w:pPr>
        <w:pStyle w:val="10"/>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2.社会保障和就业支出（208）行政事业单位养老支出（05）机关事业单位基本养老保险缴费支出（05）202</w:t>
      </w:r>
      <w:r>
        <w:rPr>
          <w:rFonts w:hint="eastAsia" w:ascii="仿宋" w:eastAsia="仿宋" w:cs="仿宋"/>
          <w:sz w:val="32"/>
          <w:szCs w:val="32"/>
          <w:lang w:val="en-US" w:eastAsia="zh-CN"/>
        </w:rPr>
        <w:t>6</w:t>
      </w:r>
      <w:r>
        <w:rPr>
          <w:rFonts w:hint="eastAsia" w:ascii="仿宋" w:eastAsia="仿宋" w:cs="仿宋"/>
          <w:sz w:val="32"/>
          <w:szCs w:val="32"/>
        </w:rPr>
        <w:t>年预算数为</w:t>
      </w:r>
      <w:r>
        <w:rPr>
          <w:rFonts w:hint="eastAsia" w:ascii="仿宋" w:eastAsia="仿宋" w:cs="仿宋"/>
          <w:sz w:val="32"/>
          <w:szCs w:val="32"/>
          <w:lang w:val="en-US" w:eastAsia="zh-CN"/>
        </w:rPr>
        <w:t>104.97</w:t>
      </w:r>
      <w:r>
        <w:rPr>
          <w:rFonts w:hint="eastAsia" w:ascii="仿宋" w:eastAsia="仿宋" w:cs="仿宋"/>
          <w:sz w:val="32"/>
          <w:szCs w:val="32"/>
        </w:rPr>
        <w:t>万元，主要用于：缴纳202</w:t>
      </w:r>
      <w:r>
        <w:rPr>
          <w:rFonts w:hint="eastAsia" w:ascii="仿宋" w:eastAsia="仿宋" w:cs="仿宋"/>
          <w:sz w:val="32"/>
          <w:szCs w:val="32"/>
          <w:lang w:val="en-US" w:eastAsia="zh-CN"/>
        </w:rPr>
        <w:t>6</w:t>
      </w:r>
      <w:r>
        <w:rPr>
          <w:rFonts w:hint="eastAsia" w:ascii="仿宋" w:eastAsia="仿宋" w:cs="仿宋"/>
          <w:sz w:val="32"/>
          <w:szCs w:val="32"/>
        </w:rPr>
        <w:t>年度职工养老保险。</w:t>
      </w:r>
    </w:p>
    <w:p>
      <w:pPr>
        <w:pStyle w:val="10"/>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3.社会保障和就业支出（208）行政事业单位养老支出（05）机关事业单位基本职业年金缴费支出（06）202</w:t>
      </w:r>
      <w:r>
        <w:rPr>
          <w:rFonts w:hint="eastAsia" w:ascii="仿宋" w:eastAsia="仿宋" w:cs="仿宋"/>
          <w:sz w:val="32"/>
          <w:szCs w:val="32"/>
          <w:lang w:val="en-US" w:eastAsia="zh-CN"/>
        </w:rPr>
        <w:t>6</w:t>
      </w:r>
      <w:r>
        <w:rPr>
          <w:rFonts w:hint="eastAsia" w:ascii="仿宋" w:eastAsia="仿宋" w:cs="仿宋"/>
          <w:sz w:val="32"/>
          <w:szCs w:val="32"/>
        </w:rPr>
        <w:t>年预算数为</w:t>
      </w:r>
      <w:r>
        <w:rPr>
          <w:rFonts w:hint="eastAsia" w:ascii="仿宋" w:eastAsia="仿宋" w:cs="仿宋"/>
          <w:sz w:val="32"/>
          <w:szCs w:val="32"/>
          <w:lang w:val="en-US" w:eastAsia="zh-CN"/>
        </w:rPr>
        <w:t>52.49</w:t>
      </w:r>
      <w:r>
        <w:rPr>
          <w:rFonts w:hint="eastAsia" w:ascii="仿宋" w:eastAsia="仿宋" w:cs="仿宋"/>
          <w:sz w:val="32"/>
          <w:szCs w:val="32"/>
        </w:rPr>
        <w:t>万元，主要用于：缴纳202</w:t>
      </w:r>
      <w:r>
        <w:rPr>
          <w:rFonts w:hint="eastAsia" w:ascii="仿宋" w:eastAsia="仿宋" w:cs="仿宋"/>
          <w:sz w:val="32"/>
          <w:szCs w:val="32"/>
          <w:lang w:val="en-US" w:eastAsia="zh-CN"/>
        </w:rPr>
        <w:t>6</w:t>
      </w:r>
      <w:r>
        <w:rPr>
          <w:rFonts w:hint="eastAsia" w:ascii="仿宋" w:eastAsia="仿宋" w:cs="仿宋"/>
          <w:sz w:val="32"/>
          <w:szCs w:val="32"/>
        </w:rPr>
        <w:t>年度职工职业年金。</w:t>
      </w:r>
    </w:p>
    <w:p>
      <w:pPr>
        <w:pStyle w:val="10"/>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4.卫生健康支出（210）行政事业单位医疗（11）行政单位医疗（01）202</w:t>
      </w:r>
      <w:r>
        <w:rPr>
          <w:rFonts w:hint="eastAsia" w:ascii="仿宋" w:eastAsia="仿宋" w:cs="仿宋"/>
          <w:sz w:val="32"/>
          <w:szCs w:val="32"/>
          <w:lang w:val="en-US" w:eastAsia="zh-CN"/>
        </w:rPr>
        <w:t>6</w:t>
      </w:r>
      <w:r>
        <w:rPr>
          <w:rFonts w:hint="eastAsia" w:ascii="仿宋" w:eastAsia="仿宋" w:cs="仿宋"/>
          <w:sz w:val="32"/>
          <w:szCs w:val="32"/>
        </w:rPr>
        <w:t>年预算数为</w:t>
      </w:r>
      <w:r>
        <w:rPr>
          <w:rFonts w:hint="eastAsia" w:ascii="仿宋" w:eastAsia="仿宋" w:cs="仿宋"/>
          <w:sz w:val="32"/>
          <w:szCs w:val="32"/>
          <w:lang w:val="en-US" w:eastAsia="zh-CN"/>
        </w:rPr>
        <w:t>45.92</w:t>
      </w:r>
      <w:r>
        <w:rPr>
          <w:rFonts w:hint="eastAsia" w:ascii="仿宋" w:eastAsia="仿宋" w:cs="仿宋"/>
          <w:sz w:val="32"/>
          <w:szCs w:val="32"/>
        </w:rPr>
        <w:t>万元，主要用于：缴纳202</w:t>
      </w:r>
      <w:r>
        <w:rPr>
          <w:rFonts w:hint="eastAsia" w:ascii="仿宋" w:eastAsia="仿宋" w:cs="仿宋"/>
          <w:sz w:val="32"/>
          <w:szCs w:val="32"/>
          <w:lang w:val="en-US" w:eastAsia="zh-CN"/>
        </w:rPr>
        <w:t>6</w:t>
      </w:r>
      <w:r>
        <w:rPr>
          <w:rFonts w:hint="eastAsia" w:ascii="仿宋" w:eastAsia="仿宋" w:cs="仿宋"/>
          <w:sz w:val="32"/>
          <w:szCs w:val="32"/>
        </w:rPr>
        <w:t>年度职工基本医疗保险。</w:t>
      </w:r>
    </w:p>
    <w:p>
      <w:pPr>
        <w:pStyle w:val="10"/>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5.卫生健康支出（210）行政事业单位医疗（11）公务员医疗补助（03）202</w:t>
      </w:r>
      <w:r>
        <w:rPr>
          <w:rFonts w:hint="eastAsia" w:ascii="仿宋" w:eastAsia="仿宋" w:cs="仿宋"/>
          <w:sz w:val="32"/>
          <w:szCs w:val="32"/>
          <w:lang w:val="en-US" w:eastAsia="zh-CN"/>
        </w:rPr>
        <w:t>6</w:t>
      </w:r>
      <w:r>
        <w:rPr>
          <w:rFonts w:hint="eastAsia" w:ascii="仿宋" w:eastAsia="仿宋" w:cs="仿宋"/>
          <w:sz w:val="32"/>
          <w:szCs w:val="32"/>
        </w:rPr>
        <w:t>年预算数为</w:t>
      </w:r>
      <w:r>
        <w:rPr>
          <w:rFonts w:hint="eastAsia" w:ascii="仿宋" w:eastAsia="仿宋" w:cs="仿宋"/>
          <w:sz w:val="32"/>
          <w:szCs w:val="32"/>
          <w:lang w:val="en-US" w:eastAsia="zh-CN"/>
        </w:rPr>
        <w:t>11.68</w:t>
      </w:r>
      <w:r>
        <w:rPr>
          <w:rFonts w:hint="eastAsia" w:ascii="仿宋" w:eastAsia="仿宋" w:cs="仿宋"/>
          <w:sz w:val="32"/>
          <w:szCs w:val="32"/>
        </w:rPr>
        <w:t>万元，主要用于：缴纳202</w:t>
      </w:r>
      <w:r>
        <w:rPr>
          <w:rFonts w:hint="eastAsia" w:ascii="仿宋" w:eastAsia="仿宋" w:cs="仿宋"/>
          <w:sz w:val="32"/>
          <w:szCs w:val="32"/>
          <w:lang w:val="en-US" w:eastAsia="zh-CN"/>
        </w:rPr>
        <w:t>6</w:t>
      </w:r>
      <w:r>
        <w:rPr>
          <w:rFonts w:hint="eastAsia" w:ascii="仿宋" w:eastAsia="仿宋" w:cs="仿宋"/>
          <w:sz w:val="32"/>
          <w:szCs w:val="32"/>
        </w:rPr>
        <w:t>年度职工公务员医疗补助。</w:t>
      </w:r>
    </w:p>
    <w:p>
      <w:pPr>
        <w:pStyle w:val="14"/>
        <w:spacing w:before="0" w:line="360" w:lineRule="auto"/>
        <w:ind w:firstLine="640" w:firstLineChars="200"/>
        <w:rPr>
          <w:rFonts w:cs="仿宋_GB2312"/>
          <w:kern w:val="2"/>
          <w:sz w:val="32"/>
          <w:szCs w:val="32"/>
        </w:rPr>
      </w:pPr>
      <w:r>
        <w:rPr>
          <w:rFonts w:hint="eastAsia" w:ascii="仿宋" w:eastAsia="仿宋" w:cs="仿宋"/>
          <w:sz w:val="32"/>
          <w:szCs w:val="32"/>
        </w:rPr>
        <w:t>6.住房保障支出（221）住房改革支出（02）住房公积金（01）202</w:t>
      </w:r>
      <w:r>
        <w:rPr>
          <w:rFonts w:hint="eastAsia" w:ascii="仿宋" w:eastAsia="仿宋" w:cs="仿宋"/>
          <w:sz w:val="32"/>
          <w:szCs w:val="32"/>
          <w:lang w:val="en-US" w:eastAsia="zh-CN"/>
        </w:rPr>
        <w:t>6</w:t>
      </w:r>
      <w:r>
        <w:rPr>
          <w:rFonts w:hint="eastAsia" w:ascii="仿宋" w:eastAsia="仿宋" w:cs="仿宋"/>
          <w:sz w:val="32"/>
          <w:szCs w:val="32"/>
        </w:rPr>
        <w:t>年预算数为</w:t>
      </w:r>
      <w:r>
        <w:rPr>
          <w:rFonts w:hint="eastAsia" w:ascii="仿宋" w:eastAsia="仿宋" w:cs="仿宋"/>
          <w:sz w:val="32"/>
          <w:szCs w:val="32"/>
          <w:lang w:val="en-US" w:eastAsia="zh-CN"/>
        </w:rPr>
        <w:t>76.81</w:t>
      </w:r>
      <w:r>
        <w:rPr>
          <w:rFonts w:hint="eastAsia" w:ascii="仿宋" w:eastAsia="仿宋" w:cs="仿宋"/>
          <w:sz w:val="32"/>
          <w:szCs w:val="32"/>
        </w:rPr>
        <w:t>万元，主要用于：缴纳202</w:t>
      </w:r>
      <w:r>
        <w:rPr>
          <w:rFonts w:hint="eastAsia" w:ascii="仿宋" w:eastAsia="仿宋" w:cs="仿宋"/>
          <w:sz w:val="32"/>
          <w:szCs w:val="32"/>
          <w:lang w:val="en-US" w:eastAsia="zh-CN"/>
        </w:rPr>
        <w:t>6</w:t>
      </w:r>
      <w:r>
        <w:rPr>
          <w:rFonts w:hint="eastAsia" w:ascii="仿宋" w:eastAsia="仿宋" w:cs="仿宋"/>
          <w:sz w:val="32"/>
          <w:szCs w:val="32"/>
        </w:rPr>
        <w:t>年度职工住房公积金。</w:t>
      </w:r>
    </w:p>
    <w:p>
      <w:pPr>
        <w:pStyle w:val="14"/>
        <w:spacing w:before="0" w:line="360" w:lineRule="auto"/>
        <w:ind w:firstLine="979" w:firstLineChars="306"/>
        <w:rPr>
          <w:rFonts w:cs="仿宋_GB2312"/>
          <w:kern w:val="2"/>
          <w:sz w:val="32"/>
          <w:szCs w:val="32"/>
        </w:rPr>
      </w:pPr>
    </w:p>
    <w:p>
      <w:pPr>
        <w:pStyle w:val="14"/>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4"/>
        <w:spacing w:before="0" w:line="360" w:lineRule="auto"/>
        <w:ind w:firstLine="640" w:firstLineChars="200"/>
        <w:rPr>
          <w:rFonts w:cs="仿宋_GB2312"/>
          <w:kern w:val="2"/>
          <w:sz w:val="32"/>
          <w:szCs w:val="32"/>
        </w:rPr>
      </w:pPr>
      <w:r>
        <w:rPr>
          <w:rFonts w:hint="eastAsia" w:cs="仿宋_GB2312"/>
          <w:kern w:val="2"/>
          <w:sz w:val="32"/>
          <w:szCs w:val="32"/>
          <w:lang w:eastAsia="zh-CN"/>
        </w:rPr>
        <w:t>壤塘县人民法院</w:t>
      </w:r>
      <w:r>
        <w:rPr>
          <w:rFonts w:hint="eastAsia" w:cs="仿宋_GB2312"/>
          <w:kern w:val="2"/>
          <w:sz w:val="32"/>
          <w:szCs w:val="32"/>
        </w:rPr>
        <w:t>2026年一般公共预算基本支出</w:t>
      </w:r>
      <w:r>
        <w:rPr>
          <w:rFonts w:hint="eastAsia" w:cs="仿宋_GB2312"/>
          <w:kern w:val="2"/>
          <w:sz w:val="32"/>
          <w:szCs w:val="32"/>
          <w:lang w:val="en-US" w:eastAsia="zh-CN"/>
        </w:rPr>
        <w:t>1081.34</w:t>
      </w:r>
      <w:r>
        <w:rPr>
          <w:rFonts w:hint="eastAsia" w:cs="仿宋_GB2312"/>
          <w:kern w:val="2"/>
          <w:sz w:val="32"/>
          <w:szCs w:val="32"/>
        </w:rPr>
        <w:t>万元，其中：人员经费</w:t>
      </w:r>
      <w:r>
        <w:rPr>
          <w:rFonts w:hint="eastAsia" w:cs="仿宋_GB2312"/>
          <w:kern w:val="2"/>
          <w:sz w:val="32"/>
          <w:szCs w:val="32"/>
          <w:lang w:val="en-US" w:eastAsia="zh-CN"/>
        </w:rPr>
        <w:t>932.11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4"/>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127.23</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4"/>
        <w:spacing w:before="0" w:line="360" w:lineRule="auto"/>
        <w:ind w:firstLine="640" w:firstLineChars="200"/>
        <w:rPr>
          <w:rFonts w:ascii="黑体" w:eastAsia="黑体"/>
          <w:sz w:val="32"/>
          <w:szCs w:val="32"/>
        </w:rPr>
      </w:pPr>
      <w:r>
        <w:rPr>
          <w:rFonts w:hint="eastAsia" w:cs="仿宋_GB2312"/>
          <w:kern w:val="2"/>
          <w:sz w:val="32"/>
          <w:szCs w:val="32"/>
          <w:lang w:eastAsia="zh-CN"/>
        </w:rPr>
        <w:t>项目经费</w:t>
      </w:r>
      <w:r>
        <w:rPr>
          <w:rFonts w:hint="eastAsia" w:cs="仿宋_GB2312"/>
          <w:kern w:val="2"/>
          <w:sz w:val="32"/>
          <w:szCs w:val="32"/>
          <w:lang w:val="en-US" w:eastAsia="zh-CN"/>
        </w:rPr>
        <w:t>22.00万元，主要包括物业管理项目。</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4"/>
        <w:spacing w:before="0" w:line="360" w:lineRule="auto"/>
        <w:ind w:firstLine="640" w:firstLineChars="200"/>
        <w:rPr>
          <w:rFonts w:cs="仿宋_GB2312"/>
          <w:kern w:val="2"/>
          <w:sz w:val="32"/>
          <w:szCs w:val="32"/>
        </w:rPr>
      </w:pPr>
      <w:r>
        <w:rPr>
          <w:rFonts w:hint="eastAsia" w:cs="仿宋_GB2312"/>
          <w:kern w:val="2"/>
          <w:sz w:val="32"/>
          <w:szCs w:val="32"/>
          <w:lang w:eastAsia="zh-CN"/>
        </w:rPr>
        <w:t>壤塘县人民法院</w:t>
      </w:r>
      <w:r>
        <w:rPr>
          <w:rFonts w:hint="eastAsia" w:cs="仿宋_GB2312"/>
          <w:kern w:val="2"/>
          <w:sz w:val="32"/>
          <w:szCs w:val="32"/>
        </w:rPr>
        <w:t>2026年“三公”经费财政拨款预算数</w:t>
      </w:r>
      <w:r>
        <w:rPr>
          <w:rFonts w:hint="eastAsia" w:cs="仿宋_GB2312"/>
          <w:kern w:val="2"/>
          <w:sz w:val="32"/>
          <w:szCs w:val="32"/>
          <w:lang w:val="en-US" w:eastAsia="zh-CN"/>
        </w:rPr>
        <w:t>24.23</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1.73</w:t>
      </w:r>
      <w:r>
        <w:rPr>
          <w:rFonts w:hint="eastAsia" w:cs="仿宋_GB2312"/>
          <w:kern w:val="2"/>
          <w:sz w:val="32"/>
          <w:szCs w:val="32"/>
        </w:rPr>
        <w:t>万元，公务用车购置及运行维护费</w:t>
      </w:r>
      <w:r>
        <w:rPr>
          <w:rFonts w:hint="eastAsia" w:cs="仿宋_GB2312"/>
          <w:kern w:val="2"/>
          <w:sz w:val="32"/>
          <w:szCs w:val="32"/>
          <w:lang w:val="en-US" w:eastAsia="zh-CN"/>
        </w:rPr>
        <w:t>22.50</w:t>
      </w:r>
      <w:r>
        <w:rPr>
          <w:rFonts w:hint="eastAsia" w:cs="仿宋_GB2312"/>
          <w:kern w:val="2"/>
          <w:sz w:val="32"/>
          <w:szCs w:val="32"/>
        </w:rPr>
        <w:t>万元。</w:t>
      </w:r>
    </w:p>
    <w:p>
      <w:pPr>
        <w:pStyle w:val="14"/>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4"/>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1.73</w:t>
      </w:r>
      <w:r>
        <w:rPr>
          <w:rFonts w:hint="eastAsia" w:cs="仿宋_GB2312"/>
          <w:color w:val="000000"/>
          <w:kern w:val="2"/>
          <w:sz w:val="32"/>
          <w:szCs w:val="32"/>
        </w:rPr>
        <w:t>万元。较2025年预算经费减少</w:t>
      </w:r>
      <w:r>
        <w:rPr>
          <w:rFonts w:hint="eastAsia" w:cs="仿宋_GB2312"/>
          <w:color w:val="000000"/>
          <w:kern w:val="2"/>
          <w:sz w:val="32"/>
          <w:szCs w:val="32"/>
          <w:lang w:val="en-US" w:eastAsia="zh-CN"/>
        </w:rPr>
        <w:t>0.03</w:t>
      </w:r>
      <w:r>
        <w:rPr>
          <w:rFonts w:hint="eastAsia" w:cs="仿宋_GB2312"/>
          <w:color w:val="000000"/>
          <w:kern w:val="2"/>
          <w:sz w:val="32"/>
          <w:szCs w:val="32"/>
        </w:rPr>
        <w:t>万元，</w:t>
      </w:r>
      <w:r>
        <w:rPr>
          <w:rFonts w:hint="eastAsia" w:cs="宋体"/>
          <w:sz w:val="32"/>
          <w:szCs w:val="32"/>
          <w:lang w:eastAsia="zh-CN"/>
        </w:rPr>
        <w:t>减少</w:t>
      </w:r>
      <w:r>
        <w:rPr>
          <w:rFonts w:hint="eastAsia" w:cs="仿宋_GB2312"/>
          <w:color w:val="000000"/>
          <w:kern w:val="2"/>
          <w:sz w:val="32"/>
          <w:szCs w:val="32"/>
          <w:lang w:val="en-US" w:eastAsia="zh-CN"/>
        </w:rPr>
        <w:t>1.70</w:t>
      </w:r>
      <w:r>
        <w:rPr>
          <w:rFonts w:hint="eastAsia" w:cs="仿宋_GB2312"/>
          <w:color w:val="000000"/>
          <w:kern w:val="2"/>
          <w:sz w:val="32"/>
          <w:szCs w:val="32"/>
        </w:rPr>
        <w:t>%，主要原因</w:t>
      </w:r>
      <w:r>
        <w:rPr>
          <w:rFonts w:hint="eastAsia" w:cs="仿宋_GB2312"/>
          <w:color w:val="000000"/>
          <w:kern w:val="2"/>
          <w:sz w:val="32"/>
          <w:szCs w:val="32"/>
          <w:lang w:eastAsia="zh-CN"/>
        </w:rPr>
        <w:t>：历行勤俭节约。</w:t>
      </w:r>
    </w:p>
    <w:p>
      <w:pPr>
        <w:pStyle w:val="14"/>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22.5</w:t>
      </w:r>
      <w:r>
        <w:rPr>
          <w:rFonts w:hint="eastAsia" w:cs="仿宋_GB2312"/>
          <w:color w:val="000000"/>
          <w:kern w:val="2"/>
          <w:sz w:val="32"/>
          <w:szCs w:val="32"/>
        </w:rPr>
        <w:t>万元。</w:t>
      </w:r>
      <w:r>
        <w:rPr>
          <w:rFonts w:hint="eastAsia" w:cs="仿宋_GB2312"/>
          <w:color w:val="000000"/>
          <w:kern w:val="2"/>
          <w:sz w:val="32"/>
          <w:szCs w:val="32"/>
        </w:rPr>
        <w:t>与202</w:t>
      </w:r>
      <w:r>
        <w:rPr>
          <w:rFonts w:hint="eastAsia" w:cs="仿宋_GB2312"/>
          <w:color w:val="000000"/>
          <w:kern w:val="2"/>
          <w:sz w:val="32"/>
          <w:szCs w:val="32"/>
          <w:lang w:val="en-US" w:eastAsia="zh-CN"/>
        </w:rPr>
        <w:t>4</w:t>
      </w:r>
      <w:r>
        <w:rPr>
          <w:rFonts w:hint="eastAsia" w:cs="仿宋_GB2312"/>
          <w:color w:val="000000"/>
          <w:kern w:val="2"/>
          <w:sz w:val="32"/>
          <w:szCs w:val="32"/>
        </w:rPr>
        <w:t>年预算持平</w:t>
      </w:r>
      <w:r>
        <w:rPr>
          <w:rFonts w:hint="eastAsia" w:cs="仿宋_GB2312"/>
          <w:color w:val="000000"/>
          <w:kern w:val="2"/>
          <w:sz w:val="32"/>
          <w:szCs w:val="32"/>
          <w:lang w:eastAsia="zh-CN"/>
        </w:rPr>
        <w:t>。</w:t>
      </w:r>
    </w:p>
    <w:p>
      <w:pPr>
        <w:pStyle w:val="14"/>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4"/>
        <w:spacing w:before="0" w:line="360" w:lineRule="auto"/>
        <w:ind w:firstLine="640" w:firstLineChars="200"/>
        <w:rPr>
          <w:rFonts w:cs="仿宋_GB2312"/>
          <w:kern w:val="2"/>
          <w:sz w:val="32"/>
          <w:szCs w:val="32"/>
        </w:rPr>
      </w:pPr>
      <w:r>
        <w:rPr>
          <w:rFonts w:hint="eastAsia" w:cs="仿宋_GB2312"/>
          <w:kern w:val="2"/>
          <w:sz w:val="32"/>
          <w:szCs w:val="32"/>
          <w:lang w:eastAsia="zh-CN"/>
        </w:rPr>
        <w:t>壤塘县人民法院</w:t>
      </w:r>
      <w:r>
        <w:rPr>
          <w:rFonts w:hint="eastAsia" w:cs="仿宋_GB2312"/>
          <w:kern w:val="2"/>
          <w:sz w:val="32"/>
          <w:szCs w:val="32"/>
        </w:rPr>
        <w:t>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4"/>
        <w:spacing w:before="0" w:line="360" w:lineRule="auto"/>
        <w:ind w:firstLine="640" w:firstLineChars="200"/>
        <w:rPr>
          <w:rFonts w:cs="仿宋_GB2312"/>
          <w:color w:val="FF0000"/>
          <w:kern w:val="2"/>
          <w:sz w:val="32"/>
          <w:szCs w:val="32"/>
          <w:highlight w:val="none"/>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壤塘县人民法院</w:t>
      </w:r>
      <w:r>
        <w:rPr>
          <w:rFonts w:hint="eastAsia" w:cs="仿宋_GB2312"/>
          <w:kern w:val="2"/>
          <w:sz w:val="32"/>
          <w:szCs w:val="32"/>
        </w:rPr>
        <w:t>2026年机关</w:t>
      </w:r>
      <w:r>
        <w:rPr>
          <w:rFonts w:hint="eastAsia" w:cs="仿宋_GB2312"/>
          <w:kern w:val="2"/>
          <w:sz w:val="32"/>
          <w:szCs w:val="32"/>
          <w:highlight w:val="none"/>
        </w:rPr>
        <w:t>运行经费财政拨款预算为</w:t>
      </w:r>
      <w:r>
        <w:rPr>
          <w:rFonts w:hint="eastAsia" w:cs="仿宋_GB2312"/>
          <w:kern w:val="2"/>
          <w:sz w:val="32"/>
          <w:szCs w:val="32"/>
          <w:highlight w:val="none"/>
          <w:lang w:val="en-US" w:eastAsia="zh-CN"/>
        </w:rPr>
        <w:t>128.3</w:t>
      </w:r>
      <w:r>
        <w:rPr>
          <w:rFonts w:hint="eastAsia" w:cs="仿宋_GB2312"/>
          <w:kern w:val="2"/>
          <w:sz w:val="32"/>
          <w:szCs w:val="32"/>
          <w:highlight w:val="none"/>
        </w:rPr>
        <w:t>万元，比2025年预算</w:t>
      </w:r>
      <w:r>
        <w:rPr>
          <w:rFonts w:hint="eastAsia" w:cs="仿宋_GB2312"/>
          <w:color w:val="000000"/>
          <w:kern w:val="2"/>
          <w:sz w:val="32"/>
          <w:szCs w:val="32"/>
          <w:highlight w:val="none"/>
        </w:rPr>
        <w:t>减少</w:t>
      </w:r>
      <w:r>
        <w:rPr>
          <w:rFonts w:hint="eastAsia" w:cs="仿宋_GB2312"/>
          <w:color w:val="000000"/>
          <w:kern w:val="2"/>
          <w:sz w:val="32"/>
          <w:szCs w:val="32"/>
          <w:highlight w:val="none"/>
          <w:lang w:val="en-US" w:eastAsia="zh-CN"/>
        </w:rPr>
        <w:t>4.59</w:t>
      </w:r>
      <w:r>
        <w:rPr>
          <w:rFonts w:hint="eastAsia" w:cs="仿宋_GB2312"/>
          <w:color w:val="000000"/>
          <w:kern w:val="2"/>
          <w:sz w:val="32"/>
          <w:szCs w:val="32"/>
          <w:highlight w:val="none"/>
        </w:rPr>
        <w:t>万元，减少</w:t>
      </w:r>
      <w:r>
        <w:rPr>
          <w:rFonts w:hint="eastAsia" w:cs="仿宋_GB2312"/>
          <w:color w:val="000000"/>
          <w:kern w:val="2"/>
          <w:sz w:val="32"/>
          <w:szCs w:val="32"/>
          <w:highlight w:val="none"/>
          <w:lang w:val="en-US" w:eastAsia="zh-CN"/>
        </w:rPr>
        <w:t>3.45</w:t>
      </w:r>
      <w:r>
        <w:rPr>
          <w:rFonts w:hint="eastAsia" w:cs="仿宋_GB2312"/>
          <w:color w:val="000000"/>
          <w:kern w:val="2"/>
          <w:sz w:val="32"/>
          <w:szCs w:val="32"/>
          <w:highlight w:val="none"/>
        </w:rPr>
        <w:t xml:space="preserve">%。 </w:t>
      </w:r>
    </w:p>
    <w:p>
      <w:pPr>
        <w:pStyle w:val="14"/>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lang w:eastAsia="zh-CN"/>
        </w:rPr>
        <w:t>壤塘县人民法院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4"/>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4"/>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w:t>
      </w:r>
      <w:r>
        <w:rPr>
          <w:rFonts w:hint="eastAsia" w:cs="仿宋_GB2312"/>
          <w:kern w:val="2"/>
          <w:sz w:val="32"/>
          <w:szCs w:val="32"/>
          <w:highlight w:val="none"/>
        </w:rPr>
        <w:t>定资产</w:t>
      </w:r>
      <w:r>
        <w:rPr>
          <w:rFonts w:hint="eastAsia" w:cs="仿宋_GB2312"/>
          <w:kern w:val="2"/>
          <w:sz w:val="32"/>
          <w:szCs w:val="32"/>
          <w:highlight w:val="none"/>
          <w:lang w:val="en-US" w:eastAsia="zh-CN"/>
        </w:rPr>
        <w:t>1864.25</w:t>
      </w:r>
      <w:r>
        <w:rPr>
          <w:rFonts w:hint="eastAsia" w:cs="仿宋_GB2312"/>
          <w:kern w:val="2"/>
          <w:sz w:val="32"/>
          <w:szCs w:val="32"/>
          <w:highlight w:val="none"/>
        </w:rPr>
        <w:t>万元。</w:t>
      </w:r>
    </w:p>
    <w:p>
      <w:pPr>
        <w:pStyle w:val="14"/>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kern w:val="2"/>
          <w:sz w:val="32"/>
          <w:szCs w:val="32"/>
          <w:lang w:eastAsia="zh-CN"/>
        </w:rPr>
        <w:t>壤塘县人民法院</w:t>
      </w:r>
      <w:r>
        <w:rPr>
          <w:rFonts w:hint="eastAsia" w:cs="仿宋_GB2312"/>
          <w:kern w:val="2"/>
          <w:sz w:val="32"/>
          <w:szCs w:val="32"/>
        </w:rPr>
        <w:t>通用项目和专用项目均</w:t>
      </w:r>
      <w:bookmarkStart w:id="0" w:name="_GoBack"/>
      <w:bookmarkEnd w:id="0"/>
      <w:r>
        <w:rPr>
          <w:rFonts w:hint="eastAsia" w:cs="仿宋_GB2312"/>
          <w:kern w:val="2"/>
          <w:sz w:val="32"/>
          <w:szCs w:val="32"/>
        </w:rPr>
        <w:t>按要求实行绩效目标管理，涉及一般公共预算当年拨款</w:t>
      </w:r>
      <w:r>
        <w:rPr>
          <w:rFonts w:hint="eastAsia" w:cs="仿宋_GB2312"/>
          <w:kern w:val="2"/>
          <w:sz w:val="32"/>
          <w:szCs w:val="32"/>
          <w:lang w:val="en-US" w:eastAsia="zh-CN"/>
        </w:rPr>
        <w:t>1081.34</w:t>
      </w:r>
      <w:r>
        <w:rPr>
          <w:rFonts w:hint="eastAsia" w:cs="仿宋_GB2312"/>
          <w:kern w:val="2"/>
          <w:sz w:val="32"/>
          <w:szCs w:val="32"/>
        </w:rPr>
        <w:t>万元。</w:t>
      </w:r>
    </w:p>
    <w:p>
      <w:pPr>
        <w:pStyle w:val="14"/>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auto"/>
    <w:pitch w:val="default"/>
    <w:sig w:usb0="00000000" w:usb1="00000000" w:usb2="00000008" w:usb3="00000000" w:csb0="400001FF" w:csb1="FFFF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ˎ̥">
    <w:altName w:val="C059"/>
    <w:panose1 w:val="00000000000000000000"/>
    <w:charset w:val="00"/>
    <w:family w:val="roman"/>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仿宋_GB2312">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68607"/>
    <w:multiLevelType w:val="singleLevel"/>
    <w:tmpl w:val="F5B68607"/>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3CEFD7E7"/>
    <w:rsid w:val="6FF9D994"/>
    <w:rsid w:val="AFEB0A9B"/>
    <w:rsid w:val="CFEFF448"/>
    <w:rsid w:val="EFF71A47"/>
    <w:rsid w:val="FAFFD1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uiPriority w:val="0"/>
    <w:pPr>
      <w:keepNext/>
      <w:keepLines/>
      <w:widowControl w:val="0"/>
      <w:spacing w:before="260" w:after="260" w:line="415" w:lineRule="auto"/>
      <w:outlineLvl w:val="2"/>
    </w:pPr>
    <w:rPr>
      <w:b/>
      <w:sz w:val="32"/>
    </w:rPr>
  </w:style>
  <w:style w:type="character" w:default="1" w:styleId="12">
    <w:name w:val="Default Paragraph Fon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spacing w:after="120" w:afterLines="0" w:afterAutospacing="0"/>
      <w:ind w:left="420" w:leftChars="200"/>
    </w:pPr>
  </w:style>
  <w:style w:type="paragraph" w:styleId="7">
    <w:name w:val="index 5"/>
    <w:basedOn w:val="1"/>
    <w:next w:val="1"/>
    <w:qFormat/>
    <w:uiPriority w:val="0"/>
    <w:pPr>
      <w:ind w:left="800" w:leftChars="800"/>
    </w:p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paragraph" w:styleId="13">
    <w:name w:val="List Paragraph"/>
    <w:basedOn w:val="1"/>
    <w:uiPriority w:val="0"/>
    <w:pPr>
      <w:ind w:firstLine="200" w:firstLineChars="200"/>
    </w:pPr>
  </w:style>
  <w:style w:type="paragraph" w:customStyle="1" w:styleId="14">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5</TotalTime>
  <ScaleCrop>false</ScaleCrop>
  <LinksUpToDate>false</LinksUpToDate>
  <CharactersWithSpaces>1800</CharactersWithSpaces>
  <Application>WPS Office_11.8.2.12019_F1E327BC-269C-435d-A152-05C5408002CA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kos</cp:lastModifiedBy>
  <cp:lastPrinted>2018-01-30T17:39:00Z</cp:lastPrinted>
  <dcterms:modified xsi:type="dcterms:W3CDTF">2026-01-22T10:39:17Z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B74BC4A0251E71F15CF96E69B80BA287</vt:lpwstr>
  </property>
</Properties>
</file>