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2AB013">
      <w:pPr>
        <w:spacing w:line="360" w:lineRule="auto"/>
        <w:ind w:firstLine="420" w:firstLineChars="200"/>
      </w:pPr>
    </w:p>
    <w:p w14:paraId="0BDD0413">
      <w:pPr>
        <w:spacing w:line="360" w:lineRule="auto"/>
        <w:ind w:firstLine="420" w:firstLineChars="200"/>
      </w:pPr>
    </w:p>
    <w:p w14:paraId="31520C42">
      <w:pPr>
        <w:spacing w:line="360" w:lineRule="auto"/>
        <w:ind w:firstLine="420" w:firstLineChars="200"/>
      </w:pPr>
    </w:p>
    <w:p w14:paraId="1CEC6DC3">
      <w:pPr>
        <w:spacing w:line="360" w:lineRule="auto"/>
        <w:ind w:firstLine="420" w:firstLineChars="200"/>
      </w:pPr>
    </w:p>
    <w:p w14:paraId="01596858">
      <w:pPr>
        <w:spacing w:line="360" w:lineRule="auto"/>
        <w:ind w:firstLine="420" w:firstLineChars="200"/>
      </w:pPr>
    </w:p>
    <w:p w14:paraId="1C3BD43E">
      <w:pPr>
        <w:spacing w:line="360" w:lineRule="auto"/>
        <w:ind w:firstLine="880" w:firstLineChars="200"/>
        <w:jc w:val="center"/>
        <w:rPr>
          <w:rFonts w:ascii="黑体" w:eastAsia="黑体"/>
          <w:sz w:val="44"/>
          <w:szCs w:val="44"/>
        </w:rPr>
      </w:pPr>
    </w:p>
    <w:p w14:paraId="34595BDF">
      <w:pPr>
        <w:spacing w:line="360" w:lineRule="auto"/>
        <w:ind w:firstLine="880" w:firstLineChars="200"/>
        <w:rPr>
          <w:rFonts w:ascii="黑体" w:eastAsia="黑体"/>
          <w:sz w:val="44"/>
          <w:szCs w:val="44"/>
        </w:rPr>
      </w:pPr>
    </w:p>
    <w:p w14:paraId="064E0893">
      <w:pPr>
        <w:spacing w:line="360" w:lineRule="auto"/>
        <w:ind w:firstLine="880" w:firstLineChars="200"/>
        <w:rPr>
          <w:rFonts w:ascii="黑体" w:eastAsia="黑体"/>
          <w:sz w:val="44"/>
          <w:szCs w:val="44"/>
        </w:rPr>
      </w:pPr>
    </w:p>
    <w:p w14:paraId="38C71A43">
      <w:pPr>
        <w:spacing w:line="360" w:lineRule="auto"/>
        <w:ind w:firstLine="880" w:firstLineChars="200"/>
        <w:rPr>
          <w:rFonts w:ascii="黑体" w:eastAsia="黑体"/>
          <w:sz w:val="44"/>
          <w:szCs w:val="44"/>
        </w:rPr>
      </w:pPr>
    </w:p>
    <w:p w14:paraId="189118B1">
      <w:pPr>
        <w:spacing w:line="360" w:lineRule="auto"/>
        <w:ind w:firstLine="1440" w:firstLineChars="200"/>
        <w:rPr>
          <w:rFonts w:ascii="黑体" w:eastAsia="黑体"/>
          <w:sz w:val="72"/>
          <w:szCs w:val="72"/>
        </w:rPr>
      </w:pPr>
    </w:p>
    <w:p w14:paraId="790DB226">
      <w:pPr>
        <w:spacing w:line="360" w:lineRule="auto"/>
        <w:ind w:firstLine="1440" w:firstLineChars="200"/>
        <w:jc w:val="both"/>
        <w:rPr>
          <w:rFonts w:ascii="黑体" w:eastAsia="黑体"/>
          <w:sz w:val="72"/>
          <w:szCs w:val="72"/>
        </w:rPr>
      </w:pPr>
      <w:r>
        <w:rPr>
          <w:rFonts w:hint="eastAsia" w:ascii="黑体" w:eastAsia="黑体"/>
          <w:sz w:val="72"/>
          <w:szCs w:val="72"/>
        </w:rPr>
        <w:t>壤塘县人民法院</w:t>
      </w:r>
    </w:p>
    <w:p w14:paraId="2A5CA125">
      <w:pPr>
        <w:spacing w:line="360" w:lineRule="auto"/>
        <w:ind w:firstLine="1440" w:firstLineChars="200"/>
        <w:jc w:val="both"/>
        <w:rPr>
          <w:rFonts w:ascii="黑体" w:eastAsia="黑体"/>
          <w:sz w:val="72"/>
          <w:szCs w:val="72"/>
        </w:rPr>
      </w:pPr>
      <w:r>
        <w:rPr>
          <w:rFonts w:ascii="黑体" w:eastAsia="黑体"/>
          <w:sz w:val="72"/>
          <w:szCs w:val="72"/>
        </w:rPr>
        <w:t>2</w:t>
      </w:r>
      <w:r>
        <w:rPr>
          <w:rFonts w:hint="eastAsia" w:ascii="黑体" w:eastAsia="黑体"/>
          <w:sz w:val="72"/>
          <w:szCs w:val="72"/>
        </w:rPr>
        <w:t>02</w:t>
      </w:r>
      <w:r>
        <w:rPr>
          <w:rFonts w:hint="eastAsia" w:ascii="黑体" w:eastAsia="黑体"/>
          <w:sz w:val="72"/>
          <w:szCs w:val="72"/>
          <w:lang w:val="en-US" w:eastAsia="zh-CN"/>
        </w:rPr>
        <w:t>5</w:t>
      </w:r>
      <w:r>
        <w:rPr>
          <w:rFonts w:hint="eastAsia" w:ascii="黑体" w:eastAsia="黑体"/>
          <w:sz w:val="72"/>
          <w:szCs w:val="72"/>
        </w:rPr>
        <w:t>年部门预算</w:t>
      </w:r>
    </w:p>
    <w:p w14:paraId="792B4970">
      <w:pPr>
        <w:spacing w:line="360" w:lineRule="auto"/>
        <w:ind w:firstLine="880" w:firstLineChars="200"/>
        <w:jc w:val="center"/>
        <w:rPr>
          <w:rFonts w:ascii="黑体" w:eastAsia="黑体"/>
          <w:sz w:val="52"/>
          <w:szCs w:val="52"/>
        </w:rPr>
      </w:pPr>
      <w:r>
        <w:rPr>
          <w:rFonts w:hint="eastAsia" w:ascii="黑体" w:eastAsia="黑体"/>
          <w:sz w:val="44"/>
          <w:szCs w:val="44"/>
        </w:rPr>
        <w:br w:type="page"/>
      </w:r>
      <w:r>
        <w:rPr>
          <w:rFonts w:hint="eastAsia" w:ascii="黑体" w:eastAsia="黑体"/>
          <w:sz w:val="52"/>
          <w:szCs w:val="52"/>
        </w:rPr>
        <w:t>目录</w:t>
      </w:r>
    </w:p>
    <w:p w14:paraId="695EE2B8">
      <w:pPr>
        <w:spacing w:line="360" w:lineRule="auto"/>
        <w:ind w:firstLine="880" w:firstLineChars="200"/>
        <w:rPr>
          <w:rFonts w:ascii="黑体" w:eastAsia="黑体"/>
          <w:sz w:val="44"/>
          <w:szCs w:val="44"/>
        </w:rPr>
      </w:pPr>
    </w:p>
    <w:p w14:paraId="1346A484">
      <w:pPr>
        <w:pStyle w:val="14"/>
        <w:spacing w:line="360" w:lineRule="auto"/>
        <w:ind w:firstLine="640"/>
        <w:rPr>
          <w:rFonts w:ascii="黑体" w:eastAsia="黑体"/>
          <w:sz w:val="32"/>
          <w:szCs w:val="32"/>
        </w:rPr>
      </w:pPr>
      <w:r>
        <w:rPr>
          <w:rFonts w:hint="eastAsia" w:ascii="黑体" w:eastAsia="黑体"/>
          <w:sz w:val="32"/>
          <w:szCs w:val="32"/>
        </w:rPr>
        <w:t>一、基本职能及主要工作</w:t>
      </w:r>
    </w:p>
    <w:p w14:paraId="7D9D443B">
      <w:pPr>
        <w:spacing w:line="360" w:lineRule="auto"/>
        <w:ind w:firstLine="640" w:firstLineChars="200"/>
        <w:rPr>
          <w:rFonts w:ascii="楷体" w:eastAsia="楷体"/>
          <w:sz w:val="32"/>
          <w:szCs w:val="32"/>
        </w:rPr>
      </w:pPr>
      <w:r>
        <w:rPr>
          <w:rFonts w:hint="eastAsia" w:ascii="楷体" w:eastAsia="楷体"/>
          <w:sz w:val="32"/>
          <w:szCs w:val="32"/>
        </w:rPr>
        <w:t>（一）部门职能简介</w:t>
      </w:r>
    </w:p>
    <w:p w14:paraId="70463BE8">
      <w:pPr>
        <w:spacing w:line="360" w:lineRule="auto"/>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w:t>
      </w:r>
      <w:r>
        <w:rPr>
          <w:rFonts w:hint="eastAsia" w:ascii="楷体" w:eastAsia="楷体"/>
          <w:sz w:val="32"/>
          <w:szCs w:val="32"/>
        </w:rPr>
        <w:t>2</w:t>
      </w:r>
      <w:r>
        <w:rPr>
          <w:rFonts w:hint="eastAsia" w:ascii="楷体" w:eastAsia="楷体"/>
          <w:sz w:val="32"/>
          <w:szCs w:val="32"/>
          <w:lang w:val="en-US" w:eastAsia="zh-CN"/>
        </w:rPr>
        <w:t>5</w:t>
      </w:r>
      <w:r>
        <w:rPr>
          <w:rFonts w:hint="eastAsia" w:ascii="楷体" w:eastAsia="楷体"/>
          <w:sz w:val="32"/>
          <w:szCs w:val="32"/>
        </w:rPr>
        <w:t>年重点工作</w:t>
      </w:r>
    </w:p>
    <w:p w14:paraId="36411197">
      <w:pPr>
        <w:spacing w:line="360" w:lineRule="auto"/>
        <w:ind w:firstLine="640" w:firstLineChars="200"/>
        <w:rPr>
          <w:rFonts w:ascii="黑体" w:eastAsia="黑体"/>
          <w:sz w:val="32"/>
          <w:szCs w:val="32"/>
        </w:rPr>
      </w:pPr>
      <w:r>
        <w:rPr>
          <w:rFonts w:hint="eastAsia" w:ascii="黑体" w:eastAsia="黑体"/>
          <w:sz w:val="32"/>
          <w:szCs w:val="32"/>
        </w:rPr>
        <w:t>二、部门预算单位构成</w:t>
      </w:r>
    </w:p>
    <w:p w14:paraId="4C53DBE7">
      <w:pPr>
        <w:spacing w:line="360" w:lineRule="auto"/>
        <w:ind w:firstLine="640" w:firstLineChars="200"/>
        <w:rPr>
          <w:rFonts w:ascii="黑体" w:eastAsia="黑体"/>
          <w:sz w:val="32"/>
          <w:szCs w:val="32"/>
        </w:rPr>
      </w:pPr>
      <w:r>
        <w:rPr>
          <w:rFonts w:hint="eastAsia" w:ascii="黑体" w:eastAsia="黑体"/>
          <w:sz w:val="32"/>
          <w:szCs w:val="32"/>
        </w:rPr>
        <w:t>三、收支预算情况说明</w:t>
      </w:r>
    </w:p>
    <w:p w14:paraId="638AA20F">
      <w:pPr>
        <w:spacing w:line="360" w:lineRule="auto"/>
        <w:ind w:firstLine="640" w:firstLineChars="200"/>
        <w:rPr>
          <w:rFonts w:ascii="楷体" w:eastAsia="楷体"/>
          <w:sz w:val="32"/>
          <w:szCs w:val="32"/>
        </w:rPr>
      </w:pPr>
      <w:r>
        <w:rPr>
          <w:rFonts w:hint="eastAsia" w:ascii="楷体" w:eastAsia="楷体"/>
          <w:sz w:val="32"/>
          <w:szCs w:val="32"/>
        </w:rPr>
        <w:t>（一）收入预算情况</w:t>
      </w:r>
    </w:p>
    <w:p w14:paraId="11532AFF">
      <w:pPr>
        <w:spacing w:line="360" w:lineRule="auto"/>
        <w:ind w:firstLine="640" w:firstLineChars="200"/>
        <w:rPr>
          <w:rFonts w:ascii="楷体" w:eastAsia="楷体"/>
          <w:sz w:val="32"/>
          <w:szCs w:val="32"/>
        </w:rPr>
      </w:pPr>
      <w:r>
        <w:rPr>
          <w:rFonts w:hint="eastAsia" w:ascii="楷体" w:eastAsia="楷体"/>
          <w:sz w:val="32"/>
          <w:szCs w:val="32"/>
        </w:rPr>
        <w:t>（二）支出预算情况</w:t>
      </w:r>
    </w:p>
    <w:p w14:paraId="569B3CF4">
      <w:pPr>
        <w:spacing w:line="360" w:lineRule="auto"/>
        <w:ind w:firstLine="640" w:firstLineChars="200"/>
        <w:rPr>
          <w:rFonts w:ascii="黑体" w:eastAsia="黑体"/>
          <w:sz w:val="32"/>
          <w:szCs w:val="32"/>
        </w:rPr>
      </w:pPr>
      <w:r>
        <w:rPr>
          <w:rFonts w:hint="eastAsia" w:ascii="黑体" w:eastAsia="黑体"/>
          <w:sz w:val="32"/>
          <w:szCs w:val="32"/>
        </w:rPr>
        <w:t>四、财政拨款收支预算情况说明</w:t>
      </w:r>
    </w:p>
    <w:p w14:paraId="03568BF9">
      <w:pPr>
        <w:spacing w:line="360" w:lineRule="auto"/>
        <w:ind w:firstLine="640" w:firstLineChars="200"/>
        <w:rPr>
          <w:rFonts w:ascii="黑体" w:eastAsia="黑体"/>
          <w:sz w:val="32"/>
          <w:szCs w:val="32"/>
        </w:rPr>
      </w:pPr>
      <w:r>
        <w:rPr>
          <w:rFonts w:hint="eastAsia" w:ascii="黑体" w:eastAsia="黑体"/>
          <w:sz w:val="32"/>
          <w:szCs w:val="32"/>
        </w:rPr>
        <w:t>五、一般公共预算当年拨款情况说明</w:t>
      </w:r>
    </w:p>
    <w:p w14:paraId="75018DDE">
      <w:pPr>
        <w:spacing w:line="360" w:lineRule="auto"/>
        <w:ind w:left="638" w:leftChars="304"/>
        <w:rPr>
          <w:rFonts w:ascii="楷体" w:eastAsia="楷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p>
    <w:p w14:paraId="5DCAC4CC">
      <w:pPr>
        <w:spacing w:line="360" w:lineRule="auto"/>
        <w:ind w:left="638" w:leftChars="304"/>
        <w:rPr>
          <w:rFonts w:ascii="黑体" w:eastAsia="黑体"/>
          <w:sz w:val="32"/>
          <w:szCs w:val="32"/>
        </w:rPr>
      </w:pP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7C095C38">
      <w:pPr>
        <w:pStyle w:val="14"/>
        <w:spacing w:line="360" w:lineRule="auto"/>
        <w:ind w:firstLine="640"/>
        <w:rPr>
          <w:rFonts w:ascii="黑体" w:eastAsia="黑体"/>
          <w:sz w:val="32"/>
          <w:szCs w:val="32"/>
        </w:rPr>
      </w:pPr>
      <w:r>
        <w:rPr>
          <w:rFonts w:hint="eastAsia" w:ascii="黑体" w:eastAsia="黑体"/>
          <w:sz w:val="32"/>
          <w:szCs w:val="32"/>
        </w:rPr>
        <w:br w:type="page"/>
      </w:r>
      <w:r>
        <w:rPr>
          <w:rFonts w:hint="eastAsia" w:ascii="黑体" w:eastAsia="黑体"/>
          <w:sz w:val="32"/>
          <w:szCs w:val="32"/>
        </w:rPr>
        <w:t>一、基本职能及主要工作</w:t>
      </w:r>
    </w:p>
    <w:p w14:paraId="4A717B97">
      <w:pPr>
        <w:spacing w:line="360" w:lineRule="auto"/>
        <w:ind w:firstLine="640" w:firstLineChars="200"/>
        <w:rPr>
          <w:rFonts w:ascii="楷体" w:eastAsia="楷体"/>
          <w:sz w:val="32"/>
          <w:szCs w:val="32"/>
        </w:rPr>
      </w:pPr>
      <w:r>
        <w:rPr>
          <w:rFonts w:hint="eastAsia" w:ascii="楷体" w:eastAsia="楷体"/>
          <w:sz w:val="32"/>
          <w:szCs w:val="32"/>
        </w:rPr>
        <w:t>（一）部门职能简介</w:t>
      </w:r>
    </w:p>
    <w:p w14:paraId="561A9833">
      <w:pPr>
        <w:spacing w:line="360" w:lineRule="auto"/>
        <w:ind w:firstLine="640" w:firstLineChars="200"/>
        <w:rPr>
          <w:rFonts w:ascii="仿宋_GB2312" w:eastAsia="仿宋_GB2312"/>
          <w:sz w:val="32"/>
          <w:szCs w:val="32"/>
        </w:rPr>
      </w:pPr>
      <w:r>
        <w:rPr>
          <w:rFonts w:hint="eastAsia" w:ascii="仿宋_GB2312" w:eastAsia="仿宋_GB2312"/>
          <w:sz w:val="32"/>
          <w:szCs w:val="32"/>
        </w:rPr>
        <w:t>壤塘县人民法院是国家审判机关，依法独立行使审判权，对壤塘县人民代表大会及</w:t>
      </w:r>
      <w:r>
        <w:rPr>
          <w:rFonts w:hint="eastAsia" w:ascii="仿宋_GB2312" w:eastAsia="仿宋_GB2312"/>
          <w:sz w:val="32"/>
          <w:szCs w:val="32"/>
          <w:lang w:val="en-US" w:eastAsia="zh-CN"/>
        </w:rPr>
        <w:t>其</w:t>
      </w:r>
      <w:r>
        <w:rPr>
          <w:rFonts w:hint="eastAsia" w:ascii="仿宋_GB2312" w:eastAsia="仿宋_GB2312"/>
          <w:sz w:val="32"/>
          <w:szCs w:val="32"/>
        </w:rPr>
        <w:t>常务委员会负责并报告工作。</w:t>
      </w:r>
    </w:p>
    <w:p w14:paraId="0836DB96">
      <w:pPr>
        <w:spacing w:line="360" w:lineRule="auto"/>
        <w:ind w:firstLine="640" w:firstLineChars="200"/>
        <w:rPr>
          <w:rFonts w:ascii="仿宋_GB2312" w:eastAsia="仿宋_GB2312"/>
          <w:sz w:val="32"/>
          <w:szCs w:val="32"/>
        </w:rPr>
      </w:pPr>
      <w:r>
        <w:rPr>
          <w:rFonts w:hint="eastAsia" w:ascii="仿宋_GB2312" w:eastAsia="仿宋_GB2312"/>
          <w:sz w:val="32"/>
          <w:szCs w:val="32"/>
        </w:rPr>
        <w:t>1.依法审判辖区内应由基层人民法院管辖的刑事一审案件；</w:t>
      </w:r>
    </w:p>
    <w:p w14:paraId="34360DF3">
      <w:pPr>
        <w:spacing w:line="360" w:lineRule="auto"/>
        <w:ind w:firstLine="640" w:firstLineChars="200"/>
        <w:rPr>
          <w:rFonts w:ascii="仿宋_GB2312" w:eastAsia="仿宋_GB2312"/>
          <w:sz w:val="32"/>
          <w:szCs w:val="32"/>
        </w:rPr>
      </w:pPr>
      <w:r>
        <w:rPr>
          <w:rFonts w:hint="eastAsia" w:ascii="仿宋_GB2312" w:eastAsia="仿宋_GB2312"/>
          <w:sz w:val="32"/>
          <w:szCs w:val="32"/>
        </w:rPr>
        <w:t>2.依法审判辖区内应由基层人民法院管辖的民事、经济纠纷一审案件；</w:t>
      </w:r>
    </w:p>
    <w:p w14:paraId="406976BE">
      <w:pPr>
        <w:spacing w:line="360" w:lineRule="auto"/>
        <w:ind w:firstLine="640" w:firstLineChars="200"/>
        <w:rPr>
          <w:rFonts w:ascii="仿宋_GB2312" w:eastAsia="仿宋_GB2312"/>
          <w:sz w:val="32"/>
          <w:szCs w:val="32"/>
        </w:rPr>
      </w:pPr>
      <w:r>
        <w:rPr>
          <w:rFonts w:hint="eastAsia" w:ascii="仿宋_GB2312" w:eastAsia="仿宋_GB2312"/>
          <w:sz w:val="32"/>
          <w:szCs w:val="32"/>
        </w:rPr>
        <w:t>3.依法审判辖区内应由基层人民法院管辖的行政一审案件；</w:t>
      </w:r>
    </w:p>
    <w:p w14:paraId="4986EDD2">
      <w:pPr>
        <w:spacing w:line="360" w:lineRule="auto"/>
        <w:ind w:firstLine="640" w:firstLineChars="200"/>
        <w:rPr>
          <w:rFonts w:ascii="仿宋_GB2312" w:eastAsia="仿宋_GB2312"/>
          <w:sz w:val="32"/>
          <w:szCs w:val="32"/>
        </w:rPr>
      </w:pPr>
      <w:r>
        <w:rPr>
          <w:rFonts w:hint="eastAsia" w:ascii="仿宋_GB2312" w:eastAsia="仿宋_GB2312"/>
          <w:sz w:val="32"/>
          <w:szCs w:val="32"/>
        </w:rPr>
        <w:t>4.审理中级人民法院指令再审的案件。受理不服本院已经生效的判决，裁定的申诉和申请再审等案件；</w:t>
      </w:r>
    </w:p>
    <w:p w14:paraId="4668547E">
      <w:pPr>
        <w:spacing w:line="360" w:lineRule="auto"/>
        <w:ind w:firstLine="640" w:firstLineChars="200"/>
        <w:rPr>
          <w:rFonts w:ascii="仿宋_GB2312" w:eastAsia="仿宋_GB2312"/>
          <w:sz w:val="32"/>
          <w:szCs w:val="32"/>
        </w:rPr>
      </w:pPr>
      <w:r>
        <w:rPr>
          <w:rFonts w:hint="eastAsia" w:ascii="仿宋_GB2312" w:eastAsia="仿宋_GB2312"/>
          <w:sz w:val="32"/>
          <w:szCs w:val="32"/>
        </w:rPr>
        <w:t>5.对已生效的各类法律文书有执行内容的财物执行，办理委托移送执行和协助执行事宜；</w:t>
      </w:r>
    </w:p>
    <w:p w14:paraId="50DF02D5">
      <w:pPr>
        <w:spacing w:line="360" w:lineRule="auto"/>
        <w:ind w:firstLine="640" w:firstLineChars="200"/>
        <w:rPr>
          <w:rFonts w:ascii="仿宋_GB2312" w:eastAsia="仿宋_GB2312"/>
          <w:sz w:val="32"/>
          <w:szCs w:val="32"/>
        </w:rPr>
      </w:pPr>
      <w:r>
        <w:rPr>
          <w:rFonts w:hint="eastAsia" w:ascii="仿宋_GB2312" w:eastAsia="仿宋_GB2312"/>
          <w:sz w:val="32"/>
          <w:szCs w:val="32"/>
        </w:rPr>
        <w:t>6.依法审理国家赔偿案件；</w:t>
      </w:r>
    </w:p>
    <w:p w14:paraId="4879BC61">
      <w:pPr>
        <w:spacing w:line="360" w:lineRule="auto"/>
        <w:ind w:firstLine="640" w:firstLineChars="200"/>
        <w:rPr>
          <w:rFonts w:ascii="仿宋_GB2312" w:eastAsia="仿宋_GB2312"/>
          <w:sz w:val="32"/>
          <w:szCs w:val="32"/>
        </w:rPr>
      </w:pPr>
      <w:r>
        <w:rPr>
          <w:rFonts w:hint="eastAsia" w:ascii="仿宋_GB2312" w:eastAsia="仿宋_GB2312"/>
          <w:sz w:val="32"/>
          <w:szCs w:val="32"/>
        </w:rPr>
        <w:t>7.接待申诉来访，受理应由基层人民法院管辖的告诉、申诉件；</w:t>
      </w:r>
    </w:p>
    <w:p w14:paraId="757FB6EB">
      <w:pPr>
        <w:spacing w:line="360" w:lineRule="auto"/>
        <w:ind w:firstLine="640" w:firstLineChars="200"/>
        <w:rPr>
          <w:rFonts w:ascii="仿宋_GB2312" w:eastAsia="仿宋_GB2312"/>
          <w:sz w:val="32"/>
          <w:szCs w:val="32"/>
        </w:rPr>
      </w:pPr>
      <w:r>
        <w:rPr>
          <w:rFonts w:hint="eastAsia" w:ascii="仿宋_GB2312" w:eastAsia="仿宋_GB2312"/>
          <w:sz w:val="32"/>
          <w:szCs w:val="32"/>
        </w:rPr>
        <w:t>8.针对案件审理过程中发现的问题提出司法建议；办理县人民代表议案建议及县政协委员提案；</w:t>
      </w:r>
    </w:p>
    <w:p w14:paraId="4368EA13">
      <w:pPr>
        <w:spacing w:line="360" w:lineRule="auto"/>
        <w:ind w:firstLine="640" w:firstLineChars="200"/>
        <w:rPr>
          <w:rFonts w:ascii="仿宋_GB2312" w:eastAsia="仿宋_GB2312"/>
          <w:sz w:val="32"/>
          <w:szCs w:val="32"/>
        </w:rPr>
      </w:pPr>
      <w:r>
        <w:rPr>
          <w:rFonts w:hint="eastAsia" w:ascii="仿宋_GB2312" w:eastAsia="仿宋_GB2312"/>
          <w:sz w:val="32"/>
          <w:szCs w:val="32"/>
        </w:rPr>
        <w:t>9.负责司法警察、警务工作、警卫法庭、押解人犯、送达有关法律文书、执行死刑；</w:t>
      </w:r>
    </w:p>
    <w:p w14:paraId="6B7327B1">
      <w:pPr>
        <w:spacing w:line="360" w:lineRule="auto"/>
        <w:ind w:firstLine="640" w:firstLineChars="200"/>
        <w:rPr>
          <w:rFonts w:ascii="仿宋_GB2312" w:eastAsia="仿宋_GB2312"/>
          <w:sz w:val="32"/>
          <w:szCs w:val="32"/>
        </w:rPr>
      </w:pPr>
      <w:r>
        <w:rPr>
          <w:rFonts w:hint="eastAsia" w:ascii="仿宋_GB2312" w:eastAsia="仿宋_GB2312"/>
          <w:sz w:val="32"/>
          <w:szCs w:val="32"/>
        </w:rPr>
        <w:t>10.负责干警的思想、政治、教育、培训工作和人事管理工作；</w:t>
      </w:r>
    </w:p>
    <w:p w14:paraId="7C8592B9">
      <w:pPr>
        <w:spacing w:line="360" w:lineRule="auto"/>
        <w:ind w:firstLine="640" w:firstLineChars="200"/>
        <w:rPr>
          <w:rFonts w:ascii="仿宋_GB2312" w:eastAsia="仿宋_GB2312"/>
          <w:sz w:val="32"/>
          <w:szCs w:val="32"/>
        </w:rPr>
      </w:pPr>
      <w:r>
        <w:rPr>
          <w:rFonts w:hint="eastAsia" w:ascii="仿宋_GB2312" w:eastAsia="仿宋_GB2312"/>
          <w:sz w:val="32"/>
          <w:szCs w:val="32"/>
        </w:rPr>
        <w:t>11.负责司法鉴定及其他专门技术工作；</w:t>
      </w:r>
    </w:p>
    <w:p w14:paraId="4EAA8138">
      <w:pPr>
        <w:spacing w:line="360" w:lineRule="auto"/>
        <w:ind w:firstLine="640" w:firstLineChars="200"/>
        <w:rPr>
          <w:rFonts w:ascii="仿宋_GB2312" w:eastAsia="仿宋_GB2312"/>
          <w:sz w:val="32"/>
          <w:szCs w:val="32"/>
        </w:rPr>
      </w:pPr>
      <w:r>
        <w:rPr>
          <w:rFonts w:hint="eastAsia" w:ascii="仿宋_GB2312" w:eastAsia="仿宋_GB2312"/>
          <w:sz w:val="32"/>
          <w:szCs w:val="32"/>
        </w:rPr>
        <w:t>12.本院执行政策、法律情况的调查研究；</w:t>
      </w:r>
    </w:p>
    <w:p w14:paraId="0DC35275">
      <w:pPr>
        <w:spacing w:line="360" w:lineRule="auto"/>
        <w:ind w:firstLine="640" w:firstLineChars="200"/>
        <w:rPr>
          <w:rFonts w:ascii="仿宋_GB2312" w:eastAsia="仿宋_GB2312"/>
          <w:sz w:val="32"/>
          <w:szCs w:val="32"/>
        </w:rPr>
      </w:pPr>
      <w:r>
        <w:rPr>
          <w:rFonts w:hint="eastAsia" w:ascii="仿宋_GB2312" w:eastAsia="仿宋_GB2312"/>
          <w:sz w:val="32"/>
          <w:szCs w:val="32"/>
        </w:rPr>
        <w:t>13.宣传法制、教育公民、忠于社会主义祖国，自觉地遵守宪法、法律和社会公德；</w:t>
      </w:r>
    </w:p>
    <w:p w14:paraId="37D76AA6">
      <w:pPr>
        <w:spacing w:line="360" w:lineRule="auto"/>
        <w:ind w:firstLine="640" w:firstLineChars="200"/>
        <w:rPr>
          <w:rFonts w:ascii="仿宋_GB2312" w:eastAsia="仿宋_GB2312"/>
          <w:sz w:val="32"/>
          <w:szCs w:val="32"/>
        </w:rPr>
      </w:pPr>
      <w:r>
        <w:rPr>
          <w:rFonts w:hint="eastAsia" w:ascii="仿宋_GB2312" w:eastAsia="仿宋_GB2312"/>
          <w:sz w:val="32"/>
          <w:szCs w:val="32"/>
        </w:rPr>
        <w:t>14.承办其他应由县人民法院负责的工作。</w:t>
      </w:r>
    </w:p>
    <w:p w14:paraId="2034AB4E">
      <w:pPr>
        <w:spacing w:line="360" w:lineRule="auto"/>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w:t>
      </w:r>
      <w:r>
        <w:rPr>
          <w:rFonts w:hint="eastAsia" w:ascii="楷体" w:eastAsia="楷体"/>
          <w:sz w:val="32"/>
          <w:szCs w:val="32"/>
        </w:rPr>
        <w:t>2</w:t>
      </w:r>
      <w:r>
        <w:rPr>
          <w:rFonts w:hint="eastAsia" w:ascii="楷体" w:eastAsia="楷体"/>
          <w:sz w:val="32"/>
          <w:szCs w:val="32"/>
          <w:lang w:val="en-US" w:eastAsia="zh-CN"/>
        </w:rPr>
        <w:t>5</w:t>
      </w:r>
      <w:r>
        <w:rPr>
          <w:rFonts w:hint="eastAsia" w:ascii="楷体" w:eastAsia="楷体"/>
          <w:sz w:val="32"/>
          <w:szCs w:val="32"/>
        </w:rPr>
        <w:t>年重点工作</w:t>
      </w:r>
    </w:p>
    <w:p w14:paraId="76D7A897">
      <w:pPr>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2025年，壤塘法院将在县委坚强领导，县政府大力支持，上级法院精心指导，县人大、县政协有力监督和社会各界关心帮助下，坚持问题导向、目标导向，补短板、强弱项、固底板、扬优势，紧抓执法办案第一要务不放松，</w:t>
      </w:r>
      <w:r>
        <w:rPr>
          <w:rFonts w:hint="default" w:ascii="Times New Roman" w:hAnsi="Times New Roman" w:eastAsia="仿宋_GB2312" w:cs="Times New Roman"/>
          <w:kern w:val="0"/>
          <w:sz w:val="32"/>
          <w:szCs w:val="32"/>
          <w:lang w:eastAsia="zh-CN"/>
        </w:rPr>
        <w:t>认真落实县委十四届五次、六次全会重大决策，主动服务县委“</w:t>
      </w:r>
      <w:r>
        <w:rPr>
          <w:rFonts w:hint="default" w:ascii="Times New Roman" w:hAnsi="Times New Roman" w:eastAsia="仿宋_GB2312" w:cs="Times New Roman"/>
          <w:kern w:val="0"/>
          <w:sz w:val="32"/>
          <w:szCs w:val="32"/>
          <w:lang w:val="en-US" w:eastAsia="zh-CN"/>
        </w:rPr>
        <w:t>146</w:t>
      </w:r>
      <w:r>
        <w:rPr>
          <w:rFonts w:hint="default" w:ascii="Times New Roman" w:hAnsi="Times New Roman" w:eastAsia="仿宋_GB2312" w:cs="Times New Roman"/>
          <w:kern w:val="0"/>
          <w:sz w:val="32"/>
          <w:szCs w:val="32"/>
          <w:lang w:eastAsia="zh-CN"/>
        </w:rPr>
        <w:t>”目标任务</w:t>
      </w:r>
      <w:r>
        <w:rPr>
          <w:rFonts w:hint="default" w:ascii="Times New Roman" w:hAnsi="Times New Roman" w:eastAsia="仿宋_GB2312" w:cs="Times New Roman"/>
          <w:kern w:val="0"/>
          <w:sz w:val="32"/>
          <w:szCs w:val="32"/>
          <w:lang w:val="en-US" w:eastAsia="zh-CN"/>
        </w:rPr>
        <w:t>，为</w:t>
      </w:r>
      <w:r>
        <w:rPr>
          <w:rFonts w:hint="default" w:ascii="Times New Roman" w:hAnsi="Times New Roman" w:eastAsia="仿宋_GB2312" w:cs="Times New Roman"/>
          <w:kern w:val="0"/>
          <w:sz w:val="32"/>
          <w:szCs w:val="32"/>
          <w:lang w:eastAsia="zh-CN"/>
        </w:rPr>
        <w:t>加快建设</w:t>
      </w:r>
      <w:r>
        <w:rPr>
          <w:rFonts w:hint="default" w:ascii="Times New Roman" w:hAnsi="Times New Roman" w:eastAsia="仿宋_GB2312" w:cs="Times New Roman"/>
          <w:kern w:val="0"/>
          <w:sz w:val="32"/>
          <w:szCs w:val="32"/>
          <w:lang w:val="en-US" w:eastAsia="zh-CN"/>
        </w:rPr>
        <w:t>民族地区高质量发展阿坝典范、</w:t>
      </w:r>
      <w:r>
        <w:rPr>
          <w:rFonts w:hint="default" w:ascii="Times New Roman" w:hAnsi="Times New Roman" w:eastAsia="仿宋_GB2312" w:cs="Times New Roman"/>
          <w:kern w:val="0"/>
          <w:sz w:val="32"/>
          <w:szCs w:val="32"/>
          <w:lang w:eastAsia="zh-CN"/>
        </w:rPr>
        <w:t>中国式现代化新壤塘</w:t>
      </w:r>
      <w:r>
        <w:rPr>
          <w:rFonts w:hint="default" w:ascii="Times New Roman" w:hAnsi="Times New Roman" w:eastAsia="仿宋_GB2312" w:cs="Times New Roman"/>
          <w:kern w:val="0"/>
          <w:sz w:val="32"/>
          <w:szCs w:val="32"/>
        </w:rPr>
        <w:t>更好地发挥司法服务保障职能。</w:t>
      </w:r>
    </w:p>
    <w:p w14:paraId="5D80C2A5">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
          <w:bCs/>
          <w:kern w:val="0"/>
          <w:sz w:val="32"/>
          <w:szCs w:val="32"/>
        </w:rPr>
        <w:t>一是持之以恒筑牢政治忠诚。</w:t>
      </w:r>
      <w:r>
        <w:rPr>
          <w:rFonts w:hint="default" w:ascii="Times New Roman" w:hAnsi="Times New Roman" w:eastAsia="仿宋_GB2312" w:cs="Times New Roman"/>
          <w:sz w:val="32"/>
          <w:szCs w:val="32"/>
        </w:rPr>
        <w:t>把党的政治建设摆在首位，深入学习习近平新时代中国特色社会主义思想，深入贯彻党的二十届三中全会精神和</w:t>
      </w:r>
      <w:r>
        <w:rPr>
          <w:rFonts w:hint="default" w:ascii="Times New Roman" w:hAnsi="Times New Roman" w:eastAsia="仿宋_GB2312" w:cs="Times New Roman"/>
          <w:sz w:val="32"/>
          <w:szCs w:val="32"/>
          <w:lang w:eastAsia="zh-CN"/>
        </w:rPr>
        <w:t>习近平总书记关于高质量发展的重要论述</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在深学细悟笃行习近平新时代中国特色社会主义思想中坚定拥护“两个确立”、坚决做到“两个维护”，</w:t>
      </w:r>
      <w:r>
        <w:rPr>
          <w:rFonts w:hint="default" w:ascii="Times New Roman" w:hAnsi="Times New Roman" w:eastAsia="仿宋_GB2312" w:cs="Times New Roman"/>
          <w:sz w:val="32"/>
          <w:szCs w:val="32"/>
        </w:rPr>
        <w:t>把贯彻落实习近平总书记对政法工作的重要指示精神贯穿于法院审判执行工作的全过程。</w:t>
      </w:r>
    </w:p>
    <w:p w14:paraId="4E635FE6">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
          <w:bCs/>
          <w:kern w:val="0"/>
          <w:sz w:val="32"/>
          <w:szCs w:val="32"/>
        </w:rPr>
        <w:t>二是一以贯之做实公正司法。</w:t>
      </w:r>
      <w:r>
        <w:rPr>
          <w:rFonts w:hint="default" w:ascii="Times New Roman" w:hAnsi="Times New Roman" w:eastAsia="仿宋_GB2312" w:cs="Times New Roman"/>
          <w:sz w:val="32"/>
          <w:szCs w:val="32"/>
        </w:rPr>
        <w:t>狠抓执法办案第一要务，维护社会公平正义。做实“从政治上看、从法治上办”。讲政治与讲法治是辩证统一的，只有准确把握政治要求，业务工作才能有灵魂；只有精通业务，才能把政治要求具体落实下来。严厉打击刑事犯罪，常态化开展扫黑除恶，努力提升群众安全感。全面贯彻落实新发展理念，主动融入</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微网实格</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促审判，优化法治化营商环境，及时化解各类矛盾风险，服务壤塘高质量发展。加强执行工作，加大拒执打击力度。加强行政审判，实质性化解行政争议，推进法治壤塘建设。</w:t>
      </w:r>
    </w:p>
    <w:p w14:paraId="54D892C5">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
          <w:bCs/>
          <w:kern w:val="0"/>
          <w:sz w:val="32"/>
          <w:szCs w:val="32"/>
        </w:rPr>
        <w:t>三是始终如一坚持司法为民。</w:t>
      </w:r>
      <w:r>
        <w:rPr>
          <w:rFonts w:hint="default" w:ascii="Times New Roman" w:hAnsi="Times New Roman" w:eastAsia="仿宋_GB2312" w:cs="Times New Roman"/>
          <w:sz w:val="32"/>
          <w:szCs w:val="32"/>
        </w:rPr>
        <w:t>始终秉持</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如我在诉</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的为民情怀，持续优化司法服务，强化民生领域和重点群体司法保障，丰富惠民便民举措。坚持和发展新时代</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枫桥经验</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，积极推进</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法院+</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多元纠纷解决体系建设，努力打造多元解纷新格局。加大普法宣传力度，做优做亮</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四圈四同</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审判品牌，讲好法治故事、传递法治声音。</w:t>
      </w:r>
    </w:p>
    <w:p w14:paraId="5A8C6FE9">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
          <w:bCs/>
          <w:kern w:val="0"/>
          <w:sz w:val="32"/>
          <w:szCs w:val="32"/>
        </w:rPr>
        <w:t>四是坚定不移深化重点改革。</w:t>
      </w:r>
      <w:r>
        <w:rPr>
          <w:rFonts w:hint="default" w:ascii="Times New Roman" w:hAnsi="Times New Roman" w:eastAsia="仿宋_GB2312" w:cs="Times New Roman"/>
          <w:sz w:val="32"/>
          <w:szCs w:val="32"/>
          <w:lang w:eastAsia="zh-CN"/>
        </w:rPr>
        <w:t>健全公正司法体制机制</w:t>
      </w:r>
      <w:r>
        <w:rPr>
          <w:rFonts w:hint="default" w:ascii="Times New Roman" w:hAnsi="Times New Roman" w:eastAsia="仿宋_GB2312" w:cs="Times New Roman"/>
          <w:sz w:val="32"/>
          <w:szCs w:val="32"/>
        </w:rPr>
        <w:t>，强化院庭长办案常态化，深化人员分类管理制度，规范司法权</w:t>
      </w:r>
      <w:r>
        <w:rPr>
          <w:rFonts w:hint="default" w:ascii="Times New Roman" w:hAnsi="Times New Roman" w:eastAsia="仿宋_GB2312" w:cs="Times New Roman"/>
          <w:sz w:val="32"/>
          <w:szCs w:val="32"/>
          <w:lang w:eastAsia="zh-CN"/>
        </w:rPr>
        <w:t>力</w:t>
      </w:r>
      <w:r>
        <w:rPr>
          <w:rFonts w:hint="default" w:ascii="Times New Roman" w:hAnsi="Times New Roman" w:eastAsia="仿宋_GB2312" w:cs="Times New Roman"/>
          <w:sz w:val="32"/>
          <w:szCs w:val="32"/>
        </w:rPr>
        <w:t>运行，建立法官业绩考评机制。以推行</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阅核制</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为路径，深度运用法答网、案例库作为提升业务能力和办案水平的重要平台，严把案件审判质量，着力提高审判管理规范化、精细化，提升案件质效和司法公信力。常态化开展</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四类案件</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监督管理，持续推进“一张网”建设、案件归档方式改革工作落地落实。</w:t>
      </w:r>
    </w:p>
    <w:p w14:paraId="1F7539BD">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
          <w:bCs/>
          <w:kern w:val="0"/>
          <w:sz w:val="32"/>
          <w:szCs w:val="32"/>
        </w:rPr>
        <w:t>五是严管厚爱加强队伍建设。</w:t>
      </w:r>
      <w:r>
        <w:rPr>
          <w:rFonts w:hint="default" w:ascii="Times New Roman" w:hAnsi="Times New Roman" w:eastAsia="仿宋_GB2312" w:cs="Times New Roman"/>
          <w:sz w:val="32"/>
          <w:szCs w:val="32"/>
        </w:rPr>
        <w:t>教育引导法院干警牢记</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三个务必</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，严格执行</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三个规定</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。坚持严管厚爱并重，突出青年</w:t>
      </w:r>
      <w:r>
        <w:rPr>
          <w:rFonts w:hint="default" w:ascii="Times New Roman" w:hAnsi="Times New Roman" w:eastAsia="仿宋_GB2312" w:cs="Times New Roman"/>
          <w:color w:val="auto"/>
          <w:sz w:val="32"/>
          <w:szCs w:val="32"/>
          <w:lang w:eastAsia="zh-CN"/>
        </w:rPr>
        <w:t>干警</w:t>
      </w:r>
      <w:r>
        <w:rPr>
          <w:rFonts w:hint="default" w:ascii="Times New Roman" w:hAnsi="Times New Roman" w:eastAsia="仿宋_GB2312" w:cs="Times New Roman"/>
          <w:sz w:val="32"/>
          <w:szCs w:val="32"/>
        </w:rPr>
        <w:t>培养。落实全面从严治党主体责任，严格监督执纪问责，推动司法作风持续改进，着力锻造一支堪当重任的法院铁军。</w:t>
      </w:r>
    </w:p>
    <w:p w14:paraId="2356BB40">
      <w:pPr>
        <w:pStyle w:val="11"/>
        <w:overflowPunct w:val="0"/>
        <w:spacing w:before="0" w:beforeAutospacing="0" w:after="0" w:afterAutospacing="0" w:line="360" w:lineRule="auto"/>
        <w:ind w:firstLine="640" w:firstLineChars="200"/>
        <w:jc w:val="both"/>
        <w:rPr>
          <w:rFonts w:ascii="仿宋_GB2312" w:eastAsia="仿宋_GB2312"/>
          <w:kern w:val="2"/>
          <w:sz w:val="32"/>
          <w:szCs w:val="32"/>
        </w:rPr>
      </w:pPr>
      <w:r>
        <w:rPr>
          <w:rFonts w:hint="default" w:ascii="Times New Roman" w:hAnsi="Times New Roman" w:eastAsia="仿宋_GB2312" w:cs="Times New Roman"/>
          <w:color w:val="auto"/>
          <w:kern w:val="2"/>
          <w:sz w:val="32"/>
          <w:szCs w:val="32"/>
          <w:lang w:val="en-US" w:eastAsia="zh-CN" w:bidi="ar-SA"/>
        </w:rPr>
        <w:t>潮头登高再击桨，无边胜景在前头。</w:t>
      </w:r>
      <w:r>
        <w:rPr>
          <w:rFonts w:hint="default" w:ascii="Times New Roman" w:hAnsi="Times New Roman" w:eastAsia="仿宋_GB2312" w:cs="Times New Roman"/>
          <w:color w:val="auto"/>
          <w:kern w:val="2"/>
          <w:sz w:val="32"/>
          <w:szCs w:val="32"/>
          <w:lang w:bidi="ar-SA"/>
        </w:rPr>
        <w:t>各位代表，</w:t>
      </w:r>
      <w:r>
        <w:rPr>
          <w:rFonts w:hint="default" w:ascii="Times New Roman" w:hAnsi="Times New Roman" w:eastAsia="仿宋_GB2312" w:cs="Times New Roman"/>
          <w:color w:val="auto"/>
          <w:kern w:val="2"/>
          <w:sz w:val="32"/>
          <w:szCs w:val="32"/>
          <w:lang w:val="en-US" w:eastAsia="zh-CN" w:bidi="ar-SA"/>
        </w:rPr>
        <w:t>壤塘法院将在县委的坚强领导下，</w:t>
      </w:r>
      <w:r>
        <w:rPr>
          <w:rFonts w:hint="eastAsia" w:eastAsia="仿宋_GB2312" w:cs="Times New Roman"/>
          <w:color w:val="auto"/>
          <w:kern w:val="2"/>
          <w:sz w:val="32"/>
          <w:szCs w:val="32"/>
          <w:lang w:val="en-US" w:eastAsia="zh-CN" w:bidi="ar-SA"/>
        </w:rPr>
        <w:t>做</w:t>
      </w:r>
      <w:r>
        <w:rPr>
          <w:rFonts w:hint="default" w:ascii="Times New Roman" w:hAnsi="Times New Roman" w:eastAsia="仿宋_GB2312" w:cs="Times New Roman"/>
          <w:color w:val="auto"/>
          <w:kern w:val="2"/>
          <w:sz w:val="32"/>
          <w:szCs w:val="32"/>
          <w:lang w:val="en-US" w:eastAsia="zh-CN" w:bidi="ar-SA"/>
        </w:rPr>
        <w:t>深做实为大局服务，为人民司法，推动法院工作现代化，为全面实施“农牧立县、文旅兴县、能源富县、开放活县”战略，构建“一城三副”城乡融合高质量发展体系，加快建设中国式现代化新壤塘提供坚强有力的司法服务和保障！</w:t>
      </w:r>
    </w:p>
    <w:p w14:paraId="171F6F84">
      <w:pPr>
        <w:pStyle w:val="14"/>
        <w:spacing w:line="360" w:lineRule="auto"/>
        <w:ind w:firstLine="640"/>
        <w:rPr>
          <w:rFonts w:ascii="黑体" w:eastAsia="黑体"/>
          <w:sz w:val="32"/>
          <w:szCs w:val="32"/>
        </w:rPr>
      </w:pPr>
      <w:r>
        <w:rPr>
          <w:rFonts w:hint="eastAsia" w:ascii="黑体" w:eastAsia="黑体"/>
          <w:sz w:val="32"/>
          <w:szCs w:val="32"/>
        </w:rPr>
        <w:t>二、部门预算单位构成</w:t>
      </w:r>
    </w:p>
    <w:p w14:paraId="6E5D9E48">
      <w:pPr>
        <w:pStyle w:val="11"/>
        <w:spacing w:before="0" w:beforeAutospacing="0" w:after="0" w:afterAutospacing="0" w:line="360" w:lineRule="auto"/>
        <w:ind w:firstLine="640" w:firstLineChars="200"/>
        <w:contextualSpacing/>
        <w:jc w:val="both"/>
        <w:rPr>
          <w:rFonts w:ascii="仿宋_GB2312" w:eastAsia="仿宋_GB2312"/>
          <w:sz w:val="32"/>
          <w:szCs w:val="32"/>
        </w:rPr>
      </w:pPr>
      <w:r>
        <w:rPr>
          <w:rFonts w:hint="eastAsia" w:ascii="仿宋_GB2312" w:eastAsia="仿宋_GB2312"/>
          <w:kern w:val="2"/>
          <w:sz w:val="32"/>
          <w:szCs w:val="32"/>
        </w:rPr>
        <w:t>壤塘县人民法院属一级预算单位，202</w:t>
      </w:r>
      <w:r>
        <w:rPr>
          <w:rFonts w:hint="eastAsia" w:ascii="仿宋_GB2312" w:eastAsia="仿宋_GB2312"/>
          <w:kern w:val="2"/>
          <w:sz w:val="32"/>
          <w:szCs w:val="32"/>
          <w:lang w:val="en-US" w:eastAsia="zh-CN"/>
        </w:rPr>
        <w:t>5</w:t>
      </w:r>
      <w:r>
        <w:rPr>
          <w:rFonts w:hint="eastAsia" w:ascii="仿宋_GB2312" w:eastAsia="仿宋_GB2312"/>
          <w:kern w:val="2"/>
          <w:sz w:val="32"/>
          <w:szCs w:val="32"/>
        </w:rPr>
        <w:t>年财政</w:t>
      </w:r>
      <w:r>
        <w:rPr>
          <w:rFonts w:hint="eastAsia" w:ascii="仿宋_GB2312" w:eastAsia="仿宋_GB2312"/>
          <w:kern w:val="2"/>
          <w:sz w:val="32"/>
          <w:szCs w:val="32"/>
          <w:highlight w:val="none"/>
        </w:rPr>
        <w:t>预算供给人员共</w:t>
      </w:r>
      <w:r>
        <w:rPr>
          <w:rFonts w:hint="eastAsia" w:ascii="仿宋_GB2312" w:eastAsia="仿宋_GB2312"/>
          <w:kern w:val="2"/>
          <w:sz w:val="32"/>
          <w:szCs w:val="32"/>
          <w:highlight w:val="none"/>
          <w:lang w:val="en-US" w:eastAsia="zh-CN"/>
        </w:rPr>
        <w:t>60</w:t>
      </w:r>
      <w:r>
        <w:rPr>
          <w:rFonts w:hint="eastAsia" w:ascii="仿宋_GB2312" w:eastAsia="仿宋_GB2312"/>
          <w:kern w:val="2"/>
          <w:sz w:val="32"/>
          <w:szCs w:val="32"/>
          <w:highlight w:val="none"/>
        </w:rPr>
        <w:t>人，供给车辆</w:t>
      </w:r>
      <w:r>
        <w:rPr>
          <w:rFonts w:hint="eastAsia" w:ascii="仿宋_GB2312" w:eastAsia="仿宋_GB2312"/>
          <w:kern w:val="2"/>
          <w:sz w:val="32"/>
          <w:szCs w:val="32"/>
          <w:highlight w:val="none"/>
          <w:lang w:val="en-US" w:eastAsia="zh-CN"/>
        </w:rPr>
        <w:t>10</w:t>
      </w:r>
      <w:r>
        <w:rPr>
          <w:rFonts w:hint="eastAsia" w:ascii="仿宋_GB2312" w:eastAsia="仿宋_GB2312"/>
          <w:kern w:val="2"/>
          <w:sz w:val="32"/>
          <w:szCs w:val="32"/>
          <w:highlight w:val="none"/>
        </w:rPr>
        <w:t>辆，无</w:t>
      </w:r>
      <w:r>
        <w:rPr>
          <w:rFonts w:hint="eastAsia" w:ascii="仿宋_GB2312" w:eastAsia="仿宋_GB2312"/>
          <w:kern w:val="2"/>
          <w:sz w:val="32"/>
          <w:szCs w:val="32"/>
        </w:rPr>
        <w:t>下属二级预算单位。</w:t>
      </w:r>
    </w:p>
    <w:p w14:paraId="3E4FF5CB">
      <w:pPr>
        <w:pStyle w:val="14"/>
        <w:spacing w:line="360" w:lineRule="auto"/>
        <w:ind w:firstLine="640"/>
        <w:rPr>
          <w:rFonts w:ascii="黑体" w:eastAsia="黑体"/>
          <w:sz w:val="32"/>
          <w:szCs w:val="32"/>
        </w:rPr>
      </w:pPr>
      <w:r>
        <w:rPr>
          <w:rFonts w:hint="eastAsia" w:ascii="黑体" w:eastAsia="黑体"/>
          <w:sz w:val="32"/>
          <w:szCs w:val="32"/>
        </w:rPr>
        <w:t>三、收支预算情况说明</w:t>
      </w:r>
    </w:p>
    <w:p w14:paraId="50BF31B2">
      <w:pPr>
        <w:spacing w:line="360" w:lineRule="auto"/>
        <w:ind w:firstLine="640" w:firstLineChars="200"/>
        <w:rPr>
          <w:rFonts w:ascii="仿宋_GB2312" w:eastAsia="仿宋_GB2312"/>
          <w:sz w:val="32"/>
          <w:szCs w:val="32"/>
          <w:highlight w:val="yellow"/>
        </w:rPr>
      </w:pPr>
      <w:r>
        <w:rPr>
          <w:rFonts w:hint="eastAsia" w:ascii="仿宋_GB2312" w:eastAsia="仿宋_GB2312"/>
          <w:sz w:val="32"/>
          <w:szCs w:val="32"/>
        </w:rPr>
        <w:t>按照综合预算的原则，壤塘县人民法院所有收入和支出均纳入部门预算管理。收入包括：一般公共预算拨款收入</w:t>
      </w:r>
      <w:r>
        <w:rPr>
          <w:rFonts w:hint="eastAsia" w:ascii="仿宋_GB2312" w:eastAsia="仿宋_GB2312"/>
          <w:sz w:val="32"/>
          <w:szCs w:val="32"/>
          <w:lang w:val="en-US" w:eastAsia="zh-CN"/>
        </w:rPr>
        <w:t>1024.07</w:t>
      </w:r>
      <w:r>
        <w:rPr>
          <w:rFonts w:hint="eastAsia" w:ascii="仿宋_GB2312" w:eastAsia="仿宋_GB2312"/>
          <w:sz w:val="32"/>
          <w:szCs w:val="32"/>
        </w:rPr>
        <w:t>万元；支出包括：公共安全支出</w:t>
      </w:r>
      <w:r>
        <w:rPr>
          <w:rFonts w:hint="eastAsia" w:ascii="仿宋_GB2312" w:eastAsia="仿宋_GB2312"/>
          <w:sz w:val="32"/>
          <w:szCs w:val="32"/>
          <w:lang w:val="en-US" w:eastAsia="zh-CN"/>
        </w:rPr>
        <w:t>731.30</w:t>
      </w:r>
      <w:r>
        <w:rPr>
          <w:rFonts w:hint="eastAsia" w:ascii="仿宋_GB2312" w:eastAsia="仿宋_GB2312"/>
          <w:sz w:val="32"/>
          <w:szCs w:val="32"/>
        </w:rPr>
        <w:t>万元，社会保障和就业支出</w:t>
      </w:r>
      <w:r>
        <w:rPr>
          <w:rFonts w:hint="eastAsia" w:ascii="仿宋_GB2312" w:eastAsia="仿宋_GB2312"/>
          <w:sz w:val="32"/>
          <w:szCs w:val="32"/>
          <w:lang w:val="en-US" w:eastAsia="zh-CN"/>
        </w:rPr>
        <w:t>157.06</w:t>
      </w:r>
      <w:r>
        <w:rPr>
          <w:rFonts w:hint="eastAsia" w:ascii="仿宋_GB2312" w:eastAsia="仿宋_GB2312"/>
          <w:sz w:val="32"/>
          <w:szCs w:val="32"/>
        </w:rPr>
        <w:t>万元，卫生健康支出</w:t>
      </w:r>
      <w:r>
        <w:rPr>
          <w:rFonts w:hint="eastAsia" w:ascii="仿宋_GB2312" w:eastAsia="仿宋_GB2312"/>
          <w:sz w:val="32"/>
          <w:szCs w:val="32"/>
          <w:lang w:val="en-US" w:eastAsia="zh-CN"/>
        </w:rPr>
        <w:t>58.15</w:t>
      </w:r>
      <w:r>
        <w:rPr>
          <w:rFonts w:hint="eastAsia" w:ascii="仿宋_GB2312" w:eastAsia="仿宋_GB2312"/>
          <w:sz w:val="32"/>
          <w:szCs w:val="32"/>
        </w:rPr>
        <w:t>万元，住房保障支出</w:t>
      </w:r>
      <w:r>
        <w:rPr>
          <w:rFonts w:hint="eastAsia" w:ascii="仿宋_GB2312" w:eastAsia="仿宋_GB2312"/>
          <w:sz w:val="32"/>
          <w:szCs w:val="32"/>
          <w:lang w:val="en-US" w:eastAsia="zh-CN"/>
        </w:rPr>
        <w:t>77.56</w:t>
      </w:r>
      <w:r>
        <w:rPr>
          <w:rFonts w:hint="eastAsia" w:ascii="仿宋_GB2312" w:eastAsia="仿宋_GB2312"/>
          <w:sz w:val="32"/>
          <w:szCs w:val="32"/>
        </w:rPr>
        <w:t>万元。壤塘县人民法院202</w:t>
      </w:r>
      <w:r>
        <w:rPr>
          <w:rFonts w:hint="eastAsia" w:ascii="仿宋_GB2312" w:eastAsia="仿宋_GB2312"/>
          <w:sz w:val="32"/>
          <w:szCs w:val="32"/>
          <w:lang w:val="en-US" w:eastAsia="zh-CN"/>
        </w:rPr>
        <w:t>5</w:t>
      </w:r>
      <w:r>
        <w:rPr>
          <w:rFonts w:hint="eastAsia" w:ascii="仿宋_GB2312" w:eastAsia="仿宋_GB2312"/>
          <w:sz w:val="32"/>
          <w:szCs w:val="32"/>
        </w:rPr>
        <w:t>年收支总预算</w:t>
      </w:r>
      <w:r>
        <w:rPr>
          <w:rFonts w:hint="eastAsia" w:ascii="仿宋_GB2312" w:eastAsia="仿宋_GB2312"/>
          <w:sz w:val="32"/>
          <w:szCs w:val="32"/>
          <w:lang w:val="en-US" w:eastAsia="zh-CN"/>
        </w:rPr>
        <w:t>1024.07</w:t>
      </w:r>
      <w:r>
        <w:rPr>
          <w:rFonts w:hint="eastAsia" w:ascii="仿宋_GB2312" w:eastAsia="仿宋_GB2312"/>
          <w:sz w:val="32"/>
          <w:szCs w:val="32"/>
        </w:rPr>
        <w:t>5万元，比202</w:t>
      </w:r>
      <w:r>
        <w:rPr>
          <w:rFonts w:hint="eastAsia" w:ascii="仿宋_GB2312" w:eastAsia="仿宋_GB2312"/>
          <w:sz w:val="32"/>
          <w:szCs w:val="32"/>
          <w:lang w:val="en-US" w:eastAsia="zh-CN"/>
        </w:rPr>
        <w:t>4</w:t>
      </w:r>
      <w:r>
        <w:rPr>
          <w:rFonts w:hint="eastAsia" w:ascii="仿宋_GB2312" w:eastAsia="仿宋_GB2312"/>
          <w:sz w:val="32"/>
          <w:szCs w:val="32"/>
        </w:rPr>
        <w:t>年收支预算总数</w:t>
      </w:r>
      <w:r>
        <w:rPr>
          <w:rFonts w:hint="eastAsia" w:ascii="仿宋_GB2312" w:eastAsia="仿宋_GB2312"/>
          <w:sz w:val="32"/>
          <w:szCs w:val="32"/>
          <w:lang w:val="en-US" w:eastAsia="zh-CN"/>
        </w:rPr>
        <w:t>增加89.52</w:t>
      </w:r>
      <w:r>
        <w:rPr>
          <w:rFonts w:hint="eastAsia" w:ascii="仿宋_GB2312" w:eastAsia="仿宋_GB2312"/>
          <w:sz w:val="32"/>
          <w:szCs w:val="32"/>
        </w:rPr>
        <w:t>万元，主要原因：单位人员</w:t>
      </w:r>
      <w:r>
        <w:rPr>
          <w:rFonts w:hint="eastAsia" w:ascii="仿宋_GB2312" w:eastAsia="仿宋_GB2312"/>
          <w:sz w:val="32"/>
          <w:szCs w:val="32"/>
          <w:lang w:val="en-US" w:eastAsia="zh-CN"/>
        </w:rPr>
        <w:t>增加</w:t>
      </w:r>
      <w:r>
        <w:rPr>
          <w:rFonts w:hint="eastAsia" w:ascii="仿宋_GB2312" w:eastAsia="仿宋_GB2312"/>
          <w:sz w:val="32"/>
          <w:szCs w:val="32"/>
        </w:rPr>
        <w:t>。</w:t>
      </w:r>
    </w:p>
    <w:p w14:paraId="5C032024">
      <w:pPr>
        <w:spacing w:line="360" w:lineRule="auto"/>
        <w:ind w:firstLine="640" w:firstLineChars="200"/>
        <w:rPr>
          <w:rFonts w:ascii="楷体" w:eastAsia="楷体"/>
          <w:sz w:val="32"/>
          <w:szCs w:val="32"/>
        </w:rPr>
      </w:pPr>
      <w:r>
        <w:rPr>
          <w:rFonts w:hint="eastAsia" w:ascii="楷体" w:eastAsia="楷体"/>
          <w:sz w:val="32"/>
          <w:szCs w:val="32"/>
        </w:rPr>
        <w:t>（一）收入预算情况</w:t>
      </w:r>
    </w:p>
    <w:p w14:paraId="35AC4833">
      <w:pPr>
        <w:pStyle w:val="7"/>
        <w:spacing w:line="360" w:lineRule="auto"/>
        <w:ind w:left="0" w:leftChars="0" w:firstLine="640" w:firstLineChars="200"/>
        <w:rPr>
          <w:rFonts w:ascii="仿宋_GB2312" w:eastAsia="仿宋_GB2312"/>
          <w:sz w:val="32"/>
          <w:szCs w:val="32"/>
        </w:rPr>
      </w:pPr>
      <w:r>
        <w:rPr>
          <w:rFonts w:hint="eastAsia" w:ascii="仿宋_GB2312" w:eastAsia="仿宋_GB2312"/>
          <w:sz w:val="32"/>
          <w:szCs w:val="32"/>
        </w:rPr>
        <w:t>壤塘县人民法院202</w:t>
      </w:r>
      <w:r>
        <w:rPr>
          <w:rFonts w:hint="eastAsia" w:ascii="仿宋_GB2312" w:eastAsia="仿宋_GB2312"/>
          <w:sz w:val="32"/>
          <w:szCs w:val="32"/>
          <w:lang w:val="en-US" w:eastAsia="zh-CN"/>
        </w:rPr>
        <w:t>5</w:t>
      </w:r>
      <w:r>
        <w:rPr>
          <w:rFonts w:hint="eastAsia" w:ascii="仿宋_GB2312" w:eastAsia="仿宋_GB2312"/>
          <w:sz w:val="32"/>
          <w:szCs w:val="32"/>
        </w:rPr>
        <w:t>年收入预算</w:t>
      </w:r>
      <w:r>
        <w:rPr>
          <w:rFonts w:hint="eastAsia" w:ascii="仿宋_GB2312" w:eastAsia="仿宋_GB2312"/>
          <w:sz w:val="32"/>
          <w:szCs w:val="32"/>
          <w:lang w:val="en-US" w:eastAsia="zh-CN"/>
        </w:rPr>
        <w:t>1024.07</w:t>
      </w:r>
      <w:r>
        <w:rPr>
          <w:rFonts w:hint="eastAsia" w:ascii="仿宋_GB2312" w:eastAsia="仿宋_GB2312"/>
          <w:sz w:val="32"/>
          <w:szCs w:val="32"/>
        </w:rPr>
        <w:t>万元，其中：上年结转0万元，占0%；一般公共预算拨款收入</w:t>
      </w:r>
      <w:r>
        <w:rPr>
          <w:rFonts w:hint="eastAsia" w:ascii="仿宋_GB2312" w:eastAsia="仿宋_GB2312"/>
          <w:sz w:val="32"/>
          <w:szCs w:val="32"/>
          <w:lang w:val="en-US" w:eastAsia="zh-CN"/>
        </w:rPr>
        <w:t>1024.07</w:t>
      </w:r>
      <w:r>
        <w:rPr>
          <w:rFonts w:hint="eastAsia" w:ascii="仿宋_GB2312" w:eastAsia="仿宋_GB2312"/>
          <w:sz w:val="32"/>
          <w:szCs w:val="32"/>
        </w:rPr>
        <w:t>万元，占100.00%；事业收入0万元，占0%；其他收入0万元，占0%。</w:t>
      </w:r>
    </w:p>
    <w:p w14:paraId="64326172">
      <w:pPr>
        <w:tabs>
          <w:tab w:val="center" w:pos="4153"/>
        </w:tabs>
        <w:spacing w:line="360" w:lineRule="auto"/>
        <w:ind w:firstLine="640" w:firstLineChars="200"/>
        <w:jc w:val="left"/>
        <w:rPr>
          <w:rFonts w:ascii="楷体" w:eastAsia="楷体" w:cs="仿宋_GB2312"/>
          <w:sz w:val="32"/>
          <w:szCs w:val="32"/>
        </w:rPr>
      </w:pPr>
      <w:r>
        <w:rPr>
          <w:rFonts w:hint="eastAsia" w:ascii="楷体" w:eastAsia="楷体" w:cs="仿宋_GB2312"/>
          <w:sz w:val="32"/>
          <w:szCs w:val="32"/>
        </w:rPr>
        <w:t>（二）支出预算情况</w:t>
      </w:r>
    </w:p>
    <w:p w14:paraId="2FF4A917">
      <w:pPr>
        <w:pStyle w:val="7"/>
        <w:spacing w:line="360" w:lineRule="auto"/>
        <w:ind w:left="0" w:leftChars="0" w:firstLine="640" w:firstLineChars="200"/>
      </w:pPr>
      <w:r>
        <w:rPr>
          <w:rFonts w:hint="eastAsia" w:ascii="仿宋" w:eastAsia="仿宋" w:cs="仿宋"/>
          <w:kern w:val="0"/>
          <w:sz w:val="32"/>
          <w:szCs w:val="32"/>
        </w:rPr>
        <w:t>壤塘县人民法院202</w:t>
      </w:r>
      <w:r>
        <w:rPr>
          <w:rFonts w:hint="eastAsia" w:ascii="仿宋" w:eastAsia="仿宋" w:cs="仿宋"/>
          <w:kern w:val="0"/>
          <w:sz w:val="32"/>
          <w:szCs w:val="32"/>
          <w:lang w:val="en-US" w:eastAsia="zh-CN"/>
        </w:rPr>
        <w:t>5</w:t>
      </w:r>
      <w:r>
        <w:rPr>
          <w:rFonts w:hint="eastAsia" w:ascii="仿宋" w:eastAsia="仿宋" w:cs="仿宋"/>
          <w:kern w:val="0"/>
          <w:sz w:val="32"/>
          <w:szCs w:val="32"/>
        </w:rPr>
        <w:t>年支出预算</w:t>
      </w:r>
      <w:r>
        <w:rPr>
          <w:rFonts w:hint="eastAsia" w:ascii="仿宋_GB2312" w:eastAsia="仿宋_GB2312"/>
          <w:sz w:val="32"/>
          <w:szCs w:val="32"/>
          <w:lang w:val="en-US" w:eastAsia="zh-CN"/>
        </w:rPr>
        <w:t>1024.07</w:t>
      </w:r>
      <w:r>
        <w:rPr>
          <w:rFonts w:hint="eastAsia" w:ascii="仿宋" w:eastAsia="仿宋" w:cs="仿宋"/>
          <w:kern w:val="0"/>
          <w:sz w:val="32"/>
          <w:szCs w:val="32"/>
        </w:rPr>
        <w:t>万元，其中：基本支出</w:t>
      </w:r>
      <w:r>
        <w:rPr>
          <w:rFonts w:hint="eastAsia" w:ascii="仿宋" w:eastAsia="仿宋" w:cs="仿宋"/>
          <w:kern w:val="0"/>
          <w:sz w:val="32"/>
          <w:szCs w:val="32"/>
          <w:lang w:val="en-US" w:eastAsia="zh-CN"/>
        </w:rPr>
        <w:t>1024.07</w:t>
      </w:r>
      <w:r>
        <w:rPr>
          <w:rFonts w:hint="eastAsia" w:ascii="仿宋" w:eastAsia="仿宋" w:cs="仿宋"/>
          <w:kern w:val="0"/>
          <w:sz w:val="32"/>
          <w:szCs w:val="32"/>
        </w:rPr>
        <w:t>万元，占</w:t>
      </w:r>
      <w:r>
        <w:rPr>
          <w:rFonts w:hint="eastAsia" w:ascii="仿宋" w:eastAsia="仿宋" w:cs="仿宋"/>
          <w:kern w:val="0"/>
          <w:sz w:val="32"/>
          <w:szCs w:val="32"/>
          <w:lang w:val="en-US" w:eastAsia="zh-CN"/>
        </w:rPr>
        <w:t>100</w:t>
      </w:r>
      <w:r>
        <w:rPr>
          <w:rFonts w:hint="eastAsia" w:ascii="仿宋" w:eastAsia="仿宋" w:cs="仿宋"/>
          <w:kern w:val="0"/>
          <w:sz w:val="32"/>
          <w:szCs w:val="32"/>
        </w:rPr>
        <w:t>%；项目支出</w:t>
      </w:r>
      <w:r>
        <w:rPr>
          <w:rFonts w:hint="eastAsia" w:ascii="仿宋" w:eastAsia="仿宋" w:cs="仿宋"/>
          <w:kern w:val="0"/>
          <w:sz w:val="32"/>
          <w:szCs w:val="32"/>
          <w:lang w:val="en-US" w:eastAsia="zh-CN"/>
        </w:rPr>
        <w:t>0</w:t>
      </w:r>
      <w:r>
        <w:rPr>
          <w:rFonts w:hint="eastAsia" w:ascii="仿宋" w:eastAsia="仿宋" w:cs="仿宋"/>
          <w:kern w:val="0"/>
          <w:sz w:val="32"/>
          <w:szCs w:val="32"/>
        </w:rPr>
        <w:t>万元，占</w:t>
      </w:r>
      <w:r>
        <w:rPr>
          <w:rFonts w:hint="eastAsia" w:ascii="仿宋" w:eastAsia="仿宋" w:cs="仿宋"/>
          <w:kern w:val="0"/>
          <w:sz w:val="32"/>
          <w:szCs w:val="32"/>
          <w:lang w:val="en-US" w:eastAsia="zh-CN"/>
        </w:rPr>
        <w:t>0</w:t>
      </w:r>
      <w:r>
        <w:rPr>
          <w:rFonts w:hint="eastAsia" w:ascii="仿宋" w:eastAsia="仿宋" w:cs="仿宋"/>
          <w:kern w:val="0"/>
          <w:sz w:val="32"/>
          <w:szCs w:val="32"/>
        </w:rPr>
        <w:t>%</w:t>
      </w:r>
      <w:r>
        <w:rPr>
          <w:rFonts w:hint="eastAsia" w:ascii="仿宋" w:eastAsia="仿宋" w:cs="仿宋"/>
          <w:sz w:val="32"/>
          <w:szCs w:val="32"/>
        </w:rPr>
        <w:t>。</w:t>
      </w:r>
    </w:p>
    <w:p w14:paraId="586736EB">
      <w:pPr>
        <w:spacing w:line="360" w:lineRule="auto"/>
        <w:ind w:firstLine="640" w:firstLineChars="200"/>
        <w:rPr>
          <w:rFonts w:ascii="ˎ̥" w:hAnsi="ˎ̥" w:cs="宋体"/>
          <w:sz w:val="16"/>
        </w:rPr>
      </w:pPr>
      <w:r>
        <w:rPr>
          <w:rFonts w:hint="eastAsia" w:ascii="黑体" w:eastAsia="黑体"/>
          <w:sz w:val="32"/>
          <w:szCs w:val="32"/>
        </w:rPr>
        <w:t>四、财政拨款收支预算情况说明</w:t>
      </w:r>
    </w:p>
    <w:p w14:paraId="4E303B66">
      <w:pPr>
        <w:spacing w:line="360" w:lineRule="auto"/>
        <w:ind w:firstLine="640" w:firstLineChars="200"/>
        <w:rPr>
          <w:rFonts w:ascii="仿宋_GB2312" w:eastAsia="仿宋_GB2312"/>
          <w:sz w:val="32"/>
          <w:szCs w:val="32"/>
          <w:highlight w:val="yellow"/>
        </w:rPr>
      </w:pPr>
      <w:r>
        <w:rPr>
          <w:rFonts w:hint="eastAsia" w:ascii="仿宋_GB2312" w:eastAsia="仿宋_GB2312"/>
          <w:sz w:val="32"/>
          <w:szCs w:val="32"/>
        </w:rPr>
        <w:t>壤塘县人民法院202</w:t>
      </w:r>
      <w:r>
        <w:rPr>
          <w:rFonts w:hint="eastAsia" w:ascii="仿宋_GB2312" w:eastAsia="仿宋_GB2312"/>
          <w:sz w:val="32"/>
          <w:szCs w:val="32"/>
          <w:lang w:val="en-US" w:eastAsia="zh-CN"/>
        </w:rPr>
        <w:t>5</w:t>
      </w:r>
      <w:r>
        <w:rPr>
          <w:rFonts w:hint="eastAsia" w:ascii="仿宋_GB2312" w:eastAsia="仿宋_GB2312"/>
          <w:sz w:val="32"/>
          <w:szCs w:val="32"/>
        </w:rPr>
        <w:t>年财政拨款收支总预算</w:t>
      </w:r>
      <w:r>
        <w:rPr>
          <w:rFonts w:hint="eastAsia" w:ascii="仿宋_GB2312" w:eastAsia="仿宋_GB2312"/>
          <w:sz w:val="32"/>
          <w:szCs w:val="32"/>
          <w:lang w:val="en-US" w:eastAsia="zh-CN"/>
        </w:rPr>
        <w:t>1024.07</w:t>
      </w:r>
      <w:r>
        <w:rPr>
          <w:rFonts w:hint="eastAsia" w:ascii="仿宋_GB2312" w:eastAsia="仿宋_GB2312"/>
          <w:sz w:val="32"/>
          <w:szCs w:val="32"/>
        </w:rPr>
        <w:t>万元，比202</w:t>
      </w:r>
      <w:r>
        <w:rPr>
          <w:rFonts w:hint="eastAsia" w:ascii="仿宋_GB2312" w:eastAsia="仿宋_GB2312"/>
          <w:sz w:val="32"/>
          <w:szCs w:val="32"/>
          <w:lang w:val="en-US" w:eastAsia="zh-CN"/>
        </w:rPr>
        <w:t>4</w:t>
      </w:r>
      <w:r>
        <w:rPr>
          <w:rFonts w:hint="eastAsia" w:ascii="仿宋_GB2312" w:eastAsia="仿宋_GB2312"/>
          <w:sz w:val="32"/>
          <w:szCs w:val="32"/>
        </w:rPr>
        <w:t>年财政拨款收支总预算</w:t>
      </w:r>
      <w:r>
        <w:rPr>
          <w:rFonts w:hint="eastAsia" w:ascii="仿宋_GB2312" w:eastAsia="仿宋_GB2312"/>
          <w:sz w:val="32"/>
          <w:szCs w:val="32"/>
          <w:lang w:val="en-US" w:eastAsia="zh-CN"/>
        </w:rPr>
        <w:t>增加89.52</w:t>
      </w:r>
      <w:r>
        <w:rPr>
          <w:rFonts w:hint="eastAsia" w:ascii="仿宋_GB2312" w:eastAsia="仿宋_GB2312"/>
          <w:sz w:val="32"/>
          <w:szCs w:val="32"/>
        </w:rPr>
        <w:t>万元，主要原因：单位人员</w:t>
      </w:r>
      <w:r>
        <w:rPr>
          <w:rFonts w:hint="eastAsia" w:ascii="仿宋_GB2312" w:eastAsia="仿宋_GB2312"/>
          <w:sz w:val="32"/>
          <w:szCs w:val="32"/>
          <w:lang w:val="en-US" w:eastAsia="zh-CN"/>
        </w:rPr>
        <w:t>增加</w:t>
      </w:r>
      <w:r>
        <w:rPr>
          <w:rFonts w:hint="eastAsia" w:ascii="仿宋_GB2312" w:eastAsia="仿宋_GB2312"/>
          <w:sz w:val="32"/>
          <w:szCs w:val="32"/>
        </w:rPr>
        <w:t>。</w:t>
      </w:r>
    </w:p>
    <w:p w14:paraId="0208E532">
      <w:pPr>
        <w:spacing w:line="360" w:lineRule="auto"/>
        <w:ind w:firstLine="640" w:firstLineChars="200"/>
        <w:rPr>
          <w:rFonts w:ascii="仿宋_GB2312" w:eastAsia="仿宋_GB2312"/>
          <w:sz w:val="32"/>
          <w:szCs w:val="32"/>
        </w:rPr>
      </w:pPr>
      <w:r>
        <w:rPr>
          <w:rFonts w:hint="eastAsia" w:ascii="仿宋_GB2312" w:eastAsia="仿宋_GB2312" w:cs="仿宋_GB2312"/>
          <w:sz w:val="32"/>
          <w:szCs w:val="32"/>
        </w:rPr>
        <w:t>收入包括：</w:t>
      </w:r>
      <w:r>
        <w:rPr>
          <w:rFonts w:hint="eastAsia" w:ascii="仿宋_GB2312" w:eastAsia="仿宋_GB2312"/>
          <w:sz w:val="32"/>
          <w:szCs w:val="32"/>
        </w:rPr>
        <w:t>一般公共预算拨款收入</w:t>
      </w:r>
      <w:r>
        <w:rPr>
          <w:rFonts w:hint="eastAsia" w:ascii="仿宋_GB2312" w:eastAsia="仿宋_GB2312"/>
          <w:sz w:val="32"/>
          <w:szCs w:val="32"/>
          <w:lang w:val="en-US" w:eastAsia="zh-CN"/>
        </w:rPr>
        <w:t>1024.07</w:t>
      </w:r>
      <w:r>
        <w:rPr>
          <w:rFonts w:hint="eastAsia" w:ascii="仿宋_GB2312" w:eastAsia="仿宋_GB2312"/>
          <w:sz w:val="32"/>
          <w:szCs w:val="32"/>
        </w:rPr>
        <w:t>万元；支出包括：公共安全支出</w:t>
      </w:r>
      <w:r>
        <w:rPr>
          <w:rFonts w:hint="eastAsia" w:ascii="仿宋_GB2312" w:eastAsia="仿宋_GB2312"/>
          <w:sz w:val="32"/>
          <w:szCs w:val="32"/>
          <w:lang w:val="en-US" w:eastAsia="zh-CN"/>
        </w:rPr>
        <w:t>731.30</w:t>
      </w:r>
      <w:r>
        <w:rPr>
          <w:rFonts w:hint="eastAsia" w:ascii="仿宋_GB2312" w:eastAsia="仿宋_GB2312"/>
          <w:sz w:val="32"/>
          <w:szCs w:val="32"/>
        </w:rPr>
        <w:t>万元，社会保障和就业支出</w:t>
      </w:r>
      <w:r>
        <w:rPr>
          <w:rFonts w:hint="eastAsia" w:ascii="仿宋_GB2312" w:eastAsia="仿宋_GB2312"/>
          <w:sz w:val="32"/>
          <w:szCs w:val="32"/>
          <w:lang w:val="en-US" w:eastAsia="zh-CN"/>
        </w:rPr>
        <w:t>157.06</w:t>
      </w:r>
      <w:r>
        <w:rPr>
          <w:rFonts w:hint="eastAsia" w:ascii="仿宋_GB2312" w:eastAsia="仿宋_GB2312"/>
          <w:sz w:val="32"/>
          <w:szCs w:val="32"/>
        </w:rPr>
        <w:t>万元，卫生健康支出</w:t>
      </w:r>
      <w:r>
        <w:rPr>
          <w:rFonts w:hint="eastAsia" w:ascii="仿宋_GB2312" w:eastAsia="仿宋_GB2312"/>
          <w:sz w:val="32"/>
          <w:szCs w:val="32"/>
          <w:lang w:val="en-US" w:eastAsia="zh-CN"/>
        </w:rPr>
        <w:t>58.15</w:t>
      </w:r>
      <w:r>
        <w:rPr>
          <w:rFonts w:hint="eastAsia" w:ascii="仿宋_GB2312" w:eastAsia="仿宋_GB2312"/>
          <w:sz w:val="32"/>
          <w:szCs w:val="32"/>
        </w:rPr>
        <w:t>万元，住房保障支出</w:t>
      </w:r>
      <w:r>
        <w:rPr>
          <w:rFonts w:hint="eastAsia" w:ascii="仿宋_GB2312" w:eastAsia="仿宋_GB2312"/>
          <w:sz w:val="32"/>
          <w:szCs w:val="32"/>
          <w:lang w:val="en-US" w:eastAsia="zh-CN"/>
        </w:rPr>
        <w:t>77.56</w:t>
      </w:r>
      <w:r>
        <w:rPr>
          <w:rFonts w:hint="eastAsia" w:ascii="仿宋_GB2312" w:eastAsia="仿宋_GB2312"/>
          <w:sz w:val="32"/>
          <w:szCs w:val="32"/>
        </w:rPr>
        <w:t>万元。</w:t>
      </w:r>
    </w:p>
    <w:p w14:paraId="161A6830">
      <w:pPr>
        <w:spacing w:line="360" w:lineRule="auto"/>
        <w:ind w:firstLine="640" w:firstLineChars="200"/>
        <w:rPr>
          <w:rFonts w:ascii="黑体" w:eastAsia="黑体"/>
          <w:sz w:val="32"/>
          <w:szCs w:val="32"/>
        </w:rPr>
      </w:pPr>
      <w:r>
        <w:rPr>
          <w:rFonts w:hint="eastAsia" w:ascii="黑体" w:eastAsia="黑体"/>
          <w:sz w:val="32"/>
          <w:szCs w:val="32"/>
        </w:rPr>
        <w:t>五、一般公共预算当年拨款情况说明</w:t>
      </w:r>
    </w:p>
    <w:p w14:paraId="3F6204F5">
      <w:pPr>
        <w:pStyle w:val="15"/>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14:paraId="0B9880AE">
      <w:pPr>
        <w:pStyle w:val="15"/>
        <w:spacing w:before="0" w:line="360" w:lineRule="auto"/>
        <w:ind w:firstLine="640" w:firstLineChars="200"/>
        <w:rPr>
          <w:rFonts w:cs="仿宋_GB2312"/>
          <w:kern w:val="2"/>
          <w:sz w:val="32"/>
          <w:szCs w:val="32"/>
          <w:highlight w:val="yellow"/>
        </w:rPr>
      </w:pPr>
      <w:r>
        <w:rPr>
          <w:rFonts w:hint="eastAsia"/>
          <w:sz w:val="32"/>
          <w:szCs w:val="32"/>
        </w:rPr>
        <w:t>壤塘县人民法院</w:t>
      </w:r>
      <w:r>
        <w:rPr>
          <w:rFonts w:hint="eastAsia" w:cs="宋体"/>
          <w:sz w:val="32"/>
          <w:szCs w:val="32"/>
        </w:rPr>
        <w:t>202</w:t>
      </w:r>
      <w:r>
        <w:rPr>
          <w:rFonts w:hint="eastAsia" w:cs="宋体"/>
          <w:sz w:val="32"/>
          <w:szCs w:val="32"/>
          <w:lang w:val="en-US" w:eastAsia="zh-CN"/>
        </w:rPr>
        <w:t>5</w:t>
      </w:r>
      <w:r>
        <w:rPr>
          <w:rFonts w:hint="eastAsia" w:cs="宋体"/>
          <w:sz w:val="32"/>
          <w:szCs w:val="32"/>
        </w:rPr>
        <w:t>年一般公共预算当年拨款</w:t>
      </w:r>
      <w:r>
        <w:rPr>
          <w:rFonts w:hint="eastAsia"/>
          <w:kern w:val="2"/>
          <w:sz w:val="32"/>
          <w:szCs w:val="32"/>
          <w:lang w:val="en-US" w:eastAsia="zh-CN"/>
        </w:rPr>
        <w:t>1024.07</w:t>
      </w:r>
      <w:r>
        <w:rPr>
          <w:rFonts w:hint="eastAsia" w:cs="宋体"/>
          <w:sz w:val="32"/>
          <w:szCs w:val="32"/>
        </w:rPr>
        <w:t>万元，比202</w:t>
      </w:r>
      <w:r>
        <w:rPr>
          <w:rFonts w:hint="eastAsia" w:cs="宋体"/>
          <w:sz w:val="32"/>
          <w:szCs w:val="32"/>
          <w:lang w:val="en-US" w:eastAsia="zh-CN"/>
        </w:rPr>
        <w:t>4</w:t>
      </w:r>
      <w:r>
        <w:rPr>
          <w:rFonts w:hint="eastAsia" w:cs="宋体"/>
          <w:sz w:val="32"/>
          <w:szCs w:val="32"/>
        </w:rPr>
        <w:t>年预算数</w:t>
      </w:r>
      <w:r>
        <w:rPr>
          <w:rFonts w:hint="eastAsia" w:ascii="仿宋_GB2312" w:eastAsia="仿宋_GB2312"/>
          <w:sz w:val="32"/>
          <w:szCs w:val="32"/>
          <w:lang w:val="en-US" w:eastAsia="zh-CN"/>
        </w:rPr>
        <w:t>增加89.52</w:t>
      </w:r>
      <w:r>
        <w:rPr>
          <w:rFonts w:hint="eastAsia" w:ascii="仿宋_GB2312" w:eastAsia="仿宋_GB2312"/>
          <w:sz w:val="32"/>
          <w:szCs w:val="32"/>
        </w:rPr>
        <w:t>万元</w:t>
      </w:r>
      <w:r>
        <w:rPr>
          <w:rFonts w:hint="eastAsia" w:cs="宋体"/>
          <w:sz w:val="32"/>
          <w:szCs w:val="32"/>
        </w:rPr>
        <w:t>，</w:t>
      </w:r>
      <w:r>
        <w:rPr>
          <w:rFonts w:hint="eastAsia"/>
          <w:kern w:val="2"/>
          <w:sz w:val="32"/>
          <w:szCs w:val="32"/>
        </w:rPr>
        <w:t>主要原因：</w:t>
      </w:r>
      <w:r>
        <w:rPr>
          <w:rFonts w:hint="eastAsia"/>
          <w:sz w:val="32"/>
          <w:szCs w:val="32"/>
        </w:rPr>
        <w:t>单位人员</w:t>
      </w:r>
      <w:r>
        <w:rPr>
          <w:rFonts w:hint="eastAsia"/>
          <w:sz w:val="32"/>
          <w:szCs w:val="32"/>
          <w:lang w:val="en-US" w:eastAsia="zh-CN"/>
        </w:rPr>
        <w:t>增加</w:t>
      </w:r>
      <w:r>
        <w:rPr>
          <w:rFonts w:hint="eastAsia"/>
          <w:sz w:val="32"/>
          <w:szCs w:val="32"/>
        </w:rPr>
        <w:t>。</w:t>
      </w:r>
    </w:p>
    <w:p w14:paraId="5DC900B4">
      <w:pPr>
        <w:pStyle w:val="15"/>
        <w:numPr>
          <w:ilvl w:val="0"/>
          <w:numId w:val="1"/>
        </w:numPr>
        <w:spacing w:before="0" w:line="360" w:lineRule="auto"/>
        <w:ind w:firstLine="640" w:firstLineChars="200"/>
        <w:rPr>
          <w:rFonts w:ascii="楷体" w:eastAsia="楷体" w:cs="宋体"/>
          <w:sz w:val="32"/>
          <w:szCs w:val="32"/>
        </w:rPr>
      </w:pPr>
      <w:r>
        <w:rPr>
          <w:rFonts w:hint="eastAsia" w:ascii="楷体" w:eastAsia="楷体" w:cs="仿宋_GB2312"/>
          <w:kern w:val="2"/>
          <w:sz w:val="32"/>
          <w:szCs w:val="32"/>
        </w:rPr>
        <w:t>一般公</w:t>
      </w:r>
      <w:r>
        <w:rPr>
          <w:rFonts w:hint="eastAsia" w:ascii="楷体" w:eastAsia="楷体" w:cs="宋体"/>
          <w:sz w:val="32"/>
          <w:szCs w:val="32"/>
        </w:rPr>
        <w:t>共预算当年拨款结构情况</w:t>
      </w:r>
    </w:p>
    <w:p w14:paraId="28D8CF3B">
      <w:pPr>
        <w:pStyle w:val="15"/>
        <w:spacing w:before="0" w:line="360" w:lineRule="auto"/>
        <w:ind w:firstLine="640" w:firstLineChars="200"/>
        <w:rPr>
          <w:rFonts w:cs="仿宋_GB2312"/>
          <w:kern w:val="2"/>
          <w:sz w:val="32"/>
          <w:szCs w:val="32"/>
        </w:rPr>
      </w:pPr>
      <w:r>
        <w:rPr>
          <w:rFonts w:hint="eastAsia"/>
          <w:sz w:val="32"/>
          <w:szCs w:val="32"/>
        </w:rPr>
        <w:t>公共安全支出</w:t>
      </w:r>
      <w:r>
        <w:rPr>
          <w:rFonts w:hint="eastAsia"/>
          <w:sz w:val="32"/>
          <w:szCs w:val="32"/>
          <w:lang w:val="en-US" w:eastAsia="zh-CN"/>
        </w:rPr>
        <w:t>731.3</w:t>
      </w:r>
      <w:r>
        <w:rPr>
          <w:rFonts w:hint="eastAsia"/>
          <w:sz w:val="32"/>
          <w:szCs w:val="32"/>
        </w:rPr>
        <w:t>万元，占</w:t>
      </w:r>
      <w:r>
        <w:rPr>
          <w:rFonts w:hint="eastAsia"/>
          <w:sz w:val="32"/>
          <w:szCs w:val="32"/>
          <w:lang w:val="en-US" w:eastAsia="zh-CN"/>
        </w:rPr>
        <w:t>71</w:t>
      </w:r>
      <w:r>
        <w:rPr>
          <w:rFonts w:hint="eastAsia"/>
          <w:sz w:val="32"/>
          <w:szCs w:val="32"/>
        </w:rPr>
        <w:t>%；社会保障和就业支出</w:t>
      </w:r>
      <w:r>
        <w:rPr>
          <w:rFonts w:hint="eastAsia"/>
          <w:kern w:val="2"/>
          <w:sz w:val="32"/>
          <w:szCs w:val="32"/>
          <w:lang w:val="en-US" w:eastAsia="zh-CN"/>
        </w:rPr>
        <w:t>157.06</w:t>
      </w:r>
      <w:r>
        <w:rPr>
          <w:rFonts w:hint="eastAsia"/>
          <w:kern w:val="2"/>
          <w:sz w:val="32"/>
          <w:szCs w:val="32"/>
        </w:rPr>
        <w:t>万元，</w:t>
      </w:r>
      <w:r>
        <w:rPr>
          <w:rFonts w:hint="eastAsia" w:cs="宋体"/>
          <w:sz w:val="32"/>
          <w:szCs w:val="32"/>
        </w:rPr>
        <w:t>占</w:t>
      </w:r>
      <w:r>
        <w:rPr>
          <w:rFonts w:hint="eastAsia" w:cs="宋体"/>
          <w:sz w:val="32"/>
          <w:szCs w:val="32"/>
          <w:lang w:val="en-US" w:eastAsia="zh-CN"/>
        </w:rPr>
        <w:t>15</w:t>
      </w:r>
      <w:r>
        <w:rPr>
          <w:rFonts w:hint="eastAsia" w:cs="宋体"/>
          <w:sz w:val="32"/>
          <w:szCs w:val="32"/>
        </w:rPr>
        <w:t>%；</w:t>
      </w:r>
      <w:r>
        <w:rPr>
          <w:rFonts w:hint="eastAsia"/>
          <w:kern w:val="2"/>
          <w:sz w:val="32"/>
          <w:szCs w:val="32"/>
        </w:rPr>
        <w:t>卫生健康支出</w:t>
      </w:r>
      <w:r>
        <w:rPr>
          <w:rFonts w:hint="eastAsia"/>
          <w:kern w:val="2"/>
          <w:sz w:val="32"/>
          <w:szCs w:val="32"/>
          <w:lang w:val="en-US" w:eastAsia="zh-CN"/>
        </w:rPr>
        <w:t>58.15</w:t>
      </w:r>
      <w:r>
        <w:rPr>
          <w:rFonts w:hint="eastAsia"/>
          <w:kern w:val="2"/>
          <w:sz w:val="32"/>
          <w:szCs w:val="32"/>
        </w:rPr>
        <w:t>万元，占</w:t>
      </w:r>
      <w:r>
        <w:rPr>
          <w:rFonts w:hint="eastAsia"/>
          <w:kern w:val="2"/>
          <w:sz w:val="32"/>
          <w:szCs w:val="32"/>
          <w:lang w:val="en-US" w:eastAsia="zh-CN"/>
        </w:rPr>
        <w:t>6</w:t>
      </w:r>
      <w:r>
        <w:rPr>
          <w:rFonts w:hint="eastAsia"/>
          <w:kern w:val="2"/>
          <w:sz w:val="32"/>
          <w:szCs w:val="32"/>
        </w:rPr>
        <w:t>%；住房保障支出</w:t>
      </w:r>
      <w:r>
        <w:rPr>
          <w:rFonts w:hint="eastAsia"/>
          <w:kern w:val="2"/>
          <w:sz w:val="32"/>
          <w:szCs w:val="32"/>
          <w:lang w:val="en-US" w:eastAsia="zh-CN"/>
        </w:rPr>
        <w:t>77.56</w:t>
      </w:r>
      <w:r>
        <w:rPr>
          <w:rFonts w:hint="eastAsia"/>
          <w:kern w:val="2"/>
          <w:sz w:val="32"/>
          <w:szCs w:val="32"/>
        </w:rPr>
        <w:t>万元</w:t>
      </w:r>
      <w:r>
        <w:rPr>
          <w:rFonts w:hint="eastAsia" w:cs="宋体"/>
          <w:sz w:val="32"/>
          <w:szCs w:val="32"/>
        </w:rPr>
        <w:t>，占8%。</w:t>
      </w:r>
    </w:p>
    <w:p w14:paraId="12FC5CD2">
      <w:pPr>
        <w:pStyle w:val="15"/>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14:paraId="1DD95326">
      <w:pPr>
        <w:pStyle w:val="11"/>
        <w:wordWrap w:val="0"/>
        <w:spacing w:before="0" w:beforeAutospacing="0" w:after="0" w:afterAutospacing="0" w:line="360" w:lineRule="auto"/>
        <w:ind w:firstLine="640" w:firstLineChars="200"/>
        <w:contextualSpacing/>
        <w:jc w:val="both"/>
        <w:rPr>
          <w:rFonts w:ascii="仿宋" w:eastAsia="仿宋" w:cs="仿宋"/>
          <w:sz w:val="32"/>
          <w:szCs w:val="32"/>
        </w:rPr>
      </w:pPr>
      <w:r>
        <w:rPr>
          <w:rFonts w:hint="eastAsia" w:ascii="仿宋" w:eastAsia="仿宋" w:cs="仿宋"/>
          <w:sz w:val="32"/>
          <w:szCs w:val="32"/>
        </w:rPr>
        <w:t>1.公共安全支出（204）法院（05）行政运行（01）2024年预算数为</w:t>
      </w:r>
      <w:r>
        <w:rPr>
          <w:rFonts w:hint="eastAsia" w:ascii="仿宋" w:eastAsia="仿宋" w:cs="仿宋"/>
          <w:sz w:val="32"/>
          <w:szCs w:val="32"/>
          <w:lang w:val="en-US" w:eastAsia="zh-CN"/>
        </w:rPr>
        <w:t>731.3</w:t>
      </w:r>
      <w:r>
        <w:rPr>
          <w:rFonts w:hint="eastAsia" w:ascii="仿宋" w:eastAsia="仿宋" w:cs="仿宋"/>
          <w:sz w:val="32"/>
          <w:szCs w:val="32"/>
        </w:rPr>
        <w:t>万元，主要用于：机关工资福利支出、机关商品和服务支出及对个人和家庭的补助、设备购置等。</w:t>
      </w:r>
    </w:p>
    <w:p w14:paraId="57F7D323">
      <w:pPr>
        <w:pStyle w:val="11"/>
        <w:wordWrap w:val="0"/>
        <w:spacing w:before="0" w:beforeAutospacing="0" w:after="0" w:afterAutospacing="0" w:line="360" w:lineRule="auto"/>
        <w:ind w:firstLine="640" w:firstLineChars="200"/>
        <w:contextualSpacing/>
        <w:jc w:val="both"/>
        <w:rPr>
          <w:rFonts w:ascii="仿宋" w:eastAsia="仿宋" w:cs="仿宋"/>
          <w:sz w:val="32"/>
          <w:szCs w:val="32"/>
        </w:rPr>
      </w:pPr>
      <w:r>
        <w:rPr>
          <w:rFonts w:hint="eastAsia" w:ascii="仿宋" w:eastAsia="仿宋" w:cs="仿宋"/>
          <w:sz w:val="32"/>
          <w:szCs w:val="32"/>
        </w:rPr>
        <w:t>2.社会保障和就业支出（208）行政事业单位养老支出（05）机关事业单位基本养老保险缴费支出（05）2024年预算数为</w:t>
      </w:r>
      <w:r>
        <w:rPr>
          <w:rFonts w:hint="eastAsia" w:ascii="仿宋" w:eastAsia="仿宋" w:cs="仿宋"/>
          <w:sz w:val="32"/>
          <w:szCs w:val="32"/>
          <w:lang w:val="en-US" w:eastAsia="zh-CN"/>
        </w:rPr>
        <w:t>104.71</w:t>
      </w:r>
      <w:r>
        <w:rPr>
          <w:rFonts w:hint="eastAsia" w:ascii="仿宋" w:eastAsia="仿宋" w:cs="仿宋"/>
          <w:sz w:val="32"/>
          <w:szCs w:val="32"/>
        </w:rPr>
        <w:t>万元，主要用于：缴纳202</w:t>
      </w:r>
      <w:r>
        <w:rPr>
          <w:rFonts w:hint="eastAsia" w:ascii="仿宋" w:eastAsia="仿宋" w:cs="仿宋"/>
          <w:sz w:val="32"/>
          <w:szCs w:val="32"/>
          <w:lang w:val="en-US" w:eastAsia="zh-CN"/>
        </w:rPr>
        <w:t>5</w:t>
      </w:r>
      <w:r>
        <w:rPr>
          <w:rFonts w:hint="eastAsia" w:ascii="仿宋" w:eastAsia="仿宋" w:cs="仿宋"/>
          <w:sz w:val="32"/>
          <w:szCs w:val="32"/>
        </w:rPr>
        <w:t>年度职工养老保险。</w:t>
      </w:r>
    </w:p>
    <w:p w14:paraId="1BA462E9">
      <w:pPr>
        <w:pStyle w:val="11"/>
        <w:wordWrap w:val="0"/>
        <w:spacing w:before="0" w:beforeAutospacing="0" w:after="0" w:afterAutospacing="0" w:line="360" w:lineRule="auto"/>
        <w:ind w:firstLine="640" w:firstLineChars="200"/>
        <w:contextualSpacing/>
        <w:jc w:val="both"/>
        <w:rPr>
          <w:rFonts w:ascii="仿宋" w:eastAsia="仿宋" w:cs="仿宋"/>
          <w:sz w:val="32"/>
          <w:szCs w:val="32"/>
        </w:rPr>
      </w:pPr>
      <w:r>
        <w:rPr>
          <w:rFonts w:hint="eastAsia" w:ascii="仿宋" w:eastAsia="仿宋" w:cs="仿宋"/>
          <w:sz w:val="32"/>
          <w:szCs w:val="32"/>
        </w:rPr>
        <w:t>3.社会保障和就业支出（208）行政事业单位养老支出（05）机关事业单位基本职业年金缴费支出（06）2024年预算数为</w:t>
      </w:r>
      <w:r>
        <w:rPr>
          <w:rFonts w:hint="eastAsia" w:ascii="仿宋" w:eastAsia="仿宋" w:cs="仿宋"/>
          <w:sz w:val="32"/>
          <w:szCs w:val="32"/>
          <w:lang w:val="en-US" w:eastAsia="zh-CN"/>
        </w:rPr>
        <w:t>52.35</w:t>
      </w:r>
      <w:r>
        <w:rPr>
          <w:rFonts w:hint="eastAsia" w:ascii="仿宋" w:eastAsia="仿宋" w:cs="仿宋"/>
          <w:sz w:val="32"/>
          <w:szCs w:val="32"/>
        </w:rPr>
        <w:t>万元，主要用于：缴纳202</w:t>
      </w:r>
      <w:r>
        <w:rPr>
          <w:rFonts w:hint="eastAsia" w:ascii="仿宋" w:eastAsia="仿宋" w:cs="仿宋"/>
          <w:sz w:val="32"/>
          <w:szCs w:val="32"/>
          <w:lang w:val="en-US" w:eastAsia="zh-CN"/>
        </w:rPr>
        <w:t>5</w:t>
      </w:r>
      <w:r>
        <w:rPr>
          <w:rFonts w:hint="eastAsia" w:ascii="仿宋" w:eastAsia="仿宋" w:cs="仿宋"/>
          <w:sz w:val="32"/>
          <w:szCs w:val="32"/>
        </w:rPr>
        <w:t>年度职工职业年金。</w:t>
      </w:r>
    </w:p>
    <w:p w14:paraId="0D2C0664">
      <w:pPr>
        <w:pStyle w:val="11"/>
        <w:wordWrap w:val="0"/>
        <w:spacing w:before="0" w:beforeAutospacing="0" w:after="0" w:afterAutospacing="0" w:line="360" w:lineRule="auto"/>
        <w:ind w:firstLine="640" w:firstLineChars="200"/>
        <w:contextualSpacing/>
        <w:jc w:val="both"/>
        <w:rPr>
          <w:rFonts w:ascii="仿宋" w:eastAsia="仿宋" w:cs="仿宋"/>
          <w:sz w:val="32"/>
          <w:szCs w:val="32"/>
        </w:rPr>
      </w:pPr>
      <w:r>
        <w:rPr>
          <w:rFonts w:hint="eastAsia" w:ascii="仿宋" w:eastAsia="仿宋" w:cs="仿宋"/>
          <w:sz w:val="32"/>
          <w:szCs w:val="32"/>
        </w:rPr>
        <w:t>4.卫生健康支出（210）行政事业单位医疗（11）行政单位医疗（01）2024年预算数为</w:t>
      </w:r>
      <w:r>
        <w:rPr>
          <w:rFonts w:hint="eastAsia" w:ascii="仿宋" w:eastAsia="仿宋" w:cs="仿宋"/>
          <w:sz w:val="32"/>
          <w:szCs w:val="32"/>
          <w:lang w:val="en-US" w:eastAsia="zh-CN"/>
        </w:rPr>
        <w:t>46.25</w:t>
      </w:r>
      <w:r>
        <w:rPr>
          <w:rFonts w:hint="eastAsia" w:ascii="仿宋" w:eastAsia="仿宋" w:cs="仿宋"/>
          <w:sz w:val="32"/>
          <w:szCs w:val="32"/>
        </w:rPr>
        <w:t>万元，主要用于：缴纳202</w:t>
      </w:r>
      <w:r>
        <w:rPr>
          <w:rFonts w:hint="eastAsia" w:ascii="仿宋" w:eastAsia="仿宋" w:cs="仿宋"/>
          <w:sz w:val="32"/>
          <w:szCs w:val="32"/>
          <w:lang w:val="en-US" w:eastAsia="zh-CN"/>
        </w:rPr>
        <w:t>5</w:t>
      </w:r>
      <w:r>
        <w:rPr>
          <w:rFonts w:hint="eastAsia" w:ascii="仿宋" w:eastAsia="仿宋" w:cs="仿宋"/>
          <w:sz w:val="32"/>
          <w:szCs w:val="32"/>
        </w:rPr>
        <w:t>年度职工基本医疗保险。</w:t>
      </w:r>
    </w:p>
    <w:p w14:paraId="0DCA2607">
      <w:pPr>
        <w:pStyle w:val="11"/>
        <w:wordWrap w:val="0"/>
        <w:spacing w:before="0" w:beforeAutospacing="0" w:after="0" w:afterAutospacing="0" w:line="360" w:lineRule="auto"/>
        <w:ind w:firstLine="640" w:firstLineChars="200"/>
        <w:contextualSpacing/>
        <w:jc w:val="both"/>
        <w:rPr>
          <w:rFonts w:ascii="仿宋" w:eastAsia="仿宋" w:cs="仿宋"/>
          <w:sz w:val="32"/>
          <w:szCs w:val="32"/>
        </w:rPr>
      </w:pPr>
      <w:r>
        <w:rPr>
          <w:rFonts w:hint="eastAsia" w:ascii="仿宋" w:eastAsia="仿宋" w:cs="仿宋"/>
          <w:sz w:val="32"/>
          <w:szCs w:val="32"/>
        </w:rPr>
        <w:t>5.卫生健康支出（210）行政事业单位医疗（11）公务员医疗补助（03）2024年预算数为</w:t>
      </w:r>
      <w:r>
        <w:rPr>
          <w:rFonts w:hint="eastAsia" w:ascii="仿宋" w:eastAsia="仿宋" w:cs="仿宋"/>
          <w:sz w:val="32"/>
          <w:szCs w:val="32"/>
          <w:lang w:val="en-US" w:eastAsia="zh-CN"/>
        </w:rPr>
        <w:t>11.9</w:t>
      </w:r>
      <w:r>
        <w:rPr>
          <w:rFonts w:hint="eastAsia" w:ascii="仿宋" w:eastAsia="仿宋" w:cs="仿宋"/>
          <w:sz w:val="32"/>
          <w:szCs w:val="32"/>
        </w:rPr>
        <w:t>万元，主要用于：缴纳202</w:t>
      </w:r>
      <w:r>
        <w:rPr>
          <w:rFonts w:hint="eastAsia" w:ascii="仿宋" w:eastAsia="仿宋" w:cs="仿宋"/>
          <w:sz w:val="32"/>
          <w:szCs w:val="32"/>
          <w:lang w:val="en-US" w:eastAsia="zh-CN"/>
        </w:rPr>
        <w:t>5</w:t>
      </w:r>
      <w:r>
        <w:rPr>
          <w:rFonts w:hint="eastAsia" w:ascii="仿宋" w:eastAsia="仿宋" w:cs="仿宋"/>
          <w:sz w:val="32"/>
          <w:szCs w:val="32"/>
        </w:rPr>
        <w:t>年度职工公务员医疗补助。</w:t>
      </w:r>
    </w:p>
    <w:p w14:paraId="7EC09B9B">
      <w:pPr>
        <w:pStyle w:val="15"/>
        <w:spacing w:before="0" w:line="360" w:lineRule="auto"/>
        <w:ind w:firstLine="640" w:firstLineChars="200"/>
        <w:rPr>
          <w:rFonts w:cs="仿宋_GB2312"/>
          <w:kern w:val="2"/>
          <w:sz w:val="32"/>
          <w:szCs w:val="32"/>
        </w:rPr>
      </w:pPr>
      <w:r>
        <w:rPr>
          <w:rFonts w:hint="eastAsia" w:ascii="仿宋" w:eastAsia="仿宋" w:cs="仿宋"/>
          <w:sz w:val="32"/>
          <w:szCs w:val="32"/>
        </w:rPr>
        <w:t>6.住房保障支出（221）住房改革支出（02）住房公积金（01）2024年预算数为</w:t>
      </w:r>
      <w:r>
        <w:rPr>
          <w:rFonts w:hint="eastAsia" w:ascii="仿宋" w:eastAsia="仿宋" w:cs="仿宋"/>
          <w:sz w:val="32"/>
          <w:szCs w:val="32"/>
          <w:lang w:val="en-US" w:eastAsia="zh-CN"/>
        </w:rPr>
        <w:t>77.56</w:t>
      </w:r>
      <w:r>
        <w:rPr>
          <w:rFonts w:hint="eastAsia" w:ascii="仿宋" w:eastAsia="仿宋" w:cs="仿宋"/>
          <w:sz w:val="32"/>
          <w:szCs w:val="32"/>
        </w:rPr>
        <w:t>万元，主要用于：缴纳202</w:t>
      </w:r>
      <w:r>
        <w:rPr>
          <w:rFonts w:hint="eastAsia" w:ascii="仿宋" w:eastAsia="仿宋" w:cs="仿宋"/>
          <w:sz w:val="32"/>
          <w:szCs w:val="32"/>
          <w:lang w:val="en-US" w:eastAsia="zh-CN"/>
        </w:rPr>
        <w:t>5</w:t>
      </w:r>
      <w:r>
        <w:rPr>
          <w:rFonts w:hint="eastAsia" w:ascii="仿宋" w:eastAsia="仿宋" w:cs="仿宋"/>
          <w:sz w:val="32"/>
          <w:szCs w:val="32"/>
        </w:rPr>
        <w:t>年度职工住房公积金。</w:t>
      </w:r>
    </w:p>
    <w:p w14:paraId="7EBC4226">
      <w:pPr>
        <w:pStyle w:val="15"/>
        <w:spacing w:before="0" w:line="360" w:lineRule="auto"/>
        <w:ind w:firstLine="640" w:firstLineChars="200"/>
        <w:rPr>
          <w:rFonts w:ascii="黑体" w:eastAsia="黑体"/>
          <w:sz w:val="32"/>
          <w:szCs w:val="32"/>
        </w:rPr>
      </w:pPr>
      <w:r>
        <w:rPr>
          <w:rFonts w:hint="eastAsia" w:ascii="黑体" w:eastAsia="黑体"/>
          <w:sz w:val="32"/>
          <w:szCs w:val="32"/>
        </w:rPr>
        <w:t>六、一般公共预算基本支出情况说明</w:t>
      </w:r>
    </w:p>
    <w:p w14:paraId="5CC074C6">
      <w:pPr>
        <w:pStyle w:val="15"/>
        <w:spacing w:before="0" w:line="360" w:lineRule="auto"/>
        <w:ind w:firstLine="640" w:firstLineChars="200"/>
        <w:rPr>
          <w:rFonts w:cs="仿宋_GB2312"/>
          <w:kern w:val="2"/>
          <w:sz w:val="32"/>
          <w:szCs w:val="32"/>
        </w:rPr>
      </w:pPr>
      <w:r>
        <w:rPr>
          <w:rFonts w:hint="eastAsia"/>
          <w:sz w:val="32"/>
          <w:szCs w:val="32"/>
        </w:rPr>
        <w:t>壤塘县人民法院</w:t>
      </w: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年一般公共预算基本支出</w:t>
      </w:r>
      <w:r>
        <w:rPr>
          <w:rFonts w:hint="eastAsia" w:cs="仿宋_GB2312"/>
          <w:kern w:val="2"/>
          <w:sz w:val="32"/>
          <w:szCs w:val="32"/>
          <w:lang w:val="en-US" w:eastAsia="zh-CN"/>
        </w:rPr>
        <w:t>1024.07</w:t>
      </w:r>
      <w:r>
        <w:rPr>
          <w:rFonts w:hint="eastAsia" w:cs="仿宋_GB2312"/>
          <w:kern w:val="2"/>
          <w:sz w:val="32"/>
          <w:szCs w:val="32"/>
        </w:rPr>
        <w:t>万元，其中：人员经费</w:t>
      </w:r>
      <w:r>
        <w:rPr>
          <w:rFonts w:hint="eastAsia" w:cs="仿宋_GB2312"/>
          <w:kern w:val="2"/>
          <w:sz w:val="32"/>
          <w:szCs w:val="32"/>
          <w:lang w:val="en-US" w:eastAsia="zh-CN"/>
        </w:rPr>
        <w:t>891.18</w:t>
      </w:r>
      <w:r>
        <w:rPr>
          <w:rFonts w:hint="eastAsia" w:cs="仿宋_GB2312"/>
          <w:kern w:val="2"/>
          <w:sz w:val="32"/>
          <w:szCs w:val="32"/>
        </w:rPr>
        <w:t>万元，主要包括：基本工资、津贴补贴、奖金、机关事业单位基本养老保险缴费、职业年金缴费、职工基本医疗保险缴费、公务员医疗补助缴费、其他社会保障缴费、住房公积金、其他工资福利支出、其他商品和服务支出、生活补助。</w:t>
      </w:r>
    </w:p>
    <w:p w14:paraId="5239BECD">
      <w:pPr>
        <w:pStyle w:val="15"/>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132.89</w:t>
      </w:r>
      <w:r>
        <w:rPr>
          <w:rFonts w:hint="eastAsia" w:cs="仿宋_GB2312"/>
          <w:kern w:val="2"/>
          <w:sz w:val="32"/>
          <w:szCs w:val="32"/>
        </w:rPr>
        <w:t>万元，主要包括：办公费、水费、邮电费、取暖费、差旅费、维修（护）费、培训费、公务接待费、福利费、公务用车运行维护费、党组织活动经费、其他商品和服务支出。</w:t>
      </w:r>
    </w:p>
    <w:p w14:paraId="54C5ED32">
      <w:pPr>
        <w:pStyle w:val="15"/>
        <w:spacing w:before="0" w:line="360" w:lineRule="auto"/>
        <w:ind w:firstLine="640" w:firstLineChars="200"/>
        <w:rPr>
          <w:rFonts w:ascii="黑体" w:eastAsia="黑体"/>
          <w:sz w:val="32"/>
          <w:szCs w:val="32"/>
        </w:rPr>
      </w:pPr>
      <w:r>
        <w:rPr>
          <w:rFonts w:hint="eastAsia" w:ascii="黑体" w:eastAsia="黑体"/>
          <w:sz w:val="32"/>
          <w:szCs w:val="32"/>
        </w:rPr>
        <w:t>七、“三公”经费财政拨款预算安排情况说明</w:t>
      </w:r>
    </w:p>
    <w:p w14:paraId="373F519F">
      <w:pPr>
        <w:pStyle w:val="15"/>
        <w:spacing w:before="0" w:line="360" w:lineRule="auto"/>
        <w:ind w:firstLine="640" w:firstLineChars="200"/>
        <w:rPr>
          <w:rFonts w:cs="仿宋_GB2312"/>
          <w:kern w:val="2"/>
          <w:sz w:val="32"/>
          <w:szCs w:val="32"/>
        </w:rPr>
      </w:pPr>
      <w:r>
        <w:rPr>
          <w:rFonts w:hint="eastAsia"/>
          <w:sz w:val="32"/>
          <w:szCs w:val="32"/>
        </w:rPr>
        <w:t>壤塘县人民法院</w:t>
      </w: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年“三公”经费财政拨款预算数24.2</w:t>
      </w:r>
      <w:r>
        <w:rPr>
          <w:rFonts w:hint="eastAsia" w:cs="仿宋_GB2312"/>
          <w:kern w:val="2"/>
          <w:sz w:val="32"/>
          <w:szCs w:val="32"/>
          <w:lang w:val="en-US" w:eastAsia="zh-CN"/>
        </w:rPr>
        <w:t>6</w:t>
      </w:r>
      <w:r>
        <w:rPr>
          <w:rFonts w:hint="eastAsia" w:cs="仿宋_GB2312"/>
          <w:kern w:val="2"/>
          <w:sz w:val="32"/>
          <w:szCs w:val="32"/>
        </w:rPr>
        <w:t>万元，其中：因公出国（境）经费0万元，公务接待费1.7</w:t>
      </w:r>
      <w:r>
        <w:rPr>
          <w:rFonts w:hint="eastAsia" w:cs="仿宋_GB2312"/>
          <w:kern w:val="2"/>
          <w:sz w:val="32"/>
          <w:szCs w:val="32"/>
          <w:lang w:val="en-US" w:eastAsia="zh-CN"/>
        </w:rPr>
        <w:t>6</w:t>
      </w:r>
      <w:r>
        <w:rPr>
          <w:rFonts w:hint="eastAsia" w:cs="仿宋_GB2312"/>
          <w:kern w:val="2"/>
          <w:sz w:val="32"/>
          <w:szCs w:val="32"/>
        </w:rPr>
        <w:t>万元，公务用车购置及运行维护费22.50万元。</w:t>
      </w:r>
    </w:p>
    <w:p w14:paraId="4C34991E">
      <w:pPr>
        <w:pStyle w:val="15"/>
        <w:spacing w:before="0" w:line="360" w:lineRule="auto"/>
        <w:ind w:firstLine="640" w:firstLineChars="200"/>
        <w:rPr>
          <w:rFonts w:cs="仿宋_GB2312"/>
          <w:kern w:val="2"/>
          <w:sz w:val="32"/>
          <w:szCs w:val="32"/>
        </w:rPr>
      </w:pPr>
      <w:r>
        <w:rPr>
          <w:rFonts w:hint="eastAsia" w:cs="仿宋_GB2312"/>
          <w:kern w:val="2"/>
          <w:sz w:val="32"/>
          <w:szCs w:val="32"/>
        </w:rPr>
        <w:t>（一）202</w:t>
      </w:r>
      <w:r>
        <w:rPr>
          <w:rFonts w:hint="eastAsia" w:cs="仿宋_GB2312"/>
          <w:kern w:val="2"/>
          <w:sz w:val="32"/>
          <w:szCs w:val="32"/>
          <w:lang w:val="en-US" w:eastAsia="zh-CN"/>
        </w:rPr>
        <w:t>5</w:t>
      </w:r>
      <w:r>
        <w:rPr>
          <w:rFonts w:hint="eastAsia" w:cs="仿宋_GB2312"/>
          <w:kern w:val="2"/>
          <w:sz w:val="32"/>
          <w:szCs w:val="32"/>
        </w:rPr>
        <w:t>年因公出国（境）经费0万元。</w:t>
      </w:r>
      <w:r>
        <w:rPr>
          <w:rFonts w:hint="eastAsia" w:ascii="仿宋" w:eastAsia="仿宋" w:cs="仿宋"/>
          <w:sz w:val="32"/>
          <w:szCs w:val="32"/>
        </w:rPr>
        <w:t>较202</w:t>
      </w:r>
      <w:r>
        <w:rPr>
          <w:rFonts w:hint="eastAsia" w:ascii="仿宋" w:eastAsia="仿宋" w:cs="仿宋"/>
          <w:sz w:val="32"/>
          <w:szCs w:val="32"/>
          <w:lang w:val="en-US" w:eastAsia="zh-CN"/>
        </w:rPr>
        <w:t>4</w:t>
      </w:r>
      <w:r>
        <w:rPr>
          <w:rFonts w:hint="eastAsia" w:ascii="仿宋" w:eastAsia="仿宋" w:cs="仿宋"/>
          <w:sz w:val="32"/>
          <w:szCs w:val="32"/>
        </w:rPr>
        <w:t>年预算经费0万元增长0%，主要原因是：无因公出国。</w:t>
      </w:r>
    </w:p>
    <w:p w14:paraId="2D99562C">
      <w:pPr>
        <w:pStyle w:val="15"/>
        <w:spacing w:before="0" w:line="360" w:lineRule="auto"/>
        <w:ind w:firstLine="640" w:firstLineChars="200"/>
        <w:rPr>
          <w:rFonts w:hint="eastAsia" w:eastAsia="仿宋_GB2312" w:cs="仿宋_GB2312"/>
          <w:color w:val="000000"/>
          <w:kern w:val="2"/>
          <w:sz w:val="32"/>
          <w:szCs w:val="32"/>
          <w:highlight w:val="none"/>
          <w:lang w:val="en-US"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5</w:t>
      </w:r>
      <w:r>
        <w:rPr>
          <w:rFonts w:hint="eastAsia" w:cs="仿宋_GB2312"/>
          <w:color w:val="000000"/>
          <w:kern w:val="2"/>
          <w:sz w:val="32"/>
          <w:szCs w:val="32"/>
        </w:rPr>
        <w:t>年公务接待经费</w:t>
      </w:r>
      <w:r>
        <w:rPr>
          <w:rFonts w:hint="eastAsia" w:cs="仿宋_GB2312"/>
          <w:kern w:val="2"/>
          <w:sz w:val="32"/>
          <w:szCs w:val="32"/>
        </w:rPr>
        <w:t>1.7</w:t>
      </w:r>
      <w:r>
        <w:rPr>
          <w:rFonts w:hint="eastAsia" w:cs="仿宋_GB2312"/>
          <w:kern w:val="2"/>
          <w:sz w:val="32"/>
          <w:szCs w:val="32"/>
          <w:lang w:val="en-US" w:eastAsia="zh-CN"/>
        </w:rPr>
        <w:t>6</w:t>
      </w:r>
      <w:r>
        <w:rPr>
          <w:rFonts w:hint="eastAsia" w:cs="仿宋_GB2312"/>
          <w:color w:val="000000"/>
          <w:kern w:val="2"/>
          <w:sz w:val="32"/>
          <w:szCs w:val="32"/>
        </w:rPr>
        <w:t>万元。较202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cs="仿宋_GB2312"/>
          <w:color w:val="000000"/>
          <w:kern w:val="2"/>
          <w:sz w:val="32"/>
          <w:szCs w:val="32"/>
          <w:lang w:val="en-US" w:eastAsia="zh-CN"/>
        </w:rPr>
        <w:t>增加0.04</w:t>
      </w:r>
      <w:r>
        <w:rPr>
          <w:rFonts w:hint="eastAsia" w:cs="仿宋_GB2312"/>
          <w:color w:val="000000"/>
          <w:kern w:val="2"/>
          <w:sz w:val="32"/>
          <w:szCs w:val="32"/>
        </w:rPr>
        <w:t>万元，</w:t>
      </w:r>
      <w:r>
        <w:rPr>
          <w:rFonts w:hint="eastAsia" w:cs="仿宋_GB2312"/>
          <w:color w:val="000000"/>
          <w:kern w:val="2"/>
          <w:sz w:val="32"/>
          <w:szCs w:val="32"/>
          <w:highlight w:val="none"/>
        </w:rPr>
        <w:t>主要原因</w:t>
      </w:r>
      <w:r>
        <w:rPr>
          <w:rFonts w:hint="eastAsia" w:cs="仿宋_GB2312"/>
          <w:color w:val="000000"/>
          <w:kern w:val="2"/>
          <w:sz w:val="32"/>
          <w:szCs w:val="32"/>
          <w:highlight w:val="none"/>
          <w:lang w:val="en-US" w:eastAsia="zh-CN"/>
        </w:rPr>
        <w:t>根据工作需要调整列入实际预算的经费</w:t>
      </w:r>
      <w:r>
        <w:rPr>
          <w:rFonts w:hint="eastAsia" w:cs="仿宋_GB2312"/>
          <w:color w:val="000000"/>
          <w:kern w:val="2"/>
          <w:sz w:val="32"/>
          <w:szCs w:val="32"/>
          <w:highlight w:val="none"/>
          <w:lang w:eastAsia="zh-CN"/>
        </w:rPr>
        <w:t>。</w:t>
      </w:r>
    </w:p>
    <w:p w14:paraId="1BE8FE0E">
      <w:pPr>
        <w:pStyle w:val="15"/>
        <w:spacing w:before="0" w:line="360" w:lineRule="auto"/>
        <w:ind w:firstLine="640" w:firstLineChars="200"/>
        <w:rPr>
          <w:rFonts w:cs="仿宋_GB2312"/>
          <w:color w:val="000000"/>
          <w:kern w:val="2"/>
          <w:sz w:val="32"/>
          <w:szCs w:val="32"/>
        </w:rPr>
      </w:pPr>
      <w:r>
        <w:rPr>
          <w:rFonts w:hint="eastAsia" w:cs="仿宋_GB2312"/>
          <w:color w:val="000000"/>
          <w:kern w:val="2"/>
          <w:sz w:val="32"/>
          <w:szCs w:val="32"/>
        </w:rPr>
        <w:t>（三）202</w:t>
      </w:r>
      <w:r>
        <w:rPr>
          <w:rFonts w:hint="eastAsia" w:cs="仿宋_GB2312"/>
          <w:color w:val="000000"/>
          <w:kern w:val="2"/>
          <w:sz w:val="32"/>
          <w:szCs w:val="32"/>
          <w:lang w:val="en-US" w:eastAsia="zh-CN"/>
        </w:rPr>
        <w:t>5</w:t>
      </w:r>
      <w:r>
        <w:rPr>
          <w:rFonts w:hint="eastAsia" w:cs="仿宋_GB2312"/>
          <w:color w:val="000000"/>
          <w:kern w:val="2"/>
          <w:sz w:val="32"/>
          <w:szCs w:val="32"/>
        </w:rPr>
        <w:t>年公务用车购置及运行维护费</w:t>
      </w:r>
      <w:r>
        <w:rPr>
          <w:rFonts w:hint="eastAsia" w:cs="仿宋_GB2312"/>
          <w:kern w:val="2"/>
          <w:sz w:val="32"/>
          <w:szCs w:val="32"/>
        </w:rPr>
        <w:t>22.50</w:t>
      </w:r>
      <w:r>
        <w:rPr>
          <w:rFonts w:hint="eastAsia" w:cs="仿宋_GB2312"/>
          <w:color w:val="000000"/>
          <w:kern w:val="2"/>
          <w:sz w:val="32"/>
          <w:szCs w:val="32"/>
        </w:rPr>
        <w:t>万元。与202</w:t>
      </w:r>
      <w:r>
        <w:rPr>
          <w:rFonts w:hint="eastAsia" w:cs="仿宋_GB2312"/>
          <w:color w:val="000000"/>
          <w:kern w:val="2"/>
          <w:sz w:val="32"/>
          <w:szCs w:val="32"/>
          <w:lang w:val="en-US" w:eastAsia="zh-CN"/>
        </w:rPr>
        <w:t>4</w:t>
      </w:r>
      <w:r>
        <w:rPr>
          <w:rFonts w:hint="eastAsia" w:cs="仿宋_GB2312"/>
          <w:color w:val="000000"/>
          <w:kern w:val="2"/>
          <w:sz w:val="32"/>
          <w:szCs w:val="32"/>
        </w:rPr>
        <w:t>年预算持平。</w:t>
      </w:r>
    </w:p>
    <w:p w14:paraId="53FEC46F">
      <w:pPr>
        <w:pStyle w:val="15"/>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6FA91131">
      <w:pPr>
        <w:pStyle w:val="15"/>
        <w:spacing w:before="0" w:line="360" w:lineRule="auto"/>
        <w:ind w:firstLine="640" w:firstLineChars="200"/>
        <w:rPr>
          <w:rFonts w:cs="仿宋_GB2312"/>
          <w:kern w:val="2"/>
          <w:sz w:val="32"/>
          <w:szCs w:val="32"/>
        </w:rPr>
      </w:pPr>
      <w:r>
        <w:rPr>
          <w:rFonts w:hint="eastAsia"/>
          <w:sz w:val="32"/>
          <w:szCs w:val="32"/>
        </w:rPr>
        <w:t>壤塘县人民法院</w:t>
      </w: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年政府性基金预算拨款安排的支出0万元。较202</w:t>
      </w:r>
      <w:r>
        <w:rPr>
          <w:rFonts w:hint="eastAsia" w:cs="仿宋_GB2312"/>
          <w:kern w:val="2"/>
          <w:sz w:val="32"/>
          <w:szCs w:val="32"/>
          <w:lang w:val="en-US" w:eastAsia="zh-CN"/>
        </w:rPr>
        <w:t>4</w:t>
      </w:r>
      <w:r>
        <w:rPr>
          <w:rFonts w:hint="eastAsia" w:cs="仿宋_GB2312"/>
          <w:kern w:val="2"/>
          <w:sz w:val="32"/>
          <w:szCs w:val="32"/>
        </w:rPr>
        <w:t>年预算经费</w:t>
      </w:r>
      <w:r>
        <w:rPr>
          <w:rFonts w:hint="eastAsia" w:cs="宋体"/>
          <w:sz w:val="32"/>
          <w:szCs w:val="32"/>
        </w:rPr>
        <w:t>增加0</w:t>
      </w:r>
      <w:r>
        <w:rPr>
          <w:rFonts w:hint="eastAsia" w:cs="仿宋_GB2312"/>
          <w:kern w:val="2"/>
          <w:sz w:val="32"/>
          <w:szCs w:val="32"/>
        </w:rPr>
        <w:t>万元，增长0%。</w:t>
      </w:r>
    </w:p>
    <w:p w14:paraId="23ECCE93">
      <w:pPr>
        <w:pStyle w:val="15"/>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7F32E2D4">
      <w:pPr>
        <w:pStyle w:val="15"/>
        <w:spacing w:before="0" w:line="360" w:lineRule="auto"/>
        <w:ind w:firstLine="640" w:firstLineChars="200"/>
        <w:rPr>
          <w:rFonts w:cs="仿宋_GB2312"/>
          <w:kern w:val="2"/>
          <w:sz w:val="32"/>
          <w:szCs w:val="32"/>
        </w:rPr>
      </w:pPr>
      <w:r>
        <w:rPr>
          <w:rFonts w:hint="eastAsia" w:ascii="楷体" w:eastAsia="楷体" w:cs="仿宋_GB2312"/>
          <w:kern w:val="2"/>
          <w:sz w:val="32"/>
          <w:szCs w:val="32"/>
        </w:rPr>
        <w:t>（一）机关运行经费</w:t>
      </w:r>
    </w:p>
    <w:p w14:paraId="4050CEF7">
      <w:pPr>
        <w:pStyle w:val="15"/>
        <w:spacing w:before="0" w:line="360" w:lineRule="auto"/>
        <w:ind w:firstLine="640" w:firstLineChars="200"/>
        <w:rPr>
          <w:rFonts w:cs="仿宋_GB2312"/>
          <w:color w:val="FF0000"/>
          <w:kern w:val="2"/>
          <w:sz w:val="32"/>
          <w:szCs w:val="32"/>
        </w:rPr>
      </w:pPr>
      <w:r>
        <w:rPr>
          <w:rFonts w:hint="eastAsia"/>
          <w:sz w:val="32"/>
          <w:szCs w:val="32"/>
        </w:rPr>
        <w:t>壤塘县人民法院</w:t>
      </w: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年机关运行经费财政拨款预算为</w:t>
      </w:r>
      <w:r>
        <w:rPr>
          <w:rFonts w:hint="eastAsia" w:cs="仿宋_GB2312"/>
          <w:kern w:val="2"/>
          <w:sz w:val="32"/>
          <w:szCs w:val="32"/>
          <w:lang w:val="en-US" w:eastAsia="zh-CN"/>
        </w:rPr>
        <w:t>132.89</w:t>
      </w:r>
      <w:r>
        <w:rPr>
          <w:rFonts w:hint="eastAsia" w:cs="仿宋_GB2312"/>
          <w:kern w:val="2"/>
          <w:sz w:val="32"/>
          <w:szCs w:val="32"/>
        </w:rPr>
        <w:t>万元，比202</w:t>
      </w:r>
      <w:r>
        <w:rPr>
          <w:rFonts w:hint="eastAsia" w:cs="仿宋_GB2312"/>
          <w:kern w:val="2"/>
          <w:sz w:val="32"/>
          <w:szCs w:val="32"/>
          <w:lang w:val="en-US" w:eastAsia="zh-CN"/>
        </w:rPr>
        <w:t>4</w:t>
      </w:r>
      <w:r>
        <w:rPr>
          <w:rFonts w:hint="eastAsia" w:cs="仿宋_GB2312"/>
          <w:kern w:val="2"/>
          <w:sz w:val="32"/>
          <w:szCs w:val="32"/>
        </w:rPr>
        <w:t>年预算</w:t>
      </w:r>
      <w:r>
        <w:rPr>
          <w:rFonts w:hint="eastAsia" w:cs="仿宋_GB2312"/>
          <w:color w:val="000000"/>
          <w:kern w:val="2"/>
          <w:sz w:val="32"/>
          <w:szCs w:val="32"/>
          <w:lang w:val="en-US" w:eastAsia="zh-CN"/>
        </w:rPr>
        <w:t>增加9.66</w:t>
      </w:r>
      <w:r>
        <w:rPr>
          <w:rFonts w:hint="eastAsia" w:cs="仿宋_GB2312"/>
          <w:color w:val="000000"/>
          <w:kern w:val="2"/>
          <w:sz w:val="32"/>
          <w:szCs w:val="32"/>
        </w:rPr>
        <w:t>万元，</w:t>
      </w:r>
      <w:r>
        <w:rPr>
          <w:rFonts w:hint="eastAsia" w:cs="仿宋_GB2312"/>
          <w:color w:val="000000"/>
          <w:kern w:val="2"/>
          <w:sz w:val="32"/>
          <w:szCs w:val="32"/>
          <w:lang w:val="en-US" w:eastAsia="zh-CN"/>
        </w:rPr>
        <w:t>增加8</w:t>
      </w:r>
      <w:r>
        <w:rPr>
          <w:rFonts w:hint="eastAsia" w:cs="仿宋_GB2312"/>
          <w:color w:val="000000"/>
          <w:kern w:val="2"/>
          <w:sz w:val="32"/>
          <w:szCs w:val="32"/>
        </w:rPr>
        <w:t>%。</w:t>
      </w:r>
    </w:p>
    <w:p w14:paraId="16194257">
      <w:pPr>
        <w:pStyle w:val="15"/>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（二）政府采购情况</w:t>
      </w:r>
    </w:p>
    <w:p w14:paraId="4A82078E">
      <w:pPr>
        <w:pStyle w:val="15"/>
        <w:spacing w:before="0" w:line="360" w:lineRule="auto"/>
        <w:ind w:firstLine="640" w:firstLineChars="200"/>
        <w:rPr>
          <w:rFonts w:cs="仿宋_GB2312"/>
          <w:kern w:val="2"/>
          <w:sz w:val="32"/>
          <w:szCs w:val="32"/>
        </w:rPr>
      </w:pPr>
      <w:r>
        <w:rPr>
          <w:rFonts w:hint="eastAsia" w:cs="仿宋_GB2312"/>
          <w:color w:val="000000"/>
          <w:kern w:val="2"/>
          <w:sz w:val="32"/>
          <w:szCs w:val="32"/>
        </w:rPr>
        <w:t>202</w:t>
      </w:r>
      <w:r>
        <w:rPr>
          <w:rFonts w:hint="eastAsia" w:cs="仿宋_GB2312"/>
          <w:color w:val="000000"/>
          <w:kern w:val="2"/>
          <w:sz w:val="32"/>
          <w:szCs w:val="32"/>
          <w:lang w:val="en-US" w:eastAsia="zh-CN"/>
        </w:rPr>
        <w:t>5</w:t>
      </w:r>
      <w:r>
        <w:rPr>
          <w:rFonts w:hint="eastAsia" w:cs="仿宋_GB2312"/>
          <w:color w:val="000000"/>
          <w:kern w:val="2"/>
          <w:sz w:val="32"/>
          <w:szCs w:val="32"/>
        </w:rPr>
        <w:t>年</w:t>
      </w:r>
      <w:r>
        <w:rPr>
          <w:rFonts w:hint="eastAsia"/>
          <w:sz w:val="32"/>
          <w:szCs w:val="32"/>
        </w:rPr>
        <w:t>壤塘县人民法院</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万元</w:t>
      </w:r>
      <w:bookmarkStart w:id="0" w:name="_GoBack"/>
      <w:bookmarkEnd w:id="0"/>
      <w:r>
        <w:rPr>
          <w:rFonts w:hint="eastAsia" w:cs="仿宋_GB2312"/>
          <w:kern w:val="2"/>
          <w:sz w:val="32"/>
          <w:szCs w:val="32"/>
        </w:rPr>
        <w:t>。</w:t>
      </w:r>
    </w:p>
    <w:p w14:paraId="78347786">
      <w:pPr>
        <w:pStyle w:val="15"/>
        <w:spacing w:before="0" w:line="360" w:lineRule="auto"/>
        <w:ind w:firstLine="640" w:firstLineChars="200"/>
        <w:rPr>
          <w:rFonts w:ascii="楷体" w:eastAsia="楷体" w:cs="仿宋_GB2312"/>
          <w:kern w:val="2"/>
          <w:sz w:val="32"/>
          <w:szCs w:val="32"/>
          <w:highlight w:val="none"/>
        </w:rPr>
      </w:pPr>
      <w:r>
        <w:rPr>
          <w:rFonts w:hint="eastAsia" w:ascii="楷体" w:eastAsia="楷体" w:cs="仿宋_GB2312"/>
          <w:kern w:val="2"/>
          <w:sz w:val="32"/>
          <w:szCs w:val="32"/>
          <w:highlight w:val="none"/>
        </w:rPr>
        <w:t>（三）国有资产占有使用情况</w:t>
      </w:r>
    </w:p>
    <w:p w14:paraId="104C635F">
      <w:pPr>
        <w:pStyle w:val="15"/>
        <w:spacing w:before="0" w:line="360" w:lineRule="auto"/>
        <w:ind w:firstLine="640" w:firstLineChars="200"/>
        <w:rPr>
          <w:rFonts w:hint="eastAsia" w:cs="仿宋_GB2312"/>
          <w:kern w:val="2"/>
          <w:sz w:val="32"/>
          <w:szCs w:val="32"/>
        </w:rPr>
      </w:pPr>
      <w:r>
        <w:rPr>
          <w:rFonts w:hint="eastAsia" w:cs="仿宋_GB2312"/>
          <w:kern w:val="2"/>
          <w:sz w:val="32"/>
          <w:szCs w:val="32"/>
        </w:rPr>
        <w:t>截至202</w:t>
      </w:r>
      <w:r>
        <w:rPr>
          <w:rFonts w:hint="eastAsia" w:cs="仿宋_GB2312"/>
          <w:kern w:val="2"/>
          <w:sz w:val="32"/>
          <w:szCs w:val="32"/>
          <w:lang w:val="en-US" w:eastAsia="zh-CN"/>
        </w:rPr>
        <w:t>4</w:t>
      </w:r>
      <w:r>
        <w:rPr>
          <w:rFonts w:hint="eastAsia" w:cs="仿宋_GB2312"/>
          <w:kern w:val="2"/>
          <w:sz w:val="32"/>
          <w:szCs w:val="32"/>
        </w:rPr>
        <w:t>年12月31日，我单位固定资产2738.23万元。</w:t>
      </w:r>
    </w:p>
    <w:p w14:paraId="751DDB1B">
      <w:pPr>
        <w:pStyle w:val="15"/>
        <w:spacing w:before="0" w:line="360" w:lineRule="auto"/>
        <w:ind w:firstLine="640" w:firstLineChars="200"/>
        <w:rPr>
          <w:rFonts w:cs="仿宋_GB2312"/>
          <w:kern w:val="2"/>
          <w:sz w:val="32"/>
          <w:szCs w:val="32"/>
        </w:rPr>
      </w:pPr>
      <w:r>
        <w:rPr>
          <w:rFonts w:hint="eastAsia" w:ascii="楷体" w:eastAsia="楷体" w:cs="仿宋_GB2312"/>
          <w:kern w:val="2"/>
          <w:sz w:val="32"/>
          <w:szCs w:val="32"/>
        </w:rPr>
        <w:t>（四）绩效目标设置情况</w:t>
      </w:r>
    </w:p>
    <w:p w14:paraId="1D0892BD">
      <w:pPr>
        <w:pStyle w:val="15"/>
        <w:spacing w:before="0" w:line="360" w:lineRule="auto"/>
        <w:ind w:firstLine="640" w:firstLineChars="200"/>
        <w:rPr>
          <w:rFonts w:ascii="黑体" w:eastAsia="黑体"/>
          <w:sz w:val="32"/>
          <w:szCs w:val="32"/>
        </w:rPr>
      </w:pP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w:t>
      </w:r>
      <w:r>
        <w:rPr>
          <w:rFonts w:hint="eastAsia"/>
          <w:sz w:val="32"/>
          <w:szCs w:val="32"/>
        </w:rPr>
        <w:t>壤塘县人民法院</w:t>
      </w:r>
      <w:r>
        <w:rPr>
          <w:rFonts w:hint="eastAsia" w:cs="仿宋_GB2312"/>
          <w:kern w:val="2"/>
          <w:sz w:val="32"/>
          <w:szCs w:val="32"/>
        </w:rPr>
        <w:t>通用项目和专用项目均按要求实行绩效目标管理，涉及一般公共预算当年拨款</w:t>
      </w:r>
      <w:r>
        <w:rPr>
          <w:rFonts w:hint="eastAsia" w:cs="仿宋_GB2312"/>
          <w:kern w:val="2"/>
          <w:sz w:val="32"/>
          <w:szCs w:val="32"/>
          <w:lang w:val="en-US" w:eastAsia="zh-CN"/>
        </w:rPr>
        <w:t>1024.07</w:t>
      </w:r>
      <w:r>
        <w:rPr>
          <w:rFonts w:hint="eastAsia" w:cs="仿宋_GB2312"/>
          <w:kern w:val="2"/>
          <w:sz w:val="32"/>
          <w:szCs w:val="32"/>
        </w:rPr>
        <w:t>万元。</w:t>
      </w:r>
    </w:p>
    <w:p w14:paraId="04D67294">
      <w:pPr>
        <w:pStyle w:val="15"/>
        <w:spacing w:before="0" w:line="360" w:lineRule="auto"/>
        <w:ind w:left="319" w:leftChars="152" w:firstLine="640" w:firstLineChars="200"/>
        <w:rPr>
          <w:rFonts w:ascii="楷体" w:eastAsia="楷体" w:cs="仿宋_GB2312"/>
          <w:kern w:val="2"/>
          <w:sz w:val="32"/>
          <w:szCs w:val="32"/>
        </w:rPr>
      </w:pPr>
      <w:r>
        <w:rPr>
          <w:rFonts w:hint="eastAsia" w:ascii="黑体" w:eastAsia="黑体"/>
          <w:sz w:val="32"/>
          <w:szCs w:val="32"/>
        </w:rPr>
        <w:t>十、名称解释</w:t>
      </w:r>
    </w:p>
    <w:p w14:paraId="011D8208">
      <w:pPr>
        <w:pStyle w:val="15"/>
        <w:spacing w:before="0" w:line="360" w:lineRule="auto"/>
        <w:ind w:firstLine="640" w:firstLineChars="200"/>
        <w:rPr>
          <w:rFonts w:cs="仿宋_GB2312"/>
          <w:kern w:val="2"/>
          <w:sz w:val="32"/>
          <w:szCs w:val="32"/>
        </w:rPr>
      </w:pP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p>
    <w:p w14:paraId="24BD5CF3">
      <w:pPr>
        <w:pStyle w:val="15"/>
        <w:spacing w:before="0" w:line="360" w:lineRule="auto"/>
        <w:ind w:firstLine="640" w:firstLineChars="200"/>
        <w:rPr>
          <w:rFonts w:cs="仿宋_GB2312"/>
          <w:kern w:val="2"/>
          <w:sz w:val="32"/>
          <w:szCs w:val="32"/>
        </w:rPr>
      </w:pP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p>
    <w:p w14:paraId="3AB4BF73">
      <w:pPr>
        <w:pStyle w:val="15"/>
        <w:spacing w:before="0" w:line="360" w:lineRule="auto"/>
        <w:ind w:firstLine="640" w:firstLineChars="200"/>
        <w:rPr>
          <w:rFonts w:cs="仿宋_GB2312"/>
          <w:kern w:val="2"/>
          <w:sz w:val="32"/>
          <w:szCs w:val="32"/>
        </w:rPr>
      </w:pP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p>
    <w:p w14:paraId="3713AC76">
      <w:pPr>
        <w:pStyle w:val="15"/>
        <w:spacing w:before="0" w:line="360" w:lineRule="auto"/>
        <w:ind w:firstLine="640" w:firstLineChars="200"/>
        <w:rPr>
          <w:rFonts w:cs="仿宋_GB2312"/>
          <w:kern w:val="2"/>
          <w:sz w:val="32"/>
          <w:szCs w:val="32"/>
        </w:rPr>
      </w:pPr>
      <w:r>
        <w:rPr>
          <w:rFonts w:hint="eastAsia" w:ascii="楷体" w:eastAsia="楷体" w:cs="仿宋_GB2312"/>
          <w:kern w:val="2"/>
          <w:sz w:val="32"/>
          <w:szCs w:val="32"/>
        </w:rPr>
        <w:t>（四）其他收入</w:t>
      </w:r>
      <w:r>
        <w:rPr>
          <w:rFonts w:hint="eastAsia" w:cs="仿宋_GB2312"/>
          <w:kern w:val="2"/>
          <w:sz w:val="32"/>
          <w:szCs w:val="32"/>
        </w:rPr>
        <w:t>：指除上述“财政拨款收入”“事业收入”“事业单位经营收入”等以外的收入，主要是所属行政事业单位按规定动用的售房收入、存款利息收入等。</w:t>
      </w:r>
    </w:p>
    <w:p w14:paraId="598F8E2E">
      <w:pPr>
        <w:pStyle w:val="15"/>
        <w:spacing w:before="0" w:line="360" w:lineRule="auto"/>
        <w:ind w:firstLine="640" w:firstLineChars="200"/>
        <w:rPr>
          <w:rFonts w:cs="仿宋_GB2312"/>
          <w:kern w:val="2"/>
          <w:sz w:val="32"/>
          <w:szCs w:val="32"/>
        </w:rPr>
      </w:pPr>
      <w:r>
        <w:rPr>
          <w:rFonts w:hint="eastAsia" w:ascii="楷体" w:eastAsia="楷体" w:cs="仿宋_GB2312"/>
          <w:kern w:val="2"/>
          <w:sz w:val="32"/>
          <w:szCs w:val="32"/>
        </w:rPr>
        <w:t>（五）用事业基金弥补收支差额</w:t>
      </w:r>
      <w:r>
        <w:rPr>
          <w:rFonts w:hint="eastAsia" w:cs="仿宋_GB2312"/>
          <w:kern w:val="2"/>
          <w:sz w:val="32"/>
          <w:szCs w:val="32"/>
        </w:rPr>
        <w:t>：指所属事业单位在预计用当年的“财政拨款收入”“事业收入”“事业单位经营收入”“其他收入”不足以安排当年支出的情况下，使用以前年度积累的事业基金弥补本年度收支缺口的资金。</w:t>
      </w:r>
    </w:p>
    <w:p w14:paraId="43C5487A">
      <w:pPr>
        <w:pStyle w:val="15"/>
        <w:spacing w:before="0" w:line="360" w:lineRule="auto"/>
        <w:ind w:firstLine="640" w:firstLineChars="200"/>
        <w:rPr>
          <w:rFonts w:cs="仿宋_GB2312"/>
          <w:sz w:val="32"/>
          <w:szCs w:val="32"/>
        </w:rPr>
      </w:pPr>
      <w:r>
        <w:rPr>
          <w:rFonts w:hint="eastAsia" w:ascii="楷体" w:eastAsia="楷体" w:cs="仿宋_GB2312"/>
          <w:kern w:val="2"/>
          <w:sz w:val="32"/>
          <w:szCs w:val="32"/>
        </w:rPr>
        <w:t>（六）上年结转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w:altName w:val="Times New Roman"/>
    <w:panose1 w:val="02020603050405020304"/>
    <w:charset w:val="00"/>
    <w:family w:val="roman"/>
    <w:pitch w:val="default"/>
    <w:sig w:usb0="00000000" w:usb1="00000000" w:usb2="00000009" w:usb3="00000000" w:csb0="0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23C40">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D0E244"/>
    <w:multiLevelType w:val="singleLevel"/>
    <w:tmpl w:val="B8D0E244"/>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UxMjc5MjYzMDQzZjQ3YjY1MjJkZmYwMWJhNDdkY2EifQ=="/>
  </w:docVars>
  <w:rsids>
    <w:rsidRoot w:val="003E199C"/>
    <w:rsid w:val="001A7128"/>
    <w:rsid w:val="003E199C"/>
    <w:rsid w:val="00536D26"/>
    <w:rsid w:val="00B002A5"/>
    <w:rsid w:val="00BE6292"/>
    <w:rsid w:val="01D803E5"/>
    <w:rsid w:val="03EC461B"/>
    <w:rsid w:val="067A5F0E"/>
    <w:rsid w:val="08626C5A"/>
    <w:rsid w:val="08A66F43"/>
    <w:rsid w:val="0A656ED5"/>
    <w:rsid w:val="0B4765DB"/>
    <w:rsid w:val="0C9E13B3"/>
    <w:rsid w:val="0CCF6888"/>
    <w:rsid w:val="0D487243"/>
    <w:rsid w:val="0E567261"/>
    <w:rsid w:val="12071F57"/>
    <w:rsid w:val="12E017EF"/>
    <w:rsid w:val="14E135FC"/>
    <w:rsid w:val="16813C02"/>
    <w:rsid w:val="17CA481C"/>
    <w:rsid w:val="17E51656"/>
    <w:rsid w:val="1A2D3974"/>
    <w:rsid w:val="1B256AEA"/>
    <w:rsid w:val="1C4814E4"/>
    <w:rsid w:val="1E6E4153"/>
    <w:rsid w:val="1F941F6D"/>
    <w:rsid w:val="1FDA1374"/>
    <w:rsid w:val="21162880"/>
    <w:rsid w:val="216E446A"/>
    <w:rsid w:val="231D6147"/>
    <w:rsid w:val="23B20B01"/>
    <w:rsid w:val="248F6BD1"/>
    <w:rsid w:val="252B57B3"/>
    <w:rsid w:val="252C2672"/>
    <w:rsid w:val="25B52667"/>
    <w:rsid w:val="277F4CDB"/>
    <w:rsid w:val="297B7724"/>
    <w:rsid w:val="2A327707"/>
    <w:rsid w:val="2AD20F29"/>
    <w:rsid w:val="2B425EB9"/>
    <w:rsid w:val="2B9E737C"/>
    <w:rsid w:val="2CC31B0E"/>
    <w:rsid w:val="2CF577ED"/>
    <w:rsid w:val="2E304F81"/>
    <w:rsid w:val="32B75C71"/>
    <w:rsid w:val="333F7A14"/>
    <w:rsid w:val="35D46B3A"/>
    <w:rsid w:val="36287CF1"/>
    <w:rsid w:val="37F54B45"/>
    <w:rsid w:val="39033292"/>
    <w:rsid w:val="392C6A16"/>
    <w:rsid w:val="3B844B5E"/>
    <w:rsid w:val="3BFF0F7E"/>
    <w:rsid w:val="3D8F1598"/>
    <w:rsid w:val="46E82445"/>
    <w:rsid w:val="4A3459A1"/>
    <w:rsid w:val="4BFF5B3B"/>
    <w:rsid w:val="4DAB41CC"/>
    <w:rsid w:val="50632029"/>
    <w:rsid w:val="520B6FE7"/>
    <w:rsid w:val="532760A3"/>
    <w:rsid w:val="545422D9"/>
    <w:rsid w:val="56DF0A43"/>
    <w:rsid w:val="59140E77"/>
    <w:rsid w:val="59B166C6"/>
    <w:rsid w:val="59BE5287"/>
    <w:rsid w:val="5A1E149C"/>
    <w:rsid w:val="5B402059"/>
    <w:rsid w:val="5C001B87"/>
    <w:rsid w:val="5C6B34A4"/>
    <w:rsid w:val="5D6B1282"/>
    <w:rsid w:val="5FC30F01"/>
    <w:rsid w:val="62382197"/>
    <w:rsid w:val="648D7D30"/>
    <w:rsid w:val="66047A56"/>
    <w:rsid w:val="6BEA2E93"/>
    <w:rsid w:val="70932CBE"/>
    <w:rsid w:val="72123515"/>
    <w:rsid w:val="72BA43E6"/>
    <w:rsid w:val="736D47B3"/>
    <w:rsid w:val="74055B35"/>
    <w:rsid w:val="74640AAD"/>
    <w:rsid w:val="77645FB9"/>
    <w:rsid w:val="7820118F"/>
    <w:rsid w:val="7DD24C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autoRedefine/>
    <w:qFormat/>
    <w:uiPriority w:val="0"/>
    <w:pPr>
      <w:keepNext/>
      <w:keepLines/>
      <w:spacing w:before="340" w:after="330" w:line="578" w:lineRule="auto"/>
      <w:outlineLvl w:val="0"/>
    </w:pPr>
    <w:rPr>
      <w:b/>
      <w:bCs/>
      <w:kern w:val="44"/>
      <w:sz w:val="44"/>
    </w:rPr>
  </w:style>
  <w:style w:type="paragraph" w:styleId="5">
    <w:name w:val="heading 2"/>
    <w:basedOn w:val="1"/>
    <w:next w:val="1"/>
    <w:autoRedefine/>
    <w:qFormat/>
    <w:uiPriority w:val="0"/>
    <w:pPr>
      <w:keepNext/>
      <w:keepLines/>
      <w:spacing w:before="260" w:after="260" w:line="415" w:lineRule="auto"/>
      <w:outlineLvl w:val="1"/>
    </w:pPr>
    <w:rPr>
      <w:rFonts w:ascii="Arial" w:hAnsi="Arial" w:eastAsia="黑体"/>
      <w:b/>
      <w:sz w:val="32"/>
    </w:rPr>
  </w:style>
  <w:style w:type="paragraph" w:styleId="6">
    <w:name w:val="heading 3"/>
    <w:basedOn w:val="1"/>
    <w:next w:val="1"/>
    <w:qFormat/>
    <w:uiPriority w:val="0"/>
    <w:pPr>
      <w:keepNext/>
      <w:keepLines/>
      <w:spacing w:before="260" w:after="260" w:line="415" w:lineRule="auto"/>
      <w:outlineLvl w:val="2"/>
    </w:pPr>
    <w:rPr>
      <w:b/>
      <w:sz w:val="32"/>
    </w:rPr>
  </w:style>
  <w:style w:type="character" w:default="1" w:styleId="13">
    <w:name w:val="Default Paragraph Font"/>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spacing w:after="0"/>
      <w:ind w:firstLine="200" w:firstLineChars="200"/>
    </w:pPr>
    <w:rPr>
      <w:rFonts w:ascii="Times New Roman" w:hAnsi="Times New Roman" w:eastAsia="宋体" w:cs="Times New Roman"/>
    </w:rPr>
  </w:style>
  <w:style w:type="paragraph" w:styleId="3">
    <w:name w:val="Body Text Indent"/>
    <w:basedOn w:val="1"/>
    <w:next w:val="2"/>
    <w:qFormat/>
    <w:uiPriority w:val="0"/>
    <w:pPr>
      <w:spacing w:after="120"/>
      <w:ind w:left="200" w:leftChars="200"/>
    </w:pPr>
    <w:rPr>
      <w:rFonts w:ascii="Times New Roman" w:hAnsi="Times New Roman" w:eastAsia="宋体" w:cs="Times New Roman"/>
      <w:szCs w:val="20"/>
    </w:rPr>
  </w:style>
  <w:style w:type="paragraph" w:styleId="7">
    <w:name w:val="index 5"/>
    <w:basedOn w:val="1"/>
    <w:next w:val="1"/>
    <w:autoRedefine/>
    <w:qFormat/>
    <w:uiPriority w:val="0"/>
    <w:pPr>
      <w:ind w:left="800" w:leftChars="800"/>
    </w:pPr>
  </w:style>
  <w:style w:type="paragraph" w:styleId="8">
    <w:name w:val="Body Text"/>
    <w:basedOn w:val="1"/>
    <w:autoRedefine/>
    <w:qFormat/>
    <w:uiPriority w:val="0"/>
    <w:pPr>
      <w:spacing w:after="120"/>
    </w:pPr>
    <w:rPr>
      <w:rFonts w:ascii="Times" w:hAnsi="Times" w:eastAsia="仿宋_GB2312"/>
      <w:sz w:val="32"/>
      <w:szCs w:val="32"/>
    </w:rPr>
  </w:style>
  <w:style w:type="paragraph" w:styleId="9">
    <w:name w:val="footer"/>
    <w:basedOn w:val="1"/>
    <w:autoRedefine/>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spacing w:before="100" w:beforeAutospacing="1" w:after="100" w:afterAutospacing="1"/>
      <w:jc w:val="left"/>
    </w:pPr>
    <w:rPr>
      <w:kern w:val="0"/>
      <w:sz w:val="24"/>
    </w:rPr>
  </w:style>
  <w:style w:type="paragraph" w:styleId="14">
    <w:name w:val="List Paragraph"/>
    <w:basedOn w:val="1"/>
    <w:autoRedefine/>
    <w:qFormat/>
    <w:uiPriority w:val="0"/>
    <w:pPr>
      <w:ind w:firstLine="200" w:firstLineChars="200"/>
    </w:pPr>
  </w:style>
  <w:style w:type="paragraph" w:customStyle="1" w:styleId="15">
    <w:name w:val="正文文本1"/>
    <w:basedOn w:val="1"/>
    <w:qFormat/>
    <w:uiPriority w:val="0"/>
    <w:pPr>
      <w:spacing w:before="93"/>
    </w:pPr>
    <w:rPr>
      <w:rFonts w:ascii="仿宋_GB2312" w:eastAsia="仿宋_GB2312"/>
      <w:kern w:val="0"/>
      <w:sz w:val="30"/>
      <w:szCs w:val="20"/>
    </w:rPr>
  </w:style>
  <w:style w:type="paragraph" w:customStyle="1" w:styleId="16">
    <w:name w:val="Default"/>
    <w:basedOn w:val="1"/>
    <w:uiPriority w:val="0"/>
    <w:pPr>
      <w:keepNext w:val="0"/>
      <w:keepLines w:val="0"/>
      <w:widowControl w:val="0"/>
      <w:suppressLineNumbers w:val="0"/>
      <w:autoSpaceDE w:val="0"/>
      <w:autoSpaceDN w:val="0"/>
      <w:adjustRightInd w:val="0"/>
      <w:spacing w:before="0" w:beforeAutospacing="0" w:after="0" w:afterAutospacing="0"/>
      <w:ind w:left="0" w:right="0"/>
      <w:jc w:val="left"/>
    </w:pPr>
    <w:rPr>
      <w:rFonts w:hint="default" w:ascii="Times New Roman" w:hAnsi="Times New Roman" w:eastAsia="宋体" w:cs="Times New Roman"/>
      <w:color w:val="000000"/>
      <w:kern w:val="0"/>
      <w:sz w:val="24"/>
      <w:szCs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4007</Words>
  <Characters>4409</Characters>
  <Lines>31</Lines>
  <Paragraphs>8</Paragraphs>
  <TotalTime>39</TotalTime>
  <ScaleCrop>false</ScaleCrop>
  <LinksUpToDate>false</LinksUpToDate>
  <CharactersWithSpaces>4409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2024-02-02T12:22:00Z</dcterms:created>
  <dc:creator>疯丫头。。</dc:creator>
  <cp:lastModifiedBy>壤塘县人民法院</cp:lastModifiedBy>
  <cp:lastPrinted>2024-02-04T03:55:00Z</cp:lastPrinted>
  <dcterms:modified xsi:type="dcterms:W3CDTF">2025-02-18T07:40:57Z</dcterms:modified>
  <dc:title>附件2</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C81E01F8E4B0471BAE5F2E4DC548DEDA_13</vt:lpwstr>
  </property>
  <property fmtid="{D5CDD505-2E9C-101B-9397-08002B2CF9AE}" pid="4" name="KSOTemplateDocerSaveRecord">
    <vt:lpwstr>eyJoZGlkIjoiZjgyZTYzMTA3NzY2YmZhNmUzM2U5NDVmZjU1OTBkN2YiLCJ1c2VySWQiOiI4NDg2MzYyODUifQ==</vt:lpwstr>
  </property>
</Properties>
</file>