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420" w:firstLineChars="200"/>
      </w:pPr>
    </w:p>
    <w:p>
      <w:pPr>
        <w:spacing w:line="360" w:lineRule="auto"/>
        <w:ind w:firstLine="420" w:firstLineChars="200"/>
      </w:pPr>
    </w:p>
    <w:p>
      <w:pPr>
        <w:spacing w:line="360" w:lineRule="auto"/>
        <w:ind w:firstLine="420" w:firstLineChars="200"/>
      </w:pPr>
    </w:p>
    <w:p>
      <w:pPr>
        <w:spacing w:line="360" w:lineRule="auto"/>
        <w:ind w:firstLine="420" w:firstLineChars="200"/>
      </w:pPr>
    </w:p>
    <w:p>
      <w:pPr>
        <w:spacing w:line="360" w:lineRule="auto"/>
        <w:ind w:firstLine="420" w:firstLineChars="200"/>
      </w:pPr>
    </w:p>
    <w:p>
      <w:pPr>
        <w:spacing w:line="360" w:lineRule="auto"/>
        <w:ind w:firstLine="880" w:firstLineChars="200"/>
        <w:jc w:val="center"/>
        <w:rPr>
          <w:rFonts w:ascii="黑体" w:eastAsia="黑体"/>
          <w:sz w:val="44"/>
          <w:szCs w:val="44"/>
        </w:rPr>
      </w:pPr>
    </w:p>
    <w:p>
      <w:pPr>
        <w:spacing w:line="360" w:lineRule="auto"/>
        <w:ind w:firstLine="880" w:firstLineChars="200"/>
        <w:rPr>
          <w:rFonts w:ascii="黑体" w:eastAsia="黑体"/>
          <w:sz w:val="44"/>
          <w:szCs w:val="44"/>
        </w:rPr>
      </w:pPr>
    </w:p>
    <w:p>
      <w:pPr>
        <w:spacing w:line="360" w:lineRule="auto"/>
        <w:ind w:firstLine="880" w:firstLineChars="200"/>
        <w:rPr>
          <w:rFonts w:ascii="黑体" w:eastAsia="黑体"/>
          <w:sz w:val="44"/>
          <w:szCs w:val="44"/>
        </w:rPr>
      </w:pPr>
    </w:p>
    <w:p>
      <w:pPr>
        <w:spacing w:line="360" w:lineRule="auto"/>
        <w:ind w:firstLine="880" w:firstLineChars="200"/>
        <w:rPr>
          <w:rFonts w:ascii="黑体" w:eastAsia="黑体"/>
          <w:sz w:val="44"/>
          <w:szCs w:val="44"/>
        </w:rPr>
      </w:pPr>
    </w:p>
    <w:p>
      <w:pPr>
        <w:spacing w:line="360" w:lineRule="auto"/>
        <w:ind w:firstLine="1440" w:firstLineChars="200"/>
        <w:rPr>
          <w:rFonts w:ascii="黑体" w:eastAsia="黑体"/>
          <w:sz w:val="72"/>
          <w:szCs w:val="72"/>
        </w:rPr>
      </w:pPr>
    </w:p>
    <w:p>
      <w:pPr>
        <w:spacing w:line="360" w:lineRule="auto"/>
        <w:ind w:firstLine="1440" w:firstLineChars="200"/>
        <w:jc w:val="both"/>
        <w:rPr>
          <w:rFonts w:ascii="黑体" w:eastAsia="黑体"/>
          <w:sz w:val="72"/>
          <w:szCs w:val="72"/>
        </w:rPr>
      </w:pPr>
      <w:r>
        <w:rPr>
          <w:rFonts w:hint="eastAsia" w:ascii="黑体" w:eastAsia="黑体"/>
          <w:sz w:val="72"/>
          <w:szCs w:val="72"/>
        </w:rPr>
        <w:t>壤塘县人民法院</w:t>
      </w:r>
    </w:p>
    <w:p>
      <w:pPr>
        <w:spacing w:line="360" w:lineRule="auto"/>
        <w:ind w:firstLine="1440" w:firstLineChars="200"/>
        <w:jc w:val="both"/>
        <w:rPr>
          <w:rFonts w:ascii="黑体" w:eastAsia="黑体"/>
          <w:sz w:val="72"/>
          <w:szCs w:val="72"/>
        </w:rPr>
      </w:pPr>
      <w:r>
        <w:rPr>
          <w:rFonts w:ascii="黑体" w:eastAsia="黑体"/>
          <w:sz w:val="72"/>
          <w:szCs w:val="72"/>
        </w:rPr>
        <w:t>2</w:t>
      </w:r>
      <w:r>
        <w:rPr>
          <w:rFonts w:hint="eastAsia" w:ascii="黑体" w:eastAsia="黑体"/>
          <w:sz w:val="72"/>
          <w:szCs w:val="72"/>
        </w:rPr>
        <w:t>02</w:t>
      </w:r>
      <w:r>
        <w:rPr>
          <w:rFonts w:ascii="黑体" w:eastAsia="黑体"/>
          <w:sz w:val="72"/>
          <w:szCs w:val="72"/>
        </w:rPr>
        <w:t>4</w:t>
      </w:r>
      <w:r>
        <w:rPr>
          <w:rFonts w:hint="eastAsia" w:ascii="黑体" w:eastAsia="黑体"/>
          <w:sz w:val="72"/>
          <w:szCs w:val="72"/>
        </w:rPr>
        <w:t>年部门预算</w:t>
      </w:r>
    </w:p>
    <w:p>
      <w:pPr>
        <w:spacing w:line="360" w:lineRule="auto"/>
        <w:ind w:firstLine="880" w:firstLineChars="200"/>
        <w:jc w:val="center"/>
        <w:rPr>
          <w:rFonts w:ascii="黑体" w:eastAsia="黑体"/>
          <w:sz w:val="52"/>
          <w:szCs w:val="52"/>
        </w:rPr>
      </w:pPr>
      <w:r>
        <w:rPr>
          <w:rFonts w:hint="eastAsia" w:ascii="黑体" w:eastAsia="黑体"/>
          <w:sz w:val="44"/>
          <w:szCs w:val="44"/>
        </w:rPr>
        <w:br w:type="page"/>
      </w:r>
      <w:r>
        <w:rPr>
          <w:rFonts w:hint="eastAsia" w:ascii="黑体" w:eastAsia="黑体"/>
          <w:sz w:val="52"/>
          <w:szCs w:val="52"/>
        </w:rPr>
        <w:t>目录</w:t>
      </w:r>
    </w:p>
    <w:p>
      <w:pPr>
        <w:spacing w:line="360" w:lineRule="auto"/>
        <w:ind w:firstLine="880" w:firstLineChars="200"/>
        <w:rPr>
          <w:rFonts w:ascii="黑体" w:eastAsia="黑体"/>
          <w:sz w:val="44"/>
          <w:szCs w:val="44"/>
        </w:rPr>
      </w:pPr>
    </w:p>
    <w:p>
      <w:pPr>
        <w:pStyle w:val="12"/>
        <w:spacing w:line="360" w:lineRule="auto"/>
        <w:ind w:firstLine="640"/>
        <w:rPr>
          <w:rFonts w:ascii="黑体" w:eastAsia="黑体"/>
          <w:sz w:val="32"/>
          <w:szCs w:val="32"/>
        </w:rPr>
      </w:pPr>
      <w:r>
        <w:rPr>
          <w:rFonts w:hint="eastAsia" w:ascii="黑体" w:eastAsia="黑体"/>
          <w:sz w:val="32"/>
          <w:szCs w:val="32"/>
        </w:rPr>
        <w:t>一、基本职能及主要工作</w:t>
      </w:r>
    </w:p>
    <w:p>
      <w:pPr>
        <w:spacing w:line="360" w:lineRule="auto"/>
        <w:ind w:firstLine="640" w:firstLineChars="200"/>
        <w:rPr>
          <w:rFonts w:ascii="楷体" w:eastAsia="楷体"/>
          <w:sz w:val="32"/>
          <w:szCs w:val="32"/>
        </w:rPr>
      </w:pPr>
      <w:r>
        <w:rPr>
          <w:rFonts w:hint="eastAsia" w:ascii="楷体" w:eastAsia="楷体"/>
          <w:sz w:val="32"/>
          <w:szCs w:val="32"/>
        </w:rPr>
        <w:t>（一）部门职能简介</w:t>
      </w:r>
    </w:p>
    <w:p>
      <w:pPr>
        <w:spacing w:line="360" w:lineRule="auto"/>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w:t>
      </w:r>
      <w:r>
        <w:rPr>
          <w:rFonts w:ascii="楷体" w:eastAsia="楷体"/>
          <w:sz w:val="32"/>
          <w:szCs w:val="32"/>
        </w:rPr>
        <w:t>4</w:t>
      </w:r>
      <w:r>
        <w:rPr>
          <w:rFonts w:hint="eastAsia" w:ascii="楷体" w:eastAsia="楷体"/>
          <w:sz w:val="32"/>
          <w:szCs w:val="32"/>
        </w:rPr>
        <w:t>年重点工作</w:t>
      </w:r>
    </w:p>
    <w:p>
      <w:pPr>
        <w:spacing w:line="360" w:lineRule="auto"/>
        <w:ind w:firstLine="640" w:firstLineChars="200"/>
        <w:rPr>
          <w:rFonts w:ascii="黑体" w:eastAsia="黑体"/>
          <w:sz w:val="32"/>
          <w:szCs w:val="32"/>
        </w:rPr>
      </w:pPr>
      <w:r>
        <w:rPr>
          <w:rFonts w:hint="eastAsia" w:ascii="黑体" w:eastAsia="黑体"/>
          <w:sz w:val="32"/>
          <w:szCs w:val="32"/>
        </w:rPr>
        <w:t>二、部门预算单位构成</w:t>
      </w:r>
    </w:p>
    <w:p>
      <w:pPr>
        <w:spacing w:line="360" w:lineRule="auto"/>
        <w:ind w:firstLine="640" w:firstLineChars="200"/>
        <w:rPr>
          <w:rFonts w:ascii="黑体" w:eastAsia="黑体"/>
          <w:sz w:val="32"/>
          <w:szCs w:val="32"/>
        </w:rPr>
      </w:pPr>
      <w:r>
        <w:rPr>
          <w:rFonts w:hint="eastAsia" w:ascii="黑体" w:eastAsia="黑体"/>
          <w:sz w:val="32"/>
          <w:szCs w:val="32"/>
        </w:rPr>
        <w:t>三、收支预算情况说明</w:t>
      </w:r>
    </w:p>
    <w:p>
      <w:pPr>
        <w:spacing w:line="360" w:lineRule="auto"/>
        <w:ind w:firstLine="640" w:firstLineChars="200"/>
        <w:rPr>
          <w:rFonts w:ascii="楷体" w:eastAsia="楷体"/>
          <w:sz w:val="32"/>
          <w:szCs w:val="32"/>
        </w:rPr>
      </w:pPr>
      <w:r>
        <w:rPr>
          <w:rFonts w:hint="eastAsia" w:ascii="楷体" w:eastAsia="楷体"/>
          <w:sz w:val="32"/>
          <w:szCs w:val="32"/>
        </w:rPr>
        <w:t>（一）收入预算情况</w:t>
      </w:r>
    </w:p>
    <w:p>
      <w:pPr>
        <w:spacing w:line="360" w:lineRule="auto"/>
        <w:ind w:firstLine="640" w:firstLineChars="200"/>
        <w:rPr>
          <w:rFonts w:ascii="楷体" w:eastAsia="楷体"/>
          <w:sz w:val="32"/>
          <w:szCs w:val="32"/>
        </w:rPr>
      </w:pPr>
      <w:r>
        <w:rPr>
          <w:rFonts w:hint="eastAsia" w:ascii="楷体" w:eastAsia="楷体"/>
          <w:sz w:val="32"/>
          <w:szCs w:val="32"/>
        </w:rPr>
        <w:t>（二）支出预算情况</w:t>
      </w:r>
    </w:p>
    <w:p>
      <w:pPr>
        <w:spacing w:line="360" w:lineRule="auto"/>
        <w:ind w:firstLine="640" w:firstLineChars="200"/>
        <w:rPr>
          <w:rFonts w:ascii="黑体" w:eastAsia="黑体"/>
          <w:sz w:val="32"/>
          <w:szCs w:val="32"/>
        </w:rPr>
      </w:pPr>
      <w:r>
        <w:rPr>
          <w:rFonts w:hint="eastAsia" w:ascii="黑体" w:eastAsia="黑体"/>
          <w:sz w:val="32"/>
          <w:szCs w:val="32"/>
        </w:rPr>
        <w:t>四、财政拨款收支预算情况说明</w:t>
      </w:r>
    </w:p>
    <w:p>
      <w:pPr>
        <w:spacing w:line="360" w:lineRule="auto"/>
        <w:ind w:firstLine="640" w:firstLineChars="200"/>
        <w:rPr>
          <w:rFonts w:ascii="黑体" w:eastAsia="黑体"/>
          <w:sz w:val="32"/>
          <w:szCs w:val="32"/>
        </w:rPr>
      </w:pPr>
      <w:r>
        <w:rPr>
          <w:rFonts w:hint="eastAsia" w:ascii="黑体" w:eastAsia="黑体"/>
          <w:sz w:val="32"/>
          <w:szCs w:val="32"/>
        </w:rPr>
        <w:t>五、一般公共预算当年拨款情况说明</w:t>
      </w:r>
    </w:p>
    <w:p>
      <w:pPr>
        <w:spacing w:line="360" w:lineRule="auto"/>
        <w:ind w:left="638" w:leftChars="304"/>
        <w:rPr>
          <w:rFonts w:ascii="楷体" w:eastAsia="楷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p>
    <w:p>
      <w:pPr>
        <w:spacing w:line="360" w:lineRule="auto"/>
        <w:ind w:left="638" w:leftChars="304"/>
        <w:rPr>
          <w:rFonts w:ascii="黑体" w:eastAsia="黑体"/>
          <w:sz w:val="32"/>
          <w:szCs w:val="32"/>
        </w:rPr>
      </w:pP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pStyle w:val="12"/>
        <w:spacing w:line="360" w:lineRule="auto"/>
        <w:ind w:firstLine="640"/>
        <w:rPr>
          <w:rFonts w:ascii="黑体" w:eastAsia="黑体"/>
          <w:sz w:val="32"/>
          <w:szCs w:val="32"/>
        </w:rPr>
      </w:pPr>
      <w:r>
        <w:rPr>
          <w:rFonts w:hint="eastAsia" w:ascii="黑体" w:eastAsia="黑体"/>
          <w:sz w:val="32"/>
          <w:szCs w:val="32"/>
        </w:rPr>
        <w:br w:type="page"/>
      </w:r>
      <w:r>
        <w:rPr>
          <w:rFonts w:hint="eastAsia" w:ascii="黑体" w:eastAsia="黑体"/>
          <w:sz w:val="32"/>
          <w:szCs w:val="32"/>
        </w:rPr>
        <w:t>一、基本职能及主要工作</w:t>
      </w:r>
    </w:p>
    <w:p>
      <w:pPr>
        <w:spacing w:line="360" w:lineRule="auto"/>
        <w:ind w:firstLine="640" w:firstLineChars="200"/>
        <w:rPr>
          <w:rFonts w:ascii="楷体" w:eastAsia="楷体"/>
          <w:sz w:val="32"/>
          <w:szCs w:val="32"/>
        </w:rPr>
      </w:pPr>
      <w:r>
        <w:rPr>
          <w:rFonts w:hint="eastAsia" w:ascii="楷体" w:eastAsia="楷体"/>
          <w:sz w:val="32"/>
          <w:szCs w:val="32"/>
        </w:rPr>
        <w:t>（一）部门职能简介</w:t>
      </w:r>
    </w:p>
    <w:p>
      <w:pPr>
        <w:spacing w:line="360" w:lineRule="auto"/>
        <w:ind w:firstLine="640" w:firstLineChars="200"/>
        <w:rPr>
          <w:rFonts w:ascii="仿宋_GB2312" w:eastAsia="仿宋_GB2312"/>
          <w:sz w:val="32"/>
          <w:szCs w:val="32"/>
        </w:rPr>
      </w:pPr>
      <w:r>
        <w:rPr>
          <w:rFonts w:hint="eastAsia" w:ascii="仿宋_GB2312" w:eastAsia="仿宋_GB2312"/>
          <w:sz w:val="32"/>
          <w:szCs w:val="32"/>
        </w:rPr>
        <w:t>壤塘县人民法院是国家审判机关，依法独立行使审判权，对壤塘县人民代表大会及</w:t>
      </w:r>
      <w:r>
        <w:rPr>
          <w:rFonts w:hint="eastAsia" w:ascii="仿宋_GB2312" w:eastAsia="仿宋_GB2312"/>
          <w:sz w:val="32"/>
          <w:szCs w:val="32"/>
          <w:lang w:val="en-US" w:eastAsia="zh-CN"/>
        </w:rPr>
        <w:t>其</w:t>
      </w:r>
      <w:r>
        <w:rPr>
          <w:rFonts w:hint="eastAsia" w:ascii="仿宋_GB2312" w:eastAsia="仿宋_GB2312"/>
          <w:sz w:val="32"/>
          <w:szCs w:val="32"/>
        </w:rPr>
        <w:t>常务委员会负责并报告工作。</w:t>
      </w:r>
    </w:p>
    <w:p>
      <w:pPr>
        <w:spacing w:line="360" w:lineRule="auto"/>
        <w:ind w:firstLine="640" w:firstLineChars="200"/>
        <w:rPr>
          <w:rFonts w:ascii="仿宋_GB2312" w:eastAsia="仿宋_GB2312"/>
          <w:sz w:val="32"/>
          <w:szCs w:val="32"/>
        </w:rPr>
      </w:pPr>
      <w:r>
        <w:rPr>
          <w:rFonts w:hint="eastAsia" w:ascii="仿宋_GB2312" w:eastAsia="仿宋_GB2312"/>
          <w:sz w:val="32"/>
          <w:szCs w:val="32"/>
        </w:rPr>
        <w:t>1.依法审判辖区内应由基层人民法院管辖的刑事</w:t>
      </w:r>
      <w:bookmarkStart w:id="0" w:name="_GoBack"/>
      <w:bookmarkEnd w:id="0"/>
      <w:r>
        <w:rPr>
          <w:rFonts w:hint="eastAsia" w:ascii="仿宋_GB2312" w:eastAsia="仿宋_GB2312"/>
          <w:sz w:val="32"/>
          <w:szCs w:val="32"/>
        </w:rPr>
        <w:t>一审案件；</w:t>
      </w:r>
    </w:p>
    <w:p>
      <w:pPr>
        <w:spacing w:line="360" w:lineRule="auto"/>
        <w:ind w:firstLine="640" w:firstLineChars="200"/>
        <w:rPr>
          <w:rFonts w:ascii="仿宋_GB2312" w:eastAsia="仿宋_GB2312"/>
          <w:sz w:val="32"/>
          <w:szCs w:val="32"/>
        </w:rPr>
      </w:pPr>
      <w:r>
        <w:rPr>
          <w:rFonts w:hint="eastAsia" w:ascii="仿宋_GB2312" w:eastAsia="仿宋_GB2312"/>
          <w:sz w:val="32"/>
          <w:szCs w:val="32"/>
        </w:rPr>
        <w:t>2.依法审判辖区内应由基层人民法院管辖的民事、经济纠纷一审案件；</w:t>
      </w:r>
    </w:p>
    <w:p>
      <w:pPr>
        <w:spacing w:line="360" w:lineRule="auto"/>
        <w:ind w:firstLine="640" w:firstLineChars="200"/>
        <w:rPr>
          <w:rFonts w:ascii="仿宋_GB2312" w:eastAsia="仿宋_GB2312"/>
          <w:sz w:val="32"/>
          <w:szCs w:val="32"/>
        </w:rPr>
      </w:pPr>
      <w:r>
        <w:rPr>
          <w:rFonts w:hint="eastAsia" w:ascii="仿宋_GB2312" w:eastAsia="仿宋_GB2312"/>
          <w:sz w:val="32"/>
          <w:szCs w:val="32"/>
        </w:rPr>
        <w:t>3.依法审判辖区内应由基层人民法院管辖的行政一审案件；</w:t>
      </w:r>
    </w:p>
    <w:p>
      <w:pPr>
        <w:spacing w:line="360" w:lineRule="auto"/>
        <w:ind w:firstLine="640" w:firstLineChars="200"/>
        <w:rPr>
          <w:rFonts w:ascii="仿宋_GB2312" w:eastAsia="仿宋_GB2312"/>
          <w:sz w:val="32"/>
          <w:szCs w:val="32"/>
        </w:rPr>
      </w:pPr>
      <w:r>
        <w:rPr>
          <w:rFonts w:hint="eastAsia" w:ascii="仿宋_GB2312" w:eastAsia="仿宋_GB2312"/>
          <w:sz w:val="32"/>
          <w:szCs w:val="32"/>
        </w:rPr>
        <w:t>4.审理中级人民法院指令再审的案件。受理不服本院已经生效的判决，裁定的申诉和申请再审等案件；</w:t>
      </w:r>
    </w:p>
    <w:p>
      <w:pPr>
        <w:spacing w:line="360" w:lineRule="auto"/>
        <w:ind w:firstLine="640" w:firstLineChars="200"/>
        <w:rPr>
          <w:rFonts w:ascii="仿宋_GB2312" w:eastAsia="仿宋_GB2312"/>
          <w:sz w:val="32"/>
          <w:szCs w:val="32"/>
        </w:rPr>
      </w:pPr>
      <w:r>
        <w:rPr>
          <w:rFonts w:hint="eastAsia" w:ascii="仿宋_GB2312" w:eastAsia="仿宋_GB2312"/>
          <w:sz w:val="32"/>
          <w:szCs w:val="32"/>
        </w:rPr>
        <w:t>5.对已生效的各类法律文书有执行内容的财物执行，办理委托移送执行和协助执行事宜；</w:t>
      </w:r>
    </w:p>
    <w:p>
      <w:pPr>
        <w:spacing w:line="360" w:lineRule="auto"/>
        <w:ind w:firstLine="640" w:firstLineChars="200"/>
        <w:rPr>
          <w:rFonts w:ascii="仿宋_GB2312" w:eastAsia="仿宋_GB2312"/>
          <w:sz w:val="32"/>
          <w:szCs w:val="32"/>
        </w:rPr>
      </w:pPr>
      <w:r>
        <w:rPr>
          <w:rFonts w:hint="eastAsia" w:ascii="仿宋_GB2312" w:eastAsia="仿宋_GB2312"/>
          <w:sz w:val="32"/>
          <w:szCs w:val="32"/>
        </w:rPr>
        <w:t>6.依法审理国家赔偿案件；</w:t>
      </w:r>
    </w:p>
    <w:p>
      <w:pPr>
        <w:spacing w:line="360" w:lineRule="auto"/>
        <w:ind w:firstLine="640" w:firstLineChars="200"/>
        <w:rPr>
          <w:rFonts w:ascii="仿宋_GB2312" w:eastAsia="仿宋_GB2312"/>
          <w:sz w:val="32"/>
          <w:szCs w:val="32"/>
        </w:rPr>
      </w:pPr>
      <w:r>
        <w:rPr>
          <w:rFonts w:hint="eastAsia" w:ascii="仿宋_GB2312" w:eastAsia="仿宋_GB2312"/>
          <w:sz w:val="32"/>
          <w:szCs w:val="32"/>
        </w:rPr>
        <w:t>7.接待申诉来访，受理应由基层人民法院管辖的告诉、申诉件；</w:t>
      </w:r>
    </w:p>
    <w:p>
      <w:pPr>
        <w:spacing w:line="360" w:lineRule="auto"/>
        <w:ind w:firstLine="640" w:firstLineChars="200"/>
        <w:rPr>
          <w:rFonts w:ascii="仿宋_GB2312" w:eastAsia="仿宋_GB2312"/>
          <w:sz w:val="32"/>
          <w:szCs w:val="32"/>
        </w:rPr>
      </w:pPr>
      <w:r>
        <w:rPr>
          <w:rFonts w:hint="eastAsia" w:ascii="仿宋_GB2312" w:eastAsia="仿宋_GB2312"/>
          <w:sz w:val="32"/>
          <w:szCs w:val="32"/>
        </w:rPr>
        <w:t>8.针对案件审理过程中发现的问题提出司法建议；办理县人民代表议案建议及县政协委员提案；</w:t>
      </w:r>
    </w:p>
    <w:p>
      <w:pPr>
        <w:spacing w:line="360" w:lineRule="auto"/>
        <w:ind w:firstLine="640" w:firstLineChars="200"/>
        <w:rPr>
          <w:rFonts w:ascii="仿宋_GB2312" w:eastAsia="仿宋_GB2312"/>
          <w:sz w:val="32"/>
          <w:szCs w:val="32"/>
        </w:rPr>
      </w:pPr>
      <w:r>
        <w:rPr>
          <w:rFonts w:hint="eastAsia" w:ascii="仿宋_GB2312" w:eastAsia="仿宋_GB2312"/>
          <w:sz w:val="32"/>
          <w:szCs w:val="32"/>
        </w:rPr>
        <w:t>9.负责司法警察、警务工作、警卫法庭、押解人犯、送达有关法律文书、执行死刑；</w:t>
      </w:r>
    </w:p>
    <w:p>
      <w:pPr>
        <w:spacing w:line="360" w:lineRule="auto"/>
        <w:ind w:firstLine="640" w:firstLineChars="200"/>
        <w:rPr>
          <w:rFonts w:ascii="仿宋_GB2312" w:eastAsia="仿宋_GB2312"/>
          <w:sz w:val="32"/>
          <w:szCs w:val="32"/>
        </w:rPr>
      </w:pPr>
      <w:r>
        <w:rPr>
          <w:rFonts w:hint="eastAsia" w:ascii="仿宋_GB2312" w:eastAsia="仿宋_GB2312"/>
          <w:sz w:val="32"/>
          <w:szCs w:val="32"/>
        </w:rPr>
        <w:t>10.负责干警的思想、政治、教育、培训工作和人事管理工作；</w:t>
      </w:r>
    </w:p>
    <w:p>
      <w:pPr>
        <w:spacing w:line="360" w:lineRule="auto"/>
        <w:ind w:firstLine="640" w:firstLineChars="200"/>
        <w:rPr>
          <w:rFonts w:ascii="仿宋_GB2312" w:eastAsia="仿宋_GB2312"/>
          <w:sz w:val="32"/>
          <w:szCs w:val="32"/>
        </w:rPr>
      </w:pPr>
      <w:r>
        <w:rPr>
          <w:rFonts w:hint="eastAsia" w:ascii="仿宋_GB2312" w:eastAsia="仿宋_GB2312"/>
          <w:sz w:val="32"/>
          <w:szCs w:val="32"/>
        </w:rPr>
        <w:t>11.负责司法鉴定及其他专门技术工作；</w:t>
      </w:r>
    </w:p>
    <w:p>
      <w:pPr>
        <w:spacing w:line="360" w:lineRule="auto"/>
        <w:ind w:firstLine="640" w:firstLineChars="200"/>
        <w:rPr>
          <w:rFonts w:ascii="仿宋_GB2312" w:eastAsia="仿宋_GB2312"/>
          <w:sz w:val="32"/>
          <w:szCs w:val="32"/>
        </w:rPr>
      </w:pPr>
      <w:r>
        <w:rPr>
          <w:rFonts w:hint="eastAsia" w:ascii="仿宋_GB2312" w:eastAsia="仿宋_GB2312"/>
          <w:sz w:val="32"/>
          <w:szCs w:val="32"/>
        </w:rPr>
        <w:t>12.本院执行政策、法律情况的调查研究；</w:t>
      </w:r>
    </w:p>
    <w:p>
      <w:pPr>
        <w:spacing w:line="360" w:lineRule="auto"/>
        <w:ind w:firstLine="640" w:firstLineChars="200"/>
        <w:rPr>
          <w:rFonts w:ascii="仿宋_GB2312" w:eastAsia="仿宋_GB2312"/>
          <w:sz w:val="32"/>
          <w:szCs w:val="32"/>
        </w:rPr>
      </w:pPr>
      <w:r>
        <w:rPr>
          <w:rFonts w:hint="eastAsia" w:ascii="仿宋_GB2312" w:eastAsia="仿宋_GB2312"/>
          <w:sz w:val="32"/>
          <w:szCs w:val="32"/>
        </w:rPr>
        <w:t>13.宣传法制、教育公民、忠于社会主义祖国，自觉地遵守宪法、法律和社会公德；</w:t>
      </w:r>
    </w:p>
    <w:p>
      <w:pPr>
        <w:spacing w:line="360" w:lineRule="auto"/>
        <w:ind w:firstLine="640" w:firstLineChars="200"/>
        <w:rPr>
          <w:rFonts w:ascii="仿宋_GB2312" w:eastAsia="仿宋_GB2312"/>
          <w:sz w:val="32"/>
          <w:szCs w:val="32"/>
        </w:rPr>
      </w:pPr>
      <w:r>
        <w:rPr>
          <w:rFonts w:hint="eastAsia" w:ascii="仿宋_GB2312" w:eastAsia="仿宋_GB2312"/>
          <w:sz w:val="32"/>
          <w:szCs w:val="32"/>
        </w:rPr>
        <w:t>14.承办其他应由县人民法院负责的工作。</w:t>
      </w:r>
    </w:p>
    <w:p>
      <w:pPr>
        <w:spacing w:line="360" w:lineRule="auto"/>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w:t>
      </w:r>
      <w:r>
        <w:rPr>
          <w:rFonts w:ascii="楷体" w:eastAsia="楷体"/>
          <w:sz w:val="32"/>
          <w:szCs w:val="32"/>
        </w:rPr>
        <w:t>4</w:t>
      </w:r>
      <w:r>
        <w:rPr>
          <w:rFonts w:hint="eastAsia" w:ascii="楷体" w:eastAsia="楷体"/>
          <w:sz w:val="32"/>
          <w:szCs w:val="32"/>
        </w:rPr>
        <w:t>年重点工作</w:t>
      </w:r>
    </w:p>
    <w:p>
      <w:pPr>
        <w:pStyle w:val="9"/>
        <w:overflowPunct w:val="0"/>
        <w:spacing w:before="0" w:beforeAutospacing="0" w:after="0" w:afterAutospacing="0" w:line="360" w:lineRule="auto"/>
        <w:ind w:firstLine="640" w:firstLineChars="200"/>
        <w:jc w:val="both"/>
        <w:rPr>
          <w:rFonts w:ascii="仿宋_GB2312" w:eastAsia="仿宋_GB2312"/>
          <w:kern w:val="2"/>
          <w:sz w:val="32"/>
          <w:szCs w:val="32"/>
        </w:rPr>
      </w:pPr>
      <w:r>
        <w:rPr>
          <w:rFonts w:ascii="仿宋_GB2312" w:eastAsia="仿宋_GB2312"/>
          <w:kern w:val="2"/>
          <w:sz w:val="32"/>
          <w:szCs w:val="32"/>
        </w:rPr>
        <w:t>2024年，壤塘法院将在县委的坚强领导和上级法院的精心指导下，以习近平新时代中国特色社会主义思想和习近平法治思想为指导，深入贯彻党的二十大精神、省委十二届四次全会、州委十二届四次全会及县委十四届四次全会精神，紧扣壤塘发展新定位、新目标、新任务，坚持一以贯之抓落实、一张蓝图绘到底，加强政治建设、深化改革创新、狠抓审执主业、聚焦提质增效，坚持司法为民、公正司法工作主线，充分发挥司法审判职能，为大力实施</w:t>
      </w:r>
      <w:r>
        <w:rPr>
          <w:rFonts w:hint="eastAsia" w:ascii="仿宋_GB2312" w:eastAsia="仿宋_GB2312"/>
          <w:kern w:val="2"/>
          <w:sz w:val="32"/>
          <w:szCs w:val="32"/>
        </w:rPr>
        <w:t>“</w:t>
      </w:r>
      <w:r>
        <w:rPr>
          <w:rFonts w:ascii="仿宋_GB2312" w:eastAsia="仿宋_GB2312"/>
          <w:kern w:val="2"/>
          <w:sz w:val="32"/>
          <w:szCs w:val="32"/>
        </w:rPr>
        <w:t>三县</w:t>
      </w:r>
      <w:r>
        <w:rPr>
          <w:rFonts w:hint="eastAsia" w:ascii="仿宋_GB2312" w:eastAsia="仿宋_GB2312"/>
          <w:kern w:val="2"/>
          <w:sz w:val="32"/>
          <w:szCs w:val="32"/>
        </w:rPr>
        <w:t>”</w:t>
      </w:r>
      <w:r>
        <w:rPr>
          <w:rFonts w:ascii="仿宋_GB2312" w:eastAsia="仿宋_GB2312"/>
          <w:kern w:val="2"/>
          <w:sz w:val="32"/>
          <w:szCs w:val="32"/>
        </w:rPr>
        <w:t>发展战略，加快推进</w:t>
      </w:r>
      <w:r>
        <w:rPr>
          <w:rFonts w:hint="eastAsia" w:ascii="仿宋_GB2312" w:eastAsia="仿宋_GB2312"/>
          <w:kern w:val="2"/>
          <w:sz w:val="32"/>
          <w:szCs w:val="32"/>
        </w:rPr>
        <w:t>“</w:t>
      </w:r>
      <w:r>
        <w:rPr>
          <w:rFonts w:ascii="仿宋_GB2312" w:eastAsia="仿宋_GB2312"/>
          <w:kern w:val="2"/>
          <w:sz w:val="32"/>
          <w:szCs w:val="32"/>
        </w:rPr>
        <w:t>一城三副</w:t>
      </w:r>
      <w:r>
        <w:rPr>
          <w:rFonts w:hint="eastAsia" w:ascii="仿宋_GB2312" w:eastAsia="仿宋_GB2312"/>
          <w:kern w:val="2"/>
          <w:sz w:val="32"/>
          <w:szCs w:val="32"/>
        </w:rPr>
        <w:t>”</w:t>
      </w:r>
      <w:r>
        <w:rPr>
          <w:rFonts w:ascii="仿宋_GB2312" w:eastAsia="仿宋_GB2312"/>
          <w:kern w:val="2"/>
          <w:sz w:val="32"/>
          <w:szCs w:val="32"/>
        </w:rPr>
        <w:t>城乡融合高质量发展提供有力司法服务和保障。</w:t>
      </w:r>
    </w:p>
    <w:p>
      <w:pPr>
        <w:pStyle w:val="9"/>
        <w:overflowPunct w:val="0"/>
        <w:spacing w:before="0" w:beforeAutospacing="0" w:after="0" w:afterAutospacing="0" w:line="360" w:lineRule="auto"/>
        <w:ind w:firstLine="643" w:firstLineChars="200"/>
        <w:jc w:val="both"/>
        <w:rPr>
          <w:rFonts w:ascii="仿宋_GB2312" w:eastAsia="仿宋_GB2312"/>
          <w:kern w:val="2"/>
          <w:sz w:val="32"/>
          <w:szCs w:val="32"/>
        </w:rPr>
      </w:pPr>
      <w:r>
        <w:rPr>
          <w:rFonts w:hint="eastAsia" w:ascii="仿宋_GB2312" w:eastAsia="仿宋_GB2312"/>
          <w:b/>
          <w:bCs/>
          <w:kern w:val="2"/>
          <w:sz w:val="32"/>
          <w:szCs w:val="32"/>
        </w:rPr>
        <w:t>一是坚持更高标准，精准服务发展大局。</w:t>
      </w:r>
      <w:r>
        <w:rPr>
          <w:rFonts w:ascii="仿宋_GB2312" w:eastAsia="仿宋_GB2312"/>
          <w:kern w:val="2"/>
          <w:sz w:val="32"/>
          <w:szCs w:val="32"/>
        </w:rPr>
        <w:t>坚持贯彻总体国家安全观，坚决把维护壤塘社会大局稳定作为鲜明的工作主题，严惩危害国家安全、公共安全、人民群众生命财产安全犯罪，持续推进涉藏地区依法常态化治理。深入贯彻习近平生态文明思想，做优</w:t>
      </w:r>
      <w:r>
        <w:rPr>
          <w:rFonts w:hint="eastAsia" w:ascii="仿宋_GB2312" w:eastAsia="仿宋_GB2312"/>
          <w:kern w:val="2"/>
          <w:sz w:val="32"/>
          <w:szCs w:val="32"/>
        </w:rPr>
        <w:t>“</w:t>
      </w:r>
      <w:r>
        <w:rPr>
          <w:rFonts w:ascii="仿宋_GB2312" w:eastAsia="仿宋_GB2312"/>
          <w:kern w:val="2"/>
          <w:sz w:val="32"/>
          <w:szCs w:val="32"/>
        </w:rPr>
        <w:t>四圈四同</w:t>
      </w:r>
      <w:r>
        <w:rPr>
          <w:rFonts w:hint="eastAsia" w:ascii="仿宋_GB2312" w:eastAsia="仿宋_GB2312"/>
          <w:kern w:val="2"/>
          <w:sz w:val="32"/>
          <w:szCs w:val="32"/>
        </w:rPr>
        <w:t>”</w:t>
      </w:r>
      <w:r>
        <w:rPr>
          <w:rFonts w:ascii="仿宋_GB2312" w:eastAsia="仿宋_GB2312"/>
          <w:kern w:val="2"/>
          <w:sz w:val="32"/>
          <w:szCs w:val="32"/>
        </w:rPr>
        <w:t>审判工作品牌，坚持用最严格制度最严密法治保护生态环境。全面贯彻新发展理念，紧扣</w:t>
      </w:r>
      <w:r>
        <w:rPr>
          <w:rFonts w:hint="eastAsia" w:ascii="仿宋_GB2312" w:eastAsia="仿宋_GB2312"/>
          <w:kern w:val="2"/>
          <w:sz w:val="32"/>
          <w:szCs w:val="32"/>
        </w:rPr>
        <w:t>“</w:t>
      </w:r>
      <w:r>
        <w:rPr>
          <w:rFonts w:ascii="仿宋_GB2312" w:eastAsia="仿宋_GB2312"/>
          <w:kern w:val="2"/>
          <w:sz w:val="32"/>
          <w:szCs w:val="32"/>
        </w:rPr>
        <w:t>三县</w:t>
      </w:r>
      <w:r>
        <w:rPr>
          <w:rFonts w:hint="eastAsia" w:ascii="仿宋_GB2312" w:eastAsia="仿宋_GB2312"/>
          <w:kern w:val="2"/>
          <w:sz w:val="32"/>
          <w:szCs w:val="32"/>
        </w:rPr>
        <w:t>”</w:t>
      </w:r>
      <w:r>
        <w:rPr>
          <w:rFonts w:ascii="仿宋_GB2312" w:eastAsia="仿宋_GB2312"/>
          <w:kern w:val="2"/>
          <w:sz w:val="32"/>
          <w:szCs w:val="32"/>
        </w:rPr>
        <w:t>发展战略，积极服务</w:t>
      </w:r>
      <w:r>
        <w:rPr>
          <w:rFonts w:hint="eastAsia" w:ascii="仿宋_GB2312" w:eastAsia="仿宋_GB2312"/>
          <w:kern w:val="2"/>
          <w:sz w:val="32"/>
          <w:szCs w:val="32"/>
        </w:rPr>
        <w:t>“</w:t>
      </w:r>
      <w:r>
        <w:rPr>
          <w:rFonts w:ascii="仿宋_GB2312" w:eastAsia="仿宋_GB2312"/>
          <w:kern w:val="2"/>
          <w:sz w:val="32"/>
          <w:szCs w:val="32"/>
        </w:rPr>
        <w:t>一城三副</w:t>
      </w:r>
      <w:r>
        <w:rPr>
          <w:rFonts w:hint="eastAsia" w:ascii="仿宋_GB2312" w:eastAsia="仿宋_GB2312"/>
          <w:kern w:val="2"/>
          <w:sz w:val="32"/>
          <w:szCs w:val="32"/>
        </w:rPr>
        <w:t>”</w:t>
      </w:r>
      <w:r>
        <w:rPr>
          <w:rFonts w:ascii="仿宋_GB2312" w:eastAsia="仿宋_GB2312"/>
          <w:kern w:val="2"/>
          <w:sz w:val="32"/>
          <w:szCs w:val="32"/>
        </w:rPr>
        <w:t>城乡融合高质量发展，进一步强化府院联动，持续优化法治化营商环境，保障全县重点项目建设顺利推进，平等保护市场主体合法权益。深入开展</w:t>
      </w:r>
      <w:r>
        <w:rPr>
          <w:rFonts w:hint="eastAsia" w:ascii="仿宋_GB2312" w:eastAsia="仿宋_GB2312"/>
          <w:kern w:val="2"/>
          <w:sz w:val="32"/>
          <w:szCs w:val="32"/>
        </w:rPr>
        <w:t>“</w:t>
      </w:r>
      <w:r>
        <w:rPr>
          <w:rFonts w:ascii="仿宋_GB2312" w:eastAsia="仿宋_GB2312"/>
          <w:kern w:val="2"/>
          <w:sz w:val="32"/>
          <w:szCs w:val="32"/>
        </w:rPr>
        <w:t>两联一进</w:t>
      </w:r>
      <w:r>
        <w:rPr>
          <w:rFonts w:hint="eastAsia" w:ascii="仿宋_GB2312" w:eastAsia="仿宋_GB2312"/>
          <w:kern w:val="2"/>
          <w:sz w:val="32"/>
          <w:szCs w:val="32"/>
        </w:rPr>
        <w:t>”</w:t>
      </w:r>
      <w:r>
        <w:rPr>
          <w:rFonts w:ascii="仿宋_GB2312" w:eastAsia="仿宋_GB2312"/>
          <w:kern w:val="2"/>
          <w:sz w:val="32"/>
          <w:szCs w:val="32"/>
        </w:rPr>
        <w:t>群众工作全覆盖，充分发挥帮村部门、驻村工作队、联系干警作用，为乡村振兴战略营造良好法治环境。</w:t>
      </w:r>
    </w:p>
    <w:p>
      <w:pPr>
        <w:pStyle w:val="9"/>
        <w:overflowPunct w:val="0"/>
        <w:spacing w:before="0" w:beforeAutospacing="0" w:after="0" w:afterAutospacing="0" w:line="360" w:lineRule="auto"/>
        <w:ind w:firstLine="643" w:firstLineChars="200"/>
        <w:jc w:val="both"/>
        <w:rPr>
          <w:rFonts w:ascii="仿宋_GB2312" w:eastAsia="仿宋_GB2312"/>
          <w:kern w:val="2"/>
          <w:sz w:val="32"/>
          <w:szCs w:val="32"/>
        </w:rPr>
      </w:pPr>
      <w:r>
        <w:rPr>
          <w:rFonts w:hint="eastAsia" w:ascii="仿宋_GB2312" w:eastAsia="仿宋_GB2312"/>
          <w:b/>
          <w:bCs/>
          <w:kern w:val="2"/>
          <w:sz w:val="32"/>
          <w:szCs w:val="32"/>
        </w:rPr>
        <w:t>二是坚持更高效能，践行为民司法宗旨。</w:t>
      </w:r>
      <w:r>
        <w:rPr>
          <w:rFonts w:ascii="仿宋_GB2312" w:eastAsia="仿宋_GB2312"/>
          <w:kern w:val="2"/>
          <w:sz w:val="32"/>
          <w:szCs w:val="32"/>
        </w:rPr>
        <w:t>坚持以人民为中心的发展思想，树立科学审判理念，实现案件繁简分流、轻重分离、快慢分道，从源头上化解矛盾纠纷，全面提高审判质效。全面贯彻实施《民法典》，妥善审理婚姻家庭、抚养费、劳务报酬、人身损害赔偿、教育医疗等涉民生案件，引领社会价值、社会行为和社会规范。突出执行专项行动震慑力，稳步推动执行工作向</w:t>
      </w:r>
      <w:r>
        <w:rPr>
          <w:rFonts w:hint="eastAsia" w:ascii="仿宋_GB2312" w:eastAsia="仿宋_GB2312"/>
          <w:kern w:val="2"/>
          <w:sz w:val="32"/>
          <w:szCs w:val="32"/>
        </w:rPr>
        <w:t>“</w:t>
      </w:r>
      <w:r>
        <w:rPr>
          <w:rFonts w:ascii="仿宋_GB2312" w:eastAsia="仿宋_GB2312"/>
          <w:kern w:val="2"/>
          <w:sz w:val="32"/>
          <w:szCs w:val="32"/>
        </w:rPr>
        <w:t>切实解决执行难</w:t>
      </w:r>
      <w:r>
        <w:rPr>
          <w:rFonts w:hint="eastAsia" w:ascii="仿宋_GB2312" w:eastAsia="仿宋_GB2312"/>
          <w:kern w:val="2"/>
          <w:sz w:val="32"/>
          <w:szCs w:val="32"/>
        </w:rPr>
        <w:t>”</w:t>
      </w:r>
      <w:r>
        <w:rPr>
          <w:rFonts w:ascii="仿宋_GB2312" w:eastAsia="仿宋_GB2312"/>
          <w:kern w:val="2"/>
          <w:sz w:val="32"/>
          <w:szCs w:val="32"/>
        </w:rPr>
        <w:t>迈进，保护胜诉权益，助力社会诚信体系建设。纵深开展</w:t>
      </w:r>
      <w:r>
        <w:rPr>
          <w:rFonts w:hint="eastAsia" w:ascii="仿宋_GB2312" w:eastAsia="仿宋_GB2312"/>
          <w:kern w:val="2"/>
          <w:sz w:val="32"/>
          <w:szCs w:val="32"/>
        </w:rPr>
        <w:t>“</w:t>
      </w:r>
      <w:r>
        <w:rPr>
          <w:rFonts w:ascii="仿宋_GB2312" w:eastAsia="仿宋_GB2312"/>
          <w:kern w:val="2"/>
          <w:sz w:val="32"/>
          <w:szCs w:val="32"/>
        </w:rPr>
        <w:t>八五普法</w:t>
      </w:r>
      <w:r>
        <w:rPr>
          <w:rFonts w:hint="eastAsia" w:ascii="仿宋_GB2312" w:eastAsia="仿宋_GB2312"/>
          <w:kern w:val="2"/>
          <w:sz w:val="32"/>
          <w:szCs w:val="32"/>
        </w:rPr>
        <w:t>”</w:t>
      </w:r>
      <w:r>
        <w:rPr>
          <w:rFonts w:ascii="仿宋_GB2312" w:eastAsia="仿宋_GB2312"/>
          <w:kern w:val="2"/>
          <w:sz w:val="32"/>
          <w:szCs w:val="32"/>
        </w:rPr>
        <w:t>，深化人民法庭实质化运行，优化巡回审判快速解纷机制，坚持高效化解与法治宣传相结合，不断提升</w:t>
      </w:r>
      <w:r>
        <w:rPr>
          <w:rFonts w:hint="eastAsia" w:ascii="仿宋_GB2312" w:eastAsia="仿宋_GB2312"/>
          <w:kern w:val="2"/>
          <w:sz w:val="32"/>
          <w:szCs w:val="32"/>
        </w:rPr>
        <w:t>“</w:t>
      </w:r>
      <w:r>
        <w:rPr>
          <w:rFonts w:ascii="仿宋_GB2312" w:eastAsia="仿宋_GB2312"/>
          <w:kern w:val="2"/>
          <w:sz w:val="32"/>
          <w:szCs w:val="32"/>
        </w:rPr>
        <w:t>石榴籽</w:t>
      </w:r>
      <w:r>
        <w:rPr>
          <w:rFonts w:hint="eastAsia" w:ascii="仿宋_GB2312" w:eastAsia="仿宋_GB2312"/>
          <w:kern w:val="2"/>
          <w:sz w:val="32"/>
          <w:szCs w:val="32"/>
        </w:rPr>
        <w:t>”</w:t>
      </w:r>
      <w:r>
        <w:rPr>
          <w:rFonts w:ascii="仿宋_GB2312" w:eastAsia="仿宋_GB2312"/>
          <w:kern w:val="2"/>
          <w:sz w:val="32"/>
          <w:szCs w:val="32"/>
        </w:rPr>
        <w:t>调解室多元解纷实效，助力壤塘社会治理现代化。</w:t>
      </w:r>
    </w:p>
    <w:p>
      <w:pPr>
        <w:pStyle w:val="9"/>
        <w:overflowPunct w:val="0"/>
        <w:spacing w:before="0" w:beforeAutospacing="0" w:after="0" w:afterAutospacing="0" w:line="360" w:lineRule="auto"/>
        <w:ind w:firstLine="643" w:firstLineChars="200"/>
        <w:jc w:val="both"/>
        <w:rPr>
          <w:rFonts w:ascii="仿宋_GB2312" w:eastAsia="仿宋_GB2312"/>
          <w:kern w:val="2"/>
          <w:sz w:val="32"/>
          <w:szCs w:val="32"/>
        </w:rPr>
      </w:pPr>
      <w:r>
        <w:rPr>
          <w:rFonts w:hint="eastAsia" w:ascii="仿宋_GB2312" w:eastAsia="仿宋_GB2312"/>
          <w:b/>
          <w:bCs/>
          <w:kern w:val="2"/>
          <w:sz w:val="32"/>
          <w:szCs w:val="32"/>
        </w:rPr>
        <w:t>三是坚持更高水平，持续深化改革创新。</w:t>
      </w:r>
      <w:r>
        <w:rPr>
          <w:rFonts w:ascii="仿宋_GB2312" w:eastAsia="仿宋_GB2312"/>
          <w:kern w:val="2"/>
          <w:sz w:val="32"/>
          <w:szCs w:val="32"/>
        </w:rPr>
        <w:t>聚焦人民群众司法需求和司法体验，推进</w:t>
      </w:r>
      <w:r>
        <w:rPr>
          <w:rFonts w:hint="eastAsia" w:ascii="仿宋_GB2312" w:eastAsia="仿宋_GB2312"/>
          <w:kern w:val="2"/>
          <w:sz w:val="32"/>
          <w:szCs w:val="32"/>
        </w:rPr>
        <w:t>“</w:t>
      </w:r>
      <w:r>
        <w:rPr>
          <w:rFonts w:ascii="仿宋_GB2312" w:eastAsia="仿宋_GB2312"/>
          <w:kern w:val="2"/>
          <w:sz w:val="32"/>
          <w:szCs w:val="32"/>
        </w:rPr>
        <w:t>一站式</w:t>
      </w:r>
      <w:r>
        <w:rPr>
          <w:rFonts w:hint="eastAsia" w:ascii="仿宋_GB2312" w:eastAsia="仿宋_GB2312"/>
          <w:kern w:val="2"/>
          <w:sz w:val="32"/>
          <w:szCs w:val="32"/>
        </w:rPr>
        <w:t>”</w:t>
      </w:r>
      <w:r>
        <w:rPr>
          <w:rFonts w:ascii="仿宋_GB2312" w:eastAsia="仿宋_GB2312"/>
          <w:kern w:val="2"/>
          <w:sz w:val="32"/>
          <w:szCs w:val="32"/>
        </w:rPr>
        <w:t>诉讼服务，坚持非诉在前，多元解纷的治理模式，深化诉源治理、执源治理。进一步压实院庭长监管职责，强化司法权制约监督。纵深推进司法公开，让司法公开成为践行全过程人民民主的重要途径。</w:t>
      </w:r>
    </w:p>
    <w:p>
      <w:pPr>
        <w:pStyle w:val="9"/>
        <w:overflowPunct w:val="0"/>
        <w:spacing w:before="0" w:beforeAutospacing="0" w:after="0" w:afterAutospacing="0" w:line="360" w:lineRule="auto"/>
        <w:ind w:firstLine="643" w:firstLineChars="200"/>
        <w:jc w:val="both"/>
        <w:rPr>
          <w:rFonts w:ascii="仿宋_GB2312" w:eastAsia="仿宋_GB2312"/>
          <w:kern w:val="2"/>
          <w:sz w:val="32"/>
          <w:szCs w:val="32"/>
        </w:rPr>
      </w:pPr>
      <w:r>
        <w:rPr>
          <w:rFonts w:hint="eastAsia" w:ascii="仿宋_GB2312" w:eastAsia="仿宋_GB2312"/>
          <w:b/>
          <w:bCs/>
          <w:kern w:val="2"/>
          <w:sz w:val="32"/>
          <w:szCs w:val="32"/>
        </w:rPr>
        <w:t>四是坚持更高要求，着力锻造过硬队伍。</w:t>
      </w:r>
      <w:r>
        <w:rPr>
          <w:rFonts w:ascii="仿宋_GB2312" w:eastAsia="仿宋_GB2312"/>
          <w:kern w:val="2"/>
          <w:sz w:val="32"/>
          <w:szCs w:val="32"/>
        </w:rPr>
        <w:t>以党建带队建促审判，持续深化政治机关建设，深入推进党风廉政建设和反腐败工作，加强人才培优，提升队伍政治素养和业务能力。让广大干警在各种纷繁复杂甚至尖锐激烈的矛盾面前，敢于担当、敢于碰硬，不回避、不推卸，不徇私情、秉公处理，做定纷止争的行家里手，既解决案件的法结，又化解群众的心结，让法安天下、德润人心。</w:t>
      </w:r>
    </w:p>
    <w:p>
      <w:pPr>
        <w:pStyle w:val="12"/>
        <w:spacing w:line="360" w:lineRule="auto"/>
        <w:ind w:firstLine="640"/>
        <w:rPr>
          <w:rFonts w:ascii="黑体" w:eastAsia="黑体"/>
          <w:sz w:val="32"/>
          <w:szCs w:val="32"/>
        </w:rPr>
      </w:pPr>
      <w:r>
        <w:rPr>
          <w:rFonts w:hint="eastAsia" w:ascii="黑体" w:eastAsia="黑体"/>
          <w:sz w:val="32"/>
          <w:szCs w:val="32"/>
        </w:rPr>
        <w:t>二、部门预算单位构成</w:t>
      </w:r>
    </w:p>
    <w:p>
      <w:pPr>
        <w:pStyle w:val="9"/>
        <w:spacing w:before="0" w:beforeAutospacing="0" w:after="0" w:afterAutospacing="0" w:line="360" w:lineRule="auto"/>
        <w:ind w:firstLine="640" w:firstLineChars="200"/>
        <w:contextualSpacing/>
        <w:jc w:val="both"/>
        <w:rPr>
          <w:rFonts w:ascii="仿宋_GB2312" w:eastAsia="仿宋_GB2312"/>
          <w:sz w:val="32"/>
          <w:szCs w:val="32"/>
        </w:rPr>
      </w:pPr>
      <w:r>
        <w:rPr>
          <w:rFonts w:hint="eastAsia" w:ascii="仿宋_GB2312" w:eastAsia="仿宋_GB2312"/>
          <w:kern w:val="2"/>
          <w:sz w:val="32"/>
          <w:szCs w:val="32"/>
        </w:rPr>
        <w:t>壤塘县人民法院属一级预算单位，2024年财政</w:t>
      </w:r>
      <w:r>
        <w:rPr>
          <w:rFonts w:hint="eastAsia" w:ascii="仿宋_GB2312" w:eastAsia="仿宋_GB2312"/>
          <w:kern w:val="2"/>
          <w:sz w:val="32"/>
          <w:szCs w:val="32"/>
          <w:highlight w:val="none"/>
        </w:rPr>
        <w:t>预算供给人员共5</w:t>
      </w:r>
      <w:r>
        <w:rPr>
          <w:rFonts w:hint="eastAsia" w:ascii="仿宋_GB2312" w:eastAsia="仿宋_GB2312"/>
          <w:kern w:val="2"/>
          <w:sz w:val="32"/>
          <w:szCs w:val="32"/>
          <w:highlight w:val="none"/>
          <w:lang w:val="en-US" w:eastAsia="zh-CN"/>
        </w:rPr>
        <w:t>7</w:t>
      </w:r>
      <w:r>
        <w:rPr>
          <w:rFonts w:hint="eastAsia" w:ascii="仿宋_GB2312" w:eastAsia="仿宋_GB2312"/>
          <w:kern w:val="2"/>
          <w:sz w:val="32"/>
          <w:szCs w:val="32"/>
          <w:highlight w:val="none"/>
        </w:rPr>
        <w:t>人，供给车辆</w:t>
      </w:r>
      <w:r>
        <w:rPr>
          <w:rFonts w:hint="eastAsia" w:ascii="仿宋_GB2312" w:eastAsia="仿宋_GB2312"/>
          <w:kern w:val="2"/>
          <w:sz w:val="32"/>
          <w:szCs w:val="32"/>
          <w:highlight w:val="none"/>
          <w:lang w:val="en-US" w:eastAsia="zh-CN"/>
        </w:rPr>
        <w:t>7</w:t>
      </w:r>
      <w:r>
        <w:rPr>
          <w:rFonts w:hint="eastAsia" w:ascii="仿宋_GB2312" w:eastAsia="仿宋_GB2312"/>
          <w:kern w:val="2"/>
          <w:sz w:val="32"/>
          <w:szCs w:val="32"/>
          <w:highlight w:val="none"/>
        </w:rPr>
        <w:t>辆，无</w:t>
      </w:r>
      <w:r>
        <w:rPr>
          <w:rFonts w:hint="eastAsia" w:ascii="仿宋_GB2312" w:eastAsia="仿宋_GB2312"/>
          <w:kern w:val="2"/>
          <w:sz w:val="32"/>
          <w:szCs w:val="32"/>
        </w:rPr>
        <w:t>下属二级预算单位。</w:t>
      </w:r>
    </w:p>
    <w:p>
      <w:pPr>
        <w:pStyle w:val="12"/>
        <w:spacing w:line="360" w:lineRule="auto"/>
        <w:ind w:firstLine="640"/>
        <w:rPr>
          <w:rFonts w:ascii="黑体" w:eastAsia="黑体"/>
          <w:sz w:val="32"/>
          <w:szCs w:val="32"/>
        </w:rPr>
      </w:pPr>
      <w:r>
        <w:rPr>
          <w:rFonts w:hint="eastAsia" w:ascii="黑体" w:eastAsia="黑体"/>
          <w:sz w:val="32"/>
          <w:szCs w:val="32"/>
        </w:rPr>
        <w:t>三、收支预算情况说明</w:t>
      </w:r>
    </w:p>
    <w:p>
      <w:pPr>
        <w:spacing w:line="360" w:lineRule="auto"/>
        <w:ind w:firstLine="640" w:firstLineChars="200"/>
        <w:rPr>
          <w:rFonts w:ascii="仿宋_GB2312" w:eastAsia="仿宋_GB2312"/>
          <w:sz w:val="32"/>
          <w:szCs w:val="32"/>
          <w:highlight w:val="yellow"/>
        </w:rPr>
      </w:pPr>
      <w:r>
        <w:rPr>
          <w:rFonts w:hint="eastAsia" w:ascii="仿宋_GB2312" w:eastAsia="仿宋_GB2312"/>
          <w:sz w:val="32"/>
          <w:szCs w:val="32"/>
        </w:rPr>
        <w:t>按照综合预算的原则，壤塘县人民法院所有收入和支出均纳入部门预算管理。收入包括：一般公共预算拨款收入934.55万元；支出包括：公共安全支出653.99万元，社会保障和就业支出155.65万元，卫生健康支出48.86万元，住房保障支出76.05万元。壤塘县人民法院2023年收支总预算934.55万元，比2023年收支预算总数减少278.53万元，主要原因：单位人员减少。</w:t>
      </w:r>
    </w:p>
    <w:p>
      <w:pPr>
        <w:spacing w:line="360" w:lineRule="auto"/>
        <w:ind w:firstLine="640" w:firstLineChars="200"/>
        <w:rPr>
          <w:rFonts w:ascii="楷体" w:eastAsia="楷体"/>
          <w:sz w:val="32"/>
          <w:szCs w:val="32"/>
        </w:rPr>
      </w:pPr>
      <w:r>
        <w:rPr>
          <w:rFonts w:hint="eastAsia" w:ascii="楷体" w:eastAsia="楷体"/>
          <w:sz w:val="32"/>
          <w:szCs w:val="32"/>
        </w:rPr>
        <w:t>（一）收入预算情况</w:t>
      </w:r>
    </w:p>
    <w:p>
      <w:pPr>
        <w:pStyle w:val="2"/>
        <w:spacing w:line="360" w:lineRule="auto"/>
        <w:ind w:left="0" w:leftChars="0" w:firstLine="640" w:firstLineChars="200"/>
        <w:rPr>
          <w:rFonts w:ascii="仿宋_GB2312" w:eastAsia="仿宋_GB2312"/>
          <w:sz w:val="32"/>
          <w:szCs w:val="32"/>
        </w:rPr>
      </w:pPr>
      <w:r>
        <w:rPr>
          <w:rFonts w:hint="eastAsia" w:ascii="仿宋_GB2312" w:eastAsia="仿宋_GB2312"/>
          <w:sz w:val="32"/>
          <w:szCs w:val="32"/>
        </w:rPr>
        <w:t>壤塘县人民法院2024年收入预算934.55万元，其中：上年结转0万元，占0%；一般公共预算拨款收入934.55万元，占100.00%；事业收入0万元，占0%；其他收入0万元，占0%。</w:t>
      </w:r>
    </w:p>
    <w:p>
      <w:pPr>
        <w:tabs>
          <w:tab w:val="center" w:pos="4153"/>
        </w:tabs>
        <w:spacing w:line="360" w:lineRule="auto"/>
        <w:ind w:firstLine="640" w:firstLineChars="200"/>
        <w:jc w:val="left"/>
        <w:rPr>
          <w:rFonts w:ascii="楷体" w:eastAsia="楷体" w:cs="仿宋_GB2312"/>
          <w:sz w:val="32"/>
          <w:szCs w:val="32"/>
        </w:rPr>
      </w:pPr>
      <w:r>
        <w:rPr>
          <w:rFonts w:hint="eastAsia" w:ascii="楷体" w:eastAsia="楷体" w:cs="仿宋_GB2312"/>
          <w:sz w:val="32"/>
          <w:szCs w:val="32"/>
        </w:rPr>
        <w:t>（二）支出预算情况</w:t>
      </w:r>
    </w:p>
    <w:p>
      <w:pPr>
        <w:pStyle w:val="2"/>
        <w:spacing w:line="360" w:lineRule="auto"/>
        <w:ind w:left="0" w:leftChars="0" w:firstLine="640" w:firstLineChars="200"/>
      </w:pPr>
      <w:r>
        <w:rPr>
          <w:rFonts w:hint="eastAsia" w:ascii="仿宋" w:eastAsia="仿宋" w:cs="仿宋"/>
          <w:kern w:val="0"/>
          <w:sz w:val="32"/>
          <w:szCs w:val="32"/>
        </w:rPr>
        <w:t>壤塘县人民法院2024年支出预算</w:t>
      </w:r>
      <w:r>
        <w:rPr>
          <w:rFonts w:hint="eastAsia" w:ascii="仿宋_GB2312" w:eastAsia="仿宋_GB2312"/>
          <w:sz w:val="32"/>
          <w:szCs w:val="32"/>
        </w:rPr>
        <w:t>934.55</w:t>
      </w:r>
      <w:r>
        <w:rPr>
          <w:rFonts w:hint="eastAsia" w:ascii="仿宋" w:eastAsia="仿宋" w:cs="仿宋"/>
          <w:kern w:val="0"/>
          <w:sz w:val="32"/>
          <w:szCs w:val="32"/>
        </w:rPr>
        <w:t>万元，其中：基本支出878.69万元，占94.02%；项目支出55.86万元，占5.98%</w:t>
      </w:r>
      <w:r>
        <w:rPr>
          <w:rFonts w:hint="eastAsia" w:ascii="仿宋" w:eastAsia="仿宋" w:cs="仿宋"/>
          <w:sz w:val="32"/>
          <w:szCs w:val="32"/>
        </w:rPr>
        <w:t>。</w:t>
      </w:r>
    </w:p>
    <w:p>
      <w:pPr>
        <w:spacing w:line="360" w:lineRule="auto"/>
        <w:ind w:firstLine="640" w:firstLineChars="200"/>
        <w:rPr>
          <w:rFonts w:ascii="ˎ̥" w:hAnsi="ˎ̥" w:cs="宋体"/>
          <w:sz w:val="16"/>
        </w:rPr>
      </w:pPr>
      <w:r>
        <w:rPr>
          <w:rFonts w:hint="eastAsia" w:ascii="黑体" w:eastAsia="黑体"/>
          <w:sz w:val="32"/>
          <w:szCs w:val="32"/>
        </w:rPr>
        <w:t>四、财政拨款收支预算情况说明</w:t>
      </w:r>
    </w:p>
    <w:p>
      <w:pPr>
        <w:spacing w:line="360" w:lineRule="auto"/>
        <w:ind w:firstLine="640" w:firstLineChars="200"/>
        <w:rPr>
          <w:rFonts w:ascii="仿宋_GB2312" w:eastAsia="仿宋_GB2312"/>
          <w:sz w:val="32"/>
          <w:szCs w:val="32"/>
          <w:highlight w:val="yellow"/>
        </w:rPr>
      </w:pPr>
      <w:r>
        <w:rPr>
          <w:rFonts w:hint="eastAsia" w:ascii="仿宋_GB2312" w:eastAsia="仿宋_GB2312"/>
          <w:sz w:val="32"/>
          <w:szCs w:val="32"/>
        </w:rPr>
        <w:t>壤塘县人民法院202</w:t>
      </w:r>
      <w:r>
        <w:rPr>
          <w:rFonts w:ascii="仿宋_GB2312" w:eastAsia="仿宋_GB2312"/>
          <w:sz w:val="32"/>
          <w:szCs w:val="32"/>
        </w:rPr>
        <w:t>4</w:t>
      </w:r>
      <w:r>
        <w:rPr>
          <w:rFonts w:hint="eastAsia" w:ascii="仿宋_GB2312" w:eastAsia="仿宋_GB2312"/>
          <w:sz w:val="32"/>
          <w:szCs w:val="32"/>
        </w:rPr>
        <w:t>年财政拨款收支总预算934.55万元，比202</w:t>
      </w:r>
      <w:r>
        <w:rPr>
          <w:rFonts w:ascii="仿宋_GB2312" w:eastAsia="仿宋_GB2312"/>
          <w:sz w:val="32"/>
          <w:szCs w:val="32"/>
        </w:rPr>
        <w:t>3</w:t>
      </w:r>
      <w:r>
        <w:rPr>
          <w:rFonts w:hint="eastAsia" w:ascii="仿宋_GB2312" w:eastAsia="仿宋_GB2312"/>
          <w:sz w:val="32"/>
          <w:szCs w:val="32"/>
        </w:rPr>
        <w:t>年财政拨款收支总预算减少278.53万元，主要原因：单位人员减少。</w:t>
      </w:r>
    </w:p>
    <w:p>
      <w:pPr>
        <w:spacing w:line="360" w:lineRule="auto"/>
        <w:ind w:firstLine="640" w:firstLineChars="200"/>
        <w:rPr>
          <w:rFonts w:ascii="仿宋_GB2312" w:eastAsia="仿宋_GB2312"/>
          <w:sz w:val="32"/>
          <w:szCs w:val="32"/>
        </w:rPr>
      </w:pPr>
      <w:r>
        <w:rPr>
          <w:rFonts w:hint="eastAsia" w:ascii="仿宋_GB2312" w:eastAsia="仿宋_GB2312" w:cs="仿宋_GB2312"/>
          <w:sz w:val="32"/>
          <w:szCs w:val="32"/>
        </w:rPr>
        <w:t>收入包括：</w:t>
      </w:r>
      <w:r>
        <w:rPr>
          <w:rFonts w:hint="eastAsia" w:ascii="仿宋_GB2312" w:eastAsia="仿宋_GB2312"/>
          <w:sz w:val="32"/>
          <w:szCs w:val="32"/>
        </w:rPr>
        <w:t>一般公共预算拨款收入934.55万元；支出包括：公共安全支出653.99万元，社会保障和就业支出155.65万元，卫生健康支出48.86万元，住房保障支出76.05万元。</w:t>
      </w:r>
    </w:p>
    <w:p>
      <w:pPr>
        <w:spacing w:line="360" w:lineRule="auto"/>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3"/>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pPr>
        <w:pStyle w:val="13"/>
        <w:spacing w:before="0" w:line="360" w:lineRule="auto"/>
        <w:ind w:firstLine="640" w:firstLineChars="200"/>
        <w:rPr>
          <w:rFonts w:cs="仿宋_GB2312"/>
          <w:kern w:val="2"/>
          <w:sz w:val="32"/>
          <w:szCs w:val="32"/>
          <w:highlight w:val="yellow"/>
        </w:rPr>
      </w:pPr>
      <w:r>
        <w:rPr>
          <w:rFonts w:hint="eastAsia"/>
          <w:sz w:val="32"/>
          <w:szCs w:val="32"/>
        </w:rPr>
        <w:t>壤塘县人民法院</w:t>
      </w:r>
      <w:r>
        <w:rPr>
          <w:rFonts w:hint="eastAsia" w:cs="宋体"/>
          <w:sz w:val="32"/>
          <w:szCs w:val="32"/>
        </w:rPr>
        <w:t>202</w:t>
      </w:r>
      <w:r>
        <w:rPr>
          <w:rFonts w:cs="宋体"/>
          <w:sz w:val="32"/>
          <w:szCs w:val="32"/>
        </w:rPr>
        <w:t>4</w:t>
      </w:r>
      <w:r>
        <w:rPr>
          <w:rFonts w:hint="eastAsia" w:cs="宋体"/>
          <w:sz w:val="32"/>
          <w:szCs w:val="32"/>
        </w:rPr>
        <w:t>年一般公共预算当年拨款</w:t>
      </w:r>
      <w:r>
        <w:rPr>
          <w:rFonts w:hint="eastAsia"/>
          <w:kern w:val="2"/>
          <w:sz w:val="32"/>
          <w:szCs w:val="32"/>
        </w:rPr>
        <w:t>934.55</w:t>
      </w:r>
      <w:r>
        <w:rPr>
          <w:rFonts w:hint="eastAsia" w:cs="宋体"/>
          <w:sz w:val="32"/>
          <w:szCs w:val="32"/>
        </w:rPr>
        <w:t>万元，比202</w:t>
      </w:r>
      <w:r>
        <w:rPr>
          <w:rFonts w:cs="宋体"/>
          <w:sz w:val="32"/>
          <w:szCs w:val="32"/>
        </w:rPr>
        <w:t>3</w:t>
      </w:r>
      <w:r>
        <w:rPr>
          <w:rFonts w:hint="eastAsia" w:cs="宋体"/>
          <w:sz w:val="32"/>
          <w:szCs w:val="32"/>
        </w:rPr>
        <w:t>年预算数</w:t>
      </w:r>
      <w:r>
        <w:rPr>
          <w:rFonts w:hint="eastAsia"/>
          <w:sz w:val="32"/>
          <w:szCs w:val="32"/>
        </w:rPr>
        <w:t>减少</w:t>
      </w:r>
      <w:r>
        <w:rPr>
          <w:rFonts w:hint="eastAsia"/>
          <w:kern w:val="2"/>
          <w:sz w:val="32"/>
          <w:szCs w:val="32"/>
        </w:rPr>
        <w:t>278.53</w:t>
      </w:r>
      <w:r>
        <w:rPr>
          <w:rFonts w:hint="eastAsia" w:cs="宋体"/>
          <w:sz w:val="32"/>
          <w:szCs w:val="32"/>
        </w:rPr>
        <w:t>万元，</w:t>
      </w:r>
      <w:r>
        <w:rPr>
          <w:rFonts w:hint="eastAsia"/>
          <w:kern w:val="2"/>
          <w:sz w:val="32"/>
          <w:szCs w:val="32"/>
        </w:rPr>
        <w:t>主要原因：</w:t>
      </w:r>
      <w:r>
        <w:rPr>
          <w:rFonts w:hint="eastAsia"/>
          <w:sz w:val="32"/>
          <w:szCs w:val="32"/>
        </w:rPr>
        <w:t>单位人员减少。</w:t>
      </w:r>
    </w:p>
    <w:p>
      <w:pPr>
        <w:pStyle w:val="13"/>
        <w:numPr>
          <w:ilvl w:val="0"/>
          <w:numId w:val="1"/>
        </w:numPr>
        <w:spacing w:before="0" w:line="360" w:lineRule="auto"/>
        <w:ind w:firstLine="640" w:firstLineChars="200"/>
        <w:rPr>
          <w:rFonts w:ascii="楷体" w:eastAsia="楷体" w:cs="宋体"/>
          <w:sz w:val="32"/>
          <w:szCs w:val="32"/>
        </w:rPr>
      </w:pPr>
      <w:r>
        <w:rPr>
          <w:rFonts w:hint="eastAsia" w:ascii="楷体" w:eastAsia="楷体" w:cs="仿宋_GB2312"/>
          <w:kern w:val="2"/>
          <w:sz w:val="32"/>
          <w:szCs w:val="32"/>
        </w:rPr>
        <w:t>一般公</w:t>
      </w:r>
      <w:r>
        <w:rPr>
          <w:rFonts w:hint="eastAsia" w:ascii="楷体" w:eastAsia="楷体" w:cs="宋体"/>
          <w:sz w:val="32"/>
          <w:szCs w:val="32"/>
        </w:rPr>
        <w:t>共预算当年拨款结构情况</w:t>
      </w:r>
    </w:p>
    <w:p>
      <w:pPr>
        <w:pStyle w:val="13"/>
        <w:spacing w:before="0" w:line="360" w:lineRule="auto"/>
        <w:ind w:firstLine="640" w:firstLineChars="200"/>
        <w:rPr>
          <w:rFonts w:cs="仿宋_GB2312"/>
          <w:kern w:val="2"/>
          <w:sz w:val="32"/>
          <w:szCs w:val="32"/>
        </w:rPr>
      </w:pPr>
      <w:r>
        <w:rPr>
          <w:rFonts w:hint="eastAsia"/>
          <w:sz w:val="32"/>
          <w:szCs w:val="32"/>
        </w:rPr>
        <w:t>公共安全支出653.99万元，占69.98%；社会保障和就业支出</w:t>
      </w:r>
      <w:r>
        <w:rPr>
          <w:rFonts w:hint="eastAsia"/>
          <w:kern w:val="2"/>
          <w:sz w:val="32"/>
          <w:szCs w:val="32"/>
        </w:rPr>
        <w:t>155.65万元，</w:t>
      </w:r>
      <w:r>
        <w:rPr>
          <w:rFonts w:hint="eastAsia" w:cs="宋体"/>
          <w:sz w:val="32"/>
          <w:szCs w:val="32"/>
        </w:rPr>
        <w:t>占16.66%；</w:t>
      </w:r>
      <w:r>
        <w:rPr>
          <w:rFonts w:hint="eastAsia"/>
          <w:kern w:val="2"/>
          <w:sz w:val="32"/>
          <w:szCs w:val="32"/>
        </w:rPr>
        <w:t>卫生健康支出48.86万元，占5.23%；住房保障支出76.05万元</w:t>
      </w:r>
      <w:r>
        <w:rPr>
          <w:rFonts w:hint="eastAsia" w:cs="宋体"/>
          <w:sz w:val="32"/>
          <w:szCs w:val="32"/>
        </w:rPr>
        <w:t>，占8.14%。</w:t>
      </w:r>
    </w:p>
    <w:p>
      <w:pPr>
        <w:pStyle w:val="13"/>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pPr>
        <w:pStyle w:val="9"/>
        <w:wordWrap w:val="0"/>
        <w:spacing w:before="0" w:beforeAutospacing="0" w:after="0" w:afterAutospacing="0" w:line="360" w:lineRule="auto"/>
        <w:ind w:firstLine="640" w:firstLineChars="200"/>
        <w:contextualSpacing/>
        <w:jc w:val="both"/>
        <w:rPr>
          <w:rFonts w:ascii="仿宋" w:eastAsia="仿宋" w:cs="仿宋"/>
          <w:sz w:val="32"/>
          <w:szCs w:val="32"/>
        </w:rPr>
      </w:pPr>
      <w:r>
        <w:rPr>
          <w:rFonts w:hint="eastAsia" w:ascii="仿宋" w:eastAsia="仿宋" w:cs="仿宋"/>
          <w:sz w:val="32"/>
          <w:szCs w:val="32"/>
        </w:rPr>
        <w:t>1.公共安全支出（204）法院（05）行政运行（01）2024年预算数为653.99万元，主要用于：机关工资福利支出、机关商品和服务支出及对个人和家庭的补助、设备购置等。</w:t>
      </w:r>
    </w:p>
    <w:p>
      <w:pPr>
        <w:pStyle w:val="9"/>
        <w:wordWrap w:val="0"/>
        <w:spacing w:before="0" w:beforeAutospacing="0" w:after="0" w:afterAutospacing="0" w:line="360" w:lineRule="auto"/>
        <w:ind w:firstLine="640" w:firstLineChars="200"/>
        <w:contextualSpacing/>
        <w:jc w:val="both"/>
        <w:rPr>
          <w:rFonts w:ascii="仿宋" w:eastAsia="仿宋" w:cs="仿宋"/>
          <w:sz w:val="32"/>
          <w:szCs w:val="32"/>
        </w:rPr>
      </w:pPr>
      <w:r>
        <w:rPr>
          <w:rFonts w:hint="eastAsia" w:ascii="仿宋" w:eastAsia="仿宋" w:cs="仿宋"/>
          <w:sz w:val="32"/>
          <w:szCs w:val="32"/>
        </w:rPr>
        <w:t>2.社会保障和就业支出（208）行政事业单位养老支出（05）机关事业单位基本养老保险缴费支出（05）2024年预算数为103.77万元，主要用于：缴纳2024年度职工养老保险。</w:t>
      </w:r>
    </w:p>
    <w:p>
      <w:pPr>
        <w:pStyle w:val="9"/>
        <w:wordWrap w:val="0"/>
        <w:spacing w:before="0" w:beforeAutospacing="0" w:after="0" w:afterAutospacing="0" w:line="360" w:lineRule="auto"/>
        <w:ind w:firstLine="640" w:firstLineChars="200"/>
        <w:contextualSpacing/>
        <w:jc w:val="both"/>
        <w:rPr>
          <w:rFonts w:ascii="仿宋" w:eastAsia="仿宋" w:cs="仿宋"/>
          <w:sz w:val="32"/>
          <w:szCs w:val="32"/>
        </w:rPr>
      </w:pPr>
      <w:r>
        <w:rPr>
          <w:rFonts w:hint="eastAsia" w:ascii="仿宋" w:eastAsia="仿宋" w:cs="仿宋"/>
          <w:sz w:val="32"/>
          <w:szCs w:val="32"/>
        </w:rPr>
        <w:t>3.社会保障和就业支出（208）行政事业单位养老支出（05）机关事业单位基本职业年金缴费支出（06）2024年预算数为51.88万元，主要用于：缴纳2024年度职工职业年金。</w:t>
      </w:r>
    </w:p>
    <w:p>
      <w:pPr>
        <w:pStyle w:val="9"/>
        <w:wordWrap w:val="0"/>
        <w:spacing w:before="0" w:beforeAutospacing="0" w:after="0" w:afterAutospacing="0" w:line="360" w:lineRule="auto"/>
        <w:ind w:firstLine="640" w:firstLineChars="200"/>
        <w:contextualSpacing/>
        <w:jc w:val="both"/>
        <w:rPr>
          <w:rFonts w:ascii="仿宋" w:eastAsia="仿宋" w:cs="仿宋"/>
          <w:sz w:val="32"/>
          <w:szCs w:val="32"/>
        </w:rPr>
      </w:pPr>
      <w:r>
        <w:rPr>
          <w:rFonts w:hint="eastAsia" w:ascii="仿宋" w:eastAsia="仿宋" w:cs="仿宋"/>
          <w:sz w:val="32"/>
          <w:szCs w:val="32"/>
        </w:rPr>
        <w:t>4.卫生健康支出（210）行政事业单位医疗（11）行政单位医疗（01）2024年预算数为45.40万元，主要用于：缴纳2024年度职工基本医疗保险。</w:t>
      </w:r>
    </w:p>
    <w:p>
      <w:pPr>
        <w:pStyle w:val="9"/>
        <w:wordWrap w:val="0"/>
        <w:spacing w:before="0" w:beforeAutospacing="0" w:after="0" w:afterAutospacing="0" w:line="360" w:lineRule="auto"/>
        <w:ind w:firstLine="640" w:firstLineChars="200"/>
        <w:contextualSpacing/>
        <w:jc w:val="both"/>
        <w:rPr>
          <w:rFonts w:ascii="仿宋" w:eastAsia="仿宋" w:cs="仿宋"/>
          <w:sz w:val="32"/>
          <w:szCs w:val="32"/>
        </w:rPr>
      </w:pPr>
      <w:r>
        <w:rPr>
          <w:rFonts w:hint="eastAsia" w:ascii="仿宋" w:eastAsia="仿宋" w:cs="仿宋"/>
          <w:sz w:val="32"/>
          <w:szCs w:val="32"/>
        </w:rPr>
        <w:t>5.卫生健康支出（210）行政事业单位医疗（11）公务员医疗补助（03）2024年预算数为3.46万元，主要用于：缴纳2024年度职工公务员医疗补助。</w:t>
      </w:r>
    </w:p>
    <w:p>
      <w:pPr>
        <w:pStyle w:val="13"/>
        <w:spacing w:before="0" w:line="360" w:lineRule="auto"/>
        <w:ind w:firstLine="640" w:firstLineChars="200"/>
        <w:rPr>
          <w:rFonts w:cs="仿宋_GB2312"/>
          <w:kern w:val="2"/>
          <w:sz w:val="32"/>
          <w:szCs w:val="32"/>
        </w:rPr>
      </w:pPr>
      <w:r>
        <w:rPr>
          <w:rFonts w:hint="eastAsia" w:ascii="仿宋" w:eastAsia="仿宋" w:cs="仿宋"/>
          <w:sz w:val="32"/>
          <w:szCs w:val="32"/>
        </w:rPr>
        <w:t>6.住房保障支出（221）住房改革支出（02）住房公积金（01）2024年预算数为76.05万元，主要用于：缴纳2024年度职工住房公积金。</w:t>
      </w:r>
    </w:p>
    <w:p>
      <w:pPr>
        <w:pStyle w:val="13"/>
        <w:spacing w:before="0" w:line="360" w:lineRule="auto"/>
        <w:ind w:firstLine="640" w:firstLineChars="200"/>
        <w:rPr>
          <w:rFonts w:ascii="黑体" w:eastAsia="黑体"/>
          <w:sz w:val="32"/>
          <w:szCs w:val="32"/>
        </w:rPr>
      </w:pPr>
      <w:r>
        <w:rPr>
          <w:rFonts w:hint="eastAsia" w:ascii="黑体" w:eastAsia="黑体"/>
          <w:sz w:val="32"/>
          <w:szCs w:val="32"/>
        </w:rPr>
        <w:t>六、一般公共预算基本支出情况说明</w:t>
      </w:r>
    </w:p>
    <w:p>
      <w:pPr>
        <w:pStyle w:val="13"/>
        <w:spacing w:before="0" w:line="360" w:lineRule="auto"/>
        <w:ind w:firstLine="640" w:firstLineChars="200"/>
        <w:rPr>
          <w:rFonts w:cs="仿宋_GB2312"/>
          <w:kern w:val="2"/>
          <w:sz w:val="32"/>
          <w:szCs w:val="32"/>
        </w:rPr>
      </w:pPr>
      <w:r>
        <w:rPr>
          <w:rFonts w:hint="eastAsia"/>
          <w:sz w:val="32"/>
          <w:szCs w:val="32"/>
        </w:rPr>
        <w:t>壤塘县人民法院</w:t>
      </w:r>
      <w:r>
        <w:rPr>
          <w:rFonts w:hint="eastAsia" w:cs="仿宋_GB2312"/>
          <w:kern w:val="2"/>
          <w:sz w:val="32"/>
          <w:szCs w:val="32"/>
        </w:rPr>
        <w:t>202</w:t>
      </w:r>
      <w:r>
        <w:rPr>
          <w:rFonts w:cs="仿宋_GB2312"/>
          <w:kern w:val="2"/>
          <w:sz w:val="32"/>
          <w:szCs w:val="32"/>
        </w:rPr>
        <w:t>4</w:t>
      </w:r>
      <w:r>
        <w:rPr>
          <w:rFonts w:hint="eastAsia" w:cs="仿宋_GB2312"/>
          <w:kern w:val="2"/>
          <w:sz w:val="32"/>
          <w:szCs w:val="32"/>
        </w:rPr>
        <w:t>年一般公共预算基本支出878.69万元，其中：人员经费755.46万元，主要包括：基本工资、津贴补贴、奖金、机关事业单位基本养老保险缴费、职业年金缴费、职工基本医疗保险缴费、公务员医疗补助缴费、其他社会保障缴费、住房公积金、其他工资福利支出、其他商品和服务支出、生活补助。</w:t>
      </w:r>
    </w:p>
    <w:p>
      <w:pPr>
        <w:pStyle w:val="13"/>
        <w:spacing w:before="0" w:line="360" w:lineRule="auto"/>
        <w:ind w:firstLine="640" w:firstLineChars="200"/>
        <w:rPr>
          <w:rFonts w:cs="仿宋_GB2312"/>
          <w:kern w:val="2"/>
          <w:sz w:val="32"/>
          <w:szCs w:val="32"/>
        </w:rPr>
      </w:pPr>
      <w:r>
        <w:rPr>
          <w:rFonts w:hint="eastAsia" w:cs="仿宋_GB2312"/>
          <w:kern w:val="2"/>
          <w:sz w:val="32"/>
          <w:szCs w:val="32"/>
        </w:rPr>
        <w:t>公用经费123.23万元，主要包括：办公费、水费、邮电费、取暖费、差旅费、维修（护）费、培训费、公务接待费、福利费、公务用车运行维护费、党组织活动经费、其他商品和服务支出。</w:t>
      </w:r>
    </w:p>
    <w:p>
      <w:pPr>
        <w:pStyle w:val="13"/>
        <w:spacing w:before="0" w:line="360" w:lineRule="auto"/>
        <w:ind w:firstLine="640" w:firstLineChars="200"/>
        <w:rPr>
          <w:rFonts w:ascii="黑体" w:eastAsia="黑体"/>
          <w:sz w:val="32"/>
          <w:szCs w:val="32"/>
        </w:rPr>
      </w:pPr>
      <w:r>
        <w:rPr>
          <w:rFonts w:hint="eastAsia" w:ascii="黑体" w:eastAsia="黑体"/>
          <w:sz w:val="32"/>
          <w:szCs w:val="32"/>
        </w:rPr>
        <w:t>七、“三公”经费财政拨款预算安排情况说明</w:t>
      </w:r>
    </w:p>
    <w:p>
      <w:pPr>
        <w:pStyle w:val="13"/>
        <w:spacing w:before="0" w:line="360" w:lineRule="auto"/>
        <w:ind w:firstLine="640" w:firstLineChars="200"/>
        <w:rPr>
          <w:rFonts w:cs="仿宋_GB2312"/>
          <w:kern w:val="2"/>
          <w:sz w:val="32"/>
          <w:szCs w:val="32"/>
        </w:rPr>
      </w:pPr>
      <w:r>
        <w:rPr>
          <w:rFonts w:hint="eastAsia"/>
          <w:sz w:val="32"/>
          <w:szCs w:val="32"/>
        </w:rPr>
        <w:t>壤塘县人民法院</w:t>
      </w:r>
      <w:r>
        <w:rPr>
          <w:rFonts w:hint="eastAsia" w:cs="仿宋_GB2312"/>
          <w:kern w:val="2"/>
          <w:sz w:val="32"/>
          <w:szCs w:val="32"/>
        </w:rPr>
        <w:t>202</w:t>
      </w:r>
      <w:r>
        <w:rPr>
          <w:rFonts w:cs="仿宋_GB2312"/>
          <w:kern w:val="2"/>
          <w:sz w:val="32"/>
          <w:szCs w:val="32"/>
        </w:rPr>
        <w:t>4</w:t>
      </w:r>
      <w:r>
        <w:rPr>
          <w:rFonts w:hint="eastAsia" w:cs="仿宋_GB2312"/>
          <w:kern w:val="2"/>
          <w:sz w:val="32"/>
          <w:szCs w:val="32"/>
        </w:rPr>
        <w:t>年“三公”经费财政拨款预算数24.22万元，其中：因公出国（境）经费0万元，公务接待费1.72万元，公务用车购置及运行维护费22.50万元。</w:t>
      </w:r>
    </w:p>
    <w:p>
      <w:pPr>
        <w:pStyle w:val="13"/>
        <w:spacing w:before="0" w:line="360" w:lineRule="auto"/>
        <w:ind w:firstLine="640" w:firstLineChars="200"/>
        <w:rPr>
          <w:rFonts w:cs="仿宋_GB2312"/>
          <w:kern w:val="2"/>
          <w:sz w:val="32"/>
          <w:szCs w:val="32"/>
        </w:rPr>
      </w:pPr>
      <w:r>
        <w:rPr>
          <w:rFonts w:hint="eastAsia" w:cs="仿宋_GB2312"/>
          <w:kern w:val="2"/>
          <w:sz w:val="32"/>
          <w:szCs w:val="32"/>
        </w:rPr>
        <w:t>（一）202</w:t>
      </w:r>
      <w:r>
        <w:rPr>
          <w:rFonts w:cs="仿宋_GB2312"/>
          <w:kern w:val="2"/>
          <w:sz w:val="32"/>
          <w:szCs w:val="32"/>
        </w:rPr>
        <w:t>4</w:t>
      </w:r>
      <w:r>
        <w:rPr>
          <w:rFonts w:hint="eastAsia" w:cs="仿宋_GB2312"/>
          <w:kern w:val="2"/>
          <w:sz w:val="32"/>
          <w:szCs w:val="32"/>
        </w:rPr>
        <w:t>年因公出国（境）经费0万元。</w:t>
      </w:r>
      <w:r>
        <w:rPr>
          <w:rFonts w:hint="eastAsia" w:ascii="仿宋" w:eastAsia="仿宋" w:cs="仿宋"/>
          <w:sz w:val="32"/>
          <w:szCs w:val="32"/>
        </w:rPr>
        <w:t>较2023年预算经费0万元增长0%，主要原因是：无因公出国。</w:t>
      </w:r>
    </w:p>
    <w:p>
      <w:pPr>
        <w:pStyle w:val="13"/>
        <w:spacing w:before="0" w:line="360" w:lineRule="auto"/>
        <w:ind w:firstLine="640" w:firstLineChars="200"/>
        <w:rPr>
          <w:rFonts w:hint="eastAsia" w:eastAsia="仿宋_GB2312" w:cs="仿宋_GB2312"/>
          <w:color w:val="000000"/>
          <w:kern w:val="2"/>
          <w:sz w:val="32"/>
          <w:szCs w:val="32"/>
          <w:highlight w:val="none"/>
          <w:lang w:val="en-US" w:eastAsia="zh-CN"/>
        </w:rPr>
      </w:pPr>
      <w:r>
        <w:rPr>
          <w:rFonts w:hint="eastAsia" w:cs="仿宋_GB2312"/>
          <w:kern w:val="2"/>
          <w:sz w:val="32"/>
          <w:szCs w:val="32"/>
        </w:rPr>
        <w:t>（二）</w:t>
      </w:r>
      <w:r>
        <w:rPr>
          <w:rFonts w:hint="eastAsia" w:cs="仿宋_GB2312"/>
          <w:color w:val="000000"/>
          <w:kern w:val="2"/>
          <w:sz w:val="32"/>
          <w:szCs w:val="32"/>
        </w:rPr>
        <w:t>202</w:t>
      </w:r>
      <w:r>
        <w:rPr>
          <w:rFonts w:cs="仿宋_GB2312"/>
          <w:color w:val="000000"/>
          <w:kern w:val="2"/>
          <w:sz w:val="32"/>
          <w:szCs w:val="32"/>
        </w:rPr>
        <w:t>4</w:t>
      </w:r>
      <w:r>
        <w:rPr>
          <w:rFonts w:hint="eastAsia" w:cs="仿宋_GB2312"/>
          <w:color w:val="000000"/>
          <w:kern w:val="2"/>
          <w:sz w:val="32"/>
          <w:szCs w:val="32"/>
        </w:rPr>
        <w:t>年公务接待经费</w:t>
      </w:r>
      <w:r>
        <w:rPr>
          <w:rFonts w:hint="eastAsia" w:cs="仿宋_GB2312"/>
          <w:kern w:val="2"/>
          <w:sz w:val="32"/>
          <w:szCs w:val="32"/>
        </w:rPr>
        <w:t>1.72</w:t>
      </w:r>
      <w:r>
        <w:rPr>
          <w:rFonts w:hint="eastAsia" w:cs="仿宋_GB2312"/>
          <w:color w:val="000000"/>
          <w:kern w:val="2"/>
          <w:sz w:val="32"/>
          <w:szCs w:val="32"/>
        </w:rPr>
        <w:t>万元。较202</w:t>
      </w:r>
      <w:r>
        <w:rPr>
          <w:rFonts w:cs="仿宋_GB2312"/>
          <w:color w:val="000000"/>
          <w:kern w:val="2"/>
          <w:sz w:val="32"/>
          <w:szCs w:val="32"/>
        </w:rPr>
        <w:t>3</w:t>
      </w:r>
      <w:r>
        <w:rPr>
          <w:rFonts w:hint="eastAsia" w:cs="仿宋_GB2312"/>
          <w:color w:val="000000"/>
          <w:kern w:val="2"/>
          <w:sz w:val="32"/>
          <w:szCs w:val="32"/>
        </w:rPr>
        <w:t>年预算经费减少0.26万元，</w:t>
      </w:r>
      <w:r>
        <w:rPr>
          <w:rFonts w:hint="eastAsia" w:cs="宋体"/>
          <w:sz w:val="32"/>
          <w:szCs w:val="32"/>
        </w:rPr>
        <w:t>下降</w:t>
      </w:r>
      <w:r>
        <w:rPr>
          <w:rFonts w:hint="eastAsia" w:cs="仿宋_GB2312"/>
          <w:color w:val="000000"/>
          <w:kern w:val="2"/>
          <w:sz w:val="32"/>
          <w:szCs w:val="32"/>
        </w:rPr>
        <w:t>13.13%，</w:t>
      </w:r>
      <w:r>
        <w:rPr>
          <w:rFonts w:hint="eastAsia" w:cs="仿宋_GB2312"/>
          <w:color w:val="000000"/>
          <w:kern w:val="2"/>
          <w:sz w:val="32"/>
          <w:szCs w:val="32"/>
          <w:highlight w:val="none"/>
        </w:rPr>
        <w:t>主要原因减少公务接待开支，厉行节约</w:t>
      </w:r>
      <w:r>
        <w:rPr>
          <w:rFonts w:hint="eastAsia" w:cs="仿宋_GB2312"/>
          <w:color w:val="000000"/>
          <w:kern w:val="2"/>
          <w:sz w:val="32"/>
          <w:szCs w:val="32"/>
          <w:highlight w:val="none"/>
          <w:lang w:eastAsia="zh-CN"/>
        </w:rPr>
        <w:t>。</w:t>
      </w:r>
    </w:p>
    <w:p>
      <w:pPr>
        <w:pStyle w:val="13"/>
        <w:spacing w:before="0" w:line="360" w:lineRule="auto"/>
        <w:ind w:firstLine="640" w:firstLineChars="200"/>
        <w:rPr>
          <w:rFonts w:cs="仿宋_GB2312"/>
          <w:color w:val="000000"/>
          <w:kern w:val="2"/>
          <w:sz w:val="32"/>
          <w:szCs w:val="32"/>
        </w:rPr>
      </w:pPr>
      <w:r>
        <w:rPr>
          <w:rFonts w:hint="eastAsia" w:cs="仿宋_GB2312"/>
          <w:color w:val="000000"/>
          <w:kern w:val="2"/>
          <w:sz w:val="32"/>
          <w:szCs w:val="32"/>
        </w:rPr>
        <w:t>（三）202</w:t>
      </w:r>
      <w:r>
        <w:rPr>
          <w:rFonts w:cs="仿宋_GB2312"/>
          <w:color w:val="000000"/>
          <w:kern w:val="2"/>
          <w:sz w:val="32"/>
          <w:szCs w:val="32"/>
        </w:rPr>
        <w:t>4</w:t>
      </w:r>
      <w:r>
        <w:rPr>
          <w:rFonts w:hint="eastAsia" w:cs="仿宋_GB2312"/>
          <w:color w:val="000000"/>
          <w:kern w:val="2"/>
          <w:sz w:val="32"/>
          <w:szCs w:val="32"/>
        </w:rPr>
        <w:t>年公务用车购置及运行维护费</w:t>
      </w:r>
      <w:r>
        <w:rPr>
          <w:rFonts w:hint="eastAsia" w:cs="仿宋_GB2312"/>
          <w:kern w:val="2"/>
          <w:sz w:val="32"/>
          <w:szCs w:val="32"/>
        </w:rPr>
        <w:t>22.50</w:t>
      </w:r>
      <w:r>
        <w:rPr>
          <w:rFonts w:hint="eastAsia" w:cs="仿宋_GB2312"/>
          <w:color w:val="000000"/>
          <w:kern w:val="2"/>
          <w:sz w:val="32"/>
          <w:szCs w:val="32"/>
        </w:rPr>
        <w:t>万元。与2023年预算持平。</w:t>
      </w:r>
    </w:p>
    <w:p>
      <w:pPr>
        <w:pStyle w:val="13"/>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3"/>
        <w:spacing w:before="0" w:line="360" w:lineRule="auto"/>
        <w:ind w:firstLine="640" w:firstLineChars="200"/>
        <w:rPr>
          <w:rFonts w:cs="仿宋_GB2312"/>
          <w:kern w:val="2"/>
          <w:sz w:val="32"/>
          <w:szCs w:val="32"/>
        </w:rPr>
      </w:pPr>
      <w:r>
        <w:rPr>
          <w:rFonts w:hint="eastAsia"/>
          <w:sz w:val="32"/>
          <w:szCs w:val="32"/>
        </w:rPr>
        <w:t>壤塘县人民法院</w:t>
      </w:r>
      <w:r>
        <w:rPr>
          <w:rFonts w:hint="eastAsia" w:cs="仿宋_GB2312"/>
          <w:kern w:val="2"/>
          <w:sz w:val="32"/>
          <w:szCs w:val="32"/>
        </w:rPr>
        <w:t>202</w:t>
      </w:r>
      <w:r>
        <w:rPr>
          <w:rFonts w:cs="仿宋_GB2312"/>
          <w:kern w:val="2"/>
          <w:sz w:val="32"/>
          <w:szCs w:val="32"/>
        </w:rPr>
        <w:t>4</w:t>
      </w:r>
      <w:r>
        <w:rPr>
          <w:rFonts w:hint="eastAsia" w:cs="仿宋_GB2312"/>
          <w:kern w:val="2"/>
          <w:sz w:val="32"/>
          <w:szCs w:val="32"/>
        </w:rPr>
        <w:t>年政府性基金预算拨款安排的支出0万元。较202</w:t>
      </w:r>
      <w:r>
        <w:rPr>
          <w:rFonts w:cs="仿宋_GB2312"/>
          <w:kern w:val="2"/>
          <w:sz w:val="32"/>
          <w:szCs w:val="32"/>
        </w:rPr>
        <w:t>3</w:t>
      </w:r>
      <w:r>
        <w:rPr>
          <w:rFonts w:hint="eastAsia" w:cs="仿宋_GB2312"/>
          <w:kern w:val="2"/>
          <w:sz w:val="32"/>
          <w:szCs w:val="32"/>
        </w:rPr>
        <w:t>年预算经费</w:t>
      </w:r>
      <w:r>
        <w:rPr>
          <w:rFonts w:hint="eastAsia" w:cs="宋体"/>
          <w:sz w:val="32"/>
          <w:szCs w:val="32"/>
        </w:rPr>
        <w:t>增加0</w:t>
      </w:r>
      <w:r>
        <w:rPr>
          <w:rFonts w:hint="eastAsia" w:cs="仿宋_GB2312"/>
          <w:kern w:val="2"/>
          <w:sz w:val="32"/>
          <w:szCs w:val="32"/>
        </w:rPr>
        <w:t>万元，增长0%。</w:t>
      </w:r>
    </w:p>
    <w:p>
      <w:pPr>
        <w:pStyle w:val="13"/>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pStyle w:val="13"/>
        <w:spacing w:before="0" w:line="360" w:lineRule="auto"/>
        <w:ind w:firstLine="640" w:firstLineChars="200"/>
        <w:rPr>
          <w:rFonts w:cs="仿宋_GB2312"/>
          <w:kern w:val="2"/>
          <w:sz w:val="32"/>
          <w:szCs w:val="32"/>
        </w:rPr>
      </w:pPr>
      <w:r>
        <w:rPr>
          <w:rFonts w:hint="eastAsia" w:ascii="楷体" w:eastAsia="楷体" w:cs="仿宋_GB2312"/>
          <w:kern w:val="2"/>
          <w:sz w:val="32"/>
          <w:szCs w:val="32"/>
        </w:rPr>
        <w:t>（一）机关运行经费</w:t>
      </w:r>
    </w:p>
    <w:p>
      <w:pPr>
        <w:pStyle w:val="13"/>
        <w:spacing w:before="0" w:line="360" w:lineRule="auto"/>
        <w:ind w:firstLine="640" w:firstLineChars="200"/>
        <w:rPr>
          <w:rFonts w:cs="仿宋_GB2312"/>
          <w:color w:val="FF0000"/>
          <w:kern w:val="2"/>
          <w:sz w:val="32"/>
          <w:szCs w:val="32"/>
        </w:rPr>
      </w:pPr>
      <w:r>
        <w:rPr>
          <w:rFonts w:hint="eastAsia"/>
          <w:sz w:val="32"/>
          <w:szCs w:val="32"/>
        </w:rPr>
        <w:t>壤塘县人民法院</w:t>
      </w:r>
      <w:r>
        <w:rPr>
          <w:rFonts w:hint="eastAsia" w:cs="仿宋_GB2312"/>
          <w:kern w:val="2"/>
          <w:sz w:val="32"/>
          <w:szCs w:val="32"/>
        </w:rPr>
        <w:t>202</w:t>
      </w:r>
      <w:r>
        <w:rPr>
          <w:rFonts w:cs="仿宋_GB2312"/>
          <w:kern w:val="2"/>
          <w:sz w:val="32"/>
          <w:szCs w:val="32"/>
        </w:rPr>
        <w:t>4</w:t>
      </w:r>
      <w:r>
        <w:rPr>
          <w:rFonts w:hint="eastAsia" w:cs="仿宋_GB2312"/>
          <w:kern w:val="2"/>
          <w:sz w:val="32"/>
          <w:szCs w:val="32"/>
        </w:rPr>
        <w:t>年机关运行经费财政拨款预算为123.23万元，比202</w:t>
      </w:r>
      <w:r>
        <w:rPr>
          <w:rFonts w:cs="仿宋_GB2312"/>
          <w:kern w:val="2"/>
          <w:sz w:val="32"/>
          <w:szCs w:val="32"/>
        </w:rPr>
        <w:t>3</w:t>
      </w:r>
      <w:r>
        <w:rPr>
          <w:rFonts w:hint="eastAsia" w:cs="仿宋_GB2312"/>
          <w:kern w:val="2"/>
          <w:sz w:val="32"/>
          <w:szCs w:val="32"/>
        </w:rPr>
        <w:t>年预算</w:t>
      </w:r>
      <w:r>
        <w:rPr>
          <w:rFonts w:hint="eastAsia" w:cs="仿宋_GB2312"/>
          <w:color w:val="000000"/>
          <w:kern w:val="2"/>
          <w:sz w:val="32"/>
          <w:szCs w:val="32"/>
        </w:rPr>
        <w:t>减少9.49万元，减少7.15%。</w:t>
      </w:r>
    </w:p>
    <w:p>
      <w:pPr>
        <w:pStyle w:val="13"/>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（二）政府采购情况</w:t>
      </w:r>
    </w:p>
    <w:p>
      <w:pPr>
        <w:pStyle w:val="13"/>
        <w:spacing w:before="0" w:line="360" w:lineRule="auto"/>
        <w:ind w:firstLine="640" w:firstLineChars="200"/>
        <w:rPr>
          <w:rFonts w:cs="仿宋_GB2312"/>
          <w:kern w:val="2"/>
          <w:sz w:val="32"/>
          <w:szCs w:val="32"/>
        </w:rPr>
      </w:pPr>
      <w:r>
        <w:rPr>
          <w:rFonts w:hint="eastAsia" w:cs="仿宋_GB2312"/>
          <w:color w:val="000000"/>
          <w:kern w:val="2"/>
          <w:sz w:val="32"/>
          <w:szCs w:val="32"/>
        </w:rPr>
        <w:t>202</w:t>
      </w:r>
      <w:r>
        <w:rPr>
          <w:rFonts w:cs="仿宋_GB2312"/>
          <w:color w:val="000000"/>
          <w:kern w:val="2"/>
          <w:sz w:val="32"/>
          <w:szCs w:val="32"/>
        </w:rPr>
        <w:t>4</w:t>
      </w:r>
      <w:r>
        <w:rPr>
          <w:rFonts w:hint="eastAsia" w:cs="仿宋_GB2312"/>
          <w:color w:val="000000"/>
          <w:kern w:val="2"/>
          <w:sz w:val="32"/>
          <w:szCs w:val="32"/>
        </w:rPr>
        <w:t>年</w:t>
      </w:r>
      <w:r>
        <w:rPr>
          <w:rFonts w:hint="eastAsia"/>
          <w:sz w:val="32"/>
          <w:szCs w:val="32"/>
        </w:rPr>
        <w:t>壤塘县人民法院</w:t>
      </w:r>
      <w:r>
        <w:rPr>
          <w:rFonts w:hint="eastAsia" w:cs="仿宋_GB2312"/>
          <w:color w:val="000000"/>
          <w:kern w:val="2"/>
          <w:sz w:val="32"/>
          <w:szCs w:val="32"/>
        </w:rPr>
        <w:t>安排政府采购预算</w:t>
      </w:r>
      <w:r>
        <w:rPr>
          <w:rFonts w:cs="仿宋_GB2312"/>
          <w:color w:val="000000"/>
          <w:kern w:val="2"/>
          <w:sz w:val="32"/>
          <w:szCs w:val="32"/>
        </w:rPr>
        <w:t>54.60</w:t>
      </w:r>
      <w:r>
        <w:rPr>
          <w:rFonts w:hint="eastAsia" w:cs="仿宋_GB2312"/>
          <w:color w:val="000000"/>
          <w:kern w:val="2"/>
          <w:sz w:val="32"/>
          <w:szCs w:val="32"/>
        </w:rPr>
        <w:t>万元，主要</w:t>
      </w:r>
      <w:r>
        <w:rPr>
          <w:rFonts w:hint="eastAsia" w:cs="仿宋_GB2312"/>
          <w:kern w:val="2"/>
          <w:sz w:val="32"/>
          <w:szCs w:val="32"/>
        </w:rPr>
        <w:t>用于政府采购货物支出。</w:t>
      </w:r>
    </w:p>
    <w:p>
      <w:pPr>
        <w:pStyle w:val="13"/>
        <w:spacing w:before="0" w:line="360" w:lineRule="auto"/>
        <w:ind w:firstLine="640" w:firstLineChars="200"/>
        <w:rPr>
          <w:rFonts w:ascii="楷体" w:eastAsia="楷体" w:cs="仿宋_GB2312"/>
          <w:kern w:val="2"/>
          <w:sz w:val="32"/>
          <w:szCs w:val="32"/>
          <w:highlight w:val="none"/>
        </w:rPr>
      </w:pPr>
      <w:r>
        <w:rPr>
          <w:rFonts w:hint="eastAsia" w:ascii="楷体" w:eastAsia="楷体" w:cs="仿宋_GB2312"/>
          <w:kern w:val="2"/>
          <w:sz w:val="32"/>
          <w:szCs w:val="32"/>
          <w:highlight w:val="none"/>
        </w:rPr>
        <w:t>（三）国有资产占有使用情况</w:t>
      </w:r>
    </w:p>
    <w:p>
      <w:pPr>
        <w:pStyle w:val="13"/>
        <w:spacing w:before="0" w:line="360" w:lineRule="auto"/>
        <w:ind w:firstLine="640" w:firstLineChars="200"/>
        <w:rPr>
          <w:rFonts w:hint="eastAsia" w:cs="仿宋_GB2312"/>
          <w:kern w:val="2"/>
          <w:sz w:val="32"/>
          <w:szCs w:val="32"/>
        </w:rPr>
      </w:pPr>
      <w:r>
        <w:rPr>
          <w:rFonts w:hint="eastAsia" w:cs="仿宋_GB2312"/>
          <w:kern w:val="2"/>
          <w:sz w:val="32"/>
          <w:szCs w:val="32"/>
        </w:rPr>
        <w:t>截至202</w:t>
      </w:r>
      <w:r>
        <w:rPr>
          <w:rFonts w:cs="仿宋_GB2312"/>
          <w:kern w:val="2"/>
          <w:sz w:val="32"/>
          <w:szCs w:val="32"/>
        </w:rPr>
        <w:t>3</w:t>
      </w:r>
      <w:r>
        <w:rPr>
          <w:rFonts w:hint="eastAsia" w:cs="仿宋_GB2312"/>
          <w:kern w:val="2"/>
          <w:sz w:val="32"/>
          <w:szCs w:val="32"/>
        </w:rPr>
        <w:t>年12月31日，我单位固定资产2738.23万元。</w:t>
      </w:r>
    </w:p>
    <w:p>
      <w:pPr>
        <w:pStyle w:val="13"/>
        <w:spacing w:before="0" w:line="360" w:lineRule="auto"/>
        <w:ind w:firstLine="640" w:firstLineChars="200"/>
        <w:rPr>
          <w:rFonts w:cs="仿宋_GB2312"/>
          <w:kern w:val="2"/>
          <w:sz w:val="32"/>
          <w:szCs w:val="32"/>
        </w:rPr>
      </w:pPr>
      <w:r>
        <w:rPr>
          <w:rFonts w:hint="eastAsia" w:ascii="楷体" w:eastAsia="楷体" w:cs="仿宋_GB2312"/>
          <w:kern w:val="2"/>
          <w:sz w:val="32"/>
          <w:szCs w:val="32"/>
        </w:rPr>
        <w:t>（四）绩效目标设置情况</w:t>
      </w:r>
    </w:p>
    <w:p>
      <w:pPr>
        <w:pStyle w:val="13"/>
        <w:spacing w:before="0" w:line="360" w:lineRule="auto"/>
        <w:ind w:firstLine="640" w:firstLineChars="200"/>
        <w:rPr>
          <w:rFonts w:ascii="黑体" w:eastAsia="黑体"/>
          <w:sz w:val="32"/>
          <w:szCs w:val="32"/>
        </w:rPr>
      </w:pPr>
      <w:r>
        <w:rPr>
          <w:rFonts w:hint="eastAsia" w:cs="仿宋_GB2312"/>
          <w:kern w:val="2"/>
          <w:sz w:val="32"/>
          <w:szCs w:val="32"/>
        </w:rPr>
        <w:t>202</w:t>
      </w:r>
      <w:r>
        <w:rPr>
          <w:rFonts w:cs="仿宋_GB2312"/>
          <w:kern w:val="2"/>
          <w:sz w:val="32"/>
          <w:szCs w:val="32"/>
        </w:rPr>
        <w:t>4</w:t>
      </w:r>
      <w:r>
        <w:rPr>
          <w:rFonts w:hint="eastAsia" w:cs="仿宋_GB2312"/>
          <w:kern w:val="2"/>
          <w:sz w:val="32"/>
          <w:szCs w:val="32"/>
        </w:rPr>
        <w:t>年</w:t>
      </w:r>
      <w:r>
        <w:rPr>
          <w:rFonts w:hint="eastAsia"/>
          <w:sz w:val="32"/>
          <w:szCs w:val="32"/>
        </w:rPr>
        <w:t>壤塘县人民法院</w:t>
      </w:r>
      <w:r>
        <w:rPr>
          <w:rFonts w:hint="eastAsia" w:cs="仿宋_GB2312"/>
          <w:kern w:val="2"/>
          <w:sz w:val="32"/>
          <w:szCs w:val="32"/>
        </w:rPr>
        <w:t>通用项目和专用项目均按要求实行绩效目标管理，涉及一般公共预算当年拨款55.86万元。</w:t>
      </w:r>
    </w:p>
    <w:p>
      <w:pPr>
        <w:pStyle w:val="13"/>
        <w:spacing w:before="0" w:line="360" w:lineRule="auto"/>
        <w:ind w:left="319" w:leftChars="152" w:firstLine="640" w:firstLineChars="200"/>
        <w:rPr>
          <w:rFonts w:ascii="楷体" w:eastAsia="楷体" w:cs="仿宋_GB2312"/>
          <w:kern w:val="2"/>
          <w:sz w:val="32"/>
          <w:szCs w:val="32"/>
        </w:rPr>
      </w:pPr>
      <w:r>
        <w:rPr>
          <w:rFonts w:hint="eastAsia" w:ascii="黑体" w:eastAsia="黑体"/>
          <w:sz w:val="32"/>
          <w:szCs w:val="32"/>
        </w:rPr>
        <w:t>十、名称解释</w:t>
      </w:r>
    </w:p>
    <w:p>
      <w:pPr>
        <w:pStyle w:val="13"/>
        <w:spacing w:before="0" w:line="360" w:lineRule="auto"/>
        <w:ind w:firstLine="640" w:firstLineChars="200"/>
        <w:rPr>
          <w:rFonts w:cs="仿宋_GB2312"/>
          <w:kern w:val="2"/>
          <w:sz w:val="32"/>
          <w:szCs w:val="32"/>
        </w:rPr>
      </w:pP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p>
    <w:p>
      <w:pPr>
        <w:pStyle w:val="13"/>
        <w:spacing w:before="0" w:line="360" w:lineRule="auto"/>
        <w:ind w:firstLine="640" w:firstLineChars="200"/>
        <w:rPr>
          <w:rFonts w:cs="仿宋_GB2312"/>
          <w:kern w:val="2"/>
          <w:sz w:val="32"/>
          <w:szCs w:val="32"/>
        </w:rPr>
      </w:pP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p>
    <w:p>
      <w:pPr>
        <w:pStyle w:val="13"/>
        <w:spacing w:before="0" w:line="360" w:lineRule="auto"/>
        <w:ind w:firstLine="640" w:firstLineChars="200"/>
        <w:rPr>
          <w:rFonts w:cs="仿宋_GB2312"/>
          <w:kern w:val="2"/>
          <w:sz w:val="32"/>
          <w:szCs w:val="32"/>
        </w:rPr>
      </w:pP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p>
    <w:p>
      <w:pPr>
        <w:pStyle w:val="13"/>
        <w:spacing w:before="0" w:line="360" w:lineRule="auto"/>
        <w:ind w:firstLine="640" w:firstLineChars="200"/>
        <w:rPr>
          <w:rFonts w:cs="仿宋_GB2312"/>
          <w:kern w:val="2"/>
          <w:sz w:val="32"/>
          <w:szCs w:val="32"/>
        </w:rPr>
      </w:pPr>
      <w:r>
        <w:rPr>
          <w:rFonts w:hint="eastAsia" w:ascii="楷体" w:eastAsia="楷体" w:cs="仿宋_GB2312"/>
          <w:kern w:val="2"/>
          <w:sz w:val="32"/>
          <w:szCs w:val="32"/>
        </w:rPr>
        <w:t>（四）其他收入</w:t>
      </w:r>
      <w:r>
        <w:rPr>
          <w:rFonts w:hint="eastAsia" w:cs="仿宋_GB2312"/>
          <w:kern w:val="2"/>
          <w:sz w:val="32"/>
          <w:szCs w:val="32"/>
        </w:rPr>
        <w:t>：指除上述“财政拨款收入”“事业收入”“事业单位经营收入”等以外的收入，主要是所属行政事业单位按规定动用的售房收入、存款利息收入等。</w:t>
      </w:r>
    </w:p>
    <w:p>
      <w:pPr>
        <w:pStyle w:val="13"/>
        <w:spacing w:before="0" w:line="360" w:lineRule="auto"/>
        <w:ind w:firstLine="640" w:firstLineChars="200"/>
        <w:rPr>
          <w:rFonts w:cs="仿宋_GB2312"/>
          <w:kern w:val="2"/>
          <w:sz w:val="32"/>
          <w:szCs w:val="32"/>
        </w:rPr>
      </w:pPr>
      <w:r>
        <w:rPr>
          <w:rFonts w:hint="eastAsia" w:ascii="楷体" w:eastAsia="楷体" w:cs="仿宋_GB2312"/>
          <w:kern w:val="2"/>
          <w:sz w:val="32"/>
          <w:szCs w:val="32"/>
        </w:rPr>
        <w:t>（五）用事业基金弥补收支差额</w:t>
      </w:r>
      <w:r>
        <w:rPr>
          <w:rFonts w:hint="eastAsia" w:cs="仿宋_GB2312"/>
          <w:kern w:val="2"/>
          <w:sz w:val="32"/>
          <w:szCs w:val="32"/>
        </w:rPr>
        <w:t>：指所属事业单位在预计用当年的“财政拨款收入”“事业收入”“事业单位经营收入”“其他收入”不足以安排当年支出的情况下，使用以前年度积累的事业基金弥补本年度收支缺口的资金。</w:t>
      </w:r>
    </w:p>
    <w:p>
      <w:pPr>
        <w:pStyle w:val="13"/>
        <w:spacing w:before="0" w:line="360" w:lineRule="auto"/>
        <w:ind w:firstLine="640" w:firstLineChars="200"/>
        <w:rPr>
          <w:rFonts w:cs="仿宋_GB2312"/>
          <w:sz w:val="32"/>
          <w:szCs w:val="32"/>
        </w:rPr>
      </w:pPr>
      <w:r>
        <w:rPr>
          <w:rFonts w:hint="eastAsia" w:ascii="楷体" w:eastAsia="楷体" w:cs="仿宋_GB2312"/>
          <w:kern w:val="2"/>
          <w:sz w:val="32"/>
          <w:szCs w:val="32"/>
        </w:rPr>
        <w:t>（六）上年结转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00000000" w:usb1="00000000" w:usb2="00000009" w:usb3="00000000" w:csb0="000001FF" w:csb1="00000000"/>
  </w:font>
  <w:font w:name="仿宋_GB2312">
    <w:altName w:val="仿宋"/>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D0E244"/>
    <w:multiLevelType w:val="singleLevel"/>
    <w:tmpl w:val="B8D0E244"/>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UxMjc5MjYzMDQzZjQ3YjY1MjJkZmYwMWJhNDdkY2EifQ=="/>
  </w:docVars>
  <w:rsids>
    <w:rsidRoot w:val="003E199C"/>
    <w:rsid w:val="001A7128"/>
    <w:rsid w:val="003E199C"/>
    <w:rsid w:val="00536D26"/>
    <w:rsid w:val="00B002A5"/>
    <w:rsid w:val="00BE6292"/>
    <w:rsid w:val="01D803E5"/>
    <w:rsid w:val="03EC461B"/>
    <w:rsid w:val="067A5F0E"/>
    <w:rsid w:val="08626C5A"/>
    <w:rsid w:val="08A66F43"/>
    <w:rsid w:val="0A656ED5"/>
    <w:rsid w:val="0B4765DB"/>
    <w:rsid w:val="0C9E13B3"/>
    <w:rsid w:val="0CCF6888"/>
    <w:rsid w:val="0D487243"/>
    <w:rsid w:val="0E567261"/>
    <w:rsid w:val="12071F57"/>
    <w:rsid w:val="12E017EF"/>
    <w:rsid w:val="14E135FC"/>
    <w:rsid w:val="16813C02"/>
    <w:rsid w:val="17CA481C"/>
    <w:rsid w:val="17E51656"/>
    <w:rsid w:val="1A2D3974"/>
    <w:rsid w:val="1B256AEA"/>
    <w:rsid w:val="1C4814E4"/>
    <w:rsid w:val="1E6E4153"/>
    <w:rsid w:val="1F941F6D"/>
    <w:rsid w:val="1FDA1374"/>
    <w:rsid w:val="21162880"/>
    <w:rsid w:val="216E446A"/>
    <w:rsid w:val="231D6147"/>
    <w:rsid w:val="248F6BD1"/>
    <w:rsid w:val="252B57B3"/>
    <w:rsid w:val="252C2672"/>
    <w:rsid w:val="25B52667"/>
    <w:rsid w:val="277F4CDB"/>
    <w:rsid w:val="297B7724"/>
    <w:rsid w:val="2A327707"/>
    <w:rsid w:val="2AD20F29"/>
    <w:rsid w:val="2B425EB9"/>
    <w:rsid w:val="2B9E737C"/>
    <w:rsid w:val="2CC31B0E"/>
    <w:rsid w:val="2CF577ED"/>
    <w:rsid w:val="2E304F81"/>
    <w:rsid w:val="32B75C71"/>
    <w:rsid w:val="333F7A14"/>
    <w:rsid w:val="35D46B3A"/>
    <w:rsid w:val="36287CF1"/>
    <w:rsid w:val="37F54B45"/>
    <w:rsid w:val="39033292"/>
    <w:rsid w:val="392C6A16"/>
    <w:rsid w:val="3B844B5E"/>
    <w:rsid w:val="3BFF0F7E"/>
    <w:rsid w:val="3D8F1598"/>
    <w:rsid w:val="46E82445"/>
    <w:rsid w:val="4A3459A1"/>
    <w:rsid w:val="4BFF5B3B"/>
    <w:rsid w:val="4DAB41CC"/>
    <w:rsid w:val="50632029"/>
    <w:rsid w:val="520B6FE7"/>
    <w:rsid w:val="532760A3"/>
    <w:rsid w:val="56DF0A43"/>
    <w:rsid w:val="59140E77"/>
    <w:rsid w:val="59B166C6"/>
    <w:rsid w:val="59BE5287"/>
    <w:rsid w:val="5A1E149C"/>
    <w:rsid w:val="5B402059"/>
    <w:rsid w:val="5C001B87"/>
    <w:rsid w:val="5C6B34A4"/>
    <w:rsid w:val="5D6B1282"/>
    <w:rsid w:val="5FC30F01"/>
    <w:rsid w:val="62382197"/>
    <w:rsid w:val="648D7D30"/>
    <w:rsid w:val="66047A56"/>
    <w:rsid w:val="6BEA2E93"/>
    <w:rsid w:val="72123515"/>
    <w:rsid w:val="72BA43E6"/>
    <w:rsid w:val="736D47B3"/>
    <w:rsid w:val="74055B35"/>
    <w:rsid w:val="74640AAD"/>
    <w:rsid w:val="7820118F"/>
    <w:rsid w:val="7DD24C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autoRedefine/>
    <w:qFormat/>
    <w:uiPriority w:val="0"/>
    <w:pPr>
      <w:keepNext/>
      <w:keepLines/>
      <w:spacing w:before="340" w:after="330" w:line="578" w:lineRule="auto"/>
      <w:outlineLvl w:val="0"/>
    </w:pPr>
    <w:rPr>
      <w:b/>
      <w:bCs/>
      <w:kern w:val="44"/>
      <w:sz w:val="44"/>
    </w:rPr>
  </w:style>
  <w:style w:type="paragraph" w:styleId="4">
    <w:name w:val="heading 2"/>
    <w:basedOn w:val="1"/>
    <w:next w:val="1"/>
    <w:autoRedefine/>
    <w:qFormat/>
    <w:uiPriority w:val="0"/>
    <w:pPr>
      <w:keepNext/>
      <w:keepLines/>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11">
    <w:name w:val="Default Paragraph Font"/>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2">
    <w:name w:val="index 5"/>
    <w:basedOn w:val="1"/>
    <w:next w:val="1"/>
    <w:autoRedefine/>
    <w:qFormat/>
    <w:uiPriority w:val="0"/>
    <w:pPr>
      <w:ind w:left="800" w:leftChars="800"/>
    </w:pPr>
  </w:style>
  <w:style w:type="paragraph" w:styleId="6">
    <w:name w:val="Body Text"/>
    <w:basedOn w:val="1"/>
    <w:autoRedefine/>
    <w:qFormat/>
    <w:uiPriority w:val="0"/>
    <w:pPr>
      <w:spacing w:after="120"/>
    </w:pPr>
    <w:rPr>
      <w:rFonts w:ascii="Times" w:hAnsi="Times" w:eastAsia="仿宋_GB2312"/>
      <w:sz w:val="32"/>
      <w:szCs w:val="32"/>
    </w:rPr>
  </w:style>
  <w:style w:type="paragraph" w:styleId="7">
    <w:name w:val="footer"/>
    <w:basedOn w:val="1"/>
    <w:autoRedefine/>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100" w:beforeAutospacing="1" w:after="100" w:afterAutospacing="1"/>
      <w:jc w:val="left"/>
    </w:pPr>
    <w:rPr>
      <w:kern w:val="0"/>
      <w:sz w:val="24"/>
    </w:rPr>
  </w:style>
  <w:style w:type="paragraph" w:styleId="12">
    <w:name w:val="List Paragraph"/>
    <w:basedOn w:val="1"/>
    <w:autoRedefine/>
    <w:qFormat/>
    <w:uiPriority w:val="0"/>
    <w:pPr>
      <w:ind w:firstLine="200" w:firstLineChars="200"/>
    </w:pPr>
  </w:style>
  <w:style w:type="paragraph" w:customStyle="1" w:styleId="13">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3958</Words>
  <Characters>4370</Characters>
  <Lines>31</Lines>
  <Paragraphs>8</Paragraphs>
  <TotalTime>80</TotalTime>
  <ScaleCrop>false</ScaleCrop>
  <LinksUpToDate>false</LinksUpToDate>
  <CharactersWithSpaces>4370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2024-02-02T12:22:00Z</dcterms:created>
  <dc:creator>疯丫头。。</dc:creator>
  <cp:lastModifiedBy>花红易衰</cp:lastModifiedBy>
  <cp:lastPrinted>2024-02-04T03:55:00Z</cp:lastPrinted>
  <dcterms:modified xsi:type="dcterms:W3CDTF">2024-02-06T07:26:47Z</dcterms:modified>
  <dc:title>附件2</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7BAB554FD56D4D3C8FE3B71F769FA76D_13</vt:lpwstr>
  </property>
</Properties>
</file>