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35AB952">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D99A0C0"/>
    <w:p w14:paraId="1DEDBC1B"/>
    <w:p w14:paraId="2F5424AC"/>
    <w:p w14:paraId="3CD4FE7B">
      <w:pPr>
        <w:ind w:firstLine="1050" w:firstLineChars="500"/>
      </w:pPr>
    </w:p>
    <w:p w14:paraId="29F6A362">
      <w:pPr>
        <w:ind w:firstLine="1050" w:firstLineChars="500"/>
      </w:pPr>
    </w:p>
    <w:p w14:paraId="598391F1">
      <w:pPr>
        <w:ind w:firstLine="1760" w:firstLineChars="400"/>
        <w:rPr>
          <w:rFonts w:ascii="黑体" w:eastAsia="黑体"/>
          <w:sz w:val="44"/>
          <w:szCs w:val="44"/>
        </w:rPr>
      </w:pPr>
    </w:p>
    <w:p w14:paraId="44A65B13">
      <w:pPr>
        <w:ind w:firstLine="1760" w:firstLineChars="400"/>
        <w:rPr>
          <w:rFonts w:ascii="黑体" w:eastAsia="黑体"/>
          <w:sz w:val="44"/>
          <w:szCs w:val="44"/>
        </w:rPr>
      </w:pPr>
    </w:p>
    <w:p w14:paraId="07F43F22">
      <w:pPr>
        <w:jc w:val="center"/>
        <w:rPr>
          <w:rFonts w:hint="eastAsia" w:ascii="黑体" w:eastAsia="黑体"/>
          <w:sz w:val="60"/>
          <w:szCs w:val="60"/>
          <w:lang w:val="en-US" w:eastAsia="zh-CN"/>
        </w:rPr>
      </w:pPr>
      <w:r>
        <w:rPr>
          <w:rFonts w:hint="eastAsia" w:ascii="黑体" w:eastAsia="黑体"/>
          <w:sz w:val="60"/>
          <w:szCs w:val="60"/>
          <w:lang w:eastAsia="zh-CN"/>
        </w:rPr>
        <w:t>小金县人民法院</w:t>
      </w:r>
    </w:p>
    <w:p w14:paraId="5ABF55A3">
      <w:pPr>
        <w:jc w:val="center"/>
        <w:rPr>
          <w:rFonts w:ascii="黑体" w:eastAsia="黑体"/>
          <w:sz w:val="60"/>
          <w:szCs w:val="60"/>
        </w:rPr>
      </w:pPr>
      <w:r>
        <w:rPr>
          <w:rFonts w:ascii="黑体" w:eastAsia="黑体"/>
          <w:sz w:val="60"/>
          <w:szCs w:val="60"/>
        </w:rPr>
        <w:t>202</w:t>
      </w:r>
      <w:r>
        <w:rPr>
          <w:rFonts w:hint="eastAsia" w:ascii="黑体" w:eastAsia="黑体"/>
          <w:sz w:val="60"/>
          <w:szCs w:val="60"/>
          <w:lang w:val="en-US" w:eastAsia="zh-CN"/>
        </w:rPr>
        <w:t>6</w:t>
      </w:r>
      <w:r>
        <w:rPr>
          <w:rFonts w:hint="eastAsia" w:ascii="黑体" w:eastAsia="黑体"/>
          <w:sz w:val="60"/>
          <w:szCs w:val="60"/>
        </w:rPr>
        <w:t>年部门预算</w:t>
      </w:r>
    </w:p>
    <w:p w14:paraId="756D3F41">
      <w:pPr>
        <w:ind w:firstLine="2400" w:firstLineChars="400"/>
        <w:rPr>
          <w:rFonts w:ascii="黑体" w:eastAsia="黑体"/>
          <w:sz w:val="60"/>
          <w:szCs w:val="60"/>
        </w:rPr>
      </w:pPr>
    </w:p>
    <w:p w14:paraId="69158364">
      <w:pPr>
        <w:ind w:firstLine="1760" w:firstLineChars="400"/>
        <w:rPr>
          <w:rFonts w:ascii="黑体" w:eastAsia="黑体"/>
          <w:sz w:val="44"/>
          <w:szCs w:val="44"/>
        </w:rPr>
      </w:pPr>
    </w:p>
    <w:p w14:paraId="563EAA19">
      <w:pPr>
        <w:ind w:firstLine="1760" w:firstLineChars="400"/>
        <w:rPr>
          <w:rFonts w:ascii="黑体" w:eastAsia="黑体"/>
          <w:sz w:val="44"/>
          <w:szCs w:val="44"/>
        </w:rPr>
      </w:pPr>
    </w:p>
    <w:p w14:paraId="2ECDDEE9">
      <w:pPr>
        <w:ind w:firstLine="1760" w:firstLineChars="400"/>
        <w:rPr>
          <w:rFonts w:ascii="黑体" w:eastAsia="黑体"/>
          <w:sz w:val="44"/>
          <w:szCs w:val="44"/>
        </w:rPr>
      </w:pPr>
    </w:p>
    <w:p w14:paraId="366B3855">
      <w:pPr>
        <w:ind w:firstLine="1760" w:firstLineChars="400"/>
        <w:rPr>
          <w:rFonts w:ascii="黑体" w:eastAsia="黑体"/>
          <w:sz w:val="44"/>
          <w:szCs w:val="44"/>
        </w:rPr>
      </w:pPr>
    </w:p>
    <w:p w14:paraId="5A48B9E8">
      <w:pPr>
        <w:ind w:firstLine="1760" w:firstLineChars="400"/>
        <w:rPr>
          <w:rFonts w:ascii="黑体" w:eastAsia="黑体"/>
          <w:sz w:val="44"/>
          <w:szCs w:val="44"/>
        </w:rPr>
      </w:pPr>
    </w:p>
    <w:p w14:paraId="5C6E1FCB">
      <w:pPr>
        <w:ind w:firstLine="1760" w:firstLineChars="400"/>
        <w:rPr>
          <w:rFonts w:ascii="黑体" w:eastAsia="黑体"/>
          <w:sz w:val="44"/>
          <w:szCs w:val="44"/>
        </w:rPr>
      </w:pPr>
    </w:p>
    <w:p w14:paraId="4BAE8407">
      <w:pPr>
        <w:ind w:firstLine="1760" w:firstLineChars="400"/>
        <w:rPr>
          <w:rFonts w:ascii="黑体" w:eastAsia="黑体"/>
          <w:sz w:val="44"/>
          <w:szCs w:val="44"/>
        </w:rPr>
      </w:pPr>
    </w:p>
    <w:p w14:paraId="0C912E60">
      <w:pPr>
        <w:ind w:firstLine="1760" w:firstLineChars="400"/>
        <w:rPr>
          <w:rFonts w:ascii="黑体" w:eastAsia="黑体"/>
          <w:sz w:val="44"/>
          <w:szCs w:val="44"/>
        </w:rPr>
      </w:pPr>
    </w:p>
    <w:p w14:paraId="55DCC975">
      <w:pPr>
        <w:ind w:firstLine="1760" w:firstLineChars="400"/>
        <w:rPr>
          <w:rFonts w:ascii="黑体" w:eastAsia="黑体"/>
          <w:sz w:val="44"/>
          <w:szCs w:val="44"/>
        </w:rPr>
      </w:pPr>
    </w:p>
    <w:p w14:paraId="25BDC62D">
      <w:pPr>
        <w:ind w:firstLine="1760" w:firstLineChars="400"/>
        <w:rPr>
          <w:rFonts w:ascii="黑体" w:eastAsia="黑体"/>
          <w:sz w:val="44"/>
          <w:szCs w:val="44"/>
        </w:rPr>
      </w:pPr>
    </w:p>
    <w:p w14:paraId="223250A2">
      <w:pPr>
        <w:ind w:firstLine="1760" w:firstLineChars="400"/>
        <w:rPr>
          <w:rFonts w:ascii="黑体" w:eastAsia="黑体"/>
          <w:sz w:val="44"/>
          <w:szCs w:val="44"/>
        </w:rPr>
      </w:pPr>
    </w:p>
    <w:p w14:paraId="6F15C2C7">
      <w:pPr>
        <w:ind w:firstLine="1760" w:firstLineChars="400"/>
        <w:rPr>
          <w:rFonts w:ascii="黑体" w:eastAsia="黑体"/>
          <w:sz w:val="44"/>
          <w:szCs w:val="44"/>
        </w:rPr>
      </w:pPr>
    </w:p>
    <w:p w14:paraId="72B5BB46">
      <w:pPr>
        <w:ind w:firstLine="1760" w:firstLineChars="400"/>
        <w:rPr>
          <w:rFonts w:ascii="黑体" w:eastAsia="黑体"/>
          <w:sz w:val="44"/>
          <w:szCs w:val="44"/>
        </w:rPr>
      </w:pPr>
      <w:bookmarkStart w:id="0" w:name="_GoBack"/>
      <w:bookmarkEnd w:id="0"/>
    </w:p>
    <w:p w14:paraId="674EE1AA">
      <w:pPr>
        <w:ind w:firstLine="3120" w:firstLineChars="600"/>
        <w:rPr>
          <w:rFonts w:ascii="黑体" w:eastAsia="黑体"/>
          <w:sz w:val="52"/>
          <w:szCs w:val="52"/>
        </w:rPr>
      </w:pPr>
      <w:r>
        <w:rPr>
          <w:rFonts w:hint="eastAsia" w:ascii="黑体" w:eastAsia="黑体"/>
          <w:sz w:val="52"/>
          <w:szCs w:val="52"/>
        </w:rPr>
        <w:t>目录</w:t>
      </w:r>
    </w:p>
    <w:p w14:paraId="37CB69E6">
      <w:pPr>
        <w:ind w:firstLine="3080" w:firstLineChars="700"/>
        <w:rPr>
          <w:rFonts w:ascii="黑体" w:eastAsia="黑体"/>
          <w:sz w:val="44"/>
          <w:szCs w:val="44"/>
        </w:rPr>
      </w:pPr>
    </w:p>
    <w:p w14:paraId="0BEF3EC6">
      <w:pPr>
        <w:pStyle w:val="9"/>
        <w:ind w:firstLine="0" w:firstLineChars="0"/>
        <w:rPr>
          <w:rFonts w:ascii="黑体" w:eastAsia="黑体"/>
          <w:sz w:val="32"/>
          <w:szCs w:val="32"/>
        </w:rPr>
      </w:pPr>
      <w:r>
        <w:rPr>
          <w:rFonts w:hint="eastAsia" w:ascii="黑体" w:eastAsia="黑体"/>
          <w:sz w:val="32"/>
          <w:szCs w:val="32"/>
        </w:rPr>
        <w:t>一、基本职能及主要工作</w:t>
      </w:r>
    </w:p>
    <w:p w14:paraId="65A77EFB">
      <w:pPr>
        <w:rPr>
          <w:rFonts w:ascii="楷体" w:eastAsia="楷体"/>
          <w:sz w:val="32"/>
          <w:szCs w:val="32"/>
        </w:rPr>
      </w:pPr>
      <w:r>
        <w:rPr>
          <w:rFonts w:hint="eastAsia" w:ascii="楷体" w:eastAsia="楷体"/>
          <w:sz w:val="32"/>
          <w:szCs w:val="32"/>
        </w:rPr>
        <w:t>（一）部门职能简介</w:t>
      </w:r>
    </w:p>
    <w:p w14:paraId="0DC55443">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13AA90DC">
      <w:pPr>
        <w:rPr>
          <w:rFonts w:ascii="黑体" w:eastAsia="黑体"/>
          <w:sz w:val="32"/>
          <w:szCs w:val="32"/>
        </w:rPr>
      </w:pPr>
      <w:r>
        <w:rPr>
          <w:rFonts w:hint="eastAsia" w:ascii="黑体" w:eastAsia="黑体"/>
          <w:sz w:val="32"/>
          <w:szCs w:val="32"/>
        </w:rPr>
        <w:t>二、部门预算单位构成</w:t>
      </w:r>
    </w:p>
    <w:p w14:paraId="5846AB86">
      <w:pPr>
        <w:rPr>
          <w:rFonts w:ascii="黑体" w:eastAsia="黑体"/>
          <w:sz w:val="32"/>
          <w:szCs w:val="32"/>
        </w:rPr>
      </w:pPr>
      <w:r>
        <w:rPr>
          <w:rFonts w:hint="eastAsia" w:ascii="黑体" w:eastAsia="黑体"/>
          <w:sz w:val="32"/>
          <w:szCs w:val="32"/>
        </w:rPr>
        <w:t>三、收支预算情况说明</w:t>
      </w:r>
    </w:p>
    <w:p w14:paraId="0E8BF717">
      <w:pPr>
        <w:rPr>
          <w:rFonts w:ascii="楷体" w:eastAsia="楷体"/>
          <w:sz w:val="32"/>
          <w:szCs w:val="32"/>
        </w:rPr>
      </w:pPr>
      <w:r>
        <w:rPr>
          <w:rFonts w:hint="eastAsia" w:ascii="楷体" w:eastAsia="楷体"/>
          <w:sz w:val="32"/>
          <w:szCs w:val="32"/>
        </w:rPr>
        <w:t>（一）收入预算情况</w:t>
      </w:r>
    </w:p>
    <w:p w14:paraId="7332D3EB">
      <w:pPr>
        <w:rPr>
          <w:rFonts w:ascii="楷体" w:eastAsia="楷体"/>
          <w:sz w:val="32"/>
          <w:szCs w:val="32"/>
        </w:rPr>
      </w:pPr>
      <w:r>
        <w:rPr>
          <w:rFonts w:hint="eastAsia" w:ascii="楷体" w:eastAsia="楷体"/>
          <w:sz w:val="32"/>
          <w:szCs w:val="32"/>
        </w:rPr>
        <w:t>（二）支出预算情况</w:t>
      </w:r>
    </w:p>
    <w:p w14:paraId="1B397E6B">
      <w:pPr>
        <w:rPr>
          <w:rFonts w:ascii="黑体" w:eastAsia="黑体"/>
          <w:sz w:val="32"/>
          <w:szCs w:val="32"/>
        </w:rPr>
      </w:pPr>
      <w:r>
        <w:rPr>
          <w:rFonts w:hint="eastAsia" w:ascii="黑体" w:eastAsia="黑体"/>
          <w:sz w:val="32"/>
          <w:szCs w:val="32"/>
        </w:rPr>
        <w:t>四、财政拨款收支预算情况说明</w:t>
      </w:r>
    </w:p>
    <w:p w14:paraId="413FAD67">
      <w:pPr>
        <w:rPr>
          <w:rFonts w:ascii="黑体" w:eastAsia="黑体"/>
          <w:sz w:val="32"/>
          <w:szCs w:val="32"/>
        </w:rPr>
      </w:pPr>
      <w:r>
        <w:rPr>
          <w:rFonts w:hint="eastAsia" w:ascii="黑体" w:eastAsia="黑体"/>
          <w:sz w:val="32"/>
          <w:szCs w:val="32"/>
        </w:rPr>
        <w:t>五、一般公共预算当年拨款情况说明</w:t>
      </w:r>
    </w:p>
    <w:p w14:paraId="37B5BB41">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2FBD31A8">
      <w:pPr>
        <w:rPr>
          <w:rFonts w:ascii="黑体" w:eastAsia="黑体"/>
          <w:sz w:val="32"/>
          <w:szCs w:val="32"/>
        </w:rPr>
      </w:pPr>
    </w:p>
    <w:p w14:paraId="37F3AE4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E83B36B">
      <w:pPr>
        <w:pStyle w:val="9"/>
        <w:rPr>
          <w:rFonts w:ascii="黑体" w:eastAsia="黑体"/>
          <w:sz w:val="32"/>
          <w:szCs w:val="32"/>
        </w:rPr>
      </w:pPr>
      <w:r>
        <w:rPr>
          <w:rFonts w:hint="eastAsia" w:ascii="黑体" w:eastAsia="黑体"/>
          <w:sz w:val="32"/>
          <w:szCs w:val="32"/>
        </w:rPr>
        <w:t>一、基本职能及主要工作</w:t>
      </w:r>
    </w:p>
    <w:p w14:paraId="13B30739">
      <w:pPr>
        <w:pStyle w:val="9"/>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（一）部门职能简介</w:t>
      </w:r>
    </w:p>
    <w:p w14:paraId="26831DB4">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小金县人民法院是国家审判机关，依照法律规定独立行使审判权，对小金县人民代表大会及其常务委员会负责并报告工作。主要工作是:依法审理各类案件，全力维护小金的和谐稳定。</w:t>
      </w:r>
    </w:p>
    <w:p w14:paraId="18972F8B">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（二）2026年重点工作</w:t>
      </w:r>
    </w:p>
    <w:p w14:paraId="7AC660B9">
      <w:pPr>
        <w:numPr>
          <w:ilvl w:val="0"/>
          <w:numId w:val="0"/>
        </w:numPr>
        <w:shd w:val="clear" w:color="auto" w:fill="auto"/>
        <w:autoSpaceDN/>
        <w:spacing w:after="0" w:line="240" w:lineRule="auto"/>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一年来，我院在县委的领导，县人大、县政协和上级法院的监督指导，县政府及社会各界的关心支持下，牢牢把握“司法为民、公正司法”的主线，以执法办案为中心，维护公平正义为第一要务，以服务民生增进人民幸福感为根本，立足县情院情，着力抓思想、重管理、强服务、提质效、改作风、创亮点，各项工作取得了新的跨越和发展，为促进全县经济持续平稳健康发展，维护社会和谐稳定作出了积极贡献。</w:t>
      </w:r>
    </w:p>
    <w:p w14:paraId="23D58053">
      <w:pPr>
        <w:pStyle w:val="9"/>
        <w:numPr>
          <w:ilvl w:val="0"/>
          <w:numId w:val="1"/>
        </w:numPr>
        <w:ind w:firstLineChars="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部门预算单位构成</w:t>
      </w:r>
    </w:p>
    <w:p w14:paraId="2FED8E40">
      <w:pPr>
        <w:spacing w:line="240" w:lineRule="auto"/>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小金县人民法院属独立法人机构，内设机构9个：综合办公室、政治处（督查室）、立案庭（诉讼服务中心）、刑事审判庭（环境资源审判庭）、民事审判庭（未成年人案件审判庭）、行政审判庭、执行局、审判管理办公室（研究室）、司法警察大队；下设基层人民法庭4个：美兴人民法庭、达维人民法庭、木坡人民法庭、汗牛人民法庭。实有在编在职干警52人，其中政法专项编制50人，行政工勤2人；遗属补助4人，退休人员21人，机动车12辆。</w:t>
      </w:r>
    </w:p>
    <w:p w14:paraId="62901B83">
      <w:pPr>
        <w:pStyle w:val="9"/>
        <w:ind w:left="720" w:firstLine="0" w:firstLineChars="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三、收支预算情况说明</w:t>
      </w:r>
    </w:p>
    <w:p w14:paraId="322F0159">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（一）收入预算情况</w:t>
      </w:r>
    </w:p>
    <w:p w14:paraId="57475498">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 xml:space="preserve"> 2026年小金县人民法院收入预算总额为1308.92万元，其中：当年财政拨款收入1308.92万元。相应安排支出预算1308.92万元，其中：公共安全支出941.25万元，社会保障和就业支出197.30万元，卫生健康支出73.34万元，住房保障支出97.03万元。</w:t>
      </w:r>
    </w:p>
    <w:p w14:paraId="699518E4">
      <w:pPr>
        <w:numPr>
          <w:ilvl w:val="0"/>
          <w:numId w:val="0"/>
        </w:num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（二）支出预算情况</w:t>
      </w:r>
    </w:p>
    <w:p w14:paraId="7C68AEF9">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基本支出1308.92万元，主要是用于保障我院机构正常运转、完成日常工作任务及法院。</w:t>
      </w:r>
    </w:p>
    <w:p w14:paraId="6356638E">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（一）公共安全支出941.25万元，主要用于我院机关人员工资、日常运转及为我院完成审判工作支出。</w:t>
      </w:r>
    </w:p>
    <w:p w14:paraId="52A957DB">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（二）社会保障和就业支出197.30万元，主要用于我院按照规定标准为职工缴纳的机关养老保险和职业年金缴费。</w:t>
      </w:r>
    </w:p>
    <w:p w14:paraId="62496755">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（三）卫生健康支出73.34万元，主要用于我院按照规定标准为职工缴纳的基本医疗保险及公务员医疗补助等支出。</w:t>
      </w:r>
    </w:p>
    <w:p w14:paraId="6B0F1780">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（四）住房保障支出97.03万元，主要用于我院按照规定标准为职工缴纳住房公积金等支出。</w:t>
      </w:r>
    </w:p>
    <w:p w14:paraId="2EBB76D7">
      <w:pPr>
        <w:spacing w:line="576" w:lineRule="exact"/>
        <w:ind w:left="0" w:leftChars="0" w:firstLine="640" w:firstLineChars="200"/>
        <w:rPr>
          <w:rFonts w:hint="default"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四、财政拨款收支预算情况说明</w:t>
      </w:r>
      <w:r>
        <w:rPr>
          <w:rFonts w:hint="eastAsia" w:ascii="Times New Roman" w:hAnsi="Times New Roman" w:eastAsia="方正仿宋_GBK" w:cs="仿宋_GB2312"/>
          <w:kern w:val="2"/>
          <w:sz w:val="32"/>
          <w:szCs w:val="32"/>
          <w:lang w:val="en-US" w:eastAsia="zh-CN" w:bidi="ar-SA"/>
        </w:rPr>
        <w:br w:type="textWrapping"/>
      </w:r>
      <w:r>
        <w:rPr>
          <w:rFonts w:hint="eastAsia" w:ascii="Times New Roman" w:hAnsi="Times New Roman" w:eastAsia="方正仿宋_GBK" w:cs="仿宋_GB2312"/>
          <w:kern w:val="2"/>
          <w:sz w:val="32"/>
          <w:szCs w:val="32"/>
          <w:lang w:val="en-US" w:eastAsia="zh-CN" w:bidi="ar-SA"/>
        </w:rPr>
        <w:t xml:space="preserve">  部门（单位）2026年财政拨款收支总预算1308.92万元,比2025年财政拨款收支总预算增加67.17万元，主要原因:我院人员数增加。</w:t>
      </w:r>
    </w:p>
    <w:p w14:paraId="7CA47F87">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收入包括：公共安全支出941.25万元，社会保障和就业支出197.30万元，卫生健康支出73.34万元，住房保障支出97.03万元。</w:t>
      </w:r>
    </w:p>
    <w:p w14:paraId="7F7D8E46">
      <w:pPr>
        <w:spacing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支出包括：公共安全支出941.25万元，社会保障和就业支出197.30万元，卫生健康支出73.34万元，住房保障支出97.03万元。</w:t>
      </w:r>
    </w:p>
    <w:p w14:paraId="0F337FC7">
      <w:pPr>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五、一般公共预算当年拨款情况说明</w:t>
      </w:r>
    </w:p>
    <w:p w14:paraId="14DC0B21">
      <w:pPr>
        <w:pStyle w:val="10"/>
        <w:spacing w:before="0" w:line="576" w:lineRule="exact"/>
        <w:ind w:firstLine="66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（一）一般公共预算当年拨款规模变化情况</w:t>
      </w:r>
    </w:p>
    <w:p w14:paraId="35BE660F">
      <w:pPr>
        <w:spacing w:line="576" w:lineRule="exact"/>
        <w:ind w:left="0" w:leftChars="0" w:firstLine="640" w:firstLineChars="200"/>
        <w:rPr>
          <w:rFonts w:hint="default"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我单位2026年一般公共预算当年拨款1308.92万元，比2025年预算数增加67.17万元，主要原因:我院人员数增加。</w:t>
      </w:r>
    </w:p>
    <w:p w14:paraId="45B997A1">
      <w:pPr>
        <w:numPr>
          <w:ilvl w:val="0"/>
          <w:numId w:val="0"/>
        </w:numPr>
        <w:bidi w:val="0"/>
        <w:spacing w:line="576" w:lineRule="exact"/>
        <w:ind w:left="-420" w:leftChars="-200" w:firstLine="960" w:firstLineChars="300"/>
        <w:jc w:val="left"/>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（二）一般公共预算当年拨款结构情况</w:t>
      </w:r>
    </w:p>
    <w:p w14:paraId="2E84F864">
      <w:pPr>
        <w:numPr>
          <w:ilvl w:val="0"/>
          <w:numId w:val="0"/>
        </w:numPr>
        <w:bidi w:val="0"/>
        <w:spacing w:line="576" w:lineRule="exact"/>
        <w:ind w:left="-99" w:leftChars="-47" w:firstLine="960" w:firstLineChars="300"/>
        <w:jc w:val="left"/>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公共安全支出941.25万元，占71.92%；社会保障和就业支出197.30万元，占15.07%；卫生健康支出73.34万元，占5.6%；住房保障支出97.03万元占7.41%。</w:t>
      </w:r>
    </w:p>
    <w:p w14:paraId="59FD5A43">
      <w:pPr>
        <w:pStyle w:val="10"/>
        <w:spacing w:before="0" w:line="576" w:lineRule="exact"/>
        <w:ind w:firstLine="640" w:firstLineChars="200"/>
        <w:jc w:val="left"/>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（三）一般公共预算当年拨款具体使用情况</w:t>
      </w:r>
    </w:p>
    <w:p w14:paraId="1C73D3B6">
      <w:pPr>
        <w:pStyle w:val="10"/>
        <w:spacing w:before="0" w:line="360" w:lineRule="auto"/>
        <w:ind w:firstLine="66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我单位2026年财政拨款支出预算1308.92万元,。包括公共安全支出941.25万元，社会保障和就业支出197.30万元，卫生健康支出73.34万元，住房保障支出97.03万元。六、一般公共预算基本支出情况说明</w:t>
      </w:r>
    </w:p>
    <w:p w14:paraId="6D765022">
      <w:pPr>
        <w:pStyle w:val="10"/>
        <w:spacing w:before="0"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我单位2026年一般公共预算基本支出1308.92万元，其中：人员经费1151.09万元，主要包括：基本工资、津贴补贴、奖金、其他社会保障缴费、绩效工资、机关事业单位基本养老保险缴费、职业年金缴费、其他工资福利支出、离休费、奖励金、住房公积金、其他对个人和家庭的补助支出。</w:t>
      </w:r>
    </w:p>
    <w:p w14:paraId="0F3AC79A">
      <w:pPr>
        <w:pStyle w:val="10"/>
        <w:spacing w:before="0" w:line="360" w:lineRule="auto"/>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公用经费157.82万元，主要包括：办公费、水费、邮电费、取暖费、差旅费、维修（护）费、培训费、公务接待费、福利费、体检费、公务用车运行维护费、党组织活动经费、其他商品和服务支出。</w:t>
      </w:r>
    </w:p>
    <w:p w14:paraId="1BD631ED">
      <w:pPr>
        <w:pStyle w:val="10"/>
        <w:spacing w:before="0" w:line="360" w:lineRule="auto"/>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七、“三公”经费财政拨款预算安排情况说明</w:t>
      </w:r>
    </w:p>
    <w:p w14:paraId="150A7287">
      <w:pPr>
        <w:pStyle w:val="10"/>
        <w:spacing w:before="0"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我单位2026年“三公”经费财政拨款预算数24.6万元。其中：因公出国（境）经费0万元，公务接待费2.10万元，公务用车购置及运行维护费22.50万元。</w:t>
      </w:r>
    </w:p>
    <w:p w14:paraId="30343079">
      <w:pPr>
        <w:pStyle w:val="10"/>
        <w:spacing w:before="0"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（一）2026年因公出国（境）经费0万元。</w:t>
      </w:r>
    </w:p>
    <w:p w14:paraId="46AEC9C8">
      <w:pPr>
        <w:pStyle w:val="10"/>
        <w:spacing w:before="0" w:line="240" w:lineRule="auto"/>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（二）2026年公务接待经费2.10万元。较2025年预算经费增加0.06万元，增长2.94%，主要原因主要用于执行公务、开展业务活动开支的住宿费、用餐费等增加。</w:t>
      </w:r>
    </w:p>
    <w:p w14:paraId="04EE9EA5">
      <w:pPr>
        <w:pStyle w:val="10"/>
        <w:spacing w:before="0"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（三）2026年公务用车购置及运行维护费22..5万元。较2025年预算经费增加0万元，增长0%。</w:t>
      </w:r>
    </w:p>
    <w:p w14:paraId="0AEC971C">
      <w:pPr>
        <w:pStyle w:val="10"/>
        <w:spacing w:before="0" w:line="360" w:lineRule="auto"/>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八、政府性基金预算支出情况说明</w:t>
      </w:r>
    </w:p>
    <w:p w14:paraId="29D66224">
      <w:pPr>
        <w:pStyle w:val="10"/>
        <w:spacing w:before="0"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2026年部门预算未安排政府性基金预算。</w:t>
      </w:r>
    </w:p>
    <w:p w14:paraId="402B5634">
      <w:pPr>
        <w:pStyle w:val="10"/>
        <w:spacing w:before="0" w:line="360" w:lineRule="auto"/>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九、其他重要事项的情况说明</w:t>
      </w:r>
    </w:p>
    <w:p w14:paraId="3CFC79A7">
      <w:pPr>
        <w:pStyle w:val="10"/>
        <w:spacing w:before="0"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（一）机关运行经费</w:t>
      </w:r>
      <w:r>
        <w:rPr>
          <w:rFonts w:hint="eastAsia" w:ascii="Times New Roman" w:hAnsi="Times New Roman" w:eastAsia="方正仿宋_GBK" w:cs="仿宋_GB2312"/>
          <w:kern w:val="2"/>
          <w:sz w:val="32"/>
          <w:szCs w:val="32"/>
          <w:lang w:val="en-US" w:eastAsia="zh-CN" w:bidi="ar-SA"/>
        </w:rPr>
        <w:br w:type="textWrapping"/>
      </w:r>
      <w:r>
        <w:rPr>
          <w:rFonts w:hint="eastAsia" w:ascii="Times New Roman" w:hAnsi="Times New Roman" w:eastAsia="方正仿宋_GBK" w:cs="仿宋_GB2312"/>
          <w:kern w:val="2"/>
          <w:sz w:val="32"/>
          <w:szCs w:val="32"/>
          <w:lang w:val="en-US" w:eastAsia="zh-CN" w:bidi="ar-SA"/>
        </w:rPr>
        <w:t xml:space="preserve">　  我单位2026年机关运行经费财政拨款预算为157.82万元，比2025年预算增加2.9万元，增加1.87%。 </w:t>
      </w:r>
    </w:p>
    <w:p w14:paraId="736925A0">
      <w:pPr>
        <w:pStyle w:val="10"/>
        <w:spacing w:before="0"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（二）政府采购情况</w:t>
      </w:r>
      <w:r>
        <w:rPr>
          <w:rFonts w:hint="eastAsia" w:ascii="Times New Roman" w:hAnsi="Times New Roman" w:eastAsia="方正仿宋_GBK" w:cs="仿宋_GB2312"/>
          <w:kern w:val="2"/>
          <w:sz w:val="32"/>
          <w:szCs w:val="32"/>
          <w:lang w:val="en-US" w:eastAsia="zh-CN" w:bidi="ar-SA"/>
        </w:rPr>
        <w:br w:type="textWrapping"/>
      </w:r>
      <w:r>
        <w:rPr>
          <w:rFonts w:hint="eastAsia" w:ascii="Times New Roman" w:hAnsi="Times New Roman" w:eastAsia="方正仿宋_GBK" w:cs="仿宋_GB2312"/>
          <w:kern w:val="2"/>
          <w:sz w:val="32"/>
          <w:szCs w:val="32"/>
          <w:lang w:val="en-US" w:eastAsia="zh-CN" w:bidi="ar-SA"/>
        </w:rPr>
        <w:t>　　 2026年部门预算未安排政府采购</w:t>
      </w:r>
    </w:p>
    <w:p w14:paraId="32EA53D5">
      <w:pPr>
        <w:pStyle w:val="10"/>
        <w:spacing w:before="0"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（三）国有资产占有使用情况</w:t>
      </w:r>
    </w:p>
    <w:p w14:paraId="75876BE5">
      <w:pPr>
        <w:pStyle w:val="10"/>
        <w:spacing w:before="0"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截至2025年12月31日，我单位固定资产4671.27万元。</w:t>
      </w:r>
    </w:p>
    <w:p w14:paraId="0980ACD7">
      <w:pPr>
        <w:pStyle w:val="10"/>
        <w:spacing w:before="0" w:line="576" w:lineRule="exact"/>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（四）绩效目标设置情况</w:t>
      </w:r>
      <w:r>
        <w:rPr>
          <w:rFonts w:hint="eastAsia" w:ascii="Times New Roman" w:hAnsi="Times New Roman" w:eastAsia="方正仿宋_GBK" w:cs="仿宋_GB2312"/>
          <w:kern w:val="2"/>
          <w:sz w:val="32"/>
          <w:szCs w:val="32"/>
          <w:lang w:val="en-US" w:eastAsia="zh-CN" w:bidi="ar-SA"/>
        </w:rPr>
        <w:br w:type="textWrapping"/>
      </w:r>
      <w:r>
        <w:rPr>
          <w:rFonts w:hint="eastAsia" w:ascii="Times New Roman" w:hAnsi="Times New Roman" w:eastAsia="方正仿宋_GBK" w:cs="仿宋_GB2312"/>
          <w:kern w:val="2"/>
          <w:sz w:val="32"/>
          <w:szCs w:val="32"/>
          <w:lang w:val="en-US" w:eastAsia="zh-CN" w:bidi="ar-SA"/>
        </w:rPr>
        <w:t>　　2026年我单位通用项目和专用项目均按要求实行绩效目标管理，涉及一般公共预算当年拨款1308.92万元。</w:t>
      </w:r>
    </w:p>
    <w:p w14:paraId="257541EE">
      <w:pPr>
        <w:pStyle w:val="10"/>
        <w:spacing w:before="0" w:line="360" w:lineRule="auto"/>
        <w:ind w:firstLine="640" w:firstLineChars="200"/>
        <w:rPr>
          <w:rFonts w:hint="eastAsia" w:ascii="Times New Roman" w:hAnsi="Times New Roman" w:eastAsia="方正仿宋_GBK" w:cs="仿宋_GB2312"/>
          <w:kern w:val="2"/>
          <w:sz w:val="32"/>
          <w:szCs w:val="32"/>
          <w:lang w:val="en-US" w:eastAsia="zh-CN" w:bidi="ar-SA"/>
        </w:rPr>
      </w:pPr>
      <w:r>
        <w:rPr>
          <w:rFonts w:hint="eastAsia" w:ascii="Times New Roman" w:hAnsi="Times New Roman" w:eastAsia="方正仿宋_GBK" w:cs="仿宋_GB2312"/>
          <w:kern w:val="2"/>
          <w:sz w:val="32"/>
          <w:szCs w:val="32"/>
          <w:lang w:val="en-US" w:eastAsia="zh-CN" w:bidi="ar-SA"/>
        </w:rPr>
        <w:t xml:space="preserve">十、名称解释 </w:t>
      </w:r>
      <w:r>
        <w:rPr>
          <w:rFonts w:hint="eastAsia" w:ascii="Times New Roman" w:hAnsi="Times New Roman" w:eastAsia="方正仿宋_GBK" w:cs="仿宋_GB2312"/>
          <w:kern w:val="2"/>
          <w:sz w:val="32"/>
          <w:szCs w:val="32"/>
          <w:lang w:val="en-US" w:eastAsia="zh-CN" w:bidi="ar-SA"/>
        </w:rPr>
        <w:br w:type="textWrapping"/>
      </w:r>
      <w:r>
        <w:rPr>
          <w:rFonts w:hint="eastAsia" w:ascii="Times New Roman" w:hAnsi="Times New Roman" w:eastAsia="方正仿宋_GBK" w:cs="仿宋_GB2312"/>
          <w:kern w:val="2"/>
          <w:sz w:val="32"/>
          <w:szCs w:val="32"/>
          <w:lang w:val="en-US" w:eastAsia="zh-CN" w:bidi="ar-SA"/>
        </w:rPr>
        <w:t>　　（一）财政拨款收入：指由财政拨款形成的部门收入。按现行管理制度，部门预算中反映的财政拨款仅包括一般公共预算拨款和政府性基金预算拨款。</w:t>
      </w:r>
      <w:r>
        <w:rPr>
          <w:rFonts w:hint="eastAsia" w:ascii="Times New Roman" w:hAnsi="Times New Roman" w:eastAsia="方正仿宋_GBK" w:cs="仿宋_GB2312"/>
          <w:kern w:val="2"/>
          <w:sz w:val="32"/>
          <w:szCs w:val="32"/>
          <w:lang w:val="en-US" w:eastAsia="zh-CN" w:bidi="ar-SA"/>
        </w:rPr>
        <w:br w:type="textWrapping"/>
      </w:r>
      <w:r>
        <w:rPr>
          <w:rFonts w:hint="eastAsia" w:ascii="Times New Roman" w:hAnsi="Times New Roman" w:eastAsia="方正仿宋_GBK" w:cs="仿宋_GB2312"/>
          <w:kern w:val="2"/>
          <w:sz w:val="32"/>
          <w:szCs w:val="32"/>
          <w:lang w:val="en-US" w:eastAsia="zh-CN" w:bidi="ar-SA"/>
        </w:rPr>
        <w:t>　　（二）事业收入：指所属事业单位开展专业业务活动及辅助活动所取得的收入。</w:t>
      </w:r>
      <w:r>
        <w:rPr>
          <w:rFonts w:hint="eastAsia" w:ascii="Times New Roman" w:hAnsi="Times New Roman" w:eastAsia="方正仿宋_GBK" w:cs="仿宋_GB2312"/>
          <w:kern w:val="2"/>
          <w:sz w:val="32"/>
          <w:szCs w:val="32"/>
          <w:lang w:val="en-US" w:eastAsia="zh-CN" w:bidi="ar-SA"/>
        </w:rPr>
        <w:br w:type="textWrapping"/>
      </w:r>
      <w:r>
        <w:rPr>
          <w:rFonts w:hint="eastAsia" w:ascii="Times New Roman" w:hAnsi="Times New Roman" w:eastAsia="方正仿宋_GBK" w:cs="仿宋_GB2312"/>
          <w:kern w:val="2"/>
          <w:sz w:val="32"/>
          <w:szCs w:val="32"/>
          <w:lang w:val="en-US" w:eastAsia="zh-CN" w:bidi="ar-SA"/>
        </w:rPr>
        <w:t>　　（三）事业单位经营收入：指所属事业单位在专业业务活动及其辅助活动之外开展非独立核算经营活动取得的收入。</w:t>
      </w:r>
      <w:r>
        <w:rPr>
          <w:rFonts w:hint="eastAsia" w:ascii="Times New Roman" w:hAnsi="Times New Roman" w:eastAsia="方正仿宋_GBK" w:cs="仿宋_GB2312"/>
          <w:kern w:val="2"/>
          <w:sz w:val="32"/>
          <w:szCs w:val="32"/>
          <w:lang w:val="en-US" w:eastAsia="zh-CN" w:bidi="ar-SA"/>
        </w:rPr>
        <w:br w:type="textWrapping"/>
      </w:r>
      <w:r>
        <w:rPr>
          <w:rFonts w:hint="eastAsia" w:ascii="Times New Roman" w:hAnsi="Times New Roman" w:eastAsia="方正仿宋_GBK" w:cs="仿宋_GB2312"/>
          <w:kern w:val="2"/>
          <w:sz w:val="32"/>
          <w:szCs w:val="32"/>
          <w:lang w:val="en-US" w:eastAsia="zh-CN" w:bidi="ar-SA"/>
        </w:rPr>
        <w:t>　　（四）其他收入：指除上述“财政拨款收入”、“事业收入”、“事业单位经营收入”等以外的收入，主要是所属行政事业单位按规定动用的售房收入、存款利息收入等。</w:t>
      </w:r>
      <w:r>
        <w:rPr>
          <w:rFonts w:hint="eastAsia" w:ascii="Times New Roman" w:hAnsi="Times New Roman" w:eastAsia="方正仿宋_GBK" w:cs="仿宋_GB2312"/>
          <w:kern w:val="2"/>
          <w:sz w:val="32"/>
          <w:szCs w:val="32"/>
          <w:lang w:val="en-US" w:eastAsia="zh-CN" w:bidi="ar-SA"/>
        </w:rPr>
        <w:br w:type="textWrapping"/>
      </w:r>
      <w:r>
        <w:rPr>
          <w:rFonts w:hint="eastAsia" w:ascii="Times New Roman" w:hAnsi="Times New Roman" w:eastAsia="方正仿宋_GBK" w:cs="仿宋_GB2312"/>
          <w:kern w:val="2"/>
          <w:sz w:val="32"/>
          <w:szCs w:val="32"/>
          <w:lang w:val="en-US" w:eastAsia="zh-CN" w:bidi="ar-SA"/>
        </w:rPr>
        <w:t>　　（五）用事业基金弥补收支差额：指所属事业单位在预计用当年的“财政拨款收入”、“事业收入”、“事业单位经营收入”、“其他收入”不足以安排当年支出的情况下，使用以前年度积累的事业基金弥补本年度收支缺口的资金。</w:t>
      </w:r>
      <w:r>
        <w:rPr>
          <w:rFonts w:hint="eastAsia" w:ascii="Times New Roman" w:hAnsi="Times New Roman" w:eastAsia="方正仿宋_GBK" w:cs="仿宋_GB2312"/>
          <w:kern w:val="2"/>
          <w:sz w:val="32"/>
          <w:szCs w:val="32"/>
          <w:lang w:val="en-US" w:eastAsia="zh-CN" w:bidi="ar-SA"/>
        </w:rPr>
        <w:br w:type="textWrapping"/>
      </w:r>
      <w:r>
        <w:rPr>
          <w:rFonts w:hint="eastAsia" w:ascii="Times New Roman" w:hAnsi="Times New Roman" w:eastAsia="方正仿宋_GBK" w:cs="仿宋_GB2312"/>
          <w:kern w:val="2"/>
          <w:sz w:val="32"/>
          <w:szCs w:val="32"/>
          <w:lang w:val="en-US" w:eastAsia="zh-CN" w:bidi="ar-SA"/>
        </w:rPr>
        <w:t>　　（六）上年结转：指所属行政事业单位以前年度尚未完成、结转至本年按原规定用途继续使用的资金和以前年度已完成项目剩余资金经批准用于新用途使用的资金。</w:t>
      </w:r>
    </w:p>
    <w:p w14:paraId="4F89A69B">
      <w:pPr>
        <w:rPr>
          <w:rFonts w:hint="eastAsia" w:ascii="Times New Roman" w:hAnsi="Times New Roman" w:eastAsia="方正仿宋_GBK" w:cs="仿宋_GB2312"/>
          <w:kern w:val="2"/>
          <w:sz w:val="32"/>
          <w:szCs w:val="32"/>
          <w:lang w:val="en-US" w:eastAsia="zh-CN" w:bidi="ar-SA"/>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Segoe Print"/>
    <w:panose1 w:val="00000000000000000000"/>
    <w:charset w:val="00"/>
    <w:family w:val="roman"/>
    <w:pitch w:val="default"/>
    <w:sig w:usb0="00000000" w:usb1="00000000" w:usb2="00000000" w:usb3="00000000" w:csb0="00000001" w:csb1="00000000"/>
  </w:font>
  <w:font w:name="Bitstream Vera Sans">
    <w:altName w:val="Segoe Print"/>
    <w:panose1 w:val="020B0603030804020204"/>
    <w:charset w:val="00"/>
    <w:family w:val="auto"/>
    <w:pitch w:val="default"/>
    <w:sig w:usb0="00000000" w:usb1="00000000" w:usb2="00000000" w:usb3="00000000" w:csb0="00000001" w:csb1="00000000"/>
  </w:font>
  <w:font w:name="方正仿宋_GBK">
    <w:panose1 w:val="02000000000000000000"/>
    <w:charset w:val="86"/>
    <w:family w:val="auto"/>
    <w:pitch w:val="default"/>
    <w:sig w:usb0="00000001" w:usb1="080E0000" w:usb2="00000000" w:usb3="00000000" w:csb0="00040000" w:csb1="00000000"/>
  </w:font>
  <w:font w:name="Segoe Print">
    <w:panose1 w:val="02000600000000000000"/>
    <w:charset w:val="00"/>
    <w:family w:val="auto"/>
    <w:pitch w:val="default"/>
    <w:sig w:usb0="0000028F" w:usb1="00000000" w:usb2="00000000" w:usb3="00000000" w:csb0="2000009F" w:csb1="4701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AD3081">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3B16B2F"/>
    <w:rsid w:val="0DE14AC5"/>
    <w:rsid w:val="0F7BF3D6"/>
    <w:rsid w:val="16535744"/>
    <w:rsid w:val="22C0275E"/>
    <w:rsid w:val="303107DF"/>
    <w:rsid w:val="39897C3B"/>
    <w:rsid w:val="549848A2"/>
    <w:rsid w:val="7CA10350"/>
    <w:rsid w:val="7FF66472"/>
    <w:rsid w:val="917D662E"/>
    <w:rsid w:val="F73A541F"/>
    <w:rsid w:val="FBFFF6B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8">
    <w:name w:val="Default Paragraph Font"/>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5">
    <w:name w:val="footer"/>
    <w:basedOn w:val="1"/>
    <w:qFormat/>
    <w:uiPriority w:val="0"/>
    <w:pPr>
      <w:tabs>
        <w:tab w:val="center" w:pos="4153"/>
        <w:tab w:val="right" w:pos="8306"/>
      </w:tabs>
      <w:snapToGrid w:val="0"/>
      <w:jc w:val="left"/>
    </w:pPr>
    <w:rPr>
      <w:sz w:val="18"/>
      <w:szCs w:val="18"/>
    </w:rPr>
  </w:style>
  <w:style w:type="paragraph" w:styleId="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List Paragraph"/>
    <w:basedOn w:val="1"/>
    <w:qFormat/>
    <w:uiPriority w:val="0"/>
    <w:pPr>
      <w:ind w:firstLine="200" w:firstLineChars="200"/>
    </w:pPr>
  </w:style>
  <w:style w:type="paragraph" w:customStyle="1" w:styleId="10">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2502</Words>
  <Characters>2814</Characters>
  <Lines>124</Lines>
  <Paragraphs>51</Paragraphs>
  <TotalTime>17</TotalTime>
  <ScaleCrop>false</ScaleCrop>
  <LinksUpToDate>false</LinksUpToDate>
  <CharactersWithSpaces>2839</CharactersWithSpaces>
  <Application>WPS Office_12.1.0.24034_F1E327BC-269C-435d-A152-05C5408002CA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2022-12-30T16:44:00Z</dcterms:created>
  <dc:creator>疯丫头。。</dc:creator>
  <cp:lastModifiedBy>沫沫</cp:lastModifiedBy>
  <cp:lastPrinted>2018-01-30T16:39:00Z</cp:lastPrinted>
  <dcterms:modified xsi:type="dcterms:W3CDTF">2026-01-30T09:51:32Z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KSOTemplateDocerSaveRecord">
    <vt:lpwstr>eyJoZGlkIjoiMjU0ODU5OTliZWUwMjk3MGVkMTAxMGJmNmZmMmVlZjEiLCJ1c2VySWQiOiIyNzIyMTY1NTgifQ==</vt:lpwstr>
  </property>
  <property fmtid="{D5CDD505-2E9C-101B-9397-08002B2CF9AE}" pid="4" name="ICV">
    <vt:lpwstr>27608D0B29634AEF94354662490C2F77_12</vt:lpwstr>
  </property>
</Properties>
</file>