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lang w:eastAsia="zh-CN"/>
        </w:rPr>
        <w:t>金川县人民法院</w:t>
      </w:r>
    </w:p>
    <w:p>
      <w:pPr>
        <w:jc w:val="center"/>
        <w:rPr>
          <w:rFonts w:ascii="黑体" w:eastAsia="黑体"/>
          <w:sz w:val="44"/>
          <w:szCs w:val="44"/>
        </w:rPr>
      </w:pPr>
      <w:r>
        <w:rPr>
          <w:rFonts w:ascii="黑体" w:eastAsia="黑体"/>
          <w:sz w:val="44"/>
          <w:szCs w:val="44"/>
        </w:rPr>
        <w:t>202</w:t>
      </w:r>
      <w:r>
        <w:rPr>
          <w:rFonts w:hint="eastAsia" w:ascii="黑体" w:eastAsia="黑体"/>
          <w:sz w:val="44"/>
          <w:szCs w:val="44"/>
          <w:lang w:val="en-US" w:eastAsia="zh-CN"/>
        </w:rPr>
        <w:t>6</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w:t>
      </w:r>
      <w:r>
        <w:rPr>
          <w:rFonts w:hint="eastAsia" w:ascii="楷体" w:eastAsia="楷体"/>
          <w:sz w:val="32"/>
          <w:szCs w:val="32"/>
          <w:lang w:val="en-US" w:eastAsia="zh-CN"/>
        </w:rPr>
        <w:t>6</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0" w:firstLineChars="200"/>
        <w:rPr>
          <w:rFonts w:ascii="楷体" w:eastAsia="楷体"/>
          <w:sz w:val="32"/>
          <w:szCs w:val="32"/>
        </w:rPr>
      </w:pPr>
      <w:r>
        <w:rPr>
          <w:rFonts w:hint="eastAsia" w:ascii="楷体" w:eastAsia="楷体"/>
          <w:sz w:val="32"/>
          <w:szCs w:val="32"/>
        </w:rPr>
        <w:t>（一）</w:t>
      </w:r>
      <w:r>
        <w:rPr>
          <w:rFonts w:hint="eastAsia" w:ascii="楷体" w:eastAsia="楷体"/>
          <w:sz w:val="32"/>
          <w:szCs w:val="32"/>
          <w:lang w:eastAsia="zh-CN"/>
        </w:rPr>
        <w:t>部门</w:t>
      </w:r>
      <w:r>
        <w:rPr>
          <w:rFonts w:hint="eastAsia" w:ascii="楷体" w:eastAsia="楷体"/>
          <w:sz w:val="32"/>
          <w:szCs w:val="32"/>
        </w:rPr>
        <w:t>职能简介</w:t>
      </w:r>
    </w:p>
    <w:p>
      <w:pPr>
        <w:pStyle w:val="10"/>
        <w:spacing w:before="0" w:line="360" w:lineRule="auto"/>
        <w:ind w:left="651" w:leftChars="310"/>
        <w:jc w:val="left"/>
        <w:rPr>
          <w:rFonts w:hint="eastAsia" w:ascii="仿宋_GB2312" w:hAnsi="Calibri" w:eastAsia="仿宋_GB2312" w:cs="仿宋_GB2312"/>
          <w:color w:val="auto"/>
          <w:kern w:val="2"/>
          <w:sz w:val="32"/>
          <w:szCs w:val="32"/>
          <w:lang w:val="en-US" w:eastAsia="zh-CN" w:bidi="ar-SA"/>
        </w:rPr>
      </w:pPr>
      <w:r>
        <w:rPr>
          <w:rFonts w:hint="eastAsia" w:ascii="仿宋_GB2312" w:hAnsi="Calibri" w:eastAsia="仿宋_GB2312" w:cs="仿宋_GB2312"/>
          <w:color w:val="auto"/>
          <w:kern w:val="2"/>
          <w:sz w:val="32"/>
          <w:szCs w:val="32"/>
          <w:lang w:val="en-US" w:eastAsia="zh-CN" w:bidi="ar-SA"/>
        </w:rPr>
        <w:t>1、</w:t>
      </w:r>
      <w:r>
        <w:rPr>
          <w:rFonts w:hint="eastAsia" w:ascii="仿宋_GB2312" w:hAnsi="Calibri" w:eastAsia="仿宋_GB2312" w:cs="仿宋_GB2312"/>
          <w:color w:val="auto"/>
          <w:kern w:val="2"/>
          <w:sz w:val="32"/>
          <w:szCs w:val="32"/>
          <w:lang w:val="zh-CN" w:eastAsia="zh-CN" w:bidi="ar-SA"/>
        </w:rPr>
        <w:t>审判法律规定由金川县人民法院管辖和其认为应当由自己审判的刑事、民事、经济、行政等一审案件。</w:t>
      </w:r>
    </w:p>
    <w:p>
      <w:pPr>
        <w:pStyle w:val="10"/>
        <w:spacing w:before="0" w:line="360" w:lineRule="auto"/>
        <w:ind w:left="651" w:leftChars="310"/>
        <w:jc w:val="left"/>
        <w:rPr>
          <w:rFonts w:hint="eastAsia" w:ascii="仿宋_GB2312" w:hAnsi="Calibri" w:eastAsia="仿宋_GB2312" w:cs="仿宋_GB2312"/>
          <w:color w:val="auto"/>
          <w:kern w:val="2"/>
          <w:sz w:val="32"/>
          <w:szCs w:val="32"/>
          <w:lang w:val="zh-CN" w:eastAsia="zh-CN" w:bidi="ar-SA"/>
        </w:rPr>
      </w:pPr>
      <w:r>
        <w:rPr>
          <w:rFonts w:hint="eastAsia" w:ascii="仿宋_GB2312" w:hAnsi="Calibri" w:eastAsia="仿宋_GB2312" w:cs="仿宋_GB2312"/>
          <w:color w:val="auto"/>
          <w:kern w:val="2"/>
          <w:sz w:val="32"/>
          <w:szCs w:val="32"/>
          <w:lang w:val="en-US" w:eastAsia="zh-CN" w:bidi="ar-SA"/>
        </w:rPr>
        <w:t>2、</w:t>
      </w:r>
      <w:r>
        <w:rPr>
          <w:rFonts w:hint="eastAsia" w:ascii="仿宋_GB2312" w:hAnsi="Calibri" w:eastAsia="仿宋_GB2312" w:cs="仿宋_GB2312"/>
          <w:color w:val="auto"/>
          <w:kern w:val="2"/>
          <w:sz w:val="32"/>
          <w:szCs w:val="32"/>
          <w:lang w:val="zh-CN" w:eastAsia="zh-CN" w:bidi="ar-SA"/>
        </w:rPr>
        <w:t>审判州中级人民法院指令再审案件和不服一审判决，裁定的各类申诉和申请再审案件。</w:t>
      </w:r>
    </w:p>
    <w:p>
      <w:pPr>
        <w:pStyle w:val="10"/>
        <w:spacing w:before="0" w:line="360" w:lineRule="auto"/>
        <w:ind w:left="651" w:leftChars="310"/>
        <w:jc w:val="left"/>
        <w:rPr>
          <w:rFonts w:hint="eastAsia" w:ascii="仿宋_GB2312" w:hAnsi="Calibri" w:eastAsia="仿宋_GB2312" w:cs="仿宋_GB2312"/>
          <w:color w:val="auto"/>
          <w:kern w:val="2"/>
          <w:sz w:val="32"/>
          <w:szCs w:val="32"/>
          <w:lang w:val="zh-CN" w:eastAsia="zh-CN" w:bidi="ar-SA"/>
        </w:rPr>
      </w:pPr>
      <w:r>
        <w:rPr>
          <w:rFonts w:hint="eastAsia" w:ascii="仿宋_GB2312" w:hAnsi="Calibri" w:eastAsia="仿宋_GB2312" w:cs="仿宋_GB2312"/>
          <w:color w:val="auto"/>
          <w:kern w:val="2"/>
          <w:sz w:val="32"/>
          <w:szCs w:val="32"/>
          <w:lang w:val="en-US" w:eastAsia="zh-CN" w:bidi="ar-SA"/>
        </w:rPr>
        <w:t>3、</w:t>
      </w:r>
      <w:r>
        <w:rPr>
          <w:rFonts w:hint="eastAsia" w:ascii="仿宋_GB2312" w:hAnsi="Calibri" w:eastAsia="仿宋_GB2312" w:cs="仿宋_GB2312"/>
          <w:color w:val="auto"/>
          <w:kern w:val="2"/>
          <w:sz w:val="32"/>
          <w:szCs w:val="32"/>
          <w:lang w:val="zh-CN" w:eastAsia="zh-CN" w:bidi="ar-SA"/>
        </w:rPr>
        <w:t>依法行使司法执行权和司法决定权。</w:t>
      </w:r>
    </w:p>
    <w:p>
      <w:pPr>
        <w:pStyle w:val="10"/>
        <w:spacing w:before="0" w:line="360" w:lineRule="auto"/>
        <w:ind w:left="651" w:leftChars="310"/>
        <w:jc w:val="left"/>
        <w:rPr>
          <w:rFonts w:hint="eastAsia" w:ascii="仿宋_GB2312" w:hAnsi="Calibri" w:eastAsia="仿宋_GB2312" w:cs="仿宋_GB2312"/>
          <w:color w:val="auto"/>
          <w:kern w:val="2"/>
          <w:sz w:val="32"/>
          <w:szCs w:val="32"/>
          <w:lang w:val="zh-CN" w:eastAsia="zh-CN" w:bidi="ar-SA"/>
        </w:rPr>
      </w:pPr>
      <w:r>
        <w:rPr>
          <w:rFonts w:hint="eastAsia" w:ascii="仿宋_GB2312" w:hAnsi="Calibri" w:eastAsia="仿宋_GB2312" w:cs="仿宋_GB2312"/>
          <w:color w:val="auto"/>
          <w:kern w:val="2"/>
          <w:sz w:val="32"/>
          <w:szCs w:val="32"/>
          <w:lang w:val="en-US" w:eastAsia="zh-CN" w:bidi="ar-SA"/>
        </w:rPr>
        <w:t>4、</w:t>
      </w:r>
      <w:r>
        <w:rPr>
          <w:rFonts w:hint="eastAsia" w:ascii="仿宋_GB2312" w:hAnsi="Calibri" w:eastAsia="仿宋_GB2312" w:cs="仿宋_GB2312"/>
          <w:color w:val="auto"/>
          <w:kern w:val="2"/>
          <w:sz w:val="32"/>
          <w:szCs w:val="32"/>
          <w:lang w:val="zh-CN" w:eastAsia="zh-CN" w:bidi="ar-SA"/>
        </w:rPr>
        <w:t>针对审理案件中发现的问题，提出司法建议。</w:t>
      </w:r>
    </w:p>
    <w:p>
      <w:pPr>
        <w:pStyle w:val="10"/>
        <w:spacing w:before="0" w:line="360" w:lineRule="auto"/>
        <w:ind w:left="651" w:leftChars="310"/>
        <w:jc w:val="left"/>
        <w:rPr>
          <w:rFonts w:hint="eastAsia" w:ascii="仿宋_GB2312" w:hAnsi="Calibri" w:eastAsia="仿宋_GB2312" w:cs="仿宋_GB2312"/>
          <w:color w:val="auto"/>
          <w:kern w:val="2"/>
          <w:sz w:val="32"/>
          <w:szCs w:val="32"/>
          <w:lang w:val="zh-CN" w:eastAsia="zh-CN" w:bidi="ar-SA"/>
        </w:rPr>
      </w:pPr>
      <w:r>
        <w:rPr>
          <w:rFonts w:hint="eastAsia" w:ascii="仿宋_GB2312" w:hAnsi="Calibri" w:eastAsia="仿宋_GB2312" w:cs="仿宋_GB2312"/>
          <w:color w:val="auto"/>
          <w:kern w:val="2"/>
          <w:sz w:val="32"/>
          <w:szCs w:val="32"/>
          <w:lang w:val="en-US" w:eastAsia="zh-CN" w:bidi="ar-SA"/>
        </w:rPr>
        <w:t>5、</w:t>
      </w:r>
      <w:r>
        <w:rPr>
          <w:rFonts w:hint="eastAsia" w:ascii="仿宋_GB2312" w:hAnsi="Calibri" w:eastAsia="仿宋_GB2312" w:cs="仿宋_GB2312"/>
          <w:color w:val="auto"/>
          <w:kern w:val="2"/>
          <w:sz w:val="32"/>
          <w:szCs w:val="32"/>
          <w:lang w:val="zh-CN" w:eastAsia="zh-CN" w:bidi="ar-SA"/>
        </w:rPr>
        <w:t>负责各人民法庭和内部庭室的思想、政治、纪律教育、培训工作，按照权限管理法官、执行员、书记员、司法警察及司法行政人员。</w:t>
      </w:r>
    </w:p>
    <w:p>
      <w:pPr>
        <w:pStyle w:val="10"/>
        <w:spacing w:before="0" w:line="360" w:lineRule="auto"/>
        <w:ind w:left="651" w:leftChars="310"/>
        <w:jc w:val="left"/>
        <w:rPr>
          <w:rFonts w:hint="eastAsia" w:ascii="仿宋_GB2312" w:hAnsi="Calibri" w:eastAsia="仿宋_GB2312" w:cs="仿宋_GB2312"/>
          <w:color w:val="auto"/>
          <w:kern w:val="2"/>
          <w:sz w:val="32"/>
          <w:szCs w:val="32"/>
          <w:lang w:val="zh-CN" w:eastAsia="zh-CN" w:bidi="ar-SA"/>
        </w:rPr>
      </w:pPr>
      <w:r>
        <w:rPr>
          <w:rFonts w:hint="eastAsia" w:ascii="仿宋_GB2312" w:hAnsi="Calibri" w:eastAsia="仿宋_GB2312" w:cs="仿宋_GB2312"/>
          <w:color w:val="auto"/>
          <w:kern w:val="2"/>
          <w:sz w:val="32"/>
          <w:szCs w:val="32"/>
          <w:lang w:val="en-US" w:eastAsia="zh-CN" w:bidi="ar-SA"/>
        </w:rPr>
        <w:t>6、</w:t>
      </w:r>
      <w:r>
        <w:rPr>
          <w:rFonts w:hint="eastAsia" w:ascii="仿宋_GB2312" w:hAnsi="Calibri" w:eastAsia="仿宋_GB2312" w:cs="仿宋_GB2312"/>
          <w:color w:val="auto"/>
          <w:kern w:val="2"/>
          <w:sz w:val="32"/>
          <w:szCs w:val="32"/>
          <w:lang w:val="zh-CN" w:eastAsia="zh-CN" w:bidi="ar-SA"/>
        </w:rPr>
        <w:t>管理好法院有关经费和装备，加强物质文明的建设。</w:t>
      </w:r>
    </w:p>
    <w:p>
      <w:pPr>
        <w:pStyle w:val="10"/>
        <w:spacing w:before="0" w:line="360" w:lineRule="auto"/>
        <w:ind w:left="651" w:leftChars="310"/>
        <w:jc w:val="left"/>
        <w:rPr>
          <w:rFonts w:hint="eastAsia" w:ascii="仿宋_GB2312" w:hAnsi="Calibri" w:eastAsia="仿宋_GB2312" w:cs="仿宋_GB2312"/>
          <w:color w:val="auto"/>
          <w:kern w:val="2"/>
          <w:sz w:val="32"/>
          <w:szCs w:val="32"/>
          <w:lang w:val="zh-CN" w:eastAsia="zh-CN" w:bidi="ar-SA"/>
        </w:rPr>
      </w:pPr>
      <w:r>
        <w:rPr>
          <w:rFonts w:hint="eastAsia" w:ascii="仿宋_GB2312" w:hAnsi="Calibri" w:eastAsia="仿宋_GB2312" w:cs="仿宋_GB2312"/>
          <w:color w:val="auto"/>
          <w:kern w:val="2"/>
          <w:sz w:val="32"/>
          <w:szCs w:val="32"/>
          <w:lang w:val="en-US" w:eastAsia="zh-CN" w:bidi="ar-SA"/>
        </w:rPr>
        <w:t>7、</w:t>
      </w:r>
      <w:r>
        <w:rPr>
          <w:rFonts w:hint="eastAsia" w:ascii="仿宋_GB2312" w:hAnsi="Calibri" w:eastAsia="仿宋_GB2312" w:cs="仿宋_GB2312"/>
          <w:color w:val="auto"/>
          <w:kern w:val="2"/>
          <w:sz w:val="32"/>
          <w:szCs w:val="32"/>
          <w:lang w:val="zh-CN" w:eastAsia="zh-CN" w:bidi="ar-SA"/>
        </w:rPr>
        <w:t>宣传法制、教育公民忠于社会主义、自觉地遵守宪法、法律和社会公德。</w:t>
      </w:r>
    </w:p>
    <w:p>
      <w:pPr>
        <w:pStyle w:val="10"/>
        <w:spacing w:before="0" w:line="360" w:lineRule="auto"/>
        <w:ind w:left="651" w:leftChars="310"/>
        <w:jc w:val="left"/>
        <w:rPr>
          <w:rFonts w:hint="eastAsia" w:cs="宋体"/>
          <w:sz w:val="32"/>
          <w:szCs w:val="32"/>
          <w:lang w:val="zh-CN" w:eastAsia="zh-CN"/>
        </w:rPr>
      </w:pPr>
      <w:r>
        <w:rPr>
          <w:rFonts w:hint="eastAsia" w:ascii="仿宋_GB2312" w:hAnsi="Calibri" w:eastAsia="仿宋_GB2312" w:cs="仿宋_GB2312"/>
          <w:color w:val="auto"/>
          <w:kern w:val="2"/>
          <w:sz w:val="32"/>
          <w:szCs w:val="32"/>
          <w:lang w:val="en-US" w:eastAsia="zh-CN" w:bidi="ar-SA"/>
        </w:rPr>
        <w:t>8、</w:t>
      </w:r>
      <w:r>
        <w:rPr>
          <w:rFonts w:hint="eastAsia" w:ascii="仿宋_GB2312" w:hAnsi="Calibri" w:eastAsia="仿宋_GB2312" w:cs="仿宋_GB2312"/>
          <w:color w:val="auto"/>
          <w:kern w:val="2"/>
          <w:sz w:val="32"/>
          <w:szCs w:val="32"/>
          <w:lang w:val="zh-CN" w:eastAsia="zh-CN" w:bidi="ar-SA"/>
        </w:rPr>
        <w:t>承办其它应由金川县人民法院负责的工作</w:t>
      </w:r>
    </w:p>
    <w:p>
      <w:pPr>
        <w:ind w:firstLine="640" w:firstLineChars="200"/>
        <w:rPr>
          <w:rFonts w:ascii="楷体" w:eastAsia="楷体"/>
          <w:color w:val="auto"/>
          <w:sz w:val="32"/>
          <w:szCs w:val="32"/>
        </w:rPr>
      </w:pPr>
      <w:r>
        <w:rPr>
          <w:rFonts w:hint="eastAsia" w:ascii="楷体" w:eastAsia="楷体"/>
          <w:color w:val="auto"/>
          <w:sz w:val="32"/>
          <w:szCs w:val="32"/>
        </w:rPr>
        <w:t>（二）</w:t>
      </w:r>
      <w:r>
        <w:rPr>
          <w:rFonts w:hint="eastAsia" w:ascii="楷体" w:eastAsia="楷体"/>
          <w:color w:val="auto"/>
          <w:sz w:val="32"/>
          <w:szCs w:val="32"/>
          <w:lang w:eastAsia="zh-CN"/>
        </w:rPr>
        <w:t>2026</w:t>
      </w:r>
      <w:r>
        <w:rPr>
          <w:rFonts w:hint="eastAsia" w:ascii="楷体" w:eastAsia="楷体"/>
          <w:color w:val="auto"/>
          <w:sz w:val="32"/>
          <w:szCs w:val="32"/>
        </w:rPr>
        <w:t>年重点工作</w:t>
      </w:r>
    </w:p>
    <w:p>
      <w:pPr>
        <w:numPr>
          <w:ilvl w:val="0"/>
          <w:numId w:val="0"/>
        </w:numPr>
        <w:ind w:firstLine="640" w:firstLineChars="200"/>
        <w:rPr>
          <w:rFonts w:hint="default" w:ascii="仿宋_GB2312" w:hAnsi="Calibri" w:eastAsia="仿宋_GB2312" w:cs="仿宋_GB2312"/>
          <w:color w:val="auto"/>
          <w:kern w:val="2"/>
          <w:sz w:val="32"/>
          <w:szCs w:val="32"/>
          <w:lang w:val="en-US" w:eastAsia="zh-CN" w:bidi="ar-SA"/>
        </w:rPr>
      </w:pPr>
      <w:r>
        <w:rPr>
          <w:rFonts w:hint="eastAsia" w:ascii="仿宋_GB2312" w:hAnsi="Calibri" w:eastAsia="仿宋_GB2312" w:cs="仿宋_GB2312"/>
          <w:color w:val="auto"/>
          <w:kern w:val="2"/>
          <w:sz w:val="32"/>
          <w:szCs w:val="32"/>
          <w:lang w:val="en-US" w:eastAsia="zh-CN" w:bidi="ar-SA"/>
        </w:rPr>
        <w:t xml:space="preserve"> </w:t>
      </w:r>
      <w:r>
        <w:rPr>
          <w:rFonts w:hint="default" w:ascii="仿宋_GB2312" w:hAnsi="Calibri" w:eastAsia="仿宋_GB2312" w:cs="仿宋_GB2312"/>
          <w:color w:val="auto"/>
          <w:kern w:val="2"/>
          <w:sz w:val="32"/>
          <w:szCs w:val="32"/>
          <w:lang w:val="zh-CN" w:eastAsia="zh-CN" w:bidi="ar-SA"/>
        </w:rPr>
        <w:t>2026年，县法院以“十五五”开局，高质量司法服务、高质量发展为总基调。总体工作思路是：高举习近平新时代中国特色社会主义思想伟大旗帜，深入学习贯彻党的二十大及二十届历次全会精神，围绕州委</w:t>
      </w:r>
      <w:r>
        <w:rPr>
          <w:rFonts w:hint="default" w:ascii="仿宋_GB2312" w:hAnsi="Calibri" w:eastAsia="仿宋_GB2312" w:cs="仿宋_GB2312"/>
          <w:color w:val="auto"/>
          <w:kern w:val="2"/>
          <w:sz w:val="32"/>
          <w:szCs w:val="32"/>
          <w:lang w:val="en-US" w:eastAsia="zh-CN" w:bidi="ar-SA"/>
        </w:rPr>
        <w:t>“1610”系统部署</w:t>
      </w:r>
      <w:r>
        <w:rPr>
          <w:rFonts w:hint="default" w:ascii="仿宋_GB2312" w:hAnsi="Calibri" w:eastAsia="仿宋_GB2312" w:cs="仿宋_GB2312"/>
          <w:color w:val="auto"/>
          <w:kern w:val="2"/>
          <w:sz w:val="32"/>
          <w:szCs w:val="32"/>
          <w:lang w:val="zh-CN" w:eastAsia="zh-CN" w:bidi="ar-SA"/>
        </w:rPr>
        <w:t>和县委“1266”发展路径，坚持树优赋能、提质增效，持续推进审判工作现代化，为中国式现代化“美丽富裕幸福</w:t>
      </w:r>
      <w:r>
        <w:rPr>
          <w:rFonts w:hint="eastAsia" w:ascii="仿宋_GB2312" w:hAnsi="Calibri" w:eastAsia="仿宋_GB2312" w:cs="仿宋_GB2312"/>
          <w:color w:val="auto"/>
          <w:kern w:val="2"/>
          <w:sz w:val="32"/>
          <w:szCs w:val="32"/>
          <w:lang w:val="zh-CN" w:eastAsia="zh-CN" w:bidi="ar-SA"/>
        </w:rPr>
        <w:t>新</w:t>
      </w:r>
      <w:r>
        <w:rPr>
          <w:rFonts w:hint="default" w:ascii="仿宋_GB2312" w:hAnsi="Calibri" w:eastAsia="仿宋_GB2312" w:cs="仿宋_GB2312"/>
          <w:color w:val="auto"/>
          <w:kern w:val="2"/>
          <w:sz w:val="32"/>
          <w:szCs w:val="32"/>
          <w:lang w:val="zh-CN" w:eastAsia="zh-CN" w:bidi="ar-SA"/>
        </w:rPr>
        <w:t>金川”建设提供更有力司法保障和更优质法律服务</w:t>
      </w:r>
      <w:r>
        <w:rPr>
          <w:rFonts w:hint="eastAsia" w:ascii="仿宋_GB2312" w:eastAsia="仿宋_GB2312" w:cs="仿宋_GB2312"/>
          <w:color w:val="auto"/>
          <w:kern w:val="2"/>
          <w:sz w:val="32"/>
          <w:szCs w:val="32"/>
          <w:lang w:val="zh-CN" w:eastAsia="zh-CN" w:bidi="ar-SA"/>
        </w:rPr>
        <w:t>。</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numPr>
          <w:ilvl w:val="0"/>
          <w:numId w:val="0"/>
        </w:numPr>
        <w:ind w:firstLine="640" w:firstLineChars="200"/>
        <w:rPr>
          <w:rFonts w:hint="eastAsia" w:ascii="仿宋_GB2312" w:eastAsia="仿宋_GB2312" w:cs="仿宋_GB2312"/>
          <w:color w:val="auto"/>
          <w:sz w:val="32"/>
          <w:szCs w:val="32"/>
          <w:lang w:val="en-US" w:eastAsia="zh-CN"/>
        </w:rPr>
      </w:pPr>
      <w:r>
        <w:rPr>
          <w:rFonts w:hint="eastAsia" w:ascii="仿宋_GB2312" w:eastAsia="仿宋_GB2312" w:cs="仿宋_GB2312"/>
          <w:color w:val="auto"/>
          <w:sz w:val="32"/>
          <w:szCs w:val="32"/>
          <w:lang w:val="en-US" w:eastAsia="zh-CN"/>
        </w:rPr>
        <w:t>法院预算单位1个，行政单位1个。参照公务员法管理的事业单位0个，其他事业单位0个。</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ind w:firstLine="640" w:firstLineChars="200"/>
        <w:rPr>
          <w:rFonts w:hint="eastAsia" w:ascii="楷体" w:eastAsia="楷体"/>
          <w:sz w:val="32"/>
          <w:szCs w:val="32"/>
        </w:rPr>
      </w:pPr>
      <w:r>
        <w:rPr>
          <w:rFonts w:hint="eastAsia" w:ascii="楷体" w:eastAsia="楷体"/>
          <w:sz w:val="32"/>
          <w:szCs w:val="32"/>
        </w:rPr>
        <w:t>（一）收入预算情况</w:t>
      </w:r>
    </w:p>
    <w:p>
      <w:pPr>
        <w:numPr>
          <w:ilvl w:val="0"/>
          <w:numId w:val="0"/>
        </w:numPr>
        <w:ind w:firstLine="640" w:firstLineChars="200"/>
        <w:rPr>
          <w:rFonts w:hint="eastAsia" w:ascii="仿宋_GB2312" w:eastAsia="仿宋_GB2312" w:cs="Times New Roman"/>
          <w:color w:val="000000" w:themeColor="text1"/>
          <w:sz w:val="32"/>
          <w:szCs w:val="32"/>
          <w14:textFill>
            <w14:solidFill>
              <w14:schemeClr w14:val="tx1"/>
            </w14:solidFill>
          </w14:textFill>
        </w:rPr>
      </w:pPr>
      <w:r>
        <w:rPr>
          <w:rFonts w:hint="eastAsia" w:ascii="仿宋_GB2312" w:eastAsia="仿宋_GB2312" w:cs="Times New Roman"/>
          <w:color w:val="000000" w:themeColor="text1"/>
          <w:sz w:val="32"/>
          <w:szCs w:val="32"/>
          <w:lang w:val="en-US" w:eastAsia="zh-CN"/>
          <w14:textFill>
            <w14:solidFill>
              <w14:schemeClr w14:val="tx1"/>
            </w14:solidFill>
          </w14:textFill>
        </w:rPr>
        <w:t>金川县人民法院2026年收入预算1245.5万元，其中：上年结转0万元，占0%；一般公共预算拨款收入1245.5万元，占100%。</w:t>
      </w:r>
    </w:p>
    <w:p>
      <w:pPr>
        <w:numPr>
          <w:ilvl w:val="0"/>
          <w:numId w:val="2"/>
        </w:numPr>
        <w:ind w:left="640" w:leftChars="0" w:firstLine="0" w:firstLineChars="0"/>
        <w:jc w:val="left"/>
        <w:rPr>
          <w:rFonts w:hint="eastAsia" w:ascii="楷体" w:eastAsia="楷体" w:cs="仿宋_GB2312"/>
          <w:sz w:val="32"/>
          <w:szCs w:val="32"/>
        </w:rPr>
      </w:pPr>
      <w:r>
        <w:rPr>
          <w:rFonts w:hint="eastAsia" w:ascii="楷体" w:eastAsia="楷体" w:cs="仿宋_GB2312"/>
          <w:sz w:val="32"/>
          <w:szCs w:val="32"/>
        </w:rPr>
        <w:t>支出预算情况</w:t>
      </w:r>
    </w:p>
    <w:p>
      <w:pPr>
        <w:ind w:firstLine="640" w:firstLineChars="200"/>
        <w:rPr>
          <w:rFonts w:hint="eastAsia" w:ascii="仿宋_GB2312" w:hAnsi="仿宋_GB2312" w:eastAsia="仿宋_GB2312" w:cs="仿宋_GB2312"/>
          <w:sz w:val="32"/>
          <w:szCs w:val="32"/>
        </w:rPr>
      </w:pPr>
      <w:r>
        <w:rPr>
          <w:rFonts w:hint="eastAsia" w:ascii="仿宋_GB2312" w:eastAsia="仿宋_GB2312" w:cs="Times New Roman"/>
          <w:color w:val="000000" w:themeColor="text1"/>
          <w:sz w:val="32"/>
          <w:szCs w:val="32"/>
          <w14:textFill>
            <w14:solidFill>
              <w14:schemeClr w14:val="tx1"/>
            </w14:solidFill>
          </w14:textFill>
        </w:rPr>
        <w:t>金川县人民法院</w:t>
      </w:r>
      <w:r>
        <w:rPr>
          <w:rFonts w:hint="eastAsia" w:ascii="仿宋_GB2312" w:eastAsia="仿宋_GB2312" w:cs="Times New Roman"/>
          <w:color w:val="000000" w:themeColor="text1"/>
          <w:sz w:val="32"/>
          <w:szCs w:val="32"/>
          <w:lang w:eastAsia="zh-CN"/>
          <w14:textFill>
            <w14:solidFill>
              <w14:schemeClr w14:val="tx1"/>
            </w14:solidFill>
          </w14:textFill>
        </w:rPr>
        <w:t>2026</w:t>
      </w:r>
      <w:r>
        <w:rPr>
          <w:rFonts w:hint="eastAsia" w:ascii="仿宋_GB2312" w:eastAsia="仿宋_GB2312" w:cs="Times New Roman"/>
          <w:color w:val="000000" w:themeColor="text1"/>
          <w:sz w:val="32"/>
          <w:szCs w:val="32"/>
          <w14:textFill>
            <w14:solidFill>
              <w14:schemeClr w14:val="tx1"/>
            </w14:solidFill>
          </w14:textFill>
        </w:rPr>
        <w:t>年支出预算</w:t>
      </w:r>
      <w:r>
        <w:rPr>
          <w:rFonts w:hint="eastAsia" w:ascii="仿宋_GB2312" w:eastAsia="仿宋_GB2312" w:cs="Times New Roman"/>
          <w:color w:val="000000" w:themeColor="text1"/>
          <w:sz w:val="32"/>
          <w:szCs w:val="32"/>
          <w:lang w:val="en-US" w:eastAsia="zh-CN"/>
          <w14:textFill>
            <w14:solidFill>
              <w14:schemeClr w14:val="tx1"/>
            </w14:solidFill>
          </w14:textFill>
        </w:rPr>
        <w:t>1245.5</w:t>
      </w:r>
      <w:r>
        <w:rPr>
          <w:rFonts w:hint="eastAsia" w:ascii="仿宋_GB2312" w:eastAsia="仿宋_GB2312" w:cs="Times New Roman"/>
          <w:color w:val="000000" w:themeColor="text1"/>
          <w:sz w:val="32"/>
          <w:szCs w:val="32"/>
          <w14:textFill>
            <w14:solidFill>
              <w14:schemeClr w14:val="tx1"/>
            </w14:solidFill>
          </w14:textFill>
        </w:rPr>
        <w:t>万元，其中：基本支出</w:t>
      </w:r>
      <w:r>
        <w:rPr>
          <w:rFonts w:hint="eastAsia" w:ascii="仿宋_GB2312" w:eastAsia="仿宋_GB2312" w:cs="Times New Roman"/>
          <w:color w:val="000000" w:themeColor="text1"/>
          <w:sz w:val="32"/>
          <w:szCs w:val="32"/>
          <w:lang w:val="en-US" w:eastAsia="zh-CN"/>
          <w14:textFill>
            <w14:solidFill>
              <w14:schemeClr w14:val="tx1"/>
            </w14:solidFill>
          </w14:textFill>
        </w:rPr>
        <w:t>1218.5</w:t>
      </w:r>
      <w:r>
        <w:rPr>
          <w:rFonts w:hint="eastAsia" w:ascii="仿宋_GB2312" w:eastAsia="仿宋_GB2312" w:cs="Times New Roman"/>
          <w:color w:val="000000" w:themeColor="text1"/>
          <w:sz w:val="32"/>
          <w:szCs w:val="32"/>
          <w14:textFill>
            <w14:solidFill>
              <w14:schemeClr w14:val="tx1"/>
            </w14:solidFill>
          </w14:textFill>
        </w:rPr>
        <w:t>万元，占</w:t>
      </w:r>
      <w:r>
        <w:rPr>
          <w:rFonts w:hint="eastAsia" w:ascii="仿宋_GB2312" w:eastAsia="仿宋_GB2312" w:cs="Times New Roman"/>
          <w:color w:val="000000" w:themeColor="text1"/>
          <w:sz w:val="32"/>
          <w:szCs w:val="32"/>
          <w:lang w:val="en-US" w:eastAsia="zh-CN"/>
          <w14:textFill>
            <w14:solidFill>
              <w14:schemeClr w14:val="tx1"/>
            </w14:solidFill>
          </w14:textFill>
        </w:rPr>
        <w:t>97.8</w:t>
      </w:r>
      <w:r>
        <w:rPr>
          <w:rFonts w:hint="eastAsia" w:ascii="仿宋_GB2312" w:eastAsia="仿宋_GB2312" w:cs="Times New Roman"/>
          <w:color w:val="000000" w:themeColor="text1"/>
          <w:sz w:val="32"/>
          <w:szCs w:val="32"/>
          <w14:textFill>
            <w14:solidFill>
              <w14:schemeClr w14:val="tx1"/>
            </w14:solidFill>
          </w14:textFill>
        </w:rPr>
        <w:t>%；项目支出</w:t>
      </w:r>
      <w:r>
        <w:rPr>
          <w:rFonts w:hint="eastAsia" w:ascii="仿宋_GB2312" w:eastAsia="仿宋_GB2312" w:cs="Times New Roman"/>
          <w:color w:val="000000" w:themeColor="text1"/>
          <w:sz w:val="32"/>
          <w:szCs w:val="32"/>
          <w:lang w:val="en-US" w:eastAsia="zh-CN"/>
          <w14:textFill>
            <w14:solidFill>
              <w14:schemeClr w14:val="tx1"/>
            </w14:solidFill>
          </w14:textFill>
        </w:rPr>
        <w:t>27</w:t>
      </w:r>
      <w:r>
        <w:rPr>
          <w:rFonts w:hint="eastAsia" w:ascii="仿宋_GB2312" w:eastAsia="仿宋_GB2312" w:cs="Times New Roman"/>
          <w:color w:val="000000" w:themeColor="text1"/>
          <w:sz w:val="32"/>
          <w:szCs w:val="32"/>
          <w14:textFill>
            <w14:solidFill>
              <w14:schemeClr w14:val="tx1"/>
            </w14:solidFill>
          </w14:textFill>
        </w:rPr>
        <w:t>万元</w:t>
      </w:r>
      <w:r>
        <w:rPr>
          <w:rFonts w:hint="eastAsia" w:ascii="仿宋_GB2312" w:eastAsia="仿宋_GB2312" w:cs="Times New Roman"/>
          <w:color w:val="000000" w:themeColor="text1"/>
          <w:sz w:val="32"/>
          <w:szCs w:val="32"/>
          <w:lang w:eastAsia="zh-CN"/>
          <w14:textFill>
            <w14:solidFill>
              <w14:schemeClr w14:val="tx1"/>
            </w14:solidFill>
          </w14:textFill>
        </w:rPr>
        <w:t>，</w:t>
      </w:r>
      <w:r>
        <w:rPr>
          <w:rFonts w:hint="eastAsia" w:ascii="仿宋_GB2312" w:eastAsia="仿宋_GB2312" w:cs="Times New Roman"/>
          <w:color w:val="000000" w:themeColor="text1"/>
          <w:sz w:val="32"/>
          <w:szCs w:val="32"/>
          <w14:textFill>
            <w14:solidFill>
              <w14:schemeClr w14:val="tx1"/>
            </w14:solidFill>
          </w14:textFill>
        </w:rPr>
        <w:t>占</w:t>
      </w:r>
      <w:r>
        <w:rPr>
          <w:rFonts w:hint="eastAsia" w:ascii="仿宋_GB2312" w:eastAsia="仿宋_GB2312" w:cs="Times New Roman"/>
          <w:color w:val="000000" w:themeColor="text1"/>
          <w:sz w:val="32"/>
          <w:szCs w:val="32"/>
          <w:lang w:val="en-US" w:eastAsia="zh-CN"/>
          <w14:textFill>
            <w14:solidFill>
              <w14:schemeClr w14:val="tx1"/>
            </w14:solidFill>
          </w14:textFill>
        </w:rPr>
        <w:t>2.2</w:t>
      </w:r>
      <w:r>
        <w:rPr>
          <w:rFonts w:hint="eastAsia" w:ascii="仿宋_GB2312" w:eastAsia="仿宋_GB2312" w:cs="Times New Roman"/>
          <w:color w:val="000000" w:themeColor="text1"/>
          <w:sz w:val="32"/>
          <w:szCs w:val="32"/>
          <w14:textFill>
            <w14:solidFill>
              <w14:schemeClr w14:val="tx1"/>
            </w14:solidFill>
          </w14:textFill>
        </w:rPr>
        <w:t>%</w:t>
      </w:r>
      <w:r>
        <w:rPr>
          <w:rFonts w:hint="eastAsia" w:ascii="仿宋_GB2312" w:hAnsi="仿宋_GB2312" w:eastAsia="仿宋_GB2312" w:cs="仿宋_GB2312"/>
          <w:sz w:val="32"/>
          <w:szCs w:val="32"/>
        </w:rPr>
        <w:t>。</w:t>
      </w:r>
    </w:p>
    <w:p>
      <w:pPr>
        <w:numPr>
          <w:ilvl w:val="0"/>
          <w:numId w:val="1"/>
        </w:numPr>
        <w:ind w:left="1360" w:leftChars="0" w:hanging="720" w:firstLineChars="0"/>
        <w:rPr>
          <w:rFonts w:hint="eastAsia" w:ascii="黑体" w:eastAsia="黑体"/>
          <w:sz w:val="32"/>
          <w:szCs w:val="32"/>
        </w:rPr>
      </w:pPr>
      <w:r>
        <w:rPr>
          <w:rFonts w:hint="eastAsia" w:ascii="黑体" w:eastAsia="黑体"/>
          <w:sz w:val="32"/>
          <w:szCs w:val="32"/>
        </w:rPr>
        <w:t>财政拨款收支预算情况说明</w:t>
      </w:r>
    </w:p>
    <w:p>
      <w:pPr>
        <w:numPr>
          <w:ilvl w:val="0"/>
          <w:numId w:val="0"/>
        </w:numPr>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14:textFill>
            <w14:solidFill>
              <w14:schemeClr w14:val="tx1"/>
            </w14:solidFill>
          </w14:textFill>
        </w:rPr>
        <w:t>部门（单位）</w:t>
      </w:r>
      <w:r>
        <w:rPr>
          <w:rFonts w:hint="eastAsia" w:ascii="仿宋_GB2312" w:eastAsia="仿宋_GB2312"/>
          <w:color w:val="000000" w:themeColor="text1"/>
          <w:sz w:val="32"/>
          <w:szCs w:val="32"/>
          <w:lang w:eastAsia="zh-CN"/>
          <w14:textFill>
            <w14:solidFill>
              <w14:schemeClr w14:val="tx1"/>
            </w14:solidFill>
          </w14:textFill>
        </w:rPr>
        <w:t>2026</w:t>
      </w:r>
      <w:r>
        <w:rPr>
          <w:rFonts w:hint="eastAsia" w:ascii="仿宋_GB2312" w:eastAsia="仿宋_GB2312"/>
          <w:color w:val="000000" w:themeColor="text1"/>
          <w:sz w:val="32"/>
          <w:szCs w:val="32"/>
          <w14:textFill>
            <w14:solidFill>
              <w14:schemeClr w14:val="tx1"/>
            </w14:solidFill>
          </w14:textFill>
        </w:rPr>
        <w:t>年财政拨款收支总预算</w:t>
      </w:r>
      <w:r>
        <w:rPr>
          <w:rFonts w:hint="eastAsia" w:ascii="仿宋_GB2312" w:eastAsia="仿宋_GB2312"/>
          <w:color w:val="000000" w:themeColor="text1"/>
          <w:sz w:val="32"/>
          <w:szCs w:val="32"/>
          <w:lang w:val="en-US" w:eastAsia="zh-CN"/>
          <w14:textFill>
            <w14:solidFill>
              <w14:schemeClr w14:val="tx1"/>
            </w14:solidFill>
          </w14:textFill>
        </w:rPr>
        <w:t>1245.5</w:t>
      </w:r>
      <w:r>
        <w:rPr>
          <w:rFonts w:hint="eastAsia" w:ascii="仿宋_GB2312" w:eastAsia="仿宋_GB2312"/>
          <w:color w:val="000000" w:themeColor="text1"/>
          <w:sz w:val="32"/>
          <w:szCs w:val="32"/>
          <w14:textFill>
            <w14:solidFill>
              <w14:schemeClr w14:val="tx1"/>
            </w14:solidFill>
          </w14:textFill>
        </w:rPr>
        <w:t>万元,比202</w:t>
      </w:r>
      <w:r>
        <w:rPr>
          <w:rFonts w:hint="eastAsia" w:ascii="仿宋_GB2312" w:eastAsia="仿宋_GB2312"/>
          <w:color w:val="000000" w:themeColor="text1"/>
          <w:sz w:val="32"/>
          <w:szCs w:val="32"/>
          <w:lang w:val="en-US" w:eastAsia="zh-CN"/>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年财政拨款收支</w:t>
      </w:r>
      <w:r>
        <w:rPr>
          <w:rFonts w:hint="eastAsia" w:ascii="仿宋_GB2312" w:eastAsia="仿宋_GB2312" w:cs="Times New Roman"/>
          <w:color w:val="000000" w:themeColor="text1"/>
          <w:sz w:val="32"/>
          <w:szCs w:val="32"/>
          <w14:textFill>
            <w14:solidFill>
              <w14:schemeClr w14:val="tx1"/>
            </w14:solidFill>
          </w14:textFill>
        </w:rPr>
        <w:t>总预算增</w:t>
      </w:r>
      <w:r>
        <w:rPr>
          <w:rFonts w:hint="eastAsia" w:ascii="仿宋_GB2312" w:eastAsia="仿宋_GB2312" w:cs="Times New Roman"/>
          <w:color w:val="000000" w:themeColor="text1"/>
          <w:sz w:val="32"/>
          <w:szCs w:val="32"/>
          <w:lang w:val="en-US" w:eastAsia="zh-CN"/>
          <w14:textFill>
            <w14:solidFill>
              <w14:schemeClr w14:val="tx1"/>
            </w14:solidFill>
          </w14:textFill>
        </w:rPr>
        <w:t>107.54</w:t>
      </w:r>
      <w:r>
        <w:rPr>
          <w:rFonts w:hint="eastAsia" w:ascii="仿宋_GB2312" w:eastAsia="仿宋_GB2312" w:cs="Times New Roman"/>
          <w:color w:val="000000" w:themeColor="text1"/>
          <w:sz w:val="32"/>
          <w:szCs w:val="32"/>
          <w14:textFill>
            <w14:solidFill>
              <w14:schemeClr w14:val="tx1"/>
            </w14:solidFill>
          </w14:textFill>
        </w:rPr>
        <w:t>万元，主</w:t>
      </w:r>
      <w:r>
        <w:rPr>
          <w:rFonts w:hint="eastAsia" w:ascii="仿宋_GB2312" w:eastAsia="仿宋_GB2312"/>
          <w:color w:val="000000" w:themeColor="text1"/>
          <w:sz w:val="32"/>
          <w:szCs w:val="32"/>
          <w14:textFill>
            <w14:solidFill>
              <w14:schemeClr w14:val="tx1"/>
            </w14:solidFill>
          </w14:textFill>
        </w:rPr>
        <w:t>要原因:</w:t>
      </w:r>
      <w:r>
        <w:rPr>
          <w:rFonts w:hint="eastAsia" w:ascii="仿宋_GB2312" w:eastAsia="仿宋_GB2312"/>
          <w:color w:val="000000" w:themeColor="text1"/>
          <w:sz w:val="32"/>
          <w:szCs w:val="32"/>
          <w:lang w:val="en-US" w:eastAsia="zh-CN"/>
          <w14:textFill>
            <w14:solidFill>
              <w14:schemeClr w14:val="tx1"/>
            </w14:solidFill>
          </w14:textFill>
        </w:rPr>
        <w:t>2025年调动、新增等人员变动及2026年保障了物业管理费。</w:t>
      </w:r>
    </w:p>
    <w:p>
      <w:pPr>
        <w:spacing w:line="54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eastAsia="仿宋_GB2312" w:cs="仿宋_GB2312"/>
          <w:sz w:val="32"/>
          <w:szCs w:val="32"/>
        </w:rPr>
        <w:t>收入包括</w:t>
      </w:r>
      <w:r>
        <w:rPr>
          <w:rFonts w:hint="eastAsia" w:ascii="仿宋_GB2312" w:hAnsi="仿宋_GB2312" w:eastAsia="仿宋_GB2312" w:cs="仿宋_GB2312"/>
          <w:sz w:val="32"/>
          <w:szCs w:val="32"/>
        </w:rPr>
        <w:t>：</w:t>
      </w:r>
      <w:r>
        <w:rPr>
          <w:rFonts w:hint="eastAsia" w:ascii="仿宋_GB2312" w:hAnsi="仿宋_GB2312" w:eastAsia="仿宋_GB2312" w:cs="仿宋_GB2312"/>
          <w:color w:val="auto"/>
          <w:sz w:val="32"/>
          <w:szCs w:val="32"/>
        </w:rPr>
        <w:t>一</w:t>
      </w:r>
      <w:r>
        <w:rPr>
          <w:rFonts w:hint="eastAsia" w:ascii="仿宋_GB2312" w:eastAsia="仿宋_GB2312" w:cs="Times New Roman"/>
          <w:color w:val="auto"/>
          <w:sz w:val="32"/>
          <w:szCs w:val="32"/>
        </w:rPr>
        <w:t>般公共预算拨款收入、上年结转</w:t>
      </w:r>
      <w:r>
        <w:rPr>
          <w:rFonts w:hint="eastAsia" w:ascii="仿宋_GB2312" w:hAnsi="仿宋_GB2312" w:eastAsia="仿宋_GB2312" w:cs="仿宋_GB2312"/>
          <w:color w:val="auto"/>
          <w:sz w:val="32"/>
          <w:szCs w:val="32"/>
          <w:lang w:eastAsia="zh-CN"/>
        </w:rPr>
        <w:t>。</w:t>
      </w:r>
    </w:p>
    <w:p>
      <w:pPr>
        <w:spacing w:line="540" w:lineRule="exact"/>
        <w:ind w:firstLine="640" w:firstLineChars="200"/>
        <w:rPr>
          <w:rFonts w:hint="default" w:ascii="仿宋_GB2312" w:eastAsia="仿宋_GB2312" w:cs="Times New Roman"/>
          <w:color w:val="000000" w:themeColor="text1"/>
          <w:sz w:val="32"/>
          <w:szCs w:val="32"/>
          <w:lang w:val="en-US" w:eastAsia="zh-CN"/>
          <w14:textFill>
            <w14:solidFill>
              <w14:schemeClr w14:val="tx1"/>
            </w14:solidFill>
          </w14:textFill>
        </w:rPr>
      </w:pPr>
      <w:r>
        <w:rPr>
          <w:rFonts w:hint="eastAsia" w:ascii="仿宋_GB2312" w:eastAsia="仿宋_GB2312" w:cs="仿宋_GB2312"/>
          <w:sz w:val="32"/>
          <w:szCs w:val="32"/>
        </w:rPr>
        <w:t>支</w:t>
      </w:r>
      <w:r>
        <w:rPr>
          <w:rFonts w:hint="eastAsia" w:ascii="仿宋_GB2312" w:eastAsia="仿宋_GB2312" w:cs="仿宋_GB2312"/>
          <w:color w:val="000000" w:themeColor="text1"/>
          <w:sz w:val="32"/>
          <w:szCs w:val="32"/>
          <w14:textFill>
            <w14:solidFill>
              <w14:schemeClr w14:val="tx1"/>
            </w14:solidFill>
          </w14:textFill>
        </w:rPr>
        <w:t>出包括：</w:t>
      </w:r>
      <w:r>
        <w:rPr>
          <w:rFonts w:hint="eastAsia" w:ascii="仿宋_GB2312" w:eastAsia="仿宋_GB2312" w:cs="Times New Roman"/>
          <w:color w:val="000000" w:themeColor="text1"/>
          <w:sz w:val="32"/>
          <w:szCs w:val="32"/>
          <w14:textFill>
            <w14:solidFill>
              <w14:schemeClr w14:val="tx1"/>
            </w14:solidFill>
          </w14:textFill>
        </w:rPr>
        <w:t>公共安全支出、社会保障和就业支出、医疗卫生与计划生育支出、住房保障支出</w:t>
      </w:r>
      <w:r>
        <w:rPr>
          <w:rFonts w:hint="eastAsia" w:ascii="仿宋_GB2312" w:eastAsia="仿宋_GB2312" w:cs="Times New Roman"/>
          <w:color w:val="000000" w:themeColor="text1"/>
          <w:sz w:val="32"/>
          <w:szCs w:val="32"/>
          <w:lang w:val="en-US" w:eastAsia="zh-CN"/>
          <w14:textFill>
            <w14:solidFill>
              <w14:schemeClr w14:val="tx1"/>
            </w14:solidFill>
          </w14:textFill>
        </w:rPr>
        <w:t>。</w:t>
      </w:r>
    </w:p>
    <w:p>
      <w:pPr>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pStyle w:val="10"/>
        <w:spacing w:before="0" w:line="360" w:lineRule="auto"/>
        <w:ind w:firstLine="660"/>
        <w:rPr>
          <w:rFonts w:hint="eastAsia" w:ascii="楷体" w:eastAsia="楷体" w:cs="宋体"/>
          <w:sz w:val="32"/>
          <w:szCs w:val="32"/>
        </w:rPr>
      </w:pPr>
      <w:r>
        <w:rPr>
          <w:rFonts w:hint="eastAsia" w:cs="仿宋_GB2312"/>
          <w:kern w:val="2"/>
          <w:sz w:val="32"/>
          <w:szCs w:val="32"/>
        </w:rPr>
        <w:t>部门（单位）</w:t>
      </w:r>
      <w:r>
        <w:rPr>
          <w:rFonts w:hint="eastAsia" w:cs="宋体"/>
          <w:sz w:val="32"/>
          <w:szCs w:val="32"/>
          <w:lang w:eastAsia="zh-CN"/>
        </w:rPr>
        <w:t>2026</w:t>
      </w:r>
      <w:r>
        <w:rPr>
          <w:rFonts w:hint="eastAsia" w:cs="宋体"/>
          <w:sz w:val="32"/>
          <w:szCs w:val="32"/>
        </w:rPr>
        <w:t>年一般公共预算当年拨款</w:t>
      </w:r>
      <w:r>
        <w:rPr>
          <w:rFonts w:hint="eastAsia" w:cs="宋体"/>
          <w:sz w:val="32"/>
          <w:szCs w:val="32"/>
          <w:lang w:val="en-US" w:eastAsia="zh-CN"/>
        </w:rPr>
        <w:t>1245.5</w:t>
      </w:r>
      <w:r>
        <w:rPr>
          <w:rFonts w:hint="eastAsia" w:cs="宋体"/>
          <w:sz w:val="32"/>
          <w:szCs w:val="32"/>
        </w:rPr>
        <w:t>万元，比202</w:t>
      </w:r>
      <w:r>
        <w:rPr>
          <w:rFonts w:hint="eastAsia" w:cs="宋体"/>
          <w:sz w:val="32"/>
          <w:szCs w:val="32"/>
          <w:lang w:val="en-US" w:eastAsia="zh-CN"/>
        </w:rPr>
        <w:t>5</w:t>
      </w:r>
      <w:r>
        <w:rPr>
          <w:rFonts w:hint="eastAsia" w:cs="宋体"/>
          <w:sz w:val="32"/>
          <w:szCs w:val="32"/>
        </w:rPr>
        <w:t>年预</w:t>
      </w:r>
      <w:r>
        <w:rPr>
          <w:rFonts w:hint="eastAsia" w:cs="宋体"/>
          <w:color w:val="000000" w:themeColor="text1"/>
          <w:sz w:val="32"/>
          <w:szCs w:val="32"/>
          <w14:textFill>
            <w14:solidFill>
              <w14:schemeClr w14:val="tx1"/>
            </w14:solidFill>
          </w14:textFill>
        </w:rPr>
        <w:t>算数</w:t>
      </w:r>
      <w:r>
        <w:rPr>
          <w:rFonts w:hint="eastAsia"/>
          <w:color w:val="000000" w:themeColor="text1"/>
          <w:sz w:val="32"/>
          <w:szCs w:val="32"/>
          <w:lang w:eastAsia="zh-CN"/>
          <w14:textFill>
            <w14:solidFill>
              <w14:schemeClr w14:val="tx1"/>
            </w14:solidFill>
          </w14:textFill>
        </w:rPr>
        <w:t>增加</w:t>
      </w:r>
      <w:r>
        <w:rPr>
          <w:rFonts w:hint="eastAsia" w:cs="宋体"/>
          <w:color w:val="000000" w:themeColor="text1"/>
          <w:sz w:val="32"/>
          <w:szCs w:val="32"/>
          <w:lang w:val="en-US" w:eastAsia="zh-CN"/>
          <w14:textFill>
            <w14:solidFill>
              <w14:schemeClr w14:val="tx1"/>
            </w14:solidFill>
          </w14:textFill>
        </w:rPr>
        <w:t>107.54</w:t>
      </w:r>
      <w:r>
        <w:rPr>
          <w:rFonts w:hint="eastAsia" w:cs="宋体"/>
          <w:color w:val="000000" w:themeColor="text1"/>
          <w:sz w:val="32"/>
          <w:szCs w:val="32"/>
          <w14:textFill>
            <w14:solidFill>
              <w14:schemeClr w14:val="tx1"/>
            </w14:solidFill>
          </w14:textFill>
        </w:rPr>
        <w:t>万元，主要原因</w:t>
      </w:r>
      <w:r>
        <w:rPr>
          <w:rFonts w:hint="eastAsia" w:cs="宋体"/>
          <w:sz w:val="32"/>
          <w:szCs w:val="32"/>
        </w:rPr>
        <w:t>:</w:t>
      </w:r>
      <w:r>
        <w:rPr>
          <w:rFonts w:hint="eastAsia" w:ascii="仿宋_GB2312" w:eastAsia="仿宋_GB2312"/>
          <w:color w:val="000000" w:themeColor="text1"/>
          <w:sz w:val="32"/>
          <w:szCs w:val="32"/>
          <w:lang w:val="en-US" w:eastAsia="zh-CN"/>
          <w14:textFill>
            <w14:solidFill>
              <w14:schemeClr w14:val="tx1"/>
            </w14:solidFill>
          </w14:textFill>
        </w:rPr>
        <w:t>2025年调动</w:t>
      </w:r>
      <w:r>
        <w:rPr>
          <w:rFonts w:hint="eastAsia"/>
          <w:color w:val="000000" w:themeColor="text1"/>
          <w:sz w:val="32"/>
          <w:szCs w:val="32"/>
          <w:lang w:val="en-US"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新增等人员变动及2026年保障了物业管理费</w:t>
      </w:r>
      <w:r>
        <w:rPr>
          <w:rFonts w:hint="eastAsia"/>
          <w:sz w:val="32"/>
          <w:szCs w:val="32"/>
          <w:lang w:val="en-US" w:eastAsia="zh-CN"/>
        </w:rPr>
        <w:t>。</w:t>
      </w:r>
      <w:r>
        <w:rPr>
          <w:rFonts w:hint="eastAsia" w:cs="仿宋_GB2312"/>
          <w:kern w:val="2"/>
          <w:sz w:val="32"/>
          <w:szCs w:val="32"/>
        </w:rPr>
        <w:t>　</w:t>
      </w:r>
    </w:p>
    <w:p>
      <w:pPr>
        <w:pStyle w:val="10"/>
        <w:numPr>
          <w:ilvl w:val="0"/>
          <w:numId w:val="0"/>
        </w:numPr>
        <w:spacing w:before="0" w:line="360" w:lineRule="auto"/>
        <w:ind w:firstLine="640" w:firstLineChars="200"/>
        <w:jc w:val="left"/>
        <w:rPr>
          <w:rFonts w:hint="eastAsia" w:ascii="楷体" w:eastAsia="楷体" w:cs="宋体"/>
          <w:sz w:val="32"/>
          <w:szCs w:val="32"/>
        </w:rPr>
      </w:pPr>
      <w:r>
        <w:rPr>
          <w:rFonts w:hint="eastAsia" w:ascii="楷体" w:eastAsia="楷体" w:cs="宋体"/>
          <w:sz w:val="32"/>
          <w:szCs w:val="32"/>
          <w:lang w:eastAsia="zh-CN"/>
        </w:rPr>
        <w:t>（二）</w:t>
      </w:r>
      <w:r>
        <w:rPr>
          <w:rFonts w:hint="eastAsia" w:ascii="楷体" w:eastAsia="楷体" w:cs="宋体"/>
          <w:sz w:val="32"/>
          <w:szCs w:val="32"/>
        </w:rPr>
        <w:t>一般公共预算当年拨款结构情况</w:t>
      </w:r>
    </w:p>
    <w:p>
      <w:pPr>
        <w:pStyle w:val="10"/>
        <w:numPr>
          <w:ilvl w:val="0"/>
          <w:numId w:val="0"/>
        </w:numPr>
        <w:spacing w:before="0" w:line="360" w:lineRule="auto"/>
        <w:ind w:firstLine="640" w:firstLineChars="200"/>
        <w:jc w:val="left"/>
        <w:rPr>
          <w:rFonts w:hint="eastAsia" w:eastAsia="仿宋_GB2312" w:cs="仿宋_GB2312"/>
          <w:kern w:val="2"/>
          <w:sz w:val="32"/>
          <w:szCs w:val="32"/>
          <w:lang w:eastAsia="zh-CN"/>
        </w:rPr>
      </w:pPr>
      <w:r>
        <w:rPr>
          <w:rFonts w:hint="eastAsia" w:cs="宋体"/>
          <w:sz w:val="32"/>
          <w:szCs w:val="32"/>
          <w:lang w:eastAsia="zh-CN"/>
        </w:rPr>
        <w:t>公共安全</w:t>
      </w:r>
      <w:r>
        <w:rPr>
          <w:rFonts w:hint="eastAsia" w:cs="宋体"/>
          <w:sz w:val="32"/>
          <w:szCs w:val="32"/>
        </w:rPr>
        <w:t>支出</w:t>
      </w:r>
      <w:r>
        <w:rPr>
          <w:rFonts w:hint="eastAsia" w:cs="宋体"/>
          <w:sz w:val="32"/>
          <w:szCs w:val="32"/>
          <w:lang w:val="en-US" w:eastAsia="zh-CN"/>
        </w:rPr>
        <w:t>908.49</w:t>
      </w:r>
      <w:r>
        <w:rPr>
          <w:rFonts w:hint="eastAsia" w:cs="宋体"/>
          <w:sz w:val="32"/>
          <w:szCs w:val="32"/>
        </w:rPr>
        <w:t>万元，占</w:t>
      </w:r>
      <w:r>
        <w:rPr>
          <w:rFonts w:hint="eastAsia" w:cs="宋体"/>
          <w:sz w:val="32"/>
          <w:szCs w:val="32"/>
          <w:lang w:val="en-US" w:eastAsia="zh-CN"/>
        </w:rPr>
        <w:t>72.9</w:t>
      </w:r>
      <w:r>
        <w:rPr>
          <w:rFonts w:hint="eastAsia" w:cs="宋体"/>
          <w:sz w:val="32"/>
          <w:szCs w:val="32"/>
        </w:rPr>
        <w:t>%；社会保障和就业支</w:t>
      </w:r>
      <w:r>
        <w:rPr>
          <w:rFonts w:hint="eastAsia" w:cs="宋体"/>
          <w:sz w:val="32"/>
          <w:szCs w:val="32"/>
          <w:lang w:eastAsia="zh-CN"/>
        </w:rPr>
        <w:t>出</w:t>
      </w:r>
      <w:r>
        <w:rPr>
          <w:rFonts w:hint="eastAsia" w:cs="宋体"/>
          <w:sz w:val="32"/>
          <w:szCs w:val="32"/>
          <w:lang w:val="en-US" w:eastAsia="zh-CN"/>
        </w:rPr>
        <w:t>181.32万元，</w:t>
      </w:r>
      <w:r>
        <w:rPr>
          <w:rFonts w:hint="eastAsia" w:cs="宋体"/>
          <w:sz w:val="32"/>
          <w:szCs w:val="32"/>
        </w:rPr>
        <w:t>占</w:t>
      </w:r>
      <w:r>
        <w:rPr>
          <w:rFonts w:hint="eastAsia" w:cs="宋体"/>
          <w:sz w:val="32"/>
          <w:szCs w:val="32"/>
          <w:lang w:val="en-US" w:eastAsia="zh-CN"/>
        </w:rPr>
        <w:t>14.6</w:t>
      </w:r>
      <w:r>
        <w:rPr>
          <w:rFonts w:hint="eastAsia" w:cs="宋体"/>
          <w:sz w:val="32"/>
          <w:szCs w:val="32"/>
        </w:rPr>
        <w:t>%；</w:t>
      </w:r>
      <w:r>
        <w:rPr>
          <w:rFonts w:hint="eastAsia" w:cs="宋体"/>
          <w:sz w:val="32"/>
          <w:szCs w:val="32"/>
          <w:lang w:eastAsia="zh-CN"/>
        </w:rPr>
        <w:t>卫生将康支出</w:t>
      </w:r>
      <w:r>
        <w:rPr>
          <w:rFonts w:hint="eastAsia" w:cs="宋体"/>
          <w:sz w:val="32"/>
          <w:szCs w:val="32"/>
          <w:lang w:val="en-US" w:eastAsia="zh-CN"/>
        </w:rPr>
        <w:t>67.6万元，</w:t>
      </w:r>
      <w:r>
        <w:rPr>
          <w:rFonts w:hint="eastAsia" w:cs="宋体"/>
          <w:sz w:val="32"/>
          <w:szCs w:val="32"/>
        </w:rPr>
        <w:t>占</w:t>
      </w:r>
      <w:r>
        <w:rPr>
          <w:rFonts w:hint="eastAsia" w:cs="宋体"/>
          <w:sz w:val="32"/>
          <w:szCs w:val="32"/>
          <w:lang w:val="en-US" w:eastAsia="zh-CN"/>
        </w:rPr>
        <w:t>5.4</w:t>
      </w:r>
      <w:r>
        <w:rPr>
          <w:rFonts w:hint="eastAsia" w:cs="宋体"/>
          <w:sz w:val="32"/>
          <w:szCs w:val="32"/>
        </w:rPr>
        <w:t>%</w:t>
      </w:r>
      <w:r>
        <w:rPr>
          <w:rFonts w:hint="eastAsia" w:cs="宋体"/>
          <w:sz w:val="32"/>
          <w:szCs w:val="32"/>
          <w:lang w:eastAsia="zh-CN"/>
        </w:rPr>
        <w:t>；</w:t>
      </w:r>
      <w:r>
        <w:rPr>
          <w:rFonts w:hint="eastAsia" w:cs="宋体"/>
          <w:sz w:val="32"/>
          <w:szCs w:val="32"/>
        </w:rPr>
        <w:t>住房保障支出</w:t>
      </w:r>
      <w:r>
        <w:rPr>
          <w:rFonts w:hint="eastAsia" w:cs="宋体"/>
          <w:sz w:val="32"/>
          <w:szCs w:val="32"/>
          <w:lang w:val="en-US" w:eastAsia="zh-CN"/>
        </w:rPr>
        <w:t>88.1</w:t>
      </w:r>
      <w:r>
        <w:rPr>
          <w:rFonts w:hint="eastAsia" w:cs="宋体"/>
          <w:sz w:val="32"/>
          <w:szCs w:val="32"/>
        </w:rPr>
        <w:t>万元，占</w:t>
      </w:r>
      <w:r>
        <w:rPr>
          <w:rFonts w:hint="eastAsia" w:cs="宋体"/>
          <w:sz w:val="32"/>
          <w:szCs w:val="32"/>
          <w:lang w:val="en-US" w:eastAsia="zh-CN"/>
        </w:rPr>
        <w:t>7.1</w:t>
      </w:r>
      <w:r>
        <w:rPr>
          <w:rFonts w:hint="eastAsia" w:cs="宋体"/>
          <w:sz w:val="32"/>
          <w:szCs w:val="32"/>
        </w:rPr>
        <w:t>%</w:t>
      </w:r>
      <w:r>
        <w:rPr>
          <w:rFonts w:hint="eastAsia" w:cs="宋体"/>
          <w:sz w:val="32"/>
          <w:szCs w:val="32"/>
          <w:lang w:eastAsia="zh-CN"/>
        </w:rPr>
        <w:t>。</w:t>
      </w:r>
    </w:p>
    <w:p>
      <w:pPr>
        <w:pStyle w:val="10"/>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numPr>
          <w:ilvl w:val="0"/>
          <w:numId w:val="0"/>
        </w:numPr>
        <w:ind w:firstLine="640" w:firstLineChars="200"/>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1. 公共安全支（类）法院（款）行政运行（项）:2026年预算数为908.49万元，主要用于：法院的正常运转的基本支出，包括基本工资、津贴补贴等人员经费以及办公费、印刷费、水电费等日常公用经费及2026年物业管理费27万元。</w:t>
      </w:r>
    </w:p>
    <w:p>
      <w:pPr>
        <w:numPr>
          <w:ilvl w:val="0"/>
          <w:numId w:val="0"/>
        </w:numPr>
        <w:ind w:firstLine="640" w:firstLineChars="200"/>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2. 公共安全支（类）法院（款）一般行政管理事务（项）:2026年预算数为0万元，主要用于：法院开展财政综合业务、预决算编审等未单独设置项级科目的专门性财政管理工作的项目支出。</w:t>
      </w:r>
    </w:p>
    <w:p>
      <w:pPr>
        <w:numPr>
          <w:ilvl w:val="0"/>
          <w:numId w:val="0"/>
        </w:numPr>
        <w:ind w:firstLine="640" w:firstLineChars="200"/>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3.社会保障和就业（类）行政事业单位离退休（款）机关事业单位基本养老保险缴费支出（项）:2026年预算数为120.88万元，主要用于：实施养老保险制度后，部门按规定由单位缴纳的基本养老保险费支出。</w:t>
      </w:r>
    </w:p>
    <w:p>
      <w:pPr>
        <w:numPr>
          <w:ilvl w:val="0"/>
          <w:numId w:val="0"/>
        </w:numPr>
        <w:ind w:firstLine="640" w:firstLineChars="200"/>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4.社会保障和就业（类）行政事业单位离退休（款）机关事业单位职业年金缴费支出（项）:2026年预算数为60.44万元，主要用于：实施养老保险制度后，部门按规定由单位缴纳的职业年金支出。</w:t>
      </w:r>
    </w:p>
    <w:p>
      <w:pPr>
        <w:numPr>
          <w:ilvl w:val="0"/>
          <w:numId w:val="0"/>
        </w:numPr>
        <w:ind w:firstLine="640" w:firstLineChars="200"/>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5.社会保障和就业（类）其他社会保障和就业（款）其他社会保障和就业支出（项）:2026年预算数为0万元，主要用于：对建国初期参加革命工作的部分退休干部适当照顾的支出。</w:t>
      </w:r>
    </w:p>
    <w:p>
      <w:pPr>
        <w:numPr>
          <w:ilvl w:val="0"/>
          <w:numId w:val="0"/>
        </w:numPr>
        <w:ind w:firstLine="640" w:firstLineChars="200"/>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6.医疗卫生与计划生育（类）行政事业单位医疗（款）行政单位医疗（项）:2026年预算数为52.88万元，主要用于：机关及参公管理事业单位基本医疗保险缴费支出。</w:t>
      </w:r>
    </w:p>
    <w:p>
      <w:pPr>
        <w:numPr>
          <w:ilvl w:val="0"/>
          <w:numId w:val="0"/>
        </w:numPr>
        <w:ind w:firstLine="640" w:firstLineChars="200"/>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7.医疗卫生与计划生育（类）行政事业单位医疗（款）事业单位医疗（项）:2026年预算数为0万元，主要用于：机关及参公管理事业单位基本医疗保险缴费支出。</w:t>
      </w:r>
    </w:p>
    <w:p>
      <w:pPr>
        <w:numPr>
          <w:ilvl w:val="0"/>
          <w:numId w:val="0"/>
        </w:numPr>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　  8.医疗卫生与计划生育（类）行政事业单位医疗（款）公务员医疗补助（项）:2026年预算数为14.71万元，主要用于：机关及参公管理事业单位集中缴纳公务员医疗补助支出。</w:t>
      </w:r>
    </w:p>
    <w:p>
      <w:pPr>
        <w:numPr>
          <w:ilvl w:val="0"/>
          <w:numId w:val="0"/>
        </w:numPr>
        <w:ind w:firstLine="640" w:firstLineChars="200"/>
        <w:rPr>
          <w:rFonts w:hint="eastAsia" w:ascii="仿宋_GB2312" w:eastAsia="仿宋_GB2312" w:cs="仿宋_GB2312"/>
          <w:color w:val="000000" w:themeColor="text1"/>
          <w:sz w:val="32"/>
          <w:szCs w:val="32"/>
          <w:lang w:val="en-US" w:eastAsia="zh-CN"/>
          <w14:textFill>
            <w14:solidFill>
              <w14:schemeClr w14:val="tx1"/>
            </w14:solidFill>
          </w14:textFill>
        </w:rPr>
      </w:pPr>
      <w:r>
        <w:rPr>
          <w:rFonts w:hint="eastAsia" w:ascii="仿宋_GB2312" w:eastAsia="仿宋_GB2312" w:cs="仿宋_GB2312"/>
          <w:color w:val="000000" w:themeColor="text1"/>
          <w:sz w:val="32"/>
          <w:szCs w:val="32"/>
          <w:lang w:val="en-US" w:eastAsia="zh-CN"/>
          <w14:textFill>
            <w14:solidFill>
              <w14:schemeClr w14:val="tx1"/>
            </w14:solidFill>
          </w14:textFill>
        </w:rPr>
        <w:t xml:space="preserve">9.住房保障（类）住房改革支出（款）住房公积金（项）:2026年预算数为88.1万元，主要用于：部门按人力资源和社会保障部、财政部规定的基本工资和津贴补贴以及规定比例为职工缴纳的住房公积金支出。 </w:t>
      </w:r>
    </w:p>
    <w:p>
      <w:pPr>
        <w:pStyle w:val="10"/>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color w:val="auto"/>
          <w:kern w:val="2"/>
          <w:sz w:val="32"/>
          <w:szCs w:val="32"/>
          <w:shd w:val="clear" w:color="auto" w:fill="auto"/>
        </w:rPr>
      </w:pPr>
      <w:r>
        <w:rPr>
          <w:rFonts w:hint="eastAsia" w:cs="仿宋_GB2312"/>
          <w:color w:val="auto"/>
          <w:kern w:val="2"/>
          <w:sz w:val="32"/>
          <w:szCs w:val="32"/>
          <w:shd w:val="clear" w:color="auto" w:fill="auto"/>
        </w:rPr>
        <w:t>部门（单位）</w:t>
      </w:r>
      <w:r>
        <w:rPr>
          <w:rFonts w:hint="eastAsia" w:cs="仿宋_GB2312"/>
          <w:color w:val="auto"/>
          <w:kern w:val="2"/>
          <w:sz w:val="32"/>
          <w:szCs w:val="32"/>
          <w:shd w:val="clear" w:color="auto" w:fill="auto"/>
          <w:lang w:eastAsia="zh-CN"/>
        </w:rPr>
        <w:t>2026</w:t>
      </w:r>
      <w:r>
        <w:rPr>
          <w:rFonts w:hint="eastAsia" w:cs="仿宋_GB2312"/>
          <w:color w:val="auto"/>
          <w:kern w:val="2"/>
          <w:sz w:val="32"/>
          <w:szCs w:val="32"/>
          <w:shd w:val="clear" w:color="auto" w:fill="auto"/>
        </w:rPr>
        <w:t>年一般公共预算基本支出</w:t>
      </w:r>
      <w:r>
        <w:rPr>
          <w:rFonts w:hint="eastAsia" w:cs="仿宋_GB2312"/>
          <w:color w:val="auto"/>
          <w:kern w:val="2"/>
          <w:sz w:val="32"/>
          <w:szCs w:val="32"/>
          <w:shd w:val="clear" w:color="auto" w:fill="auto"/>
          <w:lang w:val="en-US" w:eastAsia="zh-CN"/>
        </w:rPr>
        <w:t>1245.5</w:t>
      </w:r>
      <w:r>
        <w:rPr>
          <w:rFonts w:hint="eastAsia" w:cs="仿宋_GB2312"/>
          <w:color w:val="auto"/>
          <w:kern w:val="2"/>
          <w:sz w:val="32"/>
          <w:szCs w:val="32"/>
          <w:shd w:val="clear" w:color="auto" w:fill="auto"/>
        </w:rPr>
        <w:t>万元，其中：人员经费</w:t>
      </w:r>
      <w:r>
        <w:rPr>
          <w:rFonts w:hint="eastAsia" w:cs="仿宋_GB2312"/>
          <w:color w:val="auto"/>
          <w:kern w:val="2"/>
          <w:sz w:val="32"/>
          <w:szCs w:val="32"/>
          <w:shd w:val="clear" w:color="auto" w:fill="auto"/>
          <w:lang w:val="en-US" w:eastAsia="zh-CN"/>
        </w:rPr>
        <w:t>1070.91</w:t>
      </w:r>
      <w:r>
        <w:rPr>
          <w:rFonts w:hint="eastAsia" w:cs="仿宋_GB2312"/>
          <w:color w:val="auto"/>
          <w:kern w:val="2"/>
          <w:sz w:val="32"/>
          <w:szCs w:val="32"/>
          <w:shd w:val="clear" w:color="auto" w:fill="auto"/>
        </w:rPr>
        <w:t>万元，主要包括：基本工资、津贴补贴、奖金、其他社会保障缴费、绩效工资、机关事业单位基本养老保险缴费、职业年金缴费、其他工资福利支出、离休费、奖励金、住房公积金、其他对个人和家庭的补助支出。</w:t>
      </w:r>
    </w:p>
    <w:p>
      <w:pPr>
        <w:pStyle w:val="10"/>
        <w:spacing w:before="0" w:line="360" w:lineRule="auto"/>
        <w:ind w:firstLine="640" w:firstLineChars="200"/>
        <w:rPr>
          <w:rFonts w:hint="eastAsia" w:cs="仿宋_GB2312"/>
          <w:color w:val="auto"/>
          <w:kern w:val="2"/>
          <w:sz w:val="32"/>
          <w:szCs w:val="32"/>
          <w:shd w:val="clear" w:color="auto" w:fill="auto"/>
        </w:rPr>
      </w:pPr>
      <w:r>
        <w:rPr>
          <w:rFonts w:hint="eastAsia" w:cs="仿宋_GB2312"/>
          <w:color w:val="auto"/>
          <w:kern w:val="2"/>
          <w:sz w:val="32"/>
          <w:szCs w:val="32"/>
          <w:shd w:val="clear" w:color="auto" w:fill="auto"/>
        </w:rPr>
        <w:t>公用经费</w:t>
      </w:r>
      <w:r>
        <w:rPr>
          <w:rFonts w:hint="eastAsia" w:cs="仿宋_GB2312"/>
          <w:color w:val="auto"/>
          <w:kern w:val="2"/>
          <w:sz w:val="32"/>
          <w:szCs w:val="32"/>
          <w:shd w:val="clear" w:color="auto" w:fill="auto"/>
          <w:lang w:val="en-US" w:eastAsia="zh-CN"/>
        </w:rPr>
        <w:t>147.59</w:t>
      </w:r>
      <w:r>
        <w:rPr>
          <w:rFonts w:hint="eastAsia" w:cs="仿宋_GB2312"/>
          <w:color w:val="auto"/>
          <w:kern w:val="2"/>
          <w:sz w:val="32"/>
          <w:szCs w:val="32"/>
          <w:shd w:val="clear" w:color="auto" w:fill="auto"/>
        </w:rPr>
        <w:t>万元，主要包括：办公费、印刷费、手续费、水费、电费、邮电费、差旅费、维修（护）费、租赁费、会议费、培训费、劳务费、工会经费、福利费、其他交通工具运行维护费、其他商品和服务支出。</w:t>
      </w:r>
    </w:p>
    <w:p>
      <w:pPr>
        <w:pStyle w:val="10"/>
        <w:spacing w:before="0" w:line="360" w:lineRule="auto"/>
        <w:ind w:firstLine="640" w:firstLineChars="200"/>
        <w:rPr>
          <w:rFonts w:ascii="黑体" w:eastAsia="黑体"/>
          <w:color w:val="auto"/>
          <w:sz w:val="32"/>
          <w:szCs w:val="32"/>
        </w:rPr>
      </w:pPr>
      <w:r>
        <w:rPr>
          <w:rFonts w:hint="eastAsia" w:ascii="黑体" w:eastAsia="黑体"/>
          <w:color w:val="0000FF"/>
          <w:sz w:val="32"/>
          <w:szCs w:val="32"/>
        </w:rPr>
        <w:t xml:space="preserve">    </w:t>
      </w:r>
      <w:r>
        <w:rPr>
          <w:rFonts w:hint="eastAsia" w:ascii="黑体" w:eastAsia="黑体"/>
          <w:color w:val="auto"/>
          <w:sz w:val="32"/>
          <w:szCs w:val="32"/>
        </w:rPr>
        <w:t>七、“三公”经费财政拨款预算安排情况说明</w:t>
      </w:r>
    </w:p>
    <w:p>
      <w:pPr>
        <w:pStyle w:val="10"/>
        <w:spacing w:before="0" w:line="360" w:lineRule="auto"/>
        <w:ind w:firstLine="640" w:firstLineChars="200"/>
        <w:rPr>
          <w:rFonts w:cs="仿宋_GB2312"/>
          <w:color w:val="auto"/>
          <w:kern w:val="2"/>
          <w:sz w:val="32"/>
          <w:szCs w:val="32"/>
        </w:rPr>
      </w:pPr>
      <w:r>
        <w:rPr>
          <w:rFonts w:hint="eastAsia" w:cs="仿宋_GB2312"/>
          <w:color w:val="auto"/>
          <w:kern w:val="2"/>
          <w:sz w:val="32"/>
          <w:szCs w:val="32"/>
        </w:rPr>
        <w:t>部门（单位）</w:t>
      </w:r>
      <w:r>
        <w:rPr>
          <w:rFonts w:hint="eastAsia" w:cs="仿宋_GB2312"/>
          <w:color w:val="auto"/>
          <w:kern w:val="2"/>
          <w:sz w:val="32"/>
          <w:szCs w:val="32"/>
          <w:lang w:eastAsia="zh-CN"/>
        </w:rPr>
        <w:t>2026</w:t>
      </w:r>
      <w:r>
        <w:rPr>
          <w:rFonts w:hint="eastAsia" w:cs="仿宋_GB2312"/>
          <w:color w:val="auto"/>
          <w:kern w:val="2"/>
          <w:sz w:val="32"/>
          <w:szCs w:val="32"/>
        </w:rPr>
        <w:t>年“三公”经费财政拨款预算数</w:t>
      </w:r>
      <w:r>
        <w:rPr>
          <w:rFonts w:hint="eastAsia" w:cs="仿宋_GB2312"/>
          <w:color w:val="auto"/>
          <w:kern w:val="2"/>
          <w:sz w:val="32"/>
          <w:szCs w:val="32"/>
          <w:lang w:val="en-US" w:eastAsia="zh-CN"/>
        </w:rPr>
        <w:t>29</w:t>
      </w:r>
      <w:r>
        <w:rPr>
          <w:rFonts w:hint="eastAsia" w:cs="仿宋_GB2312"/>
          <w:color w:val="auto"/>
          <w:kern w:val="2"/>
          <w:sz w:val="32"/>
          <w:szCs w:val="32"/>
        </w:rPr>
        <w:t>万元，其中：因公出国（境）经费</w:t>
      </w:r>
      <w:r>
        <w:rPr>
          <w:rFonts w:hint="eastAsia" w:cs="仿宋_GB2312"/>
          <w:color w:val="auto"/>
          <w:kern w:val="2"/>
          <w:sz w:val="32"/>
          <w:szCs w:val="32"/>
          <w:lang w:val="en-US" w:eastAsia="zh-CN"/>
        </w:rPr>
        <w:t>0</w:t>
      </w:r>
      <w:r>
        <w:rPr>
          <w:rFonts w:hint="eastAsia" w:cs="仿宋_GB2312"/>
          <w:color w:val="auto"/>
          <w:kern w:val="2"/>
          <w:sz w:val="32"/>
          <w:szCs w:val="32"/>
        </w:rPr>
        <w:t>万元，公务接待费</w:t>
      </w:r>
      <w:r>
        <w:rPr>
          <w:rFonts w:hint="eastAsia" w:cs="仿宋_GB2312"/>
          <w:color w:val="auto"/>
          <w:kern w:val="2"/>
          <w:sz w:val="32"/>
          <w:szCs w:val="32"/>
          <w:lang w:val="en-US" w:eastAsia="zh-CN"/>
        </w:rPr>
        <w:t>2</w:t>
      </w:r>
      <w:r>
        <w:rPr>
          <w:rFonts w:hint="eastAsia" w:cs="仿宋_GB2312"/>
          <w:color w:val="auto"/>
          <w:kern w:val="2"/>
          <w:sz w:val="32"/>
          <w:szCs w:val="32"/>
        </w:rPr>
        <w:t>万元，公务用车购置及运行维护费</w:t>
      </w:r>
      <w:r>
        <w:rPr>
          <w:rFonts w:hint="eastAsia" w:cs="仿宋_GB2312"/>
          <w:color w:val="auto"/>
          <w:kern w:val="2"/>
          <w:sz w:val="32"/>
          <w:szCs w:val="32"/>
          <w:lang w:val="en-US" w:eastAsia="zh-CN"/>
        </w:rPr>
        <w:t>27</w:t>
      </w:r>
      <w:r>
        <w:rPr>
          <w:rFonts w:hint="eastAsia" w:cs="仿宋_GB2312"/>
          <w:color w:val="auto"/>
          <w:kern w:val="2"/>
          <w:sz w:val="32"/>
          <w:szCs w:val="32"/>
        </w:rPr>
        <w:t>万元。</w:t>
      </w:r>
    </w:p>
    <w:p>
      <w:pPr>
        <w:pStyle w:val="10"/>
        <w:spacing w:before="0" w:line="360" w:lineRule="auto"/>
        <w:ind w:firstLine="640" w:firstLineChars="200"/>
        <w:rPr>
          <w:rFonts w:cs="仿宋_GB2312"/>
          <w:color w:val="auto"/>
          <w:kern w:val="2"/>
          <w:sz w:val="32"/>
          <w:szCs w:val="32"/>
        </w:rPr>
      </w:pPr>
      <w:r>
        <w:rPr>
          <w:rFonts w:hint="eastAsia" w:cs="仿宋_GB2312"/>
          <w:color w:val="auto"/>
          <w:kern w:val="2"/>
          <w:sz w:val="32"/>
          <w:szCs w:val="32"/>
        </w:rPr>
        <w:t>（一）</w:t>
      </w:r>
      <w:r>
        <w:rPr>
          <w:rFonts w:hint="eastAsia" w:cs="仿宋_GB2312"/>
          <w:color w:val="auto"/>
          <w:kern w:val="2"/>
          <w:sz w:val="32"/>
          <w:szCs w:val="32"/>
          <w:lang w:eastAsia="zh-CN"/>
        </w:rPr>
        <w:t>2026</w:t>
      </w:r>
      <w:r>
        <w:rPr>
          <w:rFonts w:hint="eastAsia" w:cs="仿宋_GB2312"/>
          <w:color w:val="auto"/>
          <w:kern w:val="2"/>
          <w:sz w:val="32"/>
          <w:szCs w:val="32"/>
        </w:rPr>
        <w:t>年因公出国（境）经费</w:t>
      </w:r>
      <w:r>
        <w:rPr>
          <w:rFonts w:hint="eastAsia" w:cs="仿宋_GB2312"/>
          <w:color w:val="auto"/>
          <w:kern w:val="2"/>
          <w:sz w:val="32"/>
          <w:szCs w:val="32"/>
          <w:lang w:val="en-US" w:eastAsia="zh-CN"/>
        </w:rPr>
        <w:t>0</w:t>
      </w:r>
      <w:r>
        <w:rPr>
          <w:rFonts w:hint="eastAsia" w:cs="仿宋_GB2312"/>
          <w:color w:val="auto"/>
          <w:kern w:val="2"/>
          <w:sz w:val="32"/>
          <w:szCs w:val="32"/>
        </w:rPr>
        <w:t>万元。</w:t>
      </w:r>
    </w:p>
    <w:p>
      <w:pPr>
        <w:pStyle w:val="10"/>
        <w:spacing w:before="0" w:line="360" w:lineRule="auto"/>
        <w:ind w:firstLine="640" w:firstLineChars="200"/>
        <w:rPr>
          <w:rFonts w:hint="eastAsia" w:cs="仿宋_GB2312"/>
          <w:color w:val="auto"/>
          <w:kern w:val="2"/>
          <w:sz w:val="32"/>
          <w:szCs w:val="32"/>
        </w:rPr>
      </w:pPr>
      <w:r>
        <w:rPr>
          <w:rFonts w:hint="eastAsia" w:cs="仿宋_GB2312"/>
          <w:color w:val="auto"/>
          <w:kern w:val="2"/>
          <w:sz w:val="32"/>
          <w:szCs w:val="32"/>
        </w:rPr>
        <w:t>（二）</w:t>
      </w:r>
      <w:r>
        <w:rPr>
          <w:rFonts w:hint="eastAsia" w:cs="仿宋_GB2312"/>
          <w:color w:val="auto"/>
          <w:kern w:val="2"/>
          <w:sz w:val="32"/>
          <w:szCs w:val="32"/>
          <w:lang w:eastAsia="zh-CN"/>
        </w:rPr>
        <w:t>2026</w:t>
      </w:r>
      <w:r>
        <w:rPr>
          <w:rFonts w:hint="eastAsia" w:cs="仿宋_GB2312"/>
          <w:color w:val="auto"/>
          <w:kern w:val="2"/>
          <w:sz w:val="32"/>
          <w:szCs w:val="32"/>
        </w:rPr>
        <w:t>年公务接待经费</w:t>
      </w:r>
      <w:r>
        <w:rPr>
          <w:rFonts w:hint="eastAsia" w:cs="仿宋_GB2312"/>
          <w:color w:val="auto"/>
          <w:kern w:val="2"/>
          <w:sz w:val="32"/>
          <w:szCs w:val="32"/>
          <w:lang w:val="en-US" w:eastAsia="zh-CN"/>
        </w:rPr>
        <w:t>2</w:t>
      </w:r>
      <w:r>
        <w:rPr>
          <w:rFonts w:hint="eastAsia" w:cs="仿宋_GB2312"/>
          <w:color w:val="auto"/>
          <w:kern w:val="2"/>
          <w:sz w:val="32"/>
          <w:szCs w:val="32"/>
        </w:rPr>
        <w:t>万元。</w:t>
      </w:r>
    </w:p>
    <w:p>
      <w:pPr>
        <w:pStyle w:val="10"/>
        <w:spacing w:before="0" w:line="360" w:lineRule="auto"/>
        <w:ind w:firstLine="640" w:firstLineChars="200"/>
        <w:rPr>
          <w:rFonts w:hint="eastAsia" w:cs="仿宋_GB2312"/>
          <w:color w:val="auto"/>
          <w:kern w:val="2"/>
          <w:sz w:val="32"/>
          <w:szCs w:val="32"/>
          <w:lang w:eastAsia="zh-CN"/>
        </w:rPr>
      </w:pPr>
      <w:bookmarkStart w:id="0" w:name="_GoBack"/>
      <w:bookmarkEnd w:id="0"/>
      <w:r>
        <w:rPr>
          <w:rFonts w:hint="eastAsia" w:cs="仿宋_GB2312"/>
          <w:color w:val="auto"/>
          <w:kern w:val="2"/>
          <w:sz w:val="32"/>
          <w:szCs w:val="32"/>
        </w:rPr>
        <w:t>（三）</w:t>
      </w:r>
      <w:r>
        <w:rPr>
          <w:rFonts w:hint="eastAsia" w:cs="仿宋_GB2312"/>
          <w:color w:val="auto"/>
          <w:kern w:val="2"/>
          <w:sz w:val="32"/>
          <w:szCs w:val="32"/>
          <w:lang w:eastAsia="zh-CN"/>
        </w:rPr>
        <w:t>2026</w:t>
      </w:r>
      <w:r>
        <w:rPr>
          <w:rFonts w:hint="eastAsia" w:cs="仿宋_GB2312"/>
          <w:color w:val="auto"/>
          <w:kern w:val="2"/>
          <w:sz w:val="32"/>
          <w:szCs w:val="32"/>
        </w:rPr>
        <w:t>年公务用车购置及运行维护费</w:t>
      </w:r>
      <w:r>
        <w:rPr>
          <w:rFonts w:hint="eastAsia" w:cs="仿宋_GB2312"/>
          <w:color w:val="auto"/>
          <w:kern w:val="2"/>
          <w:sz w:val="32"/>
          <w:szCs w:val="32"/>
          <w:lang w:val="en-US" w:eastAsia="zh-CN"/>
        </w:rPr>
        <w:t>27</w:t>
      </w:r>
      <w:r>
        <w:rPr>
          <w:rFonts w:hint="eastAsia" w:cs="仿宋_GB2312"/>
          <w:color w:val="auto"/>
          <w:kern w:val="2"/>
          <w:sz w:val="32"/>
          <w:szCs w:val="32"/>
        </w:rPr>
        <w:t>万元。较202</w:t>
      </w:r>
      <w:r>
        <w:rPr>
          <w:rFonts w:hint="eastAsia" w:cs="仿宋_GB2312"/>
          <w:color w:val="auto"/>
          <w:kern w:val="2"/>
          <w:sz w:val="32"/>
          <w:szCs w:val="32"/>
          <w:lang w:val="en-US" w:eastAsia="zh-CN"/>
        </w:rPr>
        <w:t>5</w:t>
      </w:r>
      <w:r>
        <w:rPr>
          <w:rFonts w:hint="eastAsia" w:cs="仿宋_GB2312"/>
          <w:color w:val="auto"/>
          <w:kern w:val="2"/>
          <w:sz w:val="32"/>
          <w:szCs w:val="32"/>
        </w:rPr>
        <w:t>年预算经费</w:t>
      </w:r>
      <w:r>
        <w:rPr>
          <w:rFonts w:hint="eastAsia" w:cs="仿宋_GB2312"/>
          <w:color w:val="auto"/>
          <w:kern w:val="2"/>
          <w:sz w:val="32"/>
          <w:szCs w:val="32"/>
          <w:lang w:eastAsia="zh-CN"/>
        </w:rPr>
        <w:t>持平。</w:t>
      </w:r>
    </w:p>
    <w:p>
      <w:pPr>
        <w:pStyle w:val="10"/>
        <w:spacing w:before="0" w:line="360" w:lineRule="auto"/>
        <w:ind w:firstLine="640" w:firstLineChars="200"/>
        <w:rPr>
          <w:rFonts w:ascii="黑体" w:eastAsia="黑体"/>
          <w:color w:val="auto"/>
          <w:sz w:val="32"/>
          <w:szCs w:val="32"/>
        </w:rPr>
      </w:pPr>
      <w:r>
        <w:rPr>
          <w:rFonts w:hint="eastAsia" w:ascii="黑体" w:eastAsia="黑体"/>
          <w:color w:val="auto"/>
          <w:sz w:val="32"/>
          <w:szCs w:val="32"/>
        </w:rPr>
        <w:t>八、政府性基金</w:t>
      </w:r>
      <w:r>
        <w:rPr>
          <w:rFonts w:hint="eastAsia" w:ascii="黑体" w:eastAsia="黑体" w:cs="仿宋_GB2312"/>
          <w:color w:val="auto"/>
          <w:kern w:val="2"/>
          <w:sz w:val="32"/>
          <w:szCs w:val="32"/>
        </w:rPr>
        <w:t>预算</w:t>
      </w:r>
      <w:r>
        <w:rPr>
          <w:rFonts w:hint="eastAsia" w:ascii="黑体" w:eastAsia="黑体"/>
          <w:color w:val="auto"/>
          <w:sz w:val="32"/>
          <w:szCs w:val="32"/>
        </w:rPr>
        <w:t>支出情况说明</w:t>
      </w:r>
    </w:p>
    <w:p>
      <w:pPr>
        <w:pStyle w:val="10"/>
        <w:spacing w:before="0" w:line="360" w:lineRule="auto"/>
        <w:ind w:firstLine="640" w:firstLineChars="200"/>
        <w:rPr>
          <w:rFonts w:hint="eastAsia" w:cs="宋体"/>
          <w:color w:val="auto"/>
          <w:sz w:val="32"/>
          <w:szCs w:val="32"/>
          <w:lang w:eastAsia="zh-CN"/>
        </w:rPr>
      </w:pPr>
      <w:r>
        <w:rPr>
          <w:rFonts w:hint="eastAsia" w:cs="仿宋_GB2312"/>
          <w:color w:val="auto"/>
          <w:kern w:val="2"/>
          <w:sz w:val="32"/>
          <w:szCs w:val="32"/>
        </w:rPr>
        <w:t>部门（单位）</w:t>
      </w:r>
      <w:r>
        <w:rPr>
          <w:rFonts w:hint="eastAsia" w:cs="仿宋_GB2312"/>
          <w:color w:val="auto"/>
          <w:kern w:val="2"/>
          <w:sz w:val="32"/>
          <w:szCs w:val="32"/>
          <w:lang w:eastAsia="zh-CN"/>
        </w:rPr>
        <w:t>2026</w:t>
      </w:r>
      <w:r>
        <w:rPr>
          <w:rFonts w:hint="eastAsia" w:cs="仿宋_GB2312"/>
          <w:color w:val="auto"/>
          <w:kern w:val="2"/>
          <w:sz w:val="32"/>
          <w:szCs w:val="32"/>
        </w:rPr>
        <w:t>年政府性基金预算拨款安排的支出</w:t>
      </w:r>
      <w:r>
        <w:rPr>
          <w:rFonts w:hint="eastAsia" w:cs="仿宋_GB2312"/>
          <w:color w:val="auto"/>
          <w:kern w:val="2"/>
          <w:sz w:val="32"/>
          <w:szCs w:val="32"/>
          <w:lang w:val="en-US" w:eastAsia="zh-CN"/>
        </w:rPr>
        <w:t>0</w:t>
      </w:r>
      <w:r>
        <w:rPr>
          <w:rFonts w:hint="eastAsia" w:cs="仿宋_GB2312"/>
          <w:color w:val="auto"/>
          <w:kern w:val="2"/>
          <w:sz w:val="32"/>
          <w:szCs w:val="32"/>
        </w:rPr>
        <w:t>万元。较202</w:t>
      </w:r>
      <w:r>
        <w:rPr>
          <w:rFonts w:hint="eastAsia" w:cs="仿宋_GB2312"/>
          <w:color w:val="auto"/>
          <w:kern w:val="2"/>
          <w:sz w:val="32"/>
          <w:szCs w:val="32"/>
          <w:lang w:val="en-US" w:eastAsia="zh-CN"/>
        </w:rPr>
        <w:t>5</w:t>
      </w:r>
      <w:r>
        <w:rPr>
          <w:rFonts w:hint="eastAsia" w:cs="仿宋_GB2312"/>
          <w:color w:val="auto"/>
          <w:kern w:val="2"/>
          <w:sz w:val="32"/>
          <w:szCs w:val="32"/>
        </w:rPr>
        <w:t>年预算经费</w:t>
      </w:r>
      <w:r>
        <w:rPr>
          <w:rFonts w:hint="eastAsia" w:cs="宋体"/>
          <w:color w:val="auto"/>
          <w:sz w:val="32"/>
          <w:szCs w:val="32"/>
          <w:lang w:eastAsia="zh-CN"/>
        </w:rPr>
        <w:t>相同。</w:t>
      </w:r>
    </w:p>
    <w:p>
      <w:pPr>
        <w:pStyle w:val="10"/>
        <w:spacing w:before="0" w:line="360" w:lineRule="auto"/>
        <w:ind w:firstLine="640" w:firstLineChars="200"/>
        <w:rPr>
          <w:rFonts w:ascii="黑体" w:eastAsia="黑体"/>
          <w:color w:val="auto"/>
          <w:sz w:val="32"/>
          <w:szCs w:val="32"/>
        </w:rPr>
      </w:pPr>
      <w:r>
        <w:rPr>
          <w:rFonts w:hint="eastAsia" w:ascii="黑体" w:eastAsia="黑体"/>
          <w:color w:val="auto"/>
          <w:sz w:val="32"/>
          <w:szCs w:val="32"/>
        </w:rPr>
        <w:t>九、其他重要事项的情况说明</w:t>
      </w:r>
    </w:p>
    <w:p>
      <w:pPr>
        <w:pStyle w:val="10"/>
        <w:spacing w:before="0" w:line="360" w:lineRule="auto"/>
        <w:ind w:firstLine="640" w:firstLineChars="200"/>
        <w:rPr>
          <w:rFonts w:hint="default" w:eastAsia="仿宋_GB2312" w:cs="仿宋_GB2312"/>
          <w:color w:val="auto"/>
          <w:kern w:val="2"/>
          <w:sz w:val="32"/>
          <w:szCs w:val="32"/>
          <w:lang w:val="en-US" w:eastAsia="zh-CN"/>
        </w:rPr>
      </w:pPr>
      <w:r>
        <w:rPr>
          <w:rFonts w:hint="eastAsia" w:ascii="楷体" w:eastAsia="楷体" w:cs="仿宋_GB2312"/>
          <w:color w:val="auto"/>
          <w:kern w:val="2"/>
          <w:sz w:val="32"/>
          <w:szCs w:val="32"/>
        </w:rPr>
        <w:t>（一）机关运行经费</w:t>
      </w:r>
      <w:r>
        <w:rPr>
          <w:rFonts w:hint="eastAsia" w:cs="仿宋_GB2312"/>
          <w:color w:val="auto"/>
          <w:kern w:val="2"/>
          <w:sz w:val="32"/>
          <w:szCs w:val="32"/>
        </w:rPr>
        <w:br w:type="textWrapping"/>
      </w:r>
      <w:r>
        <w:rPr>
          <w:rFonts w:hint="eastAsia" w:cs="仿宋_GB2312"/>
          <w:color w:val="0000FF"/>
          <w:kern w:val="2"/>
          <w:sz w:val="32"/>
          <w:szCs w:val="32"/>
        </w:rPr>
        <w:t xml:space="preserve">　  </w:t>
      </w:r>
      <w:r>
        <w:rPr>
          <w:rFonts w:hint="eastAsia" w:cs="仿宋_GB2312"/>
          <w:color w:val="auto"/>
          <w:kern w:val="2"/>
          <w:sz w:val="32"/>
          <w:szCs w:val="32"/>
        </w:rPr>
        <w:t>部门（单位）</w:t>
      </w:r>
      <w:r>
        <w:rPr>
          <w:rFonts w:hint="eastAsia" w:cs="仿宋_GB2312"/>
          <w:color w:val="auto"/>
          <w:kern w:val="2"/>
          <w:sz w:val="32"/>
          <w:szCs w:val="32"/>
          <w:lang w:eastAsia="zh-CN"/>
        </w:rPr>
        <w:t>2026</w:t>
      </w:r>
      <w:r>
        <w:rPr>
          <w:rFonts w:hint="eastAsia" w:cs="仿宋_GB2312"/>
          <w:color w:val="auto"/>
          <w:kern w:val="2"/>
          <w:sz w:val="32"/>
          <w:szCs w:val="32"/>
        </w:rPr>
        <w:t>年机关运行经费财政拨款预算为</w:t>
      </w:r>
      <w:r>
        <w:rPr>
          <w:rFonts w:hint="eastAsia" w:cs="仿宋_GB2312"/>
          <w:color w:val="auto"/>
          <w:kern w:val="2"/>
          <w:sz w:val="32"/>
          <w:szCs w:val="32"/>
          <w:lang w:val="en-US" w:eastAsia="zh-CN"/>
        </w:rPr>
        <w:t>147.59</w:t>
      </w:r>
      <w:r>
        <w:rPr>
          <w:rFonts w:hint="eastAsia" w:cs="仿宋_GB2312"/>
          <w:color w:val="auto"/>
          <w:kern w:val="2"/>
          <w:sz w:val="32"/>
          <w:szCs w:val="32"/>
        </w:rPr>
        <w:t>万元，比2024年预算</w:t>
      </w:r>
      <w:r>
        <w:rPr>
          <w:rFonts w:hint="eastAsia" w:cs="仿宋_GB2312"/>
          <w:color w:val="auto"/>
          <w:kern w:val="2"/>
          <w:sz w:val="32"/>
          <w:szCs w:val="32"/>
          <w:lang w:eastAsia="zh-CN"/>
        </w:rPr>
        <w:t>增加</w:t>
      </w:r>
      <w:r>
        <w:rPr>
          <w:rFonts w:hint="eastAsia" w:cs="仿宋_GB2312"/>
          <w:color w:val="auto"/>
          <w:kern w:val="2"/>
          <w:sz w:val="32"/>
          <w:szCs w:val="32"/>
          <w:lang w:val="en-US" w:eastAsia="zh-CN"/>
        </w:rPr>
        <w:t>2.43</w:t>
      </w:r>
      <w:r>
        <w:rPr>
          <w:rFonts w:hint="eastAsia" w:cs="仿宋_GB2312"/>
          <w:color w:val="auto"/>
          <w:kern w:val="2"/>
          <w:sz w:val="32"/>
          <w:szCs w:val="32"/>
        </w:rPr>
        <w:t>万元，</w:t>
      </w:r>
      <w:r>
        <w:rPr>
          <w:rFonts w:hint="eastAsia" w:cs="仿宋_GB2312"/>
          <w:color w:val="auto"/>
          <w:kern w:val="2"/>
          <w:sz w:val="32"/>
          <w:szCs w:val="32"/>
          <w:lang w:eastAsia="zh-CN"/>
        </w:rPr>
        <w:t>增加</w:t>
      </w:r>
      <w:r>
        <w:rPr>
          <w:rFonts w:hint="eastAsia" w:cs="仿宋_GB2312"/>
          <w:color w:val="auto"/>
          <w:kern w:val="2"/>
          <w:sz w:val="32"/>
          <w:szCs w:val="32"/>
          <w:lang w:val="en-US" w:eastAsia="zh-CN"/>
        </w:rPr>
        <w:t>0.3</w:t>
      </w:r>
      <w:r>
        <w:rPr>
          <w:rFonts w:hint="eastAsia" w:cs="仿宋_GB2312"/>
          <w:color w:val="auto"/>
          <w:kern w:val="2"/>
          <w:sz w:val="32"/>
          <w:szCs w:val="32"/>
        </w:rPr>
        <w:t>%。</w:t>
      </w:r>
    </w:p>
    <w:p>
      <w:pPr>
        <w:pStyle w:val="10"/>
        <w:spacing w:before="0" w:line="360" w:lineRule="auto"/>
        <w:ind w:firstLine="640" w:firstLineChars="200"/>
        <w:rPr>
          <w:rFonts w:hint="eastAsia" w:cs="仿宋_GB2312"/>
          <w:color w:val="auto"/>
          <w:kern w:val="2"/>
          <w:sz w:val="32"/>
          <w:szCs w:val="32"/>
          <w:lang w:eastAsia="zh-CN"/>
        </w:rPr>
      </w:pPr>
      <w:r>
        <w:rPr>
          <w:rFonts w:hint="eastAsia" w:ascii="楷体" w:eastAsia="楷体" w:cs="仿宋_GB2312"/>
          <w:color w:val="auto"/>
          <w:kern w:val="2"/>
          <w:sz w:val="32"/>
          <w:szCs w:val="32"/>
        </w:rPr>
        <w:t>（二）政府采购情况</w:t>
      </w:r>
      <w:r>
        <w:rPr>
          <w:rFonts w:hint="eastAsia" w:cs="仿宋_GB2312"/>
          <w:color w:val="auto"/>
          <w:kern w:val="2"/>
          <w:sz w:val="32"/>
          <w:szCs w:val="32"/>
        </w:rPr>
        <w:br w:type="textWrapping"/>
      </w:r>
      <w:r>
        <w:rPr>
          <w:rFonts w:hint="eastAsia" w:cs="仿宋_GB2312"/>
          <w:color w:val="auto"/>
          <w:kern w:val="2"/>
          <w:sz w:val="32"/>
          <w:szCs w:val="32"/>
        </w:rPr>
        <w:t xml:space="preserve">　　 </w:t>
      </w:r>
      <w:r>
        <w:rPr>
          <w:rFonts w:hint="eastAsia" w:cs="仿宋_GB2312"/>
          <w:color w:val="auto"/>
          <w:kern w:val="2"/>
          <w:sz w:val="32"/>
          <w:szCs w:val="32"/>
          <w:lang w:eastAsia="zh-CN"/>
        </w:rPr>
        <w:t>2026</w:t>
      </w:r>
      <w:r>
        <w:rPr>
          <w:rFonts w:hint="eastAsia" w:cs="仿宋_GB2312"/>
          <w:color w:val="auto"/>
          <w:kern w:val="2"/>
          <w:sz w:val="32"/>
          <w:szCs w:val="32"/>
        </w:rPr>
        <w:t>年部门（单位）安排政府采购预算</w:t>
      </w:r>
      <w:r>
        <w:rPr>
          <w:rFonts w:hint="eastAsia" w:cs="仿宋_GB2312"/>
          <w:color w:val="auto"/>
          <w:kern w:val="2"/>
          <w:sz w:val="32"/>
          <w:szCs w:val="32"/>
          <w:lang w:val="en-US" w:eastAsia="zh-CN"/>
        </w:rPr>
        <w:t>0</w:t>
      </w:r>
      <w:r>
        <w:rPr>
          <w:rFonts w:hint="eastAsia" w:cs="仿宋_GB2312"/>
          <w:color w:val="auto"/>
          <w:kern w:val="2"/>
          <w:sz w:val="32"/>
          <w:szCs w:val="32"/>
        </w:rPr>
        <w:t>万元</w:t>
      </w:r>
      <w:r>
        <w:rPr>
          <w:rFonts w:hint="eastAsia" w:cs="仿宋_GB2312"/>
          <w:color w:val="auto"/>
          <w:kern w:val="2"/>
          <w:sz w:val="32"/>
          <w:szCs w:val="32"/>
          <w:lang w:eastAsia="zh-CN"/>
        </w:rPr>
        <w:t>。</w:t>
      </w:r>
    </w:p>
    <w:p>
      <w:pPr>
        <w:pStyle w:val="10"/>
        <w:spacing w:before="0" w:line="360" w:lineRule="auto"/>
        <w:ind w:firstLine="640" w:firstLineChars="200"/>
        <w:rPr>
          <w:rFonts w:ascii="楷体" w:eastAsia="楷体" w:cs="仿宋_GB2312"/>
          <w:color w:val="auto"/>
          <w:kern w:val="2"/>
          <w:sz w:val="32"/>
          <w:szCs w:val="32"/>
        </w:rPr>
      </w:pPr>
      <w:r>
        <w:rPr>
          <w:rFonts w:hint="eastAsia" w:ascii="楷体" w:eastAsia="楷体" w:cs="仿宋_GB2312"/>
          <w:color w:val="auto"/>
          <w:kern w:val="2"/>
          <w:sz w:val="32"/>
          <w:szCs w:val="32"/>
        </w:rPr>
        <w:t>（三）国有资产占有使用情况</w:t>
      </w:r>
    </w:p>
    <w:p>
      <w:pPr>
        <w:pStyle w:val="10"/>
        <w:spacing w:before="0" w:line="360" w:lineRule="auto"/>
        <w:ind w:firstLine="640" w:firstLineChars="200"/>
        <w:rPr>
          <w:rFonts w:cs="仿宋_GB2312"/>
          <w:color w:val="auto"/>
          <w:kern w:val="2"/>
          <w:sz w:val="32"/>
          <w:szCs w:val="32"/>
        </w:rPr>
      </w:pPr>
      <w:r>
        <w:rPr>
          <w:rFonts w:hint="eastAsia" w:cs="仿宋_GB2312"/>
          <w:color w:val="auto"/>
          <w:kern w:val="2"/>
          <w:sz w:val="32"/>
          <w:szCs w:val="32"/>
        </w:rPr>
        <w:t>截至202</w:t>
      </w:r>
      <w:r>
        <w:rPr>
          <w:rFonts w:hint="eastAsia" w:cs="仿宋_GB2312"/>
          <w:color w:val="auto"/>
          <w:kern w:val="2"/>
          <w:sz w:val="32"/>
          <w:szCs w:val="32"/>
          <w:lang w:val="en-US" w:eastAsia="zh-CN"/>
        </w:rPr>
        <w:t>5</w:t>
      </w:r>
      <w:r>
        <w:rPr>
          <w:rFonts w:hint="eastAsia" w:cs="仿宋_GB2312"/>
          <w:color w:val="auto"/>
          <w:kern w:val="2"/>
          <w:sz w:val="32"/>
          <w:szCs w:val="32"/>
        </w:rPr>
        <w:t>年12月31日，我单位固定资产</w:t>
      </w:r>
      <w:r>
        <w:rPr>
          <w:rFonts w:hint="eastAsia" w:cs="仿宋_GB2312"/>
          <w:color w:val="auto"/>
          <w:kern w:val="2"/>
          <w:sz w:val="32"/>
          <w:szCs w:val="32"/>
          <w:lang w:val="en-US" w:eastAsia="zh-CN"/>
        </w:rPr>
        <w:t>2289.77</w:t>
      </w:r>
      <w:r>
        <w:rPr>
          <w:rFonts w:hint="eastAsia" w:cs="仿宋_GB2312"/>
          <w:color w:val="auto"/>
          <w:kern w:val="2"/>
          <w:sz w:val="32"/>
          <w:szCs w:val="32"/>
        </w:rPr>
        <w:t>万元。</w:t>
      </w:r>
    </w:p>
    <w:p>
      <w:pPr>
        <w:pStyle w:val="10"/>
        <w:numPr>
          <w:ilvl w:val="0"/>
          <w:numId w:val="2"/>
        </w:numPr>
        <w:spacing w:before="0" w:line="360" w:lineRule="auto"/>
        <w:ind w:left="640" w:leftChars="0" w:firstLine="0" w:firstLineChars="0"/>
        <w:rPr>
          <w:rFonts w:hint="eastAsia" w:cs="仿宋_GB2312"/>
          <w:color w:val="auto"/>
          <w:kern w:val="2"/>
          <w:sz w:val="32"/>
          <w:szCs w:val="32"/>
        </w:rPr>
      </w:pPr>
      <w:r>
        <w:rPr>
          <w:rFonts w:hint="eastAsia" w:ascii="楷体" w:eastAsia="楷体" w:cs="仿宋_GB2312"/>
          <w:color w:val="auto"/>
          <w:kern w:val="2"/>
          <w:sz w:val="32"/>
          <w:szCs w:val="32"/>
        </w:rPr>
        <w:t>绩效目标设置情况</w:t>
      </w:r>
      <w:r>
        <w:rPr>
          <w:rFonts w:hint="eastAsia" w:cs="仿宋_GB2312"/>
          <w:color w:val="auto"/>
          <w:kern w:val="2"/>
          <w:sz w:val="32"/>
          <w:szCs w:val="32"/>
        </w:rPr>
        <w:br w:type="textWrapping"/>
      </w:r>
      <w:r>
        <w:rPr>
          <w:rFonts w:hint="eastAsia" w:cs="仿宋_GB2312"/>
          <w:color w:val="0000FF"/>
          <w:kern w:val="2"/>
          <w:sz w:val="32"/>
          <w:szCs w:val="32"/>
        </w:rPr>
        <w:t>　</w:t>
      </w:r>
      <w:r>
        <w:rPr>
          <w:rFonts w:hint="eastAsia" w:cs="仿宋_GB2312"/>
          <w:color w:val="auto"/>
          <w:kern w:val="2"/>
          <w:sz w:val="32"/>
          <w:szCs w:val="32"/>
        </w:rPr>
        <w:t>　</w:t>
      </w:r>
      <w:r>
        <w:rPr>
          <w:rFonts w:hint="eastAsia" w:cs="仿宋_GB2312"/>
          <w:color w:val="auto"/>
          <w:kern w:val="2"/>
          <w:sz w:val="32"/>
          <w:szCs w:val="32"/>
          <w:lang w:eastAsia="zh-CN"/>
        </w:rPr>
        <w:t>2026</w:t>
      </w:r>
      <w:r>
        <w:rPr>
          <w:rFonts w:hint="eastAsia" w:cs="仿宋_GB2312"/>
          <w:color w:val="auto"/>
          <w:kern w:val="2"/>
          <w:sz w:val="32"/>
          <w:szCs w:val="32"/>
        </w:rPr>
        <w:t>年部门（单位）通用项目和专用项目均按要求实行绩效目标管理，涉及一般公共预算当年拨款</w:t>
      </w:r>
      <w:r>
        <w:rPr>
          <w:rFonts w:hint="eastAsia" w:cs="仿宋_GB2312"/>
          <w:color w:val="auto"/>
          <w:kern w:val="2"/>
          <w:sz w:val="32"/>
          <w:szCs w:val="32"/>
          <w:lang w:val="en-US" w:eastAsia="zh-CN"/>
        </w:rPr>
        <w:t>1245.5</w:t>
      </w:r>
      <w:r>
        <w:rPr>
          <w:rFonts w:hint="eastAsia" w:cs="仿宋_GB2312"/>
          <w:color w:val="auto"/>
          <w:kern w:val="2"/>
          <w:sz w:val="32"/>
          <w:szCs w:val="32"/>
        </w:rPr>
        <w:t>万元。</w:t>
      </w:r>
    </w:p>
    <w:p>
      <w:pPr>
        <w:pStyle w:val="10"/>
        <w:numPr>
          <w:ilvl w:val="0"/>
          <w:numId w:val="2"/>
        </w:numPr>
        <w:spacing w:before="0" w:line="360" w:lineRule="auto"/>
        <w:ind w:left="640" w:leftChars="0" w:firstLine="0" w:firstLineChars="0"/>
        <w:rPr>
          <w:rFonts w:hint="eastAsia" w:cs="仿宋_GB2312"/>
          <w:color w:val="auto"/>
          <w:kern w:val="2"/>
          <w:sz w:val="32"/>
          <w:szCs w:val="32"/>
        </w:rPr>
      </w:pPr>
      <w:r>
        <w:rPr>
          <w:rFonts w:hint="eastAsia" w:cs="仿宋_GB2312"/>
          <w:color w:val="auto"/>
          <w:kern w:val="2"/>
          <w:sz w:val="32"/>
          <w:szCs w:val="32"/>
          <w:lang w:val="en-US" w:eastAsia="zh-CN"/>
        </w:rPr>
        <w:t>2026年在县级财政预算</w:t>
      </w:r>
    </w:p>
    <w:p>
      <w:pPr>
        <w:pStyle w:val="10"/>
        <w:numPr>
          <w:ilvl w:val="0"/>
          <w:numId w:val="0"/>
        </w:numPr>
        <w:spacing w:before="0" w:line="360" w:lineRule="auto"/>
        <w:ind w:left="640" w:leftChars="0"/>
        <w:rPr>
          <w:rFonts w:hint="eastAsia" w:cs="仿宋_GB2312"/>
          <w:color w:val="auto"/>
          <w:kern w:val="2"/>
          <w:sz w:val="32"/>
          <w:szCs w:val="32"/>
        </w:rPr>
      </w:pPr>
      <w:r>
        <w:rPr>
          <w:rFonts w:hint="eastAsia" w:cs="仿宋_GB2312"/>
          <w:color w:val="auto"/>
          <w:kern w:val="2"/>
          <w:sz w:val="32"/>
          <w:szCs w:val="32"/>
        </w:rPr>
        <w:t xml:space="preserve"> </w:t>
      </w:r>
      <w:r>
        <w:rPr>
          <w:rFonts w:hint="eastAsia" w:cs="仿宋_GB2312"/>
          <w:color w:val="auto"/>
          <w:kern w:val="2"/>
          <w:sz w:val="32"/>
          <w:szCs w:val="32"/>
          <w:lang w:val="en-US" w:eastAsia="zh-CN"/>
        </w:rPr>
        <w:t xml:space="preserve">  在县级财政预算基础绩效166.49万元，主要为在职人员的基础绩效。</w:t>
      </w:r>
    </w:p>
    <w:p>
      <w:pPr>
        <w:pStyle w:val="10"/>
        <w:spacing w:before="0" w:line="360" w:lineRule="auto"/>
        <w:ind w:firstLine="640" w:firstLineChars="200"/>
        <w:rPr>
          <w:rFonts w:cs="仿宋_GB2312"/>
          <w:color w:val="auto"/>
          <w:kern w:val="2"/>
          <w:sz w:val="32"/>
          <w:szCs w:val="32"/>
        </w:rPr>
      </w:pPr>
      <w:r>
        <w:rPr>
          <w:rFonts w:hint="eastAsia" w:ascii="黑体" w:eastAsia="黑体"/>
          <w:color w:val="auto"/>
          <w:sz w:val="32"/>
          <w:szCs w:val="32"/>
        </w:rPr>
        <w:t xml:space="preserve">十、名称解释 </w:t>
      </w:r>
      <w:r>
        <w:rPr>
          <w:rFonts w:hint="eastAsia" w:cs="仿宋_GB2312"/>
          <w:color w:val="auto"/>
          <w:sz w:val="32"/>
          <w:szCs w:val="32"/>
        </w:rPr>
        <w:br w:type="textWrapping"/>
      </w:r>
      <w:r>
        <w:rPr>
          <w:rFonts w:hint="eastAsia" w:ascii="??" w:hAnsi="??" w:eastAsia="宋体" w:cs="宋体"/>
          <w:color w:val="0000FF"/>
          <w:sz w:val="16"/>
        </w:rPr>
        <w:t xml:space="preserve">　　   </w:t>
      </w:r>
      <w:r>
        <w:rPr>
          <w:rFonts w:hint="eastAsia" w:ascii="楷体" w:eastAsia="楷体" w:cs="仿宋_GB2312"/>
          <w:color w:val="auto"/>
          <w:kern w:val="2"/>
          <w:sz w:val="32"/>
          <w:szCs w:val="32"/>
        </w:rPr>
        <w:t>（一）财政拨款收入</w:t>
      </w:r>
      <w:r>
        <w:rPr>
          <w:rFonts w:hint="eastAsia" w:cs="仿宋_GB2312"/>
          <w:color w:val="auto"/>
          <w:kern w:val="2"/>
          <w:sz w:val="32"/>
          <w:szCs w:val="32"/>
        </w:rPr>
        <w:t>：指由财政拨款形成的部门收入。按现行管理制度，部门预算中反映的财政拨款仅包括一般公共预算拨款和政府性基金预算拨款。</w:t>
      </w:r>
      <w:r>
        <w:rPr>
          <w:rFonts w:cs="仿宋_GB2312"/>
          <w:color w:val="auto"/>
          <w:kern w:val="2"/>
          <w:sz w:val="32"/>
          <w:szCs w:val="32"/>
        </w:rPr>
        <w:br w:type="textWrapping"/>
      </w:r>
      <w:r>
        <w:rPr>
          <w:rFonts w:hint="eastAsia" w:cs="仿宋_GB2312"/>
          <w:color w:val="auto"/>
          <w:kern w:val="2"/>
          <w:sz w:val="32"/>
          <w:szCs w:val="32"/>
        </w:rPr>
        <w:t>　　</w:t>
      </w:r>
      <w:r>
        <w:rPr>
          <w:rFonts w:hint="eastAsia" w:ascii="楷体" w:eastAsia="楷体" w:cs="仿宋_GB2312"/>
          <w:color w:val="auto"/>
          <w:kern w:val="2"/>
          <w:sz w:val="32"/>
          <w:szCs w:val="32"/>
        </w:rPr>
        <w:t>（二）事业收入</w:t>
      </w:r>
      <w:r>
        <w:rPr>
          <w:rFonts w:hint="eastAsia" w:cs="仿宋_GB2312"/>
          <w:color w:val="auto"/>
          <w:kern w:val="2"/>
          <w:sz w:val="32"/>
          <w:szCs w:val="32"/>
        </w:rPr>
        <w:t>：指所属事业单位开展专业业务活动及辅助活动所取得的收入。</w:t>
      </w:r>
      <w:r>
        <w:rPr>
          <w:rFonts w:cs="仿宋_GB2312"/>
          <w:color w:val="auto"/>
          <w:kern w:val="2"/>
          <w:sz w:val="32"/>
          <w:szCs w:val="32"/>
        </w:rPr>
        <w:br w:type="textWrapping"/>
      </w:r>
      <w:r>
        <w:rPr>
          <w:rFonts w:hint="eastAsia" w:cs="仿宋_GB2312"/>
          <w:color w:val="auto"/>
          <w:kern w:val="2"/>
          <w:sz w:val="32"/>
          <w:szCs w:val="32"/>
        </w:rPr>
        <w:t>　　</w:t>
      </w:r>
      <w:r>
        <w:rPr>
          <w:rFonts w:hint="eastAsia" w:ascii="楷体" w:eastAsia="楷体" w:cs="仿宋_GB2312"/>
          <w:color w:val="auto"/>
          <w:kern w:val="2"/>
          <w:sz w:val="32"/>
          <w:szCs w:val="32"/>
        </w:rPr>
        <w:t>（三）事业单位经营收入</w:t>
      </w:r>
      <w:r>
        <w:rPr>
          <w:rFonts w:hint="eastAsia" w:cs="仿宋_GB2312"/>
          <w:color w:val="auto"/>
          <w:kern w:val="2"/>
          <w:sz w:val="32"/>
          <w:szCs w:val="32"/>
        </w:rPr>
        <w:t>：指所属事业单位在专业业务活动及其辅助活动之外开展非独立核算经营活动取得的收入。</w:t>
      </w:r>
      <w:r>
        <w:rPr>
          <w:rFonts w:cs="仿宋_GB2312"/>
          <w:color w:val="auto"/>
          <w:kern w:val="2"/>
          <w:sz w:val="32"/>
          <w:szCs w:val="32"/>
        </w:rPr>
        <w:br w:type="textWrapping"/>
      </w:r>
      <w:r>
        <w:rPr>
          <w:rFonts w:hint="eastAsia" w:cs="仿宋_GB2312"/>
          <w:color w:val="auto"/>
          <w:kern w:val="2"/>
          <w:sz w:val="32"/>
          <w:szCs w:val="32"/>
        </w:rPr>
        <w:t>　</w:t>
      </w:r>
      <w:r>
        <w:rPr>
          <w:rFonts w:hint="eastAsia" w:ascii="楷体" w:eastAsia="楷体" w:cs="仿宋_GB2312"/>
          <w:color w:val="auto"/>
          <w:kern w:val="2"/>
          <w:sz w:val="32"/>
          <w:szCs w:val="32"/>
        </w:rPr>
        <w:t>　（四）其他收入</w:t>
      </w:r>
      <w:r>
        <w:rPr>
          <w:rFonts w:hint="eastAsia" w:cs="仿宋_GB2312"/>
          <w:color w:val="auto"/>
          <w:kern w:val="2"/>
          <w:sz w:val="32"/>
          <w:szCs w:val="32"/>
        </w:rPr>
        <w:t>：指除上述</w:t>
      </w:r>
      <w:r>
        <w:rPr>
          <w:rFonts w:cs="仿宋_GB2312"/>
          <w:color w:val="auto"/>
          <w:kern w:val="2"/>
          <w:sz w:val="32"/>
          <w:szCs w:val="32"/>
        </w:rPr>
        <w:t>“</w:t>
      </w:r>
      <w:r>
        <w:rPr>
          <w:rFonts w:hint="eastAsia" w:cs="仿宋_GB2312"/>
          <w:color w:val="auto"/>
          <w:kern w:val="2"/>
          <w:sz w:val="32"/>
          <w:szCs w:val="32"/>
        </w:rPr>
        <w:t>财政拨款收入</w:t>
      </w:r>
      <w:r>
        <w:rPr>
          <w:rFonts w:cs="仿宋_GB2312"/>
          <w:color w:val="auto"/>
          <w:kern w:val="2"/>
          <w:sz w:val="32"/>
          <w:szCs w:val="32"/>
        </w:rPr>
        <w:t>”</w:t>
      </w:r>
      <w:r>
        <w:rPr>
          <w:rFonts w:hint="eastAsia" w:cs="仿宋_GB2312"/>
          <w:color w:val="auto"/>
          <w:kern w:val="2"/>
          <w:sz w:val="32"/>
          <w:szCs w:val="32"/>
        </w:rPr>
        <w:t>、</w:t>
      </w:r>
      <w:r>
        <w:rPr>
          <w:rFonts w:cs="仿宋_GB2312"/>
          <w:color w:val="auto"/>
          <w:kern w:val="2"/>
          <w:sz w:val="32"/>
          <w:szCs w:val="32"/>
        </w:rPr>
        <w:t>“</w:t>
      </w:r>
      <w:r>
        <w:rPr>
          <w:rFonts w:hint="eastAsia" w:cs="仿宋_GB2312"/>
          <w:color w:val="auto"/>
          <w:kern w:val="2"/>
          <w:sz w:val="32"/>
          <w:szCs w:val="32"/>
        </w:rPr>
        <w:t>事业收入</w:t>
      </w:r>
      <w:r>
        <w:rPr>
          <w:rFonts w:cs="仿宋_GB2312"/>
          <w:color w:val="auto"/>
          <w:kern w:val="2"/>
          <w:sz w:val="32"/>
          <w:szCs w:val="32"/>
        </w:rPr>
        <w:t>”</w:t>
      </w:r>
      <w:r>
        <w:rPr>
          <w:rFonts w:hint="eastAsia" w:cs="仿宋_GB2312"/>
          <w:color w:val="auto"/>
          <w:kern w:val="2"/>
          <w:sz w:val="32"/>
          <w:szCs w:val="32"/>
        </w:rPr>
        <w:t>、</w:t>
      </w:r>
      <w:r>
        <w:rPr>
          <w:rFonts w:cs="仿宋_GB2312"/>
          <w:color w:val="auto"/>
          <w:kern w:val="2"/>
          <w:sz w:val="32"/>
          <w:szCs w:val="32"/>
        </w:rPr>
        <w:t>“</w:t>
      </w:r>
      <w:r>
        <w:rPr>
          <w:rFonts w:hint="eastAsia" w:cs="仿宋_GB2312"/>
          <w:color w:val="auto"/>
          <w:kern w:val="2"/>
          <w:sz w:val="32"/>
          <w:szCs w:val="32"/>
        </w:rPr>
        <w:t>事业单位经营收入</w:t>
      </w:r>
      <w:r>
        <w:rPr>
          <w:rFonts w:cs="仿宋_GB2312"/>
          <w:color w:val="auto"/>
          <w:kern w:val="2"/>
          <w:sz w:val="32"/>
          <w:szCs w:val="32"/>
        </w:rPr>
        <w:t>”</w:t>
      </w:r>
      <w:r>
        <w:rPr>
          <w:rFonts w:hint="eastAsia" w:cs="仿宋_GB2312"/>
          <w:color w:val="auto"/>
          <w:kern w:val="2"/>
          <w:sz w:val="32"/>
          <w:szCs w:val="32"/>
        </w:rPr>
        <w:t>等以外的收入，主要是所属行政事业单位按规定动用的售房收入、存款利息收入等。</w:t>
      </w:r>
      <w:r>
        <w:rPr>
          <w:rFonts w:cs="仿宋_GB2312"/>
          <w:color w:val="auto"/>
          <w:kern w:val="2"/>
          <w:sz w:val="32"/>
          <w:szCs w:val="32"/>
        </w:rPr>
        <w:br w:type="textWrapping"/>
      </w:r>
      <w:r>
        <w:rPr>
          <w:rFonts w:hint="eastAsia" w:cs="仿宋_GB2312"/>
          <w:color w:val="auto"/>
          <w:kern w:val="2"/>
          <w:sz w:val="32"/>
          <w:szCs w:val="32"/>
        </w:rPr>
        <w:t>　</w:t>
      </w:r>
      <w:r>
        <w:rPr>
          <w:rFonts w:hint="eastAsia" w:ascii="楷体" w:eastAsia="楷体" w:cs="仿宋_GB2312"/>
          <w:color w:val="auto"/>
          <w:kern w:val="2"/>
          <w:sz w:val="32"/>
          <w:szCs w:val="32"/>
        </w:rPr>
        <w:t>　（五）用事业基金弥补收支差额</w:t>
      </w:r>
      <w:r>
        <w:rPr>
          <w:rFonts w:hint="eastAsia" w:cs="仿宋_GB2312"/>
          <w:color w:val="auto"/>
          <w:kern w:val="2"/>
          <w:sz w:val="32"/>
          <w:szCs w:val="32"/>
        </w:rPr>
        <w:t>：指所属事业单位在预计用当年的</w:t>
      </w:r>
      <w:r>
        <w:rPr>
          <w:rFonts w:cs="仿宋_GB2312"/>
          <w:color w:val="auto"/>
          <w:kern w:val="2"/>
          <w:sz w:val="32"/>
          <w:szCs w:val="32"/>
        </w:rPr>
        <w:t>“</w:t>
      </w:r>
      <w:r>
        <w:rPr>
          <w:rFonts w:hint="eastAsia" w:cs="仿宋_GB2312"/>
          <w:color w:val="auto"/>
          <w:kern w:val="2"/>
          <w:sz w:val="32"/>
          <w:szCs w:val="32"/>
        </w:rPr>
        <w:t>财政拨款收入</w:t>
      </w:r>
      <w:r>
        <w:rPr>
          <w:rFonts w:cs="仿宋_GB2312"/>
          <w:color w:val="auto"/>
          <w:kern w:val="2"/>
          <w:sz w:val="32"/>
          <w:szCs w:val="32"/>
        </w:rPr>
        <w:t>”</w:t>
      </w:r>
      <w:r>
        <w:rPr>
          <w:rFonts w:hint="eastAsia" w:cs="仿宋_GB2312"/>
          <w:color w:val="auto"/>
          <w:kern w:val="2"/>
          <w:sz w:val="32"/>
          <w:szCs w:val="32"/>
        </w:rPr>
        <w:t>、</w:t>
      </w:r>
      <w:r>
        <w:rPr>
          <w:rFonts w:cs="仿宋_GB2312"/>
          <w:color w:val="auto"/>
          <w:kern w:val="2"/>
          <w:sz w:val="32"/>
          <w:szCs w:val="32"/>
        </w:rPr>
        <w:t>“</w:t>
      </w:r>
      <w:r>
        <w:rPr>
          <w:rFonts w:hint="eastAsia" w:cs="仿宋_GB2312"/>
          <w:color w:val="auto"/>
          <w:kern w:val="2"/>
          <w:sz w:val="32"/>
          <w:szCs w:val="32"/>
        </w:rPr>
        <w:t>事业收入</w:t>
      </w:r>
      <w:r>
        <w:rPr>
          <w:rFonts w:cs="仿宋_GB2312"/>
          <w:color w:val="auto"/>
          <w:kern w:val="2"/>
          <w:sz w:val="32"/>
          <w:szCs w:val="32"/>
        </w:rPr>
        <w:t>”</w:t>
      </w:r>
      <w:r>
        <w:rPr>
          <w:rFonts w:hint="eastAsia" w:cs="仿宋_GB2312"/>
          <w:color w:val="auto"/>
          <w:kern w:val="2"/>
          <w:sz w:val="32"/>
          <w:szCs w:val="32"/>
        </w:rPr>
        <w:t>、</w:t>
      </w:r>
      <w:r>
        <w:rPr>
          <w:rFonts w:cs="仿宋_GB2312"/>
          <w:color w:val="auto"/>
          <w:kern w:val="2"/>
          <w:sz w:val="32"/>
          <w:szCs w:val="32"/>
        </w:rPr>
        <w:t>“</w:t>
      </w:r>
      <w:r>
        <w:rPr>
          <w:rFonts w:hint="eastAsia" w:cs="仿宋_GB2312"/>
          <w:color w:val="auto"/>
          <w:kern w:val="2"/>
          <w:sz w:val="32"/>
          <w:szCs w:val="32"/>
        </w:rPr>
        <w:t>事业单位经营收入</w:t>
      </w:r>
      <w:r>
        <w:rPr>
          <w:rFonts w:cs="仿宋_GB2312"/>
          <w:color w:val="auto"/>
          <w:kern w:val="2"/>
          <w:sz w:val="32"/>
          <w:szCs w:val="32"/>
        </w:rPr>
        <w:t>”</w:t>
      </w:r>
      <w:r>
        <w:rPr>
          <w:rFonts w:hint="eastAsia" w:cs="仿宋_GB2312"/>
          <w:color w:val="auto"/>
          <w:kern w:val="2"/>
          <w:sz w:val="32"/>
          <w:szCs w:val="32"/>
        </w:rPr>
        <w:t>、</w:t>
      </w:r>
      <w:r>
        <w:rPr>
          <w:rFonts w:cs="仿宋_GB2312"/>
          <w:color w:val="auto"/>
          <w:kern w:val="2"/>
          <w:sz w:val="32"/>
          <w:szCs w:val="32"/>
        </w:rPr>
        <w:t>“</w:t>
      </w:r>
      <w:r>
        <w:rPr>
          <w:rFonts w:hint="eastAsia" w:cs="仿宋_GB2312"/>
          <w:color w:val="auto"/>
          <w:kern w:val="2"/>
          <w:sz w:val="32"/>
          <w:szCs w:val="32"/>
        </w:rPr>
        <w:t>其他收入</w:t>
      </w:r>
      <w:r>
        <w:rPr>
          <w:rFonts w:cs="仿宋_GB2312"/>
          <w:color w:val="auto"/>
          <w:kern w:val="2"/>
          <w:sz w:val="32"/>
          <w:szCs w:val="32"/>
        </w:rPr>
        <w:t>”</w:t>
      </w:r>
      <w:r>
        <w:rPr>
          <w:rFonts w:hint="eastAsia" w:cs="仿宋_GB2312"/>
          <w:color w:val="auto"/>
          <w:kern w:val="2"/>
          <w:sz w:val="32"/>
          <w:szCs w:val="32"/>
        </w:rPr>
        <w:t>不足以安排当年支出的情况下，使用以前年度积累的事业基金弥补本年度收支缺口的资金。</w:t>
      </w:r>
      <w:r>
        <w:rPr>
          <w:rFonts w:cs="仿宋_GB2312"/>
          <w:color w:val="auto"/>
          <w:kern w:val="2"/>
          <w:sz w:val="32"/>
          <w:szCs w:val="32"/>
        </w:rPr>
        <w:br w:type="textWrapping"/>
      </w:r>
      <w:r>
        <w:rPr>
          <w:rFonts w:hint="eastAsia" w:cs="仿宋_GB2312"/>
          <w:color w:val="auto"/>
          <w:kern w:val="2"/>
          <w:sz w:val="32"/>
          <w:szCs w:val="32"/>
        </w:rPr>
        <w:t>　</w:t>
      </w:r>
      <w:r>
        <w:rPr>
          <w:rFonts w:hint="eastAsia" w:ascii="楷体" w:eastAsia="楷体" w:cs="仿宋_GB2312"/>
          <w:color w:val="auto"/>
          <w:kern w:val="2"/>
          <w:sz w:val="32"/>
          <w:szCs w:val="32"/>
        </w:rPr>
        <w:t>　（六）上年结转</w:t>
      </w:r>
      <w:r>
        <w:rPr>
          <w:rFonts w:hint="eastAsia" w:cs="仿宋_GB2312"/>
          <w:color w:val="auto"/>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color w:val="auto"/>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_GB2312">
    <w:altName w:val="仿宋"/>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7A85C2"/>
    <w:multiLevelType w:val="singleLevel"/>
    <w:tmpl w:val="AB7A85C2"/>
    <w:lvl w:ilvl="0" w:tentative="0">
      <w:start w:val="2"/>
      <w:numFmt w:val="chineseCounting"/>
      <w:suff w:val="nothing"/>
      <w:lvlText w:val="（%1）"/>
      <w:lvlJc w:val="left"/>
      <w:pPr>
        <w:ind w:left="640" w:leftChars="0" w:firstLine="0" w:firstLineChars="0"/>
      </w:pPr>
      <w:rPr>
        <w:rFonts w:hint="eastAsia"/>
      </w:rPr>
    </w:lvl>
  </w:abstractNum>
  <w:abstractNum w:abstractNumId="1">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YmY4NTQyNzAwMDlhNjMxN2ZhYzAxMzM3OWI1MmI3YTUifQ=="/>
  </w:docVars>
  <w:rsids>
    <w:rsidRoot w:val="00000000"/>
    <w:rsid w:val="012E6DA7"/>
    <w:rsid w:val="03C9752C"/>
    <w:rsid w:val="06E30F2F"/>
    <w:rsid w:val="081F5A7E"/>
    <w:rsid w:val="09DB3D5E"/>
    <w:rsid w:val="0C593483"/>
    <w:rsid w:val="0D021817"/>
    <w:rsid w:val="0D1B0FF6"/>
    <w:rsid w:val="10954B60"/>
    <w:rsid w:val="14AC5B87"/>
    <w:rsid w:val="17AE7EFE"/>
    <w:rsid w:val="186C142F"/>
    <w:rsid w:val="1D2B3667"/>
    <w:rsid w:val="24374B32"/>
    <w:rsid w:val="2456054B"/>
    <w:rsid w:val="26F80972"/>
    <w:rsid w:val="2DBB5D99"/>
    <w:rsid w:val="30320940"/>
    <w:rsid w:val="336508EE"/>
    <w:rsid w:val="431C27B1"/>
    <w:rsid w:val="4392593E"/>
    <w:rsid w:val="43E220A6"/>
    <w:rsid w:val="499D2C1F"/>
    <w:rsid w:val="49E60921"/>
    <w:rsid w:val="518F58FF"/>
    <w:rsid w:val="58A5614B"/>
    <w:rsid w:val="58C2289F"/>
    <w:rsid w:val="58F41A48"/>
    <w:rsid w:val="5B951D4E"/>
    <w:rsid w:val="5CCE6014"/>
    <w:rsid w:val="60465EF1"/>
    <w:rsid w:val="670F5804"/>
    <w:rsid w:val="6888005D"/>
    <w:rsid w:val="6D3B0355"/>
    <w:rsid w:val="723E6182"/>
    <w:rsid w:val="78583CE4"/>
    <w:rsid w:val="7BD95BA0"/>
    <w:rsid w:val="7DDD71D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rPr>
  </w:style>
  <w:style w:type="paragraph" w:styleId="4">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5">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9</Pages>
  <Words>2984</Words>
  <Characters>3287</Characters>
  <Lines>124</Lines>
  <Paragraphs>51</Paragraphs>
  <TotalTime>1</TotalTime>
  <ScaleCrop>false</ScaleCrop>
  <LinksUpToDate>false</LinksUpToDate>
  <CharactersWithSpaces>3326</CharactersWithSpaces>
  <Application>WPS Office_11.1.0.11830_F1E327BC-269C-435d-A152-05C5408002CA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2022-12-30T17:44:00Z</dcterms:created>
  <dc:creator>疯丫头。。</dc:creator>
  <cp:lastModifiedBy>lenovo</cp:lastModifiedBy>
  <cp:lastPrinted>2026-01-26T08:54:00Z</cp:lastPrinted>
  <dcterms:modified xsi:type="dcterms:W3CDTF">2026-01-27T08:30:04Z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FA3B86CA937A478896B70B00CFD815A0</vt:lpwstr>
  </property>
</Properties>
</file>